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385BB9">
      <w:pPr>
        <w:rPr>
          <w:sz w:val="32"/>
        </w:rPr>
      </w:pPr>
    </w:p>
    <w:p w:rsidR="00C92FC0" w:rsidRPr="00EB07BC" w:rsidRDefault="00385BB9">
      <w:pPr>
        <w:rPr>
          <w:sz w:val="32"/>
        </w:rPr>
      </w:pPr>
    </w:p>
    <w:p w:rsidR="00C92FC0" w:rsidRPr="00EB07BC" w:rsidRDefault="00385BB9">
      <w:pPr>
        <w:rPr>
          <w:sz w:val="32"/>
        </w:rPr>
      </w:pPr>
    </w:p>
    <w:p w:rsidR="004E6FCE" w:rsidRDefault="004E6FC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4E6FCE" w:rsidRDefault="004E6FC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4E6FCE" w:rsidRDefault="004E6FC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4E6FCE" w:rsidRDefault="00AB6520">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交银施罗德双轮动债券型证券投资基金</w:t>
      </w:r>
    </w:p>
    <w:p w:rsidR="004E6FCE" w:rsidRDefault="00AB6520">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4E6FCE" w:rsidRDefault="004E6FCE">
      <w:pPr>
        <w:snapToGrid w:val="0"/>
        <w:spacing w:line="360" w:lineRule="auto"/>
        <w:jc w:val="center"/>
        <w:rPr>
          <w:rFonts w:ascii="宋体" w:hAnsi="宋体"/>
          <w:b/>
          <w:sz w:val="30"/>
          <w:szCs w:val="30"/>
        </w:rPr>
      </w:pPr>
    </w:p>
    <w:p w:rsidR="004E6FCE" w:rsidRDefault="004E6FC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E6FCE" w:rsidRDefault="004E6FC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E6FCE" w:rsidRDefault="004E6FC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E6FCE" w:rsidRDefault="004E6FC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E6FCE" w:rsidRDefault="004E6FC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E6FCE" w:rsidRDefault="004E6FC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E6FCE" w:rsidRDefault="00AB6520">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4E6FCE" w:rsidRDefault="00AB6520">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基金托管人：中信银行股份有限公司</w:t>
      </w:r>
    </w:p>
    <w:p w:rsidR="004E6FCE" w:rsidRDefault="004E6FC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E6FCE" w:rsidRDefault="004E6FC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4E6FCE" w:rsidRDefault="00AB6520">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二〇二六年四月</w:t>
      </w:r>
    </w:p>
    <w:p w:rsidR="004E6FCE" w:rsidRDefault="004E6FCE">
      <w:pPr>
        <w:autoSpaceDE w:val="0"/>
        <w:autoSpaceDN w:val="0"/>
        <w:adjustRightInd w:val="0"/>
        <w:snapToGrid w:val="0"/>
        <w:spacing w:line="360" w:lineRule="auto"/>
        <w:ind w:left="1347" w:rightChars="6" w:right="13"/>
        <w:rPr>
          <w:rFonts w:ascii="宋体" w:hAnsi="宋体"/>
          <w:kern w:val="0"/>
          <w:sz w:val="32"/>
          <w:szCs w:val="32"/>
        </w:rPr>
        <w:sectPr w:rsidR="004E6FCE">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4E6FCE" w:rsidRDefault="00AB6520">
      <w:pPr>
        <w:pStyle w:val="1"/>
        <w:snapToGrid w:val="0"/>
        <w:spacing w:beforeLines="0" w:before="240" w:after="240"/>
        <w:rPr>
          <w:rFonts w:ascii="宋体" w:hAnsi="宋体"/>
          <w:kern w:val="0"/>
        </w:rPr>
      </w:pPr>
      <w:bookmarkStart w:id="0" w:name="_Toc324920538"/>
      <w:bookmarkStart w:id="1" w:name="_Toc496884613"/>
      <w:bookmarkStart w:id="2" w:name="_Toc228201062"/>
      <w:r>
        <w:rPr>
          <w:rFonts w:ascii="Times New Roman" w:hAnsi="Times New Roman"/>
          <w:kern w:val="0"/>
        </w:rPr>
        <w:lastRenderedPageBreak/>
        <w:t>重要提示</w:t>
      </w:r>
      <w:bookmarkEnd w:id="0"/>
      <w:bookmarkEnd w:id="1"/>
      <w:bookmarkEnd w:id="2"/>
    </w:p>
    <w:p w:rsidR="004E6FCE" w:rsidRDefault="00AB652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交银施罗德双轮动债券型证券投资基金（以下简称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2013</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日中国证券监督管理委员会证监许可【</w:t>
      </w:r>
      <w:r>
        <w:rPr>
          <w:rFonts w:ascii="Times New Roman" w:hAnsi="Times New Roman"/>
          <w:kern w:val="0"/>
          <w:sz w:val="24"/>
        </w:rPr>
        <w:t>2013</w:t>
      </w:r>
      <w:r>
        <w:rPr>
          <w:rFonts w:ascii="Times New Roman" w:hAnsi="Times New Roman"/>
          <w:kern w:val="0"/>
          <w:sz w:val="24"/>
        </w:rPr>
        <w:t>】</w:t>
      </w:r>
      <w:r>
        <w:rPr>
          <w:rFonts w:ascii="Times New Roman" w:hAnsi="Times New Roman"/>
          <w:kern w:val="0"/>
          <w:sz w:val="24"/>
        </w:rPr>
        <w:t>97</w:t>
      </w:r>
      <w:r>
        <w:rPr>
          <w:rFonts w:ascii="Times New Roman" w:hAnsi="Times New Roman"/>
          <w:kern w:val="0"/>
          <w:sz w:val="24"/>
        </w:rPr>
        <w:t>号文核准募集。本基金基金合同于</w:t>
      </w:r>
      <w:r>
        <w:rPr>
          <w:rFonts w:ascii="Times New Roman" w:hAnsi="Times New Roman"/>
          <w:kern w:val="0"/>
          <w:sz w:val="24"/>
        </w:rPr>
        <w:t>2013</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18</w:t>
      </w:r>
      <w:r>
        <w:rPr>
          <w:rFonts w:ascii="Times New Roman" w:hAnsi="Times New Roman"/>
          <w:kern w:val="0"/>
          <w:sz w:val="24"/>
        </w:rPr>
        <w:t>日正式生效。</w:t>
      </w:r>
    </w:p>
    <w:p w:rsidR="004E6FCE" w:rsidRDefault="00AB652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w:t>
      </w:r>
    </w:p>
    <w:p w:rsidR="004E6FCE" w:rsidRDefault="00AB652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4E6FCE" w:rsidRDefault="00AB652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者在投资本基金前，需全面认识本基金产品的风险收益特征和产品特性，充分考虑自身的风险承受能力，理性判断市场，对投资本基金的意愿、时机、数量等投资行为作出独立决策。投资者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本基金特有的其他风险等等。本基金是一只债券型基金，属于证券投资基金中中等风险的品种，其长期平均的预期收益和预期风险高于货币市场基金，低于混合型基金和股票型基金。</w:t>
      </w:r>
    </w:p>
    <w:p w:rsidR="004E6FCE" w:rsidRDefault="00AB652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投资有风险，投资者在投资本基金前应认真阅读本基金的招募说明书和基金合同、基金产品资料概要。基金的过往业绩并不代表其未来表现。基金管理人管理的其他基金的业绩并不构成新基金业绩表现的保证。</w:t>
      </w:r>
    </w:p>
    <w:p w:rsidR="004E6FCE" w:rsidRDefault="00AB652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04</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4E6FCE" w:rsidRDefault="004E6FCE">
      <w:pPr>
        <w:autoSpaceDE w:val="0"/>
        <w:autoSpaceDN w:val="0"/>
        <w:adjustRightInd w:val="0"/>
        <w:snapToGrid w:val="0"/>
        <w:spacing w:before="51" w:line="360" w:lineRule="auto"/>
        <w:ind w:left="120" w:rightChars="6" w:right="13" w:firstLine="480"/>
        <w:rPr>
          <w:rFonts w:ascii="宋体" w:hAnsi="宋体"/>
          <w:kern w:val="0"/>
          <w:szCs w:val="24"/>
        </w:rPr>
        <w:sectPr w:rsidR="004E6FCE">
          <w:headerReference w:type="default" r:id="rId14"/>
          <w:pgSz w:w="11920" w:h="16840"/>
          <w:pgMar w:top="1440" w:right="1680" w:bottom="280" w:left="1680" w:header="0" w:footer="1073" w:gutter="0"/>
          <w:pgNumType w:start="1"/>
          <w:cols w:space="720"/>
        </w:sectPr>
      </w:pPr>
    </w:p>
    <w:p w:rsidR="00385BB9" w:rsidRPr="00385BB9" w:rsidRDefault="00AB6520" w:rsidP="00385BB9">
      <w:pPr>
        <w:pStyle w:val="ad"/>
        <w:snapToGrid w:val="0"/>
        <w:spacing w:after="240" w:line="360" w:lineRule="auto"/>
        <w:jc w:val="center"/>
        <w:rPr>
          <w:rFonts w:ascii="宋体" w:hAnsi="宋体"/>
          <w:noProof/>
          <w:sz w:val="24"/>
        </w:rPr>
      </w:pPr>
      <w:r w:rsidRPr="00385BB9">
        <w:rPr>
          <w:rFonts w:ascii="宋体" w:hAnsi="宋体"/>
          <w:color w:val="000000"/>
          <w:position w:val="-4"/>
          <w:sz w:val="24"/>
          <w:szCs w:val="30"/>
        </w:rPr>
        <w:lastRenderedPageBreak/>
        <w:t>目</w:t>
      </w:r>
      <w:r w:rsidRPr="00385BB9">
        <w:rPr>
          <w:rFonts w:ascii="宋体" w:hAnsi="宋体"/>
          <w:color w:val="000000"/>
          <w:position w:val="-4"/>
          <w:sz w:val="24"/>
          <w:szCs w:val="30"/>
        </w:rPr>
        <w:tab/>
        <w:t>录</w:t>
      </w:r>
      <w:r w:rsidR="00385BB9" w:rsidRPr="00385BB9">
        <w:rPr>
          <w:rFonts w:ascii="宋体" w:hAnsi="宋体"/>
          <w:color w:val="000000"/>
          <w:position w:val="-4"/>
          <w:sz w:val="24"/>
          <w:szCs w:val="30"/>
        </w:rPr>
        <w:fldChar w:fldCharType="begin"/>
      </w:r>
      <w:r w:rsidR="00385BB9" w:rsidRPr="00385BB9">
        <w:rPr>
          <w:rFonts w:ascii="宋体" w:hAnsi="宋体"/>
          <w:color w:val="000000"/>
          <w:position w:val="-4"/>
          <w:sz w:val="24"/>
          <w:szCs w:val="30"/>
        </w:rPr>
        <w:instrText xml:space="preserve"> TOC \o "1-3" \f - \h \t "-1" </w:instrText>
      </w:r>
      <w:r w:rsidR="00385BB9" w:rsidRPr="00385BB9">
        <w:rPr>
          <w:rFonts w:ascii="宋体" w:hAnsi="宋体"/>
          <w:color w:val="000000"/>
          <w:position w:val="-4"/>
          <w:sz w:val="24"/>
          <w:szCs w:val="30"/>
        </w:rPr>
        <w:fldChar w:fldCharType="separate"/>
      </w:r>
    </w:p>
    <w:p w:rsidR="00385BB9" w:rsidRPr="00385BB9" w:rsidRDefault="00385BB9" w:rsidP="00385BB9">
      <w:pPr>
        <w:pStyle w:val="10"/>
        <w:tabs>
          <w:tab w:val="right" w:leader="dot" w:pos="8550"/>
        </w:tabs>
        <w:spacing w:line="360" w:lineRule="auto"/>
        <w:rPr>
          <w:rFonts w:ascii="宋体" w:hAnsi="宋体" w:cstheme="minorBidi"/>
          <w:noProof/>
          <w:sz w:val="24"/>
        </w:rPr>
      </w:pPr>
      <w:hyperlink w:anchor="_Toc228201062" w:history="1">
        <w:r w:rsidRPr="00385BB9">
          <w:rPr>
            <w:rStyle w:val="aa"/>
            <w:rFonts w:ascii="宋体" w:hAnsi="宋体" w:hint="eastAsia"/>
            <w:noProof/>
            <w:kern w:val="0"/>
            <w:sz w:val="24"/>
          </w:rPr>
          <w:t>重要提示</w:t>
        </w:r>
        <w:r w:rsidRPr="00385BB9">
          <w:rPr>
            <w:rFonts w:ascii="宋体" w:hAnsi="宋体"/>
            <w:noProof/>
            <w:sz w:val="24"/>
          </w:rPr>
          <w:tab/>
        </w:r>
        <w:r w:rsidRPr="00385BB9">
          <w:rPr>
            <w:rFonts w:ascii="宋体" w:hAnsi="宋体"/>
            <w:noProof/>
            <w:sz w:val="24"/>
          </w:rPr>
          <w:fldChar w:fldCharType="begin"/>
        </w:r>
        <w:r w:rsidRPr="00385BB9">
          <w:rPr>
            <w:rFonts w:ascii="宋体" w:hAnsi="宋体"/>
            <w:noProof/>
            <w:sz w:val="24"/>
          </w:rPr>
          <w:instrText xml:space="preserve"> PAGEREF _Toc228201062 \h </w:instrText>
        </w:r>
        <w:r w:rsidRPr="00385BB9">
          <w:rPr>
            <w:rFonts w:ascii="宋体" w:hAnsi="宋体"/>
            <w:noProof/>
            <w:sz w:val="24"/>
          </w:rPr>
        </w:r>
        <w:r w:rsidRPr="00385BB9">
          <w:rPr>
            <w:rFonts w:ascii="宋体" w:hAnsi="宋体"/>
            <w:noProof/>
            <w:sz w:val="24"/>
          </w:rPr>
          <w:fldChar w:fldCharType="separate"/>
        </w:r>
        <w:r w:rsidRPr="00385BB9">
          <w:rPr>
            <w:rFonts w:ascii="宋体" w:hAnsi="宋体"/>
            <w:noProof/>
            <w:sz w:val="24"/>
          </w:rPr>
          <w:t>1</w:t>
        </w:r>
        <w:r w:rsidRPr="00385BB9">
          <w:rPr>
            <w:rFonts w:ascii="宋体" w:hAnsi="宋体"/>
            <w:noProof/>
            <w:sz w:val="24"/>
          </w:rPr>
          <w:fldChar w:fldCharType="end"/>
        </w:r>
      </w:hyperlink>
    </w:p>
    <w:p w:rsidR="00385BB9" w:rsidRPr="00385BB9" w:rsidRDefault="00385BB9" w:rsidP="00385BB9">
      <w:pPr>
        <w:pStyle w:val="10"/>
        <w:tabs>
          <w:tab w:val="right" w:leader="dot" w:pos="8550"/>
        </w:tabs>
        <w:spacing w:line="360" w:lineRule="auto"/>
        <w:rPr>
          <w:rFonts w:ascii="宋体" w:hAnsi="宋体" w:cstheme="minorBidi"/>
          <w:noProof/>
          <w:sz w:val="24"/>
        </w:rPr>
      </w:pPr>
      <w:hyperlink w:anchor="_Toc228201063" w:history="1">
        <w:r w:rsidRPr="00385BB9">
          <w:rPr>
            <w:rStyle w:val="aa"/>
            <w:rFonts w:ascii="宋体" w:hAnsi="宋体" w:hint="eastAsia"/>
            <w:noProof/>
            <w:sz w:val="24"/>
          </w:rPr>
          <w:t>一、绪言</w:t>
        </w:r>
        <w:r w:rsidRPr="00385BB9">
          <w:rPr>
            <w:rFonts w:ascii="宋体" w:hAnsi="宋体"/>
            <w:noProof/>
            <w:sz w:val="24"/>
          </w:rPr>
          <w:tab/>
        </w:r>
        <w:r w:rsidRPr="00385BB9">
          <w:rPr>
            <w:rFonts w:ascii="宋体" w:hAnsi="宋体"/>
            <w:noProof/>
            <w:sz w:val="24"/>
          </w:rPr>
          <w:fldChar w:fldCharType="begin"/>
        </w:r>
        <w:r w:rsidRPr="00385BB9">
          <w:rPr>
            <w:rFonts w:ascii="宋体" w:hAnsi="宋体"/>
            <w:noProof/>
            <w:sz w:val="24"/>
          </w:rPr>
          <w:instrText xml:space="preserve"> PAGEREF _Toc228201063 \h </w:instrText>
        </w:r>
        <w:r w:rsidRPr="00385BB9">
          <w:rPr>
            <w:rFonts w:ascii="宋体" w:hAnsi="宋体"/>
            <w:noProof/>
            <w:sz w:val="24"/>
          </w:rPr>
        </w:r>
        <w:r w:rsidRPr="00385BB9">
          <w:rPr>
            <w:rFonts w:ascii="宋体" w:hAnsi="宋体"/>
            <w:noProof/>
            <w:sz w:val="24"/>
          </w:rPr>
          <w:fldChar w:fldCharType="separate"/>
        </w:r>
        <w:r w:rsidRPr="00385BB9">
          <w:rPr>
            <w:rFonts w:ascii="宋体" w:hAnsi="宋体"/>
            <w:noProof/>
            <w:sz w:val="24"/>
          </w:rPr>
          <w:t>3</w:t>
        </w:r>
        <w:r w:rsidRPr="00385BB9">
          <w:rPr>
            <w:rFonts w:ascii="宋体" w:hAnsi="宋体"/>
            <w:noProof/>
            <w:sz w:val="24"/>
          </w:rPr>
          <w:fldChar w:fldCharType="end"/>
        </w:r>
      </w:hyperlink>
    </w:p>
    <w:p w:rsidR="00385BB9" w:rsidRPr="00385BB9" w:rsidRDefault="00385BB9" w:rsidP="00385BB9">
      <w:pPr>
        <w:pStyle w:val="10"/>
        <w:tabs>
          <w:tab w:val="right" w:leader="dot" w:pos="8550"/>
        </w:tabs>
        <w:spacing w:line="360" w:lineRule="auto"/>
        <w:rPr>
          <w:rFonts w:ascii="宋体" w:hAnsi="宋体" w:cstheme="minorBidi"/>
          <w:noProof/>
          <w:sz w:val="24"/>
        </w:rPr>
      </w:pPr>
      <w:hyperlink w:anchor="_Toc228201064" w:history="1">
        <w:r w:rsidRPr="00385BB9">
          <w:rPr>
            <w:rStyle w:val="aa"/>
            <w:rFonts w:ascii="宋体" w:hAnsi="宋体" w:hint="eastAsia"/>
            <w:noProof/>
            <w:sz w:val="24"/>
          </w:rPr>
          <w:t>二、释义</w:t>
        </w:r>
        <w:r w:rsidRPr="00385BB9">
          <w:rPr>
            <w:rFonts w:ascii="宋体" w:hAnsi="宋体"/>
            <w:noProof/>
            <w:sz w:val="24"/>
          </w:rPr>
          <w:tab/>
        </w:r>
        <w:r w:rsidRPr="00385BB9">
          <w:rPr>
            <w:rFonts w:ascii="宋体" w:hAnsi="宋体"/>
            <w:noProof/>
            <w:sz w:val="24"/>
          </w:rPr>
          <w:fldChar w:fldCharType="begin"/>
        </w:r>
        <w:r w:rsidRPr="00385BB9">
          <w:rPr>
            <w:rFonts w:ascii="宋体" w:hAnsi="宋体"/>
            <w:noProof/>
            <w:sz w:val="24"/>
          </w:rPr>
          <w:instrText xml:space="preserve"> PAGEREF _Toc228201064 \h </w:instrText>
        </w:r>
        <w:r w:rsidRPr="00385BB9">
          <w:rPr>
            <w:rFonts w:ascii="宋体" w:hAnsi="宋体"/>
            <w:noProof/>
            <w:sz w:val="24"/>
          </w:rPr>
        </w:r>
        <w:r w:rsidRPr="00385BB9">
          <w:rPr>
            <w:rFonts w:ascii="宋体" w:hAnsi="宋体"/>
            <w:noProof/>
            <w:sz w:val="24"/>
          </w:rPr>
          <w:fldChar w:fldCharType="separate"/>
        </w:r>
        <w:r w:rsidRPr="00385BB9">
          <w:rPr>
            <w:rFonts w:ascii="宋体" w:hAnsi="宋体"/>
            <w:noProof/>
            <w:sz w:val="24"/>
          </w:rPr>
          <w:t>4</w:t>
        </w:r>
        <w:r w:rsidRPr="00385BB9">
          <w:rPr>
            <w:rFonts w:ascii="宋体" w:hAnsi="宋体"/>
            <w:noProof/>
            <w:sz w:val="24"/>
          </w:rPr>
          <w:fldChar w:fldCharType="end"/>
        </w:r>
      </w:hyperlink>
    </w:p>
    <w:p w:rsidR="00385BB9" w:rsidRPr="00385BB9" w:rsidRDefault="00385BB9" w:rsidP="00385BB9">
      <w:pPr>
        <w:pStyle w:val="10"/>
        <w:tabs>
          <w:tab w:val="right" w:leader="dot" w:pos="8550"/>
        </w:tabs>
        <w:spacing w:line="360" w:lineRule="auto"/>
        <w:rPr>
          <w:rFonts w:ascii="宋体" w:hAnsi="宋体" w:cstheme="minorBidi"/>
          <w:noProof/>
          <w:sz w:val="24"/>
        </w:rPr>
      </w:pPr>
      <w:hyperlink w:anchor="_Toc228201065" w:history="1">
        <w:r w:rsidRPr="00385BB9">
          <w:rPr>
            <w:rStyle w:val="aa"/>
            <w:rFonts w:ascii="宋体" w:hAnsi="宋体" w:hint="eastAsia"/>
            <w:noProof/>
            <w:sz w:val="24"/>
          </w:rPr>
          <w:t>三、基金管理人</w:t>
        </w:r>
        <w:r w:rsidRPr="00385BB9">
          <w:rPr>
            <w:rFonts w:ascii="宋体" w:hAnsi="宋体"/>
            <w:noProof/>
            <w:sz w:val="24"/>
          </w:rPr>
          <w:tab/>
        </w:r>
        <w:r w:rsidRPr="00385BB9">
          <w:rPr>
            <w:rFonts w:ascii="宋体" w:hAnsi="宋体"/>
            <w:noProof/>
            <w:sz w:val="24"/>
          </w:rPr>
          <w:fldChar w:fldCharType="begin"/>
        </w:r>
        <w:r w:rsidRPr="00385BB9">
          <w:rPr>
            <w:rFonts w:ascii="宋体" w:hAnsi="宋体"/>
            <w:noProof/>
            <w:sz w:val="24"/>
          </w:rPr>
          <w:instrText xml:space="preserve"> PAGEREF _Toc228201065 \h </w:instrText>
        </w:r>
        <w:r w:rsidRPr="00385BB9">
          <w:rPr>
            <w:rFonts w:ascii="宋体" w:hAnsi="宋体"/>
            <w:noProof/>
            <w:sz w:val="24"/>
          </w:rPr>
        </w:r>
        <w:r w:rsidRPr="00385BB9">
          <w:rPr>
            <w:rFonts w:ascii="宋体" w:hAnsi="宋体"/>
            <w:noProof/>
            <w:sz w:val="24"/>
          </w:rPr>
          <w:fldChar w:fldCharType="separate"/>
        </w:r>
        <w:r w:rsidRPr="00385BB9">
          <w:rPr>
            <w:rFonts w:ascii="宋体" w:hAnsi="宋体"/>
            <w:noProof/>
            <w:sz w:val="24"/>
          </w:rPr>
          <w:t>9</w:t>
        </w:r>
        <w:r w:rsidRPr="00385BB9">
          <w:rPr>
            <w:rFonts w:ascii="宋体" w:hAnsi="宋体"/>
            <w:noProof/>
            <w:sz w:val="24"/>
          </w:rPr>
          <w:fldChar w:fldCharType="end"/>
        </w:r>
      </w:hyperlink>
    </w:p>
    <w:p w:rsidR="00385BB9" w:rsidRPr="00385BB9" w:rsidRDefault="00385BB9" w:rsidP="00385BB9">
      <w:pPr>
        <w:pStyle w:val="10"/>
        <w:tabs>
          <w:tab w:val="right" w:leader="dot" w:pos="8550"/>
        </w:tabs>
        <w:spacing w:line="360" w:lineRule="auto"/>
        <w:rPr>
          <w:rFonts w:ascii="宋体" w:hAnsi="宋体" w:cstheme="minorBidi"/>
          <w:noProof/>
          <w:sz w:val="24"/>
        </w:rPr>
      </w:pPr>
      <w:hyperlink w:anchor="_Toc228201066" w:history="1">
        <w:r w:rsidRPr="00385BB9">
          <w:rPr>
            <w:rStyle w:val="aa"/>
            <w:rFonts w:ascii="宋体" w:hAnsi="宋体" w:hint="eastAsia"/>
            <w:noProof/>
            <w:sz w:val="24"/>
          </w:rPr>
          <w:t>四、基金托管人</w:t>
        </w:r>
        <w:r w:rsidRPr="00385BB9">
          <w:rPr>
            <w:rFonts w:ascii="宋体" w:hAnsi="宋体"/>
            <w:noProof/>
            <w:sz w:val="24"/>
          </w:rPr>
          <w:tab/>
        </w:r>
        <w:r w:rsidRPr="00385BB9">
          <w:rPr>
            <w:rFonts w:ascii="宋体" w:hAnsi="宋体"/>
            <w:noProof/>
            <w:sz w:val="24"/>
          </w:rPr>
          <w:fldChar w:fldCharType="begin"/>
        </w:r>
        <w:r w:rsidRPr="00385BB9">
          <w:rPr>
            <w:rFonts w:ascii="宋体" w:hAnsi="宋体"/>
            <w:noProof/>
            <w:sz w:val="24"/>
          </w:rPr>
          <w:instrText xml:space="preserve"> PAGEREF _Toc228201066 \h </w:instrText>
        </w:r>
        <w:r w:rsidRPr="00385BB9">
          <w:rPr>
            <w:rFonts w:ascii="宋体" w:hAnsi="宋体"/>
            <w:noProof/>
            <w:sz w:val="24"/>
          </w:rPr>
        </w:r>
        <w:r w:rsidRPr="00385BB9">
          <w:rPr>
            <w:rFonts w:ascii="宋体" w:hAnsi="宋体"/>
            <w:noProof/>
            <w:sz w:val="24"/>
          </w:rPr>
          <w:fldChar w:fldCharType="separate"/>
        </w:r>
        <w:r w:rsidRPr="00385BB9">
          <w:rPr>
            <w:rFonts w:ascii="宋体" w:hAnsi="宋体"/>
            <w:noProof/>
            <w:sz w:val="24"/>
          </w:rPr>
          <w:t>17</w:t>
        </w:r>
        <w:r w:rsidRPr="00385BB9">
          <w:rPr>
            <w:rFonts w:ascii="宋体" w:hAnsi="宋体"/>
            <w:noProof/>
            <w:sz w:val="24"/>
          </w:rPr>
          <w:fldChar w:fldCharType="end"/>
        </w:r>
      </w:hyperlink>
    </w:p>
    <w:p w:rsidR="00385BB9" w:rsidRPr="00385BB9" w:rsidRDefault="00385BB9" w:rsidP="00385BB9">
      <w:pPr>
        <w:pStyle w:val="10"/>
        <w:tabs>
          <w:tab w:val="right" w:leader="dot" w:pos="8550"/>
        </w:tabs>
        <w:spacing w:line="360" w:lineRule="auto"/>
        <w:rPr>
          <w:rFonts w:ascii="宋体" w:hAnsi="宋体" w:cstheme="minorBidi"/>
          <w:noProof/>
          <w:sz w:val="24"/>
        </w:rPr>
      </w:pPr>
      <w:hyperlink w:anchor="_Toc228201067" w:history="1">
        <w:r w:rsidRPr="00385BB9">
          <w:rPr>
            <w:rStyle w:val="aa"/>
            <w:rFonts w:ascii="宋体" w:hAnsi="宋体" w:hint="eastAsia"/>
            <w:noProof/>
            <w:sz w:val="24"/>
          </w:rPr>
          <w:t>五、相关服务机构</w:t>
        </w:r>
        <w:r w:rsidRPr="00385BB9">
          <w:rPr>
            <w:rFonts w:ascii="宋体" w:hAnsi="宋体"/>
            <w:noProof/>
            <w:sz w:val="24"/>
          </w:rPr>
          <w:tab/>
        </w:r>
        <w:r w:rsidRPr="00385BB9">
          <w:rPr>
            <w:rFonts w:ascii="宋体" w:hAnsi="宋体"/>
            <w:noProof/>
            <w:sz w:val="24"/>
          </w:rPr>
          <w:fldChar w:fldCharType="begin"/>
        </w:r>
        <w:r w:rsidRPr="00385BB9">
          <w:rPr>
            <w:rFonts w:ascii="宋体" w:hAnsi="宋体"/>
            <w:noProof/>
            <w:sz w:val="24"/>
          </w:rPr>
          <w:instrText xml:space="preserve"> PAGEREF _Toc228201067 \h </w:instrText>
        </w:r>
        <w:r w:rsidRPr="00385BB9">
          <w:rPr>
            <w:rFonts w:ascii="宋体" w:hAnsi="宋体"/>
            <w:noProof/>
            <w:sz w:val="24"/>
          </w:rPr>
        </w:r>
        <w:r w:rsidRPr="00385BB9">
          <w:rPr>
            <w:rFonts w:ascii="宋体" w:hAnsi="宋体"/>
            <w:noProof/>
            <w:sz w:val="24"/>
          </w:rPr>
          <w:fldChar w:fldCharType="separate"/>
        </w:r>
        <w:r w:rsidRPr="00385BB9">
          <w:rPr>
            <w:rFonts w:ascii="宋体" w:hAnsi="宋体"/>
            <w:noProof/>
            <w:sz w:val="24"/>
          </w:rPr>
          <w:t>21</w:t>
        </w:r>
        <w:r w:rsidRPr="00385BB9">
          <w:rPr>
            <w:rFonts w:ascii="宋体" w:hAnsi="宋体"/>
            <w:noProof/>
            <w:sz w:val="24"/>
          </w:rPr>
          <w:fldChar w:fldCharType="end"/>
        </w:r>
      </w:hyperlink>
    </w:p>
    <w:p w:rsidR="00385BB9" w:rsidRPr="00385BB9" w:rsidRDefault="00385BB9" w:rsidP="00385BB9">
      <w:pPr>
        <w:pStyle w:val="10"/>
        <w:tabs>
          <w:tab w:val="right" w:leader="dot" w:pos="8550"/>
        </w:tabs>
        <w:spacing w:line="360" w:lineRule="auto"/>
        <w:rPr>
          <w:rFonts w:ascii="宋体" w:hAnsi="宋体" w:cstheme="minorBidi"/>
          <w:noProof/>
          <w:sz w:val="24"/>
        </w:rPr>
      </w:pPr>
      <w:hyperlink w:anchor="_Toc228201068" w:history="1">
        <w:r w:rsidRPr="00385BB9">
          <w:rPr>
            <w:rStyle w:val="aa"/>
            <w:rFonts w:ascii="宋体" w:hAnsi="宋体" w:hint="eastAsia"/>
            <w:noProof/>
            <w:sz w:val="24"/>
          </w:rPr>
          <w:t>六、基金的募集</w:t>
        </w:r>
        <w:r w:rsidRPr="00385BB9">
          <w:rPr>
            <w:rFonts w:ascii="宋体" w:hAnsi="宋体"/>
            <w:noProof/>
            <w:sz w:val="24"/>
          </w:rPr>
          <w:tab/>
        </w:r>
        <w:r w:rsidRPr="00385BB9">
          <w:rPr>
            <w:rFonts w:ascii="宋体" w:hAnsi="宋体"/>
            <w:noProof/>
            <w:sz w:val="24"/>
          </w:rPr>
          <w:fldChar w:fldCharType="begin"/>
        </w:r>
        <w:r w:rsidRPr="00385BB9">
          <w:rPr>
            <w:rFonts w:ascii="宋体" w:hAnsi="宋体"/>
            <w:noProof/>
            <w:sz w:val="24"/>
          </w:rPr>
          <w:instrText xml:space="preserve"> PAGEREF _Toc228201068 \h </w:instrText>
        </w:r>
        <w:r w:rsidRPr="00385BB9">
          <w:rPr>
            <w:rFonts w:ascii="宋体" w:hAnsi="宋体"/>
            <w:noProof/>
            <w:sz w:val="24"/>
          </w:rPr>
        </w:r>
        <w:r w:rsidRPr="00385BB9">
          <w:rPr>
            <w:rFonts w:ascii="宋体" w:hAnsi="宋体"/>
            <w:noProof/>
            <w:sz w:val="24"/>
          </w:rPr>
          <w:fldChar w:fldCharType="separate"/>
        </w:r>
        <w:r w:rsidRPr="00385BB9">
          <w:rPr>
            <w:rFonts w:ascii="宋体" w:hAnsi="宋体"/>
            <w:noProof/>
            <w:sz w:val="24"/>
          </w:rPr>
          <w:t>56</w:t>
        </w:r>
        <w:r w:rsidRPr="00385BB9">
          <w:rPr>
            <w:rFonts w:ascii="宋体" w:hAnsi="宋体"/>
            <w:noProof/>
            <w:sz w:val="24"/>
          </w:rPr>
          <w:fldChar w:fldCharType="end"/>
        </w:r>
      </w:hyperlink>
    </w:p>
    <w:p w:rsidR="00385BB9" w:rsidRPr="00385BB9" w:rsidRDefault="00385BB9" w:rsidP="00385BB9">
      <w:pPr>
        <w:pStyle w:val="10"/>
        <w:tabs>
          <w:tab w:val="right" w:leader="dot" w:pos="8550"/>
        </w:tabs>
        <w:spacing w:line="360" w:lineRule="auto"/>
        <w:rPr>
          <w:rFonts w:ascii="宋体" w:hAnsi="宋体" w:cstheme="minorBidi"/>
          <w:noProof/>
          <w:sz w:val="24"/>
        </w:rPr>
      </w:pPr>
      <w:hyperlink w:anchor="_Toc228201069" w:history="1">
        <w:r w:rsidRPr="00385BB9">
          <w:rPr>
            <w:rStyle w:val="aa"/>
            <w:rFonts w:ascii="宋体" w:hAnsi="宋体" w:hint="eastAsia"/>
            <w:noProof/>
            <w:sz w:val="24"/>
          </w:rPr>
          <w:t>七、基金合同的生效</w:t>
        </w:r>
        <w:r w:rsidRPr="00385BB9">
          <w:rPr>
            <w:rFonts w:ascii="宋体" w:hAnsi="宋体"/>
            <w:noProof/>
            <w:sz w:val="24"/>
          </w:rPr>
          <w:tab/>
        </w:r>
        <w:r w:rsidRPr="00385BB9">
          <w:rPr>
            <w:rFonts w:ascii="宋体" w:hAnsi="宋体"/>
            <w:noProof/>
            <w:sz w:val="24"/>
          </w:rPr>
          <w:fldChar w:fldCharType="begin"/>
        </w:r>
        <w:r w:rsidRPr="00385BB9">
          <w:rPr>
            <w:rFonts w:ascii="宋体" w:hAnsi="宋体"/>
            <w:noProof/>
            <w:sz w:val="24"/>
          </w:rPr>
          <w:instrText xml:space="preserve"> PAGEREF _Toc228201069 \h </w:instrText>
        </w:r>
        <w:r w:rsidRPr="00385BB9">
          <w:rPr>
            <w:rFonts w:ascii="宋体" w:hAnsi="宋体"/>
            <w:noProof/>
            <w:sz w:val="24"/>
          </w:rPr>
        </w:r>
        <w:r w:rsidRPr="00385BB9">
          <w:rPr>
            <w:rFonts w:ascii="宋体" w:hAnsi="宋体"/>
            <w:noProof/>
            <w:sz w:val="24"/>
          </w:rPr>
          <w:fldChar w:fldCharType="separate"/>
        </w:r>
        <w:r w:rsidRPr="00385BB9">
          <w:rPr>
            <w:rFonts w:ascii="宋体" w:hAnsi="宋体"/>
            <w:noProof/>
            <w:sz w:val="24"/>
          </w:rPr>
          <w:t>57</w:t>
        </w:r>
        <w:r w:rsidRPr="00385BB9">
          <w:rPr>
            <w:rFonts w:ascii="宋体" w:hAnsi="宋体"/>
            <w:noProof/>
            <w:sz w:val="24"/>
          </w:rPr>
          <w:fldChar w:fldCharType="end"/>
        </w:r>
      </w:hyperlink>
    </w:p>
    <w:p w:rsidR="00385BB9" w:rsidRPr="00385BB9" w:rsidRDefault="00385BB9" w:rsidP="00385BB9">
      <w:pPr>
        <w:pStyle w:val="10"/>
        <w:tabs>
          <w:tab w:val="right" w:leader="dot" w:pos="8550"/>
        </w:tabs>
        <w:spacing w:line="360" w:lineRule="auto"/>
        <w:rPr>
          <w:rFonts w:ascii="宋体" w:hAnsi="宋体" w:cstheme="minorBidi"/>
          <w:noProof/>
          <w:sz w:val="24"/>
        </w:rPr>
      </w:pPr>
      <w:hyperlink w:anchor="_Toc228201070" w:history="1">
        <w:r w:rsidRPr="00385BB9">
          <w:rPr>
            <w:rStyle w:val="aa"/>
            <w:rFonts w:ascii="宋体" w:hAnsi="宋体" w:hint="eastAsia"/>
            <w:noProof/>
            <w:sz w:val="24"/>
          </w:rPr>
          <w:t>八、基金份额的申购与赎回</w:t>
        </w:r>
        <w:r w:rsidRPr="00385BB9">
          <w:rPr>
            <w:rFonts w:ascii="宋体" w:hAnsi="宋体"/>
            <w:noProof/>
            <w:sz w:val="24"/>
          </w:rPr>
          <w:tab/>
        </w:r>
        <w:r w:rsidRPr="00385BB9">
          <w:rPr>
            <w:rFonts w:ascii="宋体" w:hAnsi="宋体"/>
            <w:noProof/>
            <w:sz w:val="24"/>
          </w:rPr>
          <w:fldChar w:fldCharType="begin"/>
        </w:r>
        <w:r w:rsidRPr="00385BB9">
          <w:rPr>
            <w:rFonts w:ascii="宋体" w:hAnsi="宋体"/>
            <w:noProof/>
            <w:sz w:val="24"/>
          </w:rPr>
          <w:instrText xml:space="preserve"> PAGEREF _Toc228201070 \h </w:instrText>
        </w:r>
        <w:r w:rsidRPr="00385BB9">
          <w:rPr>
            <w:rFonts w:ascii="宋体" w:hAnsi="宋体"/>
            <w:noProof/>
            <w:sz w:val="24"/>
          </w:rPr>
        </w:r>
        <w:r w:rsidRPr="00385BB9">
          <w:rPr>
            <w:rFonts w:ascii="宋体" w:hAnsi="宋体"/>
            <w:noProof/>
            <w:sz w:val="24"/>
          </w:rPr>
          <w:fldChar w:fldCharType="separate"/>
        </w:r>
        <w:r w:rsidRPr="00385BB9">
          <w:rPr>
            <w:rFonts w:ascii="宋体" w:hAnsi="宋体"/>
            <w:noProof/>
            <w:sz w:val="24"/>
          </w:rPr>
          <w:t>58</w:t>
        </w:r>
        <w:r w:rsidRPr="00385BB9">
          <w:rPr>
            <w:rFonts w:ascii="宋体" w:hAnsi="宋体"/>
            <w:noProof/>
            <w:sz w:val="24"/>
          </w:rPr>
          <w:fldChar w:fldCharType="end"/>
        </w:r>
      </w:hyperlink>
    </w:p>
    <w:p w:rsidR="00385BB9" w:rsidRPr="00385BB9" w:rsidRDefault="00385BB9" w:rsidP="00385BB9">
      <w:pPr>
        <w:pStyle w:val="10"/>
        <w:tabs>
          <w:tab w:val="right" w:leader="dot" w:pos="8550"/>
        </w:tabs>
        <w:spacing w:line="360" w:lineRule="auto"/>
        <w:rPr>
          <w:rFonts w:ascii="宋体" w:hAnsi="宋体" w:cstheme="minorBidi"/>
          <w:noProof/>
          <w:sz w:val="24"/>
        </w:rPr>
      </w:pPr>
      <w:hyperlink w:anchor="_Toc228201071" w:history="1">
        <w:r w:rsidRPr="00385BB9">
          <w:rPr>
            <w:rStyle w:val="aa"/>
            <w:rFonts w:ascii="宋体" w:hAnsi="宋体" w:hint="eastAsia"/>
            <w:noProof/>
            <w:sz w:val="24"/>
          </w:rPr>
          <w:t>九、基金的转换</w:t>
        </w:r>
        <w:r w:rsidRPr="00385BB9">
          <w:rPr>
            <w:rFonts w:ascii="宋体" w:hAnsi="宋体"/>
            <w:noProof/>
            <w:sz w:val="24"/>
          </w:rPr>
          <w:tab/>
        </w:r>
        <w:r w:rsidRPr="00385BB9">
          <w:rPr>
            <w:rFonts w:ascii="宋体" w:hAnsi="宋体"/>
            <w:noProof/>
            <w:sz w:val="24"/>
          </w:rPr>
          <w:fldChar w:fldCharType="begin"/>
        </w:r>
        <w:r w:rsidRPr="00385BB9">
          <w:rPr>
            <w:rFonts w:ascii="宋体" w:hAnsi="宋体"/>
            <w:noProof/>
            <w:sz w:val="24"/>
          </w:rPr>
          <w:instrText xml:space="preserve"> PAGEREF _Toc228201071 \h </w:instrText>
        </w:r>
        <w:r w:rsidRPr="00385BB9">
          <w:rPr>
            <w:rFonts w:ascii="宋体" w:hAnsi="宋体"/>
            <w:noProof/>
            <w:sz w:val="24"/>
          </w:rPr>
        </w:r>
        <w:r w:rsidRPr="00385BB9">
          <w:rPr>
            <w:rFonts w:ascii="宋体" w:hAnsi="宋体"/>
            <w:noProof/>
            <w:sz w:val="24"/>
          </w:rPr>
          <w:fldChar w:fldCharType="separate"/>
        </w:r>
        <w:r w:rsidRPr="00385BB9">
          <w:rPr>
            <w:rFonts w:ascii="宋体" w:hAnsi="宋体"/>
            <w:noProof/>
            <w:sz w:val="24"/>
          </w:rPr>
          <w:t>72</w:t>
        </w:r>
        <w:r w:rsidRPr="00385BB9">
          <w:rPr>
            <w:rFonts w:ascii="宋体" w:hAnsi="宋体"/>
            <w:noProof/>
            <w:sz w:val="24"/>
          </w:rPr>
          <w:fldChar w:fldCharType="end"/>
        </w:r>
      </w:hyperlink>
    </w:p>
    <w:p w:rsidR="00385BB9" w:rsidRPr="00385BB9" w:rsidRDefault="00385BB9" w:rsidP="00385BB9">
      <w:pPr>
        <w:pStyle w:val="10"/>
        <w:tabs>
          <w:tab w:val="right" w:leader="dot" w:pos="8550"/>
        </w:tabs>
        <w:spacing w:line="360" w:lineRule="auto"/>
        <w:rPr>
          <w:rFonts w:ascii="宋体" w:hAnsi="宋体" w:cstheme="minorBidi"/>
          <w:noProof/>
          <w:sz w:val="24"/>
        </w:rPr>
      </w:pPr>
      <w:hyperlink w:anchor="_Toc228201072" w:history="1">
        <w:r w:rsidRPr="00385BB9">
          <w:rPr>
            <w:rStyle w:val="aa"/>
            <w:rFonts w:ascii="宋体" w:hAnsi="宋体" w:hint="eastAsia"/>
            <w:noProof/>
            <w:sz w:val="24"/>
          </w:rPr>
          <w:t>十、基金的投资</w:t>
        </w:r>
        <w:r w:rsidRPr="00385BB9">
          <w:rPr>
            <w:rFonts w:ascii="宋体" w:hAnsi="宋体"/>
            <w:noProof/>
            <w:sz w:val="24"/>
          </w:rPr>
          <w:tab/>
        </w:r>
        <w:r w:rsidRPr="00385BB9">
          <w:rPr>
            <w:rFonts w:ascii="宋体" w:hAnsi="宋体"/>
            <w:noProof/>
            <w:sz w:val="24"/>
          </w:rPr>
          <w:fldChar w:fldCharType="begin"/>
        </w:r>
        <w:r w:rsidRPr="00385BB9">
          <w:rPr>
            <w:rFonts w:ascii="宋体" w:hAnsi="宋体"/>
            <w:noProof/>
            <w:sz w:val="24"/>
          </w:rPr>
          <w:instrText xml:space="preserve"> PAGEREF _Toc228201072 \h </w:instrText>
        </w:r>
        <w:r w:rsidRPr="00385BB9">
          <w:rPr>
            <w:rFonts w:ascii="宋体" w:hAnsi="宋体"/>
            <w:noProof/>
            <w:sz w:val="24"/>
          </w:rPr>
        </w:r>
        <w:r w:rsidRPr="00385BB9">
          <w:rPr>
            <w:rFonts w:ascii="宋体" w:hAnsi="宋体"/>
            <w:noProof/>
            <w:sz w:val="24"/>
          </w:rPr>
          <w:fldChar w:fldCharType="separate"/>
        </w:r>
        <w:r w:rsidRPr="00385BB9">
          <w:rPr>
            <w:rFonts w:ascii="宋体" w:hAnsi="宋体"/>
            <w:noProof/>
            <w:sz w:val="24"/>
          </w:rPr>
          <w:t>79</w:t>
        </w:r>
        <w:r w:rsidRPr="00385BB9">
          <w:rPr>
            <w:rFonts w:ascii="宋体" w:hAnsi="宋体"/>
            <w:noProof/>
            <w:sz w:val="24"/>
          </w:rPr>
          <w:fldChar w:fldCharType="end"/>
        </w:r>
      </w:hyperlink>
    </w:p>
    <w:p w:rsidR="00385BB9" w:rsidRPr="00385BB9" w:rsidRDefault="00385BB9" w:rsidP="00385BB9">
      <w:pPr>
        <w:pStyle w:val="10"/>
        <w:tabs>
          <w:tab w:val="right" w:leader="dot" w:pos="8550"/>
        </w:tabs>
        <w:spacing w:line="360" w:lineRule="auto"/>
        <w:rPr>
          <w:rFonts w:ascii="宋体" w:hAnsi="宋体" w:cstheme="minorBidi"/>
          <w:noProof/>
          <w:sz w:val="24"/>
        </w:rPr>
      </w:pPr>
      <w:hyperlink w:anchor="_Toc228201073" w:history="1">
        <w:r w:rsidRPr="00385BB9">
          <w:rPr>
            <w:rStyle w:val="aa"/>
            <w:rFonts w:ascii="宋体" w:hAnsi="宋体" w:hint="eastAsia"/>
            <w:noProof/>
            <w:sz w:val="24"/>
          </w:rPr>
          <w:t>十一、基金的业绩</w:t>
        </w:r>
        <w:r w:rsidRPr="00385BB9">
          <w:rPr>
            <w:rFonts w:ascii="宋体" w:hAnsi="宋体"/>
            <w:noProof/>
            <w:sz w:val="24"/>
          </w:rPr>
          <w:tab/>
        </w:r>
        <w:r w:rsidRPr="00385BB9">
          <w:rPr>
            <w:rFonts w:ascii="宋体" w:hAnsi="宋体"/>
            <w:noProof/>
            <w:sz w:val="24"/>
          </w:rPr>
          <w:fldChar w:fldCharType="begin"/>
        </w:r>
        <w:r w:rsidRPr="00385BB9">
          <w:rPr>
            <w:rFonts w:ascii="宋体" w:hAnsi="宋体"/>
            <w:noProof/>
            <w:sz w:val="24"/>
          </w:rPr>
          <w:instrText xml:space="preserve"> PAGEREF _Toc228201073 \h </w:instrText>
        </w:r>
        <w:r w:rsidRPr="00385BB9">
          <w:rPr>
            <w:rFonts w:ascii="宋体" w:hAnsi="宋体"/>
            <w:noProof/>
            <w:sz w:val="24"/>
          </w:rPr>
        </w:r>
        <w:r w:rsidRPr="00385BB9">
          <w:rPr>
            <w:rFonts w:ascii="宋体" w:hAnsi="宋体"/>
            <w:noProof/>
            <w:sz w:val="24"/>
          </w:rPr>
          <w:fldChar w:fldCharType="separate"/>
        </w:r>
        <w:r w:rsidRPr="00385BB9">
          <w:rPr>
            <w:rFonts w:ascii="宋体" w:hAnsi="宋体"/>
            <w:noProof/>
            <w:sz w:val="24"/>
          </w:rPr>
          <w:t>89</w:t>
        </w:r>
        <w:r w:rsidRPr="00385BB9">
          <w:rPr>
            <w:rFonts w:ascii="宋体" w:hAnsi="宋体"/>
            <w:noProof/>
            <w:sz w:val="24"/>
          </w:rPr>
          <w:fldChar w:fldCharType="end"/>
        </w:r>
      </w:hyperlink>
    </w:p>
    <w:p w:rsidR="00385BB9" w:rsidRPr="00385BB9" w:rsidRDefault="00385BB9" w:rsidP="00385BB9">
      <w:pPr>
        <w:pStyle w:val="10"/>
        <w:tabs>
          <w:tab w:val="right" w:leader="dot" w:pos="8550"/>
        </w:tabs>
        <w:spacing w:line="360" w:lineRule="auto"/>
        <w:rPr>
          <w:rFonts w:ascii="宋体" w:hAnsi="宋体" w:cstheme="minorBidi"/>
          <w:noProof/>
          <w:sz w:val="24"/>
        </w:rPr>
      </w:pPr>
      <w:hyperlink w:anchor="_Toc228201074" w:history="1">
        <w:r w:rsidRPr="00385BB9">
          <w:rPr>
            <w:rStyle w:val="aa"/>
            <w:rFonts w:ascii="宋体" w:hAnsi="宋体" w:hint="eastAsia"/>
            <w:noProof/>
            <w:sz w:val="24"/>
          </w:rPr>
          <w:t>十二、基金的财产</w:t>
        </w:r>
        <w:r w:rsidRPr="00385BB9">
          <w:rPr>
            <w:rFonts w:ascii="宋体" w:hAnsi="宋体"/>
            <w:noProof/>
            <w:sz w:val="24"/>
          </w:rPr>
          <w:tab/>
        </w:r>
        <w:r w:rsidRPr="00385BB9">
          <w:rPr>
            <w:rFonts w:ascii="宋体" w:hAnsi="宋体"/>
            <w:noProof/>
            <w:sz w:val="24"/>
          </w:rPr>
          <w:fldChar w:fldCharType="begin"/>
        </w:r>
        <w:r w:rsidRPr="00385BB9">
          <w:rPr>
            <w:rFonts w:ascii="宋体" w:hAnsi="宋体"/>
            <w:noProof/>
            <w:sz w:val="24"/>
          </w:rPr>
          <w:instrText xml:space="preserve"> PAGEREF _Toc228201074 \h </w:instrText>
        </w:r>
        <w:r w:rsidRPr="00385BB9">
          <w:rPr>
            <w:rFonts w:ascii="宋体" w:hAnsi="宋体"/>
            <w:noProof/>
            <w:sz w:val="24"/>
          </w:rPr>
        </w:r>
        <w:r w:rsidRPr="00385BB9">
          <w:rPr>
            <w:rFonts w:ascii="宋体" w:hAnsi="宋体"/>
            <w:noProof/>
            <w:sz w:val="24"/>
          </w:rPr>
          <w:fldChar w:fldCharType="separate"/>
        </w:r>
        <w:r w:rsidRPr="00385BB9">
          <w:rPr>
            <w:rFonts w:ascii="宋体" w:hAnsi="宋体"/>
            <w:noProof/>
            <w:sz w:val="24"/>
          </w:rPr>
          <w:t>92</w:t>
        </w:r>
        <w:r w:rsidRPr="00385BB9">
          <w:rPr>
            <w:rFonts w:ascii="宋体" w:hAnsi="宋体"/>
            <w:noProof/>
            <w:sz w:val="24"/>
          </w:rPr>
          <w:fldChar w:fldCharType="end"/>
        </w:r>
      </w:hyperlink>
    </w:p>
    <w:p w:rsidR="00385BB9" w:rsidRPr="00385BB9" w:rsidRDefault="00385BB9" w:rsidP="00385BB9">
      <w:pPr>
        <w:pStyle w:val="10"/>
        <w:tabs>
          <w:tab w:val="right" w:leader="dot" w:pos="8550"/>
        </w:tabs>
        <w:spacing w:line="360" w:lineRule="auto"/>
        <w:rPr>
          <w:rFonts w:ascii="宋体" w:hAnsi="宋体" w:cstheme="minorBidi"/>
          <w:noProof/>
          <w:sz w:val="24"/>
        </w:rPr>
      </w:pPr>
      <w:hyperlink w:anchor="_Toc228201075" w:history="1">
        <w:r w:rsidRPr="00385BB9">
          <w:rPr>
            <w:rStyle w:val="aa"/>
            <w:rFonts w:ascii="宋体" w:hAnsi="宋体" w:hint="eastAsia"/>
            <w:noProof/>
            <w:sz w:val="24"/>
          </w:rPr>
          <w:t>十三、基金资产的估值</w:t>
        </w:r>
        <w:r w:rsidRPr="00385BB9">
          <w:rPr>
            <w:rFonts w:ascii="宋体" w:hAnsi="宋体"/>
            <w:noProof/>
            <w:sz w:val="24"/>
          </w:rPr>
          <w:tab/>
        </w:r>
        <w:r w:rsidRPr="00385BB9">
          <w:rPr>
            <w:rFonts w:ascii="宋体" w:hAnsi="宋体"/>
            <w:noProof/>
            <w:sz w:val="24"/>
          </w:rPr>
          <w:fldChar w:fldCharType="begin"/>
        </w:r>
        <w:r w:rsidRPr="00385BB9">
          <w:rPr>
            <w:rFonts w:ascii="宋体" w:hAnsi="宋体"/>
            <w:noProof/>
            <w:sz w:val="24"/>
          </w:rPr>
          <w:instrText xml:space="preserve"> PAGEREF _Toc228201075 \h </w:instrText>
        </w:r>
        <w:r w:rsidRPr="00385BB9">
          <w:rPr>
            <w:rFonts w:ascii="宋体" w:hAnsi="宋体"/>
            <w:noProof/>
            <w:sz w:val="24"/>
          </w:rPr>
        </w:r>
        <w:r w:rsidRPr="00385BB9">
          <w:rPr>
            <w:rFonts w:ascii="宋体" w:hAnsi="宋体"/>
            <w:noProof/>
            <w:sz w:val="24"/>
          </w:rPr>
          <w:fldChar w:fldCharType="separate"/>
        </w:r>
        <w:r w:rsidRPr="00385BB9">
          <w:rPr>
            <w:rFonts w:ascii="宋体" w:hAnsi="宋体"/>
            <w:noProof/>
            <w:sz w:val="24"/>
          </w:rPr>
          <w:t>93</w:t>
        </w:r>
        <w:r w:rsidRPr="00385BB9">
          <w:rPr>
            <w:rFonts w:ascii="宋体" w:hAnsi="宋体"/>
            <w:noProof/>
            <w:sz w:val="24"/>
          </w:rPr>
          <w:fldChar w:fldCharType="end"/>
        </w:r>
      </w:hyperlink>
    </w:p>
    <w:p w:rsidR="00385BB9" w:rsidRPr="00385BB9" w:rsidRDefault="00385BB9" w:rsidP="00385BB9">
      <w:pPr>
        <w:pStyle w:val="10"/>
        <w:tabs>
          <w:tab w:val="right" w:leader="dot" w:pos="8550"/>
        </w:tabs>
        <w:spacing w:line="360" w:lineRule="auto"/>
        <w:rPr>
          <w:rFonts w:ascii="宋体" w:hAnsi="宋体" w:cstheme="minorBidi"/>
          <w:noProof/>
          <w:sz w:val="24"/>
        </w:rPr>
      </w:pPr>
      <w:hyperlink w:anchor="_Toc228201076" w:history="1">
        <w:r w:rsidRPr="00385BB9">
          <w:rPr>
            <w:rStyle w:val="aa"/>
            <w:rFonts w:ascii="宋体" w:hAnsi="宋体" w:hint="eastAsia"/>
            <w:noProof/>
            <w:sz w:val="24"/>
          </w:rPr>
          <w:t>十四、基金的收益与分配</w:t>
        </w:r>
        <w:r w:rsidRPr="00385BB9">
          <w:rPr>
            <w:rFonts w:ascii="宋体" w:hAnsi="宋体"/>
            <w:noProof/>
            <w:sz w:val="24"/>
          </w:rPr>
          <w:tab/>
        </w:r>
        <w:r w:rsidRPr="00385BB9">
          <w:rPr>
            <w:rFonts w:ascii="宋体" w:hAnsi="宋体"/>
            <w:noProof/>
            <w:sz w:val="24"/>
          </w:rPr>
          <w:fldChar w:fldCharType="begin"/>
        </w:r>
        <w:r w:rsidRPr="00385BB9">
          <w:rPr>
            <w:rFonts w:ascii="宋体" w:hAnsi="宋体"/>
            <w:noProof/>
            <w:sz w:val="24"/>
          </w:rPr>
          <w:instrText xml:space="preserve"> PAGEREF _Toc228201076 \h </w:instrText>
        </w:r>
        <w:r w:rsidRPr="00385BB9">
          <w:rPr>
            <w:rFonts w:ascii="宋体" w:hAnsi="宋体"/>
            <w:noProof/>
            <w:sz w:val="24"/>
          </w:rPr>
        </w:r>
        <w:r w:rsidRPr="00385BB9">
          <w:rPr>
            <w:rFonts w:ascii="宋体" w:hAnsi="宋体"/>
            <w:noProof/>
            <w:sz w:val="24"/>
          </w:rPr>
          <w:fldChar w:fldCharType="separate"/>
        </w:r>
        <w:r w:rsidRPr="00385BB9">
          <w:rPr>
            <w:rFonts w:ascii="宋体" w:hAnsi="宋体"/>
            <w:noProof/>
            <w:sz w:val="24"/>
          </w:rPr>
          <w:t>98</w:t>
        </w:r>
        <w:r w:rsidRPr="00385BB9">
          <w:rPr>
            <w:rFonts w:ascii="宋体" w:hAnsi="宋体"/>
            <w:noProof/>
            <w:sz w:val="24"/>
          </w:rPr>
          <w:fldChar w:fldCharType="end"/>
        </w:r>
      </w:hyperlink>
    </w:p>
    <w:p w:rsidR="00385BB9" w:rsidRPr="00385BB9" w:rsidRDefault="00385BB9" w:rsidP="00385BB9">
      <w:pPr>
        <w:pStyle w:val="10"/>
        <w:tabs>
          <w:tab w:val="right" w:leader="dot" w:pos="8550"/>
        </w:tabs>
        <w:spacing w:line="360" w:lineRule="auto"/>
        <w:rPr>
          <w:rFonts w:ascii="宋体" w:hAnsi="宋体" w:cstheme="minorBidi"/>
          <w:noProof/>
          <w:sz w:val="24"/>
        </w:rPr>
      </w:pPr>
      <w:hyperlink w:anchor="_Toc228201077" w:history="1">
        <w:r w:rsidRPr="00385BB9">
          <w:rPr>
            <w:rStyle w:val="aa"/>
            <w:rFonts w:ascii="宋体" w:hAnsi="宋体" w:hint="eastAsia"/>
            <w:noProof/>
            <w:sz w:val="24"/>
          </w:rPr>
          <w:t>十五、基金的费用与税收</w:t>
        </w:r>
        <w:r w:rsidRPr="00385BB9">
          <w:rPr>
            <w:rFonts w:ascii="宋体" w:hAnsi="宋体"/>
            <w:noProof/>
            <w:sz w:val="24"/>
          </w:rPr>
          <w:tab/>
        </w:r>
        <w:r w:rsidRPr="00385BB9">
          <w:rPr>
            <w:rFonts w:ascii="宋体" w:hAnsi="宋体"/>
            <w:noProof/>
            <w:sz w:val="24"/>
          </w:rPr>
          <w:fldChar w:fldCharType="begin"/>
        </w:r>
        <w:r w:rsidRPr="00385BB9">
          <w:rPr>
            <w:rFonts w:ascii="宋体" w:hAnsi="宋体"/>
            <w:noProof/>
            <w:sz w:val="24"/>
          </w:rPr>
          <w:instrText xml:space="preserve"> PAGEREF _Toc228201077 \h </w:instrText>
        </w:r>
        <w:r w:rsidRPr="00385BB9">
          <w:rPr>
            <w:rFonts w:ascii="宋体" w:hAnsi="宋体"/>
            <w:noProof/>
            <w:sz w:val="24"/>
          </w:rPr>
        </w:r>
        <w:r w:rsidRPr="00385BB9">
          <w:rPr>
            <w:rFonts w:ascii="宋体" w:hAnsi="宋体"/>
            <w:noProof/>
            <w:sz w:val="24"/>
          </w:rPr>
          <w:fldChar w:fldCharType="separate"/>
        </w:r>
        <w:r w:rsidRPr="00385BB9">
          <w:rPr>
            <w:rFonts w:ascii="宋体" w:hAnsi="宋体"/>
            <w:noProof/>
            <w:sz w:val="24"/>
          </w:rPr>
          <w:t>100</w:t>
        </w:r>
        <w:r w:rsidRPr="00385BB9">
          <w:rPr>
            <w:rFonts w:ascii="宋体" w:hAnsi="宋体"/>
            <w:noProof/>
            <w:sz w:val="24"/>
          </w:rPr>
          <w:fldChar w:fldCharType="end"/>
        </w:r>
      </w:hyperlink>
    </w:p>
    <w:p w:rsidR="00385BB9" w:rsidRPr="00385BB9" w:rsidRDefault="00385BB9" w:rsidP="00385BB9">
      <w:pPr>
        <w:pStyle w:val="10"/>
        <w:tabs>
          <w:tab w:val="right" w:leader="dot" w:pos="8550"/>
        </w:tabs>
        <w:spacing w:line="360" w:lineRule="auto"/>
        <w:rPr>
          <w:rFonts w:ascii="宋体" w:hAnsi="宋体" w:cstheme="minorBidi"/>
          <w:noProof/>
          <w:sz w:val="24"/>
        </w:rPr>
      </w:pPr>
      <w:hyperlink w:anchor="_Toc228201078" w:history="1">
        <w:r w:rsidRPr="00385BB9">
          <w:rPr>
            <w:rStyle w:val="aa"/>
            <w:rFonts w:ascii="宋体" w:hAnsi="宋体" w:hint="eastAsia"/>
            <w:noProof/>
            <w:sz w:val="24"/>
          </w:rPr>
          <w:t>十六、基金的会计与审计</w:t>
        </w:r>
        <w:r w:rsidRPr="00385BB9">
          <w:rPr>
            <w:rFonts w:ascii="宋体" w:hAnsi="宋体"/>
            <w:noProof/>
            <w:sz w:val="24"/>
          </w:rPr>
          <w:tab/>
        </w:r>
        <w:r w:rsidRPr="00385BB9">
          <w:rPr>
            <w:rFonts w:ascii="宋体" w:hAnsi="宋体"/>
            <w:noProof/>
            <w:sz w:val="24"/>
          </w:rPr>
          <w:fldChar w:fldCharType="begin"/>
        </w:r>
        <w:r w:rsidRPr="00385BB9">
          <w:rPr>
            <w:rFonts w:ascii="宋体" w:hAnsi="宋体"/>
            <w:noProof/>
            <w:sz w:val="24"/>
          </w:rPr>
          <w:instrText xml:space="preserve"> PAGEREF _Toc228201078 \h </w:instrText>
        </w:r>
        <w:r w:rsidRPr="00385BB9">
          <w:rPr>
            <w:rFonts w:ascii="宋体" w:hAnsi="宋体"/>
            <w:noProof/>
            <w:sz w:val="24"/>
          </w:rPr>
        </w:r>
        <w:r w:rsidRPr="00385BB9">
          <w:rPr>
            <w:rFonts w:ascii="宋体" w:hAnsi="宋体"/>
            <w:noProof/>
            <w:sz w:val="24"/>
          </w:rPr>
          <w:fldChar w:fldCharType="separate"/>
        </w:r>
        <w:r w:rsidRPr="00385BB9">
          <w:rPr>
            <w:rFonts w:ascii="宋体" w:hAnsi="宋体"/>
            <w:noProof/>
            <w:sz w:val="24"/>
          </w:rPr>
          <w:t>103</w:t>
        </w:r>
        <w:r w:rsidRPr="00385BB9">
          <w:rPr>
            <w:rFonts w:ascii="宋体" w:hAnsi="宋体"/>
            <w:noProof/>
            <w:sz w:val="24"/>
          </w:rPr>
          <w:fldChar w:fldCharType="end"/>
        </w:r>
      </w:hyperlink>
    </w:p>
    <w:p w:rsidR="00385BB9" w:rsidRPr="00385BB9" w:rsidRDefault="00385BB9" w:rsidP="00385BB9">
      <w:pPr>
        <w:pStyle w:val="10"/>
        <w:tabs>
          <w:tab w:val="right" w:leader="dot" w:pos="8550"/>
        </w:tabs>
        <w:spacing w:line="360" w:lineRule="auto"/>
        <w:rPr>
          <w:rFonts w:ascii="宋体" w:hAnsi="宋体" w:cstheme="minorBidi"/>
          <w:noProof/>
          <w:sz w:val="24"/>
        </w:rPr>
      </w:pPr>
      <w:hyperlink w:anchor="_Toc228201079" w:history="1">
        <w:r w:rsidRPr="00385BB9">
          <w:rPr>
            <w:rStyle w:val="aa"/>
            <w:rFonts w:ascii="宋体" w:hAnsi="宋体" w:hint="eastAsia"/>
            <w:noProof/>
            <w:sz w:val="24"/>
          </w:rPr>
          <w:t>十七、基金的信息披露</w:t>
        </w:r>
        <w:r w:rsidRPr="00385BB9">
          <w:rPr>
            <w:rFonts w:ascii="宋体" w:hAnsi="宋体"/>
            <w:noProof/>
            <w:sz w:val="24"/>
          </w:rPr>
          <w:tab/>
        </w:r>
        <w:r w:rsidRPr="00385BB9">
          <w:rPr>
            <w:rFonts w:ascii="宋体" w:hAnsi="宋体"/>
            <w:noProof/>
            <w:sz w:val="24"/>
          </w:rPr>
          <w:fldChar w:fldCharType="begin"/>
        </w:r>
        <w:r w:rsidRPr="00385BB9">
          <w:rPr>
            <w:rFonts w:ascii="宋体" w:hAnsi="宋体"/>
            <w:noProof/>
            <w:sz w:val="24"/>
          </w:rPr>
          <w:instrText xml:space="preserve"> PAGEREF _Toc228201079 \h </w:instrText>
        </w:r>
        <w:r w:rsidRPr="00385BB9">
          <w:rPr>
            <w:rFonts w:ascii="宋体" w:hAnsi="宋体"/>
            <w:noProof/>
            <w:sz w:val="24"/>
          </w:rPr>
        </w:r>
        <w:r w:rsidRPr="00385BB9">
          <w:rPr>
            <w:rFonts w:ascii="宋体" w:hAnsi="宋体"/>
            <w:noProof/>
            <w:sz w:val="24"/>
          </w:rPr>
          <w:fldChar w:fldCharType="separate"/>
        </w:r>
        <w:r w:rsidRPr="00385BB9">
          <w:rPr>
            <w:rFonts w:ascii="宋体" w:hAnsi="宋体"/>
            <w:noProof/>
            <w:sz w:val="24"/>
          </w:rPr>
          <w:t>104</w:t>
        </w:r>
        <w:r w:rsidRPr="00385BB9">
          <w:rPr>
            <w:rFonts w:ascii="宋体" w:hAnsi="宋体"/>
            <w:noProof/>
            <w:sz w:val="24"/>
          </w:rPr>
          <w:fldChar w:fldCharType="end"/>
        </w:r>
      </w:hyperlink>
    </w:p>
    <w:p w:rsidR="00385BB9" w:rsidRPr="00385BB9" w:rsidRDefault="00385BB9" w:rsidP="00385BB9">
      <w:pPr>
        <w:pStyle w:val="10"/>
        <w:tabs>
          <w:tab w:val="right" w:leader="dot" w:pos="8550"/>
        </w:tabs>
        <w:spacing w:line="360" w:lineRule="auto"/>
        <w:rPr>
          <w:rFonts w:ascii="宋体" w:hAnsi="宋体" w:cstheme="minorBidi"/>
          <w:noProof/>
          <w:sz w:val="24"/>
        </w:rPr>
      </w:pPr>
      <w:hyperlink w:anchor="_Toc228201080" w:history="1">
        <w:r w:rsidRPr="00385BB9">
          <w:rPr>
            <w:rStyle w:val="aa"/>
            <w:rFonts w:ascii="宋体" w:hAnsi="宋体" w:hint="eastAsia"/>
            <w:noProof/>
            <w:sz w:val="24"/>
          </w:rPr>
          <w:t>十八、侧袋机制</w:t>
        </w:r>
        <w:r w:rsidRPr="00385BB9">
          <w:rPr>
            <w:rFonts w:ascii="宋体" w:hAnsi="宋体"/>
            <w:noProof/>
            <w:sz w:val="24"/>
          </w:rPr>
          <w:tab/>
        </w:r>
        <w:r w:rsidRPr="00385BB9">
          <w:rPr>
            <w:rFonts w:ascii="宋体" w:hAnsi="宋体"/>
            <w:noProof/>
            <w:sz w:val="24"/>
          </w:rPr>
          <w:fldChar w:fldCharType="begin"/>
        </w:r>
        <w:r w:rsidRPr="00385BB9">
          <w:rPr>
            <w:rFonts w:ascii="宋体" w:hAnsi="宋体"/>
            <w:noProof/>
            <w:sz w:val="24"/>
          </w:rPr>
          <w:instrText xml:space="preserve"> PAGEREF _Toc228201080 \h </w:instrText>
        </w:r>
        <w:r w:rsidRPr="00385BB9">
          <w:rPr>
            <w:rFonts w:ascii="宋体" w:hAnsi="宋体"/>
            <w:noProof/>
            <w:sz w:val="24"/>
          </w:rPr>
        </w:r>
        <w:r w:rsidRPr="00385BB9">
          <w:rPr>
            <w:rFonts w:ascii="宋体" w:hAnsi="宋体"/>
            <w:noProof/>
            <w:sz w:val="24"/>
          </w:rPr>
          <w:fldChar w:fldCharType="separate"/>
        </w:r>
        <w:r w:rsidRPr="00385BB9">
          <w:rPr>
            <w:rFonts w:ascii="宋体" w:hAnsi="宋体"/>
            <w:noProof/>
            <w:sz w:val="24"/>
          </w:rPr>
          <w:t>110</w:t>
        </w:r>
        <w:r w:rsidRPr="00385BB9">
          <w:rPr>
            <w:rFonts w:ascii="宋体" w:hAnsi="宋体"/>
            <w:noProof/>
            <w:sz w:val="24"/>
          </w:rPr>
          <w:fldChar w:fldCharType="end"/>
        </w:r>
      </w:hyperlink>
    </w:p>
    <w:p w:rsidR="00385BB9" w:rsidRPr="00385BB9" w:rsidRDefault="00385BB9" w:rsidP="00385BB9">
      <w:pPr>
        <w:pStyle w:val="10"/>
        <w:tabs>
          <w:tab w:val="right" w:leader="dot" w:pos="8550"/>
        </w:tabs>
        <w:spacing w:line="360" w:lineRule="auto"/>
        <w:rPr>
          <w:rFonts w:ascii="宋体" w:hAnsi="宋体" w:cstheme="minorBidi"/>
          <w:noProof/>
          <w:sz w:val="24"/>
        </w:rPr>
      </w:pPr>
      <w:hyperlink w:anchor="_Toc228201081" w:history="1">
        <w:r w:rsidRPr="00385BB9">
          <w:rPr>
            <w:rStyle w:val="aa"/>
            <w:rFonts w:ascii="宋体" w:hAnsi="宋体" w:hint="eastAsia"/>
            <w:noProof/>
            <w:sz w:val="24"/>
          </w:rPr>
          <w:t>十九、风险揭示</w:t>
        </w:r>
        <w:r w:rsidRPr="00385BB9">
          <w:rPr>
            <w:rFonts w:ascii="宋体" w:hAnsi="宋体"/>
            <w:noProof/>
            <w:sz w:val="24"/>
          </w:rPr>
          <w:tab/>
        </w:r>
        <w:r w:rsidRPr="00385BB9">
          <w:rPr>
            <w:rFonts w:ascii="宋体" w:hAnsi="宋体"/>
            <w:noProof/>
            <w:sz w:val="24"/>
          </w:rPr>
          <w:fldChar w:fldCharType="begin"/>
        </w:r>
        <w:r w:rsidRPr="00385BB9">
          <w:rPr>
            <w:rFonts w:ascii="宋体" w:hAnsi="宋体"/>
            <w:noProof/>
            <w:sz w:val="24"/>
          </w:rPr>
          <w:instrText xml:space="preserve"> PAGEREF _Toc228201081 \h </w:instrText>
        </w:r>
        <w:r w:rsidRPr="00385BB9">
          <w:rPr>
            <w:rFonts w:ascii="宋体" w:hAnsi="宋体"/>
            <w:noProof/>
            <w:sz w:val="24"/>
          </w:rPr>
        </w:r>
        <w:r w:rsidRPr="00385BB9">
          <w:rPr>
            <w:rFonts w:ascii="宋体" w:hAnsi="宋体"/>
            <w:noProof/>
            <w:sz w:val="24"/>
          </w:rPr>
          <w:fldChar w:fldCharType="separate"/>
        </w:r>
        <w:r w:rsidRPr="00385BB9">
          <w:rPr>
            <w:rFonts w:ascii="宋体" w:hAnsi="宋体"/>
            <w:noProof/>
            <w:sz w:val="24"/>
          </w:rPr>
          <w:t>113</w:t>
        </w:r>
        <w:r w:rsidRPr="00385BB9">
          <w:rPr>
            <w:rFonts w:ascii="宋体" w:hAnsi="宋体"/>
            <w:noProof/>
            <w:sz w:val="24"/>
          </w:rPr>
          <w:fldChar w:fldCharType="end"/>
        </w:r>
      </w:hyperlink>
    </w:p>
    <w:p w:rsidR="00385BB9" w:rsidRPr="00385BB9" w:rsidRDefault="00385BB9" w:rsidP="00385BB9">
      <w:pPr>
        <w:pStyle w:val="10"/>
        <w:tabs>
          <w:tab w:val="right" w:leader="dot" w:pos="8550"/>
        </w:tabs>
        <w:spacing w:line="360" w:lineRule="auto"/>
        <w:rPr>
          <w:rFonts w:ascii="宋体" w:hAnsi="宋体" w:cstheme="minorBidi"/>
          <w:noProof/>
          <w:sz w:val="24"/>
        </w:rPr>
      </w:pPr>
      <w:hyperlink w:anchor="_Toc228201082" w:history="1">
        <w:r w:rsidRPr="00385BB9">
          <w:rPr>
            <w:rStyle w:val="aa"/>
            <w:rFonts w:ascii="宋体" w:hAnsi="宋体" w:hint="eastAsia"/>
            <w:noProof/>
            <w:sz w:val="24"/>
          </w:rPr>
          <w:t>二十、基金合同的终止与基金财产的清算</w:t>
        </w:r>
        <w:r w:rsidRPr="00385BB9">
          <w:rPr>
            <w:rFonts w:ascii="宋体" w:hAnsi="宋体"/>
            <w:noProof/>
            <w:sz w:val="24"/>
          </w:rPr>
          <w:tab/>
        </w:r>
        <w:r w:rsidRPr="00385BB9">
          <w:rPr>
            <w:rFonts w:ascii="宋体" w:hAnsi="宋体"/>
            <w:noProof/>
            <w:sz w:val="24"/>
          </w:rPr>
          <w:fldChar w:fldCharType="begin"/>
        </w:r>
        <w:r w:rsidRPr="00385BB9">
          <w:rPr>
            <w:rFonts w:ascii="宋体" w:hAnsi="宋体"/>
            <w:noProof/>
            <w:sz w:val="24"/>
          </w:rPr>
          <w:instrText xml:space="preserve"> PAGEREF _Toc228201082 \h </w:instrText>
        </w:r>
        <w:r w:rsidRPr="00385BB9">
          <w:rPr>
            <w:rFonts w:ascii="宋体" w:hAnsi="宋体"/>
            <w:noProof/>
            <w:sz w:val="24"/>
          </w:rPr>
        </w:r>
        <w:r w:rsidRPr="00385BB9">
          <w:rPr>
            <w:rFonts w:ascii="宋体" w:hAnsi="宋体"/>
            <w:noProof/>
            <w:sz w:val="24"/>
          </w:rPr>
          <w:fldChar w:fldCharType="separate"/>
        </w:r>
        <w:r w:rsidRPr="00385BB9">
          <w:rPr>
            <w:rFonts w:ascii="宋体" w:hAnsi="宋体"/>
            <w:noProof/>
            <w:sz w:val="24"/>
          </w:rPr>
          <w:t>119</w:t>
        </w:r>
        <w:r w:rsidRPr="00385BB9">
          <w:rPr>
            <w:rFonts w:ascii="宋体" w:hAnsi="宋体"/>
            <w:noProof/>
            <w:sz w:val="24"/>
          </w:rPr>
          <w:fldChar w:fldCharType="end"/>
        </w:r>
      </w:hyperlink>
    </w:p>
    <w:p w:rsidR="00385BB9" w:rsidRPr="00385BB9" w:rsidRDefault="00385BB9" w:rsidP="00385BB9">
      <w:pPr>
        <w:pStyle w:val="10"/>
        <w:tabs>
          <w:tab w:val="right" w:leader="dot" w:pos="8550"/>
        </w:tabs>
        <w:spacing w:line="360" w:lineRule="auto"/>
        <w:rPr>
          <w:rFonts w:ascii="宋体" w:hAnsi="宋体" w:cstheme="minorBidi"/>
          <w:noProof/>
          <w:sz w:val="24"/>
        </w:rPr>
      </w:pPr>
      <w:hyperlink w:anchor="_Toc228201083" w:history="1">
        <w:r w:rsidRPr="00385BB9">
          <w:rPr>
            <w:rStyle w:val="aa"/>
            <w:rFonts w:ascii="宋体" w:hAnsi="宋体" w:hint="eastAsia"/>
            <w:noProof/>
            <w:sz w:val="24"/>
          </w:rPr>
          <w:t>二十一、基金合同内容摘要</w:t>
        </w:r>
        <w:r w:rsidRPr="00385BB9">
          <w:rPr>
            <w:rFonts w:ascii="宋体" w:hAnsi="宋体"/>
            <w:noProof/>
            <w:sz w:val="24"/>
          </w:rPr>
          <w:tab/>
        </w:r>
        <w:r w:rsidRPr="00385BB9">
          <w:rPr>
            <w:rFonts w:ascii="宋体" w:hAnsi="宋体"/>
            <w:noProof/>
            <w:sz w:val="24"/>
          </w:rPr>
          <w:fldChar w:fldCharType="begin"/>
        </w:r>
        <w:r w:rsidRPr="00385BB9">
          <w:rPr>
            <w:rFonts w:ascii="宋体" w:hAnsi="宋体"/>
            <w:noProof/>
            <w:sz w:val="24"/>
          </w:rPr>
          <w:instrText xml:space="preserve"> PAGEREF _Toc228201083 \h </w:instrText>
        </w:r>
        <w:r w:rsidRPr="00385BB9">
          <w:rPr>
            <w:rFonts w:ascii="宋体" w:hAnsi="宋体"/>
            <w:noProof/>
            <w:sz w:val="24"/>
          </w:rPr>
        </w:r>
        <w:r w:rsidRPr="00385BB9">
          <w:rPr>
            <w:rFonts w:ascii="宋体" w:hAnsi="宋体"/>
            <w:noProof/>
            <w:sz w:val="24"/>
          </w:rPr>
          <w:fldChar w:fldCharType="separate"/>
        </w:r>
        <w:r w:rsidRPr="00385BB9">
          <w:rPr>
            <w:rFonts w:ascii="宋体" w:hAnsi="宋体"/>
            <w:noProof/>
            <w:sz w:val="24"/>
          </w:rPr>
          <w:t>121</w:t>
        </w:r>
        <w:r w:rsidRPr="00385BB9">
          <w:rPr>
            <w:rFonts w:ascii="宋体" w:hAnsi="宋体"/>
            <w:noProof/>
            <w:sz w:val="24"/>
          </w:rPr>
          <w:fldChar w:fldCharType="end"/>
        </w:r>
      </w:hyperlink>
    </w:p>
    <w:p w:rsidR="00385BB9" w:rsidRPr="00385BB9" w:rsidRDefault="00385BB9" w:rsidP="00385BB9">
      <w:pPr>
        <w:pStyle w:val="10"/>
        <w:tabs>
          <w:tab w:val="right" w:leader="dot" w:pos="8550"/>
        </w:tabs>
        <w:spacing w:line="360" w:lineRule="auto"/>
        <w:rPr>
          <w:rFonts w:ascii="宋体" w:hAnsi="宋体" w:cstheme="minorBidi"/>
          <w:noProof/>
          <w:sz w:val="24"/>
        </w:rPr>
      </w:pPr>
      <w:hyperlink w:anchor="_Toc228201084" w:history="1">
        <w:r w:rsidRPr="00385BB9">
          <w:rPr>
            <w:rStyle w:val="aa"/>
            <w:rFonts w:ascii="宋体" w:hAnsi="宋体" w:hint="eastAsia"/>
            <w:noProof/>
            <w:sz w:val="24"/>
          </w:rPr>
          <w:t>二十二、托管协议的内容摘要</w:t>
        </w:r>
        <w:r w:rsidRPr="00385BB9">
          <w:rPr>
            <w:rFonts w:ascii="宋体" w:hAnsi="宋体"/>
            <w:noProof/>
            <w:sz w:val="24"/>
          </w:rPr>
          <w:tab/>
        </w:r>
        <w:r w:rsidRPr="00385BB9">
          <w:rPr>
            <w:rFonts w:ascii="宋体" w:hAnsi="宋体"/>
            <w:noProof/>
            <w:sz w:val="24"/>
          </w:rPr>
          <w:fldChar w:fldCharType="begin"/>
        </w:r>
        <w:r w:rsidRPr="00385BB9">
          <w:rPr>
            <w:rFonts w:ascii="宋体" w:hAnsi="宋体"/>
            <w:noProof/>
            <w:sz w:val="24"/>
          </w:rPr>
          <w:instrText xml:space="preserve"> PAGEREF _Toc228201084 \h </w:instrText>
        </w:r>
        <w:r w:rsidRPr="00385BB9">
          <w:rPr>
            <w:rFonts w:ascii="宋体" w:hAnsi="宋体"/>
            <w:noProof/>
            <w:sz w:val="24"/>
          </w:rPr>
        </w:r>
        <w:r w:rsidRPr="00385BB9">
          <w:rPr>
            <w:rFonts w:ascii="宋体" w:hAnsi="宋体"/>
            <w:noProof/>
            <w:sz w:val="24"/>
          </w:rPr>
          <w:fldChar w:fldCharType="separate"/>
        </w:r>
        <w:r w:rsidRPr="00385BB9">
          <w:rPr>
            <w:rFonts w:ascii="宋体" w:hAnsi="宋体"/>
            <w:noProof/>
            <w:sz w:val="24"/>
          </w:rPr>
          <w:t>136</w:t>
        </w:r>
        <w:r w:rsidRPr="00385BB9">
          <w:rPr>
            <w:rFonts w:ascii="宋体" w:hAnsi="宋体"/>
            <w:noProof/>
            <w:sz w:val="24"/>
          </w:rPr>
          <w:fldChar w:fldCharType="end"/>
        </w:r>
      </w:hyperlink>
    </w:p>
    <w:p w:rsidR="00385BB9" w:rsidRPr="00385BB9" w:rsidRDefault="00385BB9" w:rsidP="00385BB9">
      <w:pPr>
        <w:pStyle w:val="10"/>
        <w:tabs>
          <w:tab w:val="right" w:leader="dot" w:pos="8550"/>
        </w:tabs>
        <w:spacing w:line="360" w:lineRule="auto"/>
        <w:rPr>
          <w:rFonts w:ascii="宋体" w:hAnsi="宋体" w:cstheme="minorBidi"/>
          <w:noProof/>
          <w:sz w:val="24"/>
        </w:rPr>
      </w:pPr>
      <w:hyperlink w:anchor="_Toc228201085" w:history="1">
        <w:r w:rsidRPr="00385BB9">
          <w:rPr>
            <w:rStyle w:val="aa"/>
            <w:rFonts w:ascii="宋体" w:hAnsi="宋体" w:hint="eastAsia"/>
            <w:noProof/>
            <w:sz w:val="24"/>
          </w:rPr>
          <w:t>二十三、对基金份额持有人的服务</w:t>
        </w:r>
        <w:r w:rsidRPr="00385BB9">
          <w:rPr>
            <w:rFonts w:ascii="宋体" w:hAnsi="宋体"/>
            <w:noProof/>
            <w:sz w:val="24"/>
          </w:rPr>
          <w:tab/>
        </w:r>
        <w:r w:rsidRPr="00385BB9">
          <w:rPr>
            <w:rFonts w:ascii="宋体" w:hAnsi="宋体"/>
            <w:noProof/>
            <w:sz w:val="24"/>
          </w:rPr>
          <w:fldChar w:fldCharType="begin"/>
        </w:r>
        <w:r w:rsidRPr="00385BB9">
          <w:rPr>
            <w:rFonts w:ascii="宋体" w:hAnsi="宋体"/>
            <w:noProof/>
            <w:sz w:val="24"/>
          </w:rPr>
          <w:instrText xml:space="preserve"> PAGEREF _Toc228201085 \h </w:instrText>
        </w:r>
        <w:r w:rsidRPr="00385BB9">
          <w:rPr>
            <w:rFonts w:ascii="宋体" w:hAnsi="宋体"/>
            <w:noProof/>
            <w:sz w:val="24"/>
          </w:rPr>
        </w:r>
        <w:r w:rsidRPr="00385BB9">
          <w:rPr>
            <w:rFonts w:ascii="宋体" w:hAnsi="宋体"/>
            <w:noProof/>
            <w:sz w:val="24"/>
          </w:rPr>
          <w:fldChar w:fldCharType="separate"/>
        </w:r>
        <w:r w:rsidRPr="00385BB9">
          <w:rPr>
            <w:rFonts w:ascii="宋体" w:hAnsi="宋体"/>
            <w:noProof/>
            <w:sz w:val="24"/>
          </w:rPr>
          <w:t>151</w:t>
        </w:r>
        <w:r w:rsidRPr="00385BB9">
          <w:rPr>
            <w:rFonts w:ascii="宋体" w:hAnsi="宋体"/>
            <w:noProof/>
            <w:sz w:val="24"/>
          </w:rPr>
          <w:fldChar w:fldCharType="end"/>
        </w:r>
      </w:hyperlink>
    </w:p>
    <w:p w:rsidR="00385BB9" w:rsidRPr="00385BB9" w:rsidRDefault="00385BB9" w:rsidP="00385BB9">
      <w:pPr>
        <w:pStyle w:val="10"/>
        <w:tabs>
          <w:tab w:val="right" w:leader="dot" w:pos="8550"/>
        </w:tabs>
        <w:spacing w:line="360" w:lineRule="auto"/>
        <w:rPr>
          <w:rFonts w:ascii="宋体" w:hAnsi="宋体" w:cstheme="minorBidi"/>
          <w:noProof/>
          <w:sz w:val="24"/>
        </w:rPr>
      </w:pPr>
      <w:hyperlink w:anchor="_Toc228201086" w:history="1">
        <w:r w:rsidRPr="00385BB9">
          <w:rPr>
            <w:rStyle w:val="aa"/>
            <w:rFonts w:ascii="宋体" w:hAnsi="宋体" w:hint="eastAsia"/>
            <w:noProof/>
            <w:sz w:val="24"/>
          </w:rPr>
          <w:t>二十四、其他应披露事项</w:t>
        </w:r>
        <w:r w:rsidRPr="00385BB9">
          <w:rPr>
            <w:rFonts w:ascii="宋体" w:hAnsi="宋体"/>
            <w:noProof/>
            <w:sz w:val="24"/>
          </w:rPr>
          <w:tab/>
        </w:r>
        <w:r w:rsidRPr="00385BB9">
          <w:rPr>
            <w:rFonts w:ascii="宋体" w:hAnsi="宋体"/>
            <w:noProof/>
            <w:sz w:val="24"/>
          </w:rPr>
          <w:fldChar w:fldCharType="begin"/>
        </w:r>
        <w:r w:rsidRPr="00385BB9">
          <w:rPr>
            <w:rFonts w:ascii="宋体" w:hAnsi="宋体"/>
            <w:noProof/>
            <w:sz w:val="24"/>
          </w:rPr>
          <w:instrText xml:space="preserve"> PAGEREF _Toc228201086 \h </w:instrText>
        </w:r>
        <w:r w:rsidRPr="00385BB9">
          <w:rPr>
            <w:rFonts w:ascii="宋体" w:hAnsi="宋体"/>
            <w:noProof/>
            <w:sz w:val="24"/>
          </w:rPr>
        </w:r>
        <w:r w:rsidRPr="00385BB9">
          <w:rPr>
            <w:rFonts w:ascii="宋体" w:hAnsi="宋体"/>
            <w:noProof/>
            <w:sz w:val="24"/>
          </w:rPr>
          <w:fldChar w:fldCharType="separate"/>
        </w:r>
        <w:r w:rsidRPr="00385BB9">
          <w:rPr>
            <w:rFonts w:ascii="宋体" w:hAnsi="宋体"/>
            <w:noProof/>
            <w:sz w:val="24"/>
          </w:rPr>
          <w:t>153</w:t>
        </w:r>
        <w:r w:rsidRPr="00385BB9">
          <w:rPr>
            <w:rFonts w:ascii="宋体" w:hAnsi="宋体"/>
            <w:noProof/>
            <w:sz w:val="24"/>
          </w:rPr>
          <w:fldChar w:fldCharType="end"/>
        </w:r>
      </w:hyperlink>
    </w:p>
    <w:p w:rsidR="00385BB9" w:rsidRPr="00385BB9" w:rsidRDefault="00385BB9" w:rsidP="00385BB9">
      <w:pPr>
        <w:pStyle w:val="10"/>
        <w:tabs>
          <w:tab w:val="right" w:leader="dot" w:pos="8550"/>
        </w:tabs>
        <w:spacing w:line="360" w:lineRule="auto"/>
        <w:rPr>
          <w:rFonts w:ascii="宋体" w:hAnsi="宋体" w:cstheme="minorBidi"/>
          <w:noProof/>
          <w:sz w:val="24"/>
        </w:rPr>
      </w:pPr>
      <w:hyperlink w:anchor="_Toc228201087" w:history="1">
        <w:r w:rsidRPr="00385BB9">
          <w:rPr>
            <w:rStyle w:val="aa"/>
            <w:rFonts w:ascii="宋体" w:hAnsi="宋体" w:hint="eastAsia"/>
            <w:noProof/>
            <w:sz w:val="24"/>
          </w:rPr>
          <w:t>二十五、招募说明书的存放及查阅方式</w:t>
        </w:r>
        <w:r w:rsidRPr="00385BB9">
          <w:rPr>
            <w:rFonts w:ascii="宋体" w:hAnsi="宋体"/>
            <w:noProof/>
            <w:sz w:val="24"/>
          </w:rPr>
          <w:tab/>
        </w:r>
        <w:r w:rsidRPr="00385BB9">
          <w:rPr>
            <w:rFonts w:ascii="宋体" w:hAnsi="宋体"/>
            <w:noProof/>
            <w:sz w:val="24"/>
          </w:rPr>
          <w:fldChar w:fldCharType="begin"/>
        </w:r>
        <w:r w:rsidRPr="00385BB9">
          <w:rPr>
            <w:rFonts w:ascii="宋体" w:hAnsi="宋体"/>
            <w:noProof/>
            <w:sz w:val="24"/>
          </w:rPr>
          <w:instrText xml:space="preserve"> PAGEREF _Toc228201087 \h </w:instrText>
        </w:r>
        <w:r w:rsidRPr="00385BB9">
          <w:rPr>
            <w:rFonts w:ascii="宋体" w:hAnsi="宋体"/>
            <w:noProof/>
            <w:sz w:val="24"/>
          </w:rPr>
        </w:r>
        <w:r w:rsidRPr="00385BB9">
          <w:rPr>
            <w:rFonts w:ascii="宋体" w:hAnsi="宋体"/>
            <w:noProof/>
            <w:sz w:val="24"/>
          </w:rPr>
          <w:fldChar w:fldCharType="separate"/>
        </w:r>
        <w:r w:rsidRPr="00385BB9">
          <w:rPr>
            <w:rFonts w:ascii="宋体" w:hAnsi="宋体"/>
            <w:noProof/>
            <w:sz w:val="24"/>
          </w:rPr>
          <w:t>156</w:t>
        </w:r>
        <w:r w:rsidRPr="00385BB9">
          <w:rPr>
            <w:rFonts w:ascii="宋体" w:hAnsi="宋体"/>
            <w:noProof/>
            <w:sz w:val="24"/>
          </w:rPr>
          <w:fldChar w:fldCharType="end"/>
        </w:r>
      </w:hyperlink>
    </w:p>
    <w:p w:rsidR="00385BB9" w:rsidRPr="00385BB9" w:rsidRDefault="00385BB9" w:rsidP="00385BB9">
      <w:pPr>
        <w:pStyle w:val="10"/>
        <w:tabs>
          <w:tab w:val="right" w:leader="dot" w:pos="8550"/>
        </w:tabs>
        <w:spacing w:line="360" w:lineRule="auto"/>
        <w:rPr>
          <w:rFonts w:ascii="宋体" w:hAnsi="宋体" w:cstheme="minorBidi"/>
          <w:noProof/>
          <w:sz w:val="24"/>
        </w:rPr>
      </w:pPr>
      <w:hyperlink w:anchor="_Toc228201088" w:history="1">
        <w:r w:rsidRPr="00385BB9">
          <w:rPr>
            <w:rStyle w:val="aa"/>
            <w:rFonts w:ascii="宋体" w:hAnsi="宋体" w:hint="eastAsia"/>
            <w:noProof/>
            <w:sz w:val="24"/>
          </w:rPr>
          <w:t>二十六、备查文件</w:t>
        </w:r>
        <w:r w:rsidRPr="00385BB9">
          <w:rPr>
            <w:rFonts w:ascii="宋体" w:hAnsi="宋体"/>
            <w:noProof/>
            <w:sz w:val="24"/>
          </w:rPr>
          <w:tab/>
        </w:r>
        <w:r w:rsidRPr="00385BB9">
          <w:rPr>
            <w:rFonts w:ascii="宋体" w:hAnsi="宋体"/>
            <w:noProof/>
            <w:sz w:val="24"/>
          </w:rPr>
          <w:fldChar w:fldCharType="begin"/>
        </w:r>
        <w:r w:rsidRPr="00385BB9">
          <w:rPr>
            <w:rFonts w:ascii="宋体" w:hAnsi="宋体"/>
            <w:noProof/>
            <w:sz w:val="24"/>
          </w:rPr>
          <w:instrText xml:space="preserve"> PAGEREF _Toc228201088 \h </w:instrText>
        </w:r>
        <w:r w:rsidRPr="00385BB9">
          <w:rPr>
            <w:rFonts w:ascii="宋体" w:hAnsi="宋体"/>
            <w:noProof/>
            <w:sz w:val="24"/>
          </w:rPr>
        </w:r>
        <w:r w:rsidRPr="00385BB9">
          <w:rPr>
            <w:rFonts w:ascii="宋体" w:hAnsi="宋体"/>
            <w:noProof/>
            <w:sz w:val="24"/>
          </w:rPr>
          <w:fldChar w:fldCharType="separate"/>
        </w:r>
        <w:r w:rsidRPr="00385BB9">
          <w:rPr>
            <w:rFonts w:ascii="宋体" w:hAnsi="宋体"/>
            <w:noProof/>
            <w:sz w:val="24"/>
          </w:rPr>
          <w:t>157</w:t>
        </w:r>
        <w:r w:rsidRPr="00385BB9">
          <w:rPr>
            <w:rFonts w:ascii="宋体" w:hAnsi="宋体"/>
            <w:noProof/>
            <w:sz w:val="24"/>
          </w:rPr>
          <w:fldChar w:fldCharType="end"/>
        </w:r>
      </w:hyperlink>
    </w:p>
    <w:p w:rsidR="004E6FCE" w:rsidRPr="00385BB9" w:rsidRDefault="00385BB9" w:rsidP="00385BB9">
      <w:pPr>
        <w:pStyle w:val="ad"/>
        <w:snapToGrid w:val="0"/>
        <w:spacing w:after="240" w:line="360" w:lineRule="auto"/>
        <w:jc w:val="center"/>
        <w:rPr>
          <w:rFonts w:ascii="宋体" w:hAnsi="宋体"/>
          <w:color w:val="000000"/>
          <w:sz w:val="24"/>
        </w:rPr>
      </w:pPr>
      <w:r w:rsidRPr="00385BB9">
        <w:rPr>
          <w:rFonts w:ascii="宋体" w:hAnsi="宋体"/>
          <w:color w:val="000000"/>
          <w:position w:val="-4"/>
          <w:sz w:val="24"/>
          <w:szCs w:val="30"/>
        </w:rPr>
        <w:fldChar w:fldCharType="end"/>
      </w:r>
      <w:bookmarkStart w:id="3" w:name="_GoBack"/>
      <w:bookmarkEnd w:id="3"/>
    </w:p>
    <w:p w:rsidR="004E6FCE" w:rsidRDefault="004E6FCE">
      <w:pPr>
        <w:autoSpaceDE w:val="0"/>
        <w:autoSpaceDN w:val="0"/>
        <w:adjustRightInd w:val="0"/>
        <w:snapToGrid w:val="0"/>
        <w:spacing w:line="360" w:lineRule="auto"/>
        <w:ind w:left="120" w:rightChars="6" w:right="13"/>
        <w:rPr>
          <w:rFonts w:ascii="宋体" w:hAnsi="宋体"/>
          <w:kern w:val="0"/>
          <w:szCs w:val="24"/>
        </w:rPr>
        <w:sectPr w:rsidR="004E6FCE">
          <w:pgSz w:w="11920" w:h="16840"/>
          <w:pgMar w:top="1480" w:right="1680" w:bottom="280" w:left="1680" w:header="0" w:footer="1073" w:gutter="0"/>
          <w:cols w:space="720"/>
        </w:sectPr>
      </w:pPr>
    </w:p>
    <w:p w:rsidR="004E6FCE" w:rsidRDefault="00AB6520">
      <w:pPr>
        <w:pStyle w:val="1"/>
        <w:snapToGrid w:val="0"/>
        <w:spacing w:beforeLines="0" w:before="240" w:after="240"/>
        <w:rPr>
          <w:rFonts w:ascii="宋体" w:hAnsi="宋体"/>
          <w:szCs w:val="30"/>
        </w:rPr>
      </w:pPr>
      <w:bookmarkStart w:id="4" w:name="_Toc228201063"/>
      <w:r>
        <w:rPr>
          <w:rFonts w:ascii="Times New Roman" w:hAnsi="Times New Roman"/>
          <w:sz w:val="30"/>
        </w:rPr>
        <w:lastRenderedPageBreak/>
        <w:t>一、绪言</w:t>
      </w:r>
      <w:bookmarkEnd w:id="4"/>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双轮动债券型证券投资基金招募说明书》（以下简称“本招募说明书”）依据《中华人民共和国证券投资基金法》、《证券投资基金运作管理办法》、《证券投资基金销售管理办法》、《公开募集证券投资基金信息披露管理办法》、《公开募集开放式证券投资基金流动性风险管理规定》(以下简称“《流动性规定》”)和其他相关法律法规的规定以及《交银施罗德双轮动债券型证券投资基金基金合同》（以下简称“基金合同”）编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金合同。</w:t>
      </w:r>
    </w:p>
    <w:p w:rsidR="00B439CC" w:rsidRDefault="00AB652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6FCE" w:rsidRDefault="00AB6520">
      <w:pPr>
        <w:pStyle w:val="1"/>
        <w:snapToGrid w:val="0"/>
        <w:spacing w:beforeLines="0" w:before="240" w:after="240"/>
        <w:rPr>
          <w:rFonts w:ascii="宋体" w:hAnsi="宋体"/>
          <w:szCs w:val="30"/>
        </w:rPr>
      </w:pPr>
      <w:bookmarkStart w:id="5" w:name="_Toc228201064"/>
      <w:r>
        <w:rPr>
          <w:rFonts w:ascii="Times New Roman" w:hAnsi="Times New Roman"/>
          <w:sz w:val="30"/>
        </w:rPr>
        <w:lastRenderedPageBreak/>
        <w:t>二、释义</w:t>
      </w:r>
      <w:bookmarkEnd w:id="5"/>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1、基金或本基金：指交银施罗德双轮动债券型证券投资基金</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3、基金托管人或本基金托管人：指中信银行股份有限公司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4、基金合同：指《交银施罗德双轮动债券型证券投资基金基金合同》及对该基金合同的任何有效修订和补充</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5、托管协议：指基金管理人与基金托管人就本基金签订之《交银施罗德双轮动债券型证券投资基金托管协议》及对该托管协议的任何有效修订和补充</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6、招募说明书或本招募说明书：指《交银施罗德双轮动债券型证券投资基金招募说明书》及其更新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7、基金份额发售公告：指《交银施罗德双轮动债券型证券投资基金基金份额发售公告》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8、基金产品资料概要：指《交银施罗德双轮动债券型证券投资基金基金产品资料概要》及其更新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10、中国：指中华人民共和国（仅为基金合同之目的，不包括香港特别行政区、澳门特别行政区及台湾地区）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11、《基金法》：指2003年10月28日经第十届全国人民代表大会常务委员会第五次会议通过，自2004年6月1日起实施的《中华人民共和国证券投资基金法》及颁布机关对其不时做出的修订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12、《销售办法》：指中国证监会2011年6月9日颁布、同年10月1日实施的《证券投资基金销售管理办法》及颁布机关对其不时做出的修订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13、《信息披露办法》：指中国证监会2019年7月26日颁布、同年9月1日实施的《公开募集证券投资基金信息披露管理办法》及颁布机关对其不时做出的修订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14、《运作办法》：指中国证监会2004年6月29日颁布、同年7月1日实施的《证券投资基金运作管理办法》及颁布机关对其不时做出的修订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15、《流动性规定》：指中国证监会2017年8月31日颁布、同年10月1日实施的</w:t>
      </w:r>
      <w:r>
        <w:rPr>
          <w:rFonts w:ascii="宋体" w:hAnsi="宋体"/>
          <w:sz w:val="24"/>
        </w:rPr>
        <w:lastRenderedPageBreak/>
        <w:t>《公开募集开放式证券投资基金流动性风险管理规定》及颁布机关对其不时做出的修订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16、中国证监会：指中国证券监督管理委员会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17、银行业监督管理机构：指中国人民银行和/或中国银行业监督管理委员会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18、基金合同当事人：指受基金合同约束，根据基金合同享有权利并承担义务的法律主体，包括基金管理人、基金托管人和基金份额持有人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19、个人投资者：指依据有关法律法规规定可投资于证券投资基金的自然人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20、机构投资者：指依法可以投资证券投资基金的、在中国境内合法登记并存续或经有关政府部门批准设立并存续的企业法人、事业法人、社会团体或其他组织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21、合格境外机构投资者：指符合《合格境外机构投资者境内证券投资管理办法》及相关法律法规规定可以投资于在中国境内依法募集的证券投资基金的中国境外的机构投资者</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22、投资人或投资者：指个人投资者、机构投资者和合格境外机构投资者以及法律法规或中国证监会允许购买证券投资基金的其他投资人的合称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25、直销机构：指交银施罗德基金管理有限公司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代销机构：指符合《销售办法》和中国证监会规定的其他条件，取得基金销售业务资格并与基金管理人签订了基金销售服务代理协议，代为办理基金销售业务的机构以及可通过上海证券交易所开放式基金销售系统办理基金销售业务的会员单位</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会员单位：指具有开放式基金代销资格，经上海证券交易所和中国证券登记结算有限责任公司认可的、可通过上海证券交易所开放式基金销售系统办理开放式基金的认购、申购、赎回和转托管等业务的上海证券交易所会员单位</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28、销售机构：指直销机构和代销机构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30、登记机构：指办理登记业务的机构。基金的登记机构为交银施罗德基金管</w:t>
      </w:r>
      <w:r>
        <w:rPr>
          <w:rFonts w:ascii="宋体" w:hAnsi="宋体"/>
          <w:sz w:val="24"/>
        </w:rPr>
        <w:lastRenderedPageBreak/>
        <w:t>理有限公司或接受交银施罗德基金管理有限公司委托代为办理登记业务的机构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31、开放式基金账户：指登记机构为投资人开立的、记录其持有的、基金管理人所管理的基金份额余额及其变动情况的账户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32、基金交易账户：指销售机构为投资人开立的、记录投资人通过该销售机构办理认购、申购、赎回、转换及转托管等业务而引起的基金份额变动及结余情况的账户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上海证券账户：指在中国证券登记结算有限责任公司上海分公司开设的上海证券交易所人民币普通股票账户(简称“A股账户”)或证券投资基金账户(简称“基金账户”)，投资人通过上海证券交易所开放式基金销售系统办理申购、赎回等业务时需持有上海证券账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34、基金合同生效日：指基金募集达到法律法规规定及基金合同规定的条件，基金管理人向中国证监会办理基金备案手续完毕，并获得中国证监会书面确认的日期</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35、基金合同终止日：指基金合同规定的基金合同终止事由出现后，基金财产清算完毕，清算结果报中国证监会备案并予以公告的日期</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36、基金募集期：指自基金份额发售之日起至发售结束之日止的期间，最长不得超过3个月</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37、存续期：指基金合同生效至终止之间的不定期期限</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38、工作日：指上海证券交易所、深圳证券交易所的正常交易日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39、T日：指销售机构在规定时间受理投资人申购、赎回或其他业务申请的开放日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40、T+n日：指自T日起第n个工作日(不包含T日)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41、开放日：指为投资人办理基金份额申购、赎回或其他业务的工作日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42、开放时间：指开放日基金接受申购、赎回或其他交易的时间段</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业务规则》：指《中国证券登记结算有限责任公司开放式证券投资基金及证券公司集合资产管理计划份额登记及资金结算业务指南》，是规范基金管理人所管理的开放式证券投资基金登记方面的业务规则，由基金管理人和投资人共同遵守；此外，投资者通过场内认购、申购、赎回本基金还须遵守上海证券交易所及中国证券登记结算有限责任公司场内业务有关规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44、认购：指在基金募集期内，投资人根据基金合同和招募说明书的规定申请</w:t>
      </w:r>
      <w:r>
        <w:rPr>
          <w:rFonts w:ascii="宋体" w:hAnsi="宋体"/>
          <w:sz w:val="24"/>
        </w:rPr>
        <w:lastRenderedPageBreak/>
        <w:t>购买基金份额的行为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45、申购：指基金合同生效后，投资人根据基金合同和招募说明书的规定申请购买基金份额的行为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46、赎回：指基金合同生效后，基金份额持有人按基金合同和招募说明书规定的条件要求将基金份额兑换为现金的行为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47、场外：指不通过上海证券交易所的开放式基金销售系统办理基金份额认购、申购和赎回等业务的销售机构和场所</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48、场内：指通过上海证券交易的开放式基金销售系统办理基金份额认购、申购和赎回等业务的销售机构和场所</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49、注册登记系统：指中国证券登记结算有限责任公司开放式基金登记结算系统</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50、证券登记结算系统：指中国证券登记结算有限责任公司上海分公司证券登记结算系统</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51、销售服务费：指从基金资产中计提的，用于本基金市场推广、销售以及基金份额持有人服务的费用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份额类别：指本基金根据认购/申购费用、赎回费用、销售服务费收取方式的不同，将基金份额分为不同的类别。在投资者认购/申购时收取前端认购/申购费用、赎回时收取赎回费用的，称为A类基金份额；在投资者认购/申购时不收取认购/申购费用、赎回时收取后端认购/申购费用和赎回费用的，称为B类基金份额；在投资者认购/申购时不收取认购/申购费用，在赎回时收取赎回费用，且从本类别基金资产中计提销售服务费的，称为C类基金份额</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53、基金转换：指基金份额持有人按照本基金合同和基金管理人届时有效公告规定的条件，申请将其持有基金管理人管理的、某一基金的基金份额转换为基金管理人管理的其他基金基金份额的行为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54、转托管：指基金份额持有人在本基金的不同销售机构之间实施的变更所持基金份额销售机构的操作</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定期定额投资计划：指投资人通过有关销售机构提出申请，约定每期申购日、扣款金额及扣款方式，由指定的销售机构在投资人指定银行账户内自动完成扣款并于每期约定的申购日提交基金申购申请的一种投资方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56、巨额赎回：指本基金单个开放日，基金净赎回申请（赎回申请份额总数加</w:t>
      </w:r>
      <w:r>
        <w:rPr>
          <w:rFonts w:ascii="宋体" w:hAnsi="宋体"/>
          <w:sz w:val="24"/>
        </w:rPr>
        <w:lastRenderedPageBreak/>
        <w:t>上基金转换中转出申请份额总数后扣除申购申请份额总数及基金转换中转入申请份额总数后的余额）超过上一开放日基金总份额的10%的情形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57、元：指人民币元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58、基金收益：指基金投资所得红利、股息、债券利息、买卖证券价差、银行存款利息、已实现的其他合法收入及因运用基金财产带来的成本和费用的节约</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59、基金资产总值：指基金拥有的各类有价证券、银行存款本息、基金应收申购款及其他资产的价值总和</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60、基金资产净值：指基金资产总值减去基金负债后的价值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61、基金份额净值：指计算日基金资产净值除以计算日基金份额总数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62、基金资产估值：指计算评估基金资产和负债的价值，以确定基金资产净值和基金份额净值的过程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64、指定媒介：指中国证监会指定的用以进行信息披露的全国性报刊及指定互联网网站（包括基金管理人网站、基金托管人网站、中国证监会基金电子披露网站）等媒介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67、不可抗力：指本基金合同当事人不能预见、不能避免且不能克服的客观事件。</w:t>
      </w:r>
    </w:p>
    <w:p w:rsidR="00B439CC" w:rsidRDefault="00AB652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6FCE" w:rsidRDefault="00AB6520">
      <w:pPr>
        <w:pStyle w:val="1"/>
        <w:snapToGrid w:val="0"/>
        <w:spacing w:beforeLines="0" w:before="240" w:after="240"/>
        <w:rPr>
          <w:rFonts w:ascii="宋体" w:hAnsi="宋体"/>
          <w:szCs w:val="30"/>
        </w:rPr>
      </w:pPr>
      <w:bookmarkStart w:id="6" w:name="_Toc228201065"/>
      <w:r>
        <w:rPr>
          <w:rFonts w:ascii="Times New Roman" w:hAnsi="Times New Roman"/>
          <w:sz w:val="30"/>
        </w:rPr>
        <w:lastRenderedPageBreak/>
        <w:t>三、基金管理人</w:t>
      </w:r>
      <w:bookmarkEnd w:id="6"/>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女士:基金经理。香港大学工商管理硕士、北京大学经济学、管理学双学士。18年证券投资行业从业经验。2008年至2012年任中海基金管理有限公司交易员。2012年加入交银施罗德基金管理有限公司，曾任中央交易室交易员，现任固定收益部基金经理。曾任交银施罗德现金宝货币市场基金(2015年05月27日至2019年08月02日)、交银施罗德理财21天债券型证券投资基金(2015年05月27日至2020年07月27日)、交银施罗德货币市场证券投资基金(2015年05月27日至2019年08月02日)、交银施罗德丰泽收益债券型证券投资基金(2015年07月25日至2018年03月18日)、交银施罗德裕通纯债债券型证券投资基金(2015年12月29日至2019年10月23日)、交银施罗德天鑫宝货币市场基金(2016年12月07日至2019年08月02日)、交银施罗德境尚收益债券型证券投资基金(2017年03月03日至2024年04月12日)、交银施罗德稳鑫短债债券型证券投资基金(2019年01月24日至2024年11月09日)、交银施罗德中高等级信用债债券型证券投资基金(2020年07月28日至2022年07月05日)、交银施罗德稳安30天滚动持有债券型证券投资基金(2022年11月24日至2026年03月11日)、交银施罗德丰盈收益债券型证券投资基金(2024年12月04日至2025年12月27日)的基金经理。现任交银施罗德丰享收益债券型证券投资基金(2015年07月25日至今)、交银施罗德活期通货币市场基金(2016年07月27日至今)、交银施罗德天利宝货币市场基金(2016年10月19日至今)、交银施罗德裕隆纯债债券型证券投资基金(2016年11月28日至今)、交银施罗德天益宝货币市场基金(2016年12月20日至今)、交银施罗德稳利中短债债券型证券投资基金(2019年12月13日至今)、交银施罗德稳益短债债券型证券投资基金(2022年09月21日至今)、交银施罗德稳安60天滚动持有债券型证券投资基金(2023年11月16日至今)、交银施罗德双轮动债券型证券投资基金(2025年12月27日至今)、交银施罗德120天滚动持有债券型证券投资基金(2026年03月11日至今)的基金经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唐赟先生:基金经理。香港城市大学电子工程硕士，16年证券投资行业从业经验。2008年至2010年担任渣打银行环球企业部助理客户经理，2010年至2012年担任</w:t>
      </w:r>
      <w:r>
        <w:rPr>
          <w:rFonts w:ascii="宋体" w:hAnsi="宋体"/>
          <w:sz w:val="24"/>
        </w:rPr>
        <w:lastRenderedPageBreak/>
        <w:t>平安资产管理公司信用分析员。2012年加入交银施罗德基金管理有限公司，曾任固定收益研究员、固定收益部基金经理，现任混合资产投资部基金经理。曾任交银施罗德安心收益债券型证券投资基金(2015年11月07日至2019年12月14日)、交银施罗德双利债券证券投资基金(2015年11月07日至2023年05月06日)、交银施罗德裕通纯债债券型证券投资基金(2017年03月31日至2019年10月24日)、交银施罗德荣鑫灵活配置混合型证券投资基金(2019年02月28日至2022年03月11日)、交银施罗德强化回报债券型证券投资基金(2020年07月14日至2023年05月06日)、交银施罗德定期支付月月丰债券型证券投资基金(2020年07月14日至2024年12月27日)、交银施罗德增强收益债券型证券投资基金(2020年07月14日至2022年01月18日)、交银施罗德稳固收益债券型证券投资基金(2020年07月14日至2022年07月08日)的基金经理。现任交银施罗德信用添利债券证券投资基金（LOF）(2015年08月04日至今)、交银施罗德双轮动债券型证券投资基金(2015年08月04日至今)、交银施罗德丰润收益债券型证券投资基金(2025年03月15日至今)、交银施罗德裕利纯债债券型证券投资基金(2026年02月04日至今)的基金经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胡军华女士(2013年04月18日至2014年03月30日)；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赵凌琦女士(2014年03月31日至2015年08月28日)；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孙超先生(2014年08月26日至2015年11月17日)。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委员：袁庆伟（总经理）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马俊（副总经理）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4、按照基金合同的约定确定基金收益分配方案，及时向基金份额持有人分配收益；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（5）依照法律法规有关规定，由中国证监会规定禁止的其他行为。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3、不泄露在任职期间知悉的有关证券、基金的商业秘密，尚未依法公开的基金投资内容、基金投资计划等信息；</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w:t>
      </w:r>
      <w:r>
        <w:rPr>
          <w:rFonts w:ascii="宋体" w:hAnsi="宋体"/>
          <w:sz w:val="24"/>
        </w:rPr>
        <w:lastRenderedPageBreak/>
        <w:t>司的财务运作符合法律的要求和通行的会计标准。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w:t>
      </w:r>
      <w:r>
        <w:rPr>
          <w:rFonts w:ascii="宋体" w:hAnsi="宋体"/>
          <w:sz w:val="24"/>
        </w:rPr>
        <w:lastRenderedPageBreak/>
        <w:t>备操作手册，并定期更新。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AB652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6FCE" w:rsidRDefault="00AB6520">
      <w:pPr>
        <w:pStyle w:val="1"/>
        <w:snapToGrid w:val="0"/>
        <w:spacing w:beforeLines="0" w:before="240" w:after="240"/>
        <w:rPr>
          <w:rFonts w:ascii="宋体" w:hAnsi="宋体"/>
          <w:szCs w:val="30"/>
        </w:rPr>
      </w:pPr>
      <w:bookmarkStart w:id="7" w:name="_Toc228201066"/>
      <w:r>
        <w:rPr>
          <w:rFonts w:ascii="Times New Roman" w:hAnsi="Times New Roman"/>
          <w:sz w:val="30"/>
        </w:rPr>
        <w:lastRenderedPageBreak/>
        <w:t>四、基金托管人</w:t>
      </w:r>
      <w:bookmarkEnd w:id="7"/>
    </w:p>
    <w:p w:rsidR="004E6FCE" w:rsidRDefault="00AB652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名称：中信银行股份有限公司（简称“中信银行”）</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办公地址：北京市朝阳区光华路10号院1号楼6-30层、32-42层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联系人：中信银行资产托管部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联系电话：4006800000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客服电话：95558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网址：www.citicbank.com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w:t>
      </w:r>
      <w:r>
        <w:rPr>
          <w:rFonts w:ascii="宋体" w:hAnsi="宋体"/>
          <w:sz w:val="24"/>
        </w:rPr>
        <w:lastRenderedPageBreak/>
        <w:t>交易所和香港联合交易所A+H 股同步上市。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报告期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其中，中信国际金融控股有限公司子公司中信银行（国际）有限公司在香港、澳门、纽约、 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方合英先生，本行党委书记、董事长、执行董事，代为履行行长职责。方先生</w:t>
      </w:r>
      <w:r>
        <w:rPr>
          <w:rFonts w:ascii="宋体" w:hAnsi="宋体"/>
          <w:sz w:val="24"/>
        </w:rPr>
        <w:lastRenderedPageBreak/>
        <w:t>于2020年12月起任中国中信集团有限公司副总经理、中国中信股份有限公司副总经理及执行委员会成员、中国中信有限公司副总经理，2020年11月起任中国中信集团有限公司党委委员。方先生曾任本行苏州分行行长、杭州分行行长、本行金融市场业务总监、副行长、财务总监。此前，先后在浙江银行学校任教，浙江银行学校实验城市信用社信贷部任总经理助理等。方先生具有三十余年银行从业经验，毕业于湖南财经学院（现湖南大学），获北京大学高级管理人员工商管理硕士学位，正高级经济师。</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截至2026年一季度末，中信银行托管435只公开募集证券投资基金，以及基金公司、证券公司资产管理产品、信托产品、企业年金、股权基金、QDII等其他托管资产，托管总规模达到19.28万亿元人民币。</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w:t>
      </w:r>
      <w:r>
        <w:rPr>
          <w:rFonts w:ascii="宋体" w:hAnsi="宋体"/>
          <w:sz w:val="24"/>
        </w:rPr>
        <w:lastRenderedPageBreak/>
        <w:t>持续、稳健发展；加强稽核监察，建立高效的风险监控体系，及时有效地发现、分析、控制和避免风险，确保基金财产安全，维护基金份额持有人利益。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rsidR="00B439CC" w:rsidRDefault="00AB652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6FCE" w:rsidRDefault="00AB6520">
      <w:pPr>
        <w:pStyle w:val="1"/>
        <w:snapToGrid w:val="0"/>
        <w:spacing w:beforeLines="0" w:before="240" w:after="240"/>
        <w:rPr>
          <w:rFonts w:ascii="宋体" w:hAnsi="宋体"/>
          <w:szCs w:val="30"/>
        </w:rPr>
      </w:pPr>
      <w:bookmarkStart w:id="8" w:name="_Toc228201067"/>
      <w:r>
        <w:rPr>
          <w:rFonts w:ascii="Times New Roman" w:hAnsi="Times New Roman"/>
          <w:sz w:val="30"/>
        </w:rPr>
        <w:lastRenderedPageBreak/>
        <w:t>五、相关服务机构</w:t>
      </w:r>
      <w:bookmarkEnd w:id="8"/>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个人投资者可以通过本公司网上直销交易平台办理开户、本基金的申购、赎回、定期定额投资、转换等业务，具体交易细则请参阅本公司网站。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2、场内代销机构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具有基金代销资格的上海证券交易所场内会员单位。（具体名单见上海证券交易所网站）。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3、场外代销机构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客户服务电话：96005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（3）名称：杭州银行股份有限公司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住所：杭州市庆春路46号杭州银行大厦</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办公地址：杭州市庆春路46号杭州银行大厦</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法定代表人：陈震山</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电话：（0571）85108195、85120696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传真：（0571）86475527</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联系人：严峻、夏帆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网址：www.hzbank.com.cn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（4）名称：平安银行股份有限公司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（5）名称：中国建设银行股份有限公司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住所：北京市西城区金融大街25号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（6）名称：交通银行股份有限公司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（7）名称：招商银行股份有限公司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（8）名称：中信银行股份有限公司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传真：（010）85230024</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（9）名称：江苏常熟农村商业银行股份有限公司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住所：江苏省常熟市新世纪大道58号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办公地址：江苏省常熟市新世纪大道58号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法定代表人：宋建明</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联系电话：（0512）52909128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传真：（0512）52909122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联系人：黄晓</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客户服务电话：962000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网址：www.csrcbank.com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（10）名称：东莞农村商业银行股份有限公司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（11）名称：中国农业银行股份有限公司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网址：www.abchina.com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（12）名称：中国民生银行股份有限公司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（13）名称：中国光大银行股份有限公司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（14）名称：宁波银行股份有限公司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（15）名称：中国邮政储蓄银行股份有限公司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法定代表人：李国华</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（16）名称：光大证券股份有限公司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（17）名称：中信证券股份有限公司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（18）名称：中国中金财富证券有限公司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（19）名称：华福证券股份有限公司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（20）名称：东兴证券股份有限公司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住所：北京市西城区金融大街5号新盛大厦B座12-15层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法定代表人：徐勇力</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电话：（010）66555316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传真：（010）66555246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联系人：汤漫川</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400-8888-993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网址：www.dxzq.net</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（21）名称：德邦证券股份有限公司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（22）名称：东莞证券股份有限公司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客户服务电话：95328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（23）名称：中航证券有限公司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（24）名称：中信建投证券股份有限公司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（25）名称：国信证券股份有限公司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（26）名称：华泰证券股份有限公司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办公地址：江苏省南京市建邺区江东中路228号华泰证券广场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（27）名称：兴业证券股份有限公司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（28）名称：海通证券股份有限公司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（29）名称：华宝证券股份有限公司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联系人：赵洁</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（30）名称：长城国瑞证券有限公司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（31）名称：大同证券有限责任公司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（32）名称：爱建证券有限责任公司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住所：上海市南京西路758号24楼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办公地址：上海市浦东新区世纪大道1600号32楼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法定代表人：张建华</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电话：（021）32229888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传真：（021）68728703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客户服务电话：（021）63340678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网址：www.ajzq.com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（33）名称：长江证券股份有限公司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（34）名称：国泰海通证券股份有限公司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（35）名称：中信证券华南股份有限公司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（36）名称：中国银河证券股份有限公司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法定代表人：陈共炎</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（37）名称：申万宏源证券有限公司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（38）名称：国都证券股份有限公司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（39）名称：平安证券股份有限公司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（40）名称：中信证券（山东）有限责任公司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办公地址：青岛市市南区东海西路28号龙翔广场东座5层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（41）名称：申万宏源西部证券有限公司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（42）名称：中泰证券股份有限公司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（43）名称：江海证券有限公司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联系人：刘爽</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（44）名称：中国国际金融股份有限公司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（45）名称：瑞银证券有限责任公司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住所：北京市西城区金融大街7号英蓝国际金融中心12层、15层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办公地址：北京市西城区金融大街7号英蓝国际金融中心12层、15层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法定代表人：程宜荪</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电话：（010）58328112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传真：（010）58328740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联系人：牟冲</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客户服务电话：400-887-8827</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网址：www.ubssecurities.com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（46）名称：长城证券有限责任公司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（47）名称：国金证券股份有限公司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办公地址：成都市东城根上街95号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（48）名称：信达证券股份有限公司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（49）名称：西南证券股份有限公司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（50）名称：国新证券股份有限公司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传真：（010）58568062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（51）名称：粤开证券股份有限公司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法定代表人：郭川舟</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客服电话：95564</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（52）名称：华西证券股份有限公司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（53）名称：第一创业证券股份有限公司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（54）名称：招商证券股份有限公司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办公地址：深圳市福田区益田路江苏大厦A座38-45层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（55）名称：联储证券有限责任公司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住所：深圳市福田区福田街道岗厦社区深南大道南侧金地中心大厦9楼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办公地址：北京市朝阳区安定路5号院3号楼中建财富国际中心27层联储证券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法定代表人：吕春卫</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传真：010-86499401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祝博文、张婉婷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 400-620-6868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www.lczq.com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（56）名称：广发证券股份有限公司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（57）名称：湘财证券股份有限公司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联系人：钟康莺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（58）名称：山西证券股份有限公司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（59）名称：方正证券股份有限公司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（60）名称：南京证券股份有限公司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（61）名称：西部证券股份有限公司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住所：陕西省西安市新城区东新街 319 号 8 幢 10000 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（62）名称：东方财富证券股份有限公司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（63）名称：北京广源达信基金销售有限公司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（64）名称：大连网金基金销售有限公司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传真：（0411-39027835）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（65）名称：阳光人寿保险股份有限公司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（66）名称：玄元保险代理有限公司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（67）名称：京东肯特瑞基金销售有限公司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网址：kenterui.jd.com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（68）名称：上海大智慧基金销售有限公司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（69）名称：腾安基金销售（深圳）有限公司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（70）名称：珠海盈米基金销售有限公司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（71）名称：上海华夏财富投资管理有限公司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 北京市西城区金融大街33号通泰大厦B座8层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（72）名称：北京度小满基金销售有限公司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（73）名称：南京苏宁基金销售有限公司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（74）名称：嘉实财富管理有限公司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 010-85097302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（75）名称：北京汇成基金销售有限公司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（76）名称：上海利得基金销售有限公司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（77）名称：北京虹点基金销售有限公司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网址：www.hongdianfund.com/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（78）名称：上海陆金所基金销售有限公司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（79）名称：上海挖财基金销售有限公司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（80）名称：万家财富基金销售（天津）有限公司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（81）名称：上海万得基金销售有限公司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住所：中国（上海）自由贸易试验区福山路33号11楼B座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（82）名称：格上富信投资顾问有限公司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（83）名称：深圳市金斧子基金销售有限公司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（84）名称：北京雪球基金销售有限公司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电话：（010）61840688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（85）名称：北京新浪仓石基金销售有限公司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（86）名称：中证金牛（北京）基金销售有限公司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（87）名称：上海证达通基金销售有限公司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潘梦茹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（88）名称：北京创金启富基金销售有限公司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（89）名称：奕丰基金销售有限公司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（90）名称：上海天天基金销售有限公司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网址：www.1234567.com.cn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（91）名称：和讯信息科技有限公司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（92）名称：诺亚正行基金销售有限公司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（93）名称：上海好买基金销售有限公司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（94）名称：上海长量基金销售有限公司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法定代表人：张跃伟</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（95）名称：深圳众禄基金销售股份有限公司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（96）名称：蚂蚁（杭州）基金销售有限公司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（97）名称：中信期货有限公司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电话：010-60833754</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（98）名称：天相投资顾问有限公司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（99）名称：上海基煜基金销售有限公司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（100）名称：浙江同花顺基金销售有限公司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联系人：吴强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（101）名称：宜信普泽（北京）基金销售有限公司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（102）名称：上海联泰基金销售有限公司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（103）名称：泛华普益基金销售有限公司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（104）名称：北京展恒基金销售股份有限公司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（105）名称：深圳市新兰德证券投资咨询有限公司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（106）名称：和耕传承基金销售有限公司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（107）名称：上海中欧财富基金销售有限公司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办公地址：上海市虹口区公平路18号嘉昱大厦6楼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（108）名称：中国人寿保险股份有限公司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（109）名称：济安财富（北京）基金销售有限公司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（110）名称：博时财富基金销售有限公司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网址：www.boserawealth.com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（111）名称：深圳前海微众银行股份有限公司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（112）名称：上海攀赢基金销售有限公司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客户服务电话：021-68889082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网址：www.weonefunds.com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基金管理人可根据有关法律法规的要求，选择其它符合要求的机构代理销售本基金，并及时公告。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传真：（021）31358600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AB652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6FCE" w:rsidRDefault="00AB6520">
      <w:pPr>
        <w:pStyle w:val="1"/>
        <w:snapToGrid w:val="0"/>
        <w:spacing w:beforeLines="0" w:before="240" w:after="240"/>
        <w:rPr>
          <w:rFonts w:ascii="宋体" w:hAnsi="宋体"/>
          <w:szCs w:val="30"/>
        </w:rPr>
      </w:pPr>
      <w:bookmarkStart w:id="9" w:name="_Toc228201068"/>
      <w:r>
        <w:rPr>
          <w:rFonts w:ascii="Times New Roman" w:hAnsi="Times New Roman"/>
          <w:sz w:val="30"/>
        </w:rPr>
        <w:lastRenderedPageBreak/>
        <w:t>六、基金的募集</w:t>
      </w:r>
      <w:bookmarkEnd w:id="9"/>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本基金由基金管理人依照《基金法》、《运作办法》、基金合同及其他有关规定，并经中国证监会证监许可[2013]97号文核准募集发售。</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本基金为契约型开放式债券型基金。基金存续期间为不定期。</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本基金自2013年3月18日至2013年4月12日进行发售。本基金设立募集期共募集1,866,490,071.43份基金份额，有效认购户数为10,624户。</w:t>
      </w:r>
    </w:p>
    <w:p w:rsidR="00B439CC" w:rsidRDefault="00AB652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6FCE" w:rsidRDefault="00AB6520">
      <w:pPr>
        <w:pStyle w:val="1"/>
        <w:snapToGrid w:val="0"/>
        <w:spacing w:beforeLines="0" w:before="240" w:after="240"/>
        <w:rPr>
          <w:rFonts w:ascii="宋体" w:hAnsi="宋体"/>
          <w:szCs w:val="30"/>
        </w:rPr>
      </w:pPr>
      <w:bookmarkStart w:id="10" w:name="_Toc228201069"/>
      <w:r>
        <w:rPr>
          <w:rFonts w:ascii="Times New Roman" w:hAnsi="Times New Roman"/>
          <w:sz w:val="30"/>
        </w:rPr>
        <w:lastRenderedPageBreak/>
        <w:t>七、基金合同的生效</w:t>
      </w:r>
      <w:bookmarkEnd w:id="10"/>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根据有关规定，本基金满足基金合同生效条件，基金合同已于2013年4月18日正式生效。自基金合同生效之日起，本基金管理人正式开始管理本基金。</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出现基金份额持有人数量不满200人或者基金资产净值低于5000万元的，基金管理人应当及时报告中国证监会；连续20个工作日出现前述情形的，基金管理人应当向中国证监会说明原因并报送解决方案。</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法律法规或监管机构另有规定时，从其规定。</w:t>
      </w:r>
    </w:p>
    <w:p w:rsidR="00B439CC" w:rsidRDefault="00AB652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6FCE" w:rsidRDefault="00AB6520">
      <w:pPr>
        <w:pStyle w:val="1"/>
        <w:snapToGrid w:val="0"/>
        <w:spacing w:beforeLines="0" w:before="240" w:after="240"/>
        <w:rPr>
          <w:rFonts w:ascii="宋体" w:hAnsi="宋体"/>
          <w:szCs w:val="30"/>
        </w:rPr>
      </w:pPr>
      <w:bookmarkStart w:id="11" w:name="_Toc228201070"/>
      <w:r>
        <w:rPr>
          <w:rFonts w:ascii="Times New Roman" w:hAnsi="Times New Roman"/>
          <w:sz w:val="30"/>
        </w:rPr>
        <w:lastRenderedPageBreak/>
        <w:t>八、基金份额的申购与赎回</w:t>
      </w:r>
      <w:bookmarkEnd w:id="11"/>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投资者可通过下述场所按照规定的方式进行申购或赎回：</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本基金直销机构为本公司以及本公司的网上直销交易平台。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个人投资者可以通过本公司网上直销交易平台办理开户、本基金的申购、赎回、定期定额投资、转换等业务，具体交易细则请参阅本公司网站。网上直销交易平台网址：www.fund001.com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2、通过上海证券交易所开放式基金销售系统办理相关业务的上海证券交易所会员单位，目前场内交易只支持A类基金份额的申购。具体名单详见上海证券交易所网站。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3、不通过上海证券交易所开放式基金销售系统办理相关业务的场外代销机构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本基金场外代销机构参见本招募说明书“五、相关服务机构”章节或拨打本公司客户服务电话进行咨询。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投资者可通过上述销售机构办理基金销售业务的营业场所或按上述销售机构提供的其他方式进行申购或赎回。本基金管理人可根据情况变更或增减基金场外代销机构，并在管理人网站公示。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若基金管理人或其指定的代销机构开通电话、传真或网上等交易方式，投资者可以通过上述方式进行申购与赎回。</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投资者在开放日办理基金份额的申购和赎回，具体办理时间为上海证券交易所、深圳证券交易所的正常交易日的交易时间，但基金管理人根据法律法规、中国证监会的要求或本基金合同的规定公告暂停申购、赎回时除外。</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本基金已于2013年6月17日起开放场内、场外申购业务。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本基金已于2013年6月17日起开放场内、场外赎回业务。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基金投资者在基金合同约定之外的日期和时间提出申购、赎回或转换申请的，其基金份额申购、赎回及转换价格为下次办理基金份额申购、赎回及转换时间所在开放日的价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（三）申购和赎回的原则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3、当日的申购与赎回申请可以在基金管理人规定的时间以内撤销，但申请经登记机构正式受理的不得撤销；</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5、投资人通过上海证券交易所开放式基金销售系统办理本基金的场内申购、赎回业务时，需遵守上海证券交易所的相关业务规则；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6、基金管理人可在法律法规允许的情况下，对上述原则进行调整。基金管理人必须在新规则开始实施前依照《信息披露办法》的有关规定在指定媒介上公告。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场外申购时，场外代销机构每个账户单笔申购的最低金额为单笔1元，如果代销机构业务规则规定的最低单笔认购金额高于1元，以代销机构的规定为准。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每个账户首次申购的最低金额为单笔100万元，追加申购的最低金额为单笔10万元；已在直销机构有认购或申购过本基金管理人管理的任一基金（包括本基金）记录的投资者不受首次申购最低金额的限制。通过本公司网上直销交易平台办理基金申购业务的不受直销机构单笔申购最低金额的限制，申购最低金额为单笔1元。本基金直销机构单笔申购最低金额可由基金管理人酌情调整。</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场内申购时，每笔申购金额最低为100元人民币，同时每笔申购必须是100元的整数倍，并且单笔申购最高不超过99,999,900元。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赎回的最低份额为1份基金份额，如果销售机构业务规则规定的最低单笔赎回份额高于1份，以该销售机构的规定为准。场内赎回时，赎回的最低份额为50份基金份额，同时赎回份额必须是整数份额，并且单笔赎回最多不超过99,999,999份基金份额。</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每个工作日投资者在单个交易账户保留的本基金份额余额少于1份时，若当日该账户同时有份额减少类业务（如赎回、转换出等）被确认，则基金管理人有权将投资者在该账户保留的本基金份额一次性全部赎回。</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5、基金管理人可以根据市场情况，在法律法规允许的情况下，调整上述规定的数量或比例限制。基金管理人必须在调整前依照《信息披露办法》的有关规定在指定媒介上公告。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基金投资者必须根据销售机构规定的程序，在开放日的具体业务办理时间内提出申购或赎回的申请。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基金投资者在提交申购申请时须按销售机构规定的方式备足申购资金，基金投</w:t>
      </w:r>
      <w:r>
        <w:rPr>
          <w:rFonts w:ascii="宋体" w:hAnsi="宋体"/>
          <w:sz w:val="24"/>
        </w:rPr>
        <w:lastRenderedPageBreak/>
        <w:t>资者在提交赎回申请时须持有足够的基金份额余额，否则所提交的申购、赎回申请无效。</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2、申购和赎回申请的确认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登记机构应以交易时间结束前受理有效申购和赎回申请的当天作为申购或赎回申请日（T日），正常情况下，本基金在T+1 日（包括该日）内对该交易的有效性进行确认，T日提交的有效申请，基金投资者应在T+2日后（包括该日）及时到销售网点柜台或以销售机构规定的其他方式查询申请的确认情况。</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基金管理人可以在法律法规允许的范围内，依法对上述申购和赎回申请的确认时间进行调整，并必须在调整实施日前按照《信息披露办法》的有关规定在指定媒介上公告。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3、申购和赎回的款项支付</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申购采用全额缴款方式，若申购资金在规定时间内未全额到账则申购不成功。若申购不成功或无效，基金管理人或基金管理人指定的代销机构将基金投资者已缴付的申购款项本金退还给投资者。</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基金投资者赎回申请成功后，基金管理人将通过登记机构及其相关销售机构在T＋7日（包括该日）内将赎回款项划往基金份额持有人账户。在发生巨额赎回时，款项的支付办法参照基金合同有关条款处理。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（六）申购与赎回的注册登记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1、投资者T 日申购基金成功后，正常情况下，登记机构在T＋1 日为投资者增加权益并办理注册登记手续，投资者自T＋2 日（包括该日）起有权赎回该部分基金份额。投资者应及时查询有关申请的确认情况。</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2、投资者T 日赎回基金成功后，正常情况下，登记机构在T＋1 日为投资者扣除权益并办理相应的注册登记手续。</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3、基金管理人可在法律法规允许的范围内，对上述注册登记办理时间进行调整，并最迟于开始实施前按照《信息披露办法》的有关规定在指定媒介上公告。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（七）基金的申购费和赎回费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基金份额分为A类、B类和C类基金份额。投资者申购A类基金份额支付申购费用，申购B类基金份额在赎回时才支付相应的申购费用，申购C类基金份额不支付申购费用，而是从该类别基金资产中计提销售服务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A/B类基金份额的申购费用由A/B类基金份额申购人承担，不列入基金财产，主要用于本基金的市场推广、销售、登记结算等各项费用。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投资者可以多次申购本基金，申购费率按每笔申购申请单独计算。</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类基金份额前端申购费率</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万元（含）以上</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本基金B类基金份额的申购费率如下：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r>
              <w:rPr>
                <w:rFonts w:ascii="Times New Roman" w:hAnsi="Times New Roman"/>
                <w:color w:val="000000"/>
                <w:kern w:val="0"/>
                <w:sz w:val="25"/>
                <w:szCs w:val="24"/>
              </w:rPr>
              <w:t>类基金份额后端申购费率</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持有A/B类基金份额的基金投资者因红利自动再投资而产生的A/B类基金份额，不收取相应的申购费用。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本基金自2013年7月8日起，对通过本公司直销柜台申购本基金A类基金份额的养老金客户实施特定申购费率。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通过本公司直销柜台申购本基金A类基金份额的养老金客户特定申购费率如下表：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4E6FC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特定申购费率（</w:t>
            </w:r>
            <w:r>
              <w:rPr>
                <w:rFonts w:ascii="Times New Roman" w:hAnsi="Times New Roman"/>
                <w:color w:val="000000"/>
                <w:kern w:val="0"/>
                <w:sz w:val="25"/>
                <w:szCs w:val="24"/>
              </w:rPr>
              <w:t>A</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p>
        </w:tc>
      </w:tr>
      <w:tr w:rsidR="004E6FC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4E6FCE" w:rsidRDefault="004E6FC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4E6FC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4E6FCE" w:rsidRDefault="004E6FC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rsidR="004E6FC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4E6FCE" w:rsidRDefault="004E6FC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rsidR="004E6FC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4E6FCE" w:rsidRDefault="004E6FC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4E6FC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4E6FCE" w:rsidRDefault="004E6FC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各类基金份额的赎回费用由该类基金份额赎回人承担，赎回费用的25%归基金财产，其余用于支付注册登记费和其他必要的手续费。投资人赎回各类基金份额收取赎回费用，该费用随该类基金份额的持有时间递减。其中，对持续持有期少于7日的基金份额持有人收取不低于1.5%的赎回费并全额计入基金财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本基金A/B类基金份额的赎回费率如下：</w:t>
      </w:r>
    </w:p>
    <w:tbl>
      <w:tblPr>
        <w:tblW w:w="5000" w:type="pct"/>
        <w:tblCellMar>
          <w:left w:w="0" w:type="dxa"/>
          <w:right w:w="0" w:type="dxa"/>
        </w:tblCellMar>
        <w:tblLook w:val="0000" w:firstRow="0" w:lastRow="0" w:firstColumn="0" w:lastColumn="0" w:noHBand="0" w:noVBand="0"/>
      </w:tblPr>
      <w:tblGrid>
        <w:gridCol w:w="2167"/>
        <w:gridCol w:w="6503"/>
      </w:tblGrid>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0.05%</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2167"/>
        <w:gridCol w:w="6503"/>
      </w:tblGrid>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3、基金管理人可以在履行相关手续后，在基金合同约定的范围内调整申购、赎回费率或调整收费方式，基金管理人应于新的费率或收费方式实施日前依照有关规定在指定媒介上公告。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4、基金管理人可以在不违背法律法规规定及基金合同约定的情况下根据市场情况制定基金促销计划，针对基金投资者定期和不定期地开展基金促销活动。在基</w:t>
      </w:r>
      <w:r>
        <w:rPr>
          <w:rFonts w:ascii="宋体" w:hAnsi="宋体"/>
          <w:sz w:val="24"/>
        </w:rPr>
        <w:lastRenderedPageBreak/>
        <w:t>金促销活动期间，基金管理人可以按中国证监会要求履行必要手续后，对基金投资者适当调整基金申购费率、赎回费率和转换费率。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（八）申购和赎回的数额和价格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份额余额的处理方式：申购的有效份额按实际确认的申购金额在扣除申购费用（如有）后，以当日基金份额净值为基准计算，场外申购的有效份额按照四舍五入的原则保留到小数点后2位，由此误差产生的损失由基金财产承担，产生的收益归基金财产所有。场内申购的有效份额的计算截位保留到整数位，剩余部分折回金额返还投资者，折回金额的计算保留到小数点后两位，小数点两位以后的部分四舍五入，由此误差产生的损失由基金财产承担，产生的收益归基金财产所有。</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余额的处理方式：赎回金额为按实际确认的有效赎回份额乘以当日基金份额净值并扣除赎回费用（如有），赎回金额计算结果按照四舍五入的原则保留到小数点后2位，由此误差产生的损失由基金财产承担，产生的收益归基金财产所有。</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w:t>
      </w:r>
      <w:r w:rsidR="00385BB9">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54pt">
            <v:imagedata r:id="rId15" o:title="1521256610242020828"/>
          </v:shape>
        </w:pic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场内申购的有效份额保留到整数位，剩余部分对应申购资金返还投资者。</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例一：某投资者投资100,000元申购本基金的A类基金份额，假设申购当日A/B类基金份额净值为1.0400元，申购费率为0.8%，如果该投资者是场外申购，则其可得到的申购份额为：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申购总金额＝100,000元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净申购金额=100,000/（1+0.8%）=99,206.35元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申购份额=（100,000-793.65）/1.0400=95,390.72份</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如果该投资者是场内申购，申购份额为95,390份，其余0.72份对应金额返回给投资者。</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（2）B类基金份额的申购</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w:t>
      </w:r>
      <w:r w:rsidR="00385BB9">
        <w:rPr>
          <w:rFonts w:ascii="宋体" w:hAnsi="宋体"/>
          <w:kern w:val="0"/>
          <w:sz w:val="24"/>
        </w:rPr>
        <w:pict>
          <v:shape id="_x0000_i1026" type="#_x0000_t75" style="width:3in;height:54pt">
            <v:imagedata r:id="rId16" o:title="1521256610242020828"/>
          </v:shape>
        </w:pic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当投资者提出赎回时，后端申购费用的计算方法为：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后端申购费用＝赎回份额×T日A/B类基金份额净值×后端申购费率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例二：某投资者投资100,000元申购本基金的B类基金份额，假设申购当日A/B类基金份额净值为1.0400元，则其可得到的申购份额为：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即：投资者投资100,000元申购本基金的B类基金份额，假设申购当日A/B类基金份额净值为1.0400元，则可得到96,153.85份基金份额，但其在赎回时需根据其持有时间按对应的后端申购费率交纳后端申购费用。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（3）C类基金份额的申购</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如果投资者赎回A类基金份额，则赎回金额的计算方法如下：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赎回费用=赎回份额×T日A/B类基金份额净值×赎回费率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赎回金额=赎回份额×T日A/B类基金份额净值-赎回费用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例四：某投资者赎回100,000份A类基金份额，对应的赎回费率为0.1%，假设赎回当日A/B类基金份额净值是1.0160元，则其可得到的赎回金额为：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赎回费用=100,000×1.0160×0.1%＝101.60元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赎回金额=100,000×1.0160-101.60＝101,498.40元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即：投资者赎回100,000份A类基金份额，假设赎回当日A/B类基金份额净值是1.0160元，则其可得到的赎回金额为101,498.40元。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（2）B类基金份额的赎回</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如果投资者赎回B类基金份额，则赎回金额的计算方法如下：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赎回总额＝赎回份额×T日A/B类基金份额净值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后端（认）申购费用＝赎回份额×（认）申购日基金份额净值×后端（认）申购费率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赎回费用＝赎回总额×赎回费率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赎回金额＝赎回总额－后端（认）申购费用－赎回费用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例五：某投资者赎回100,000份B类基金份额，对应的后端申购费率是1.0%，赎回费率为0.1%，假设赎回当日A/B类基金份额净值是1.0160元，申购时的A/B类基金份额净值为1.0100元，则其可得到的赎回金额为：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赎回总额=100,000×1.0160=101,600元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后端申购费用=100,000×1.0100×1.0%=1,010.00元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赎回费用=101,600×0.1%=101.60元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赎回金额=101,600-1,010.00-101.60=100,488.40元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B类基金份额，对应的赎回费率为0.1%，假设赎回当日A/B类基金份额净值是1.0160元，投资者对应的后端申购费率是1.0%，申购时的A/B类基金份额净值为1.0100元，则其可得到的赎回金额为100,488.40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（3）C类基金份额的赎回</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赎回金额=赎回份数×T日C类基金份额净值-赎回费用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例六：某投资者赎回100,000份C类基金份额，对应的赎回费率为0，假设赎回当日C类基金份额净值是1.2500 元，则其可得到的赎回金额为：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赎回费用=100,000×1.2500×0＝0元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赎回金额=100,000×1.2500-0=125,000 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即：投资者赎回100,000份C类基金份额，对应的赎回费率为0，假设赎回当日C类基金份额净值是1.2500元，则其可得到的赎回金额为125,000元。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A/B类基金份额净值＝A/B类基金份额的基金资产净值总额/发行在外的A/B类基金份额总数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本基金不同类别基金份额T日的基金份额净值在当日收市后分别计算，并在T＋1日分别公告。遇特殊情况，经中国证监会同意，可以适当延迟计算或公告。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（九）拒绝或暂停申购的情形及处理方式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发生下列情况时，基金管理人可拒绝或暂停接受基金投资者的申购申请：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3、证券交易所交易时间临时停市，导致基金管理人无法计算当日基金资产净值。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4、基金管理人认为接受某笔或某些申购申请可能会影响或损害现有基金份额持有人利益时。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5、基金资产规模过大，使基金管理人无法找到合适的投资品种，或其他可能对基金业绩产生负面影响，从而损害现有基金份额持有人利益的情形。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7、基金管理人接受某笔或者某些申购申请有可能导致单一投资者持有基金份额的比例超过50%，或者变相规避50%集中度的情形时。出现上述情形时，基金管理人有权将上述申购申请全部或部分确认失败。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8、法律法规规定或中国证监会认定的其他情形。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8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（十）暂停赎回或者延缓支付赎回款项的情形及处理方式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发生下列情形时，基金管理人可暂停接受基金投资者的赎回申请或延缓支付赎回款项：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3、证券交易所交易时间临时停市，导致基金管理人无法计算当日基金资产净值。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6、法律法规规定或中国证监会认定的其他情形。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（十一）巨额赎回的情形及处理方式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2、巨额赎回的处理方式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（1）全额赎回：当基金管理人认为有能力支付基金投资者的赎回申请时，按正常赎回程序执行。</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当发生上述延期赎回并延期办理时，基金管理人应当通过邮寄、传真刊登公告或者通知代销机构代为告知等方式在3个交易日内通知基金份额持有人，说明有关</w:t>
      </w:r>
      <w:r>
        <w:rPr>
          <w:rFonts w:ascii="宋体" w:hAnsi="宋体"/>
          <w:sz w:val="24"/>
        </w:rPr>
        <w:lastRenderedPageBreak/>
        <w:t>处理方法，并在2日内在指定媒介上刊登公告。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（十二）暂停申购或赎回的公告和重新开放申购或赎回的公告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1、发生上述暂停申购或赎回情况的，基金管理人应依照有关规定在指定媒介上刊登暂停公告。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2、暂停结束，基金重新开放申购或赎回时，基金管理人应依照《信息披露管理办法》的有关规定，不迟于重新开放日在指定媒介上刊登基金重新开放申购或赎回公告，并公告最近1个开放日的基金份额净值。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（十三）转托管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本基金的份额采用分系统登记的原则。场外认购或申购的基金份额登记在注册登记系统基金份额持有人开放式基金账户下；场内认购、申购的基金份额登记在证券登记结算系统基金份额持有人上海证券账户下。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1、系统内转托管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（1）系统内转托管是指基金份额持有人将持有的基金份额在注册登记系统内不同销售机构之间或证券登记结算系统内不同会员单位之间进行转登记的行为。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（2）基金份额登记在注册登记系统的基金份额持有人在变更办理基金赎回业务的销售机构（网点）时，销售机构（网点）之间不能通存通兑时的，可办理已持有基金份额的系统内转托管。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2、跨系统转托管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（1）跨系统转托管是指基金份额持有人将所持有的基金份额在注册登记系统和证券登记结算系统之间进行转登记的行为。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（2）本基金跨系统转托管的具体业务按照中国证券登记结算有限责任公司的相关规定办理。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如果基金管理人、登记机构、办理转托管的销售机构出现技术系统性能限制或出于其它合理原因，可以暂停该业务或者拒绝基金份额持有人的转托管申请。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（十四）定期定额投资计划</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w:t>
      </w:r>
      <w:r>
        <w:rPr>
          <w:rFonts w:ascii="宋体" w:hAnsi="宋体"/>
          <w:sz w:val="24"/>
        </w:rPr>
        <w:lastRenderedPageBreak/>
        <w:t>计划并不构成对基金日常申购、赎回等业务的影响，投资人在办理相关基金定期定额投资计划的同时，仍然可以进行日常申购、赎回业务。本基金2013年6月7日刊登公告自2013年6月17日起开通定期定额投资计划业务，具体开通销售机构名单和业务规则参见相关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（十五）基金的非交易过户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（十六）基金份额的冻结和解冻</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（十七）实施侧袋机制期间本基金的申购与赎回</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B439CC" w:rsidRDefault="00AB652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6FCE" w:rsidRDefault="00AB6520">
      <w:pPr>
        <w:pStyle w:val="1"/>
        <w:snapToGrid w:val="0"/>
        <w:spacing w:beforeLines="0" w:before="240" w:after="240"/>
        <w:rPr>
          <w:rFonts w:ascii="宋体" w:hAnsi="宋体"/>
          <w:szCs w:val="30"/>
        </w:rPr>
      </w:pPr>
      <w:bookmarkStart w:id="12" w:name="_Toc228201071"/>
      <w:r>
        <w:rPr>
          <w:rFonts w:ascii="Times New Roman" w:hAnsi="Times New Roman"/>
          <w:sz w:val="30"/>
        </w:rPr>
        <w:lastRenderedPageBreak/>
        <w:t>九、基金的转换</w:t>
      </w:r>
      <w:bookmarkEnd w:id="12"/>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本基金2013年6月19日刊登公告自2013年6月24日起开放日常转换业务。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（四）基金转换的数额限制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本基金遵循“份额转换”的原则，单笔转换份额不得低于1份。基金持有人可将其全部或部分基金份额转换成其它基金，单笔转换申请不受转入基金最低申购限额限制。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转出基金的赎回费用及归入基金财产的比例按照各基金最新的更新招募说明书及相关公告规定的赎回费率和计费方式收取。</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w:t>
      </w:r>
      <w:r>
        <w:rPr>
          <w:rFonts w:ascii="宋体" w:hAnsi="宋体"/>
          <w:sz w:val="24"/>
        </w:rPr>
        <w:lastRenderedPageBreak/>
        <w:t>基金后端申购费率减去转入基金后端申购费率差额进行补差。</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6、基金管理人可以根据法律法规及基金合同的规定对上述收费方式和费率进行调整，并应于调整后的收费方式和费率在实施前依照《信息披露办法》的有关规定在中国证监会指定媒介上公告。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w:t>
      </w:r>
      <w:r>
        <w:rPr>
          <w:rFonts w:ascii="宋体" w:hAnsi="宋体"/>
          <w:sz w:val="24"/>
        </w:rPr>
        <w:lastRenderedPageBreak/>
        <w:t>额净值为2.2700元。若该投资者将100,000份交银趋势前端A类基金份额转换为交银成长前端基金份额，则转入交银成长确认的基金份额为：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转出基金的赎回费=0元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转出确认金额=100,000×1.2500=125,000元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w:t>
      </w:r>
      <w:r>
        <w:rPr>
          <w:rFonts w:ascii="宋体" w:hAnsi="宋体"/>
          <w:sz w:val="24"/>
        </w:rPr>
        <w:lastRenderedPageBreak/>
        <w:t>式的其他基金。货币市场基金、债券基金C类基金份额与其他基金之间的转换不受上述收费模式的限制。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AB652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6FCE" w:rsidRDefault="00AB6520">
      <w:pPr>
        <w:pStyle w:val="1"/>
        <w:snapToGrid w:val="0"/>
        <w:spacing w:beforeLines="0" w:before="240" w:after="240"/>
        <w:rPr>
          <w:rFonts w:ascii="宋体" w:hAnsi="宋体"/>
          <w:szCs w:val="30"/>
        </w:rPr>
      </w:pPr>
      <w:bookmarkStart w:id="13" w:name="_Toc228201072"/>
      <w:r>
        <w:rPr>
          <w:rFonts w:ascii="Times New Roman" w:hAnsi="Times New Roman"/>
          <w:sz w:val="30"/>
        </w:rPr>
        <w:lastRenderedPageBreak/>
        <w:t>十、基金的投资</w:t>
      </w:r>
      <w:bookmarkEnd w:id="13"/>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本基金在严格控制投资风险的基础上，通过积极主动的投资管理，把握债券市场轮动带来的机会，力争实现基金资产长期稳健的增值。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债、央行票据、地方政府债、金融债、企业债、短期融资券、中期票据、公司债、分离交易可转债、资产支持证券、债券回购、银行存款等固定收益类资产以及法律法规或中国证监会允许基金投资的其他金融工具(但须符合中国证监会相关规定)。本基金不直接在二级市场买入股票、权证等权益类资产，也不参与一级市场新股申购和新股增发。因投资于分离交易可转债而产生的权证，在其可交易之日起的30个交易日内卖出。同时本基金不参与可转换债券投资（分离交易可转债除外）。</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基金的投资组合比例为：固定收益类资产的比例不低于基金资产净值的80%；现金或到期日在一年以内的政府债券的比例合计不低于基金资产净值的5%，其中现金不包括结算备付金、存出保证金、应收申购款等。</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将规范化的基本面研究、严谨的信用分析与积极主动的投资风格相结合，在分析和判断宏观经济运行状况和金融市场运行趋势的基础上，判断不同类别债券在经济周期的不同阶段的相对投资价值，动态调整大类金融资产比例，自上而下决定类属资产配置和债券组合久期、期限结构。同时，通过对信用债发债主体所处行业的景气轮动判断，并结合内部信用评级系统，综合考察信用债券的信用评级，在严谨深入的分析基础上，综合考量各类债券的流动性、供求关系和收益率水平等，自下而上地精选个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分析和判断国内外宏观经济形势的基础上，通过“自上而下”的定性分析和定量分析相结合，形成对大类资产的预测和判断，在基金合同约定的范围内确定债券类资产和现金类资产的配置比例，并随着各类证券风险收益特征的相对变</w:t>
      </w:r>
      <w:r>
        <w:rPr>
          <w:rFonts w:ascii="宋体" w:hAnsi="宋体"/>
          <w:sz w:val="24"/>
        </w:rPr>
        <w:lastRenderedPageBreak/>
        <w:t>化，动态调整大类资产的投资比例，以规避市场风险，提高基金收益率。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2、债券投资策略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（1）券种轮动策略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类属资产的风险来源不同将固定收益类品种划分为利率产品和信用产品。宏观经济周期、货币政策以及企业信用实力的变动使得债券收益率和信用利差在经济不同阶段存在明显差异,利率产品和信用产品在不同阶段的优劣可能相互转化。本基金将在严谨深入的宏观研究、利率分析和信用分析基础上，积极在利率产品和信用产品之间进行动态优化配置，通过超配不同时期的相对强势品种，为组合获取超额收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券种轮动规律来看，经济滞胀后期和衰退前期经济下滑，无风险收益率开始下降，企业盈利水平的下滑将引发市场对于信用风险的担忧。因此，在这一时期无信用风险的利率产品（主要包括国债、央行票据、政策性金融债等其他利率类金融工具）表现相对较好。而进入衰退中后期，物价水平已大幅下降，经济开始触底并缓慢复苏，企业盈利有望得到好转，信用水平有所改善，这时信用产品（主要包括金融债、企业债、公司债、地方政府债、短期融资券、中期票据、分离交易可转债、资产支持证券等其他信用类金融工具）成为更好的投资标的。本基金将积极把握上述券种间的轮动效应，超配阶段性的强势品种，以提升组合收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（2）信用债券投资策略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行业轮动常见于股票资产的投资策略，不同行业的债券回报在经济周期不同阶段下同样存在板块轮动现象，其隐含的是行业景气的不同步，导致不同行业的违约率和信用资质变化不同步。伴随中国信用债券市场的快速发展，行业轮动效应也将日趋明显。本基金将利用研究团队对宏观经济周期发展趋势判断，充分考虑不同行业的周期性特征以及未来一段时间内的景气度，一方面规避信用风险明显上升的高风险行业，另一方面则可在周期性和防御性行业之间主动切换，从而为组合获取超额收益。本基金信用债券的投资遵循以下流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1）信用债券研究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w:t>
      </w:r>
      <w:r>
        <w:rPr>
          <w:rFonts w:ascii="宋体" w:hAnsi="宋体"/>
          <w:sz w:val="24"/>
        </w:rPr>
        <w:lastRenderedPageBreak/>
        <w:t>本基金的信用债券池。</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2）信用债券投资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基金经理从信用债券池中精选债券构建信用债券投资组合。</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本基金构建和管理信用债券投资组合时主要考虑以下因素：</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①信用债券信用评级的变化。</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②不同信用等级的信用债券，以及同一信用等级不同标的债券之间的信用利差变化。</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原则上，购买信用（拟）增级的信用债券，减持信用（拟）降级的信用债券；购买信用利差扩大后存在收窄趋势的信用债券，减持信用利差缩小后存在放宽趋势的信用债券。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（3）久期管理策略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作为债券基金最基本的投资策略，久期管理策略本质上是一种自上而下，通过灵活的久期策略对管理利率风险的策略。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密切关注货币信贷、利率、汇率、采购经理人指数等宏观经济运行关键指标，运用数量化工具对宏观经济运行及货币财政政策变化跟踪与分析，对未来市场利率趋势进行分析预测，据此确定合理的债券组合目标久期。</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（4）期限结构配置策略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（5）骑乘策略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骑乘策略，通过对债券收益曲线形状变动的预期为依据来建立和调整组合。当债券收益率曲线比较陡峭时，买入位于收益率曲线陡峭处的债券，持有一段时间后，伴随债券剩余期限的缩短与收益率水平的下降，获得一定的资本利得收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（6）杠杆放大策略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（7）资产支持证券（含资产收益计划）投资策略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（四）业绩比较基准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14类券种，能够综合反映我国债券市场的整体投资收益情况，适合作为本基金的业绩比较基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而无需召开基金份额持有人大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（五）投资限制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（1）固定收益类资产的比例不低于基金资产净值的80%；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（2）保持不低于基金资产净值5％的现金或者到期日在一年以内的政府债券，其中现金不包括结算备付金、存出保证金、应收申购款等；</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（3）本基金管理人管理的全部基金持有一家公司发行的证券，不超过该证券的10％；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（4）本基金持有的全部权证，其市值不得超过基金资产净值的3％；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（5）本基金管理人管理的全部基金持有的同一权证，不得超过该权证的 10％；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（6）本基金投资于同一原始权益人的各类资产支持证券的比例，不得超过基金资产净值的10％；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（7）本基金持有的全部资产支持证券，其市值不得超过基金资产净值的20％；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（8）本基金持有的同一(指同一信用级别)资产支持证券的比例，不得超过该资产支持证券规模的10％；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（9）本基金管理人管理的全部基金投资于同一原始权益人的各类资产支持证券，不得超过其各类资产支持证券合计规模的10％；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（10）本基金应投资于信用级别评级为BBB以上(含BBB)的资产支持证券。基金持有资产支持证券期间，如果其信用等级下降、不再符合投资标准，应在评级报告发布之日起3个月内予以全部卖出；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（11）本基金进入全国银行间同业市场进行债券回购的资金余额不得超过基金资产净值的40%；债券回购最长期限为１年，债券回购到期后不得展期；</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（14）法律法规及中国证监会规定的和基金合同约定的其他投资限制。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10）、（12）、（13）项外，因证券市场波动、基金规模变动等基金管理人之外的因素致使基金投资比例不符合上述规定投资比例的，基金管理人应当在10个交易日内进行调整。法律法规另有规定的，从其规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基金管理人应当自基金合同生效之日起6个月内使基金的投资组合比例符合基金合同的有关约定。基金托管人对基金的投资的监督与检查自本基金合同生效之日起开始。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法律法规或监管部门取消上述限制，如适用于本基金，基金管理人在履行适当程序后，则本基金投资不再受相关限制。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（六）禁止行为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（2）向他人贷款或者提供担保；</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（4）买卖其他基金份额，但是国务院另有规定的除外；</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（5）向其基金管理人、基金托管人出资或者买卖其基金管理人、基金托管人发行的股票或者债券；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（6）买卖与其基金管理人、基金托管人有控股关系的股东或者与其基金管理人、基金托管人有其他重大利害关系的公司发行的证券或者承销期内承销的证券；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（7）从事内幕交易、操纵证券交易价格及其他不正当的证券交易活动；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（8）依照法律法规有关规定，由中国证监会规定禁止的其他活动。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（七）风险收益特征</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属于证券投资基金中中等风险的品种，其长期平均的预期收益和预期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（八）基金管理人代表基金行使股东及债权人权利的处理原则及方法</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1、基金管理人按照国家有关规定代表基金独立行使债权人权利，保护基金份额持有人的利益；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（九）基金的融资、融券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本基金可以根据有关法律法规和政策的有关规定进行融资、融券。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（十）侧袋机制的实施和投资运作安排</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w:t>
      </w:r>
      <w:r>
        <w:rPr>
          <w:rFonts w:ascii="宋体" w:hAnsi="宋体"/>
          <w:sz w:val="24"/>
        </w:rPr>
        <w:lastRenderedPageBreak/>
        <w:t>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（十一）基金投资组合报告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本基金托管人中信银行股份有限公司根据本基金合同规定,于2026年04月20日复核了本报告中的财务指标、净值表现和投资组合报告等内容，保证复核内容不存在虚假记载、误导性陈述或者重大遗漏。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本报告期自2026年01月01日起至03月31日止。本报告财务资料未经审计师审计。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3,785,620,133.14</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99.55</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3,785,620,133.14</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99.55</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15,798,150.74</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0.42</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1,259,736.61</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3,802,678,020.49</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325,280,147.94</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8.92</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325,280,147.94</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8.92</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182,815,232.88</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5.01</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3,277,524,752.32</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89.85</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3,785,620,133.14</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103.78</w:t>
            </w:r>
          </w:p>
        </w:tc>
      </w:tr>
    </w:tbl>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1880163</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r>
              <w:rPr>
                <w:rFonts w:ascii="Times New Roman" w:hAnsi="Times New Roman"/>
                <w:color w:val="000000"/>
                <w:kern w:val="0"/>
                <w:sz w:val="25"/>
                <w:szCs w:val="24"/>
              </w:rPr>
              <w:t>首旅债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1,200,000</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122,429,806.03</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3.36</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160418</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16</w:t>
            </w:r>
            <w:r>
              <w:rPr>
                <w:rFonts w:ascii="Times New Roman" w:hAnsi="Times New Roman"/>
                <w:color w:val="000000"/>
                <w:kern w:val="0"/>
                <w:sz w:val="25"/>
                <w:szCs w:val="24"/>
              </w:rPr>
              <w:t>农发</w:t>
            </w: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103,504,027.40</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2.84</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102581621</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湘高速</w:t>
            </w:r>
            <w:r>
              <w:rPr>
                <w:rFonts w:ascii="Times New Roman" w:hAnsi="Times New Roman"/>
                <w:color w:val="000000"/>
                <w:kern w:val="0"/>
                <w:sz w:val="25"/>
                <w:szCs w:val="24"/>
              </w:rPr>
              <w:t>MTN005</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101,981,506.85</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2.80</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102583591</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海淀国资</w:t>
            </w:r>
            <w:r>
              <w:rPr>
                <w:rFonts w:ascii="Times New Roman" w:hAnsi="Times New Roman"/>
                <w:color w:val="000000"/>
                <w:kern w:val="0"/>
                <w:sz w:val="25"/>
                <w:szCs w:val="24"/>
              </w:rPr>
              <w:t>MTN001</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101,871,002.74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2.79</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102480875</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北控水集</w:t>
            </w:r>
            <w:r>
              <w:rPr>
                <w:rFonts w:ascii="Times New Roman" w:hAnsi="Times New Roman"/>
                <w:color w:val="000000"/>
                <w:kern w:val="0"/>
                <w:sz w:val="25"/>
                <w:szCs w:val="24"/>
              </w:rPr>
              <w:t>MTN001</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101,059,106.85</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2.77</w:t>
            </w:r>
          </w:p>
        </w:tc>
      </w:tr>
    </w:tbl>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9.1 本期国债期货投资政策</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2025年08月01日,国家金融监督管理总局公示行政处罚决定书,给予中国农业发展银行1020万元人民币的行政处罚。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1,259,736.61</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right"/>
              <w:rPr>
                <w:rFonts w:ascii="宋体" w:hAnsi="宋体"/>
                <w:color w:val="000000"/>
                <w:kern w:val="0"/>
                <w:sz w:val="25"/>
                <w:szCs w:val="24"/>
              </w:rPr>
            </w:pPr>
            <w:r>
              <w:rPr>
                <w:rFonts w:ascii="Times New Roman" w:hAnsi="Times New Roman"/>
                <w:color w:val="000000"/>
                <w:kern w:val="0"/>
                <w:sz w:val="25"/>
                <w:szCs w:val="24"/>
              </w:rPr>
              <w:t>1,259,736.61</w:t>
            </w:r>
          </w:p>
        </w:tc>
      </w:tr>
    </w:tbl>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10.5 报告期末前十名股票中存在流通受限情况的说明</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AB652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6FCE" w:rsidRDefault="00AB6520">
      <w:pPr>
        <w:pStyle w:val="1"/>
        <w:snapToGrid w:val="0"/>
        <w:spacing w:beforeLines="0" w:before="240" w:after="240"/>
        <w:rPr>
          <w:rFonts w:ascii="宋体" w:hAnsi="宋体"/>
          <w:szCs w:val="30"/>
        </w:rPr>
      </w:pPr>
      <w:bookmarkStart w:id="14" w:name="_Toc228201073"/>
      <w:r>
        <w:rPr>
          <w:rFonts w:ascii="Times New Roman" w:hAnsi="Times New Roman"/>
          <w:sz w:val="30"/>
        </w:rPr>
        <w:lastRenderedPageBreak/>
        <w:t>十一、基金的业绩</w:t>
      </w:r>
      <w:bookmarkEnd w:id="14"/>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（1）交银双轮动债券A/B：</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1.58%</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3.17%</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-2.34%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5.10%</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3.04%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1.28%</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4.94%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2.84%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1.90%</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1.96%</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3.88%</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2.57%</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8.25%</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3.46%</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-3.39%</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6.03%</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-1.63%</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2.74%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8.71%</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4.18%</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4.53%</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10.04%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6.54%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3.50%</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2013</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-4.96%</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4.85%</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bl>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（2）交银双轮动债券C：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1.38%</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2.97%</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2.23%</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-2.75%</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2.62%</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4.54%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2.44%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1.43%</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1.49%</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3.51%</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2.20%</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7.84%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3.05%</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2.15%</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-3.39%</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5.54%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-1.63%</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1.98%</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8.27%</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4.18%</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4.09%</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9.44%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6.54%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2.90%</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4E6FC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2013</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-4.96%</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4.55%</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bl>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注：本基金的业绩比较基准为中债综合全价指数。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4E6FCE" w:rsidRDefault="00AB6520">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交银施罗德双轮动债券型证券投资基金</w:t>
      </w:r>
    </w:p>
    <w:p w:rsidR="004E6FCE" w:rsidRDefault="00AB6520">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4E6FCE" w:rsidRDefault="00AB6520">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（2013年4月18日至2026年03月31日）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（1）交银双轮动债券A/B</w:t>
      </w:r>
    </w:p>
    <w:p w:rsidR="004E6FCE" w:rsidRDefault="00385BB9">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7" type="#_x0000_t75" style="width:439.5pt;height:268.5pt">
            <v:imagedata r:id="rId17" o:title="1521256610242020828"/>
          </v:shape>
        </w:pic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（2）交银双轮动债券C</w:t>
      </w:r>
    </w:p>
    <w:p w:rsidR="004E6FCE" w:rsidRDefault="00385BB9">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8" type="#_x0000_t75" style="width:439.5pt;height:268.5pt">
            <v:imagedata r:id="rId18" o:title="1521256610242020828"/>
          </v:shape>
        </w:pic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AB652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6FCE" w:rsidRDefault="00AB6520">
      <w:pPr>
        <w:pStyle w:val="1"/>
        <w:snapToGrid w:val="0"/>
        <w:spacing w:beforeLines="0" w:before="240" w:after="240"/>
        <w:rPr>
          <w:rFonts w:ascii="宋体" w:hAnsi="宋体"/>
          <w:szCs w:val="30"/>
        </w:rPr>
      </w:pPr>
      <w:bookmarkStart w:id="15" w:name="_Toc228201074"/>
      <w:r>
        <w:rPr>
          <w:rFonts w:ascii="Times New Roman" w:hAnsi="Times New Roman"/>
          <w:sz w:val="30"/>
        </w:rPr>
        <w:lastRenderedPageBreak/>
        <w:t>十二、基金的财产</w:t>
      </w:r>
      <w:bookmarkEnd w:id="15"/>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基金资产总值是指基金拥有的各类有价证券、银行存款本息、基金应收申购款以及其他资产的价值总和。</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AB652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6FCE" w:rsidRDefault="00AB6520">
      <w:pPr>
        <w:pStyle w:val="1"/>
        <w:snapToGrid w:val="0"/>
        <w:spacing w:beforeLines="0" w:before="240" w:after="240"/>
        <w:rPr>
          <w:rFonts w:ascii="宋体" w:hAnsi="宋体"/>
          <w:szCs w:val="30"/>
        </w:rPr>
      </w:pPr>
      <w:bookmarkStart w:id="16" w:name="_Toc228201075"/>
      <w:r>
        <w:rPr>
          <w:rFonts w:ascii="Times New Roman" w:hAnsi="Times New Roman"/>
          <w:sz w:val="30"/>
        </w:rPr>
        <w:lastRenderedPageBreak/>
        <w:t>十三、基金资产的估值</w:t>
      </w:r>
      <w:bookmarkEnd w:id="16"/>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（一）估值目的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基金资产的估值目的是客观、准确地反映基金资产是否保值、增值，并为基金份额提供计价依据。</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（三）估值对象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基金所拥有的权证、债券和银行存款本息、应收款项、其它投资等资产及负债。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（四）估值程序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1、基金份额净值是按照每个工作日闭市后，基金资产净值除以当日基金份额的余额数量计算，精确到0.0001元，小数点后第五位四舍五入。国家另有规定的，从其规定。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每个工作日计算基金资产净值及基金份额净值，并按规定公告。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本基金合同的规定暂停估值时除外。基金管理人每个工作日对基金资产估值后，将基金份额净值结果发送基金托管人，经基金托管人复核无误后，由基金管理人依据基金合同和相关法律法规的规定对外公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（五）估值方法</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（4）交易所上市不存在活跃市场的有价证券，采用估值技术确定公允价值。交易所上市的资产支持证券，采用估值技术确定公允价值，在估值技术难以可靠计量公允价值的情况下，按成本估值。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2、处于未上市期间的有价证券的估值：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首次公开发行未上市的债券和权证，采用估值技术确定公允价值，在估值技术难以可靠计量公允价值的情况下，按成本估值。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3、全国银行间债券市场交易的债券、资产支持证券等固定收益品种，采用估值技术确定公允价值。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6、相关法律法规以及监管部门有强制规定的，从其规定。如有新增事项，按国家最新规定估值。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（六）估值错误的处理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基金管理人和基金托管人将采取必要、适当、合理的措施确保基金资产估值的准确性、及时性。当基金份额净值小数点后第4位以内（含第4位）发生估值错误时，视为基金份额净值错误。</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基金合同的当事人应按照以下约定处理：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因不可抗力原因出现估值错误的当事人不对其他当事人承担赔偿责任，但因该估值错误取得不当得利的当事人仍应负有返还不当得利的义务。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3、估值错误处理程序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（八）基金净值的确认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对基金净值予以公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（九）特殊情形的处理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基金管理人或基金托管人按估值方法的第5项进行估值时，所造成的误差不作为基金资产估值错误处理。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（十）实施侧袋机制期间的基金资产估值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AB652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6FCE" w:rsidRDefault="00AB6520">
      <w:pPr>
        <w:pStyle w:val="1"/>
        <w:snapToGrid w:val="0"/>
        <w:spacing w:beforeLines="0" w:before="240" w:after="240"/>
        <w:rPr>
          <w:rFonts w:ascii="宋体" w:hAnsi="宋体"/>
          <w:szCs w:val="30"/>
        </w:rPr>
      </w:pPr>
      <w:bookmarkStart w:id="17" w:name="_Toc228201076"/>
      <w:r>
        <w:rPr>
          <w:rFonts w:ascii="Times New Roman" w:hAnsi="Times New Roman"/>
          <w:sz w:val="30"/>
        </w:rPr>
        <w:lastRenderedPageBreak/>
        <w:t>十四、基金的收益与分配</w:t>
      </w:r>
      <w:bookmarkEnd w:id="17"/>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1、由于本基金A类和B类基金份额不收取销售服务费，C类基金份额收取销售服务费，各基金份额类别对应的可供分配利润将有所不同，本基金同一基金份额类别的每份基金份额享有同等分配权；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每年收益分配次数最多为12次，每份基金份额每次收益分配比例不得低于收益分配基准日每份基金份额可供分配利润的50%，若基金合同生效不满3个月可不进行收益分配；基金合同生效满3个月后，在符合有关基金分红条件的前提下，若每季度最后一个工作日每份基金份额可供分配利润大于0.01 元时，则基金须进行收益分配并以该日作为该次收益分配的基准日；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基金份额进行再投资；若投资者不选择，本基金默认的收益分配方式是现金分红；基金份额持有人可对A类、B类以及C类基金份额分别选择不同的收益分配方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4、基金收益分配后基金份额净值不能低于面值；即基金收益分配基准日的基金份额净值减去每单位基金份额收益分配金额后不能低于面值。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基金红利发放日距离收益分配基准日（即可供分配利润计算截止日）的时间不得超过15个工作日。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（六）收益分配中发生的费用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基金份额。红利再投资的计算方法，依照《业务规则》执行。</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投资者可至销售机构办理收益分配方式的修改，投资者对不同的交易账户可设置不同的收益分配方式。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投资者同一日多次申报分红方式变更的，按照《业务规则》执行，最终确认的分红方式以登记机构记录为准。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AB652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6FCE" w:rsidRDefault="00AB6520">
      <w:pPr>
        <w:pStyle w:val="1"/>
        <w:snapToGrid w:val="0"/>
        <w:spacing w:beforeLines="0" w:before="240" w:after="240"/>
        <w:rPr>
          <w:rFonts w:ascii="宋体" w:hAnsi="宋体"/>
          <w:szCs w:val="30"/>
        </w:rPr>
      </w:pPr>
      <w:bookmarkStart w:id="18" w:name="_Toc228201077"/>
      <w:r>
        <w:rPr>
          <w:rFonts w:ascii="Times New Roman" w:hAnsi="Times New Roman"/>
          <w:sz w:val="30"/>
        </w:rPr>
        <w:lastRenderedPageBreak/>
        <w:t>十五、基金的费用与税收</w:t>
      </w:r>
      <w:bookmarkEnd w:id="18"/>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本基金的管理费按前一日基金资产净值的0.3%年费率计提。管理费的计算方法如下：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H＝E×0.3%÷当年天数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算，逐日累计至每月月末，按月支付，由基金管理人向基金托管人发送基金管理费划款指令，基金托管人复核后于次月前3个工作日内从基金财产中一次性支付给基金管理人。若遇法定节假日、公休假或不可抗力致使无法按时支付的，支付日期顺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本基金的托管费按前一日基金资产净值的0.1%的年费率计提。托管费的计算方法如下：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E为前一日的基金资产净值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算，逐日累计至每月月末，按月支付，由基金管理人向基金托管人发送基金托管费划款指令，基金托管人复核后于次月前3个工作日内从基金财产中一次性支取。若遇法定节假日、公休日或不可抗力致使无法按时支付的，,支付日期顺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本基金A类和B类基金份额不收取销售服务费，C类基金份额的销售服务费按前一日C类基金资产净值的0.4%年费率计提。计算方法如下：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H＝E×0.4%÷当年天数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算，逐日累计至每月月末，按月支付，由基金管理人向基金托管人发送销售服务费划付指令，经基金托管人复核后于次月首日起3个工作日内从基金财产中一次性支付给基金管理人，由基金管理人代付给销售机构。若遇法定节假日、公休日或不可抗力致使无法按时支付的，支付日期顺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本基金转换费的费率水平、计算公式和收取方式详见“基金的转换”一章。</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3、上述“（一）基金费用的种类”中第3－8、第10项费用，根据有关法规及相应协议规定，按费用实际支出金额列入当期费用，由基金托管人从基金财产中支付。</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下列费用不列入基金费用：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和基金托管人可根据基金发展情况调整基金管理费率、基金托管费率和C类基金份额销售服务费率等相关费率。降低基金管理费率、基金托管费率和C类基金份额销售服务费率，无须召开基金份额持有人大会。基金管理人必须依照有关规定于新的费率实施日前在指定媒介和基金管理人网站上刊登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（五）实施侧袋机制期间的基金费用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AB652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6FCE" w:rsidRDefault="00AB6520">
      <w:pPr>
        <w:pStyle w:val="1"/>
        <w:snapToGrid w:val="0"/>
        <w:spacing w:beforeLines="0" w:before="240" w:after="240"/>
        <w:rPr>
          <w:rFonts w:ascii="宋体" w:hAnsi="宋体"/>
          <w:szCs w:val="30"/>
        </w:rPr>
      </w:pPr>
      <w:bookmarkStart w:id="19" w:name="_Toc228201078"/>
      <w:r>
        <w:rPr>
          <w:rFonts w:ascii="Times New Roman" w:hAnsi="Times New Roman"/>
          <w:sz w:val="30"/>
        </w:rPr>
        <w:lastRenderedPageBreak/>
        <w:t>十六、基金的会计与审计</w:t>
      </w:r>
      <w:bookmarkEnd w:id="19"/>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（一）基金的会计政策</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1、基金管理人为本基金的会计责任方；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2、本基金的会计年度为公历每年的1月1日至12月31日；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3、本基金的会计核算以人民币为记账本位币，以人民币元为记账单位；</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4、会计制度执行国家有关的会计制度；</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6、基金管理人及基金托管人分别保留完整的会计账目、凭证并进行日常的会计核算，按照有关规定编制基金会计报表；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7、基金托管人定期与基金管理人就基金的会计核算、报表编制等进行核对并书面确认。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AB652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6FCE" w:rsidRDefault="00AB6520">
      <w:pPr>
        <w:pStyle w:val="1"/>
        <w:snapToGrid w:val="0"/>
        <w:spacing w:beforeLines="0" w:before="240" w:after="240"/>
        <w:rPr>
          <w:rFonts w:ascii="宋体" w:hAnsi="宋体"/>
          <w:szCs w:val="30"/>
        </w:rPr>
      </w:pPr>
      <w:bookmarkStart w:id="20" w:name="_Toc228201079"/>
      <w:r>
        <w:rPr>
          <w:rFonts w:ascii="Times New Roman" w:hAnsi="Times New Roman"/>
          <w:sz w:val="30"/>
        </w:rPr>
        <w:lastRenderedPageBreak/>
        <w:t>十七、基金的信息披露</w:t>
      </w:r>
      <w:bookmarkEnd w:id="20"/>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（一）本基金的信息披露应符合《基金法》、《运作办法》、《信息披露办法》、《流动性规定》、《基金合同》及其他有关规定。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《基金合同》生效后，在开始办理基金份额申购或者赎回前，基金管理人应当至少每周在指定网站披露一次A/B类基金份额和C类基金份额所对应的基金份额净值和基金份额累计净值。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次日，通过指定网站、销售机构网站或者营业网点披露开放日的A/B类基金份额和C类基金份额所对应的基金份额净值和基金份额累计净值。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基金管理人应当在不晚于半年度和年度最后一日的次日，在指定网站披露半年度和年度最后一日的A/B类基金份额和C类基金份额所对应的基金份额净值和基金份额累计净值。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A类、B类、C类基金份额的申购、赎回费率，并保证投资者能够在基金销售机构网站或营业网点查阅或者复制前述信息资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11、实施侧袋机制期间的信息披露</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12、中国证监会规定的其他信息。</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w:t>
      </w:r>
      <w:r>
        <w:rPr>
          <w:rFonts w:ascii="宋体" w:hAnsi="宋体"/>
          <w:sz w:val="24"/>
        </w:rPr>
        <w:lastRenderedPageBreak/>
        <w:t>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（八）本基金信息披露事项以法律法规规定及本章节约定的内容为准。</w:t>
      </w:r>
    </w:p>
    <w:p w:rsidR="00B439CC" w:rsidRDefault="00AB652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6FCE" w:rsidRDefault="00AB6520">
      <w:pPr>
        <w:pStyle w:val="1"/>
        <w:snapToGrid w:val="0"/>
        <w:spacing w:beforeLines="0" w:before="240" w:after="240"/>
        <w:rPr>
          <w:rFonts w:ascii="宋体" w:hAnsi="宋体"/>
          <w:szCs w:val="30"/>
        </w:rPr>
      </w:pPr>
      <w:bookmarkStart w:id="21" w:name="_Toc228201080"/>
      <w:r>
        <w:rPr>
          <w:rFonts w:ascii="Times New Roman" w:hAnsi="Times New Roman"/>
          <w:sz w:val="30"/>
        </w:rPr>
        <w:lastRenderedPageBreak/>
        <w:t>十八、侧袋机制</w:t>
      </w:r>
      <w:bookmarkEnd w:id="21"/>
    </w:p>
    <w:p w:rsidR="004E6FCE" w:rsidRDefault="00AB652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AB6520"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4E6FCE" w:rsidRDefault="00AB6520">
      <w:pPr>
        <w:pStyle w:val="1"/>
        <w:snapToGrid w:val="0"/>
        <w:spacing w:beforeLines="0" w:before="240" w:after="240"/>
        <w:rPr>
          <w:rFonts w:ascii="宋体" w:hAnsi="宋体"/>
          <w:szCs w:val="30"/>
        </w:rPr>
      </w:pPr>
      <w:bookmarkStart w:id="22" w:name="_Toc228201081"/>
      <w:r>
        <w:rPr>
          <w:rFonts w:ascii="Times New Roman" w:hAnsi="Times New Roman"/>
          <w:sz w:val="30"/>
        </w:rPr>
        <w:lastRenderedPageBreak/>
        <w:t>十九、风险揭示</w:t>
      </w:r>
      <w:bookmarkEnd w:id="22"/>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者购买基金，既可能按其持有份额分享基金投资所产生的收益，也可能承担基金投资所带来的损失。</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者将可能无法及时赎回持有的全部基金份额。</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基金分为股票基金、混合基金、债券基金、货币市场基金等不同类型，投资者投资不同类型的基金将获得不同的收益预期，也将承担不同程度的风险。一般来说，基金的收益预期越高，投资者承担的风险也越大。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认真阅读《基金合同》、《招募说明书》、基金产品资料概要等基金法律文件，了解基金的风险收益特征，并根据自身的投资目的、投资期限、投资经验、资产状况等判断基金是否和投资者的风险承受能力相适应。</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充分了解基金定期定额投资和零存整取等储蓄方式的区别。定期定额投资是引导投资者进行长期投资、平均投资成本的一种简单易行的投资方式。但是定期定额投资并不能规避基金投资所固有的风险，不能保证投资者获得收益，也不是替代储蓄的等效理财方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者基金投资的“买者自负”原则，在作出投资决策后，基金运营状况与基金净值变化引致的投资风险，由投资者自行负</w:t>
      </w:r>
      <w:r>
        <w:rPr>
          <w:rFonts w:ascii="宋体" w:hAnsi="宋体"/>
          <w:sz w:val="24"/>
        </w:rPr>
        <w:lastRenderedPageBreak/>
        <w:t>担。</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市场风险是指证券市场价格因受到经济因素、政治因素、投资心理和交易制度等各种因素的影响而引起的波动，对基金收益水平产生的潜在风险，主要包括：</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本基金投资于债券和债券回购，其收益水平会受到利率变化和货币市场供求状况的影响。例如当市场利率上升时，基金所持有的债券价格将下降，若基金组合久期较长，则基金资产面临损失。</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（二）管理风险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开放式基金。按照基金合同的约定，基金管理人有义务接受投资者的申购和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收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w:t>
      </w:r>
      <w:r>
        <w:rPr>
          <w:rFonts w:ascii="宋体" w:hAnsi="宋体"/>
          <w:sz w:val="24"/>
        </w:rPr>
        <w:lastRenderedPageBreak/>
        <w:t>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（四）交易对手违约风险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（五）投资本基金特有的风险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1、本基金为债券型基金，固定收益类资产的比例不低于基金资产净值的80%，因投资固定收益类资产而面临的固定收益类资产市场的系统性风险和个券风险；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（六）本基金法律文件风险收益特征表述与销售机构基金风险评价可能不一致的风险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w:t>
      </w:r>
      <w:r>
        <w:rPr>
          <w:rFonts w:ascii="宋体" w:hAnsi="宋体"/>
          <w:sz w:val="24"/>
        </w:rPr>
        <w:lastRenderedPageBreak/>
        <w:t>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（七）其他风险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AB652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6FCE" w:rsidRDefault="00AB6520">
      <w:pPr>
        <w:pStyle w:val="1"/>
        <w:snapToGrid w:val="0"/>
        <w:spacing w:beforeLines="0" w:before="240" w:after="240"/>
        <w:rPr>
          <w:rFonts w:ascii="宋体" w:hAnsi="宋体"/>
          <w:szCs w:val="30"/>
        </w:rPr>
      </w:pPr>
      <w:bookmarkStart w:id="23" w:name="_Toc228201082"/>
      <w:r>
        <w:rPr>
          <w:rFonts w:ascii="Times New Roman" w:hAnsi="Times New Roman"/>
          <w:sz w:val="30"/>
        </w:rPr>
        <w:lastRenderedPageBreak/>
        <w:t>二十、基金合同的终止与基金财产的清算</w:t>
      </w:r>
      <w:bookmarkEnd w:id="23"/>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（一）基金合同的终止事由</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（二）基金财产的清算</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（三）清算费用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清算费用是指基金财产清算小组在进行基金清算过程中发生的所有合理费用，清算费用由基金财产清算小组优先从基金财产中支付。</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（四）基金财产清算剩余资产的分配</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（五）基金财产清算的公告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（六）基金财产清算账册及文件的保存</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AB652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6FCE" w:rsidRDefault="00AB6520">
      <w:pPr>
        <w:pStyle w:val="1"/>
        <w:snapToGrid w:val="0"/>
        <w:spacing w:beforeLines="0" w:before="240" w:after="240"/>
        <w:rPr>
          <w:rFonts w:ascii="宋体" w:hAnsi="宋体"/>
          <w:szCs w:val="30"/>
        </w:rPr>
      </w:pPr>
      <w:bookmarkStart w:id="24" w:name="_Toc228201083"/>
      <w:r>
        <w:rPr>
          <w:rFonts w:ascii="Times New Roman" w:hAnsi="Times New Roman"/>
          <w:sz w:val="30"/>
        </w:rPr>
        <w:lastRenderedPageBreak/>
        <w:t>二十一、基金合同内容摘要</w:t>
      </w:r>
      <w:bookmarkEnd w:id="24"/>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（一）基金合同当事人的权利与义务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（5）召集基金份额持有人大会；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（13）在法律法规允许的前提下，为基金的利益依法为基金进行融资融券；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（16）在符合有关法律、法规的前提下，制定和调整有关基金认购、申购、赎回、转换和非交易过户等的业务规则；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（24）基金管理人在募集期间未能达到基金的备案条件，基金合同不能生效，基金管理人承担因募集行为而产生的债务和费用，将已募集资金并加计银行同期存款利息在基金募集期结束后30日内退还基金认购人；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（4）根据相关市场规则，为基金开设证券账户、为基金办理证券交易资金清算；</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（6）按规定开设基金财产的资金账户和证券账户,按照基金合同的约定，根据基金管理人的投资指令，及时办理清算、交割事宜；</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（8）复核、审查基金管理人计算的基金净值信息、基金份额申购、赎回价格、基金业绩数据等；</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（9）办理与基金托管业务活动有关的信息披露事项；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w:t>
      </w:r>
      <w:r>
        <w:rPr>
          <w:rFonts w:ascii="宋体" w:hAnsi="宋体"/>
          <w:sz w:val="24"/>
        </w:rPr>
        <w:lastRenderedPageBreak/>
        <w:t>不限于：</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（3）依法并按照基金合同的规定申请赎回其持有的基金份额；</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（8）对基金管理人、基金托管人、基金销售机构损害其合法权益的行为依法提起诉讼或仲裁；</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（2）了解所投资基金产品，了解自身风险承受能力，自行承担投资风险；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（4）缴纳基金认购、申购、赎回款项及法律法规和基金合同所规定的费用；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w:t>
      </w:r>
      <w:r>
        <w:rPr>
          <w:rFonts w:ascii="宋体" w:hAnsi="宋体"/>
          <w:sz w:val="24"/>
        </w:rPr>
        <w:lastRenderedPageBreak/>
        <w:t>有权代表基金份额持有人出席会议并表决。基金份额持有人持有的每一基金份额拥有平等的投票权。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5）提高基金管理人、基金托管人的报酬标准和提高销售服务费，但法律法规要求提高该等报酬标准的除外；</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12）对基金当事人权利和义务产生重大影响的其他事项；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3）在法律法规和基金合同规定的范围内调整本基金的申购费率、调低赎回费率、变更或增加收费方式；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4）因相应的法律法规发生变动而应当对基金合同进行修改；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5）对基金合同的修改对基金份额持有人利益无实质性不利影响或修改不涉及基金合同当事人权利义务关系发生变化；</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6）在不影响现有基金份额持有人权益的情况下，在法律法规和基金合同规定的范围内调整本基金份额类别的设置；</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7）按照法律法规和基金合同规定不需召开基金份额持有人大会的以外的其他情形。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w:t>
      </w:r>
      <w:r>
        <w:rPr>
          <w:rFonts w:ascii="宋体" w:hAnsi="宋体"/>
          <w:sz w:val="24"/>
        </w:rPr>
        <w:lastRenderedPageBreak/>
        <w:t>告。基金份额持有人大会通知应至少载明以下内容：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2）经核对，汇总到会者出示的在权益登记日持有基金份额的凭证显示，有效的基金份额不少于本基金在权益登记日基金总份额的50%（含50%）。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（2）通讯开会。通讯开会系指基金份额持有人将其对表决事项的投票以书面形式在表决截至日以前送达至召集人指定的地址。通讯开会应以书面方式进行表决。</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3）本人直接出具书面意见或授权他人代表出具书面意见的，基金份额持有人所持有的基金份额不小于在权益登记日基金总份额的50%（含50%）；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5）会议通知公布前报中国证监会备案。</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（3）在法律法规或监管机关允许的情况下，本基金亦可采用网络、电话等其他非书面方式由基金份额持有人向其授权代表进行授权。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（4）在法律法规和监管机关允许的情况下，本基金亦可采用网络、电话等其他非现场方式或者以非现场方式与现场方式结合的方式召开基金份额持有人大会，会议程序比照现场开会和通讯方式开会的程序进行。</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w:t>
      </w:r>
      <w:r>
        <w:rPr>
          <w:rFonts w:ascii="宋体" w:hAnsi="宋体"/>
          <w:sz w:val="24"/>
        </w:rPr>
        <w:lastRenderedPageBreak/>
        <w:t>在基金份额持有人大会召开前及时公告。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拒不出席或主持基金份额持有人大会，不影响基金份额持有人大会作出的决议的效力。</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（1）一般决议，一般决议须经参加大会的基金份额持有人或其代理人所持表决权的50%以上（含50%）通过方为有效；除下列第（2）项所规定的须以特别决议通过事项以外的其他事项均以一般决议的方式通过。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2/3以上（含2/3）通过方可做出。转换基金运作方式、更换基金管理人或者基金托管人、终止基金合同以特别决议通过方为有效。</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w:t>
      </w:r>
      <w:r>
        <w:rPr>
          <w:rFonts w:ascii="宋体" w:hAnsi="宋体"/>
          <w:sz w:val="24"/>
        </w:rPr>
        <w:lastRenderedPageBreak/>
        <w:t>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基金份额持有人大会的决议，召集人应当自通过之日起5日内报中国证监会核准或者备案。</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基金份额持有人大会的决议自中国证监会依法核准或者出具无异议意见之日起</w:t>
      </w:r>
      <w:r>
        <w:rPr>
          <w:rFonts w:ascii="宋体" w:hAnsi="宋体"/>
          <w:sz w:val="24"/>
        </w:rPr>
        <w:lastRenderedPageBreak/>
        <w:t>生效。</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w:t>
      </w:r>
      <w:r>
        <w:rPr>
          <w:rFonts w:ascii="宋体" w:hAnsi="宋体"/>
          <w:sz w:val="24"/>
        </w:rPr>
        <w:lastRenderedPageBreak/>
        <w:t>分之二以上（含三分之二）通过。</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10、法律法规或监管部门对基金份额持有人大会另有规定的，从其规定。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（三）基金合同的变更与终止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（2）关于基金合同变更的基金份额持有人大会决议经中国证监会核准或出具无异议意见后方可执行，自决议生效后依照《信息披露办法》的规定在指定媒介公告。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（四）争议的处理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仲裁费用由败诉方承担。</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（五）基金合同存放及投资者取得基金合同的方式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1、基金合同正本一式六份，除上报有关监管机构一式二份外，基金管理人、基金托管人各持有二份，每份具有同等的法律效力。</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2、基金合同可印制成册，供投资者在基金管理人、基金托管人、销售机构的办公场所和营业场所查阅，但应以基金合同正本为准。</w:t>
      </w:r>
    </w:p>
    <w:p w:rsidR="00B439CC" w:rsidRDefault="00AB6520"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4E6FCE" w:rsidRDefault="00AB6520">
      <w:pPr>
        <w:pStyle w:val="1"/>
        <w:snapToGrid w:val="0"/>
        <w:spacing w:beforeLines="0" w:before="240" w:after="240"/>
        <w:rPr>
          <w:rFonts w:ascii="宋体" w:hAnsi="宋体"/>
          <w:szCs w:val="30"/>
        </w:rPr>
      </w:pPr>
      <w:bookmarkStart w:id="25" w:name="_Toc228201084"/>
      <w:r>
        <w:rPr>
          <w:rFonts w:ascii="Times New Roman" w:hAnsi="Times New Roman"/>
          <w:sz w:val="30"/>
        </w:rPr>
        <w:lastRenderedPageBreak/>
        <w:t>二十二、托管协议的内容摘要</w:t>
      </w:r>
      <w:bookmarkEnd w:id="25"/>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法定代表人：阮红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法定代表人：李庆萍</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保险兼业代理业务（有效期至2017年09月08日）。（依法须经批准的项目，经</w:t>
      </w:r>
      <w:r>
        <w:rPr>
          <w:rFonts w:ascii="宋体" w:hAnsi="宋体"/>
          <w:sz w:val="24"/>
        </w:rPr>
        <w:lastRenderedPageBreak/>
        <w:t>相关部门批准后依批准的内容开展经营活动。）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债、央行票据、地方政府债、金融债、企业债、短期融资券、中期票据、公司债、分离交易可转债、资产支持证券、债券回购、银行存款等固定收益类资产以及法律法规或中国证监会允许基金投资的其他金融工具(但须符合中国证监会相关规定)。本基金不直接在二级市场买入股票、权证等权益类资产，也不参与一级市场新股申购和新股增发。因投资于分离交易可转债而产生的权证，在其可交易之日起的30个交易日内卖出。同时本基金不参与可转换债券投资（分离交易可转债除外）。</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各类资产的投资比例范围为：固定收益类资产的比例不低于基金资产净值的80%；现金或到期日在一年以内的政府债券的比例合计不低于基金资产净值的5%，其中现金不包括结算备付金、存出保证金、应收申购款等。</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根据法律法规的规定及基金合同的约定，本基金投资组合遵循以下投资限制：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1）固定收益类资产的比例不低于基金资产净值的80%；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2）保持不低于基金资产净值5％的现金或者到期日在一年以内的政府债券，其中现金不包括结算备付金、存出保证金、应收申购款等；</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3）本基金管理人管理的全部基金持有一家公司发行的证券，不超过该证券的10％；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4）本基金持有的全部权证，其市值不得超过基金资产净值的3％；</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5）本基金管理人管理的全部基金持有的同一权证，不得超过该权证的 10％；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6）本基金投资于同一原始权益人的各类资产支持证券的比例，不得超过基金资产净值的10％；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7）本基金持有的全部资产支持证券，其市值不得超过基金资产净值的20％；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8）本基金持有的同一(指同一信用级别)资产支持证券的比例，不得超过该资产支持证券规模的10％；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9）本基金管理人管理的全部基金投资于同一原始权益人的各类资产支持证券，不得超过其各类资产支持证券合计规模的10％；</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10）本基金应投资于信用级别评级为BBB以上(含BBB)的资产支持证券。基金持有资产支持证券期间，如果其信用等级下降、不再符合投资标准，应在评级报告发布之日起3个月内予以全部卖出；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11）本基金进入全国银行间同业市场进行债券回购的资金余额不得超过基金资产净值的40%；债券回购最长期限为１年，债券回购到期后不得展期；</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14）法律法规及中国证监会规定的和基金合同约定的其他投资限制。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法律法规或监管部门取消上述限制，如适用于本基金，基金管理人在履行适当程序后，则本基金投资不再受相关限制。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10）、（12）、（13）项外，因证券市场波动、基金规模变动等基金管理人之外的因素致使基金投资比例不符合上述规定投资比例的，基金管理人应当在10个交易日内进行调整。法律法规另有规定的从其规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基金管理人应当自基金合同生效之日起6个月内使基金的资产配置比例符合基金合同的有关约定。基金托管人对基金的投资比例的监督与检查自基金合同生效之日起开始。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2）向他人贷款或提供担保；</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4）买卖其他基金份额，但是国务院另有规定的除外；</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5）向其基金管理人、基金托管人出资或者买卖其基金管理人、基金托管人发行的股票或债券；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6）买卖与基金管理人、基金托管人有控股关系的股东或者与基金管理人、基金托管人有其他重大利害关系的公司发行的证券或者承销期内承销的证券；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7）从事内幕交易、操纵证券价格及其他不正当的证券交易活动；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8）依照法律法规有关规定，由中国证监会规定禁止从事的其他活动。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（4）基金托管人依据有关法律法规的规定和基金合同的约定对于基金关联投资限制进行监督。</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禁止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与关联关系方进行法律法规禁止基金从事的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w:t>
      </w:r>
      <w:r>
        <w:rPr>
          <w:rFonts w:ascii="宋体" w:hAnsi="宋体"/>
          <w:sz w:val="24"/>
        </w:rPr>
        <w:lastRenderedPageBreak/>
        <w:t>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（6）基金托管人对基金投资流通受限证券的监督</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1）基金投资流通受限证券，应遵守《关于规范基金投资非公开发行证券行为的紧急通知》等有关法律法规规定。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上述资料应包括但不限于基金投资流通受限证券的投资额度和投资比例控制情况。</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如基金管理人和基金托管人无法达成一致，应及时上报中国证监会请求解决。如果基金托管人切实履行监督职责，则不承担任何责任。如果基金托管人没有切实</w:t>
      </w:r>
      <w:r>
        <w:rPr>
          <w:rFonts w:ascii="宋体" w:hAnsi="宋体"/>
          <w:sz w:val="24"/>
        </w:rPr>
        <w:lastRenderedPageBreak/>
        <w:t>履行监督职责，导致基金出现风险，基金托管人应承担连带责任。</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（7）基金托管人对基金投资中期票据的监督</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管理的基金在投资中期票据前，基金管理人须根据法律、法规、监管部门的规定，制定严格的关于投资中期票据的风险控制制度和流动性风险处置预案，并书面提供给基金托管人，基金托管人依据上述文件对基金管理人投资中期票据的额度和比例进行监督。</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2）如未来有关监管部门发布的法律法规对证券投资基金投资中期票据另有规定的，从其约定。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权监督基金管理人在相关基金投资中期票据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人及时发出回函，并及时改正。基金托管人有权随时对所通知事项进行复查, 督促基金管理人改正。如果基金管理人违规事项未能在限期内纠正的，基金托管人应报告中国证监会。如果基金托管人未能切实履行监督职责，导致基金出现风险，基金托管人应承担连带责任。</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（8）基金托管人根据有关法律法规的规定及基金合同的约定，对基金管理人选择存款银行进行监督。</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（3）基金托管人应加强对基金银行存款业务的监督与核查，严格审查、复核相关协议、账户资料、投资指令、存款证实书等有关文件，切实履行托管职责。</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及时将新名单发送给基金托管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基金资产净值计算、各类基金份额的基金份额净值计算、应收资金到账、基金费用开支及收入确定、基金收益分配、相关信息披露、基金宣传推介材料中登载基金业绩表现数据等进行监督和核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发现基金管理人的投资运作及其他运作违反《基金法》、基金合同、基金托管协议及其他有关规定时，应及时以书面形式通知基金管理人限期纠正，基金管理人收到通知后应在下一个工作日及时核对，并以书面形式向基金托管人发出回函，进行解释或举证。</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基金托管人发现基金管理人的投资指令违反关法律法规规定或者违反基金合同约定的，应当拒绝执行，立即通知基金管理人。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w:t>
      </w:r>
      <w:r>
        <w:rPr>
          <w:rFonts w:ascii="宋体" w:hAnsi="宋体"/>
          <w:sz w:val="24"/>
        </w:rPr>
        <w:lastRenderedPageBreak/>
        <w:t>知基金管理人限期纠正。</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基金托管人履行托管职责情况进行核查，核查事项包括但不限于基金托管人安全保管基金财产、开设基金财产的资金账户和证券账户、复核基金管理人计算的基金资产净值和基金份额净值、根据基金管理人指令办理清算交收、相关信息披露和监督基金投资运作等行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因此所遭受的损失。</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基金管理人发现基金托管人有重大违规行为，应立即报告中国证监会和银行业监督管理机构，同时通知基金托管人限期纠正。</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（四）基金财产保管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w:t>
      </w:r>
      <w:r>
        <w:rPr>
          <w:rFonts w:ascii="宋体" w:hAnsi="宋体"/>
          <w:sz w:val="24"/>
        </w:rPr>
        <w:lastRenderedPageBreak/>
        <w:t>财产。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（6）除依据法律法规和基金合同的规定外，基金托管人不得委托第三人托管基金资产。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基金募集期间募集的资金应存于专用账户，该账户由基金管理人或基金管理人委托的登记机构开立并管理。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若基金募集期限届满，未能达到基金备案条件，由基金管理人按规定办理退款事宜，基金托管人应提供充分协助。</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（3）基金银行账户的开立和管理应符合有关法律法规以及银行业监督管理机构的有关规定。</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基金托管人以基金托管人和本基金联名的方式在中国证券登记结算有限公司上</w:t>
      </w:r>
      <w:r>
        <w:rPr>
          <w:rFonts w:ascii="宋体" w:hAnsi="宋体"/>
          <w:sz w:val="24"/>
        </w:rPr>
        <w:lastRenderedPageBreak/>
        <w:t>海分公司/深圳分公司开设证券账户。</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基金托管人以基金托管人的名义在中国证券登记结算有限责任公司上海分公司/深圳分公司开立基金证券交易资金账户，用于证券清算。</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5、债券托管账户的开立和管理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基金的名义申请并取得进入全国银行间同业拆借市场的交易资格，并代表基金进行交易；基金托管人负责以基金的名义在中央国债登记结算有限责任公司开设银行间债券市场债券托管账户，并由基金托管人负责基金的债券的后台匹配及资金的清算。</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（2）基金管理人和基金托管人应一起负责为基金对外签订全国银行间国债市场回购主协议，正本由基金托管人保管，基金管理人保存副本。</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7、基金财产投资的有关实物证券、银行定期存款存单等有价凭证的保管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基金有关的重大合同的原件分别应由基金托管人、基金管理人保管。基金管理人在代表基金签署与基金有关的重大合同时应保证基金一方持有两份以上的正本原件，以便基金管理人和基金托管人至少各持有一份正本的原件。基金管理人在合同签署后30个工作日内通过专人送达、挂号邮寄等安全方式将合同送达基金托</w:t>
      </w:r>
      <w:r>
        <w:rPr>
          <w:rFonts w:ascii="宋体" w:hAnsi="宋体"/>
          <w:sz w:val="24"/>
        </w:rPr>
        <w:lastRenderedPageBreak/>
        <w:t>管人处。合同应存放于基金管理人和基金托管人各自文件保管部门15年以上。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（五）基金资产净值计算和会计核算</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（1）基金资产净值的计算、复核的时间和程序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净资产值。基金份额净值是指计算日基金资产净值除以该计算日基金份额总份额后的数值。基金份额净值的计算保留到小数点后4位，小数点后第5位四舍五入，由此产生的误差计入基金财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工作日对基金资产估值，但基金管理人根据法律法规或基金合同的规定暂停估值时除外。估值原则应符合基金合同及其他法律、法规的规定。用于基金信息披露的基金资产净值和基金份额净值由基金管理人负责计算，基金托管人复核。基金管理人应于每个工作日交易结束后计算当日的基金份额净值并以双方认可的方式发送给基金托管人。基金托管人对净值计算结果复核后以双方认可的方式发送给基金管理人，由基金管理人依据基金合同和相关法律法规的规定对基金净值予以公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管理人计算并公告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资产净值的计算结果对外予以公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基金所拥有的权证、债券和银行存款本息、应收款项、其它投资等资产和负债。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交易所上市的有价证券（包括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b）交易所市场上市交易或挂牌转让的固定收益品种（另有规定的除外），选取第三方估值机构提供的相应品种当日的估值净价进行估值；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d）交易所上市不存在活跃市场的有价证券，采用估值技术确定公允价值。交易所上市的资产支持证券，采用估值技术确定公允价值，在估值技术难以可靠计量公允价值的情况下，按成本估值。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2）处于未上市期间的有价证券的估值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首次公开发行未上市的债券和权证，采用估值技术确定公允价值，在估值技术难以可靠计量公允价值的情况下，按成本估值。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3）全国银行间债券市场交易的债券、资产支持证券等固定收益品种，采用估值技术确定公允价值。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6）相关法律法规以及监管部门有强制规定的，从其规定。如有新增事项，按国家最新规定估值。</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因基金估值错误给投资人造成损失的应先由基金管理人承担，基金管理人对不</w:t>
      </w:r>
      <w:r>
        <w:rPr>
          <w:rFonts w:ascii="宋体" w:hAnsi="宋体"/>
          <w:sz w:val="24"/>
        </w:rPr>
        <w:lastRenderedPageBreak/>
        <w:t>应由其承担的责任，有权向过错人追偿。</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计算的基金资产净值、基金份额净值已由基金托管人复核确认后公告的，由此造成的投资人或基金的损失，应根据法律法规的规定对投资人或基金支付赔偿金，就实际向投资人或基金支付的赔偿金额，由基金管理人与基金托管人按照管理费率和托管费率的比例各自承担相应的责任。</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基金份额净值计算错误造成投资人或基金的损失，以及由此造成以后交易日基金资产净值、基金份额净值计算顺延错误而引起的投资人或基金的损失，由提供错误信息的当事人一方负责赔偿。</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计算的基金资产净值与基金托管人的计算结果不一致时，相关各方应本着勤勉尽责的态度重新计算核对，如果最后仍无法达成一致，应以基金管理人的计算结果为准对外公布，由此造成的损失由基金管理人承担赔偿责任，基金托管人不负赔偿责任。</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基金管理人或基金托管人按估值方法的第（5）项进行估值的，所造成的误差不作为基金资产估值错误处理。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4、基金账册的建立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5、基金定期报告的编制和复核</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基金财务报表由基金管理人和基金托管人每月分别独立编制。月度报表的编制，应于每月终了后5个工作日内完成。</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w:t>
      </w:r>
      <w:r>
        <w:rPr>
          <w:rFonts w:ascii="宋体" w:hAnsi="宋体"/>
          <w:sz w:val="24"/>
        </w:rPr>
        <w:lastRenderedPageBreak/>
        <w:t>再更新基金招募说明书。基金管理人在季度结束之日起15个工作日内完成季度报告编制并公告；在会计年度半年终了后两个月内完成中期报告编制并公告；在会计年度结束后三个月内完成年度报告编制并公告。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完成报表编制，将有关报表提供基金托管人复核；基金托管人应当在收到报告之日起2个工作日内完成月度报表的复核；在收到报告之日起7个工作日内完成基金季度报告的复核；在收到报告之日起20日内完成基金中期报告的复核；在收到报告之日起30日内完成基金年度报告的复核。基金托管人在复核过程中，发现双方的报表存在不符时，基金管理人和基金托管人应共同查明原因，进行调整，调整以国家有关规定为准。</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核对无误后，基金托管人在基金管理人提供的报告上加盖业务印鉴或者出具加盖托管业务部门公章的复核意见书，相关各方各自留存一份。</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基金托管人在对月度报表、季度、中期报告或年度报告复核完毕后，需盖章确认或出具相应的复核确认书，以备有权机构对相关文件审核时提示。</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（六）基金份额持有人名册的的登记与保管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基金管理人和基金托管人须分别妥善保管的基金份额持有人名册，基金份额持有人名册的内容必须包括基金份额持有人的名称和持有的基金份额。</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的基金登记机构根据基金管理人的指令编制和保管，基金管理人和基金托管人应按照目前相关规则分别保管基金份额持有人名册。保管方式可以采用电子或文档的形式。保管期限为15年。</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若基金管理人或基金托管人由于自身原因无法妥善保管基金份额持有人名册，应按有关法规规定各自承担相应的责任。</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各方当事人同意，因本协议而产生的或与本协议有关的一切争议，除经友好协商可以解决的，应提交中国国际经济贸易仲裁委员会根据该会当时有效的仲裁规则进行仲裁，仲裁的地点为北京市，仲裁裁决是终局性的并对相关各方均有约束</w:t>
      </w:r>
      <w:r>
        <w:rPr>
          <w:rFonts w:ascii="宋体" w:hAnsi="宋体"/>
          <w:sz w:val="24"/>
        </w:rPr>
        <w:lastRenderedPageBreak/>
        <w:t>力，仲裁费用由败诉方承担。</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争议处理期间，相关各方当事人应恪守基金管理人和基金托管人职责，继续忠实、勤勉、尽责地履行基金合同和托管协议规定的义务，维护基金份额持有人的合法权益。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本协议双方当事人经协商一致，可以对协议的内容进行变更。变更后的托管协议，其内容不得与基金合同的规定有任何冲突。基金托管协议的变更报中国证监会核准或备案后生效。</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AB652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6FCE" w:rsidRDefault="00AB6520">
      <w:pPr>
        <w:pStyle w:val="1"/>
        <w:snapToGrid w:val="0"/>
        <w:spacing w:beforeLines="0" w:before="240" w:after="240"/>
        <w:rPr>
          <w:rFonts w:ascii="宋体" w:hAnsi="宋体"/>
          <w:szCs w:val="30"/>
        </w:rPr>
      </w:pPr>
      <w:bookmarkStart w:id="26" w:name="_Toc228201085"/>
      <w:r>
        <w:rPr>
          <w:rFonts w:ascii="Times New Roman" w:hAnsi="Times New Roman"/>
          <w:sz w:val="30"/>
        </w:rPr>
        <w:lastRenderedPageBreak/>
        <w:t>二十三、对基金份额持有人的服务</w:t>
      </w:r>
      <w:bookmarkEnd w:id="26"/>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和转换等业务。本公司暂不开展网上直销B类基金份额的认/申购业务，通过转托管转入网上直销账户的B类基金份额只能办理赎回业务。通过网上直销交易平台办理本基金A类基金份额的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如果想查询申购、赎回等交易情况、分红方式状态、基金账户余额、基金产品与服务等信息，请拨打本基金管理人客户服务电话（400-700-5000，021-61055000）或登录本基金管理人网站（www.fund001.com）进行咨询、查询。</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本基金管理人为投资者预设基金查询密码，预设的基金查询密码为投资者开户证件号码的后6位数字，不足6位数字的，前面加“0”补足。基金查询密码用于投</w:t>
      </w:r>
      <w:r>
        <w:rPr>
          <w:rFonts w:ascii="宋体" w:hAnsi="宋体"/>
          <w:sz w:val="24"/>
        </w:rPr>
        <w:lastRenderedPageBreak/>
        <w:t>资者通过客户服务电话查询基金账户下的账户和交易信息。投资者请在其知晓基金账号后，及时拨打本基金管理人客户服务电话修改基金查询密码。</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投资者可以拨打本基金管理人客户服务电话投诉直销机构的人员和服务。</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（四）基金红利再投资</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本基金收益分配时，基金投资者可以选择将当期分配所得的红利再投资于本基金，再投资红利按红利再投日（即除息日）除息后的基金份额净值自动转为基金份额，并免收申购费用。</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AB652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6FCE" w:rsidRDefault="00AB6520">
      <w:pPr>
        <w:pStyle w:val="1"/>
        <w:snapToGrid w:val="0"/>
        <w:spacing w:beforeLines="0" w:before="240" w:after="240"/>
        <w:rPr>
          <w:rFonts w:ascii="宋体" w:hAnsi="宋体"/>
          <w:szCs w:val="30"/>
        </w:rPr>
      </w:pPr>
      <w:bookmarkStart w:id="27" w:name="_Toc228201086"/>
      <w:r>
        <w:rPr>
          <w:rFonts w:ascii="Times New Roman" w:hAnsi="Times New Roman"/>
          <w:sz w:val="30"/>
        </w:rPr>
        <w:lastRenderedPageBreak/>
        <w:t>二十四、其他应披露事项</w:t>
      </w:r>
      <w:bookmarkEnd w:id="27"/>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交银施罗德双轮动债券型证券投资基金招募说明书更新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交银施罗德双轮动债券型证券投资基金（</w:t>
            </w:r>
            <w:r>
              <w:rPr>
                <w:rFonts w:ascii="Times New Roman" w:hAnsi="Times New Roman"/>
                <w:color w:val="000000"/>
                <w:kern w:val="0"/>
                <w:sz w:val="25"/>
                <w:szCs w:val="24"/>
              </w:rPr>
              <w:t>AB</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交银施罗德双轮动债券型证券投资基金（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关于交银施罗德双轮动债券型证券投资基金销售服务费优惠活动的公告</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2025-06-18</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交银施罗德基金管理有限公司关于交银施罗德双轮动债券型证券投资基金恢复非直销销售机构大额申购（转换转入、定期定额投资）业务的公告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交银施罗德基金管理有限公司关于交银施罗德双轮动债券型证券投资基金暂停非直销销售机构大额申购（转换转入、定期定额投资）业务的公告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2025-07-01</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交银施罗德基金管理有限公司关于交银施罗德双轮动债券型证券投资基金调整大额申购（转换转入、定期定额投资）业务限额的公告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2025-07-04</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交银施罗德基金管理有限公司关于交银施罗德双轮动债券型证券投资基金分红公告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2025-07-09</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10</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交银施罗德双轮动债券型证券投资基金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交银施罗德双轮动债券型证券投资基金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交银施罗德基金管理有限公司关于交银施罗德双轮动债券型证券投资基金调整大额申购（转换转入、定期定额投资）业务限额的公告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2025-10-14</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交银施罗德基金管理有限公司关于交银施罗德双轮动债券型证券投资基金分红公告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2025-10-17</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交银施罗德双轮动债券型证券投资基金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交银施罗德基金管理有限公司关于交银施罗德双轮动债券型证券投资基金基金经理变更公告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2025-12-27</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交银施罗德双轮动债券型证券投资基金招募说明书更新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2025-12-31</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交银施罗德双轮动债券型证券投资基金（</w:t>
            </w:r>
            <w:r>
              <w:rPr>
                <w:rFonts w:ascii="Times New Roman" w:hAnsi="Times New Roman"/>
                <w:color w:val="000000"/>
                <w:kern w:val="0"/>
                <w:sz w:val="25"/>
                <w:szCs w:val="24"/>
              </w:rPr>
              <w:t>AB</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2025-12-31</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交银施罗德双轮动债券型证券投资基金（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2025-12-31</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交银施罗德基金管理有限公司关于交银施罗德双轮动债券型证券投资基金调整大额申购（转换转入、定期定额投资）业务限额的公告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2026-01-12</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22</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交银施罗德基金管理有限公司关于交银施罗德双轮动债券型证券投资基金分红公告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2026-01-14</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交银施罗德双轮动债券型证券投资基金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交银施罗德双轮动债券型证券投资基金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交银施罗德基金管理有限公司关于交银施罗德双轮动债券型证券投资基金调整大额申购（转换转入、定期定额投资）业务限额的公告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2026-04-09</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交银施罗德基金管理有限公司关于交银施罗德双轮动债券型证券投资基金分红公告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2026-04-13</w:t>
            </w:r>
          </w:p>
        </w:tc>
      </w:tr>
      <w:tr w:rsidR="004E6FC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交银施罗德双轮动债券型证券投资基金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4E6FCE" w:rsidRDefault="00AB652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AB652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6FCE" w:rsidRDefault="00AB6520">
      <w:pPr>
        <w:pStyle w:val="1"/>
        <w:snapToGrid w:val="0"/>
        <w:spacing w:beforeLines="0" w:before="240" w:after="240"/>
        <w:rPr>
          <w:rFonts w:ascii="宋体" w:hAnsi="宋体"/>
          <w:szCs w:val="30"/>
        </w:rPr>
      </w:pPr>
      <w:bookmarkStart w:id="28" w:name="_Toc228201087"/>
      <w:r>
        <w:rPr>
          <w:rFonts w:ascii="Times New Roman" w:hAnsi="Times New Roman"/>
          <w:sz w:val="30"/>
        </w:rPr>
        <w:lastRenderedPageBreak/>
        <w:t>二十五、招募说明书的存放及查阅方式</w:t>
      </w:r>
      <w:bookmarkEnd w:id="28"/>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的办公场所，投资者可在办公时间查阅；投资者在支付工本费后，可在合理时间内取得上述文件复制件或复印件。对投资者按此种方式所获得的文件及其复印件，基金管理人和基金托管人保证文本的内容与所公告的内容完全一致。</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投资者还可以直接登录基金管理人的网站（www.fund001.com）查阅和下载招募说明书。</w:t>
      </w:r>
    </w:p>
    <w:p w:rsidR="00B439CC" w:rsidRDefault="00AB652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4E6FCE" w:rsidRDefault="00AB6520">
      <w:pPr>
        <w:pStyle w:val="1"/>
        <w:snapToGrid w:val="0"/>
        <w:spacing w:beforeLines="0" w:before="240" w:after="240"/>
        <w:rPr>
          <w:rFonts w:ascii="宋体" w:hAnsi="宋体"/>
          <w:szCs w:val="30"/>
        </w:rPr>
      </w:pPr>
      <w:bookmarkStart w:id="29" w:name="_Toc228201088"/>
      <w:r>
        <w:rPr>
          <w:rFonts w:ascii="Times New Roman" w:hAnsi="Times New Roman"/>
          <w:sz w:val="30"/>
        </w:rPr>
        <w:lastRenderedPageBreak/>
        <w:t>二十六、备查文件</w:t>
      </w:r>
      <w:bookmarkEnd w:id="29"/>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（一）中国证监会核准交银施罗德双轮动债券型证券投资基金募集的文件</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（二）《交银施罗德双轮动债券型证券投资基金基金合同》</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（三）《交银施罗德双轮动债券型证券投资基金托管协议》</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4E6FCE" w:rsidRDefault="00AB652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（六）关于申请募集交银施罗德双轮动债券型证券投资基金之法律意见书</w:t>
      </w:r>
    </w:p>
    <w:sectPr w:rsidR="004E6FCE">
      <w:footerReference w:type="default" r:id="rId19"/>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119D" w:rsidRDefault="00AB6520">
      <w:r>
        <w:separator/>
      </w:r>
    </w:p>
  </w:endnote>
  <w:endnote w:type="continuationSeparator" w:id="0">
    <w:p w:rsidR="00AD119D" w:rsidRDefault="00AB6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6FCE" w:rsidRDefault="004E6FC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6FCE" w:rsidRDefault="00385BB9">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4E6FCE" w:rsidRDefault="00AB6520">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385BB9">
                  <w:rPr>
                    <w:rFonts w:ascii="Times New Roman" w:hAnsi="Times New Roman"/>
                    <w:noProof/>
                    <w:kern w:val="0"/>
                    <w:sz w:val="18"/>
                    <w:szCs w:val="18"/>
                  </w:rPr>
                  <w:t>2</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6FCE" w:rsidRDefault="004E6FCE">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6FCE" w:rsidRDefault="00385BB9">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4E6FCE" w:rsidRDefault="00AB6520">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385BB9">
                  <w:rPr>
                    <w:rFonts w:ascii="Times New Roman" w:hAnsi="Times New Roman"/>
                    <w:noProof/>
                    <w:kern w:val="0"/>
                    <w:sz w:val="18"/>
                    <w:szCs w:val="18"/>
                  </w:rPr>
                  <w:t>157</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119D" w:rsidRDefault="00AB6520">
      <w:r>
        <w:separator/>
      </w:r>
    </w:p>
  </w:footnote>
  <w:footnote w:type="continuationSeparator" w:id="0">
    <w:p w:rsidR="00AD119D" w:rsidRDefault="00AB65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6FCE" w:rsidRDefault="004E6FC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6FCE" w:rsidRDefault="00AB6520">
    <w:pPr>
      <w:pStyle w:val="a3"/>
      <w:jc w:val="right"/>
      <w:rPr>
        <w:rFonts w:ascii="宋体" w:hAnsi="宋体"/>
      </w:rPr>
    </w:pPr>
    <w:r>
      <w:rPr>
        <w:rFonts w:ascii="宋体" w:hAnsi="宋体" w:hint="eastAsia"/>
      </w:rPr>
      <w:t>交银施罗德双轮动债券型证券投资基金招募说明书更新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6FCE" w:rsidRDefault="004E6FCE">
    <w:pPr>
      <w:pStyle w:val="10"/>
      <w:jc w:val="right"/>
    </w:pPr>
  </w:p>
  <w:p w:rsidR="004E6FCE" w:rsidRDefault="004E6FCE">
    <w:pPr>
      <w:pStyle w:val="10"/>
      <w:jc w:val="right"/>
    </w:pPr>
  </w:p>
  <w:p w:rsidR="004E6FCE" w:rsidRDefault="004E6FCE">
    <w:pPr>
      <w:pStyle w:val="a3"/>
      <w:jc w:val="right"/>
    </w:pPr>
  </w:p>
  <w:p w:rsidR="004E6FCE" w:rsidRDefault="00AB6520">
    <w:pPr>
      <w:pStyle w:val="a3"/>
      <w:jc w:val="right"/>
      <w:rPr>
        <w:rFonts w:ascii="宋体" w:hAnsi="宋体"/>
      </w:rPr>
    </w:pPr>
    <w:r>
      <w:rPr>
        <w:rFonts w:ascii="宋体" w:hAnsi="宋体" w:hint="eastAsia"/>
      </w:rPr>
      <w:t>交银施罗德双轮动债券型证券投资基金招募说明书更新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6FCE" w:rsidRDefault="004E6FCE">
    <w:pPr>
      <w:pStyle w:val="a3"/>
      <w:jc w:val="right"/>
    </w:pPr>
  </w:p>
  <w:p w:rsidR="004E6FCE" w:rsidRDefault="004E6FCE">
    <w:pPr>
      <w:pStyle w:val="a3"/>
      <w:jc w:val="right"/>
    </w:pPr>
  </w:p>
  <w:p w:rsidR="004E6FCE" w:rsidRDefault="004E6FCE">
    <w:pPr>
      <w:pStyle w:val="a3"/>
      <w:jc w:val="right"/>
    </w:pPr>
  </w:p>
  <w:p w:rsidR="004E6FCE" w:rsidRDefault="00AB6520">
    <w:pPr>
      <w:pStyle w:val="a3"/>
      <w:jc w:val="right"/>
      <w:rPr>
        <w:rFonts w:ascii="宋体" w:hAnsi="宋体"/>
      </w:rPr>
    </w:pPr>
    <w:r>
      <w:rPr>
        <w:rFonts w:ascii="宋体" w:hAnsi="宋体" w:hint="eastAsia"/>
      </w:rPr>
      <w:t>交银施罗德双轮动债券型证券投资基金招募说明书更新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8"/>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5BB9"/>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6FCE"/>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6520"/>
    <w:rsid w:val="00AB707C"/>
    <w:rsid w:val="00AC0B37"/>
    <w:rsid w:val="00AC2185"/>
    <w:rsid w:val="00AC3068"/>
    <w:rsid w:val="00AC3C48"/>
    <w:rsid w:val="00AC4067"/>
    <w:rsid w:val="00AC53DF"/>
    <w:rsid w:val="00AC54F8"/>
    <w:rsid w:val="00AC692A"/>
    <w:rsid w:val="00AD0F08"/>
    <w:rsid w:val="00AD119D"/>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8"/>
    <o:shapelayout v:ext="edit">
      <o:idmap v:ext="edit" data="3"/>
    </o:shapelayout>
  </w:shapeDefaults>
  <w:decimalSymbol w:val="."/>
  <w:listSeparator w:val=","/>
  <w15:docId w15:val="{E71F2AB9-0D67-4462-AA8E-A2928D16A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158</Pages>
  <Words>16145</Words>
  <Characters>92032</Characters>
  <Application>Microsoft Office Word</Application>
  <DocSecurity>0</DocSecurity>
  <Lines>766</Lines>
  <Paragraphs>215</Paragraphs>
  <ScaleCrop>false</ScaleCrop>
  <Company>Microsoft</Company>
  <LinksUpToDate>false</LinksUpToDate>
  <CharactersWithSpaces>107962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2026-04-27T08:50:00Z</dcterms:created>
  <dcterms:modified xsi:type="dcterms:W3CDTF">2026-04-27T08:50:00Z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