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交银施罗德中证海外中国互联网指数型证券投资基金(LOF)（C类份额）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843"/>
        <w:gridCol w:w="1543"/>
        <w:gridCol w:w="2843"/>
        <w:gridCol w:w="184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交银中证海外中国互联网指数(LOF)C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013945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3649" w:type="dxa"/>
            <w:vAlign w:val="center"/>
          </w:tcPr>
          <w:p>
            <w:pPr>
              <w:rPr>
                <w:rFonts w:ascii="仿宋_GB2312" w:hAnsi="宋体" w:eastAsia="仿宋_GB2312" w:cs="宋体"/>
                <w:szCs w:val="21"/>
              </w:rPr>
            </w:pPr>
            <w:r>
              <w:rPr>
                <w:rFonts w:hint="eastAsia" w:ascii="仿宋_GB2312" w:eastAsia="仿宋_GB2312"/>
                <w:szCs w:val="21"/>
              </w:rPr>
              <w:t>境外托管人</w:t>
            </w:r>
          </w:p>
        </w:tc>
        <w:tc>
          <w:tcPr>
            <w:tcW w:w="1275" w:type="dxa"/>
            <w:vAlign w:val="center"/>
          </w:tcPr>
          <w:p>
            <w:pPr>
              <w:rPr>
                <w:rFonts w:ascii="仿宋_GB2312" w:eastAsia="仿宋_GB2312"/>
                <w:szCs w:val="21"/>
              </w:rPr>
            </w:pPr>
            <w:r>
              <w:rPr>
                <w:rFonts w:hint="eastAsia" w:ascii="仿宋_GB2312" w:eastAsia="仿宋_GB2312"/>
                <w:szCs w:val="21"/>
              </w:rPr>
              <w:t>摩根大通银行/JPMorgan Chase Bank, National Association</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2015-05-27</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深圳证券交易所/2015-07-10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资产净值低于1亿元的，基金管理人可向中国证监会报告并履行适当程序后提前终止基金合同，不需召开基金份额持有人大会。若基金管理人未依前款规定提前终止合同的，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履行适当程序后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本基金紧密跟踪标的指数，追求跟踪偏离度与跟踪误差最小化。本基金力争控制本基金日均跟踪偏离度的绝对值不超过0.5%，年跟踪误差不超过5%。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具有良好流动性的金融工具，以中证海外中国互联网指数成份股、备选成份股、与中证海外中国互联网指数相关的公募基金（包括上市交易型基金）为主要投资对象；本基金还可投资全球证券市场中具有良好流动性的其他金融工具，包括已与中国证监会签署双边监管合作谅解备忘录的国家或地区证券市场挂牌交易的其它普通股、优先股等，在已与中国证监会签署双边监管合作谅解备忘录的国家或地区证券监管机构登记注册的其它公募基金，结构性投资产品，远期合约、互换及经中国证监会认可的境外交易所上市交易的权证、期权、期货等金融衍生产品，政府债券(短期政府债券除外)、公司债券、可转换债券等固定收益类证券，银行存款、短期政府债券等货币市场工具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对中证海外中国互联网指数成份股、备选成份股、与中证海外中国互联网指数相关的公募基金（包括上市交易型基金）的投资比例不低于基金资产的90%，基金保留的现金或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本基金标的指数为中证海外中国互联网指数（人民币）。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型基金，原则上采用完全复制标的指数的方法跟踪标的指数，即按照中证海外中国互联网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并使跟踪误差控制在限定的范围之内。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中证海外中国互联网指数收益率×95%＋银行活期存款利率（税后）×5%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属于承担较高风险、预期收益较高的证券投资基金品种。同时本基金为指数型基金，具有与标的指数相似的风险收益特征。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详见《交银施罗德中证海外中国互联网指数型证券投资基金(LOF)招募说明书》第四部分“基金的投资”。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center"/>
        <w:rPr>
          <w:rFonts w:ascii="仿宋_GB2312" w:eastAsia="仿宋_GB2312"/>
          <w:b/>
          <w:szCs w:val="21"/>
        </w:rPr>
      </w:pPr>
      <w:r>
        <w:rPr>
          <w:rFonts w:ascii="宋体" w:hAnsi="宋体"/>
          <w:kern w:val="0"/>
        </w:rPr>
        <w:pict>
          <v:shape id="_x0000_i1026" o:spt="75" type="#_x0000_t75" style="height:199.5pt;width:419.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注：1、国家（地区）类别根据其所在的证券交易所确定。2、ADR、GDR按照存托凭证本身挂牌的证券交易所确定。3、由于四舍五入的原因，分项之和与合计项之间可能存在尾差。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7" o:spt="75" type="#_x0000_t75" style="height:160.5pt;width:500.25pt;" filled="f" o:preferrelative="t" stroked="f" coordsize="21600,21600">
            <v:path/>
            <v:fill on="f" focussize="0,0"/>
            <v:stroke on="f" joinstyle="miter"/>
            <v:imagedata r:id="rId6"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2、本基金自2023年6月12日起，开始销售C类份额，基金份额类别首次确认当年净值增长率按实际存续期计算。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70000.00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5、交易结算风险</w:t>
      </w:r>
    </w:p>
    <w:p>
      <w:pPr>
        <w:ind w:firstLine="420"/>
        <w:jc w:val="left"/>
        <w:rPr>
          <w:rFonts w:ascii="仿宋_GB2312" w:eastAsia="仿宋_GB2312"/>
          <w:szCs w:val="21"/>
        </w:rPr>
      </w:pPr>
      <w:r>
        <w:rPr>
          <w:rFonts w:hint="eastAsia" w:ascii="仿宋_GB2312" w:eastAsia="仿宋_GB2312"/>
          <w:szCs w:val="21"/>
        </w:rPr>
        <w:t>6、操作或技术风险</w:t>
      </w:r>
    </w:p>
    <w:p>
      <w:pPr>
        <w:ind w:firstLine="420"/>
        <w:jc w:val="left"/>
        <w:rPr>
          <w:rFonts w:ascii="仿宋_GB2312" w:eastAsia="仿宋_GB2312"/>
          <w:szCs w:val="21"/>
        </w:rPr>
      </w:pPr>
      <w:r>
        <w:rPr>
          <w:rFonts w:hint="eastAsia" w:ascii="仿宋_GB2312" w:eastAsia="仿宋_GB2312"/>
          <w:szCs w:val="21"/>
        </w:rPr>
        <w:t>7、本基金投资策略所特有的指数化投资风险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8、境外投资风险</w:t>
      </w:r>
    </w:p>
    <w:p>
      <w:pPr>
        <w:ind w:firstLine="420"/>
        <w:jc w:val="left"/>
        <w:rPr>
          <w:rFonts w:ascii="仿宋_GB2312" w:eastAsia="仿宋_GB2312"/>
          <w:szCs w:val="21"/>
        </w:rPr>
      </w:pPr>
      <w:r>
        <w:rPr>
          <w:rFonts w:hint="eastAsia" w:ascii="仿宋_GB2312" w:eastAsia="仿宋_GB2312"/>
          <w:szCs w:val="21"/>
        </w:rPr>
        <w:t>（1）海外市场风险、（2）汇率风险、（3）法律及政治管制风险、（4）政治风险、（5）税务风险、（6）会计核算风险</w:t>
      </w:r>
    </w:p>
    <w:p>
      <w:pPr>
        <w:ind w:firstLine="420"/>
        <w:jc w:val="left"/>
        <w:rPr>
          <w:rFonts w:ascii="仿宋_GB2312" w:eastAsia="仿宋_GB2312"/>
          <w:szCs w:val="21"/>
        </w:rPr>
      </w:pPr>
      <w:r>
        <w:rPr>
          <w:rFonts w:hint="eastAsia" w:ascii="仿宋_GB2312" w:eastAsia="仿宋_GB2312"/>
          <w:szCs w:val="21"/>
        </w:rPr>
        <w:t>9、基金运作的特定风险</w:t>
      </w:r>
    </w:p>
    <w:p>
      <w:pPr>
        <w:ind w:firstLine="420"/>
        <w:jc w:val="left"/>
        <w:rPr>
          <w:rFonts w:ascii="仿宋_GB2312" w:eastAsia="仿宋_GB2312"/>
          <w:szCs w:val="21"/>
        </w:rPr>
      </w:pPr>
      <w:r>
        <w:rPr>
          <w:rFonts w:hint="eastAsia" w:ascii="仿宋_GB2312" w:eastAsia="仿宋_GB2312"/>
          <w:szCs w:val="21"/>
        </w:rPr>
        <w:t>（1）基金合同提前终止风险</w:t>
      </w:r>
    </w:p>
    <w:p>
      <w:pPr>
        <w:ind w:firstLine="420"/>
        <w:jc w:val="left"/>
        <w:rPr>
          <w:rFonts w:ascii="仿宋_GB2312" w:eastAsia="仿宋_GB2312"/>
          <w:szCs w:val="21"/>
        </w:rPr>
      </w:pPr>
      <w:r>
        <w:rPr>
          <w:rFonts w:hint="eastAsia" w:ascii="仿宋_GB2312" w:eastAsia="仿宋_GB2312"/>
          <w:szCs w:val="21"/>
        </w:rPr>
        <w:t>基金资产净值连续二十个工作日低于1亿元时，基金管理人可向中国证监会报告并履行适当程序后提前终止基金合同，不需召开基金份额持有人大会。若基金管理人未依前述规定提前终止合同的，连续六十个工作日出现基金份额持有人数量不满200人或者基金资产净值低于5000万元情形的，基金管理人应当向中国证监会报告并履行适当程序后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（2）金融模型风险</w:t>
      </w:r>
    </w:p>
    <w:p>
      <w:pPr>
        <w:ind w:firstLine="420"/>
        <w:jc w:val="left"/>
        <w:rPr>
          <w:rFonts w:ascii="仿宋_GB2312" w:eastAsia="仿宋_GB2312"/>
          <w:szCs w:val="21"/>
        </w:rPr>
      </w:pPr>
      <w:r>
        <w:rPr>
          <w:rFonts w:hint="eastAsia" w:ascii="仿宋_GB2312" w:eastAsia="仿宋_GB2312"/>
          <w:szCs w:val="21"/>
        </w:rPr>
        <w:t>本基金的投资运作将采用一定的金融模型进行决策。任何金融模型都是建立在一定理论假设的基础之上，理论假设是对现实情况的高度抽象，这使得金融模型在实际运用当中可能会产生偏差。此外，在实际运作中，可能因市场结构、投资者行为模式等条件发生变动，导致有关模型出现重大偏离的问题，从而引起基金资产损失的风险。</w:t>
      </w:r>
    </w:p>
    <w:p>
      <w:pPr>
        <w:ind w:firstLine="420"/>
        <w:jc w:val="left"/>
        <w:rPr>
          <w:rFonts w:ascii="仿宋_GB2312" w:eastAsia="仿宋_GB2312"/>
          <w:szCs w:val="21"/>
        </w:rPr>
      </w:pPr>
      <w:r>
        <w:rPr>
          <w:rFonts w:hint="eastAsia" w:ascii="仿宋_GB2312" w:eastAsia="仿宋_GB2312"/>
          <w:szCs w:val="21"/>
        </w:rPr>
        <w:t>（3）衍生品投资风险</w:t>
      </w:r>
    </w:p>
    <w:p>
      <w:pPr>
        <w:ind w:firstLine="420"/>
        <w:jc w:val="left"/>
        <w:rPr>
          <w:rFonts w:ascii="仿宋_GB2312" w:eastAsia="仿宋_GB2312"/>
          <w:szCs w:val="21"/>
        </w:rPr>
      </w:pPr>
      <w:r>
        <w:rPr>
          <w:rFonts w:hint="eastAsia" w:ascii="仿宋_GB2312" w:eastAsia="仿宋_GB2312"/>
          <w:szCs w:val="21"/>
        </w:rPr>
        <w:t>由于金融衍生产品具有杠杆效应，价格波动较为剧烈，在市场面临突发事件时，可能会导致投资亏损高于初始投资金额，从而对基金收益带来不利影响。此外，衍生品的交易可能不够活跃，在市场变化时，可能因无法及时找到交易对手或交易对手方压低报价，导致基金资产的额外损失。</w:t>
      </w:r>
    </w:p>
    <w:p>
      <w:pPr>
        <w:ind w:firstLine="420"/>
        <w:jc w:val="left"/>
        <w:rPr>
          <w:rFonts w:ascii="仿宋_GB2312" w:eastAsia="仿宋_GB2312"/>
          <w:szCs w:val="21"/>
        </w:rPr>
      </w:pPr>
      <w:r>
        <w:rPr>
          <w:rFonts w:hint="eastAsia" w:ascii="仿宋_GB2312" w:eastAsia="仿宋_GB2312"/>
          <w:szCs w:val="21"/>
        </w:rPr>
        <w:t>本基金投资衍生品不得应用于投机交易目的，会通过控制规模、计算风险价值等手段来有效控制风险。</w:t>
      </w:r>
    </w:p>
    <w:p>
      <w:pPr>
        <w:ind w:firstLine="420"/>
        <w:jc w:val="left"/>
        <w:rPr>
          <w:rFonts w:ascii="仿宋_GB2312" w:eastAsia="仿宋_GB2312"/>
          <w:szCs w:val="21"/>
        </w:rPr>
      </w:pPr>
      <w:r>
        <w:rPr>
          <w:rFonts w:hint="eastAsia" w:ascii="仿宋_GB2312" w:eastAsia="仿宋_GB2312"/>
          <w:szCs w:val="21"/>
        </w:rPr>
        <w:t>（4）证券借贷和正回购／逆回购风险</w:t>
      </w:r>
    </w:p>
    <w:p>
      <w:pPr>
        <w:ind w:firstLine="420"/>
        <w:jc w:val="left"/>
        <w:rPr>
          <w:rFonts w:ascii="仿宋_GB2312" w:eastAsia="仿宋_GB2312"/>
          <w:szCs w:val="21"/>
        </w:rPr>
      </w:pPr>
      <w:r>
        <w:rPr>
          <w:rFonts w:hint="eastAsia" w:ascii="仿宋_GB2312" w:eastAsia="仿宋_GB2312"/>
          <w:szCs w:val="21"/>
        </w:rPr>
        <w:t>证券借贷、正回购／逆回购的主要风险在于交易对手风险，具体讲，对于证券借贷，作为证券借出方，如果交易对手方（即证券借入方）违约，则基金可能面临到期无法获得证券借贷收入甚至借出证券无法归还的风险，从而导致基金资产发生损失；对于正回购，交易期满时，可能会出现交易对手方未如约卖回已买入证券、未如约支付售出证券产生的所有股息、利息和分红的风险；对于逆回购，交易期满时，可能会出现交易对手方未如约买回已售出证券的风险。</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●《交银施罗德中证海外中国互联网指数型证券投资基金(LOF)基金合同》、</w:t>
      </w:r>
    </w:p>
    <w:p>
      <w:pPr>
        <w:ind w:firstLine="420"/>
        <w:jc w:val="left"/>
        <w:rPr>
          <w:rFonts w:ascii="仿宋_GB2312" w:eastAsia="仿宋_GB2312"/>
          <w:szCs w:val="21"/>
        </w:rPr>
      </w:pPr>
      <w:r>
        <w:rPr>
          <w:rFonts w:hint="eastAsia" w:ascii="仿宋_GB2312" w:eastAsia="仿宋_GB2312"/>
          <w:szCs w:val="21"/>
        </w:rPr>
        <w:t>《交银施罗德中证海外中国互联网指数型证券投资基金(LOF)托管协议》、</w:t>
      </w:r>
    </w:p>
    <w:p>
      <w:pPr>
        <w:ind w:firstLine="420"/>
        <w:jc w:val="left"/>
        <w:rPr>
          <w:rFonts w:ascii="仿宋_GB2312" w:eastAsia="仿宋_GB2312"/>
          <w:szCs w:val="21"/>
        </w:rPr>
      </w:pPr>
      <w:r>
        <w:rPr>
          <w:rFonts w:hint="eastAsia" w:ascii="仿宋_GB2312" w:eastAsia="仿宋_GB2312"/>
          <w:szCs w:val="21"/>
        </w:rPr>
        <w:t>《交银施罗德中证海外中国互联网指数型证券投资基金(LOF)招募说明书》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81DC1"/>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72B712D"/>
    <w:rsid w:val="42561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813</Words>
  <Characters>4635</Characters>
  <Lines>38</Lines>
  <Paragraphs>10</Paragraphs>
  <TotalTime>0</TotalTime>
  <ScaleCrop>false</ScaleCrop>
  <LinksUpToDate>false</LinksUpToDate>
  <CharactersWithSpaces>5438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2026-04-28T11:14:56Z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462DCF18F99E4D709D3B565CF4FC2F67</vt:lpwstr>
  </property>
</Properties>
</file>