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110533">
      <w:pPr>
        <w:rPr>
          <w:sz w:val="32"/>
        </w:rPr>
      </w:pPr>
    </w:p>
    <w:p w:rsidR="00C92FC0" w:rsidRPr="00EB07BC" w:rsidRDefault="00110533">
      <w:pPr>
        <w:rPr>
          <w:sz w:val="32"/>
        </w:rPr>
      </w:pPr>
    </w:p>
    <w:p w:rsidR="00C92FC0" w:rsidRPr="00EB07BC" w:rsidRDefault="00110533">
      <w:pPr>
        <w:rPr>
          <w:sz w:val="32"/>
        </w:rPr>
      </w:pPr>
    </w:p>
    <w:p w:rsidR="00A47256" w:rsidRDefault="00A4725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47256" w:rsidRDefault="00A4725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47256" w:rsidRDefault="00A4725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47256" w:rsidRDefault="00113B52">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交银施罗德新成长混合型证券投资基金</w:t>
      </w:r>
    </w:p>
    <w:p w:rsidR="00A47256" w:rsidRDefault="00113B52">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A47256" w:rsidRDefault="00A47256">
      <w:pPr>
        <w:snapToGrid w:val="0"/>
        <w:spacing w:line="360" w:lineRule="auto"/>
        <w:jc w:val="center"/>
        <w:rPr>
          <w:rFonts w:ascii="宋体" w:hAnsi="宋体"/>
          <w:b/>
          <w:sz w:val="30"/>
          <w:szCs w:val="30"/>
        </w:rPr>
      </w:pPr>
    </w:p>
    <w:p w:rsidR="00A47256" w:rsidRDefault="00A4725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47256" w:rsidRDefault="00A4725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47256" w:rsidRDefault="00A4725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47256" w:rsidRDefault="00A4725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47256" w:rsidRDefault="00A4725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47256" w:rsidRDefault="00A4725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47256" w:rsidRDefault="00113B5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A47256" w:rsidRDefault="00113B5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基金托管人：招商银行股份有限公司</w:t>
      </w:r>
    </w:p>
    <w:p w:rsidR="00A47256" w:rsidRDefault="00A4725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47256" w:rsidRDefault="00A4725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47256" w:rsidRDefault="00113B52">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二〇二六年四月</w:t>
      </w:r>
    </w:p>
    <w:p w:rsidR="00A47256" w:rsidRDefault="00A47256">
      <w:pPr>
        <w:autoSpaceDE w:val="0"/>
        <w:autoSpaceDN w:val="0"/>
        <w:adjustRightInd w:val="0"/>
        <w:snapToGrid w:val="0"/>
        <w:spacing w:line="360" w:lineRule="auto"/>
        <w:ind w:left="1347" w:rightChars="6" w:right="13"/>
        <w:rPr>
          <w:rFonts w:ascii="宋体" w:hAnsi="宋体"/>
          <w:kern w:val="0"/>
          <w:sz w:val="32"/>
          <w:szCs w:val="32"/>
        </w:rPr>
        <w:sectPr w:rsidR="00A47256">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A47256" w:rsidRDefault="00113B52">
      <w:pPr>
        <w:pStyle w:val="1"/>
        <w:snapToGrid w:val="0"/>
        <w:spacing w:beforeLines="0" w:before="240" w:after="240"/>
        <w:rPr>
          <w:rFonts w:ascii="宋体" w:hAnsi="宋体"/>
          <w:kern w:val="0"/>
        </w:rPr>
      </w:pPr>
      <w:bookmarkStart w:id="0" w:name="_Toc324920538"/>
      <w:bookmarkStart w:id="1" w:name="_Toc496884613"/>
      <w:bookmarkStart w:id="2" w:name="_Toc227914954"/>
      <w:r>
        <w:rPr>
          <w:rFonts w:ascii="Times New Roman" w:hAnsi="Times New Roman"/>
          <w:kern w:val="0"/>
        </w:rPr>
        <w:lastRenderedPageBreak/>
        <w:t>重要提示</w:t>
      </w:r>
      <w:bookmarkEnd w:id="0"/>
      <w:bookmarkEnd w:id="1"/>
      <w:bookmarkEnd w:id="2"/>
    </w:p>
    <w:p w:rsidR="00A47256" w:rsidRDefault="00113B5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交银施罗德新成长混合型证券投资基金（以下简称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）由交银施罗德新成长股票型证券投资基金变更而来，交银施罗德新成长股票型证券投资基金经</w:t>
      </w:r>
      <w:r>
        <w:rPr>
          <w:rFonts w:ascii="Times New Roman" w:hAnsi="Times New Roman"/>
          <w:kern w:val="0"/>
          <w:sz w:val="24"/>
        </w:rPr>
        <w:t>2014</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2014</w:t>
      </w:r>
      <w:r>
        <w:rPr>
          <w:rFonts w:ascii="Times New Roman" w:hAnsi="Times New Roman"/>
          <w:kern w:val="0"/>
          <w:sz w:val="24"/>
        </w:rPr>
        <w:t>】</w:t>
      </w:r>
      <w:r>
        <w:rPr>
          <w:rFonts w:ascii="Times New Roman" w:hAnsi="Times New Roman"/>
          <w:kern w:val="0"/>
          <w:sz w:val="24"/>
        </w:rPr>
        <w:t>277</w:t>
      </w:r>
      <w:r>
        <w:rPr>
          <w:rFonts w:ascii="Times New Roman" w:hAnsi="Times New Roman"/>
          <w:kern w:val="0"/>
          <w:sz w:val="24"/>
        </w:rPr>
        <w:t>号文准予募集注册。其基金合同于</w:t>
      </w:r>
      <w:r>
        <w:rPr>
          <w:rFonts w:ascii="Times New Roman" w:hAnsi="Times New Roman"/>
          <w:kern w:val="0"/>
          <w:sz w:val="24"/>
        </w:rPr>
        <w:t>2014</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9</w:t>
      </w:r>
      <w:r>
        <w:rPr>
          <w:rFonts w:ascii="Times New Roman" w:hAnsi="Times New Roman"/>
          <w:kern w:val="0"/>
          <w:sz w:val="24"/>
        </w:rPr>
        <w:t>日正式生效。</w:t>
      </w:r>
    </w:p>
    <w:p w:rsidR="00A47256" w:rsidRDefault="00113B5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交银施罗德新成长股票型证券投资基金募集的注册，并不表明其对本基金的价值和收益作出实质性判断或保证，也不表明投资于本基金没有风险。</w:t>
      </w:r>
    </w:p>
    <w:p w:rsidR="00A47256" w:rsidRDefault="00113B5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A47256" w:rsidRDefault="00113B5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股指期货的特定风险；投资科创板股票的特定风险；投资本基金特有的其他风险等等。本基金是一只混合型基金，其风险和预期收益高于债券型基金和货币市场基金，低于股票型基金。属于承担较高风险、预期收益较高的证券投资基金品种。</w:t>
      </w:r>
    </w:p>
    <w:p w:rsidR="00A47256" w:rsidRDefault="00113B5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A47256" w:rsidRDefault="00113B5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w:t>
      </w:r>
      <w:r>
        <w:rPr>
          <w:rFonts w:ascii="Times New Roman" w:hAnsi="Times New Roman"/>
          <w:kern w:val="0"/>
          <w:sz w:val="24"/>
        </w:rPr>
        <w:lastRenderedPageBreak/>
        <w:t>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A47256" w:rsidRDefault="00113B5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A47256" w:rsidRDefault="00113B5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04</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A47256" w:rsidRDefault="00A47256">
      <w:pPr>
        <w:autoSpaceDE w:val="0"/>
        <w:autoSpaceDN w:val="0"/>
        <w:adjustRightInd w:val="0"/>
        <w:snapToGrid w:val="0"/>
        <w:spacing w:before="51" w:line="360" w:lineRule="auto"/>
        <w:ind w:left="120" w:rightChars="6" w:right="13" w:firstLine="480"/>
        <w:rPr>
          <w:rFonts w:ascii="宋体" w:hAnsi="宋体"/>
          <w:kern w:val="0"/>
          <w:szCs w:val="24"/>
        </w:rPr>
        <w:sectPr w:rsidR="00A47256">
          <w:headerReference w:type="default" r:id="rId14"/>
          <w:pgSz w:w="11920" w:h="16840"/>
          <w:pgMar w:top="1440" w:right="1680" w:bottom="280" w:left="1680" w:header="0" w:footer="1073" w:gutter="0"/>
          <w:pgNumType w:start="1"/>
          <w:cols w:space="720"/>
        </w:sectPr>
      </w:pPr>
    </w:p>
    <w:p w:rsidR="00110533" w:rsidRPr="00110533" w:rsidRDefault="00113B52" w:rsidP="00110533">
      <w:pPr>
        <w:pStyle w:val="ad"/>
        <w:snapToGrid w:val="0"/>
        <w:spacing w:after="240" w:line="360" w:lineRule="auto"/>
        <w:jc w:val="center"/>
        <w:rPr>
          <w:rFonts w:ascii="宋体" w:hAnsi="宋体"/>
          <w:noProof/>
          <w:sz w:val="24"/>
        </w:rPr>
      </w:pPr>
      <w:r w:rsidRPr="00110533">
        <w:rPr>
          <w:rFonts w:ascii="宋体" w:hAnsi="宋体"/>
          <w:color w:val="000000"/>
          <w:position w:val="-4"/>
          <w:sz w:val="24"/>
          <w:szCs w:val="30"/>
        </w:rPr>
        <w:lastRenderedPageBreak/>
        <w:t>目</w:t>
      </w:r>
      <w:r w:rsidRPr="00110533">
        <w:rPr>
          <w:rFonts w:ascii="宋体" w:hAnsi="宋体"/>
          <w:color w:val="000000"/>
          <w:position w:val="-4"/>
          <w:sz w:val="24"/>
          <w:szCs w:val="30"/>
        </w:rPr>
        <w:tab/>
        <w:t>录</w:t>
      </w:r>
      <w:r w:rsidR="00110533" w:rsidRPr="00110533">
        <w:rPr>
          <w:rFonts w:ascii="宋体" w:hAnsi="宋体"/>
          <w:color w:val="000000"/>
          <w:position w:val="-4"/>
          <w:sz w:val="24"/>
          <w:szCs w:val="30"/>
        </w:rPr>
        <w:fldChar w:fldCharType="begin"/>
      </w:r>
      <w:r w:rsidR="00110533" w:rsidRPr="00110533">
        <w:rPr>
          <w:rFonts w:ascii="宋体" w:hAnsi="宋体"/>
          <w:color w:val="000000"/>
          <w:position w:val="-4"/>
          <w:sz w:val="24"/>
          <w:szCs w:val="30"/>
        </w:rPr>
        <w:instrText xml:space="preserve"> TOC \o "1-3" \f - \h \t "-1" </w:instrText>
      </w:r>
      <w:r w:rsidR="00110533" w:rsidRPr="00110533">
        <w:rPr>
          <w:rFonts w:ascii="宋体" w:hAnsi="宋体"/>
          <w:color w:val="000000"/>
          <w:position w:val="-4"/>
          <w:sz w:val="24"/>
          <w:szCs w:val="30"/>
        </w:rPr>
        <w:fldChar w:fldCharType="separate"/>
      </w:r>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54" w:history="1">
        <w:r w:rsidRPr="00110533">
          <w:rPr>
            <w:rStyle w:val="aa"/>
            <w:rFonts w:ascii="宋体" w:hAnsi="宋体" w:hint="eastAsia"/>
            <w:noProof/>
            <w:kern w:val="0"/>
            <w:sz w:val="24"/>
          </w:rPr>
          <w:t>重要提示</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_Toc227914954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1</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55" w:history="1">
        <w:r w:rsidRPr="00110533">
          <w:rPr>
            <w:rStyle w:val="aa"/>
            <w:rFonts w:ascii="宋体" w:hAnsi="宋体" w:hint="eastAsia"/>
            <w:noProof/>
            <w:sz w:val="24"/>
          </w:rPr>
          <w:t>一、绪言</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_Toc227914955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4</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56" w:history="1">
        <w:r w:rsidRPr="00110533">
          <w:rPr>
            <w:rStyle w:val="aa"/>
            <w:rFonts w:ascii="宋体" w:hAnsi="宋体" w:hint="eastAsia"/>
            <w:noProof/>
            <w:sz w:val="24"/>
          </w:rPr>
          <w:t>二、释义</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_Toc227914956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5</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57" w:history="1">
        <w:r w:rsidRPr="00110533">
          <w:rPr>
            <w:rStyle w:val="aa"/>
            <w:rFonts w:ascii="宋体" w:hAnsi="宋体" w:hint="eastAsia"/>
            <w:noProof/>
            <w:sz w:val="24"/>
          </w:rPr>
          <w:t>三、基金管理人</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_Toc227914957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9</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58" w:history="1">
        <w:r w:rsidRPr="00110533">
          <w:rPr>
            <w:rStyle w:val="aa"/>
            <w:rFonts w:ascii="宋体" w:hAnsi="宋体" w:hint="eastAsia"/>
            <w:noProof/>
            <w:sz w:val="24"/>
          </w:rPr>
          <w:t>四、基金托管人</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_Toc227914958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16</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59" w:history="1">
        <w:r w:rsidRPr="00110533">
          <w:rPr>
            <w:rStyle w:val="aa"/>
            <w:rFonts w:ascii="宋体" w:hAnsi="宋体" w:hint="eastAsia"/>
            <w:noProof/>
            <w:sz w:val="24"/>
          </w:rPr>
          <w:t>五、相关服务机构</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_Toc227914959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23</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60" w:history="1">
        <w:r w:rsidRPr="00110533">
          <w:rPr>
            <w:rStyle w:val="aa"/>
            <w:rFonts w:ascii="宋体" w:hAnsi="宋体" w:hint="eastAsia"/>
            <w:noProof/>
            <w:sz w:val="24"/>
          </w:rPr>
          <w:t>六、基金的历史沿革</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_Toc227914960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62</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61" w:history="1">
        <w:r w:rsidRPr="00110533">
          <w:rPr>
            <w:rStyle w:val="aa"/>
            <w:rFonts w:ascii="宋体" w:hAnsi="宋体" w:hint="eastAsia"/>
            <w:noProof/>
            <w:sz w:val="24"/>
          </w:rPr>
          <w:t>七、基金的存续</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_Toc227914961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63</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62" w:history="1">
        <w:r w:rsidRPr="00110533">
          <w:rPr>
            <w:rStyle w:val="aa"/>
            <w:rFonts w:ascii="宋体" w:hAnsi="宋体" w:hint="eastAsia"/>
            <w:noProof/>
            <w:sz w:val="24"/>
          </w:rPr>
          <w:t>八、基金份额的申购与赎回</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_Toc227914962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64</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63" w:history="1">
        <w:r w:rsidRPr="00110533">
          <w:rPr>
            <w:rStyle w:val="aa"/>
            <w:rFonts w:ascii="宋体" w:hAnsi="宋体" w:hint="eastAsia"/>
            <w:noProof/>
            <w:sz w:val="24"/>
          </w:rPr>
          <w:t>九、基金的转换</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_Toc227914963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77</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64" w:history="1">
        <w:r w:rsidRPr="00110533">
          <w:rPr>
            <w:rStyle w:val="aa"/>
            <w:rFonts w:ascii="宋体" w:hAnsi="宋体" w:hint="eastAsia"/>
            <w:noProof/>
            <w:sz w:val="24"/>
          </w:rPr>
          <w:t>十、基金的投资</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_Toc227914964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84</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65" w:history="1">
        <w:r w:rsidRPr="00110533">
          <w:rPr>
            <w:rStyle w:val="aa"/>
            <w:rFonts w:ascii="宋体" w:hAnsi="宋体" w:hint="eastAsia"/>
            <w:noProof/>
            <w:sz w:val="24"/>
          </w:rPr>
          <w:t>十一、基金的业绩</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_Toc227914965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96</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66" w:history="1">
        <w:r w:rsidRPr="00110533">
          <w:rPr>
            <w:rStyle w:val="aa"/>
            <w:rFonts w:ascii="宋体" w:hAnsi="宋体" w:hint="eastAsia"/>
            <w:noProof/>
            <w:sz w:val="24"/>
          </w:rPr>
          <w:t>十二、基金的财产</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_Toc227914966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98</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67" w:history="1">
        <w:r w:rsidRPr="00110533">
          <w:rPr>
            <w:rStyle w:val="aa"/>
            <w:rFonts w:ascii="宋体" w:hAnsi="宋体" w:hint="eastAsia"/>
            <w:noProof/>
            <w:sz w:val="24"/>
          </w:rPr>
          <w:t>十三、基金资产的估值</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_Toc227914967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99</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68" w:history="1">
        <w:r w:rsidRPr="00110533">
          <w:rPr>
            <w:rStyle w:val="aa"/>
            <w:rFonts w:ascii="宋体" w:hAnsi="宋体" w:hint="eastAsia"/>
            <w:noProof/>
            <w:sz w:val="24"/>
          </w:rPr>
          <w:t>十四、基金收益与分配</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_Toc227914968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105</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69" w:history="1">
        <w:r w:rsidRPr="00110533">
          <w:rPr>
            <w:rStyle w:val="aa"/>
            <w:rFonts w:ascii="宋体" w:hAnsi="宋体" w:hint="eastAsia"/>
            <w:noProof/>
            <w:sz w:val="24"/>
          </w:rPr>
          <w:t>十五、基金的费用与税收</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_Toc227914969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107</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70" w:history="1">
        <w:r w:rsidRPr="00110533">
          <w:rPr>
            <w:rStyle w:val="aa"/>
            <w:rFonts w:ascii="宋体" w:hAnsi="宋体" w:hint="eastAsia"/>
            <w:noProof/>
            <w:sz w:val="24"/>
          </w:rPr>
          <w:t>十六、基金的会计与审计</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_Toc227914970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110</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71" w:history="1">
        <w:r w:rsidRPr="00110533">
          <w:rPr>
            <w:rStyle w:val="aa"/>
            <w:rFonts w:ascii="宋体" w:hAnsi="宋体" w:hint="eastAsia"/>
            <w:noProof/>
            <w:sz w:val="24"/>
          </w:rPr>
          <w:t>十七、基金的信息披露</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_Toc227914971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111</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72" w:history="1">
        <w:r w:rsidRPr="00110533">
          <w:rPr>
            <w:rStyle w:val="aa"/>
            <w:rFonts w:ascii="宋体" w:hAnsi="宋体" w:hint="eastAsia"/>
            <w:noProof/>
            <w:sz w:val="24"/>
          </w:rPr>
          <w:t>十八、风险揭示</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_Toc227914972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117</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73" w:history="1">
        <w:r w:rsidRPr="00110533">
          <w:rPr>
            <w:rStyle w:val="aa"/>
            <w:rFonts w:ascii="宋体" w:hAnsi="宋体" w:hint="eastAsia"/>
            <w:noProof/>
            <w:sz w:val="24"/>
          </w:rPr>
          <w:t>十九、基金合同的变更、终止与基金财产的清算</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_Toc227914973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124</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74" w:history="1">
        <w:r w:rsidRPr="00110533">
          <w:rPr>
            <w:rStyle w:val="aa"/>
            <w:rFonts w:ascii="宋体" w:hAnsi="宋体" w:hint="eastAsia"/>
            <w:noProof/>
            <w:sz w:val="24"/>
          </w:rPr>
          <w:t>二十、基金合同内容摘要</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_Toc227914974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126</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75" w:history="1">
        <w:r w:rsidRPr="00110533">
          <w:rPr>
            <w:rStyle w:val="aa"/>
            <w:rFonts w:ascii="宋体" w:hAnsi="宋体" w:hint="eastAsia"/>
            <w:noProof/>
            <w:sz w:val="24"/>
          </w:rPr>
          <w:t>二十一、托管协议的内容摘要</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_Toc227914975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141</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76" w:history="1">
        <w:r w:rsidRPr="00110533">
          <w:rPr>
            <w:rStyle w:val="aa"/>
            <w:rFonts w:ascii="宋体" w:hAnsi="宋体" w:hint="eastAsia"/>
            <w:noProof/>
            <w:sz w:val="24"/>
          </w:rPr>
          <w:t>二十二、对基金份额持有人的服务</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_Toc227914976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159</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77" w:history="1">
        <w:r w:rsidRPr="00110533">
          <w:rPr>
            <w:rStyle w:val="aa"/>
            <w:rFonts w:ascii="宋体" w:hAnsi="宋体" w:hint="eastAsia"/>
            <w:noProof/>
            <w:sz w:val="24"/>
          </w:rPr>
          <w:t>二十三、其他应披露事项</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_Toc227914977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161</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78" w:history="1">
        <w:r w:rsidRPr="00110533">
          <w:rPr>
            <w:rStyle w:val="aa"/>
            <w:rFonts w:ascii="宋体" w:hAnsi="宋体" w:hint="eastAsia"/>
            <w:noProof/>
            <w:sz w:val="24"/>
          </w:rPr>
          <w:t>二十四、招募说明书的存放及查阅方式</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_Toc227914978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163</w:t>
        </w:r>
        <w:r w:rsidRPr="00110533">
          <w:rPr>
            <w:rFonts w:ascii="宋体" w:hAnsi="宋体"/>
            <w:noProof/>
            <w:sz w:val="24"/>
          </w:rPr>
          <w:fldChar w:fldCharType="end"/>
        </w:r>
      </w:hyperlink>
    </w:p>
    <w:p w:rsidR="00110533" w:rsidRPr="00110533" w:rsidRDefault="00110533" w:rsidP="00110533">
      <w:pPr>
        <w:pStyle w:val="10"/>
        <w:tabs>
          <w:tab w:val="right" w:leader="dot" w:pos="8550"/>
        </w:tabs>
        <w:spacing w:line="360" w:lineRule="auto"/>
        <w:rPr>
          <w:rFonts w:ascii="宋体" w:hAnsi="宋体" w:cstheme="minorBidi"/>
          <w:noProof/>
          <w:sz w:val="24"/>
        </w:rPr>
      </w:pPr>
      <w:hyperlink w:anchor="_Toc227914979" w:history="1">
        <w:r w:rsidRPr="00110533">
          <w:rPr>
            <w:rStyle w:val="aa"/>
            <w:rFonts w:ascii="宋体" w:hAnsi="宋体" w:hint="eastAsia"/>
            <w:noProof/>
            <w:sz w:val="24"/>
          </w:rPr>
          <w:t>二十五、备查文件</w:t>
        </w:r>
        <w:r w:rsidRPr="00110533">
          <w:rPr>
            <w:rFonts w:ascii="宋体" w:hAnsi="宋体"/>
            <w:noProof/>
            <w:sz w:val="24"/>
          </w:rPr>
          <w:tab/>
        </w:r>
        <w:r w:rsidRPr="00110533">
          <w:rPr>
            <w:rFonts w:ascii="宋体" w:hAnsi="宋体"/>
            <w:noProof/>
            <w:sz w:val="24"/>
          </w:rPr>
          <w:fldChar w:fldCharType="begin"/>
        </w:r>
        <w:r w:rsidRPr="00110533">
          <w:rPr>
            <w:rFonts w:ascii="宋体" w:hAnsi="宋体"/>
            <w:noProof/>
            <w:sz w:val="24"/>
          </w:rPr>
          <w:instrText xml:space="preserve"> PAGEREF _Toc227914979 \h </w:instrText>
        </w:r>
        <w:r w:rsidRPr="00110533">
          <w:rPr>
            <w:rFonts w:ascii="宋体" w:hAnsi="宋体"/>
            <w:noProof/>
            <w:sz w:val="24"/>
          </w:rPr>
        </w:r>
        <w:r w:rsidRPr="00110533">
          <w:rPr>
            <w:rFonts w:ascii="宋体" w:hAnsi="宋体"/>
            <w:noProof/>
            <w:sz w:val="24"/>
          </w:rPr>
          <w:fldChar w:fldCharType="separate"/>
        </w:r>
        <w:r w:rsidRPr="00110533">
          <w:rPr>
            <w:rFonts w:ascii="宋体" w:hAnsi="宋体"/>
            <w:noProof/>
            <w:sz w:val="24"/>
          </w:rPr>
          <w:t>164</w:t>
        </w:r>
        <w:r w:rsidRPr="00110533">
          <w:rPr>
            <w:rFonts w:ascii="宋体" w:hAnsi="宋体"/>
            <w:noProof/>
            <w:sz w:val="24"/>
          </w:rPr>
          <w:fldChar w:fldCharType="end"/>
        </w:r>
      </w:hyperlink>
    </w:p>
    <w:p w:rsidR="00A47256" w:rsidRPr="00110533" w:rsidRDefault="00110533" w:rsidP="00110533">
      <w:pPr>
        <w:pStyle w:val="ad"/>
        <w:snapToGrid w:val="0"/>
        <w:spacing w:after="240" w:line="360" w:lineRule="auto"/>
        <w:jc w:val="center"/>
        <w:rPr>
          <w:rFonts w:ascii="宋体" w:hAnsi="宋体"/>
          <w:color w:val="000000"/>
          <w:sz w:val="24"/>
        </w:rPr>
      </w:pPr>
      <w:r w:rsidRPr="00110533">
        <w:rPr>
          <w:rFonts w:ascii="宋体" w:hAnsi="宋体"/>
          <w:color w:val="000000"/>
          <w:position w:val="-4"/>
          <w:sz w:val="24"/>
          <w:szCs w:val="30"/>
        </w:rPr>
        <w:fldChar w:fldCharType="end"/>
      </w:r>
      <w:bookmarkStart w:id="3" w:name="_GoBack"/>
      <w:bookmarkEnd w:id="3"/>
    </w:p>
    <w:p w:rsidR="00A47256" w:rsidRDefault="00A47256">
      <w:pPr>
        <w:autoSpaceDE w:val="0"/>
        <w:autoSpaceDN w:val="0"/>
        <w:adjustRightInd w:val="0"/>
        <w:snapToGrid w:val="0"/>
        <w:spacing w:line="360" w:lineRule="auto"/>
        <w:ind w:left="120" w:rightChars="6" w:right="13"/>
        <w:rPr>
          <w:rFonts w:ascii="宋体" w:hAnsi="宋体"/>
          <w:kern w:val="0"/>
          <w:szCs w:val="24"/>
        </w:rPr>
        <w:sectPr w:rsidR="00A47256">
          <w:pgSz w:w="11920" w:h="16840"/>
          <w:pgMar w:top="1480" w:right="1680" w:bottom="280" w:left="1680" w:header="0" w:footer="1073" w:gutter="0"/>
          <w:cols w:space="720"/>
        </w:sectPr>
      </w:pPr>
    </w:p>
    <w:p w:rsidR="00A47256" w:rsidRDefault="00113B52">
      <w:pPr>
        <w:pStyle w:val="1"/>
        <w:snapToGrid w:val="0"/>
        <w:spacing w:beforeLines="0" w:before="240" w:after="240"/>
        <w:rPr>
          <w:rFonts w:ascii="宋体" w:hAnsi="宋体"/>
          <w:szCs w:val="30"/>
        </w:rPr>
      </w:pPr>
      <w:bookmarkStart w:id="4" w:name="_Toc227914955"/>
      <w:r>
        <w:rPr>
          <w:rFonts w:ascii="Times New Roman" w:hAnsi="Times New Roman"/>
          <w:sz w:val="30"/>
        </w:rPr>
        <w:lastRenderedPageBreak/>
        <w:t>一、绪言</w:t>
      </w:r>
      <w:bookmarkEnd w:id="4"/>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新成长混合型证券投资基金招募说明书（更新）》（以下简称“本招募说明书”）依据《中华人民共和国证券投资基金法》（以下简称“《基金法》”）、《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新成长混合型证券投资基金基金合同》（以下简称“基金合同”）编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5" w:name="_Toc227914956"/>
      <w:r>
        <w:rPr>
          <w:rFonts w:ascii="Times New Roman" w:hAnsi="Times New Roman"/>
          <w:sz w:val="30"/>
        </w:rPr>
        <w:lastRenderedPageBreak/>
        <w:t>二、释义</w:t>
      </w:r>
      <w:bookmarkEnd w:id="5"/>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1、基金或本基金：指交银施罗德新成长混合型证券投资基金，本基金由交银施罗德新成长股票型证券投资基金变更而来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3、基金托管人或本基金托管人：指招商银行股份有限公司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4、基金合同、《基金合同》：指《交银施罗德新成长混合型证券投资基金基金合同》及对基金合同的任何有效修订和补充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5、托管协议：指基金管理人与基金托管人就本基金签订之《交银施罗德新成长混合型证券投资基金托管协议》及对该托管协议的任何有效修订和补充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6、招募说明书或《招募说明书》：指《交银施罗德新成长混合型证券投资基金招募说明书》及其更新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7、基金份额发售公告：指本基金根据《运作办法》变更为混合型基金前的《交银施罗德新成长股票型证券投资基金基金份额发售公告》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8、基金产品资料概要：指《交银施罗德新成长混合型证券投资基金基金产品资料概要》及其更新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2003年10月28日经第十届全国人民代表大会常务委员会第五次会议通过，并经2012年12月28日第十一届全国人民代表大会常务委员会第三十次会议修订，自2013年6月1日起实施的《中华人民共和国证券投资基金法》及其后颁布机关对其不时做出的修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11、《销售办法》：指中国证监会2013年3月15日颁布、同年6月1日实施的《证券投资基金销售管理办法》及颁布机关对其不时做出的修订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13、《运作办法》：指中国证监会2004年6月29日颁布、同年7月1日实施、2012年6月19日修订的《证券投资基金运作管理办法》及颁布机关对其不时做出的修订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w:t>
      </w:r>
      <w:r>
        <w:rPr>
          <w:rFonts w:ascii="宋体" w:hAnsi="宋体"/>
          <w:sz w:val="24"/>
        </w:rPr>
        <w:lastRenderedPageBreak/>
        <w:t>《公开募集开放式证券投资基金流动性风险管理规定》及颁布机关对其不时做出的修订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16、银行业监督管理机构：指中国人民银行和/或中国银行业监督管理委员会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21、投资人或投资者：指个人投资者、机构投资者和合格境外机构投资者以及法律法规或中国证监会允许购买证券投资基金的其他投资人的合称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24、直销机构：指交银施罗德基金管理有限公司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25、代销机构：指符合《销售办法》和中国证监会规定的其他条件，取得基金销售业务资格并与基金管理人签订了基金销售服务协议，办理基金销售业务的机构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26、销售机构：指直销机构和代销机构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28、登记机构：指办理登记业务的机构。基金的登记机构为交银施罗德基金管理有限公司或接受交银施罗德基金管理有限公司委托代为办理登记业务的机构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29、基金账户：指登记机构为投资人开立的、记录其持有的、基金管理人所管理的基金份额余额及其变动情况的账户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30、基金交易账户：指销售机构为投资人开立的、记录投资人通过该销售机构</w:t>
      </w:r>
      <w:r>
        <w:rPr>
          <w:rFonts w:ascii="宋体" w:hAnsi="宋体"/>
          <w:sz w:val="24"/>
        </w:rPr>
        <w:lastRenderedPageBreak/>
        <w:t>办理认购、申购、赎回、转换及转托管等业务而引起的基金份额变动及结余情况的账户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31、基金合同生效日：指基金募集达到法律法规规定及基金合同规定的条件，基金管理人向中国证监会办理基金备案手续完毕，并获得中国证监会书面确认的日期</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32、基金合同终止日：指基金合同规定的基金合同终止事由出现后，基金财产清算完毕，清算结果报中国证监会备案并予以公告的日期</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33、基金募集期：指自基金份额发售之日起至发售结束之日止的期间，最长不得超过3个月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34、存续期：指基金合同生效至终止之间的不定期期限</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35、工作日：指上海证券交易所、深圳证券交易所的正常交易日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36、T日：指销售机构在规定时间受理投资人申购、赎回或其他业务申请的开放日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37、T+n日：指自T日起第n个工作日(不包含T日)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43、赎回：指基金合同生效后，基金份额持有人按基金合同和招募说明书规定的条件要求将基金份额兑换为现金的行为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44、基金转换：指基金份额持有人按照基金合同和基金管理人届时有效公告规定的条件，申请将其持有基金管理人管理的、某一基金的基金份额转换为基金管理人管理的其他基金基金份额的行为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w:t>
      </w:r>
      <w:r>
        <w:rPr>
          <w:rFonts w:ascii="宋体" w:hAnsi="宋体"/>
          <w:sz w:val="24"/>
        </w:rPr>
        <w:lastRenderedPageBreak/>
        <w:t>基金份额销售机构的操作</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50、基金资产总值：指基金拥有的各类有价证券、银行存款本息、基金应收申购款及其他资产的价值总和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55、指定媒介：指中国证监会指定的用以进行信息披露的全国性报刊及指定互联网网站（包括基金管理人网站、基金托管人网站、中国证监会基金电子披露网站）等媒介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56、不可抗力：指基金合同当事人不能预见、不能避免且不能克服的客观事件</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6" w:name="_Toc227914957"/>
      <w:r>
        <w:rPr>
          <w:rFonts w:ascii="Times New Roman" w:hAnsi="Times New Roman"/>
          <w:sz w:val="30"/>
        </w:rPr>
        <w:lastRenderedPageBreak/>
        <w:t>三、基金管理人</w:t>
      </w:r>
      <w:bookmarkEnd w:id="6"/>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先生:基金经理。北京大学金融学博士，18年证券投资行业从业经验。2008年加入交银施罗德基金管理有限公司，曾任行业分析师、高级研究员，现任权益投资副总监、基金经理。曾任交银施罗德精选混合型证券投资基金(2017年06月03日至2024年08月03日)的基金经理。现任交银施罗德新成长混合型证券投资基金(2014年10月22日至今)、交银施罗德瑞丰混合型证券投资基金（LOF）(2019年09月04日至今)的基金经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管华雨先生(2014年05月09日至2015年05月22日)。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8、办理与基金财产管理业务活动有关的信息披露事项；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10、保存基金财产管理业务活动的记录、账册、报表和其他相关资料15年以上；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1、内部控制的原则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w:t>
      </w:r>
      <w:r>
        <w:rPr>
          <w:rFonts w:ascii="宋体" w:hAnsi="宋体"/>
          <w:sz w:val="24"/>
        </w:rPr>
        <w:lastRenderedPageBreak/>
        <w:t>在与公司业务有关的重大风险；审议或听取由公司制度规定的需要向风险控制委员会报告的其他情形等。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（3）建立、健全岗位责任制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7" w:name="_Toc227914958"/>
      <w:r>
        <w:rPr>
          <w:rFonts w:ascii="Times New Roman" w:hAnsi="Times New Roman"/>
          <w:sz w:val="30"/>
        </w:rPr>
        <w:lastRenderedPageBreak/>
        <w:t>四、基金托管人</w:t>
      </w:r>
      <w:bookmarkEnd w:id="7"/>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（一）基金托管人概况</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名称：招商银行股份有限公司（以下简称“招商银行”）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设立日期：1987年3月31日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注册地址：深圳市深南大道7088号招商银行大厦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注册资本：252.20亿元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行长：王良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资产托管业务批准文号：证监基金字[2002]83号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电话：4006195555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传真：0755-83195201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资产托管部信息披露负责人：张姗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于1987年在深圳创建，是中国境内第一家完全由企业法人持股的股份制商业银行，成立38年来逐步发展成为沪港两地上市，拥有商业银行、金融租赁、基金管理、人寿保险、境外投行、消费金融、理财子公司等金融牌照的银行集团。成立以来，招商银行始终坚持服务立行、创新驱动、科技兴行、人才强行，以自身转型发展助力社会经济高质量发展，全力服务居民和企业客户财富增长、资产安全、资金融通。截至2025年12月31日，本集团总资产130,705.23亿元人民币，高级法下资本充足率18.24%，权重法下资本充足率15.00%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260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w:t>
      </w:r>
      <w:r>
        <w:rPr>
          <w:rFonts w:ascii="宋体" w:hAnsi="宋体"/>
          <w:sz w:val="24"/>
        </w:rPr>
        <w:lastRenderedPageBreak/>
        <w:t>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w:t>
      </w:r>
      <w:r>
        <w:rPr>
          <w:rFonts w:ascii="宋体" w:hAnsi="宋体"/>
          <w:sz w:val="24"/>
        </w:rPr>
        <w:lastRenderedPageBreak/>
        <w:t>《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w:t>
      </w:r>
      <w:r>
        <w:rPr>
          <w:rFonts w:ascii="宋体" w:hAnsi="宋体"/>
          <w:sz w:val="24"/>
        </w:rPr>
        <w:lastRenderedPageBreak/>
        <w:t>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2025年12月，荣获《2025东方财富风云际会》“年度托管银行风云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良先生，招商银行党委书记、执行董事、行长。中国人民大学经济学硕士，高级经济师。1995年6月加入招商银行，历任招商银行北京分行行长助理、副行长、行长，2012年6月起历任招商银行行长助理、副行长、常务副行长，2022年5月起任招商银行党委书记，2022年6月起任招商银行行长。兼任招商银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孙乐女士，招商银行资产托管部总经理，硕士研究生毕业，2001年8月加入招</w:t>
      </w:r>
      <w:r>
        <w:rPr>
          <w:rFonts w:ascii="宋体" w:hAnsi="宋体"/>
          <w:sz w:val="24"/>
        </w:rPr>
        <w:lastRenderedPageBreak/>
        <w:t>商银行至今，历任招商银行合肥分行风险控制部副经理、经理、信贷管理部总经理助理、副总经理、总经理、公司银行部总经理、中小企业金融部总经理、投行与金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截至2025年12月31日，招商银行股份有限公司累计托管1759只证券投资基金。</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（四）托管人的内部控制制度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内部控制目标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招商银行资产托管业务建立三级内部控制及风险防范体系：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内部控制原则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（1）全面性原则。内部控制覆盖各项业务过程和操作环节、覆盖所有团队和岗位，并由全部人员参与。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（2）审慎性原则。托管组织体系的构成、内部管理制度的建立均以防范风</w:t>
      </w:r>
      <w:r>
        <w:rPr>
          <w:rFonts w:ascii="宋体" w:hAnsi="宋体"/>
          <w:sz w:val="24"/>
        </w:rPr>
        <w:lastRenderedPageBreak/>
        <w:t>险、审慎经营为出发点，体现“内控优先”的要求。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（3）独立性原则。招商银行资产托管部各团队、各岗位职责保持相对独立，不同托管资产之间、托管资产和自有资产之间相互分离。内部控制的检查、评价部门独立于内部控制的建立和执行部门。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（7）重要性原则。内部控制在实现全面控制的基础上，关注重要托管业务重要事项和高风险环节。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内部控制措施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8" w:name="_Toc227914959"/>
      <w:r>
        <w:rPr>
          <w:rFonts w:ascii="Times New Roman" w:hAnsi="Times New Roman"/>
          <w:sz w:val="30"/>
        </w:rPr>
        <w:lastRenderedPageBreak/>
        <w:t>五、相关服务机构</w:t>
      </w:r>
      <w:bookmarkEnd w:id="8"/>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本基金直销机构为本基金管理人以及本基金管理人的网上直销交易平台（网站及手机APP，下同）。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个人投资者可以通过本基金管理人网上直销交易平台办理开户、本基金的申购、赎回、定期定额投资、转换等业务，具体交易细则请参阅基金管理人网站。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（3）名称：长沙银行股份有限公司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住所：湖南省长沙市芙蓉中路一段433号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办公地址：湖南省长沙市芙蓉中路一段433号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法定代表人：朱玉国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电话：（0731）84305387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传真：（0731）84305387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客户服务电话：96511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网址：www.cscb.cn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（4）名称：南京银行股份有限公司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住所：南京市玄武区中山路288号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办公地址：南京市玄武区中山路288号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法定代表人：胡升荣</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电话：025-86776111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传真：025-86775054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客户服务电话：95302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网址：www.njcb.com.cn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（5）名称：中国邮政储蓄银行股份有限公司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联系人：陈春林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（6）名称：厦门银行股份有限公司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厦门银行股份有限公司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400-858-8888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www.xmbankonline.com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（7）名称：中国建设银行股份有限公司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（8）名称：交通银行股份有限公司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（9）名称：招商银行股份有限公司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联系人：季平伟</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（10）名称：中信银行股份有限公司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（11）名称：东莞农村商业银行股份有限公司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（12）名称：中国农业银行股份有限公司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（13）名称：中国民生银行股份有限公司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（14）名称：中国光大银行股份有限公司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（15）名称：宁波银行股份有限公司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（16）名称：东吴证券股份有限公司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住所：苏州工业园区星阳街5号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法定代表人：范力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电话：0512-62938521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传真：0512-62938527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联系人：陆晓</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网址：www.dwjq.com.cn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（17）名称：平安银行股份有限公司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（18）名称：江苏银行股份有限公司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（19）名称：光大证券股份有限公司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网址：www.ebscn.com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（20）名称：万联证券股份有限公司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（21）名称：天风证券股份有限公司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（22）名称：中国中金财富证券有限公司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（23）名称：中邮证券有限责任公司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法定代表人：郭成林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（24）名称：国联民生证券股份有限公司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（25）名称：开源证券股份有限公司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（26）名称：山西证券股份有限公司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（27）名称：西部证券股份有限公司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（28）名称：方正证券股份有限公司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（29）名称：德邦证券股份有限公司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（30）名称：国投证券股份有限公司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传真：（0755）82558355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（31）名称：国元证券股份有限公司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（32）名称：东莞证券股份有限公司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（33）名称：财通证券股份有限公司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（34）名称：中信建投证券股份有限公司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（35）名称：民生证券股份有限公司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（36）名称：东方财富证券股份有限公司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（37）名称：国信证券股份有限公司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电话：（0755）82130833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（38）名称：金融街证券股份有限公司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（39）名称：兴业证券股份有限公司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（40）名称：广发证券股份有限公司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客户服务电话：95575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（41）名称：华龙证券股份有限公司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（42）名称：华宝证券股份有限公司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（43）名称：长城国瑞证券有限公司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（44）名称：大同证券有限责任公司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注册地址：山西省大同市城区迎宾街15号桐城中央21层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（45）名称：长江证券股份有限公司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（46）名称：招商证券股份有限公司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（47）名称：联储证券有限责任公司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住所：深圳市福田区福田街道岗厦社区深南大道南侧金地中心大厦9楼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办公地址：北京市朝阳区安定路5号院3号楼中建财富国际中心27层联储证券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法定代表人：吕春卫</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传真：010-86499401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祝博文、张婉婷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 400-620-6868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www.lczq.com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（48）名称：第一创业证券股份有限公司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（49）名称：华西证券股份有限公司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（50）名称：粤开证券股份有限公司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（51）名称：国新证券股份有限公司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办公地址：北京市西城区金融大街8号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（52）名称：信达证券股份有限公司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（53）名称：渤海证券股份有限公司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（54）名称：国金证券股份有限公司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传真：（028）86690126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（55）名称：长城证券有限责任公司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（56）名称：瑞银证券有限责任公司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（57）名称：中国国际金融股份有限公司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（58）名称：华鑫证券有限责任公司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华鑫证券有限责任公司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（59）名称：江海证券有限公司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（60）名称：中泰证券股份有限公司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（61）名称：申万宏源西部证券有限公司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（62）名称：中国银河证券股份有限公司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住所：北京市西城区金融大街35号国际企业大厦C座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（63）名称：申万宏源证券有限公司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（64）名称：国都证券股份有限公司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（65）名称：平安证券股份有限公司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（66）名称：南京证券股份有限公司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（67）名称：东兴证券股份有限公司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（68）名称：中航证券有限公司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（69）名称：东方证券股份有限公司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传真：（021）63326173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（70）名称：华安证券股份有限公司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住所：安徽省合肥市政务文化新区天鹅湖路198号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办公地址：安徽省合肥市政务文化新区天鹅湖路198号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法定代表人：章宏韬</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电话：0551-65161963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传真：0551-65161825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联系人：范超、孙懿</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网址：www.hazq.com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（71）名称：华泰证券股份有限公司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（72）名称：中信证券（山东）有限责任公司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网址：sd.citics.com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（73）名称：中信证券股份有限公司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（74）名称：中信证券华南股份有限公司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（75）名称：华福证券股份有限公司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（76）名称：国泰海通证券股份有限公司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传真：021-38670666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（77）名称：海通证券股份有限公司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（78）名称：上海中欧财富基金销售有限公司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（79）名称：济安财富（北京）基金销售有限公司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网址：www.jianfortune.com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（80）名称：博时财富基金销售有限公司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（81）名称：大连网金基金销售有限公司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（82）名称：阳光人寿保险股份有限公司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（83）名称：玄元保险代理有限公司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办公地址：中国(上海)自由贸易试验区张杨路707号1105室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（84）名称：京东肯特瑞基金销售有限公司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（85）名称：上海大智慧基金销售有限公司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（86）名称：和耕传承基金销售有限公司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电话：0371-85518395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（87）名称：腾安基金销售（深圳）有限公司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（88）名称：珠海盈米基金销售有限公司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（89）名称：上海华夏财富投资管理有限公司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客户服务电话：400-817-5666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（90）名称：北京度小满基金销售有限公司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（91）名称：南京苏宁基金销售有限公司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（92）名称：嘉实财富管理有限公司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（93）名称：北京汇成基金销售有限公司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住所：北京市西城区宣武门外大街甲1号4层401-2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（94）名称：上海利得基金销售有限公司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（95）名称：北京虹点基金销售有限公司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（96）名称：上海挖财基金销售有限公司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电话：021-50810673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（97）名称：万家财富基金销售（天津）有限公司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（98）名称：上海万得基金销售有限公司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（99）名称：格上富信投资顾问有限公司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联系人：张林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（100）名称：深圳市金斧子基金销售有限公司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（101）名称：北京雪球基金销售有限公司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（102）名称：北京新浪仓石基金销售有限公司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网址：www.xincai.com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（103）名称：中证金牛（北京）基金销售有限公司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（104）名称：上海证达通基金销售有限公司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（105）名称：北京创金启富基金销售有限公司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（106）名称：奕丰基金销售有限公司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w:t>
      </w:r>
      <w:r>
        <w:rPr>
          <w:rFonts w:ascii="宋体" w:hAnsi="宋体"/>
          <w:sz w:val="24"/>
        </w:rPr>
        <w:lastRenderedPageBreak/>
        <w:t>书有限公司）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（107）名称：上海天天基金销售有限公司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（108）名称：和讯信息科技有限公司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（109）名称：诺亚正行基金销售有限公司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电话：（021）80358523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（110）名称：上海好买基金销售有限公司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（111）名称：上海长量基金销售有限公司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（112）名称：深圳众禄基金销售股份有限公司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网址：www.zlfund.cn，www.jjmmw.com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（113）名称：北京广源达信基金销售有限公司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（114）名称：深圳市新兰德证券投资咨询有限公司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（115）名称：北京展恒基金销售股份有限公司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（116）名称：泛华普益基金销售有限公司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办公地址：成都市金牛区花照壁西顺街399号1栋1单元龙湖西宸天街B座1201号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（117）名称：中国人寿保险股份有限公司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（118）名称：上海联泰基金销售有限公司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（119）名称：宜信普泽（北京）基金销售有限公司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网址：http://www.puzefund.com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（120）名称：浙江同花顺基金销售有限公司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（121）名称：上海基煜基金销售有限公司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（122）名称：天相投资顾问有限公司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（123）名称：深圳前海微众银行股份有限公司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住所：深圳前海深港合作区前湾一路1号A栋201室（入驻深圳市前海商务秘书有限公司）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（124）名称：上海陆金所基金销售有限公司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（125）名称：中信期货有限公司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（126）名称：蚂蚁（杭州）基金销售有限公司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住所：浙江省杭州市余杭区五常街道文一西路969号3幢5层599室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联系人：孙睿</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经办律师：黎明、孙睿</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办公地址：中国上海南京西路1266号恒隆广场2期25楼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9" w:name="_Toc227914960"/>
      <w:r>
        <w:rPr>
          <w:rFonts w:ascii="Times New Roman" w:hAnsi="Times New Roman"/>
          <w:sz w:val="30"/>
        </w:rPr>
        <w:lastRenderedPageBreak/>
        <w:t>六、基金的历史沿革</w:t>
      </w:r>
      <w:bookmarkEnd w:id="9"/>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新成长混合型证券投资基金由交银施罗德新成长股票型证券投资基金变更而来，交银施罗德新成长股票型证券投资基金由基金管理人依照《基金法》、《运作办法》、基金合同及其他有关规定，并经中国证监会2014年3月11日证监许可【2014】277号文准予募集注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新成长股票型证券投资基金为契约型开放式股票型基金。基金存续期间为不定期。该基金募集期间基金份额净值为人民币1.00元，按初始面值发售。自2014年4月10日至2014年4月30日进行发售。本基金设立募集期共募集391,615,340.98份基金份额，有效认购户数为3,526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国人民共和国证券投资基金法》、《公开募集证券投资基金运作管理办法》、《关于实施&lt;公开募集证券投资基金运作管理办法&gt;有关问题的规定》等相关法律法规及基金合同的约定，经基金管理人与基金托管人协商一致，报中国证监会备案并公告，本基金类型变更为混合型基金，相应变更基金名称并对应修改基金合同和托管协议相关表述，无需召开基金份额持有人大会。自2015年8月8日起，本基金正式变更为交银施罗德新成长混合型证券投资基金，由《交银施罗德新成长股票型证券投资基金基金合同》修订而成的《交银施罗德新成长混合型证券投资基金基金合同》自该日起生效。</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10" w:name="_Toc227914961"/>
      <w:r>
        <w:rPr>
          <w:rFonts w:ascii="Times New Roman" w:hAnsi="Times New Roman"/>
          <w:sz w:val="30"/>
        </w:rPr>
        <w:lastRenderedPageBreak/>
        <w:t>七、基金的存续</w:t>
      </w:r>
      <w:bookmarkEnd w:id="10"/>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11" w:name="_Toc227914962"/>
      <w:r>
        <w:rPr>
          <w:rFonts w:ascii="Times New Roman" w:hAnsi="Times New Roman"/>
          <w:sz w:val="30"/>
        </w:rPr>
        <w:lastRenderedPageBreak/>
        <w:t>八、基金份额的申购与赎回</w:t>
      </w:r>
      <w:bookmarkEnd w:id="11"/>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本基金直销机构为本基金管理人以及本基金管理人的网上直销交易平台。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个人投资者可以通过基金管理人网上直销交易平台办理开户、本基金的申购、赎回、定期定额投资、转换等业务，具体交易细则请参阅基金管理人网站。网上直销交易平台网址：www.fund001.com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本基金的代销机构参见本招募说明书“五、相关服务机构”章节或拨打本公司客户服务电话进行咨询。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投资人可通过上述销售机构办理基金申购、赎回业务的营业场所或按上述销售机构提供的其他方式进行申购或赎回。本基金管理人可根据情况变更或增减基金代销机构，并在管理人网站公示。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本基金已于2014年8月8日起开放申购业务。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本基金已于2014年8月8日起开放赎回业务。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各代销机构接受</w:t>
      </w:r>
      <w:r>
        <w:rPr>
          <w:rFonts w:ascii="宋体" w:hAnsi="宋体"/>
          <w:sz w:val="24"/>
        </w:rPr>
        <w:lastRenderedPageBreak/>
        <w:t>申购申请的最低金额为单笔1元，如果代销机构业务规则规定的最低单笔申购金额高于1元，以代销机构的规定为准。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实施前依照《信息披露办法》的有关规定在指定媒介上刊登公告并报中国证监会备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 内支付赎回款项。在发生巨额赎回时，款项的支付办法参照基金合同有关条款处理。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基金管理人或基金管理人委托的登记机构应以交易时间结束前受理有效申购和赎回申请的当天作为申购或赎回申请日 （T日），在正常情况下，本基金登记机构在T+1日（包括该日）内对该交易的有效性进行确认。T日提交的有效申请，投资人应在T+2日后 (包括该日) 及时到销售网点柜台或以销售机构规定的其他方式查询申请的确认情况。若申购不成功，则申购款项退还给投资人。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本基金提供两种申购费用的支付模式。投资者可以选择前端收费模式，即在申购时支付申购费用；也可以选择后端收费模式，即在赎回时才支付相应的申购费用，该费用随基金份额的持有时间递减。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本基金的申购费用由基金申购人承担，不列入基金财产，主要用于本基金的市场推广、销售、登记等各项费用。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A4725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r>
              <w:rPr>
                <w:rFonts w:ascii="Times New Roman" w:hAnsi="Times New Roman"/>
                <w:color w:val="000000"/>
                <w:kern w:val="0"/>
                <w:sz w:val="25"/>
                <w:szCs w:val="24"/>
              </w:rPr>
              <w:lastRenderedPageBreak/>
              <w:t>（前端）</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前端申购费率</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300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300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万元（含）至</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r w:rsidR="00A4725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申购费率（后端）</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后端申购费率</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因红利自动再投资而产生的基金份额，不收取相应的申购费用。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本基金对通过基金管理人直销柜台申购前端基金份额的养老金客户实施特定申购费率。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通过基金管理人直销柜台申购本基金前端基金份额的养老金客户特定申购费率如下表：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A4725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前端特定申购费率</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300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300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万元（含）至</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本基金的赎回费用由赎回基金份额的基金份额持有人承担，在基金份额持有人赎回基金份额时收取，对持续持有期少于7日的投资人收取不低于1.5%的赎回费，</w:t>
      </w:r>
      <w:r>
        <w:rPr>
          <w:rFonts w:ascii="宋体" w:hAnsi="宋体"/>
          <w:sz w:val="24"/>
        </w:rPr>
        <w:lastRenderedPageBreak/>
        <w:t>对持续持有期大于等于7日但少于30日的投资人收取不低于0.75%的赎回费，并将上述赎回费全额计入基金财产；对持续持有期大于等于30日但少于3个月的投资人收取不低于0.5%的赎回费，并将不低于赎回费总额的75%计入基金财产；对持续持有期大于等于3个月但少于6个月的投资人收取不低于0.5%的赎回费，并将不低于赎回费总额的50%计入基金财产；对持续持有期长于6个月的投资人，应当将不低于赎回费总额的25%计入基金财产；上述“月”指的是30个自然日；其余用于支付登记费和其他必要的手续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A4725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A472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47256" w:rsidRDefault="00A472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（1）申购的有效份额为净申购金额除以当日的基金份额净值，有效份额单位为份，申购份额计算结果按四舍五入方法，保留到小数点后2位，由此产生的收益或损失由基金财产承担。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申购可以采取前端收费模式和后端收费模式。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T日基金份额净值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例一：某投资者（非养老金客户）投资40,000元申购本基金，假设申购当日基金份额净值为1.040元，如果其选择前端收费方式，申购费率为1.5%，则其可得到的申购份额为：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申购份额=（40,000-591.13）/1.040=37,893.14份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即：某投资者（非养老金客户）投资40,000元申购本基金，假设申购当日基金份额净值为1.040元，如果其选择前端收费方式，则其可得到37,893.14份基金份额。</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例二：某养老金客户投资100,000元通过基金管理人的直销柜台申购本基金的前端基金份额，假设申购当日基金份额净值为1.040元，申购费率为0.6%，则其可得到的申购份额为：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净申购金额=100,000/（1+0.6 %）=99403.58元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申购份额=（100,000-596.42）/1.040=95,580.37份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即：该养老金客户投资100,000元通过基金管理人的直销柜台申购本基金的前端基金份额，假设申购当日基金份额净值为1.040元，则其可得到95,580.37份基金份额。</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申购总金额=申请总金额</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申购份额＝申购总金额/T日基金份额净值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当投资者提出赎回时，后端申购费用的计算方法为：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后端申购费用＝赎回份额×申购日基金份额净值×后端申购费率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例三：某投资者投资40,000元申购本基金，假设申购当日基金份额净值为1.040元，如果其选择后端收费方式，则其可得到的申购份额为：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 ＝ 40,000 / 1.040 ＝ 38,461.54份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即：投资者投资40,000元申购本基金，假设申购当日基金份额净值为1.040元，则可得到38,461.54份基金份额，但其在赎回时需根据其持有时间按对应的后端申购费率交纳后端申购费用。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赎回金额为按实际确认的有效赎回份额乘以当日基金份额净值并扣除相应的费用，赎回金额单位为元，计算结果保留到小数点后两位，第三位四舍五入。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（1）前端基金份额的赎回</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如果投资者在认（申）购时选择交纳前端认（申）购费用，则赎回金额的计算方法如下：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例四：某投资者赎回持有的10,000份前端基金份额，对应的赎回费率为0.5%，假设赎回当日基金份额净值是1.016元，则其可得到的赎回金额为：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10,000×1.016×0.5% ＝ 50.80元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10,000×1.016-50.80 ＝ 10,109.20元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即：投资者赎回本基金10,000份前端基金份额，对应的赎回费率为0.5%，假设赎回当日基金份额净值是1.016元，则其可得到的赎回金额为10,109.20元。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（2）后端基金份额的赎回</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如果投资者在认（申）购时选择交纳后端认（申）购费用，则赎回金额的计算方法如下：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赎回总额＝赎回份额×T日基金份额净值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后端认（申）购费用＝赎回份额×认（申）购日基金份额净值×后端认（申）购费率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赎回费用＝赎回总额×赎回费率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例五：某投资者赎回通过后端认购持有的10,000份基金份额，对应的后端认购费率为1.6%，赎回费率为0.5%，假设赎回当日基金份额净值是1.016元，则其可得到的赎回金额为：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赎回总额=10,000×1.016=10,160.00元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后端认购费用 = 10,000×1.00×1.6% = 160.00元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10,000×1.016×0.5% ＝ 50.80元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10,160-160.00-50.80 ＝ 9,949.20元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通过后端认购所得本基金10,000份基金份额，对应的赎回费率为0.5%，假设赎回当日基金份额净值是1.016元，投资者对应的后端认购费率是1.6%，认购时的基金份额初始面值为1.00元，则其可得到的赎回金额为9,949.20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例六：某投资者赎回通过后端申购持有的10,000份基金份额，对应的后端申购费率是1.8%，赎回费率为0.5%，假设赎回当日基金份额净值是1.016元，申购时的基金份额净值为1.010元，则其可得到的赎回金额为：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赎回总额=10,000×1.016=10,160.00元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后端申购费用=10,000×1.010×1.8%=181.80元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赎回费用=10,160×0.5%=50.80元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赎回金额=10,160-181.80-50.80=9,927.40元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即：投资者赎回本基金10,000份基金份额，对应的赎回费率为0.5%，假设赎回当日基金份额净值是1.016元，投资者对应的后端申购费率是1.8%，申购时的基金净值为1.010元，则其可得到的赎回金额为9,927.40元。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基金份额净值的计算，保留到小数点后3位，小数点后第4位四舍五入，由此误差产生的收益或损失由基金财产承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发生下列情况时，基金管理人可拒绝或暂停接受投资人的申购申请：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5、基金资产规模过大，使基金管理人无法找到合适的投资品种，或其他可能对基金业绩产生负面影响，从而损害现有基金份额持有人利益的情形。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6、基金管理人、基金托管人、基金销售机构或登记机构的异常情况导致基金销售系统、基金注册登记系统或基金会计系统无法正常运行。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8、基金管理人接受某笔或者某些申购申请有可能导致单一投资者持有基金份额的比例超过50%，或者变相规避50%集中度的情形。出现上述情形时，基金管理人有权将上述申购申请全部或部分确认失败。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9、法律法规规定或中国证监会认定的其他情形。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w:t>
      </w:r>
      <w:r>
        <w:rPr>
          <w:rFonts w:ascii="宋体" w:hAnsi="宋体"/>
          <w:sz w:val="24"/>
        </w:rPr>
        <w:lastRenderedPageBreak/>
        <w:t>金资产净值。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w:t>
      </w:r>
      <w:r>
        <w:rPr>
          <w:rFonts w:ascii="宋体" w:hAnsi="宋体"/>
          <w:sz w:val="24"/>
        </w:rPr>
        <w:lastRenderedPageBreak/>
        <w:t>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 发生巨额赎回，如基金管理人认为有必要，可暂停接受基金的赎回申请；已经接受的赎回申请可以延缓支付赎回款项，但不得超过20个工作日，并应当在指定媒介上进行公告。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当发生上述延期赎回并延期办理时，基金管理人应当通过邮寄、传真、刊登公告或者通知代销机构代为告知等方式在3个交易日内通知基金份额持有人，说明有关处理方法，并在2日内在指定媒介上刊登公告。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2、暂停结束，基金重新开放申购或赎回时，基金管理人应依照《信息披露办法》的有关规定，不迟于重新开放日，在指定媒介上刊登基金重新开放申购或赎回公告，并公布最近一个开放日的基金份额净值。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w:t>
      </w:r>
      <w:r>
        <w:rPr>
          <w:rFonts w:ascii="宋体" w:hAnsi="宋体"/>
          <w:sz w:val="24"/>
        </w:rPr>
        <w:lastRenderedPageBreak/>
        <w:t>额强制划转给其他自然人、法人或其他组织。办理非交易过户必须提供基金登记机构要求提供的相关资料，对于符合条件的非交易过户申请按基金登记机构的规定办理，并按基金登记机构规定的标准收费。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2014年8月5日刊登公告自2014年8月8日起开通定期定额投资计划业务，具体开通销售机构名单和业务规则参见相关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（十六）基金上市交易和场内申购赎回业务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（十七）其他业务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如相关法律法规允许基金管理人办理基金份额的质押业务或其他基金业务，基金管理人可制定相应的业务规则并开展相关业务，并依照《信息披露办法》的有关规定进行公告。</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12" w:name="_Toc227914963"/>
      <w:r>
        <w:rPr>
          <w:rFonts w:ascii="Times New Roman" w:hAnsi="Times New Roman"/>
          <w:sz w:val="30"/>
        </w:rPr>
        <w:lastRenderedPageBreak/>
        <w:t>九、基金的转换</w:t>
      </w:r>
      <w:bookmarkEnd w:id="12"/>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本基金2014年10月9日刊登公告自2014年10月14日起开放日常转换业务。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本基金遵循“份额转换”的原则，单笔转换份额不得低于1份。基金持有人可将其全部或部分基金份额转换成其它基金，单笔转换申请不受转入基金最低申购限额限制。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w:t>
      </w:r>
      <w:r>
        <w:rPr>
          <w:rFonts w:ascii="宋体" w:hAnsi="宋体"/>
          <w:sz w:val="24"/>
        </w:rPr>
        <w:lastRenderedPageBreak/>
        <w:t>转入基金的后端申购费。后端申购补差费用按照转出份额持有时间对应分档的转出基金后端申购费率减去转入基金后端申购费率差额进行补差。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w:t>
      </w:r>
      <w:r>
        <w:rPr>
          <w:rFonts w:ascii="宋体" w:hAnsi="宋体"/>
          <w:sz w:val="24"/>
        </w:rPr>
        <w:lastRenderedPageBreak/>
        <w:t>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转出确认金额=100,000×1.00=100,000元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w:t>
      </w:r>
      <w:r>
        <w:rPr>
          <w:rFonts w:ascii="宋体" w:hAnsi="宋体"/>
          <w:sz w:val="24"/>
        </w:rPr>
        <w:lastRenderedPageBreak/>
        <w:t>货币，则转入交银货币的基金份额为：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w:t>
      </w:r>
      <w:r>
        <w:rPr>
          <w:rFonts w:ascii="宋体" w:hAnsi="宋体"/>
          <w:sz w:val="24"/>
        </w:rPr>
        <w:lastRenderedPageBreak/>
        <w:t>只能转换到前端收费模式的其他基金，后端收费模式的基金只能转换到后端收费模式的其他基金。货币市场基金、债券基金C类基金份额与其他基金之间的转换不受上述收费模式的限制。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13" w:name="_Toc227914964"/>
      <w:r>
        <w:rPr>
          <w:rFonts w:ascii="Times New Roman" w:hAnsi="Times New Roman"/>
          <w:sz w:val="30"/>
        </w:rPr>
        <w:lastRenderedPageBreak/>
        <w:t>十、基金的投资</w:t>
      </w:r>
      <w:bookmarkEnd w:id="13"/>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深入挖掘经济转型背景下的投资机会，自下而上精选个股，力争实现基金资产的长期稳定增值。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60%-95%，其中投资于经过严格品质筛选、未来预期成长性良好的公司股票不低于非现金基金资产的80%；其余资产投资于债券、中期票据、货币市场工具、权证、资产支持证券、股指期货以及法律法规或中国证监会允许基金投资的其他证券品种；每个交易日日终在扣除股指期货合约需缴纳的交易保证金后，基金保留的现金或者投资于到期日在一年以内的政府债券的比例合计不低于基金资产净值的5%，其中现金不包括结算备付金、存出保证金和应收申购款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研究优势，在经济转型大背景下，分析和判断宏观经济运行变化和政府产业政策等多因素影响，积极挖掘不同行业和子行业景气度新变化下的个股投资机会，通过团队对个股深入的基本面研究和细致的实地调研，精选公司品质良好、成长具有可持续性、定价相对合理的股票进行投资，以谋求超额收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本基金将通过“自上而下”的定性分析和定量分析相结合形成对不同资产市场表现的预测和判断，确定基金资产在股票、债券及货币市场工具等各类别资产间的</w:t>
      </w:r>
      <w:r>
        <w:rPr>
          <w:rFonts w:ascii="宋体" w:hAnsi="宋体"/>
          <w:sz w:val="24"/>
        </w:rPr>
        <w:lastRenderedPageBreak/>
        <w:t>分配比例，并随着各类证券风险收益特征的相对变化，动态调整组合中各类资产的比例，以规避或控制市场风险，提高基金收益率。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2、个股选择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对象重点为经过严格品质筛选和价值评估，成长具有可持续性、定价相对合理的成长型公司。本基金将充分发挥研究团队自下而上的选股能力，基于对个股深入的基本面研究和细致的实地调研，精选股票构建股票投资组合。具体分以下几个层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盈利能力指标（如P/E、P/Cash Flow、P/FCF、P/S、P/EBIT等）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经营效率指标（如ROE、ROA、Return on operating assets等）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财务状况指标（如D/A、流动比率等）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（2）行业及成长性评估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定量与定性相结合的评价方法，评估其行业地位和业绩成长性。本基金在全球经济的框架下，结合中长期中国经济结构调整优化的方向，通过对宏观经济运行趋势、产业环境、产业政策和行业竞争格局等多因素的分析和预测，确定宏观及行业经济变量的变动对不同行业的潜在影响，得出各行业的相对投资价值与投资时机。具体操作中，本基金从经济周期因素评估、行业政策因素评估和行业基本面指标评估（包括行业生命周期、行业发展趋势和发展空间、行业内竞争态势、行业收入及利润增长情况等）三个方面评估高成长性行业。本基金重点关注的行业包括：成为未来中国经济增长新动力的行业，受国家政策重点扶持的新兴和战略性行业，顺应中国经济结构调整方向的行业，以及受国内外宏观经济运行有利因素影响具备高成长特性的行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行业的成长性评估之外，本基金将基于对相关个股深入的基本面研究和细致的实地调研，结合交银施罗德企业成长性评价体系从宏观环境、行业前景、公司质量和成长性质量四个方面对企业的成长性进行综合评价。本基金将重点关注符合以下任一情形的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公司未来预期销售收入、主营业务收入、息税前利润等成长性财务指标处于行业前列或高于市场平均水平；</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公司的市场占有率高于行业平均水平；</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公司拥有难以为竞争对手模仿的竞争优势，如在资源、技术、人才、资金、经营许可证、销售网络等方面的优势；</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公司在技术上或商业模式上具有突出的创新，代表行业发展的方向，或直接受益于经济转型；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公司治理结构完善、拥有良好管理团队，具备清晰的公司发展战略，企业经营具备持续成长潜力；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本基金投资于满足上述条件的股票占非现金基金资产的比例不低于80%。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（3）多元化价值评估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对上述核心股票池中的重点公司进行内在价值的评估和成长性跟踪研究，在明确的价值评估基础上选择定价相对合理且成长性可持续的投资标的。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债券投资方面，本基金可投资于国债、央行票据、金融债、企业债和可转换债券等债券品种。本基金的债券投资采取主动的投资管理方式，获得与风险想匹配的投资收益，以实现在一定程度上规避股票市场的系统性风险和保证基金资产的流动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6、股指期货投资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60%-95%，其中投资于经过严格品质筛选、未来预期成长性良好的公司股票不低于非现金基金资产的80%；其余资产投资于债券、中期票据、货币市场工具、权证、资产支持证券、股指期货以及法律法规或中国证监会允许基金投资的其他证券品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（2）每个交易日日终在扣除股指期货合约需缴纳的交易保证金后，保持不低于基金资产净值5%的现金或者到期日在一年以内的政府债券，其中现金不包括结算备付金、存出保证金和应收申购款等；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（3）本基金持有一家上市公司的股票，其市值不超过基金资产净值的10%；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 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w:t>
      </w:r>
      <w:r>
        <w:rPr>
          <w:rFonts w:ascii="宋体" w:hAnsi="宋体"/>
          <w:sz w:val="24"/>
        </w:rPr>
        <w:lastRenderedPageBreak/>
        <w:t>净值的0.5%；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（15）本基金在任何交易日日终，持有的买入股指期货合约价值，不得超过基金资产净值的10%；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（17）本基金在任何交易日日终，持有的卖出期货合约价值不得超过基金持有的股票总市值的20%；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（18）本基金所持有的股票市值和买入、卖出股指期货合约价值，合计（轧差计算）应当符合基金合同关于股票投资比例的有关约定，即占基金资产的60%-95%；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（19）本基金在任何交易日内交易（不包括平仓）的股指期货合约的成交金额不得超过上一交易日基金资产净值的20%；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（20）本基金管理人管理的全部开放式基金（包括开放式基金以及处于开放期的定期开放基金）持有一家上市公司发行的可流通股票，不得超过该上市公司可流</w:t>
      </w:r>
      <w:r>
        <w:rPr>
          <w:rFonts w:ascii="宋体" w:hAnsi="宋体"/>
          <w:sz w:val="24"/>
        </w:rPr>
        <w:lastRenderedPageBreak/>
        <w:t>通股票的15%；本基金管理人管理的全部投资组合持有一家上市公司发行的可流通股票，不得超过该上市公司可流通股票的30%；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（22）本基金与私募类证券资管产品及中国证监会认定的其他主体为交易对手开展逆回购交易的，可接受质押品的资质要求应当与基金合同约定的投资范围保持一致；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（23）本基金投资存托凭证的比例限制依照境内上市交易的股票执行；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（24）法律法规及中国证监会规定的和《基金合同》约定的其他投资限制。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21）、（22）项以外，因证券、期货市场波动、证券发行人合并、基金规模变动、股权分置改革中支付对价等基金管理人之外的因素致使基金投资比例不符合上述规定投资比例的，基金管理人应当在10个交易日内进行调整。法律法规另有规定的，从其规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基金管理人应当自基金合同生效之日起6个月内使基金的投资组合比例符合基金合同的有关约定。基金托管人对基金的投资的监督与检查自基金合同生效之日起开始。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如法律、行政法规或监管部门取消上述禁止性规定，如适用于本基金，基金管理人在履行适当程序后，本基金可不受上述规定的限制。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75%×富时中国A600成长指数+25%×中证综合债券指数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其中股票投资比较基准为富时中国A600成长指数，债券投资比较基准为中证综合债券指数。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本基金采用富时中国A600成长指数作为股票投资部分的业绩比较基准主要基于以下原因：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富时中国A600成长指数是富时依据国际指数编制标准，结合中国的实际情况为中国资本市场编制的富时中国风格指数系列之一，旨在反映以收益和收入增长特征为主的、具有可识别成长特点的股票投资组合。富时中国风格指数系列于2003年12月12日开始计算，于2004年4月30日正式发布。富时中国A600成长指数具有以下特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1、本基金的股票投资对象是具有高成长特性的行业和股票，而富时中国A600成长指数具有相似的风格；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2、该指数遵循富时指数一致的基本编制方法，保证全球范围内的可比性；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3、该指数编制方法的透明度高；</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4、该指数遵循全球行业分类标准（GICS），容易被全球投资者广泛接受。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此，富时中国A600成长指数是目前衡量本基金股票投资业绩的理想基准。同时，根据本基金的目标资产配置比例来分配权重，本基金的业绩比较基准中加入了中证综合债券指数并按照本基金的目标资产配置比例来安排。</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w:t>
      </w:r>
      <w:r>
        <w:rPr>
          <w:rFonts w:ascii="宋体" w:hAnsi="宋体"/>
          <w:sz w:val="24"/>
        </w:rPr>
        <w:lastRenderedPageBreak/>
        <w:t>征。但由于风险等级分类标准的变化，本基金的风险等级表述可能有相应变化，具体风险评级结果应以基金管理人和销售机构提供的评级结果为准。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（八）基金的融资融券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本基金可以根据有关法律法规和政策的有关规定进行融资、融券。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本基金托管人招商银行根据本基金合同规定，于2026年04月20日复核了本报告中的财务指标、净值表现和投资组合报告等内容，保证复核内容不存在虚假记载、误导性陈述或者重大遗漏。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3,326,805,370.75</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84.49</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3,326,805,370.75</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84.49</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608,545,783.02</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15.45</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8</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2,244,182.09</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3,937,595,335.86</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74,427,324.00</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1.91</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164,400,887.53</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4.23</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1,538,416,443.53</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39.57</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159,664,811.84</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4.11</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1,845.66</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114,696,951.05</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2.95</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1,038,179,470.65</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26.70</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216,527,077.36</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5.57</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20,490,022.31</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0.53</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536.82</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3,326,805,370.75</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85.56</w:t>
            </w:r>
          </w:p>
        </w:tc>
      </w:tr>
    </w:tbl>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934,616</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375,435,247.20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9.66</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2,202,947</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216,109,100.70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5.56</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600066</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宇通客车</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4,814,604</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172,651,699.44</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4.44</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601899</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紫金矿业</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5,018,084</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164,191,708.48</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4.22</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603939</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益丰药房</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6,542,538</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159,637,927.20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4.11</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002142</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宁波银行</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5,115,847</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155,777,541.15</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4.01</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000333</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美的集团</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1,879,660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143,512,041.00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3.69</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002475</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立讯精密</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2,829,604</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139,386,293.04</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3.58</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601601</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中国太保</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3,661,195</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135,793,722.55</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3.49</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689009</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九号公司</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2,955,186</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130,678,324.92</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3.36</w:t>
            </w:r>
          </w:p>
        </w:tc>
      </w:tr>
    </w:tbl>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10.3 本期国债期货投资评价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2025年11月25日,央行宁波市分行公示甬银罚决字[2025]18号行政处罚决定书,给予宁波银行股份有限公司98.8万元人民币的行政处罚。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1,769,483.03</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474,699.06</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right"/>
              <w:rPr>
                <w:rFonts w:ascii="宋体" w:hAnsi="宋体"/>
                <w:color w:val="000000"/>
                <w:kern w:val="0"/>
                <w:sz w:val="25"/>
                <w:szCs w:val="24"/>
              </w:rPr>
            </w:pPr>
            <w:r>
              <w:rPr>
                <w:rFonts w:ascii="Times New Roman" w:hAnsi="Times New Roman"/>
                <w:color w:val="000000"/>
                <w:kern w:val="0"/>
                <w:sz w:val="25"/>
                <w:szCs w:val="24"/>
              </w:rPr>
              <w:t>2,244,182.09</w:t>
            </w:r>
          </w:p>
        </w:tc>
      </w:tr>
    </w:tbl>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A47256" w:rsidRDefault="00113B52">
      <w:pPr>
        <w:pStyle w:val="1"/>
        <w:snapToGrid w:val="0"/>
        <w:spacing w:beforeLines="0" w:before="240" w:after="240"/>
        <w:rPr>
          <w:rFonts w:ascii="宋体" w:hAnsi="宋体"/>
          <w:szCs w:val="30"/>
        </w:rPr>
      </w:pPr>
      <w:bookmarkStart w:id="14" w:name="_Toc227914965"/>
      <w:r>
        <w:rPr>
          <w:rFonts w:ascii="Times New Roman" w:hAnsi="Times New Roman"/>
          <w:sz w:val="30"/>
        </w:rPr>
        <w:lastRenderedPageBreak/>
        <w:t>十一、基金的业绩</w:t>
      </w:r>
      <w:bookmarkEnd w:id="14"/>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A472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A472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-2.02%</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1.90%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A472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2.79%</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19.42%</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-16.63%</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r w:rsidR="00A472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1.29%</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2.78%</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-1.81%</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A472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-14.00%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-13.33%</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rsidR="00A472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-15.08%</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-19.40%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1.16%</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4.32%</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rsidR="00A472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3.67%</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1.30%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3.19%</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r w:rsidR="00A472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55.98%</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33.43%</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22.55%</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r w:rsidR="00A472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58.20%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36.62%</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21.58%</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A472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-15.99%</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-23.70%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7.71%</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r>
      <w:tr w:rsidR="00A472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33.59%</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10.32%</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23.27%</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A472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1.65%</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-14.95%</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1.27%</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17.39%</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A472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66.11%</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16.29%</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1.96%</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49.82%</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r>
      <w:tr w:rsidR="00A472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月</w:t>
            </w:r>
            <w:r>
              <w:rPr>
                <w:rFonts w:ascii="Times New Roman" w:hAnsi="Times New Roman"/>
                <w:color w:val="000000"/>
                <w:kern w:val="0"/>
                <w:sz w:val="25"/>
                <w:szCs w:val="24"/>
              </w:rPr>
              <w:t>9</w:t>
            </w:r>
            <w:r>
              <w:rPr>
                <w:rFonts w:ascii="Times New Roman" w:hAnsi="Times New Roman"/>
                <w:color w:val="000000"/>
                <w:kern w:val="0"/>
                <w:sz w:val="25"/>
                <w:szCs w:val="24"/>
              </w:rPr>
              <w:t>日至</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29.10%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-20.50%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bl>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业绩比较基准自2015年10月1日起，由“75%×富时中国A600成长指数+25%×中信标普全债指数”变更为“75%×富时中国A600成长指数+25%×中证综合债券指数”，下图同。详情见本基金管理人于2015年9月28日发布的《交银施罗德基金管理有限公司关于旗下部分基金业绩比较基准变更并修改基金合同相关内容的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w:t>
      </w:r>
      <w:r>
        <w:rPr>
          <w:rFonts w:ascii="宋体" w:hAnsi="宋体"/>
          <w:sz w:val="24"/>
        </w:rPr>
        <w:lastRenderedPageBreak/>
        <w:t>准收益率变动的比较</w:t>
      </w:r>
    </w:p>
    <w:p w:rsidR="00A47256" w:rsidRDefault="00113B5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交银施罗德新成长混合型证券投资基金</w:t>
      </w:r>
    </w:p>
    <w:p w:rsidR="00A47256" w:rsidRDefault="00113B5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A47256" w:rsidRDefault="00113B5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（2014年5月9日至2026年03月31日）</w:t>
      </w:r>
    </w:p>
    <w:p w:rsidR="00A47256" w:rsidRDefault="0011053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15" w:name="_Toc227914966"/>
      <w:r>
        <w:rPr>
          <w:rFonts w:ascii="Times New Roman" w:hAnsi="Times New Roman"/>
          <w:sz w:val="30"/>
        </w:rPr>
        <w:lastRenderedPageBreak/>
        <w:t>十二、基金的财产</w:t>
      </w:r>
      <w:bookmarkEnd w:id="15"/>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16" w:name="_Toc227914967"/>
      <w:r>
        <w:rPr>
          <w:rFonts w:ascii="Times New Roman" w:hAnsi="Times New Roman"/>
          <w:sz w:val="30"/>
        </w:rPr>
        <w:lastRenderedPageBreak/>
        <w:t>十三、基金资产的估值</w:t>
      </w:r>
      <w:bookmarkEnd w:id="16"/>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基金所拥有的股票、权证、债券、股指期货合约和银行存款本息、应收款项、其它投资等资产及负债。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（三）估值依据及原则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应符合基金合同、《证券投资基金会计核算业务指引》、证监会计字[2007]21号《关于证券投资基金执行&lt;企业会计准则&gt;估值业务及份额净值计价有关事项的通知》、中国证监会[2008]38号公告《关于进一步规范证券投资基金估值业务的指导意见》及其他法律、法规的规定，如法律法规未做明确规定的，参照证券投资基金的行业通行做法处理。资产管理人、资产托管人的估值数据应依据合法的数据来源独立取得。对于固定收益类投资品种的估值应依据中国证券业协会基金估值工作小组的指导意见及指导价格估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估值的基本原则：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对存在活跃市场的投资品种，如估值日有市价的，应采用市价确定公允价值。估值日无市价，但最近交易日后经济环境未发生重大变化且证券发行机构未发生影响证券价格的重大事件的，应采用最近交易市价确定公允价值。如估值日无市价，且最近交易日后经济环境发生了重大变化且证券发行机构发生了影响证券价格的重大事件的，应参考类似投资品种的现行市价及重大变化因素，调整最近交易市价，确定公允价值。有充足证据表明最近交易市价不能真实反映公允价值的，应对最近交易的市价进行调整，确定公允价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对不存在活跃市场的投资品种，应采用市场参与者普遍认同，且被以往市场实际交易价格验证具有可靠性的估值技术确定公允价值。运用估值技术得出的结果，应反映估值日在公平条件下进行正常商业交易所采用的交易价格。采用估值技术确定公允价值时，应尽可能使用市场参与者在定价时考虑的所有市场参数，并应通过定期校验，确保估值技术的有效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（3）有充足理由表明按以上估值原则仍不能客观反映相关投资品种的公允价</w:t>
      </w:r>
      <w:r>
        <w:rPr>
          <w:rFonts w:ascii="宋体" w:hAnsi="宋体"/>
          <w:sz w:val="24"/>
        </w:rPr>
        <w:lastRenderedPageBreak/>
        <w:t>值的，资产管理人应根据具体情况与托管人进行商定，按最能恰当反映公允价值的价格估值。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（2）首次公开发行未上市的股票、债券和权证，采用估值技术确定公允价值，在估值技术难以可靠计量公允价值的情况下，按成本估值；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4、同一债券同时在两个或两个以上市场交易的，按债券所处的市场分别估值。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5、本基金投资股指期货合约，一般以估值当日结算价进行估值，估值当日无结算价的，且最近交易日后经济环境未发生重大变化的，采用最近交易日结算价估值。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8、相关法律法规以及监管部门有强制规定的，从其规定。如有新增事项，按法律法规以及监管部门最新规定估值。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1、基金份额净值是按照每个工作日闭市后，基金资产净值除以当日基金份额的余额数量计算，精确到0.001元，小数点后第四位四舍五入。国家另有规定的，从其规定。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基金管理人和基金托管人将采取必要、适当、合理的措施确保基金资产估值的准确性、及时性。当基金份额净值小数点后第3位以内（含第3位）发生估值错误时，视为基金份额净值错误。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本基金基金合同的当事人应按照以下约定处理：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（2）根据估值错误处理原则或当事人协商的方法对因估值错误造成的损失进行评估；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3、当前一估值日基金资产净值50%以上的资产出现无可参考的活跃市场价格且采用估值技术仍导致公允价值存在重大不确定性时，经与基金托管人协商确认后，基金管理人应当暂停估值；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4、占基金相当比例的投资品种的估值出现重大转变，而基金管理人为保障基金份额持有人的利益，已决定延迟估值；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对基金净值予以公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w:t>
      </w:r>
      <w:r>
        <w:rPr>
          <w:rFonts w:ascii="宋体" w:hAnsi="宋体"/>
          <w:sz w:val="24"/>
        </w:rPr>
        <w:lastRenderedPageBreak/>
        <w:t>作为基金资产估值错误处理。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17" w:name="_Toc227914968"/>
      <w:r>
        <w:rPr>
          <w:rFonts w:ascii="Times New Roman" w:hAnsi="Times New Roman"/>
          <w:sz w:val="30"/>
        </w:rPr>
        <w:lastRenderedPageBreak/>
        <w:t>十四、基金收益与分配</w:t>
      </w:r>
      <w:bookmarkEnd w:id="17"/>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每年收益分配次数最多为10次，每份基金份额每次分配比例不得低于收益分配基准日每份基金份额可供分配利润的10%，若《基金合同》生效不满3个月可不进行收益分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2、本基金收益分配方式分两种：现金分红与红利再投资，投资者可选择现金红利或将现金红利自动转为基金份额进行再投资；若投资者不选择，本基金默认的收益分配方式是现金分红；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4、每一基金份额享有同等分配权；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w:t>
      </w:r>
      <w:r>
        <w:rPr>
          <w:rFonts w:ascii="宋体" w:hAnsi="宋体"/>
          <w:sz w:val="24"/>
        </w:rPr>
        <w:lastRenderedPageBreak/>
        <w:t>者的现金红利小于一定金额，不足以支付银行转账或其他手续费用时，登记机构可将基金份额持有人的现金红利自动转为基金份额。红利再投资的计算方法，依照《业务规则》执行。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18" w:name="_Toc227914969"/>
      <w:r>
        <w:rPr>
          <w:rFonts w:ascii="Times New Roman" w:hAnsi="Times New Roman"/>
          <w:sz w:val="30"/>
        </w:rPr>
        <w:lastRenderedPageBreak/>
        <w:t>十五、基金的费用与税收</w:t>
      </w:r>
      <w:bookmarkEnd w:id="18"/>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9、按照国家有关规定和《基金合同》约定，可以在基金财产中列支的其他费用。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H＝E×1.2%÷当年天数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逐日累计至每月月末，按月支付，由基金管理人与基金托管人核对一致后，基金托管人于次月前5个工作日内从基金财产中一次性支付给基金管理人。若遇法定节假日、公休假或不可抗力致使无法按时支付的，支付日期顺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逐日累计至每月月末，按月支付，由基金管理人与基金托管人核对一致后，基金托管人于次月前5个工作日内从基金财产中一次性支取。若遇法定节假日、公休日或不可抗力致使无法按时支付的，支付日期顺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账户开户费用：证券账户开户费由基金托管人在开户时先行垫付，产品在证券账户开户后一个月内成立的，自证券账户开户后一个月内由基金托管人从委托资产中扣划；如证券账户开户后一个月内产品未能成立，由基金管理人在收到基金托管人缴费通知后的5个工作日内支付给基金托管人，基金托管人不承担垫付开户费用义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3、上述“（一）基金费用的种类中第3－9项费用”，根据有关法规及相应协议规定，按费用实际支出金额列入当期费用，由基金托管人从基金财产中支付。</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（四）基金管理人和基金托管人可根据基金发展情况调整基金管理费率、基金托管费率等相关费率。降低基金管理费率、基金托管费率，无须召开基金份额持有</w:t>
      </w:r>
      <w:r>
        <w:rPr>
          <w:rFonts w:ascii="宋体" w:hAnsi="宋体"/>
          <w:sz w:val="24"/>
        </w:rPr>
        <w:lastRenderedPageBreak/>
        <w:t>人大会。基金管理人必须依照有关规定于新的费率实施日前在指定媒介上刊登公告。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（五）基金税收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19" w:name="_Toc227914970"/>
      <w:r>
        <w:rPr>
          <w:rFonts w:ascii="Times New Roman" w:hAnsi="Times New Roman"/>
          <w:sz w:val="30"/>
        </w:rPr>
        <w:lastRenderedPageBreak/>
        <w:t>十六、基金的会计与审计</w:t>
      </w:r>
      <w:bookmarkEnd w:id="19"/>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20" w:name="_Toc227914971"/>
      <w:r>
        <w:rPr>
          <w:rFonts w:ascii="Times New Roman" w:hAnsi="Times New Roman"/>
          <w:sz w:val="30"/>
        </w:rPr>
        <w:lastRenderedPageBreak/>
        <w:t>十七、基金的信息披露</w:t>
      </w:r>
      <w:bookmarkEnd w:id="20"/>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（四）本基金公开披露的信息应采用中文文本。同时采用外文文本的，基金信息披露义务人应保证不同文本的内容一致。不同文本之间发生歧义的，以中文文本为准。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指定报刊上，将基金份额发售公告、基金招募说明书、基金产品资料概要、《基金合同》和基金托管协议登载在指定网站上，并将基金产品资料概要登载在基金销售机构网站或营业网点；基金托管人应当同时将《基金合同》、基金托管协议登载在网站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《基金合同》生效后，在开始办理基金份额申购或者赎回前，基金管理人应当至少每周在指定网站披露一次基金份额净值和基金份额累计净值。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在开始办理基金份额申购或者赎回后，基金管理人应当在不晚于每个开放日的次日，通过指定网站、基金销售机构网站或者营业网点披露开放日的基金份额净值和基金份额累计净值。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基金管理人应当在不晚于半年度和年度最后一日的次日，在指定网站披露半年度和年度最后一日的基金份额净值和基金份额累计净值。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前款所称重大事件，是指可能对基金份额持有人权益或者基金份额的价格产生重大影响的下列事件：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（18）本基金发生巨额赎回并延期办理；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12、中国证监会规定的其他信息。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基金信息披露义务人公开披露基金信息，应当符合中国证监会相关基金信息披露内容与格式准则等法律法规规定。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21" w:name="_Toc227914972"/>
      <w:r>
        <w:rPr>
          <w:rFonts w:ascii="Times New Roman" w:hAnsi="Times New Roman"/>
          <w:sz w:val="30"/>
        </w:rPr>
        <w:lastRenderedPageBreak/>
        <w:t>十八、风险揭示</w:t>
      </w:r>
      <w:bookmarkEnd w:id="21"/>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分红等行为导致基金份额净值变化，不会改变基金的风险收益特征，不会降低基金投资风险或提高基金投资收益。以1元初始面值开展基金募集或因分红等行为导致基金份额净值调整至1元初始面值或1元附近，在市场波动等因素的影响下，基金投资仍有可能出现亏损或基金净值仍有可能低于初始面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w:t>
      </w:r>
      <w:r>
        <w:rPr>
          <w:rFonts w:ascii="宋体" w:hAnsi="宋体"/>
          <w:sz w:val="24"/>
        </w:rPr>
        <w:lastRenderedPageBreak/>
        <w:t>金份额净值。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（五）本基金投资策略所特有的风险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1、本基金为混合型基金，将维持较高的股票持仓比例，如果股票市场出现整体下跌，本基金的净值表现将受到影响。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成长型股票的优选和判断是否科学、准确将影响本基金的收益。基本面研究及上市公司分析的错误均可能导致所选择的证券不能完全符合本基金的预期目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3、本基金可投资创业板股票，创业板个股上市后的前五个交易日不设价格涨跌幅限制，第六个交易日开始涨跌幅限制比例为20%。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（六）投资股指期货的特定风险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（七）投资科创板股票的特定风险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（八）投资存托凭证的特定风险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（九）本基金法律文件风险收益特征表述与销售机构基金风险评价可能不一致的风险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（十）其他风险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22" w:name="_Toc227914973"/>
      <w:r>
        <w:rPr>
          <w:rFonts w:ascii="Times New Roman" w:hAnsi="Times New Roman"/>
          <w:sz w:val="30"/>
        </w:rPr>
        <w:lastRenderedPageBreak/>
        <w:t>十九、基金合同的变更、终止与基金财产的清算</w:t>
      </w:r>
      <w:bookmarkEnd w:id="22"/>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23" w:name="_Toc227914974"/>
      <w:r>
        <w:rPr>
          <w:rFonts w:ascii="Times New Roman" w:hAnsi="Times New Roman"/>
          <w:sz w:val="30"/>
        </w:rPr>
        <w:lastRenderedPageBreak/>
        <w:t>二十、基金合同内容摘要</w:t>
      </w:r>
      <w:bookmarkEnd w:id="23"/>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回、转换和非交易过户等业务规则；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1）依法募集资金，办理或者委托经中国证监会认定的其他机构代为办理基金份额的发售、申购、赎回和登记事宜；</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27）根据投资的需要开立股指期货业务相关账户及交易编码；</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28）法律法规及中国证监会规定的和《基金合同》约定的其他义务。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4）根据相关市场规则，为基金开设资金账户、证券账户等投资所需账户、协助开立股指期货业务相关账户及交易编码、为基金办理证券交易资金清算；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w:t>
      </w:r>
      <w:r>
        <w:rPr>
          <w:rFonts w:ascii="宋体" w:hAnsi="宋体"/>
          <w:sz w:val="24"/>
        </w:rPr>
        <w:lastRenderedPageBreak/>
        <w:t>购、赎回价格；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每份基金份额具有同等的合法权益。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3）依法并按照基金合同的规定申请赎回其持有的基金份额；</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2）了解所投资基金产品，了解自身风险承受能力，自行承担投资风险；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（二）基金份额持有人大会召集、议事及表决的程序和规则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5）提高基金管理人、基金托管人的报酬标准，但法律法规要求提高该等报酬标准的除外；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12）对基金当事人权利和义务产生重大影响的其他事项；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1）调低基金管理费、基金托管费和其他应由本基金或基金份额持有人承担的费用；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3）在法律法规和《基金合同》规定的范围内调整本基金的申购费率、调低赎回费率、在不影响现有基金份额持有人利益的前提下变更或增加收费方式；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4）因相应的法律法规发生变动而应当对《基金合同》进行修改；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6）在法律法规允许的情况下基金推出新业务或服务；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7）按照法律法规和《基金合同》规定不需召开基金份额持有人大会的以外的其他情形。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 60日内召开；基金管理人决定不召集，基金托管人仍认为有必要召开的，应当由基金托管人自行召集；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3、召开基金份额持有人大会的通知时间、通知内容、通知方式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在法律法规和监管机关允许的情况下，经会议通知载明，本基金可采用网络、电话等其他非书面方式由基金份额持有人向其授权代表进行授权；本基金亦可采用网络、电话等其他非现场方式或者以非现场方式与现场方式结合的方式召开基金份额持有人大会并表决，会议程序比照现场开会和通讯方式开会的程序进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6、表决</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以特别决议通过方为有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w:t>
      </w:r>
      <w:r>
        <w:rPr>
          <w:rFonts w:ascii="宋体" w:hAnsi="宋体"/>
          <w:sz w:val="24"/>
        </w:rPr>
        <w:lastRenderedPageBreak/>
        <w:t>点，重新清点以一次为限。重新清点后，大会主持人应当当场公布重新清点结果。</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基金份额持有人大会的决议自完成备案手续之日起生效。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或监管部门对基金份额持有人大会召开事由、召开条件、议事程序、表决条件等另有规定的，凡是直接引用法律法规的部分，如将来法律法规修改导致相关内容被取消或变更的，基金管理人提前公告后，可直接对本部分内容进行修改和调整，无需召开基金份额持有人大会审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2、《基金合同》的终止事由</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5、基金财产清算剩余资产的分配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（五）基金合同存放及投资者取得基金合同的方式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24" w:name="_Toc227914975"/>
      <w:r>
        <w:rPr>
          <w:rFonts w:ascii="Times New Roman" w:hAnsi="Times New Roman"/>
          <w:sz w:val="30"/>
        </w:rPr>
        <w:lastRenderedPageBreak/>
        <w:t>二十一、托管协议的内容摘要</w:t>
      </w:r>
      <w:bookmarkEnd w:id="24"/>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 2005年8月4日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名称：招商银行股份有限公司(简称：招商银行)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住所：深圳市深南大道7088号招商银行大厦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邮政编码：518040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法定代表人：李建红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成立时间：1987年4月8日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基金托管业务批准文号：证监基金字[2002]83号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注册资本：人民币252.20亿元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结算；办理票据贴现；发行金融债券；代理发行、代理兑付、承销政府债券；买卖政府债券；同业拆借；提供信用证服务及担保；代理收付款项及代理保险业务；提供保管箱服务。</w:t>
      </w:r>
      <w:r>
        <w:rPr>
          <w:rFonts w:ascii="宋体" w:hAnsi="宋体"/>
          <w:sz w:val="24"/>
        </w:rPr>
        <w:lastRenderedPageBreak/>
        <w:t>外汇存款；外汇贷款；外汇汇款；外币兑换；国际结算；结汇、售汇；同业外汇拆借；外汇票据的承兑和贴现；外汇借款；外汇担保；发行和代理发行股票以外的外币有价证券；买卖和代理买卖股票以外的外币有价证券；自营和代客外汇买卖；资信调查、咨询、见证业务；离岸金融业务。经中国人民银行批准的其他业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（1）本基金将投资于以下金融工具：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（2）本基金不得投资于相关法律、法规、部门规章及《基金合同》禁止投资的投资工具。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基金管理人发送的不符合基金合同规定的投资行为，基金托管人可以拒绝执行，并书面通知基金管理人；对于已经执行的投资，基金托管人发现该投资行为不符合基金合同的规定的，基金托管人应书面通知基金管理人进行整改，并将该情况报告中国证监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合同明确约定基金投资风格或证券选择标准的，基金管理人应事先向基金托管人提供投资品种池，以便基金托管人对基金实际投资是否符合基金合同关于证券选择标准的约定进行监督。</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本基金的投融资比例：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资产（含存托凭证）占基金资产的60%-95%，其中投资于经过严格品质筛选、未来预期成长性良好的公司股票不低于非现金基金资产的80%；其余资产投资于债券、中期票据、货币市场工具、权证、资产支持证券、股指期货以及法律法规或中国证监会允许基金投资的其他证券品种；每个交易日日终在扣除股指期货合约需缴纳的交易保证金后，基金保留的现金或者投资于到期日在一年以内的政府债券</w:t>
      </w:r>
      <w:r>
        <w:rPr>
          <w:rFonts w:ascii="宋体" w:hAnsi="宋体"/>
          <w:sz w:val="24"/>
        </w:rPr>
        <w:lastRenderedPageBreak/>
        <w:t>的比例合计不低于基金资产净值的5%，其中现金不包括结算备付金、存出保证金和应收申购款等。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本基金投资组合遵循以下投资限制：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60%-95%，其中投资于经过严格品质筛选、未来预期成长性良好的公司股票不低于非现金基金资产的80%；其余资产投资于债券、中期票据、货币市场工具、权证、资产支持证券、股指期货以及法律法规或中国证监会允许基金投资的其他证券品种；</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（2）每个交易日日终在扣除股指期货合约需缴纳的交易保证金后，保持不低于基金资产净值5%的现金或者到期日在一年以内的政府债券，其中现金不包括结算备付金、存出保证金和应收申购款等；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（3）本基金持有一家上市公司的股票，其市值不超过基金资产净值的10%；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w:t>
      </w:r>
      <w:r>
        <w:rPr>
          <w:rFonts w:ascii="宋体" w:hAnsi="宋体"/>
          <w:sz w:val="24"/>
        </w:rPr>
        <w:lastRenderedPageBreak/>
        <w:t>产，本基金所申报的股票数量不超过拟发行股票公司本次发行股票的总量；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（15）本基金在任何交易日日终，持有的买入股指期货合约价值，不得超过基金资产净值的10%；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（17）本基金在任何交易日日终，持有的卖出期货合约价值不得超过基金持有的股票总市值的20%；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（18）本基金所持有的股票市值和买入、卖出股指期货合约价值，合计（轧差计算）应当符合基金合同关于股票投资比例的有关约定，即占基金资产的60%-95%；</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（19）本基金在任何交易日内交易（不包括平仓）的股指期货合约的成交金额不得超过上一交易日基金资产净值的20%；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管理人管理并由本基金托管人托管的全部开放式基金（包括开放式基金以及处于开放期的定期开放基金）持有一家上市公司发行的可流通股票，不得超过该上市公司可流通股票的15%；本基金管理人管理并由本基金托管人托管的全部投资组合持有一家上市公司发行的可流通股票，不得超过该上市公司可流通股票的30%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（22）本基金与私募类证券资管产品及中国证监会认定的其他主体为交易对手开展逆回购交易的，可接受质押品的资质要求应当与基金合同约定的投资范围保持一致；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（23）本基金投资存托凭证的比例限制依照境内上市交易的股票执行；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（24）法律法规及中国证监会规定的和《基金合同》约定的其他投资限制。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基金管理人应当自基金合同生效日起6个月内使基金的投资组合比例符合基金合同的有关约定。基金托管人对基金的投资的监督与检查自本基金合同生效之日起开始。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21）、（22）项以外，因证券、期货市场波动、证券发行人合并、基金规模变动、股权分置改革中支付对价等基金管理人之外的原因导致投资组合不符合上述规定的，基金管理人应在10个交易日内进行调整。法律法规另有规定的，从其规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及监管政策等对基金合同约定的投资禁止行为和投资组合比例限制进行变更的，本基金以相应调整变更后的禁止行为和投资比例限制规定为准。《基金法》及其他有关法律法规或监管部门取消上述限制的，履行适当程序后，基金不受上述限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九款基金投资禁止行为进行监督。基金托管人通过事后监督方式对基金管理人基金投资禁止行为和关联交易进行监督。根据法律法规有关基金禁止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责及时将更新后的名单发送给对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基金管理人采取必要措施阻止该关联交易的发生，如基金托管人提醒基金管理人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（1）本基金的存款银行应是具有证券投资基金托管资格、证券投资基金代销</w:t>
      </w:r>
      <w:r>
        <w:rPr>
          <w:rFonts w:ascii="宋体" w:hAnsi="宋体"/>
          <w:sz w:val="24"/>
        </w:rPr>
        <w:lastRenderedPageBreak/>
        <w:t>业务资格或合格境外基金投资人托管人资格的商业银行。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（2）单只基金投资定期存款的比例不得超过基金资产净值的30%；存放在具有基金托管资格的同一银行存款不得超过基金资产净值的30%。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有关法律法规或监管部门制定或修改新的定期存款投资政策，基金公司履行适当程序后，可相应调整投资组合限制的规定。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负责对本基金存款银行的评估与研究，建立健全银行定期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未勤勉尽责而选择存款银行不当造成基金财产损失的，由基金管理人承担责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控制流动性风险，并承担因未勤勉尽责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3）基金管理人须加强内部风险控制制度的建设。如因基金管理人员工的职务行为导致基金财产受到损失的，需由基金管理人承担由此造成的损失。</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（3）基金托管人应加强对基金银行存款业务的监督与核查，严格审查、复核相关协议、账户资料、投资指令、存款证实书等有关文件，切实履行托管职责。</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5、基金投资银行存款协议的签订、账户开设与管理、投资指令与资金划拨、账目核对、到期兑付、提前支取和文件保管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（1）基金投资银行存款协议的签订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符合资格的存款银行，基金管理人应与存款银行总行或其授权分行签订《基金存款业务总体合作协议》（以下简称《总体合作协议》），确定《存款协议书》的格式范本。《总体合作协议》和《存款协议书》的格式范本由基金托管人与基金管理人共同商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2）基金管理人应在《存款协议书》中明确存款证实书或其他有效存款凭证的办理方式、邮寄地址、联系人和联系电话，以及存款证实书或其他有效凭证在邮寄过程中遗失后，存款余额的确认及兑付办法。</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存款银行指定的存放存款的分支机构（以下简称存款分支机构）寄送存款证实书或其他有效存款凭证的，基金管理人应在《存款协议书》中规定基金托管人可向存款分支机构的上级行发出存款余额询证函，存款分支机构及其上级行应予配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4）基金管理人应在《存款协议书》中规定，基金存放到期或提前兑付的资金应全部划转到指定的基金托管帐户，并在《存款协议书》写明帐户名称和帐号，未划入指定帐户的，由存款银行承担一切责任。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5）基金托管人依据相关法规对《总体合作协议》和《存款证实书》的内容进行复核，审查存款银行资格等。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（2）银行存款帐户的开设与管理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1）基金投资于银行存款时，基金托管人应当依据基金管理人与存款银行签订的《总体合作协议》，以基金的名义在存款银行总行或授权分行指定的分支机构开立银行帐户。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2）银行存款的预留印鉴由基金托管人保管和使用。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（3）存款投资指令的发送与执行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1）基金管理人发送投资指令应采用加密传真方式或双方约定的其他方式。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存款投资指令包括存款资金划拨指令、提前支取存款指令等。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基金管理人应按照法律法规和基金合同及托管协议的规定向基金托管人发送存款投资指令。对于基金管理人依约定程序发出的指令，基金管理人不得否认其效力。</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指令发出后，基金管理人应及时以电话方式向基金托管人确认。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基金管理人在发送投资指令时，应为基金托管人执行投资指令留出执行指令所必需的时间。投资指令传输不及时、未能留出足够的划款时间，导致资金未能及时到帐所造成的损失由基金管理人承担。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2）投资指令的确认</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指定专人接收基金管理人的指令，预先通知基金管理人其名单，并与基金管理人商定指令发送和接收方式。投资指令到达基金托管人后，基金托管人应指定专人立即审慎验证有关内容及印鉴和签名的表面一致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3）投资指令的执行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基金托管人验证投资指令后，应及时执行。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若因基金托管人过错致使资金未能及时到帐或者投资指令执行差错所造成的损失由基金托管人承担。投资指令执行完毕，基金托管人应及时通知基金管理人。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若基金托管人未能执行或仅可部分执行投资指令（无论因基金托管人原因还是基金管理人原因），基金托管人应及时电话通知基金管理人。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（4）资金划拨、账目核对及到期兑付</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1）资金划拨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基金管理人的划拨指令，经基金托管人审核无误后应在规定期限内执行。存款资金只能存放于存款银行总行或者其授权分行指定的分支机构。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2）存款证实书等存款凭证领取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银行分支机构应为基金开具存款证实书或其他有效存款凭证名称，该存款证实书为基金托管人存款确认或到期提款的有效凭证。资金到账当日，由存款银行分支机构指定的会计主管传真一份存款证实书复印件并与基金托管人电话确认收妥后，用双方约定的方式将存款证实书原件寄送基金托管人指定联系人；若开户行代为保管存单的，由存款行分支机构指定会计主管传真一份存款证实书复印件并与基金托管人电话确认收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3）存款证实书等存款凭证的遗失补办</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证实书在邮寄过程中遗失的，由基金托管人向存款银行提出补办申请，基金管理人应督促存款银行尽快补办存款证实书或基金托管人兑付时可作为兑付依据的存款证明文件，并按以上2）的方式以双方约定的方式寄送给托管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4）账目核对</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每个工作日，基金管理人应与基金托管人核对各项银行存款投资余额及应计利息。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存款行负责于每个月的最后一个工作日提供加盖存款行公章的本基金存放在该机构的存款余额证明寄送至基金托管人指定联系人，并配合基金托管人招商银行股份有限公司对“存款证实书”的询证，并在询证函上加盖存款行公章寄送至基金托管人指定联系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5）到期兑付</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提前通知基金托管人通过双方约定的方式将存款证实书原件或其他存款证明原件寄给存款银行分支机构指定的会计主管。存款行未收到存款证实书原件的，应与基金托管人电话询问。存款到期前基金管理人与存款行确认存款证实书收到并于到期日兑付存款本息事宜。</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存款到期日未收到存款本息或存款本息金额不符时，通知基金管理人与存款行接洽存款到账时间及利息补付事宜。基金管理人应将接洽结果告知基金托管人，基金托管人收妥存款本息的当日通知基金管理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证实书在邮寄过程中遗失的，存款行应立即通知基金托管人，基金托管人在原存款证实书复印件上加盖公章并出具相关证明文件后，与存款行指定会计主管电话确认后，存款行分支机构应在到期日将存款本息划至指定基金账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如果存款到期日为法定节假日，存款行顺延至到期后第一个工作日支付，存款行需按当期利率和实际延期天数支付延期利息。</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（5）提前支取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在存款期限内，由于基金规模发生缩减的原因或者出于流动性管理的需要，经与定期存款行友好协商，基金管理人可以提前支取全部资金，但应继续按原有利率计提利息，因提前支取导致的利息损失应由基金管理人承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提前支取的具体事项按照基金管理人与存款行签订的《存款协议书》执行。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（6）银行存款相关文件的保管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资金存入存款银行当日，存款行分支机构开具存款证实书或其他有效存款凭证，同时传真复印件给基金托管人和基金管理人，并寄送原件给托管人代为保管；若存款行代为保管存单原件，存款行传真复印件给基金托管人和基金管理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基金资金存入存款银行当日，存款银行分支机构开具存款证实书或其他有效存款凭证，并寄送基金托管人。基金托管人收到存款证实书或其他有效存款凭证后，将复印件传真给基金管理人。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2）存款证实书或其他有效存款凭证原件由基金托管人保管。基金托管人发现基金管理人在选择存款银行时有违反有关法律法规的规定及《基金合同》的约定的行为，应及时以书面形式通知基金管理人在10 个工作日内纠正。基金管理人对基金托管人通知的违规事项未能在10 个工作日内纠正的，基金托管人应报告中国证监会。基金托管人发现基金管理人有重大违规行为，应立即报告中国证监会，同时通知基金管理人在10 个工作日内纠正或拒绝结算，若基金管理人拒不执行造成基金财产的损失，基金托管人不承担任何责任。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前已与本次剔除的交易对手所进行但尚未结算的交易，仍应按照协议进行结算。如基金管理人根据市场需要临时调整银行间债券交易对手名单及结算方式的，应向基金托管人说明理由，并在与交易对手发生交易前1个交易日内与基金托管人协商解决。基金管理人与基金托管人完成确认后，被确认调整的名单开始生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w:t>
      </w:r>
      <w:r>
        <w:rPr>
          <w:rFonts w:ascii="宋体" w:hAnsi="宋体"/>
          <w:sz w:val="24"/>
        </w:rPr>
        <w:lastRenderedPageBreak/>
        <w:t>没有按照事先约定的交易对手进行交易时，基金托管人应及时提醒基金管理人，基金托管人不承担由此造成的任何损失和责任。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7、本基金投资流通受限证券，应遵守《关于规范基金投资非公开发行证券行为的紧急通知》、《关于基金投资非公开发行股票等流通受限证券有关问题的通知》等有关法律法规规定。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协议所称的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本基金可以投资经中国证监会批准的非公开发行证券，且限于由中国证券登记结算有限责任公司或中央国债登记结算有限责任公司负责登记和存管的，并可在证券交易所或全国银行间债券市场交易的证券。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基金不得投资未经中国证监会批准的非公开发行证券。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基金参与非公开发行证券的认购，不得预付任何形式的保证金，法律法规或中国证监会另有规定的除外。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基金不得投资有锁定期但锁定期不明确的证券，且锁定期不得超过本基金的剩余期限，但法律法规或中国证监会另有规定的除外。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按法律法规承担所有损失。对本基金因流通受限证券导致的流动性风险，基金托管人不承担任何责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由于基金管理人未及时提供有关证券的具体的必要的信息致使托管人无法审核认购指令而影响认购款项划拨的，基金托管人免于承担责任。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当对投资中期票据业务进行研究，认真评估中期票据投资业务的风险，本着审慎、勤勉尽责的原则进行中期票据的投资业务。基金管理人根据法律、法规、监管部门的规定，制定了经公司董事会批准的《基金投资中期票据管理办法》（以下简称《制度》），以规范对中期票据的投资决策流程、风险控制。基金管理人《制度》的内容与本协议不一致的，以本协议的约定为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（1）基金投资中期票据应遵循以下投资限制：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1）中期票据属于固定收益类证券，基金投资中期票据应符合法律、法规及《基金合同》中关于该基金投资固定收益类证券的相关比例及期限限制；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2）基金管理人管理的全部公募基金投资于一家企业发行的单期中期票据合计不超过该期证券的10%；</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（2）基金托管人对基金管理人流动性风险处置的监督职责限于：</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投资中期票据是否符合比例限制进行事后监督，如发现异常情况，应及时以书面形式通知基金管理人。基金管理人应积极配合和协助基金托管人的监督和核查。基金管理人接到通知后应及时核对并向基金托管人说明原因和解决措施。基金托管人有权随时对所通知事项进行复查, 督促基金管理人改正。基金</w:t>
      </w:r>
      <w:r>
        <w:rPr>
          <w:rFonts w:ascii="宋体" w:hAnsi="宋体"/>
          <w:sz w:val="24"/>
        </w:rPr>
        <w:lastRenderedPageBreak/>
        <w:t>管理人违规事项未能在限期内纠正的，基金托管人应报告中国证监会。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（3）如因市场变化，基金管理人投资的中期票据超过投资比例的，基金托管人有权要求基金管理人在10个交易日内将中期票据调整至规定的比例要求。法律法规另有规定的，从其规定。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12、若基金托管人发现基金管理人依据交易程序已经生效的指令违反法律、行政法规和其他有关规定，或者违反基金合同约定的，应当立即通知基金管理人及时纠正，由此造成的损失由基金管理人承担。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托管人发现基金管理人有重大违规行为，基金管理人无正当理由，拒绝、阻挠对方根据本协议规定行使监督权，或采取拖延、欺诈等手段妨碍对方进行有效监督，情节严重或经基金托管人提出警告仍不改正的，应及时报告中国证监会，同时通知基金管理人限期纠正。</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w:t>
      </w:r>
      <w:r>
        <w:rPr>
          <w:rFonts w:ascii="宋体" w:hAnsi="宋体"/>
          <w:sz w:val="24"/>
        </w:rPr>
        <w:lastRenderedPageBreak/>
        <w:t>托管人安全保管基金财产、开设基金财产的资金账户、证券账户和期货账户等投资所需账户、复核基金管理人计算的基金资产净值和基金份额净值、根据基金管理人指令办理清算交收、相关信息披露和监督基金投资运作等行为。</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（3）基金托管人按照规定开设基金财产的资金账户和证券账户等投资所需账户，协助开立股指期货业务相关账户及交易编码。</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实物证券在基金托管人保管期间的损坏、灭失，由此产生的责任应由基金托管人不承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w:t>
      </w:r>
      <w:r>
        <w:rPr>
          <w:rFonts w:ascii="宋体" w:hAnsi="宋体"/>
          <w:sz w:val="24"/>
        </w:rPr>
        <w:lastRenderedPageBreak/>
        <w:t>人应及时通知基金管理人采取措施进行催收。基金管理人未及时催收给基金财产造成损失的，基金管理人应负责向有关当事人追偿基金财产的损失。</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（7）基金托管人应安全、完整地保管基金资产；未经基金管理人的正当指令，不得自行运用、处分、分配基金的任何资产。不属于基金托管人实际有效控制下的实物证券的损坏、灭失，基金托管人不承担责任。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对因为基金管理人投资产生的存放或存管在基金托管人以外机构的基金资产，或交由期货公司或证券公司负责清算交收的基金资产（包括但不限于期货保证金账户内的资金、期货合约等）及其收益，在依约履行对存托在第三方的基金资产进行余额查询等措施后由于该等机构或该机构会员单位等本协议当事人外第三方的欺诈、疏忽、过失或破产等原因给基金资产造成的损失等不承担责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（9）除依据法律法规和基金合同的规定外，基金托管人不得委托第三人托管基金财产。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银行账户，同时在规定时间内，基金管理人应聘请具有从事证券相关业务资格的会计师事务所进行验资，出具验资报告。出具的验资报告由参加验资的2名或2名以上中国注册会计师签字方为有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（1）基金托管人以本基金的名义在其营业机构开立基金的银行账户，保管基金的银行存款，并根据基金管理人的指令办理资金收付。本基金的银行预留印鉴由基金托管人刻制、保管和使用。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w:t>
      </w:r>
      <w:r>
        <w:rPr>
          <w:rFonts w:ascii="宋体" w:hAnsi="宋体"/>
          <w:sz w:val="24"/>
        </w:rPr>
        <w:lastRenderedPageBreak/>
        <w:t>的任何账户进行本基金业务以外的活动。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（3）基金银行账户的开立和管理应符合法律法规及银行业监督管理机构的有关规定。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（1）基金托管人在中国证券登记结算有限责任公司上海分公司、深圳分公司为基金开立基金托管人与本基金联名的证券账户。</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交收价差资金等的收取按照中国证券登记结算有限责任公司的规定执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银行间市场登记结算机构的有关规定，以本基金的名义在银行间市场登记结算机构开立债券托管账户，并代表本基金进行银行间市场债券的结算。基金管理人和基金托管人共同代表基金签订全国银行间债券市场债券回购主协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（1）因业务发展需要而开立的其他账户，可以根据法律法规和基金合同的规定，由基金管理人协助基金托管人按照有关法律法规和本合同的约定协商后开立。新账户按有关规定使用并管理。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财产投资的有关实物证券、银行存款开户证实书等有价凭证按约定由基金托管人存放于基金托管人的保管库，或存入中央国债登记结算有限责任公司、中国证券登记结算有限责任公司上海分公司/深圳分公司或票据营业中心的代保管库，实物保管凭证由基金托管人持有。有价凭证的购买和转让，由基金托管人根据基金管理人的指令办理。基金托管人对由上述存放机构及基金托管人以外机构实际有效控制的有价凭证不承担保管责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本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15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基金份额净值是指基金资产净值除以基金份额总数，基金份额净值的计算，精确到0.001元，小数点后第四位四舍五入，国家另有规定的，从其规定。</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基金管理人每个工作日计算基金资产净值及基金份额净值，经基金托管人复核，按规定公告。但基金管理人根据法律法规或基金合同的规定暂停估值时除外。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基金管理人每工作日对基金资产进行估值后，将基金份额净值结果发送基金托管人，经基金托管人复核无误后，由基金管理人依据基金合同和相关法律法规的规定对外公布。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少于15年。如不能妥善保管，则按相关法律法规承担责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真实性、准确性和完整性。基金管理人和托管人不得将所保管的基金份额持有人名册用于基金托管业务以外的其他用途，并应遵守保密义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25" w:name="_Toc227914976"/>
      <w:r>
        <w:rPr>
          <w:rFonts w:ascii="Times New Roman" w:hAnsi="Times New Roman"/>
          <w:sz w:val="30"/>
        </w:rPr>
        <w:lastRenderedPageBreak/>
        <w:t>二十二、对基金份额持有人的服务</w:t>
      </w:r>
      <w:bookmarkEnd w:id="25"/>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前端基金份额的申购、赎回、定期定额投资和转换等业务。本公司暂不开展网上直销后端基金份额的认/申购业务，通过转托管转入网上直销账户的后端收费模式的基金份额只能办理赎回业务。通过网上直销交易平台办理本基金前端基金份额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投资人可以拨打本基金管理人客户服务电话投诉直销机构的人员和服务。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（四）基金转换业务</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本基金已开通定期定额投资业务，具体实施方法请参见相关公告。</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26" w:name="_Toc227914977"/>
      <w:r>
        <w:rPr>
          <w:rFonts w:ascii="Times New Roman" w:hAnsi="Times New Roman"/>
          <w:sz w:val="30"/>
        </w:rPr>
        <w:lastRenderedPageBreak/>
        <w:t>二十三、其他应披露事项</w:t>
      </w:r>
      <w:bookmarkEnd w:id="26"/>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交银施罗德新成长混合型证券投资基金基金产品资料概要更新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交银施罗德新成长混合型证券投资基金招募说明书更新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交银施罗德新成长混合型证券投资基金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交银施罗德新成长混合型证券投资基金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交银施罗德新成长混合型证券投资基金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交银施罗德新成长混合型证券投资基金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交银施罗德新成长混合型证券投资基金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A472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交银施罗德新成长混合型证券投资基金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47256" w:rsidRDefault="00113B5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A47256" w:rsidRDefault="00113B52">
      <w:pPr>
        <w:pStyle w:val="1"/>
        <w:snapToGrid w:val="0"/>
        <w:spacing w:beforeLines="0" w:before="240" w:after="240"/>
        <w:rPr>
          <w:rFonts w:ascii="宋体" w:hAnsi="宋体"/>
          <w:szCs w:val="30"/>
        </w:rPr>
      </w:pPr>
      <w:bookmarkStart w:id="27" w:name="_Toc227914978"/>
      <w:r>
        <w:rPr>
          <w:rFonts w:ascii="Times New Roman" w:hAnsi="Times New Roman"/>
          <w:sz w:val="30"/>
        </w:rPr>
        <w:lastRenderedPageBreak/>
        <w:t>二十四、招募说明书的存放及查阅方式</w:t>
      </w:r>
      <w:bookmarkEnd w:id="27"/>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住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113B5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47256" w:rsidRDefault="00113B52">
      <w:pPr>
        <w:pStyle w:val="1"/>
        <w:snapToGrid w:val="0"/>
        <w:spacing w:beforeLines="0" w:before="240" w:after="240"/>
        <w:rPr>
          <w:rFonts w:ascii="宋体" w:hAnsi="宋体"/>
          <w:szCs w:val="30"/>
        </w:rPr>
      </w:pPr>
      <w:bookmarkStart w:id="28" w:name="_Toc227914979"/>
      <w:r>
        <w:rPr>
          <w:rFonts w:ascii="Times New Roman" w:hAnsi="Times New Roman"/>
          <w:sz w:val="30"/>
        </w:rPr>
        <w:lastRenderedPageBreak/>
        <w:t>二十五、备查文件</w:t>
      </w:r>
      <w:bookmarkEnd w:id="28"/>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（一）中国证监会准予交银施罗德新成长股票型证券投资基金募集注册的文件</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（二）《交银施罗德新成长混合型证券投资基金基金合同》</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（三）《交银施罗德新成长混合型证券投资基金托管协议》</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（六）关于申请募集注册交银施罗德新成长股票型证券投资基金的法律意见书</w:t>
      </w:r>
    </w:p>
    <w:p w:rsidR="00A47256" w:rsidRDefault="00113B5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（七）中国证监会要求的其他文件</w:t>
      </w:r>
    </w:p>
    <w:sectPr w:rsidR="00A47256">
      <w:footerReference w:type="default" r:id="rId16"/>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1481" w:rsidRDefault="00113B52">
      <w:r>
        <w:separator/>
      </w:r>
    </w:p>
  </w:endnote>
  <w:endnote w:type="continuationSeparator" w:id="0">
    <w:p w:rsidR="00531481" w:rsidRDefault="00113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256" w:rsidRDefault="00A4725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256" w:rsidRDefault="00110533">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A47256" w:rsidRDefault="00113B5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10533">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256" w:rsidRDefault="00A47256">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256" w:rsidRDefault="00110533">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A47256" w:rsidRDefault="00113B5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10533">
                  <w:rPr>
                    <w:rFonts w:ascii="Times New Roman" w:hAnsi="Times New Roman"/>
                    <w:noProof/>
                    <w:kern w:val="0"/>
                    <w:sz w:val="18"/>
                    <w:szCs w:val="18"/>
                  </w:rPr>
                  <w:t>164</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1481" w:rsidRDefault="00113B52">
      <w:r>
        <w:separator/>
      </w:r>
    </w:p>
  </w:footnote>
  <w:footnote w:type="continuationSeparator" w:id="0">
    <w:p w:rsidR="00531481" w:rsidRDefault="00113B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256" w:rsidRDefault="00A4725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256" w:rsidRDefault="00113B52">
    <w:pPr>
      <w:pStyle w:val="a3"/>
      <w:jc w:val="right"/>
      <w:rPr>
        <w:rFonts w:ascii="宋体" w:hAnsi="宋体"/>
      </w:rPr>
    </w:pPr>
    <w:r>
      <w:rPr>
        <w:rFonts w:ascii="宋体" w:hAnsi="宋体" w:hint="eastAsia"/>
      </w:rPr>
      <w:t>交银施罗德新成长混合型证券投资基金招募说明书更新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256" w:rsidRDefault="00A47256">
    <w:pPr>
      <w:pStyle w:val="10"/>
      <w:jc w:val="right"/>
    </w:pPr>
  </w:p>
  <w:p w:rsidR="00A47256" w:rsidRDefault="00A47256">
    <w:pPr>
      <w:pStyle w:val="10"/>
      <w:jc w:val="right"/>
    </w:pPr>
  </w:p>
  <w:p w:rsidR="00A47256" w:rsidRDefault="00A47256">
    <w:pPr>
      <w:pStyle w:val="a3"/>
      <w:jc w:val="right"/>
    </w:pPr>
  </w:p>
  <w:p w:rsidR="00A47256" w:rsidRDefault="00113B52">
    <w:pPr>
      <w:pStyle w:val="a3"/>
      <w:jc w:val="right"/>
      <w:rPr>
        <w:rFonts w:ascii="宋体" w:hAnsi="宋体"/>
      </w:rPr>
    </w:pPr>
    <w:r>
      <w:rPr>
        <w:rFonts w:ascii="宋体" w:hAnsi="宋体" w:hint="eastAsia"/>
      </w:rPr>
      <w:t>交银施罗德新成长混合型证券投资基金招募说明书更新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256" w:rsidRDefault="00A47256">
    <w:pPr>
      <w:pStyle w:val="a3"/>
      <w:jc w:val="right"/>
    </w:pPr>
  </w:p>
  <w:p w:rsidR="00A47256" w:rsidRDefault="00A47256">
    <w:pPr>
      <w:pStyle w:val="a3"/>
      <w:jc w:val="right"/>
    </w:pPr>
  </w:p>
  <w:p w:rsidR="00A47256" w:rsidRDefault="00A47256">
    <w:pPr>
      <w:pStyle w:val="a3"/>
      <w:jc w:val="right"/>
    </w:pPr>
  </w:p>
  <w:p w:rsidR="00A47256" w:rsidRDefault="00113B52">
    <w:pPr>
      <w:pStyle w:val="a3"/>
      <w:jc w:val="right"/>
      <w:rPr>
        <w:rFonts w:ascii="宋体" w:hAnsi="宋体"/>
      </w:rPr>
    </w:pPr>
    <w:r>
      <w:rPr>
        <w:rFonts w:ascii="宋体" w:hAnsi="宋体" w:hint="eastAsia"/>
      </w:rPr>
      <w:t>交银施罗德新成长混合型证券投资基金招募说明书更新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0533"/>
    <w:rsid w:val="0011339C"/>
    <w:rsid w:val="001135B0"/>
    <w:rsid w:val="00113B52"/>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1481"/>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47256"/>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26E96937-F056-4CA2-93B8-B9FE3EB9A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165</Pages>
  <Words>17052</Words>
  <Characters>97201</Characters>
  <Application>Microsoft Office Word</Application>
  <DocSecurity>0</DocSecurity>
  <Lines>810</Lines>
  <Paragraphs>228</Paragraphs>
  <ScaleCrop>false</ScaleCrop>
  <Company>Microsoft</Company>
  <LinksUpToDate>false</LinksUpToDate>
  <CharactersWithSpaces>114025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2026-04-24T01:22:00Z</dcterms:created>
  <dcterms:modified xsi:type="dcterms:W3CDTF">2026-04-24T01:22:00Z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