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交银施罗德成长动力一年持有期混合型证券投资基金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二〇二六年四月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324920538"/>
      <w:bookmarkStart w:id="2" w:name="_Toc22791504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成长动力一年持有期混合型证券投资基金（以下简称“本基金”）经2020年12月14日中国证券监督管理委员会（以下简称“中国证监会”）证监许可【2020】3454号文准予募集注册。本基金基金合同于2021年6月11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投资存托凭证的特定风险；连续50个工作日出现基金份额持有人数量不满200人或基金资产净值低于5000万元情形时基金管理人依基金合同约定提前终止基金合同的风险；投资本基金的其他风险等等。本基金是一只混合型基金，其预期风险和预期收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本招募说明书所载内容截止日为2026年04月21日，有关财务数据和净值表现截止日为2026年03月31日。本招募说明书所载的财务数据未经审计。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"_Toc227915043"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_Toc227915043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"_Toc227915044"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_Toc227915044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"_Toc227915045"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_Toc227915045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"_Toc227915046"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_Toc227915046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"_Toc227915047"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_Toc227915047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"_Toc227915048"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_Toc227915048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"_Toc227915049"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_Toc227915049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"_Toc227915050"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_Toc227915050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"_Toc227915051"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_Toc227915051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"_Toc227915052"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_Toc227915052 \h </w:instrText>
      </w:r>
      <w:r>
        <w:rPr>
          <w:rFonts w:ascii="宋体" w:hAnsi="宋体"/>
          <w:sz w:val="24"/>
        </w:rPr>
        <w:fldChar w:fldCharType="separate"/>
      </w:r>
      <w:r>
        <w:rPr>
          <w:rFonts w:ascii="宋体" w:hAnsi="宋体"/>
          <w:sz w:val="24"/>
        </w:rPr>
        <w:t>63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"_Toc227915053"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_Toc227915053 \h </w:instrText>
      </w:r>
      <w:r>
        <w:rPr>
          <w:rFonts w:ascii="宋体" w:hAnsi="宋体"/>
          <w:sz w:val="24"/>
        </w:rPr>
        <w:fldChar w:fldCharType="separate"/>
      </w:r>
      <w:r>
        <w:rPr>
          <w:rFonts w:ascii="宋体" w:hAnsi="宋体"/>
          <w:sz w:val="24"/>
        </w:rPr>
        <w:t>70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"_Toc227915054"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_Toc227915054 \h </w:instrText>
      </w:r>
      <w:r>
        <w:rPr>
          <w:rFonts w:ascii="宋体" w:hAnsi="宋体"/>
          <w:sz w:val="24"/>
        </w:rPr>
        <w:fldChar w:fldCharType="separate"/>
      </w:r>
      <w:r>
        <w:rPr>
          <w:rFonts w:ascii="宋体" w:hAnsi="宋体"/>
          <w:sz w:val="24"/>
        </w:rPr>
        <w:t>82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"_Toc227915055"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_Toc227915055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"_Toc227915056"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_Toc227915056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"_Toc227915057"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_Toc227915057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"_Toc227915058"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_Toc227915058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"_Toc227915059"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_Toc227915059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"_Toc227915060"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_Toc227915060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"_Toc227915061"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_Toc227915061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"_Toc227915062"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_Toc227915062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"_Toc227915063"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_Toc227915063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"_Toc227915064"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_Toc227915064 \h </w:instrText>
      </w:r>
      <w:r>
        <w:rPr>
          <w:rFonts w:ascii="宋体" w:hAnsi="宋体"/>
          <w:sz w:val="24"/>
        </w:rPr>
        <w:fldChar w:fldCharType="separate"/>
      </w:r>
      <w:r>
        <w:rPr>
          <w:rFonts w:ascii="宋体" w:hAnsi="宋体"/>
          <w:sz w:val="24"/>
        </w:rPr>
        <w:t>121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"_Toc227915065"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_Toc227915065 \h </w:instrText>
      </w:r>
      <w:r>
        <w:rPr>
          <w:rFonts w:ascii="宋体" w:hAnsi="宋体"/>
          <w:sz w:val="24"/>
        </w:rPr>
        <w:fldChar w:fldCharType="separate"/>
      </w:r>
      <w:r>
        <w:rPr>
          <w:rFonts w:ascii="宋体" w:hAnsi="宋体"/>
          <w:sz w:val="24"/>
        </w:rPr>
        <w:t>138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"_Toc227915066"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_Toc227915066 \h </w:instrText>
      </w:r>
      <w:r>
        <w:rPr>
          <w:rFonts w:ascii="宋体" w:hAnsi="宋体"/>
          <w:sz w:val="24"/>
        </w:rPr>
        <w:fldChar w:fldCharType="separate"/>
      </w:r>
      <w:r>
        <w:rPr>
          <w:rFonts w:ascii="宋体" w:hAnsi="宋体"/>
          <w:sz w:val="24"/>
        </w:rPr>
        <w:t>157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"_Toc227915067"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_Toc227915067 \h </w:instrText>
      </w:r>
      <w:r>
        <w:rPr>
          <w:rFonts w:ascii="宋体" w:hAnsi="宋体"/>
          <w:sz w:val="24"/>
        </w:rPr>
        <w:fldChar w:fldCharType="separate"/>
      </w:r>
      <w:r>
        <w:rPr>
          <w:rFonts w:ascii="宋体" w:hAnsi="宋体"/>
          <w:sz w:val="24"/>
        </w:rPr>
        <w:t>159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"_Toc227915068"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_Toc227915068 \h </w:instrText>
      </w:r>
      <w:r>
        <w:rPr>
          <w:rFonts w:ascii="宋体" w:hAnsi="宋体"/>
          <w:sz w:val="24"/>
        </w:rPr>
        <w:fldChar w:fldCharType="separate"/>
      </w:r>
      <w:r>
        <w:rPr>
          <w:rFonts w:ascii="宋体" w:hAnsi="宋体"/>
          <w:sz w:val="24"/>
        </w:rPr>
        <w:t>161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"_Toc227915069"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_Toc227915069 \h </w:instrText>
      </w:r>
      <w:r>
        <w:rPr>
          <w:rFonts w:ascii="宋体" w:hAnsi="宋体"/>
          <w:sz w:val="24"/>
        </w:rPr>
        <w:fldChar w:fldCharType="separate"/>
      </w:r>
      <w:r>
        <w:rPr>
          <w:rFonts w:ascii="宋体" w:hAnsi="宋体"/>
          <w:sz w:val="24"/>
        </w:rPr>
        <w:t>162</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27915044"/>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成长动力一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成长动力一年持有期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b w:val="0"/>
          <w:bCs/>
          <w:szCs w:val="24"/>
        </w:rPr>
      </w:pPr>
      <w:r>
        <w:rPr>
          <w:rFonts w:hint="eastAsia" w:ascii="宋体" w:hAnsi="宋体"/>
          <w:b w:val="0"/>
          <w:bCs/>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27915045"/>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1、基金或本基金：指交银施罗德成长动力一年持有期混合型证券投资基金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4、基金合同：指《交银施罗德成长动力一年持有期混合型证券投资基金基金合同》及对基金合同的任何有效修订和补充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5、托管协议：指基金管理人与基金托管人就本基金签订之《交银施罗德成长动力一年持有期混合型证券投资基金托管协议》及对该托管协议的任何有效修订和补充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6、招募说明书或本招募说明书：指《交银施罗德成长动力一年持有期混合型证券投资基金招募说明书》及其更新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7、基金产品资料概要：指《交银施罗德成长动力一年持有期混合型证券投资基金基金产品资料概要》及其更新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8、基金份额发售公告：指《交银施罗德成长动力一年持有期混合型证券投资基金基金份额发售公告》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27915046"/>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中先生:基金经理。复旦大学金融学硕士、南京大学工学学士，17年证券投资行业从业经验。2009年至2010年任野村证券亚太区股票研究部研究助理，2010年至2013年任中银国际证券研究部研究员、高级经理，2013年至2015年任瑞银证券研究部行业分析师、董事。2015年加入交银施罗德基金管理有限公司，现任跨境投资部基金经理。曾任交银施罗德环球精选价值证券投资基金(2015年12月12日至2024年06月06日)、交银施罗德全球自然资源证券投资基金(2015年12月12日至2019年09月19日)的基金经理。现任交银施罗德创新成长混合型证券投资基金(2018年09月27日至今)、交银施罗德启欣混合型证券投资基金(2020年10月28日至今)、交银施罗德启道混合型证券投资基金(2021年01月28日至今)、交银施罗德成长动力一年持有期混合型证券投资基金(2021年06月11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27915047"/>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本基金托管人为上海浦东发展银行股份有限公司，基本信息如下：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注册地址：上海市中山东一路12号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办公地址：上海市博成路1388号浦银中心A栋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法定代表人：张为忠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成立时间：1992年10月19日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注册资本：293.52亿元人民币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基金托管资格批文及文号：中国证监会证监基金字[2003]105号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联系人：汪小敏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联系电话：（021）31888888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处、业务保障处、总行资产托管运营中心（含合肥分中心）六个职能处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截止2026年3月31日，上海浦东发展银行证券投资基金托管规模为16599.55亿元，托管证券投资基金共541只。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（五）托管人对管理人运作基金进行监督的方法和程序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托管人严格按照有关政策法规、以及基金合同、托管协议等进行监督。监督依据具体包括：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（1）《中华人民共和国证券法》；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（2）《中华人民共和国证券投资基金法》；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（3）《公开募集证券投资基金运作管理办法》；；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（4）《公开募集证券投资基金销售机构监督管理办法》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（6）法律、法规、政策的其他规定。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（2）在日常运作中，凡可量化的监督指标，由核算监督岗通过托管业务的自动处理程序进行监督，实现系统的自动跟踪和预警；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（3）对非量化指标、投资指令、管理人提供的各种报表和报告等，采取人工监督的方法。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4、监督结果的处理方式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（3）针对中国证监会、中国人民银行对基金投资运作监督情况的检查，应及时提供有关情况和资料。</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27915048"/>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个人投资者可以通过基金管理人网上直销交易平台办理开户、本基金的申购、赎回、转换以及定期定额投资等业务，具体交易细则请参阅基金管理人网站。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（3）名称：东吴证券股份有限公司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住所：苏州工业园区星阳街5号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法定代表人：范力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电话：0512-62938521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传真：0512-62938527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联系人：陆晓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网址：www.dwjq.com.cn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（20）名称：湘财证券股份有限公司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27915049"/>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本基金由基金管理人依照《基金法》、《运作办法》、《销售办法》、基金合同及其他有关规定，并经中国证监会2020年12月14日证监许可【2020】3454号文准予募集注册。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本基金于2021年6月1日至2021年6月8日进行发售，本基金设立募集期共募集3,556,376,123.04份基金份额，有效认购户数为35,778户。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27915050"/>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根据有关规定，本基金满足基金合同生效条件，基金合同已于2021年6月11日正式生效。自基金合同生效之日起，本基金管理人正式开始管理本基金。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27915051"/>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本基金已于2021年9月8日起开放申购业务。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本基金已于2022年6月13日起开放赎回业务。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遇交易所或交易市场数据传输延迟、通讯系统故障、银行数据交换系统故障、港股通交易系统、港股通资金交收规则限制或其他非基金管理人及基金托管人所能控制的因素影响业务处理流程，则赎回款项划付时间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基金份额持有人持有的每份基金份额最短持有期限为一年，本基金不收取赎回费用。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例四：某投资者（非养老金客户）投资40,000元申购本基金A类基金份额，假设申购当日A类基金份额净值为1.0400元，申购费率为1.5%，则其可得到的申购份额为：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基金份额持有人持有的每份基金份额最短持有期限为一年，本基金不收取赎回费用。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例七：某投资者赎回持有的10,000份基金份额，假设赎回当日基金份额净值是1.0160元，则其可得到的赎回金额为：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即：投资者赎回本基金10,000份基金份额，假设赎回当日基金份额净值是1.0160元，则其可得到的赎回金额为10,160.00元。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b w:val="0"/>
          <w:bCs/>
          <w:szCs w:val="24"/>
        </w:rPr>
      </w:pPr>
      <w:r>
        <w:rPr>
          <w:rFonts w:hint="eastAsia" w:ascii="宋体" w:hAnsi="宋体"/>
          <w:b w:val="0"/>
          <w:bCs/>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b w:val="0"/>
          <w:bCs/>
          <w:szCs w:val="24"/>
        </w:rPr>
      </w:pPr>
      <w:r>
        <w:rPr>
          <w:rFonts w:hint="eastAsia" w:ascii="宋体" w:hAnsi="宋体"/>
          <w:b w:val="0"/>
          <w:bCs/>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本基金2021年9月4日刊登公告自2021年9月8日起开通定期定额投资计划业务，具体开通销售机构名单和业务规则参见相关公告。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27915052"/>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本基金2022年6月9日刊登公告自2022年6月13日起开放日常转换业务。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27915053"/>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（1）“成长动力”主题界定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随着第四次科技革命的发生和发展，万物互联时代到来，信息和数据成为决定性的生产工具之一。经济的发展动力从工业化、电气化转向科技创新，转向数字化和智能化。在把握住经济发展动力的前提下，优秀的企业才能够快速发展壮大，给投资者带来超额回报。本基金将重点投资数字时代发展大背景之下，反应时代成长特质和未来成长动力的优质企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于“成长动力”主题覆盖的上市公司主要从两个方面进行筛选：一方面，本基金从基本面出发，注重挖掘当前发展过程当中重要的社会和科技发展趋势，所选择的行业和个股需要和当前的成长动力及方向相一致。另一方面，本基金将积极关注持续创新的企业和企业家，特别是通过不断的创新和商业化落地引领行业发展的企业。本基金将优先选择平台型商业模式、公司质地优秀的企业，这类企业较高的护城河，可以不断为投资者创造持续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（2）个股投资策略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将遵循成长动力主题相关股票的投资策略，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最后，本基金根据对个股价值的评估和市场机会的判断构建股票组合，其中投资于成长动力主题相关证券的比例不低于非现金基金资产的80%。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（1）股票投资（含存托凭证）占基金资产的比例为60%-95%（其中投资于港股通标的股票的比例占股票资产的0%-50%），投资于成长动力主题相关证券的比例不低于非现金基金资产的80%；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沪深300指数收益率×70%+恒生指数收益率×5%+中证综合债券指数收益率×25%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（九）基金的投资组合报告</w:t>
      </w:r>
    </w:p>
    <w:p>
      <w:pPr>
        <w:autoSpaceDE w:val="0"/>
        <w:autoSpaceDN w:val="0"/>
        <w:adjustRightInd w:val="0"/>
        <w:snapToGrid w:val="0"/>
        <w:spacing w:line="360" w:lineRule="auto"/>
        <w:ind w:firstLine="480" w:firstLineChars="200"/>
        <w:jc w:val="left"/>
        <w:rPr>
          <w:rFonts w:ascii="宋体" w:hAnsi="宋体"/>
          <w:b w:val="0"/>
          <w:bCs/>
          <w:szCs w:val="24"/>
        </w:rPr>
      </w:pPr>
      <w:r>
        <w:rPr>
          <w:rFonts w:hint="eastAsia" w:ascii="宋体" w:hAnsi="宋体"/>
          <w:b w:val="0"/>
          <w:bCs/>
          <w:kern w:val="0"/>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本基金托管人上海浦东发展银行股份有限公司根据本基金合同规定，于2026年04月20日复核了本报告中的财务指标、净值表现和投资组合报告等内容，保证复核内容不存在虚假记载、误导性陈述或者重大遗漏。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880,825,506.91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85.99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880,825,506.91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85.99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134,618,026.21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8,874,770.19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1,024,318,303.31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注：本基金本报告期末通过港股通机制投资香港股票的公允价值为346,590,844.36元，占基金资产净值比例为34.36%。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248,657,178.37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107,153,013.06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10.62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45,825,048.00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68,676,427.09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18,453,636.00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45,258,335.32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534,234,662.55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52.96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139,832,067.48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82,349,921.06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60,234,849.00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57,516,563.82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6,657,443.00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346,590,844.36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192,700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82,349,921.06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02423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贝壳-W</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60,234,849.00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465,400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59,008,819.95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939,080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51,855,997.60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206,656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48,266,575.36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中信证券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1,906,200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45,825,048.00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460,870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45,211,347.00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金蝶国际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5,377,000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40,687,121.83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386,400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40,599,453.72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03690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美团-W</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549,200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40,223,793.81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2025年12月31日,央行重庆市分行公示渝银罚决字[2025]35号行政处罚决定书，给予美团旗下重庆美团三快小额贷款有限公司56.7万元人民币的罚款行政处罚。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677,434.77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8,158,016.41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39,319.01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8,874,770.19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27915054"/>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（1）交银成长动力持有期混合A：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（2）交银成长动力持有期混合C：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交银成长动力一年持有期混合型证券投资基金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（2021年6月11日至2026年03月31日）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（1）交银成长动力持有期混合A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34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（2）交银成长动力持有期混合C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34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27915055"/>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27915056"/>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6、估值计算中涉及港币对人民币汇率的，将依据下列信息提供机构所提供的汇率为基准：当日中国人民银行或其授权机构公布的人民币汇率中间价。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27915057"/>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27915058"/>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b w:val="0"/>
          <w:bCs/>
          <w:szCs w:val="24"/>
        </w:rPr>
      </w:pPr>
      <w:bookmarkStart w:id="29" w:name="_GoBack"/>
      <w:r>
        <w:rPr>
          <w:rFonts w:hint="eastAsia" w:ascii="宋体" w:hAnsi="宋体"/>
          <w:b w:val="0"/>
          <w:bCs/>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bookmarkEnd w:id="29"/>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27915059"/>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7、基金托管人每月与基金管理人就基金的会计核算、报表编制等进行核对并以书面方式或双方认可的其他方式确认。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27915060"/>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27915061"/>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27915062"/>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基金份额持有人持有的每份基金份额最短持有期限为一年，对于满足最短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的年度对日（含该日）开始办理赎回，具体业务办理时间在赎回开始公告中规定。对于每份基金份额，自其最短持有期限届满的下一工作日起（含该日），基金份额持有人方可就该基金份额提出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一年的基金份额数量，则基金份额持有人的赎回申请将全部被予以拒绝。基金份额持有人需承担赎回申请失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 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27915063"/>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27915064"/>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27915065"/>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 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成立日期：1992年10月19日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基金托管业务资格批准机关：中国证监会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基金托管业务资格文号：证监基金字[2003]105号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注册资本：人民币293.52亿元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经营期限：永久存续</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本基金不得投资于相关法律、法规、部门规章及《基金合同》禁止投资的投资工具。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（1）按法律法规的规定及《基金合同》的约定，本基金的投资资产配置比例为：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（2）根据法律法规的规定及《基金合同》的约定，本基金投资组合遵循以下投资限制：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1）股票投资（含存托凭证）占基金资产的比例为60%-95%（其中投资于港股通标的股票的比例占股票资产的0%-50%），投资于成长动力主题相关证券的比例不低于非现金基金资产的80%；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上述指标的监督义务，仅限于监督由基金管理人管理且由托管人托管的全部公募基金是否符合上述比例限制。《基金法》及其他有关法律法规或监管部门取消上述限制的，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根据法律法规的规定及《基金合同》的约定，本基金禁止从事下列行为：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4.基金托管人依据有关法律法规的规定和《基金合同》的约定对于基金关联投资限制进行监督。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基金合同》有关于基金从事关联交易的规定，基金管理人和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基金托管人根据基金管理人提供的银行间债券市场交易对手名单进行监督。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 基金托管人依据有关法律法规的规定和《基金合同》的约定，对基金银行存款业务进行监督。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1）中国证监会批准发行非公开发行股票的批准文件。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2）有关非公开发行股票的发行数量、发行价格、锁定期等发行资料。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3）基金拟认购的数量、价格、总成本、账面价值。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4）该基金投资流通受限证券的投资额度和投资比例控制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(5)相关法律法规对基金投资流通受限证券有新规定的，从其规定。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 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依照法律法规、《基金合同》和本托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期货结算账户及投资所需其他账户、是否复核基金管理人计算的基金资产净值和各类基金份额净值、是否根据基金管理人指令办理清算交收、进行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（3）基金托管人按照规定为托管的基金财产开设资金账户、证券账户、期货结算账户及投资所需其他账户。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3、基金资产托管专户的开立和管理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的名义在其营业机构开设资产托管专户，并根据基金管理人合法合规的有效指令办理资金收付。基金管理人应根据法律法规及托管行的相关要求，提供开户所需的资料并提供其他必要协助。本基金的资产托管专户的预留印鉴的印章由基金托管人刻制、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5、银行间市场债券托管和资金结算专户的开立和管理及市场准入备案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7、基金投资银行存款账户的开立和管理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为防范特殊情况下的流动性风险，定期存款协议中应当约定提前支取条款。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（五）基金资产净值计算、估值和会计核算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1、基金资产净值的计算、复核的时间和程序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价值。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对基金资产估值。但基金管理人根据法律法规或基金合同的规定暂停估值时除外。估值原则应符合《基金合同》、《证券投资基金会计核算业务指引》及其他法律、法规的规定。基金管理人应于每个工作日交易结束后计算当日的各类基金份额净值和基金资产净值并以双方认可的方式发送给基金托管人。基金托管人对净值计算结果复核后以双方认可的方式发送给基金管理人，由基金管理人约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估值原则应符合《基金合同》、《证券投资基金会计核算业务指引》及其他法律法规的规定的约定。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当相关法律法规或《基金合同》规定的估值方法不能客观反映基金财产公允价值时，基金管理人可根据具体情况，并与基金托管人商定后，按最能反映公允价值的价格估值。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法律法规、中国证监会和《基金合同》认定的其他情形。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6、基金定期报告、基金招募说明书的编制和复核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2）基金托管人解散、依法被撤销、破产或有其他基金托管人接管基金资产；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3）基金管理人解散、依法被撤销、破产或有其他基金管理人接管基金管理权；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（7）基金财产按下列顺序清偿：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27915066"/>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转换和定期定额投资及本基金C类基金份额的申购、赎回、转换和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27915067"/>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交银施罗德基金管理有限公司关于增加西部证券股份有限公司为旗下基金的销售机构的公告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交银施罗德成长动力一年持有期混合型证券投资基金2026年第1季度报告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27915068"/>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27915069"/>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（一）中国证监会准予交银施罗德成长动力一年持有期混合型证券投资基金募集注册的文件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（二）《交银施罗德成长动力一年持有期混合型证券投资基金基金合同》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（三）《交银施罗德成长动力一年持有期混合型证券投资基金托管协议》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（六）关于申请募集注册交银施罗德成长动力一年持有期混合型证券投资基金的法律意见书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162</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交银施罗德成长动力一年持有期混合型证券投资基金招募说明书更新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交银施罗德成长动力一年持有期混合型证券投资基金招募说明书更新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交银施罗德成长动力一年持有期混合型证券投资基金招募说明书更新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016AB"/>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4CE9"/>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1051"/>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2718"/>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26F559EE"/>
    <w:rsid w:val="2BDD35AE"/>
    <w:rsid w:val="32CB22AD"/>
    <w:rsid w:val="4D8212ED"/>
    <w:rsid w:val="7C6F258C"/>
    <w:rsid w:val="7EE90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163</Pages>
  <Words>17128</Words>
  <Characters>97630</Characters>
  <Lines>813</Lines>
  <Paragraphs>229</Paragraphs>
  <TotalTime>21</TotalTime>
  <ScaleCrop>false</ScaleCrop>
  <LinksUpToDate>false</LinksUpToDate>
  <CharactersWithSpaces>114529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系统用户</dc:creator>
  <cp:lastModifiedBy>haotingting</cp:lastModifiedBy>
  <cp:lastPrinted>2013-02-18T03:10:00Z</cp:lastPrinted>
  <dcterms:modified xsi:type="dcterms:W3CDTF">2026-04-29T09:08:53Z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FD66EE600B754E909DF7C164FCC3323F</vt:lpwstr>
  </property>
</Properties>
</file>