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2FC0" w:rsidRPr="00EB07BC" w:rsidRDefault="00CF0B17">
      <w:pPr>
        <w:rPr>
          <w:sz w:val="32"/>
        </w:rPr>
      </w:pPr>
    </w:p>
    <w:p w:rsidR="00C92FC0" w:rsidRPr="00EB07BC" w:rsidRDefault="00CF0B17">
      <w:pPr>
        <w:rPr>
          <w:sz w:val="32"/>
        </w:rPr>
      </w:pPr>
    </w:p>
    <w:p w:rsidR="00C92FC0" w:rsidRPr="00EB07BC" w:rsidRDefault="00CF0B17">
      <w:pPr>
        <w:rPr>
          <w:sz w:val="32"/>
        </w:rPr>
      </w:pPr>
    </w:p>
    <w:p w:rsidR="00EC60B5" w:rsidRDefault="00EC60B5">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EC60B5" w:rsidRDefault="00EC60B5">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EC60B5" w:rsidRDefault="00EC60B5">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EC60B5" w:rsidRDefault="005C6EDB">
      <w:pPr>
        <w:autoSpaceDE w:val="0"/>
        <w:autoSpaceDN w:val="0"/>
        <w:adjustRightInd w:val="0"/>
        <w:snapToGrid w:val="0"/>
        <w:spacing w:before="63" w:line="360" w:lineRule="auto"/>
        <w:ind w:rightChars="6" w:right="13"/>
        <w:jc w:val="center"/>
        <w:rPr>
          <w:rFonts w:ascii="黑体" w:hAnsi="黑体"/>
          <w:b/>
          <w:spacing w:val="2"/>
          <w:w w:val="99"/>
          <w:kern w:val="0"/>
          <w:position w:val="-4"/>
          <w:sz w:val="44"/>
          <w:szCs w:val="44"/>
        </w:rPr>
      </w:pPr>
      <w:r>
        <w:rPr>
          <w:rFonts w:ascii="Times New Roman" w:hAnsi="Times New Roman"/>
          <w:b/>
          <w:spacing w:val="2"/>
          <w:w w:val="99"/>
          <w:kern w:val="0"/>
          <w:position w:val="-4"/>
          <w:sz w:val="44"/>
          <w:szCs w:val="44"/>
        </w:rPr>
        <w:t>交银施罗德优选回报灵活配置混合型证券投资基金</w:t>
      </w:r>
    </w:p>
    <w:p w:rsidR="00EC60B5" w:rsidRDefault="005C6EDB">
      <w:pPr>
        <w:autoSpaceDE w:val="0"/>
        <w:autoSpaceDN w:val="0"/>
        <w:adjustRightInd w:val="0"/>
        <w:snapToGrid w:val="0"/>
        <w:spacing w:before="63" w:line="360" w:lineRule="auto"/>
        <w:ind w:rightChars="6" w:right="13"/>
        <w:jc w:val="center"/>
        <w:rPr>
          <w:rFonts w:ascii="宋体" w:hAnsi="宋体"/>
          <w:b/>
          <w:kern w:val="0"/>
          <w:sz w:val="44"/>
          <w:szCs w:val="44"/>
        </w:rPr>
      </w:pPr>
      <w:r>
        <w:rPr>
          <w:rFonts w:ascii="宋体" w:hAnsi="宋体"/>
          <w:b/>
          <w:spacing w:val="2"/>
          <w:w w:val="99"/>
          <w:kern w:val="0"/>
          <w:sz w:val="44"/>
          <w:szCs w:val="44"/>
        </w:rPr>
        <w:t>招募说明书(更新)</w:t>
      </w:r>
    </w:p>
    <w:p w:rsidR="00EC60B5" w:rsidRDefault="00EC60B5">
      <w:pPr>
        <w:snapToGrid w:val="0"/>
        <w:spacing w:line="360" w:lineRule="auto"/>
        <w:jc w:val="center"/>
        <w:rPr>
          <w:rFonts w:ascii="宋体" w:hAnsi="宋体"/>
          <w:b/>
          <w:sz w:val="30"/>
          <w:szCs w:val="30"/>
        </w:rPr>
      </w:pPr>
    </w:p>
    <w:p w:rsidR="00EC60B5" w:rsidRDefault="00EC60B5">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EC60B5" w:rsidRDefault="00EC60B5">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EC60B5" w:rsidRDefault="00EC60B5">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EC60B5" w:rsidRDefault="00EC60B5">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EC60B5" w:rsidRDefault="00EC60B5">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EC60B5" w:rsidRDefault="00EC60B5">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EC60B5" w:rsidRDefault="005C6EDB">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基金管理人：交银施罗德基金管理有限公司</w:t>
      </w:r>
    </w:p>
    <w:p w:rsidR="00EC60B5" w:rsidRDefault="005C6EDB">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基金托管人：中信银行股份有限公司</w:t>
      </w:r>
    </w:p>
    <w:p w:rsidR="00EC60B5" w:rsidRDefault="00EC60B5">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EC60B5" w:rsidRDefault="00EC60B5">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EC60B5" w:rsidRDefault="005C6EDB">
      <w:pPr>
        <w:autoSpaceDE w:val="0"/>
        <w:autoSpaceDN w:val="0"/>
        <w:adjustRightInd w:val="0"/>
        <w:snapToGrid w:val="0"/>
        <w:spacing w:line="360" w:lineRule="auto"/>
        <w:ind w:rightChars="6" w:right="13"/>
        <w:jc w:val="center"/>
        <w:rPr>
          <w:rFonts w:ascii="宋体" w:hAnsi="宋体"/>
          <w:b/>
          <w:kern w:val="0"/>
          <w:sz w:val="28"/>
          <w:szCs w:val="32"/>
        </w:rPr>
      </w:pPr>
      <w:r>
        <w:rPr>
          <w:rFonts w:ascii="Times New Roman" w:hAnsi="Times New Roman"/>
          <w:b/>
          <w:spacing w:val="2"/>
          <w:w w:val="99"/>
          <w:kern w:val="0"/>
          <w:sz w:val="28"/>
          <w:szCs w:val="32"/>
        </w:rPr>
        <w:t>二〇二六年四月</w:t>
      </w:r>
    </w:p>
    <w:p w:rsidR="00EC60B5" w:rsidRDefault="00EC60B5">
      <w:pPr>
        <w:autoSpaceDE w:val="0"/>
        <w:autoSpaceDN w:val="0"/>
        <w:adjustRightInd w:val="0"/>
        <w:snapToGrid w:val="0"/>
        <w:spacing w:line="360" w:lineRule="auto"/>
        <w:ind w:left="1347" w:rightChars="6" w:right="13"/>
        <w:rPr>
          <w:rFonts w:ascii="宋体" w:hAnsi="宋体"/>
          <w:kern w:val="0"/>
          <w:sz w:val="32"/>
          <w:szCs w:val="32"/>
        </w:rPr>
        <w:sectPr w:rsidR="00EC60B5">
          <w:headerReference w:type="even" r:id="rId8"/>
          <w:headerReference w:type="default" r:id="rId9"/>
          <w:footerReference w:type="even" r:id="rId10"/>
          <w:footerReference w:type="default" r:id="rId11"/>
          <w:headerReference w:type="first" r:id="rId12"/>
          <w:footerReference w:type="first" r:id="rId13"/>
          <w:pgSz w:w="11920" w:h="16840"/>
          <w:pgMar w:top="1560" w:right="1680" w:bottom="280" w:left="1680" w:header="0" w:footer="1073" w:gutter="0"/>
          <w:pgNumType w:start="1"/>
          <w:cols w:space="720"/>
          <w:titlePg/>
          <w:docGrid w:linePitch="286"/>
        </w:sectPr>
      </w:pPr>
    </w:p>
    <w:p w:rsidR="00EC60B5" w:rsidRDefault="005C6EDB">
      <w:pPr>
        <w:pStyle w:val="1"/>
        <w:snapToGrid w:val="0"/>
        <w:spacing w:beforeLines="0" w:before="240" w:after="240"/>
        <w:rPr>
          <w:rFonts w:ascii="宋体" w:hAnsi="宋体"/>
          <w:kern w:val="0"/>
        </w:rPr>
      </w:pPr>
      <w:bookmarkStart w:id="0" w:name="_Toc324920538"/>
      <w:bookmarkStart w:id="1" w:name="_Toc496884613"/>
      <w:bookmarkStart w:id="2" w:name="_Toc228201058"/>
      <w:r>
        <w:rPr>
          <w:rFonts w:ascii="Times New Roman" w:hAnsi="Times New Roman"/>
          <w:kern w:val="0"/>
        </w:rPr>
        <w:lastRenderedPageBreak/>
        <w:t>重要提示</w:t>
      </w:r>
      <w:bookmarkEnd w:id="0"/>
      <w:bookmarkEnd w:id="1"/>
      <w:bookmarkEnd w:id="2"/>
    </w:p>
    <w:p w:rsidR="00EC60B5" w:rsidRDefault="005C6EDB">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交银施罗德优选回报灵活配置混合型证券投资基金（以下简称</w:t>
      </w:r>
      <w:r>
        <w:rPr>
          <w:rFonts w:ascii="Times New Roman" w:hAnsi="Times New Roman"/>
          <w:kern w:val="0"/>
          <w:sz w:val="24"/>
        </w:rPr>
        <w:t>“</w:t>
      </w:r>
      <w:r>
        <w:rPr>
          <w:rFonts w:ascii="Times New Roman" w:hAnsi="Times New Roman"/>
          <w:kern w:val="0"/>
          <w:sz w:val="24"/>
        </w:rPr>
        <w:t>本基金</w:t>
      </w:r>
      <w:r>
        <w:rPr>
          <w:rFonts w:ascii="Times New Roman" w:hAnsi="Times New Roman"/>
          <w:kern w:val="0"/>
          <w:sz w:val="24"/>
        </w:rPr>
        <w:t>”</w:t>
      </w:r>
      <w:r>
        <w:rPr>
          <w:rFonts w:ascii="Times New Roman" w:hAnsi="Times New Roman"/>
          <w:kern w:val="0"/>
          <w:sz w:val="24"/>
        </w:rPr>
        <w:t>）经</w:t>
      </w:r>
      <w:r>
        <w:rPr>
          <w:rFonts w:ascii="Times New Roman" w:hAnsi="Times New Roman"/>
          <w:kern w:val="0"/>
          <w:sz w:val="24"/>
        </w:rPr>
        <w:t>2016</w:t>
      </w:r>
      <w:r>
        <w:rPr>
          <w:rFonts w:ascii="Times New Roman" w:hAnsi="Times New Roman"/>
          <w:kern w:val="0"/>
          <w:sz w:val="24"/>
        </w:rPr>
        <w:t>年</w:t>
      </w:r>
      <w:r>
        <w:rPr>
          <w:rFonts w:ascii="Times New Roman" w:hAnsi="Times New Roman"/>
          <w:kern w:val="0"/>
          <w:sz w:val="24"/>
        </w:rPr>
        <w:t>3</w:t>
      </w:r>
      <w:r>
        <w:rPr>
          <w:rFonts w:ascii="Times New Roman" w:hAnsi="Times New Roman"/>
          <w:kern w:val="0"/>
          <w:sz w:val="24"/>
        </w:rPr>
        <w:t>月</w:t>
      </w:r>
      <w:r>
        <w:rPr>
          <w:rFonts w:ascii="Times New Roman" w:hAnsi="Times New Roman"/>
          <w:kern w:val="0"/>
          <w:sz w:val="24"/>
        </w:rPr>
        <w:t>1</w:t>
      </w:r>
      <w:r>
        <w:rPr>
          <w:rFonts w:ascii="Times New Roman" w:hAnsi="Times New Roman"/>
          <w:kern w:val="0"/>
          <w:sz w:val="24"/>
        </w:rPr>
        <w:t>日中国证券监督管理委员会（以下简称</w:t>
      </w:r>
      <w:r>
        <w:rPr>
          <w:rFonts w:ascii="Times New Roman" w:hAnsi="Times New Roman"/>
          <w:kern w:val="0"/>
          <w:sz w:val="24"/>
        </w:rPr>
        <w:t>“</w:t>
      </w:r>
      <w:r>
        <w:rPr>
          <w:rFonts w:ascii="Times New Roman" w:hAnsi="Times New Roman"/>
          <w:kern w:val="0"/>
          <w:sz w:val="24"/>
        </w:rPr>
        <w:t>中国证监会</w:t>
      </w:r>
      <w:r>
        <w:rPr>
          <w:rFonts w:ascii="Times New Roman" w:hAnsi="Times New Roman"/>
          <w:kern w:val="0"/>
          <w:sz w:val="24"/>
        </w:rPr>
        <w:t>”</w:t>
      </w:r>
      <w:r>
        <w:rPr>
          <w:rFonts w:ascii="Times New Roman" w:hAnsi="Times New Roman"/>
          <w:kern w:val="0"/>
          <w:sz w:val="24"/>
        </w:rPr>
        <w:t>）证监许可【</w:t>
      </w:r>
      <w:r>
        <w:rPr>
          <w:rFonts w:ascii="Times New Roman" w:hAnsi="Times New Roman"/>
          <w:kern w:val="0"/>
          <w:sz w:val="24"/>
        </w:rPr>
        <w:t>2016</w:t>
      </w:r>
      <w:r>
        <w:rPr>
          <w:rFonts w:ascii="Times New Roman" w:hAnsi="Times New Roman"/>
          <w:kern w:val="0"/>
          <w:sz w:val="24"/>
        </w:rPr>
        <w:t>】</w:t>
      </w:r>
      <w:r>
        <w:rPr>
          <w:rFonts w:ascii="Times New Roman" w:hAnsi="Times New Roman"/>
          <w:kern w:val="0"/>
          <w:sz w:val="24"/>
        </w:rPr>
        <w:t>400</w:t>
      </w:r>
      <w:r>
        <w:rPr>
          <w:rFonts w:ascii="Times New Roman" w:hAnsi="Times New Roman"/>
          <w:kern w:val="0"/>
          <w:sz w:val="24"/>
        </w:rPr>
        <w:t>号文准予募集注册。本基金基金合同于</w:t>
      </w:r>
      <w:r>
        <w:rPr>
          <w:rFonts w:ascii="Times New Roman" w:hAnsi="Times New Roman"/>
          <w:kern w:val="0"/>
          <w:sz w:val="24"/>
        </w:rPr>
        <w:t>2016</w:t>
      </w:r>
      <w:r>
        <w:rPr>
          <w:rFonts w:ascii="Times New Roman" w:hAnsi="Times New Roman"/>
          <w:kern w:val="0"/>
          <w:sz w:val="24"/>
        </w:rPr>
        <w:t>年</w:t>
      </w:r>
      <w:r>
        <w:rPr>
          <w:rFonts w:ascii="Times New Roman" w:hAnsi="Times New Roman"/>
          <w:kern w:val="0"/>
          <w:sz w:val="24"/>
        </w:rPr>
        <w:t>4</w:t>
      </w:r>
      <w:r>
        <w:rPr>
          <w:rFonts w:ascii="Times New Roman" w:hAnsi="Times New Roman"/>
          <w:kern w:val="0"/>
          <w:sz w:val="24"/>
        </w:rPr>
        <w:t>月</w:t>
      </w:r>
      <w:r>
        <w:rPr>
          <w:rFonts w:ascii="Times New Roman" w:hAnsi="Times New Roman"/>
          <w:kern w:val="0"/>
          <w:sz w:val="24"/>
        </w:rPr>
        <w:t>22</w:t>
      </w:r>
      <w:r>
        <w:rPr>
          <w:rFonts w:ascii="Times New Roman" w:hAnsi="Times New Roman"/>
          <w:kern w:val="0"/>
          <w:sz w:val="24"/>
        </w:rPr>
        <w:t>日正式生效。</w:t>
      </w:r>
    </w:p>
    <w:p w:rsidR="00EC60B5" w:rsidRDefault="005C6EDB">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保证招募说明书的内容真实、准确、完整。本招募说明书经中国证监会注册，但中国证监会对本基金募集的注册，并不表明其对本基金的价值和收益作出实质性判断或保证，也不表明投资于本基金没有风险。中国证监会不对基金的投资价值及市场前景等作出实质性判断或者保证。基金管理人依照恪尽职守、诚实信用、勤勉尽责的原则管理和运用基金财产，但不保证投资本基金一定盈利，也不保证基金份额持有人的最低收益；因基金价格可升可跌，亦不保证基金份额持有人能全数取回其原本投资。</w:t>
      </w:r>
    </w:p>
    <w:p w:rsidR="00EC60B5" w:rsidRDefault="005C6EDB">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投资于证券市场，基金净值会因为证券市场波动等因素产生波动。投资人在投资本基金前，需全面认识本基金产品的风险收益特征和产品特性，充分考虑自身的风险承受能力，理性判断市场，对投资本基金的意愿、时机、数量等投资行为作出独立决策。投资人根据所持有份额享受基金的收益，但同时也需承担相应的投资风险。投资本基金可能遇到的风险包括：因受到经济因素、政治因素、投资心理和交易制度等各种因素的影响而引起的市场风险；基金管理人在基金管理实施过程中产生的基金管理风险；流动性风险；交易对手违约风险；投资股指期货的特定风险；连续六十个工作日出现基金份额持有人数量不满</w:t>
      </w:r>
      <w:r>
        <w:rPr>
          <w:rFonts w:ascii="Times New Roman" w:hAnsi="Times New Roman"/>
          <w:kern w:val="0"/>
          <w:sz w:val="24"/>
        </w:rPr>
        <w:t>200</w:t>
      </w:r>
      <w:r>
        <w:rPr>
          <w:rFonts w:ascii="Times New Roman" w:hAnsi="Times New Roman"/>
          <w:kern w:val="0"/>
          <w:sz w:val="24"/>
        </w:rPr>
        <w:t>人或基金资产净值低于</w:t>
      </w:r>
      <w:r>
        <w:rPr>
          <w:rFonts w:ascii="Times New Roman" w:hAnsi="Times New Roman"/>
          <w:kern w:val="0"/>
          <w:sz w:val="24"/>
        </w:rPr>
        <w:t>5000</w:t>
      </w:r>
      <w:r>
        <w:rPr>
          <w:rFonts w:ascii="Times New Roman" w:hAnsi="Times New Roman"/>
          <w:kern w:val="0"/>
          <w:sz w:val="24"/>
        </w:rPr>
        <w:t>万元情形时基金管理人将依基金合同约定提前终止基金合同的风险；投资科创板股票的特定风险；投资本基金特有的其他风险等等。</w:t>
      </w:r>
    </w:p>
    <w:p w:rsidR="00EC60B5" w:rsidRDefault="005C6EDB">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投资中小企业私募债，中小企业私募债是根据相关法律法规由非上市中小企业采用非公开方式发行的债券。由于不能公开交易，一般情况下，交易不活跃，潜在较大流动性风险。当发债主体信用质量恶化时，受市场流动性所限，本基金可能无法卖出所持有的中小企业私募债，由此可能给基金净值带来更大的负面影响和损失。</w:t>
      </w:r>
    </w:p>
    <w:p w:rsidR="00EC60B5" w:rsidRDefault="005C6EDB">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本基金是一只混合型基金，其风险和预期收益高于债券型基金和货币市场基金，低于股票型基金。属于承担较高风险、预期收益较高的证券投资基金品种。</w:t>
      </w:r>
    </w:p>
    <w:p w:rsidR="00EC60B5" w:rsidRDefault="005C6EDB">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本基金可投资国内依法发行上市的存托凭证，基金净值可能受到存托凭证的</w:t>
      </w:r>
      <w:r>
        <w:rPr>
          <w:rFonts w:ascii="Times New Roman" w:hAnsi="Times New Roman"/>
          <w:kern w:val="0"/>
          <w:sz w:val="24"/>
        </w:rPr>
        <w:lastRenderedPageBreak/>
        <w:t>境外基础证券价格波动影响，与存托凭证的境外基础证券、境外基础证券的发行人及境内外交易机制相关的风险可能直接或间接成为本基金风险。具体风险烦请查阅本招募说明书</w:t>
      </w:r>
      <w:r>
        <w:rPr>
          <w:rFonts w:ascii="Times New Roman" w:hAnsi="Times New Roman"/>
          <w:kern w:val="0"/>
          <w:sz w:val="24"/>
        </w:rPr>
        <w:t>“</w:t>
      </w:r>
      <w:r>
        <w:rPr>
          <w:rFonts w:ascii="Times New Roman" w:hAnsi="Times New Roman"/>
          <w:kern w:val="0"/>
          <w:sz w:val="24"/>
        </w:rPr>
        <w:t>风险揭示</w:t>
      </w:r>
      <w:r>
        <w:rPr>
          <w:rFonts w:ascii="Times New Roman" w:hAnsi="Times New Roman"/>
          <w:kern w:val="0"/>
          <w:sz w:val="24"/>
        </w:rPr>
        <w:t>”</w:t>
      </w:r>
      <w:r>
        <w:rPr>
          <w:rFonts w:ascii="Times New Roman" w:hAnsi="Times New Roman"/>
          <w:kern w:val="0"/>
          <w:sz w:val="24"/>
        </w:rPr>
        <w:t>章节内容。</w:t>
      </w:r>
    </w:p>
    <w:p w:rsidR="00EC60B5" w:rsidRDefault="005C6EDB">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本基金可根据投资策略需要或市场环境的变化，选择将部分基金资产投资于存托凭证或选择不将基金资产投资于存托凭证，基金资产并非必然投资存托凭证。</w:t>
      </w:r>
    </w:p>
    <w:p w:rsidR="00EC60B5" w:rsidRDefault="005C6EDB">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投资有风险，投资人在投资本基金前应认真阅读本基金的招募说明书和基金合同、基金产品资料概要等信息披露文件。基金的过往业绩并不代表未来表现。基金管理人管理的其他基金的业绩并不构成对本基金业绩表现的保证。基金管理人提醒投资者基金投资的</w:t>
      </w:r>
      <w:r>
        <w:rPr>
          <w:rFonts w:ascii="Times New Roman" w:hAnsi="Times New Roman"/>
          <w:kern w:val="0"/>
          <w:sz w:val="24"/>
        </w:rPr>
        <w:t>“</w:t>
      </w:r>
      <w:r>
        <w:rPr>
          <w:rFonts w:ascii="Times New Roman" w:hAnsi="Times New Roman"/>
          <w:kern w:val="0"/>
          <w:sz w:val="24"/>
        </w:rPr>
        <w:t>买者自负</w:t>
      </w:r>
      <w:r>
        <w:rPr>
          <w:rFonts w:ascii="Times New Roman" w:hAnsi="Times New Roman"/>
          <w:kern w:val="0"/>
          <w:sz w:val="24"/>
        </w:rPr>
        <w:t>”</w:t>
      </w:r>
      <w:r>
        <w:rPr>
          <w:rFonts w:ascii="Times New Roman" w:hAnsi="Times New Roman"/>
          <w:kern w:val="0"/>
          <w:sz w:val="24"/>
        </w:rPr>
        <w:t>原则，在投资者作出投资决策后，基金运营状况与基金净值变化引致的投资风险，由投资者自行负责。</w:t>
      </w:r>
    </w:p>
    <w:p w:rsidR="00EC60B5" w:rsidRDefault="005C6EDB">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本次更新招募说明书主要对基金经理变更相关事项进行了相应更新，更新截止日为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03</w:t>
      </w:r>
      <w:r>
        <w:rPr>
          <w:rFonts w:ascii="Times New Roman" w:hAnsi="Times New Roman"/>
          <w:kern w:val="0"/>
          <w:sz w:val="24"/>
        </w:rPr>
        <w:t>月</w:t>
      </w:r>
      <w:r>
        <w:rPr>
          <w:rFonts w:ascii="Times New Roman" w:hAnsi="Times New Roman"/>
          <w:kern w:val="0"/>
          <w:sz w:val="24"/>
        </w:rPr>
        <w:t>28</w:t>
      </w:r>
      <w:r>
        <w:rPr>
          <w:rFonts w:ascii="Times New Roman" w:hAnsi="Times New Roman"/>
          <w:kern w:val="0"/>
          <w:sz w:val="24"/>
        </w:rPr>
        <w:t>日，除非另有说明，本招募说明书其他所载内容截止日为</w:t>
      </w:r>
      <w:r>
        <w:rPr>
          <w:rFonts w:ascii="Times New Roman" w:hAnsi="Times New Roman"/>
          <w:kern w:val="0"/>
          <w:sz w:val="24"/>
        </w:rPr>
        <w:t>2025</w:t>
      </w:r>
      <w:r>
        <w:rPr>
          <w:rFonts w:ascii="Times New Roman" w:hAnsi="Times New Roman"/>
          <w:kern w:val="0"/>
          <w:sz w:val="24"/>
        </w:rPr>
        <w:t>年</w:t>
      </w:r>
      <w:r>
        <w:rPr>
          <w:rFonts w:ascii="Times New Roman" w:hAnsi="Times New Roman"/>
          <w:kern w:val="0"/>
          <w:sz w:val="24"/>
        </w:rPr>
        <w:t>04</w:t>
      </w:r>
      <w:r>
        <w:rPr>
          <w:rFonts w:ascii="Times New Roman" w:hAnsi="Times New Roman"/>
          <w:kern w:val="0"/>
          <w:sz w:val="24"/>
        </w:rPr>
        <w:t>月</w:t>
      </w:r>
      <w:r>
        <w:rPr>
          <w:rFonts w:ascii="Times New Roman" w:hAnsi="Times New Roman"/>
          <w:kern w:val="0"/>
          <w:sz w:val="24"/>
        </w:rPr>
        <w:t>28</w:t>
      </w:r>
      <w:r>
        <w:rPr>
          <w:rFonts w:ascii="Times New Roman" w:hAnsi="Times New Roman"/>
          <w:kern w:val="0"/>
          <w:sz w:val="24"/>
        </w:rPr>
        <w:t>日，有关财务和业绩表现数据截止日为</w:t>
      </w:r>
      <w:r>
        <w:rPr>
          <w:rFonts w:ascii="Times New Roman" w:hAnsi="Times New Roman"/>
          <w:kern w:val="0"/>
          <w:sz w:val="24"/>
        </w:rPr>
        <w:t>2025</w:t>
      </w:r>
      <w:r>
        <w:rPr>
          <w:rFonts w:ascii="Times New Roman" w:hAnsi="Times New Roman"/>
          <w:kern w:val="0"/>
          <w:sz w:val="24"/>
        </w:rPr>
        <w:t>年</w:t>
      </w:r>
      <w:r>
        <w:rPr>
          <w:rFonts w:ascii="Times New Roman" w:hAnsi="Times New Roman"/>
          <w:kern w:val="0"/>
          <w:sz w:val="24"/>
        </w:rPr>
        <w:t>03</w:t>
      </w:r>
      <w:r>
        <w:rPr>
          <w:rFonts w:ascii="Times New Roman" w:hAnsi="Times New Roman"/>
          <w:kern w:val="0"/>
          <w:sz w:val="24"/>
        </w:rPr>
        <w:t>月</w:t>
      </w:r>
      <w:r>
        <w:rPr>
          <w:rFonts w:ascii="Times New Roman" w:hAnsi="Times New Roman"/>
          <w:kern w:val="0"/>
          <w:sz w:val="24"/>
        </w:rPr>
        <w:t>31</w:t>
      </w:r>
      <w:r>
        <w:rPr>
          <w:rFonts w:ascii="Times New Roman" w:hAnsi="Times New Roman"/>
          <w:kern w:val="0"/>
          <w:sz w:val="24"/>
        </w:rPr>
        <w:t>日，财务和业绩表现数据未经审计。</w:t>
      </w:r>
    </w:p>
    <w:p w:rsidR="00EC60B5" w:rsidRDefault="00EC60B5">
      <w:pPr>
        <w:autoSpaceDE w:val="0"/>
        <w:autoSpaceDN w:val="0"/>
        <w:adjustRightInd w:val="0"/>
        <w:snapToGrid w:val="0"/>
        <w:spacing w:before="51" w:line="360" w:lineRule="auto"/>
        <w:ind w:left="120" w:rightChars="6" w:right="13" w:firstLine="480"/>
        <w:rPr>
          <w:rFonts w:ascii="宋体" w:hAnsi="宋体"/>
          <w:kern w:val="0"/>
          <w:szCs w:val="24"/>
        </w:rPr>
        <w:sectPr w:rsidR="00EC60B5">
          <w:headerReference w:type="default" r:id="rId14"/>
          <w:pgSz w:w="11920" w:h="16840"/>
          <w:pgMar w:top="1440" w:right="1680" w:bottom="280" w:left="1680" w:header="0" w:footer="1073" w:gutter="0"/>
          <w:pgNumType w:start="1"/>
          <w:cols w:space="720"/>
        </w:sectPr>
      </w:pPr>
    </w:p>
    <w:p w:rsidR="00CF0B17" w:rsidRPr="00CF0B17" w:rsidRDefault="005C6EDB" w:rsidP="00CF0B17">
      <w:pPr>
        <w:pStyle w:val="ad"/>
        <w:snapToGrid w:val="0"/>
        <w:spacing w:after="240" w:line="360" w:lineRule="auto"/>
        <w:jc w:val="center"/>
        <w:rPr>
          <w:rFonts w:ascii="宋体" w:hAnsi="宋体"/>
          <w:noProof/>
          <w:sz w:val="24"/>
        </w:rPr>
      </w:pPr>
      <w:r w:rsidRPr="00CF0B17">
        <w:rPr>
          <w:rFonts w:ascii="宋体" w:hAnsi="宋体"/>
          <w:color w:val="000000"/>
          <w:position w:val="-4"/>
          <w:sz w:val="24"/>
          <w:szCs w:val="30"/>
        </w:rPr>
        <w:lastRenderedPageBreak/>
        <w:t>目</w:t>
      </w:r>
      <w:r w:rsidRPr="00CF0B17">
        <w:rPr>
          <w:rFonts w:ascii="宋体" w:hAnsi="宋体"/>
          <w:color w:val="000000"/>
          <w:position w:val="-4"/>
          <w:sz w:val="24"/>
          <w:szCs w:val="30"/>
        </w:rPr>
        <w:tab/>
        <w:t>录</w:t>
      </w:r>
      <w:r w:rsidR="00CF0B17" w:rsidRPr="00CF0B17">
        <w:rPr>
          <w:rFonts w:ascii="宋体" w:hAnsi="宋体"/>
          <w:color w:val="000000"/>
          <w:position w:val="-4"/>
          <w:sz w:val="24"/>
          <w:szCs w:val="30"/>
        </w:rPr>
        <w:fldChar w:fldCharType="begin"/>
      </w:r>
      <w:r w:rsidR="00CF0B17" w:rsidRPr="00CF0B17">
        <w:rPr>
          <w:rFonts w:ascii="宋体" w:hAnsi="宋体"/>
          <w:color w:val="000000"/>
          <w:position w:val="-4"/>
          <w:sz w:val="24"/>
          <w:szCs w:val="30"/>
        </w:rPr>
        <w:instrText xml:space="preserve"> TOC \o "1-3" \f - \h \t "-1" </w:instrText>
      </w:r>
      <w:r w:rsidR="00CF0B17" w:rsidRPr="00CF0B17">
        <w:rPr>
          <w:rFonts w:ascii="宋体" w:hAnsi="宋体"/>
          <w:color w:val="000000"/>
          <w:position w:val="-4"/>
          <w:sz w:val="24"/>
          <w:szCs w:val="30"/>
        </w:rPr>
        <w:fldChar w:fldCharType="separate"/>
      </w:r>
    </w:p>
    <w:p w:rsidR="00CF0B17" w:rsidRPr="00CF0B17" w:rsidRDefault="00CF0B17" w:rsidP="00CF0B17">
      <w:pPr>
        <w:pStyle w:val="10"/>
        <w:tabs>
          <w:tab w:val="right" w:leader="dot" w:pos="8550"/>
        </w:tabs>
        <w:spacing w:line="360" w:lineRule="auto"/>
        <w:rPr>
          <w:rFonts w:ascii="宋体" w:hAnsi="宋体" w:cstheme="minorBidi"/>
          <w:noProof/>
          <w:sz w:val="24"/>
        </w:rPr>
      </w:pPr>
      <w:hyperlink w:anchor="_Toc228201058" w:history="1">
        <w:r w:rsidRPr="00CF0B17">
          <w:rPr>
            <w:rStyle w:val="aa"/>
            <w:rFonts w:ascii="宋体" w:hAnsi="宋体" w:hint="eastAsia"/>
            <w:noProof/>
            <w:kern w:val="0"/>
            <w:sz w:val="24"/>
          </w:rPr>
          <w:t>重要提示</w:t>
        </w:r>
        <w:r w:rsidRPr="00CF0B17">
          <w:rPr>
            <w:rFonts w:ascii="宋体" w:hAnsi="宋体"/>
            <w:noProof/>
            <w:sz w:val="24"/>
          </w:rPr>
          <w:tab/>
        </w:r>
        <w:r w:rsidRPr="00CF0B17">
          <w:rPr>
            <w:rFonts w:ascii="宋体" w:hAnsi="宋体"/>
            <w:noProof/>
            <w:sz w:val="24"/>
          </w:rPr>
          <w:fldChar w:fldCharType="begin"/>
        </w:r>
        <w:r w:rsidRPr="00CF0B17">
          <w:rPr>
            <w:rFonts w:ascii="宋体" w:hAnsi="宋体"/>
            <w:noProof/>
            <w:sz w:val="24"/>
          </w:rPr>
          <w:instrText xml:space="preserve"> PAGEREF _Toc228201058 \h </w:instrText>
        </w:r>
        <w:r w:rsidRPr="00CF0B17">
          <w:rPr>
            <w:rFonts w:ascii="宋体" w:hAnsi="宋体"/>
            <w:noProof/>
            <w:sz w:val="24"/>
          </w:rPr>
        </w:r>
        <w:r w:rsidRPr="00CF0B17">
          <w:rPr>
            <w:rFonts w:ascii="宋体" w:hAnsi="宋体"/>
            <w:noProof/>
            <w:sz w:val="24"/>
          </w:rPr>
          <w:fldChar w:fldCharType="separate"/>
        </w:r>
        <w:r w:rsidRPr="00CF0B17">
          <w:rPr>
            <w:rFonts w:ascii="宋体" w:hAnsi="宋体"/>
            <w:noProof/>
            <w:sz w:val="24"/>
          </w:rPr>
          <w:t>1</w:t>
        </w:r>
        <w:r w:rsidRPr="00CF0B17">
          <w:rPr>
            <w:rFonts w:ascii="宋体" w:hAnsi="宋体"/>
            <w:noProof/>
            <w:sz w:val="24"/>
          </w:rPr>
          <w:fldChar w:fldCharType="end"/>
        </w:r>
      </w:hyperlink>
    </w:p>
    <w:p w:rsidR="00CF0B17" w:rsidRPr="00CF0B17" w:rsidRDefault="00CF0B17" w:rsidP="00CF0B17">
      <w:pPr>
        <w:pStyle w:val="10"/>
        <w:tabs>
          <w:tab w:val="right" w:leader="dot" w:pos="8550"/>
        </w:tabs>
        <w:spacing w:line="360" w:lineRule="auto"/>
        <w:rPr>
          <w:rFonts w:ascii="宋体" w:hAnsi="宋体" w:cstheme="minorBidi"/>
          <w:noProof/>
          <w:sz w:val="24"/>
        </w:rPr>
      </w:pPr>
      <w:hyperlink w:anchor="_Toc228201059" w:history="1">
        <w:r w:rsidRPr="00CF0B17">
          <w:rPr>
            <w:rStyle w:val="aa"/>
            <w:rFonts w:ascii="宋体" w:hAnsi="宋体" w:hint="eastAsia"/>
            <w:noProof/>
            <w:sz w:val="24"/>
          </w:rPr>
          <w:t>一、绪言</w:t>
        </w:r>
        <w:r w:rsidRPr="00CF0B17">
          <w:rPr>
            <w:rFonts w:ascii="宋体" w:hAnsi="宋体"/>
            <w:noProof/>
            <w:sz w:val="24"/>
          </w:rPr>
          <w:tab/>
        </w:r>
        <w:r w:rsidRPr="00CF0B17">
          <w:rPr>
            <w:rFonts w:ascii="宋体" w:hAnsi="宋体"/>
            <w:noProof/>
            <w:sz w:val="24"/>
          </w:rPr>
          <w:fldChar w:fldCharType="begin"/>
        </w:r>
        <w:r w:rsidRPr="00CF0B17">
          <w:rPr>
            <w:rFonts w:ascii="宋体" w:hAnsi="宋体"/>
            <w:noProof/>
            <w:sz w:val="24"/>
          </w:rPr>
          <w:instrText xml:space="preserve"> PAGEREF _Toc228201059 \h </w:instrText>
        </w:r>
        <w:r w:rsidRPr="00CF0B17">
          <w:rPr>
            <w:rFonts w:ascii="宋体" w:hAnsi="宋体"/>
            <w:noProof/>
            <w:sz w:val="24"/>
          </w:rPr>
        </w:r>
        <w:r w:rsidRPr="00CF0B17">
          <w:rPr>
            <w:rFonts w:ascii="宋体" w:hAnsi="宋体"/>
            <w:noProof/>
            <w:sz w:val="24"/>
          </w:rPr>
          <w:fldChar w:fldCharType="separate"/>
        </w:r>
        <w:r w:rsidRPr="00CF0B17">
          <w:rPr>
            <w:rFonts w:ascii="宋体" w:hAnsi="宋体"/>
            <w:noProof/>
            <w:sz w:val="24"/>
          </w:rPr>
          <w:t>4</w:t>
        </w:r>
        <w:r w:rsidRPr="00CF0B17">
          <w:rPr>
            <w:rFonts w:ascii="宋体" w:hAnsi="宋体"/>
            <w:noProof/>
            <w:sz w:val="24"/>
          </w:rPr>
          <w:fldChar w:fldCharType="end"/>
        </w:r>
      </w:hyperlink>
    </w:p>
    <w:p w:rsidR="00CF0B17" w:rsidRPr="00CF0B17" w:rsidRDefault="00CF0B17" w:rsidP="00CF0B17">
      <w:pPr>
        <w:pStyle w:val="10"/>
        <w:tabs>
          <w:tab w:val="right" w:leader="dot" w:pos="8550"/>
        </w:tabs>
        <w:spacing w:line="360" w:lineRule="auto"/>
        <w:rPr>
          <w:rFonts w:ascii="宋体" w:hAnsi="宋体" w:cstheme="minorBidi"/>
          <w:noProof/>
          <w:sz w:val="24"/>
        </w:rPr>
      </w:pPr>
      <w:hyperlink w:anchor="_Toc228201060" w:history="1">
        <w:r w:rsidRPr="00CF0B17">
          <w:rPr>
            <w:rStyle w:val="aa"/>
            <w:rFonts w:ascii="宋体" w:hAnsi="宋体" w:hint="eastAsia"/>
            <w:noProof/>
            <w:sz w:val="24"/>
          </w:rPr>
          <w:t>二、释义</w:t>
        </w:r>
        <w:r w:rsidRPr="00CF0B17">
          <w:rPr>
            <w:rFonts w:ascii="宋体" w:hAnsi="宋体"/>
            <w:noProof/>
            <w:sz w:val="24"/>
          </w:rPr>
          <w:tab/>
        </w:r>
        <w:r w:rsidRPr="00CF0B17">
          <w:rPr>
            <w:rFonts w:ascii="宋体" w:hAnsi="宋体"/>
            <w:noProof/>
            <w:sz w:val="24"/>
          </w:rPr>
          <w:fldChar w:fldCharType="begin"/>
        </w:r>
        <w:r w:rsidRPr="00CF0B17">
          <w:rPr>
            <w:rFonts w:ascii="宋体" w:hAnsi="宋体"/>
            <w:noProof/>
            <w:sz w:val="24"/>
          </w:rPr>
          <w:instrText xml:space="preserve"> PAGEREF _Toc228201060 \h </w:instrText>
        </w:r>
        <w:r w:rsidRPr="00CF0B17">
          <w:rPr>
            <w:rFonts w:ascii="宋体" w:hAnsi="宋体"/>
            <w:noProof/>
            <w:sz w:val="24"/>
          </w:rPr>
        </w:r>
        <w:r w:rsidRPr="00CF0B17">
          <w:rPr>
            <w:rFonts w:ascii="宋体" w:hAnsi="宋体"/>
            <w:noProof/>
            <w:sz w:val="24"/>
          </w:rPr>
          <w:fldChar w:fldCharType="separate"/>
        </w:r>
        <w:r w:rsidRPr="00CF0B17">
          <w:rPr>
            <w:rFonts w:ascii="宋体" w:hAnsi="宋体"/>
            <w:noProof/>
            <w:sz w:val="24"/>
          </w:rPr>
          <w:t>5</w:t>
        </w:r>
        <w:r w:rsidRPr="00CF0B17">
          <w:rPr>
            <w:rFonts w:ascii="宋体" w:hAnsi="宋体"/>
            <w:noProof/>
            <w:sz w:val="24"/>
          </w:rPr>
          <w:fldChar w:fldCharType="end"/>
        </w:r>
      </w:hyperlink>
    </w:p>
    <w:p w:rsidR="00CF0B17" w:rsidRPr="00CF0B17" w:rsidRDefault="00CF0B17" w:rsidP="00CF0B17">
      <w:pPr>
        <w:pStyle w:val="10"/>
        <w:tabs>
          <w:tab w:val="right" w:leader="dot" w:pos="8550"/>
        </w:tabs>
        <w:spacing w:line="360" w:lineRule="auto"/>
        <w:rPr>
          <w:rFonts w:ascii="宋体" w:hAnsi="宋体" w:cstheme="minorBidi"/>
          <w:noProof/>
          <w:sz w:val="24"/>
        </w:rPr>
      </w:pPr>
      <w:hyperlink w:anchor="_Toc228201061" w:history="1">
        <w:r w:rsidRPr="00CF0B17">
          <w:rPr>
            <w:rStyle w:val="aa"/>
            <w:rFonts w:ascii="宋体" w:hAnsi="宋体" w:hint="eastAsia"/>
            <w:noProof/>
            <w:sz w:val="24"/>
          </w:rPr>
          <w:t>三、基金管理人</w:t>
        </w:r>
        <w:r w:rsidRPr="00CF0B17">
          <w:rPr>
            <w:rFonts w:ascii="宋体" w:hAnsi="宋体"/>
            <w:noProof/>
            <w:sz w:val="24"/>
          </w:rPr>
          <w:tab/>
        </w:r>
        <w:r w:rsidRPr="00CF0B17">
          <w:rPr>
            <w:rFonts w:ascii="宋体" w:hAnsi="宋体"/>
            <w:noProof/>
            <w:sz w:val="24"/>
          </w:rPr>
          <w:fldChar w:fldCharType="begin"/>
        </w:r>
        <w:r w:rsidRPr="00CF0B17">
          <w:rPr>
            <w:rFonts w:ascii="宋体" w:hAnsi="宋体"/>
            <w:noProof/>
            <w:sz w:val="24"/>
          </w:rPr>
          <w:instrText xml:space="preserve"> PAGEREF _Toc228201061 \h </w:instrText>
        </w:r>
        <w:r w:rsidRPr="00CF0B17">
          <w:rPr>
            <w:rFonts w:ascii="宋体" w:hAnsi="宋体"/>
            <w:noProof/>
            <w:sz w:val="24"/>
          </w:rPr>
        </w:r>
        <w:r w:rsidRPr="00CF0B17">
          <w:rPr>
            <w:rFonts w:ascii="宋体" w:hAnsi="宋体"/>
            <w:noProof/>
            <w:sz w:val="24"/>
          </w:rPr>
          <w:fldChar w:fldCharType="separate"/>
        </w:r>
        <w:r w:rsidRPr="00CF0B17">
          <w:rPr>
            <w:rFonts w:ascii="宋体" w:hAnsi="宋体"/>
            <w:noProof/>
            <w:sz w:val="24"/>
          </w:rPr>
          <w:t>10</w:t>
        </w:r>
        <w:r w:rsidRPr="00CF0B17">
          <w:rPr>
            <w:rFonts w:ascii="宋体" w:hAnsi="宋体"/>
            <w:noProof/>
            <w:sz w:val="24"/>
          </w:rPr>
          <w:fldChar w:fldCharType="end"/>
        </w:r>
      </w:hyperlink>
    </w:p>
    <w:p w:rsidR="00CF0B17" w:rsidRPr="00CF0B17" w:rsidRDefault="00CF0B17" w:rsidP="00CF0B17">
      <w:pPr>
        <w:pStyle w:val="10"/>
        <w:tabs>
          <w:tab w:val="right" w:leader="dot" w:pos="8550"/>
        </w:tabs>
        <w:spacing w:line="360" w:lineRule="auto"/>
        <w:rPr>
          <w:rFonts w:ascii="宋体" w:hAnsi="宋体" w:cstheme="minorBidi"/>
          <w:noProof/>
          <w:sz w:val="24"/>
        </w:rPr>
      </w:pPr>
      <w:hyperlink w:anchor="_Toc228201062" w:history="1">
        <w:r w:rsidRPr="00CF0B17">
          <w:rPr>
            <w:rStyle w:val="aa"/>
            <w:rFonts w:ascii="宋体" w:hAnsi="宋体" w:hint="eastAsia"/>
            <w:noProof/>
            <w:sz w:val="24"/>
          </w:rPr>
          <w:t>四、基金托管人</w:t>
        </w:r>
        <w:r w:rsidRPr="00CF0B17">
          <w:rPr>
            <w:rFonts w:ascii="宋体" w:hAnsi="宋体"/>
            <w:noProof/>
            <w:sz w:val="24"/>
          </w:rPr>
          <w:tab/>
        </w:r>
        <w:r w:rsidRPr="00CF0B17">
          <w:rPr>
            <w:rFonts w:ascii="宋体" w:hAnsi="宋体"/>
            <w:noProof/>
            <w:sz w:val="24"/>
          </w:rPr>
          <w:fldChar w:fldCharType="begin"/>
        </w:r>
        <w:r w:rsidRPr="00CF0B17">
          <w:rPr>
            <w:rFonts w:ascii="宋体" w:hAnsi="宋体"/>
            <w:noProof/>
            <w:sz w:val="24"/>
          </w:rPr>
          <w:instrText xml:space="preserve"> PAGEREF _Toc228201062 \h </w:instrText>
        </w:r>
        <w:r w:rsidRPr="00CF0B17">
          <w:rPr>
            <w:rFonts w:ascii="宋体" w:hAnsi="宋体"/>
            <w:noProof/>
            <w:sz w:val="24"/>
          </w:rPr>
        </w:r>
        <w:r w:rsidRPr="00CF0B17">
          <w:rPr>
            <w:rFonts w:ascii="宋体" w:hAnsi="宋体"/>
            <w:noProof/>
            <w:sz w:val="24"/>
          </w:rPr>
          <w:fldChar w:fldCharType="separate"/>
        </w:r>
        <w:r w:rsidRPr="00CF0B17">
          <w:rPr>
            <w:rFonts w:ascii="宋体" w:hAnsi="宋体"/>
            <w:noProof/>
            <w:sz w:val="24"/>
          </w:rPr>
          <w:t>18</w:t>
        </w:r>
        <w:r w:rsidRPr="00CF0B17">
          <w:rPr>
            <w:rFonts w:ascii="宋体" w:hAnsi="宋体"/>
            <w:noProof/>
            <w:sz w:val="24"/>
          </w:rPr>
          <w:fldChar w:fldCharType="end"/>
        </w:r>
      </w:hyperlink>
    </w:p>
    <w:p w:rsidR="00CF0B17" w:rsidRPr="00CF0B17" w:rsidRDefault="00CF0B17" w:rsidP="00CF0B17">
      <w:pPr>
        <w:pStyle w:val="10"/>
        <w:tabs>
          <w:tab w:val="right" w:leader="dot" w:pos="8550"/>
        </w:tabs>
        <w:spacing w:line="360" w:lineRule="auto"/>
        <w:rPr>
          <w:rFonts w:ascii="宋体" w:hAnsi="宋体" w:cstheme="minorBidi"/>
          <w:noProof/>
          <w:sz w:val="24"/>
        </w:rPr>
      </w:pPr>
      <w:hyperlink w:anchor="_Toc228201063" w:history="1">
        <w:r w:rsidRPr="00CF0B17">
          <w:rPr>
            <w:rStyle w:val="aa"/>
            <w:rFonts w:ascii="宋体" w:hAnsi="宋体" w:hint="eastAsia"/>
            <w:noProof/>
            <w:sz w:val="24"/>
          </w:rPr>
          <w:t>五、相关服务机构</w:t>
        </w:r>
        <w:r w:rsidRPr="00CF0B17">
          <w:rPr>
            <w:rFonts w:ascii="宋体" w:hAnsi="宋体"/>
            <w:noProof/>
            <w:sz w:val="24"/>
          </w:rPr>
          <w:tab/>
        </w:r>
        <w:r w:rsidRPr="00CF0B17">
          <w:rPr>
            <w:rFonts w:ascii="宋体" w:hAnsi="宋体"/>
            <w:noProof/>
            <w:sz w:val="24"/>
          </w:rPr>
          <w:fldChar w:fldCharType="begin"/>
        </w:r>
        <w:r w:rsidRPr="00CF0B17">
          <w:rPr>
            <w:rFonts w:ascii="宋体" w:hAnsi="宋体"/>
            <w:noProof/>
            <w:sz w:val="24"/>
          </w:rPr>
          <w:instrText xml:space="preserve"> PAGEREF _Toc228201063 \h </w:instrText>
        </w:r>
        <w:r w:rsidRPr="00CF0B17">
          <w:rPr>
            <w:rFonts w:ascii="宋体" w:hAnsi="宋体"/>
            <w:noProof/>
            <w:sz w:val="24"/>
          </w:rPr>
        </w:r>
        <w:r w:rsidRPr="00CF0B17">
          <w:rPr>
            <w:rFonts w:ascii="宋体" w:hAnsi="宋体"/>
            <w:noProof/>
            <w:sz w:val="24"/>
          </w:rPr>
          <w:fldChar w:fldCharType="separate"/>
        </w:r>
        <w:r w:rsidRPr="00CF0B17">
          <w:rPr>
            <w:rFonts w:ascii="宋体" w:hAnsi="宋体"/>
            <w:noProof/>
            <w:sz w:val="24"/>
          </w:rPr>
          <w:t>22</w:t>
        </w:r>
        <w:r w:rsidRPr="00CF0B17">
          <w:rPr>
            <w:rFonts w:ascii="宋体" w:hAnsi="宋体"/>
            <w:noProof/>
            <w:sz w:val="24"/>
          </w:rPr>
          <w:fldChar w:fldCharType="end"/>
        </w:r>
      </w:hyperlink>
    </w:p>
    <w:p w:rsidR="00CF0B17" w:rsidRPr="00CF0B17" w:rsidRDefault="00CF0B17" w:rsidP="00CF0B17">
      <w:pPr>
        <w:pStyle w:val="10"/>
        <w:tabs>
          <w:tab w:val="right" w:leader="dot" w:pos="8550"/>
        </w:tabs>
        <w:spacing w:line="360" w:lineRule="auto"/>
        <w:rPr>
          <w:rFonts w:ascii="宋体" w:hAnsi="宋体" w:cstheme="minorBidi"/>
          <w:noProof/>
          <w:sz w:val="24"/>
        </w:rPr>
      </w:pPr>
      <w:hyperlink w:anchor="_Toc228201064" w:history="1">
        <w:r w:rsidRPr="00CF0B17">
          <w:rPr>
            <w:rStyle w:val="aa"/>
            <w:rFonts w:ascii="宋体" w:hAnsi="宋体" w:hint="eastAsia"/>
            <w:noProof/>
            <w:sz w:val="24"/>
          </w:rPr>
          <w:t>六、基金的募集</w:t>
        </w:r>
        <w:r w:rsidRPr="00CF0B17">
          <w:rPr>
            <w:rFonts w:ascii="宋体" w:hAnsi="宋体"/>
            <w:noProof/>
            <w:sz w:val="24"/>
          </w:rPr>
          <w:tab/>
        </w:r>
        <w:r w:rsidRPr="00CF0B17">
          <w:rPr>
            <w:rFonts w:ascii="宋体" w:hAnsi="宋体"/>
            <w:noProof/>
            <w:sz w:val="24"/>
          </w:rPr>
          <w:fldChar w:fldCharType="begin"/>
        </w:r>
        <w:r w:rsidRPr="00CF0B17">
          <w:rPr>
            <w:rFonts w:ascii="宋体" w:hAnsi="宋体"/>
            <w:noProof/>
            <w:sz w:val="24"/>
          </w:rPr>
          <w:instrText xml:space="preserve"> PAGEREF _Toc228201064 \h </w:instrText>
        </w:r>
        <w:r w:rsidRPr="00CF0B17">
          <w:rPr>
            <w:rFonts w:ascii="宋体" w:hAnsi="宋体"/>
            <w:noProof/>
            <w:sz w:val="24"/>
          </w:rPr>
        </w:r>
        <w:r w:rsidRPr="00CF0B17">
          <w:rPr>
            <w:rFonts w:ascii="宋体" w:hAnsi="宋体"/>
            <w:noProof/>
            <w:sz w:val="24"/>
          </w:rPr>
          <w:fldChar w:fldCharType="separate"/>
        </w:r>
        <w:r w:rsidRPr="00CF0B17">
          <w:rPr>
            <w:rFonts w:ascii="宋体" w:hAnsi="宋体"/>
            <w:noProof/>
            <w:sz w:val="24"/>
          </w:rPr>
          <w:t>37</w:t>
        </w:r>
        <w:r w:rsidRPr="00CF0B17">
          <w:rPr>
            <w:rFonts w:ascii="宋体" w:hAnsi="宋体"/>
            <w:noProof/>
            <w:sz w:val="24"/>
          </w:rPr>
          <w:fldChar w:fldCharType="end"/>
        </w:r>
      </w:hyperlink>
    </w:p>
    <w:p w:rsidR="00CF0B17" w:rsidRPr="00CF0B17" w:rsidRDefault="00CF0B17" w:rsidP="00CF0B17">
      <w:pPr>
        <w:pStyle w:val="10"/>
        <w:tabs>
          <w:tab w:val="right" w:leader="dot" w:pos="8550"/>
        </w:tabs>
        <w:spacing w:line="360" w:lineRule="auto"/>
        <w:rPr>
          <w:rFonts w:ascii="宋体" w:hAnsi="宋体" w:cstheme="minorBidi"/>
          <w:noProof/>
          <w:sz w:val="24"/>
        </w:rPr>
      </w:pPr>
      <w:hyperlink w:anchor="_Toc228201065" w:history="1">
        <w:r w:rsidRPr="00CF0B17">
          <w:rPr>
            <w:rStyle w:val="aa"/>
            <w:rFonts w:ascii="宋体" w:hAnsi="宋体" w:hint="eastAsia"/>
            <w:noProof/>
            <w:sz w:val="24"/>
          </w:rPr>
          <w:t>七、基金合同的生效</w:t>
        </w:r>
        <w:r w:rsidRPr="00CF0B17">
          <w:rPr>
            <w:rFonts w:ascii="宋体" w:hAnsi="宋体"/>
            <w:noProof/>
            <w:sz w:val="24"/>
          </w:rPr>
          <w:tab/>
        </w:r>
        <w:r w:rsidRPr="00CF0B17">
          <w:rPr>
            <w:rFonts w:ascii="宋体" w:hAnsi="宋体"/>
            <w:noProof/>
            <w:sz w:val="24"/>
          </w:rPr>
          <w:fldChar w:fldCharType="begin"/>
        </w:r>
        <w:r w:rsidRPr="00CF0B17">
          <w:rPr>
            <w:rFonts w:ascii="宋体" w:hAnsi="宋体"/>
            <w:noProof/>
            <w:sz w:val="24"/>
          </w:rPr>
          <w:instrText xml:space="preserve"> PAGEREF _Toc228201065 \h </w:instrText>
        </w:r>
        <w:r w:rsidRPr="00CF0B17">
          <w:rPr>
            <w:rFonts w:ascii="宋体" w:hAnsi="宋体"/>
            <w:noProof/>
            <w:sz w:val="24"/>
          </w:rPr>
        </w:r>
        <w:r w:rsidRPr="00CF0B17">
          <w:rPr>
            <w:rFonts w:ascii="宋体" w:hAnsi="宋体"/>
            <w:noProof/>
            <w:sz w:val="24"/>
          </w:rPr>
          <w:fldChar w:fldCharType="separate"/>
        </w:r>
        <w:r w:rsidRPr="00CF0B17">
          <w:rPr>
            <w:rFonts w:ascii="宋体" w:hAnsi="宋体"/>
            <w:noProof/>
            <w:sz w:val="24"/>
          </w:rPr>
          <w:t>38</w:t>
        </w:r>
        <w:r w:rsidRPr="00CF0B17">
          <w:rPr>
            <w:rFonts w:ascii="宋体" w:hAnsi="宋体"/>
            <w:noProof/>
            <w:sz w:val="24"/>
          </w:rPr>
          <w:fldChar w:fldCharType="end"/>
        </w:r>
      </w:hyperlink>
    </w:p>
    <w:p w:rsidR="00CF0B17" w:rsidRPr="00CF0B17" w:rsidRDefault="00CF0B17" w:rsidP="00CF0B17">
      <w:pPr>
        <w:pStyle w:val="10"/>
        <w:tabs>
          <w:tab w:val="right" w:leader="dot" w:pos="8550"/>
        </w:tabs>
        <w:spacing w:line="360" w:lineRule="auto"/>
        <w:rPr>
          <w:rFonts w:ascii="宋体" w:hAnsi="宋体" w:cstheme="minorBidi"/>
          <w:noProof/>
          <w:sz w:val="24"/>
        </w:rPr>
      </w:pPr>
      <w:hyperlink w:anchor="_Toc228201066" w:history="1">
        <w:r w:rsidRPr="00CF0B17">
          <w:rPr>
            <w:rStyle w:val="aa"/>
            <w:rFonts w:ascii="宋体" w:hAnsi="宋体" w:hint="eastAsia"/>
            <w:noProof/>
            <w:sz w:val="24"/>
          </w:rPr>
          <w:t>八、基金份额的申购与赎回</w:t>
        </w:r>
        <w:r w:rsidRPr="00CF0B17">
          <w:rPr>
            <w:rFonts w:ascii="宋体" w:hAnsi="宋体"/>
            <w:noProof/>
            <w:sz w:val="24"/>
          </w:rPr>
          <w:tab/>
        </w:r>
        <w:r w:rsidRPr="00CF0B17">
          <w:rPr>
            <w:rFonts w:ascii="宋体" w:hAnsi="宋体"/>
            <w:noProof/>
            <w:sz w:val="24"/>
          </w:rPr>
          <w:fldChar w:fldCharType="begin"/>
        </w:r>
        <w:r w:rsidRPr="00CF0B17">
          <w:rPr>
            <w:rFonts w:ascii="宋体" w:hAnsi="宋体"/>
            <w:noProof/>
            <w:sz w:val="24"/>
          </w:rPr>
          <w:instrText xml:space="preserve"> PAGEREF _Toc228201066 \h </w:instrText>
        </w:r>
        <w:r w:rsidRPr="00CF0B17">
          <w:rPr>
            <w:rFonts w:ascii="宋体" w:hAnsi="宋体"/>
            <w:noProof/>
            <w:sz w:val="24"/>
          </w:rPr>
        </w:r>
        <w:r w:rsidRPr="00CF0B17">
          <w:rPr>
            <w:rFonts w:ascii="宋体" w:hAnsi="宋体"/>
            <w:noProof/>
            <w:sz w:val="24"/>
          </w:rPr>
          <w:fldChar w:fldCharType="separate"/>
        </w:r>
        <w:r w:rsidRPr="00CF0B17">
          <w:rPr>
            <w:rFonts w:ascii="宋体" w:hAnsi="宋体"/>
            <w:noProof/>
            <w:sz w:val="24"/>
          </w:rPr>
          <w:t>39</w:t>
        </w:r>
        <w:r w:rsidRPr="00CF0B17">
          <w:rPr>
            <w:rFonts w:ascii="宋体" w:hAnsi="宋体"/>
            <w:noProof/>
            <w:sz w:val="24"/>
          </w:rPr>
          <w:fldChar w:fldCharType="end"/>
        </w:r>
      </w:hyperlink>
    </w:p>
    <w:p w:rsidR="00CF0B17" w:rsidRPr="00CF0B17" w:rsidRDefault="00CF0B17" w:rsidP="00CF0B17">
      <w:pPr>
        <w:pStyle w:val="10"/>
        <w:tabs>
          <w:tab w:val="right" w:leader="dot" w:pos="8550"/>
        </w:tabs>
        <w:spacing w:line="360" w:lineRule="auto"/>
        <w:rPr>
          <w:rFonts w:ascii="宋体" w:hAnsi="宋体" w:cstheme="minorBidi"/>
          <w:noProof/>
          <w:sz w:val="24"/>
        </w:rPr>
      </w:pPr>
      <w:hyperlink w:anchor="_Toc228201067" w:history="1">
        <w:r w:rsidRPr="00CF0B17">
          <w:rPr>
            <w:rStyle w:val="aa"/>
            <w:rFonts w:ascii="宋体" w:hAnsi="宋体" w:hint="eastAsia"/>
            <w:noProof/>
            <w:sz w:val="24"/>
          </w:rPr>
          <w:t>九、基金的转换</w:t>
        </w:r>
        <w:r w:rsidRPr="00CF0B17">
          <w:rPr>
            <w:rFonts w:ascii="宋体" w:hAnsi="宋体"/>
            <w:noProof/>
            <w:sz w:val="24"/>
          </w:rPr>
          <w:tab/>
        </w:r>
        <w:r w:rsidRPr="00CF0B17">
          <w:rPr>
            <w:rFonts w:ascii="宋体" w:hAnsi="宋体"/>
            <w:noProof/>
            <w:sz w:val="24"/>
          </w:rPr>
          <w:fldChar w:fldCharType="begin"/>
        </w:r>
        <w:r w:rsidRPr="00CF0B17">
          <w:rPr>
            <w:rFonts w:ascii="宋体" w:hAnsi="宋体"/>
            <w:noProof/>
            <w:sz w:val="24"/>
          </w:rPr>
          <w:instrText xml:space="preserve"> PAGEREF _Toc228201067 \h </w:instrText>
        </w:r>
        <w:r w:rsidRPr="00CF0B17">
          <w:rPr>
            <w:rFonts w:ascii="宋体" w:hAnsi="宋体"/>
            <w:noProof/>
            <w:sz w:val="24"/>
          </w:rPr>
        </w:r>
        <w:r w:rsidRPr="00CF0B17">
          <w:rPr>
            <w:rFonts w:ascii="宋体" w:hAnsi="宋体"/>
            <w:noProof/>
            <w:sz w:val="24"/>
          </w:rPr>
          <w:fldChar w:fldCharType="separate"/>
        </w:r>
        <w:r w:rsidRPr="00CF0B17">
          <w:rPr>
            <w:rFonts w:ascii="宋体" w:hAnsi="宋体"/>
            <w:noProof/>
            <w:sz w:val="24"/>
          </w:rPr>
          <w:t>53</w:t>
        </w:r>
        <w:r w:rsidRPr="00CF0B17">
          <w:rPr>
            <w:rFonts w:ascii="宋体" w:hAnsi="宋体"/>
            <w:noProof/>
            <w:sz w:val="24"/>
          </w:rPr>
          <w:fldChar w:fldCharType="end"/>
        </w:r>
      </w:hyperlink>
    </w:p>
    <w:p w:rsidR="00CF0B17" w:rsidRPr="00CF0B17" w:rsidRDefault="00CF0B17" w:rsidP="00CF0B17">
      <w:pPr>
        <w:pStyle w:val="10"/>
        <w:tabs>
          <w:tab w:val="right" w:leader="dot" w:pos="8550"/>
        </w:tabs>
        <w:spacing w:line="360" w:lineRule="auto"/>
        <w:rPr>
          <w:rFonts w:ascii="宋体" w:hAnsi="宋体" w:cstheme="minorBidi"/>
          <w:noProof/>
          <w:sz w:val="24"/>
        </w:rPr>
      </w:pPr>
      <w:hyperlink w:anchor="_Toc228201068" w:history="1">
        <w:r w:rsidRPr="00CF0B17">
          <w:rPr>
            <w:rStyle w:val="aa"/>
            <w:rFonts w:ascii="宋体" w:hAnsi="宋体" w:hint="eastAsia"/>
            <w:noProof/>
            <w:sz w:val="24"/>
          </w:rPr>
          <w:t>十、基金的投资</w:t>
        </w:r>
        <w:r w:rsidRPr="00CF0B17">
          <w:rPr>
            <w:rFonts w:ascii="宋体" w:hAnsi="宋体"/>
            <w:noProof/>
            <w:sz w:val="24"/>
          </w:rPr>
          <w:tab/>
        </w:r>
        <w:r w:rsidRPr="00CF0B17">
          <w:rPr>
            <w:rFonts w:ascii="宋体" w:hAnsi="宋体"/>
            <w:noProof/>
            <w:sz w:val="24"/>
          </w:rPr>
          <w:fldChar w:fldCharType="begin"/>
        </w:r>
        <w:r w:rsidRPr="00CF0B17">
          <w:rPr>
            <w:rFonts w:ascii="宋体" w:hAnsi="宋体"/>
            <w:noProof/>
            <w:sz w:val="24"/>
          </w:rPr>
          <w:instrText xml:space="preserve"> PAGEREF _Toc228201068 \h </w:instrText>
        </w:r>
        <w:r w:rsidRPr="00CF0B17">
          <w:rPr>
            <w:rFonts w:ascii="宋体" w:hAnsi="宋体"/>
            <w:noProof/>
            <w:sz w:val="24"/>
          </w:rPr>
        </w:r>
        <w:r w:rsidRPr="00CF0B17">
          <w:rPr>
            <w:rFonts w:ascii="宋体" w:hAnsi="宋体"/>
            <w:noProof/>
            <w:sz w:val="24"/>
          </w:rPr>
          <w:fldChar w:fldCharType="separate"/>
        </w:r>
        <w:r w:rsidRPr="00CF0B17">
          <w:rPr>
            <w:rFonts w:ascii="宋体" w:hAnsi="宋体"/>
            <w:noProof/>
            <w:sz w:val="24"/>
          </w:rPr>
          <w:t>60</w:t>
        </w:r>
        <w:r w:rsidRPr="00CF0B17">
          <w:rPr>
            <w:rFonts w:ascii="宋体" w:hAnsi="宋体"/>
            <w:noProof/>
            <w:sz w:val="24"/>
          </w:rPr>
          <w:fldChar w:fldCharType="end"/>
        </w:r>
      </w:hyperlink>
    </w:p>
    <w:p w:rsidR="00CF0B17" w:rsidRPr="00CF0B17" w:rsidRDefault="00CF0B17" w:rsidP="00CF0B17">
      <w:pPr>
        <w:pStyle w:val="10"/>
        <w:tabs>
          <w:tab w:val="right" w:leader="dot" w:pos="8550"/>
        </w:tabs>
        <w:spacing w:line="360" w:lineRule="auto"/>
        <w:rPr>
          <w:rFonts w:ascii="宋体" w:hAnsi="宋体" w:cstheme="minorBidi"/>
          <w:noProof/>
          <w:sz w:val="24"/>
        </w:rPr>
      </w:pPr>
      <w:hyperlink w:anchor="_Toc228201069" w:history="1">
        <w:r w:rsidRPr="00CF0B17">
          <w:rPr>
            <w:rStyle w:val="aa"/>
            <w:rFonts w:ascii="宋体" w:hAnsi="宋体" w:hint="eastAsia"/>
            <w:noProof/>
            <w:sz w:val="24"/>
          </w:rPr>
          <w:t>十一、基金的业绩</w:t>
        </w:r>
        <w:r w:rsidRPr="00CF0B17">
          <w:rPr>
            <w:rFonts w:ascii="宋体" w:hAnsi="宋体"/>
            <w:noProof/>
            <w:sz w:val="24"/>
          </w:rPr>
          <w:tab/>
        </w:r>
        <w:r w:rsidRPr="00CF0B17">
          <w:rPr>
            <w:rFonts w:ascii="宋体" w:hAnsi="宋体"/>
            <w:noProof/>
            <w:sz w:val="24"/>
          </w:rPr>
          <w:fldChar w:fldCharType="begin"/>
        </w:r>
        <w:r w:rsidRPr="00CF0B17">
          <w:rPr>
            <w:rFonts w:ascii="宋体" w:hAnsi="宋体"/>
            <w:noProof/>
            <w:sz w:val="24"/>
          </w:rPr>
          <w:instrText xml:space="preserve"> PAGEREF _Toc228201069 \h </w:instrText>
        </w:r>
        <w:r w:rsidRPr="00CF0B17">
          <w:rPr>
            <w:rFonts w:ascii="宋体" w:hAnsi="宋体"/>
            <w:noProof/>
            <w:sz w:val="24"/>
          </w:rPr>
        </w:r>
        <w:r w:rsidRPr="00CF0B17">
          <w:rPr>
            <w:rFonts w:ascii="宋体" w:hAnsi="宋体"/>
            <w:noProof/>
            <w:sz w:val="24"/>
          </w:rPr>
          <w:fldChar w:fldCharType="separate"/>
        </w:r>
        <w:r w:rsidRPr="00CF0B17">
          <w:rPr>
            <w:rFonts w:ascii="宋体" w:hAnsi="宋体"/>
            <w:noProof/>
            <w:sz w:val="24"/>
          </w:rPr>
          <w:t>74</w:t>
        </w:r>
        <w:r w:rsidRPr="00CF0B17">
          <w:rPr>
            <w:rFonts w:ascii="宋体" w:hAnsi="宋体"/>
            <w:noProof/>
            <w:sz w:val="24"/>
          </w:rPr>
          <w:fldChar w:fldCharType="end"/>
        </w:r>
      </w:hyperlink>
    </w:p>
    <w:p w:rsidR="00CF0B17" w:rsidRPr="00CF0B17" w:rsidRDefault="00CF0B17" w:rsidP="00CF0B17">
      <w:pPr>
        <w:pStyle w:val="10"/>
        <w:tabs>
          <w:tab w:val="right" w:leader="dot" w:pos="8550"/>
        </w:tabs>
        <w:spacing w:line="360" w:lineRule="auto"/>
        <w:rPr>
          <w:rFonts w:ascii="宋体" w:hAnsi="宋体" w:cstheme="minorBidi"/>
          <w:noProof/>
          <w:sz w:val="24"/>
        </w:rPr>
      </w:pPr>
      <w:hyperlink w:anchor="_Toc228201070" w:history="1">
        <w:r w:rsidRPr="00CF0B17">
          <w:rPr>
            <w:rStyle w:val="aa"/>
            <w:rFonts w:ascii="宋体" w:hAnsi="宋体" w:hint="eastAsia"/>
            <w:noProof/>
            <w:sz w:val="24"/>
          </w:rPr>
          <w:t>十二、基金的财产</w:t>
        </w:r>
        <w:r w:rsidRPr="00CF0B17">
          <w:rPr>
            <w:rFonts w:ascii="宋体" w:hAnsi="宋体"/>
            <w:noProof/>
            <w:sz w:val="24"/>
          </w:rPr>
          <w:tab/>
        </w:r>
        <w:r w:rsidRPr="00CF0B17">
          <w:rPr>
            <w:rFonts w:ascii="宋体" w:hAnsi="宋体"/>
            <w:noProof/>
            <w:sz w:val="24"/>
          </w:rPr>
          <w:fldChar w:fldCharType="begin"/>
        </w:r>
        <w:r w:rsidRPr="00CF0B17">
          <w:rPr>
            <w:rFonts w:ascii="宋体" w:hAnsi="宋体"/>
            <w:noProof/>
            <w:sz w:val="24"/>
          </w:rPr>
          <w:instrText xml:space="preserve"> PAGEREF _Toc228201070 \h </w:instrText>
        </w:r>
        <w:r w:rsidRPr="00CF0B17">
          <w:rPr>
            <w:rFonts w:ascii="宋体" w:hAnsi="宋体"/>
            <w:noProof/>
            <w:sz w:val="24"/>
          </w:rPr>
        </w:r>
        <w:r w:rsidRPr="00CF0B17">
          <w:rPr>
            <w:rFonts w:ascii="宋体" w:hAnsi="宋体"/>
            <w:noProof/>
            <w:sz w:val="24"/>
          </w:rPr>
          <w:fldChar w:fldCharType="separate"/>
        </w:r>
        <w:r w:rsidRPr="00CF0B17">
          <w:rPr>
            <w:rFonts w:ascii="宋体" w:hAnsi="宋体"/>
            <w:noProof/>
            <w:sz w:val="24"/>
          </w:rPr>
          <w:t>77</w:t>
        </w:r>
        <w:r w:rsidRPr="00CF0B17">
          <w:rPr>
            <w:rFonts w:ascii="宋体" w:hAnsi="宋体"/>
            <w:noProof/>
            <w:sz w:val="24"/>
          </w:rPr>
          <w:fldChar w:fldCharType="end"/>
        </w:r>
      </w:hyperlink>
    </w:p>
    <w:p w:rsidR="00CF0B17" w:rsidRPr="00CF0B17" w:rsidRDefault="00CF0B17" w:rsidP="00CF0B17">
      <w:pPr>
        <w:pStyle w:val="10"/>
        <w:tabs>
          <w:tab w:val="right" w:leader="dot" w:pos="8550"/>
        </w:tabs>
        <w:spacing w:line="360" w:lineRule="auto"/>
        <w:rPr>
          <w:rFonts w:ascii="宋体" w:hAnsi="宋体" w:cstheme="minorBidi"/>
          <w:noProof/>
          <w:sz w:val="24"/>
        </w:rPr>
      </w:pPr>
      <w:hyperlink w:anchor="_Toc228201071" w:history="1">
        <w:r w:rsidRPr="00CF0B17">
          <w:rPr>
            <w:rStyle w:val="aa"/>
            <w:rFonts w:ascii="宋体" w:hAnsi="宋体" w:hint="eastAsia"/>
            <w:noProof/>
            <w:sz w:val="24"/>
          </w:rPr>
          <w:t>十三、基金资产的估值</w:t>
        </w:r>
        <w:r w:rsidRPr="00CF0B17">
          <w:rPr>
            <w:rFonts w:ascii="宋体" w:hAnsi="宋体"/>
            <w:noProof/>
            <w:sz w:val="24"/>
          </w:rPr>
          <w:tab/>
        </w:r>
        <w:r w:rsidRPr="00CF0B17">
          <w:rPr>
            <w:rFonts w:ascii="宋体" w:hAnsi="宋体"/>
            <w:noProof/>
            <w:sz w:val="24"/>
          </w:rPr>
          <w:fldChar w:fldCharType="begin"/>
        </w:r>
        <w:r w:rsidRPr="00CF0B17">
          <w:rPr>
            <w:rFonts w:ascii="宋体" w:hAnsi="宋体"/>
            <w:noProof/>
            <w:sz w:val="24"/>
          </w:rPr>
          <w:instrText xml:space="preserve"> PAGEREF _Toc228201071 \h </w:instrText>
        </w:r>
        <w:r w:rsidRPr="00CF0B17">
          <w:rPr>
            <w:rFonts w:ascii="宋体" w:hAnsi="宋体"/>
            <w:noProof/>
            <w:sz w:val="24"/>
          </w:rPr>
        </w:r>
        <w:r w:rsidRPr="00CF0B17">
          <w:rPr>
            <w:rFonts w:ascii="宋体" w:hAnsi="宋体"/>
            <w:noProof/>
            <w:sz w:val="24"/>
          </w:rPr>
          <w:fldChar w:fldCharType="separate"/>
        </w:r>
        <w:r w:rsidRPr="00CF0B17">
          <w:rPr>
            <w:rFonts w:ascii="宋体" w:hAnsi="宋体"/>
            <w:noProof/>
            <w:sz w:val="24"/>
          </w:rPr>
          <w:t>78</w:t>
        </w:r>
        <w:r w:rsidRPr="00CF0B17">
          <w:rPr>
            <w:rFonts w:ascii="宋体" w:hAnsi="宋体"/>
            <w:noProof/>
            <w:sz w:val="24"/>
          </w:rPr>
          <w:fldChar w:fldCharType="end"/>
        </w:r>
      </w:hyperlink>
    </w:p>
    <w:p w:rsidR="00CF0B17" w:rsidRPr="00CF0B17" w:rsidRDefault="00CF0B17" w:rsidP="00CF0B17">
      <w:pPr>
        <w:pStyle w:val="10"/>
        <w:tabs>
          <w:tab w:val="right" w:leader="dot" w:pos="8550"/>
        </w:tabs>
        <w:spacing w:line="360" w:lineRule="auto"/>
        <w:rPr>
          <w:rFonts w:ascii="宋体" w:hAnsi="宋体" w:cstheme="minorBidi"/>
          <w:noProof/>
          <w:sz w:val="24"/>
        </w:rPr>
      </w:pPr>
      <w:hyperlink w:anchor="_Toc228201072" w:history="1">
        <w:r w:rsidRPr="00CF0B17">
          <w:rPr>
            <w:rStyle w:val="aa"/>
            <w:rFonts w:ascii="宋体" w:hAnsi="宋体" w:hint="eastAsia"/>
            <w:noProof/>
            <w:sz w:val="24"/>
          </w:rPr>
          <w:t>十四、基金收益与分配</w:t>
        </w:r>
        <w:r w:rsidRPr="00CF0B17">
          <w:rPr>
            <w:rFonts w:ascii="宋体" w:hAnsi="宋体"/>
            <w:noProof/>
            <w:sz w:val="24"/>
          </w:rPr>
          <w:tab/>
        </w:r>
        <w:r w:rsidRPr="00CF0B17">
          <w:rPr>
            <w:rFonts w:ascii="宋体" w:hAnsi="宋体"/>
            <w:noProof/>
            <w:sz w:val="24"/>
          </w:rPr>
          <w:fldChar w:fldCharType="begin"/>
        </w:r>
        <w:r w:rsidRPr="00CF0B17">
          <w:rPr>
            <w:rFonts w:ascii="宋体" w:hAnsi="宋体"/>
            <w:noProof/>
            <w:sz w:val="24"/>
          </w:rPr>
          <w:instrText xml:space="preserve"> PAGEREF _Toc228201072 \h </w:instrText>
        </w:r>
        <w:r w:rsidRPr="00CF0B17">
          <w:rPr>
            <w:rFonts w:ascii="宋体" w:hAnsi="宋体"/>
            <w:noProof/>
            <w:sz w:val="24"/>
          </w:rPr>
        </w:r>
        <w:r w:rsidRPr="00CF0B17">
          <w:rPr>
            <w:rFonts w:ascii="宋体" w:hAnsi="宋体"/>
            <w:noProof/>
            <w:sz w:val="24"/>
          </w:rPr>
          <w:fldChar w:fldCharType="separate"/>
        </w:r>
        <w:r w:rsidRPr="00CF0B17">
          <w:rPr>
            <w:rFonts w:ascii="宋体" w:hAnsi="宋体"/>
            <w:noProof/>
            <w:sz w:val="24"/>
          </w:rPr>
          <w:t>83</w:t>
        </w:r>
        <w:r w:rsidRPr="00CF0B17">
          <w:rPr>
            <w:rFonts w:ascii="宋体" w:hAnsi="宋体"/>
            <w:noProof/>
            <w:sz w:val="24"/>
          </w:rPr>
          <w:fldChar w:fldCharType="end"/>
        </w:r>
      </w:hyperlink>
    </w:p>
    <w:p w:rsidR="00CF0B17" w:rsidRPr="00CF0B17" w:rsidRDefault="00CF0B17" w:rsidP="00CF0B17">
      <w:pPr>
        <w:pStyle w:val="10"/>
        <w:tabs>
          <w:tab w:val="right" w:leader="dot" w:pos="8550"/>
        </w:tabs>
        <w:spacing w:line="360" w:lineRule="auto"/>
        <w:rPr>
          <w:rFonts w:ascii="宋体" w:hAnsi="宋体" w:cstheme="minorBidi"/>
          <w:noProof/>
          <w:sz w:val="24"/>
        </w:rPr>
      </w:pPr>
      <w:hyperlink w:anchor="_Toc228201073" w:history="1">
        <w:r w:rsidRPr="00CF0B17">
          <w:rPr>
            <w:rStyle w:val="aa"/>
            <w:rFonts w:ascii="宋体" w:hAnsi="宋体" w:hint="eastAsia"/>
            <w:noProof/>
            <w:sz w:val="24"/>
          </w:rPr>
          <w:t>十五、基金的费用与税收</w:t>
        </w:r>
        <w:r w:rsidRPr="00CF0B17">
          <w:rPr>
            <w:rFonts w:ascii="宋体" w:hAnsi="宋体"/>
            <w:noProof/>
            <w:sz w:val="24"/>
          </w:rPr>
          <w:tab/>
        </w:r>
        <w:r w:rsidRPr="00CF0B17">
          <w:rPr>
            <w:rFonts w:ascii="宋体" w:hAnsi="宋体"/>
            <w:noProof/>
            <w:sz w:val="24"/>
          </w:rPr>
          <w:fldChar w:fldCharType="begin"/>
        </w:r>
        <w:r w:rsidRPr="00CF0B17">
          <w:rPr>
            <w:rFonts w:ascii="宋体" w:hAnsi="宋体"/>
            <w:noProof/>
            <w:sz w:val="24"/>
          </w:rPr>
          <w:instrText xml:space="preserve"> PAGEREF _Toc228201073 \h </w:instrText>
        </w:r>
        <w:r w:rsidRPr="00CF0B17">
          <w:rPr>
            <w:rFonts w:ascii="宋体" w:hAnsi="宋体"/>
            <w:noProof/>
            <w:sz w:val="24"/>
          </w:rPr>
        </w:r>
        <w:r w:rsidRPr="00CF0B17">
          <w:rPr>
            <w:rFonts w:ascii="宋体" w:hAnsi="宋体"/>
            <w:noProof/>
            <w:sz w:val="24"/>
          </w:rPr>
          <w:fldChar w:fldCharType="separate"/>
        </w:r>
        <w:r w:rsidRPr="00CF0B17">
          <w:rPr>
            <w:rFonts w:ascii="宋体" w:hAnsi="宋体"/>
            <w:noProof/>
            <w:sz w:val="24"/>
          </w:rPr>
          <w:t>85</w:t>
        </w:r>
        <w:r w:rsidRPr="00CF0B17">
          <w:rPr>
            <w:rFonts w:ascii="宋体" w:hAnsi="宋体"/>
            <w:noProof/>
            <w:sz w:val="24"/>
          </w:rPr>
          <w:fldChar w:fldCharType="end"/>
        </w:r>
      </w:hyperlink>
    </w:p>
    <w:p w:rsidR="00CF0B17" w:rsidRPr="00CF0B17" w:rsidRDefault="00CF0B17" w:rsidP="00CF0B17">
      <w:pPr>
        <w:pStyle w:val="10"/>
        <w:tabs>
          <w:tab w:val="right" w:leader="dot" w:pos="8550"/>
        </w:tabs>
        <w:spacing w:line="360" w:lineRule="auto"/>
        <w:rPr>
          <w:rFonts w:ascii="宋体" w:hAnsi="宋体" w:cstheme="minorBidi"/>
          <w:noProof/>
          <w:sz w:val="24"/>
        </w:rPr>
      </w:pPr>
      <w:hyperlink w:anchor="_Toc228201074" w:history="1">
        <w:r w:rsidRPr="00CF0B17">
          <w:rPr>
            <w:rStyle w:val="aa"/>
            <w:rFonts w:ascii="宋体" w:hAnsi="宋体" w:hint="eastAsia"/>
            <w:noProof/>
            <w:sz w:val="24"/>
          </w:rPr>
          <w:t>十六、基金的会计与审计</w:t>
        </w:r>
        <w:r w:rsidRPr="00CF0B17">
          <w:rPr>
            <w:rFonts w:ascii="宋体" w:hAnsi="宋体"/>
            <w:noProof/>
            <w:sz w:val="24"/>
          </w:rPr>
          <w:tab/>
        </w:r>
        <w:r w:rsidRPr="00CF0B17">
          <w:rPr>
            <w:rFonts w:ascii="宋体" w:hAnsi="宋体"/>
            <w:noProof/>
            <w:sz w:val="24"/>
          </w:rPr>
          <w:fldChar w:fldCharType="begin"/>
        </w:r>
        <w:r w:rsidRPr="00CF0B17">
          <w:rPr>
            <w:rFonts w:ascii="宋体" w:hAnsi="宋体"/>
            <w:noProof/>
            <w:sz w:val="24"/>
          </w:rPr>
          <w:instrText xml:space="preserve"> PAGEREF _Toc228201074 \h </w:instrText>
        </w:r>
        <w:r w:rsidRPr="00CF0B17">
          <w:rPr>
            <w:rFonts w:ascii="宋体" w:hAnsi="宋体"/>
            <w:noProof/>
            <w:sz w:val="24"/>
          </w:rPr>
        </w:r>
        <w:r w:rsidRPr="00CF0B17">
          <w:rPr>
            <w:rFonts w:ascii="宋体" w:hAnsi="宋体"/>
            <w:noProof/>
            <w:sz w:val="24"/>
          </w:rPr>
          <w:fldChar w:fldCharType="separate"/>
        </w:r>
        <w:r w:rsidRPr="00CF0B17">
          <w:rPr>
            <w:rFonts w:ascii="宋体" w:hAnsi="宋体"/>
            <w:noProof/>
            <w:sz w:val="24"/>
          </w:rPr>
          <w:t>88</w:t>
        </w:r>
        <w:r w:rsidRPr="00CF0B17">
          <w:rPr>
            <w:rFonts w:ascii="宋体" w:hAnsi="宋体"/>
            <w:noProof/>
            <w:sz w:val="24"/>
          </w:rPr>
          <w:fldChar w:fldCharType="end"/>
        </w:r>
      </w:hyperlink>
    </w:p>
    <w:p w:rsidR="00CF0B17" w:rsidRPr="00CF0B17" w:rsidRDefault="00CF0B17" w:rsidP="00CF0B17">
      <w:pPr>
        <w:pStyle w:val="10"/>
        <w:tabs>
          <w:tab w:val="right" w:leader="dot" w:pos="8550"/>
        </w:tabs>
        <w:spacing w:line="360" w:lineRule="auto"/>
        <w:rPr>
          <w:rFonts w:ascii="宋体" w:hAnsi="宋体" w:cstheme="minorBidi"/>
          <w:noProof/>
          <w:sz w:val="24"/>
        </w:rPr>
      </w:pPr>
      <w:hyperlink w:anchor="_Toc228201075" w:history="1">
        <w:r w:rsidRPr="00CF0B17">
          <w:rPr>
            <w:rStyle w:val="aa"/>
            <w:rFonts w:ascii="宋体" w:hAnsi="宋体" w:hint="eastAsia"/>
            <w:noProof/>
            <w:sz w:val="24"/>
          </w:rPr>
          <w:t>十七、基金的信息披露</w:t>
        </w:r>
        <w:r w:rsidRPr="00CF0B17">
          <w:rPr>
            <w:rFonts w:ascii="宋体" w:hAnsi="宋体"/>
            <w:noProof/>
            <w:sz w:val="24"/>
          </w:rPr>
          <w:tab/>
        </w:r>
        <w:r w:rsidRPr="00CF0B17">
          <w:rPr>
            <w:rFonts w:ascii="宋体" w:hAnsi="宋体"/>
            <w:noProof/>
            <w:sz w:val="24"/>
          </w:rPr>
          <w:fldChar w:fldCharType="begin"/>
        </w:r>
        <w:r w:rsidRPr="00CF0B17">
          <w:rPr>
            <w:rFonts w:ascii="宋体" w:hAnsi="宋体"/>
            <w:noProof/>
            <w:sz w:val="24"/>
          </w:rPr>
          <w:instrText xml:space="preserve"> PAGEREF _Toc228201075 \h </w:instrText>
        </w:r>
        <w:r w:rsidRPr="00CF0B17">
          <w:rPr>
            <w:rFonts w:ascii="宋体" w:hAnsi="宋体"/>
            <w:noProof/>
            <w:sz w:val="24"/>
          </w:rPr>
        </w:r>
        <w:r w:rsidRPr="00CF0B17">
          <w:rPr>
            <w:rFonts w:ascii="宋体" w:hAnsi="宋体"/>
            <w:noProof/>
            <w:sz w:val="24"/>
          </w:rPr>
          <w:fldChar w:fldCharType="separate"/>
        </w:r>
        <w:r w:rsidRPr="00CF0B17">
          <w:rPr>
            <w:rFonts w:ascii="宋体" w:hAnsi="宋体"/>
            <w:noProof/>
            <w:sz w:val="24"/>
          </w:rPr>
          <w:t>89</w:t>
        </w:r>
        <w:r w:rsidRPr="00CF0B17">
          <w:rPr>
            <w:rFonts w:ascii="宋体" w:hAnsi="宋体"/>
            <w:noProof/>
            <w:sz w:val="24"/>
          </w:rPr>
          <w:fldChar w:fldCharType="end"/>
        </w:r>
      </w:hyperlink>
    </w:p>
    <w:p w:rsidR="00CF0B17" w:rsidRPr="00CF0B17" w:rsidRDefault="00CF0B17" w:rsidP="00CF0B17">
      <w:pPr>
        <w:pStyle w:val="10"/>
        <w:tabs>
          <w:tab w:val="right" w:leader="dot" w:pos="8550"/>
        </w:tabs>
        <w:spacing w:line="360" w:lineRule="auto"/>
        <w:rPr>
          <w:rFonts w:ascii="宋体" w:hAnsi="宋体" w:cstheme="minorBidi"/>
          <w:noProof/>
          <w:sz w:val="24"/>
        </w:rPr>
      </w:pPr>
      <w:hyperlink w:anchor="_Toc228201076" w:history="1">
        <w:r w:rsidRPr="00CF0B17">
          <w:rPr>
            <w:rStyle w:val="aa"/>
            <w:rFonts w:ascii="宋体" w:hAnsi="宋体" w:hint="eastAsia"/>
            <w:noProof/>
            <w:sz w:val="24"/>
          </w:rPr>
          <w:t>十八、风险揭示</w:t>
        </w:r>
        <w:r w:rsidRPr="00CF0B17">
          <w:rPr>
            <w:rFonts w:ascii="宋体" w:hAnsi="宋体"/>
            <w:noProof/>
            <w:sz w:val="24"/>
          </w:rPr>
          <w:tab/>
        </w:r>
        <w:r w:rsidRPr="00CF0B17">
          <w:rPr>
            <w:rFonts w:ascii="宋体" w:hAnsi="宋体"/>
            <w:noProof/>
            <w:sz w:val="24"/>
          </w:rPr>
          <w:fldChar w:fldCharType="begin"/>
        </w:r>
        <w:r w:rsidRPr="00CF0B17">
          <w:rPr>
            <w:rFonts w:ascii="宋体" w:hAnsi="宋体"/>
            <w:noProof/>
            <w:sz w:val="24"/>
          </w:rPr>
          <w:instrText xml:space="preserve"> PAGEREF _Toc228201076 \h </w:instrText>
        </w:r>
        <w:r w:rsidRPr="00CF0B17">
          <w:rPr>
            <w:rFonts w:ascii="宋体" w:hAnsi="宋体"/>
            <w:noProof/>
            <w:sz w:val="24"/>
          </w:rPr>
        </w:r>
        <w:r w:rsidRPr="00CF0B17">
          <w:rPr>
            <w:rFonts w:ascii="宋体" w:hAnsi="宋体"/>
            <w:noProof/>
            <w:sz w:val="24"/>
          </w:rPr>
          <w:fldChar w:fldCharType="separate"/>
        </w:r>
        <w:r w:rsidRPr="00CF0B17">
          <w:rPr>
            <w:rFonts w:ascii="宋体" w:hAnsi="宋体"/>
            <w:noProof/>
            <w:sz w:val="24"/>
          </w:rPr>
          <w:t>95</w:t>
        </w:r>
        <w:r w:rsidRPr="00CF0B17">
          <w:rPr>
            <w:rFonts w:ascii="宋体" w:hAnsi="宋体"/>
            <w:noProof/>
            <w:sz w:val="24"/>
          </w:rPr>
          <w:fldChar w:fldCharType="end"/>
        </w:r>
      </w:hyperlink>
    </w:p>
    <w:p w:rsidR="00CF0B17" w:rsidRPr="00CF0B17" w:rsidRDefault="00CF0B17" w:rsidP="00CF0B17">
      <w:pPr>
        <w:pStyle w:val="10"/>
        <w:tabs>
          <w:tab w:val="right" w:leader="dot" w:pos="8550"/>
        </w:tabs>
        <w:spacing w:line="360" w:lineRule="auto"/>
        <w:rPr>
          <w:rFonts w:ascii="宋体" w:hAnsi="宋体" w:cstheme="minorBidi"/>
          <w:noProof/>
          <w:sz w:val="24"/>
        </w:rPr>
      </w:pPr>
      <w:hyperlink w:anchor="_Toc228201077" w:history="1">
        <w:r w:rsidRPr="00CF0B17">
          <w:rPr>
            <w:rStyle w:val="aa"/>
            <w:rFonts w:ascii="宋体" w:hAnsi="宋体" w:hint="eastAsia"/>
            <w:noProof/>
            <w:sz w:val="24"/>
          </w:rPr>
          <w:t>十九、基金合同的变更、终止与基金财产的清算</w:t>
        </w:r>
        <w:r w:rsidRPr="00CF0B17">
          <w:rPr>
            <w:rFonts w:ascii="宋体" w:hAnsi="宋体"/>
            <w:noProof/>
            <w:sz w:val="24"/>
          </w:rPr>
          <w:tab/>
        </w:r>
        <w:r w:rsidRPr="00CF0B17">
          <w:rPr>
            <w:rFonts w:ascii="宋体" w:hAnsi="宋体"/>
            <w:noProof/>
            <w:sz w:val="24"/>
          </w:rPr>
          <w:fldChar w:fldCharType="begin"/>
        </w:r>
        <w:r w:rsidRPr="00CF0B17">
          <w:rPr>
            <w:rFonts w:ascii="宋体" w:hAnsi="宋体"/>
            <w:noProof/>
            <w:sz w:val="24"/>
          </w:rPr>
          <w:instrText xml:space="preserve"> PAGEREF _Toc228201077 \h </w:instrText>
        </w:r>
        <w:r w:rsidRPr="00CF0B17">
          <w:rPr>
            <w:rFonts w:ascii="宋体" w:hAnsi="宋体"/>
            <w:noProof/>
            <w:sz w:val="24"/>
          </w:rPr>
        </w:r>
        <w:r w:rsidRPr="00CF0B17">
          <w:rPr>
            <w:rFonts w:ascii="宋体" w:hAnsi="宋体"/>
            <w:noProof/>
            <w:sz w:val="24"/>
          </w:rPr>
          <w:fldChar w:fldCharType="separate"/>
        </w:r>
        <w:r w:rsidRPr="00CF0B17">
          <w:rPr>
            <w:rFonts w:ascii="宋体" w:hAnsi="宋体"/>
            <w:noProof/>
            <w:sz w:val="24"/>
          </w:rPr>
          <w:t>102</w:t>
        </w:r>
        <w:r w:rsidRPr="00CF0B17">
          <w:rPr>
            <w:rFonts w:ascii="宋体" w:hAnsi="宋体"/>
            <w:noProof/>
            <w:sz w:val="24"/>
          </w:rPr>
          <w:fldChar w:fldCharType="end"/>
        </w:r>
      </w:hyperlink>
    </w:p>
    <w:p w:rsidR="00CF0B17" w:rsidRPr="00CF0B17" w:rsidRDefault="00CF0B17" w:rsidP="00CF0B17">
      <w:pPr>
        <w:pStyle w:val="10"/>
        <w:tabs>
          <w:tab w:val="right" w:leader="dot" w:pos="8550"/>
        </w:tabs>
        <w:spacing w:line="360" w:lineRule="auto"/>
        <w:rPr>
          <w:rFonts w:ascii="宋体" w:hAnsi="宋体" w:cstheme="minorBidi"/>
          <w:noProof/>
          <w:sz w:val="24"/>
        </w:rPr>
      </w:pPr>
      <w:hyperlink w:anchor="_Toc228201078" w:history="1">
        <w:r w:rsidRPr="00CF0B17">
          <w:rPr>
            <w:rStyle w:val="aa"/>
            <w:rFonts w:ascii="宋体" w:hAnsi="宋体" w:hint="eastAsia"/>
            <w:noProof/>
            <w:sz w:val="24"/>
          </w:rPr>
          <w:t>二十、基金合同内容摘要</w:t>
        </w:r>
        <w:r w:rsidRPr="00CF0B17">
          <w:rPr>
            <w:rFonts w:ascii="宋体" w:hAnsi="宋体"/>
            <w:noProof/>
            <w:sz w:val="24"/>
          </w:rPr>
          <w:tab/>
        </w:r>
        <w:r w:rsidRPr="00CF0B17">
          <w:rPr>
            <w:rFonts w:ascii="宋体" w:hAnsi="宋体"/>
            <w:noProof/>
            <w:sz w:val="24"/>
          </w:rPr>
          <w:fldChar w:fldCharType="begin"/>
        </w:r>
        <w:r w:rsidRPr="00CF0B17">
          <w:rPr>
            <w:rFonts w:ascii="宋体" w:hAnsi="宋体"/>
            <w:noProof/>
            <w:sz w:val="24"/>
          </w:rPr>
          <w:instrText xml:space="preserve"> PAGEREF _Toc228201078 \h </w:instrText>
        </w:r>
        <w:r w:rsidRPr="00CF0B17">
          <w:rPr>
            <w:rFonts w:ascii="宋体" w:hAnsi="宋体"/>
            <w:noProof/>
            <w:sz w:val="24"/>
          </w:rPr>
        </w:r>
        <w:r w:rsidRPr="00CF0B17">
          <w:rPr>
            <w:rFonts w:ascii="宋体" w:hAnsi="宋体"/>
            <w:noProof/>
            <w:sz w:val="24"/>
          </w:rPr>
          <w:fldChar w:fldCharType="separate"/>
        </w:r>
        <w:r w:rsidRPr="00CF0B17">
          <w:rPr>
            <w:rFonts w:ascii="宋体" w:hAnsi="宋体"/>
            <w:noProof/>
            <w:sz w:val="24"/>
          </w:rPr>
          <w:t>104</w:t>
        </w:r>
        <w:r w:rsidRPr="00CF0B17">
          <w:rPr>
            <w:rFonts w:ascii="宋体" w:hAnsi="宋体"/>
            <w:noProof/>
            <w:sz w:val="24"/>
          </w:rPr>
          <w:fldChar w:fldCharType="end"/>
        </w:r>
      </w:hyperlink>
    </w:p>
    <w:p w:rsidR="00CF0B17" w:rsidRPr="00CF0B17" w:rsidRDefault="00CF0B17" w:rsidP="00CF0B17">
      <w:pPr>
        <w:pStyle w:val="10"/>
        <w:tabs>
          <w:tab w:val="right" w:leader="dot" w:pos="8550"/>
        </w:tabs>
        <w:spacing w:line="360" w:lineRule="auto"/>
        <w:rPr>
          <w:rFonts w:ascii="宋体" w:hAnsi="宋体" w:cstheme="minorBidi"/>
          <w:noProof/>
          <w:sz w:val="24"/>
        </w:rPr>
      </w:pPr>
      <w:hyperlink w:anchor="_Toc228201079" w:history="1">
        <w:r w:rsidRPr="00CF0B17">
          <w:rPr>
            <w:rStyle w:val="aa"/>
            <w:rFonts w:ascii="宋体" w:hAnsi="宋体" w:hint="eastAsia"/>
            <w:noProof/>
            <w:sz w:val="24"/>
          </w:rPr>
          <w:t>二十一、托管协议的内容摘要</w:t>
        </w:r>
        <w:r w:rsidRPr="00CF0B17">
          <w:rPr>
            <w:rFonts w:ascii="宋体" w:hAnsi="宋体"/>
            <w:noProof/>
            <w:sz w:val="24"/>
          </w:rPr>
          <w:tab/>
        </w:r>
        <w:r w:rsidRPr="00CF0B17">
          <w:rPr>
            <w:rFonts w:ascii="宋体" w:hAnsi="宋体"/>
            <w:noProof/>
            <w:sz w:val="24"/>
          </w:rPr>
          <w:fldChar w:fldCharType="begin"/>
        </w:r>
        <w:r w:rsidRPr="00CF0B17">
          <w:rPr>
            <w:rFonts w:ascii="宋体" w:hAnsi="宋体"/>
            <w:noProof/>
            <w:sz w:val="24"/>
          </w:rPr>
          <w:instrText xml:space="preserve"> PAGEREF _Toc228201079 \h </w:instrText>
        </w:r>
        <w:r w:rsidRPr="00CF0B17">
          <w:rPr>
            <w:rFonts w:ascii="宋体" w:hAnsi="宋体"/>
            <w:noProof/>
            <w:sz w:val="24"/>
          </w:rPr>
        </w:r>
        <w:r w:rsidRPr="00CF0B17">
          <w:rPr>
            <w:rFonts w:ascii="宋体" w:hAnsi="宋体"/>
            <w:noProof/>
            <w:sz w:val="24"/>
          </w:rPr>
          <w:fldChar w:fldCharType="separate"/>
        </w:r>
        <w:r w:rsidRPr="00CF0B17">
          <w:rPr>
            <w:rFonts w:ascii="宋体" w:hAnsi="宋体"/>
            <w:noProof/>
            <w:sz w:val="24"/>
          </w:rPr>
          <w:t>120</w:t>
        </w:r>
        <w:r w:rsidRPr="00CF0B17">
          <w:rPr>
            <w:rFonts w:ascii="宋体" w:hAnsi="宋体"/>
            <w:noProof/>
            <w:sz w:val="24"/>
          </w:rPr>
          <w:fldChar w:fldCharType="end"/>
        </w:r>
      </w:hyperlink>
    </w:p>
    <w:p w:rsidR="00CF0B17" w:rsidRPr="00CF0B17" w:rsidRDefault="00CF0B17" w:rsidP="00CF0B17">
      <w:pPr>
        <w:pStyle w:val="10"/>
        <w:tabs>
          <w:tab w:val="right" w:leader="dot" w:pos="8550"/>
        </w:tabs>
        <w:spacing w:line="360" w:lineRule="auto"/>
        <w:rPr>
          <w:rFonts w:ascii="宋体" w:hAnsi="宋体" w:cstheme="minorBidi"/>
          <w:noProof/>
          <w:sz w:val="24"/>
        </w:rPr>
      </w:pPr>
      <w:hyperlink w:anchor="_Toc228201080" w:history="1">
        <w:r w:rsidRPr="00CF0B17">
          <w:rPr>
            <w:rStyle w:val="aa"/>
            <w:rFonts w:ascii="宋体" w:hAnsi="宋体" w:hint="eastAsia"/>
            <w:noProof/>
            <w:sz w:val="24"/>
          </w:rPr>
          <w:t>二十二、对基金份额持有人的服务</w:t>
        </w:r>
        <w:r w:rsidRPr="00CF0B17">
          <w:rPr>
            <w:rFonts w:ascii="宋体" w:hAnsi="宋体"/>
            <w:noProof/>
            <w:sz w:val="24"/>
          </w:rPr>
          <w:tab/>
        </w:r>
        <w:r w:rsidRPr="00CF0B17">
          <w:rPr>
            <w:rFonts w:ascii="宋体" w:hAnsi="宋体"/>
            <w:noProof/>
            <w:sz w:val="24"/>
          </w:rPr>
          <w:fldChar w:fldCharType="begin"/>
        </w:r>
        <w:r w:rsidRPr="00CF0B17">
          <w:rPr>
            <w:rFonts w:ascii="宋体" w:hAnsi="宋体"/>
            <w:noProof/>
            <w:sz w:val="24"/>
          </w:rPr>
          <w:instrText xml:space="preserve"> PAGEREF _Toc228201080 \h </w:instrText>
        </w:r>
        <w:r w:rsidRPr="00CF0B17">
          <w:rPr>
            <w:rFonts w:ascii="宋体" w:hAnsi="宋体"/>
            <w:noProof/>
            <w:sz w:val="24"/>
          </w:rPr>
        </w:r>
        <w:r w:rsidRPr="00CF0B17">
          <w:rPr>
            <w:rFonts w:ascii="宋体" w:hAnsi="宋体"/>
            <w:noProof/>
            <w:sz w:val="24"/>
          </w:rPr>
          <w:fldChar w:fldCharType="separate"/>
        </w:r>
        <w:r w:rsidRPr="00CF0B17">
          <w:rPr>
            <w:rFonts w:ascii="宋体" w:hAnsi="宋体"/>
            <w:noProof/>
            <w:sz w:val="24"/>
          </w:rPr>
          <w:t>138</w:t>
        </w:r>
        <w:r w:rsidRPr="00CF0B17">
          <w:rPr>
            <w:rFonts w:ascii="宋体" w:hAnsi="宋体"/>
            <w:noProof/>
            <w:sz w:val="24"/>
          </w:rPr>
          <w:fldChar w:fldCharType="end"/>
        </w:r>
      </w:hyperlink>
    </w:p>
    <w:p w:rsidR="00CF0B17" w:rsidRPr="00CF0B17" w:rsidRDefault="00CF0B17" w:rsidP="00CF0B17">
      <w:pPr>
        <w:pStyle w:val="10"/>
        <w:tabs>
          <w:tab w:val="right" w:leader="dot" w:pos="8550"/>
        </w:tabs>
        <w:spacing w:line="360" w:lineRule="auto"/>
        <w:rPr>
          <w:rFonts w:ascii="宋体" w:hAnsi="宋体" w:cstheme="minorBidi"/>
          <w:noProof/>
          <w:sz w:val="24"/>
        </w:rPr>
      </w:pPr>
      <w:hyperlink w:anchor="_Toc228201081" w:history="1">
        <w:r w:rsidRPr="00CF0B17">
          <w:rPr>
            <w:rStyle w:val="aa"/>
            <w:rFonts w:ascii="宋体" w:hAnsi="宋体" w:hint="eastAsia"/>
            <w:noProof/>
            <w:sz w:val="24"/>
          </w:rPr>
          <w:t>二十三、其他应披露事项</w:t>
        </w:r>
        <w:r w:rsidRPr="00CF0B17">
          <w:rPr>
            <w:rFonts w:ascii="宋体" w:hAnsi="宋体"/>
            <w:noProof/>
            <w:sz w:val="24"/>
          </w:rPr>
          <w:tab/>
        </w:r>
        <w:r w:rsidRPr="00CF0B17">
          <w:rPr>
            <w:rFonts w:ascii="宋体" w:hAnsi="宋体"/>
            <w:noProof/>
            <w:sz w:val="24"/>
          </w:rPr>
          <w:fldChar w:fldCharType="begin"/>
        </w:r>
        <w:r w:rsidRPr="00CF0B17">
          <w:rPr>
            <w:rFonts w:ascii="宋体" w:hAnsi="宋体"/>
            <w:noProof/>
            <w:sz w:val="24"/>
          </w:rPr>
          <w:instrText xml:space="preserve"> PAGEREF _Toc228201081 \h </w:instrText>
        </w:r>
        <w:r w:rsidRPr="00CF0B17">
          <w:rPr>
            <w:rFonts w:ascii="宋体" w:hAnsi="宋体"/>
            <w:noProof/>
            <w:sz w:val="24"/>
          </w:rPr>
        </w:r>
        <w:r w:rsidRPr="00CF0B17">
          <w:rPr>
            <w:rFonts w:ascii="宋体" w:hAnsi="宋体"/>
            <w:noProof/>
            <w:sz w:val="24"/>
          </w:rPr>
          <w:fldChar w:fldCharType="separate"/>
        </w:r>
        <w:r w:rsidRPr="00CF0B17">
          <w:rPr>
            <w:rFonts w:ascii="宋体" w:hAnsi="宋体"/>
            <w:noProof/>
            <w:sz w:val="24"/>
          </w:rPr>
          <w:t>140</w:t>
        </w:r>
        <w:r w:rsidRPr="00CF0B17">
          <w:rPr>
            <w:rFonts w:ascii="宋体" w:hAnsi="宋体"/>
            <w:noProof/>
            <w:sz w:val="24"/>
          </w:rPr>
          <w:fldChar w:fldCharType="end"/>
        </w:r>
      </w:hyperlink>
    </w:p>
    <w:p w:rsidR="00CF0B17" w:rsidRPr="00CF0B17" w:rsidRDefault="00CF0B17" w:rsidP="00CF0B17">
      <w:pPr>
        <w:pStyle w:val="10"/>
        <w:tabs>
          <w:tab w:val="right" w:leader="dot" w:pos="8550"/>
        </w:tabs>
        <w:spacing w:line="360" w:lineRule="auto"/>
        <w:rPr>
          <w:rFonts w:ascii="宋体" w:hAnsi="宋体" w:cstheme="minorBidi"/>
          <w:noProof/>
          <w:sz w:val="24"/>
        </w:rPr>
      </w:pPr>
      <w:hyperlink w:anchor="_Toc228201082" w:history="1">
        <w:r w:rsidRPr="00CF0B17">
          <w:rPr>
            <w:rStyle w:val="aa"/>
            <w:rFonts w:ascii="宋体" w:hAnsi="宋体" w:hint="eastAsia"/>
            <w:noProof/>
            <w:sz w:val="24"/>
          </w:rPr>
          <w:t>二十四、招募说明书的存放及查阅方式</w:t>
        </w:r>
        <w:r w:rsidRPr="00CF0B17">
          <w:rPr>
            <w:rFonts w:ascii="宋体" w:hAnsi="宋体"/>
            <w:noProof/>
            <w:sz w:val="24"/>
          </w:rPr>
          <w:tab/>
        </w:r>
        <w:r w:rsidRPr="00CF0B17">
          <w:rPr>
            <w:rFonts w:ascii="宋体" w:hAnsi="宋体"/>
            <w:noProof/>
            <w:sz w:val="24"/>
          </w:rPr>
          <w:fldChar w:fldCharType="begin"/>
        </w:r>
        <w:r w:rsidRPr="00CF0B17">
          <w:rPr>
            <w:rFonts w:ascii="宋体" w:hAnsi="宋体"/>
            <w:noProof/>
            <w:sz w:val="24"/>
          </w:rPr>
          <w:instrText xml:space="preserve"> PAGEREF _Toc228201082 \h </w:instrText>
        </w:r>
        <w:r w:rsidRPr="00CF0B17">
          <w:rPr>
            <w:rFonts w:ascii="宋体" w:hAnsi="宋体"/>
            <w:noProof/>
            <w:sz w:val="24"/>
          </w:rPr>
        </w:r>
        <w:r w:rsidRPr="00CF0B17">
          <w:rPr>
            <w:rFonts w:ascii="宋体" w:hAnsi="宋体"/>
            <w:noProof/>
            <w:sz w:val="24"/>
          </w:rPr>
          <w:fldChar w:fldCharType="separate"/>
        </w:r>
        <w:r w:rsidRPr="00CF0B17">
          <w:rPr>
            <w:rFonts w:ascii="宋体" w:hAnsi="宋体"/>
            <w:noProof/>
            <w:sz w:val="24"/>
          </w:rPr>
          <w:t>142</w:t>
        </w:r>
        <w:r w:rsidRPr="00CF0B17">
          <w:rPr>
            <w:rFonts w:ascii="宋体" w:hAnsi="宋体"/>
            <w:noProof/>
            <w:sz w:val="24"/>
          </w:rPr>
          <w:fldChar w:fldCharType="end"/>
        </w:r>
      </w:hyperlink>
    </w:p>
    <w:p w:rsidR="00CF0B17" w:rsidRPr="00CF0B17" w:rsidRDefault="00CF0B17" w:rsidP="00CF0B17">
      <w:pPr>
        <w:pStyle w:val="10"/>
        <w:tabs>
          <w:tab w:val="right" w:leader="dot" w:pos="8550"/>
        </w:tabs>
        <w:spacing w:line="360" w:lineRule="auto"/>
        <w:rPr>
          <w:rFonts w:ascii="宋体" w:hAnsi="宋体" w:cstheme="minorBidi"/>
          <w:noProof/>
          <w:sz w:val="24"/>
        </w:rPr>
      </w:pPr>
      <w:hyperlink w:anchor="_Toc228201083" w:history="1">
        <w:r w:rsidRPr="00CF0B17">
          <w:rPr>
            <w:rStyle w:val="aa"/>
            <w:rFonts w:ascii="宋体" w:hAnsi="宋体" w:hint="eastAsia"/>
            <w:noProof/>
            <w:sz w:val="24"/>
          </w:rPr>
          <w:t>二十五、备查文件</w:t>
        </w:r>
        <w:r w:rsidRPr="00CF0B17">
          <w:rPr>
            <w:rFonts w:ascii="宋体" w:hAnsi="宋体"/>
            <w:noProof/>
            <w:sz w:val="24"/>
          </w:rPr>
          <w:tab/>
        </w:r>
        <w:r w:rsidRPr="00CF0B17">
          <w:rPr>
            <w:rFonts w:ascii="宋体" w:hAnsi="宋体"/>
            <w:noProof/>
            <w:sz w:val="24"/>
          </w:rPr>
          <w:fldChar w:fldCharType="begin"/>
        </w:r>
        <w:r w:rsidRPr="00CF0B17">
          <w:rPr>
            <w:rFonts w:ascii="宋体" w:hAnsi="宋体"/>
            <w:noProof/>
            <w:sz w:val="24"/>
          </w:rPr>
          <w:instrText xml:space="preserve"> PAGEREF _Toc228201083 \h </w:instrText>
        </w:r>
        <w:r w:rsidRPr="00CF0B17">
          <w:rPr>
            <w:rFonts w:ascii="宋体" w:hAnsi="宋体"/>
            <w:noProof/>
            <w:sz w:val="24"/>
          </w:rPr>
        </w:r>
        <w:r w:rsidRPr="00CF0B17">
          <w:rPr>
            <w:rFonts w:ascii="宋体" w:hAnsi="宋体"/>
            <w:noProof/>
            <w:sz w:val="24"/>
          </w:rPr>
          <w:fldChar w:fldCharType="separate"/>
        </w:r>
        <w:r w:rsidRPr="00CF0B17">
          <w:rPr>
            <w:rFonts w:ascii="宋体" w:hAnsi="宋体"/>
            <w:noProof/>
            <w:sz w:val="24"/>
          </w:rPr>
          <w:t>143</w:t>
        </w:r>
        <w:r w:rsidRPr="00CF0B17">
          <w:rPr>
            <w:rFonts w:ascii="宋体" w:hAnsi="宋体"/>
            <w:noProof/>
            <w:sz w:val="24"/>
          </w:rPr>
          <w:fldChar w:fldCharType="end"/>
        </w:r>
      </w:hyperlink>
    </w:p>
    <w:p w:rsidR="00EC60B5" w:rsidRPr="00CF0B17" w:rsidRDefault="00CF0B17" w:rsidP="00CF0B17">
      <w:pPr>
        <w:pStyle w:val="ad"/>
        <w:snapToGrid w:val="0"/>
        <w:spacing w:after="240" w:line="360" w:lineRule="auto"/>
        <w:jc w:val="center"/>
        <w:rPr>
          <w:rFonts w:ascii="宋体" w:hAnsi="宋体"/>
          <w:color w:val="000000"/>
          <w:sz w:val="24"/>
        </w:rPr>
      </w:pPr>
      <w:r w:rsidRPr="00CF0B17">
        <w:rPr>
          <w:rFonts w:ascii="宋体" w:hAnsi="宋体"/>
          <w:color w:val="000000"/>
          <w:position w:val="-4"/>
          <w:sz w:val="24"/>
          <w:szCs w:val="30"/>
        </w:rPr>
        <w:fldChar w:fldCharType="end"/>
      </w:r>
      <w:bookmarkStart w:id="3" w:name="_GoBack"/>
      <w:bookmarkEnd w:id="3"/>
    </w:p>
    <w:p w:rsidR="00EC60B5" w:rsidRDefault="00EC60B5">
      <w:pPr>
        <w:autoSpaceDE w:val="0"/>
        <w:autoSpaceDN w:val="0"/>
        <w:adjustRightInd w:val="0"/>
        <w:snapToGrid w:val="0"/>
        <w:spacing w:line="360" w:lineRule="auto"/>
        <w:ind w:left="120" w:rightChars="6" w:right="13"/>
        <w:rPr>
          <w:rFonts w:ascii="宋体" w:hAnsi="宋体"/>
          <w:kern w:val="0"/>
          <w:szCs w:val="24"/>
        </w:rPr>
        <w:sectPr w:rsidR="00EC60B5">
          <w:pgSz w:w="11920" w:h="16840"/>
          <w:pgMar w:top="1480" w:right="1680" w:bottom="280" w:left="1680" w:header="0" w:footer="1073" w:gutter="0"/>
          <w:cols w:space="720"/>
        </w:sectPr>
      </w:pPr>
    </w:p>
    <w:p w:rsidR="00EC60B5" w:rsidRDefault="005C6EDB">
      <w:pPr>
        <w:pStyle w:val="1"/>
        <w:snapToGrid w:val="0"/>
        <w:spacing w:beforeLines="0" w:before="240" w:after="240"/>
        <w:rPr>
          <w:rFonts w:ascii="宋体" w:hAnsi="宋体"/>
          <w:szCs w:val="30"/>
        </w:rPr>
      </w:pPr>
      <w:bookmarkStart w:id="4" w:name="_Toc228201059"/>
      <w:r>
        <w:rPr>
          <w:rFonts w:ascii="Times New Roman" w:hAnsi="Times New Roman"/>
          <w:sz w:val="30"/>
        </w:rPr>
        <w:lastRenderedPageBreak/>
        <w:t>一、绪言</w:t>
      </w:r>
      <w:bookmarkEnd w:id="4"/>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优选回报灵活配置混合型证券投资基金招募说明书》（以下简称“本招募说明书”）依据《中华人民共和国证券投资基金法》（以下简称“《基金法》”）、《公开募集证券投资基金运作管理办法》（以下简称“《运作办法》”）、《证券投资基金销售管理办法》（以下简称“《销售办法》”）、《公开募集证券投资基金信息披露管理办法》（以下简称“《信息披露办法》”）、《公开募集开放式证券投资基金流动性风险管理规定》(以下简称“《流动性规定》”)和其他相关法律法规的规定以及《交银施罗德优选回报灵活配置混合型证券投资基金基金合同》（以下简称“基金合同”）编写。</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本招募说明书不存在任何虚假记载、误导性陈述或者重大遗漏，并对其真实性、准确性、完整性承担法律责任。本基金是根据本招募说明书所载明的资料申请募集的。本基金管理人没有委托或授权任何其他人提供未在本招募说明书中载明的信息，或对本招募说明书作任何解释或者说明。</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根据本基金的基金合同编写，并经中国证监会注册。基金合同是约定基金合同当事人之间权利、义务的法律文件。基金投资人自依基金合同取得基金份额，即成为基金份额持有人和基金合同的当事人，其持有基金份额的行为本身即表明其对基金合同的承认和接受，并按照《基金法》、基金合同及其他有关规定享有权利、承担义务。基金投资人欲了解基金份额持有人的权利和义务，应详细查阅基金合同。</w:t>
      </w:r>
    </w:p>
    <w:p w:rsidR="00B439CC" w:rsidRDefault="005C6ED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EC60B5" w:rsidRDefault="005C6EDB">
      <w:pPr>
        <w:pStyle w:val="1"/>
        <w:snapToGrid w:val="0"/>
        <w:spacing w:beforeLines="0" w:before="240" w:after="240"/>
        <w:rPr>
          <w:rFonts w:ascii="宋体" w:hAnsi="宋体"/>
          <w:szCs w:val="30"/>
        </w:rPr>
      </w:pPr>
      <w:bookmarkStart w:id="5" w:name="_Toc228201060"/>
      <w:r>
        <w:rPr>
          <w:rFonts w:ascii="Times New Roman" w:hAnsi="Times New Roman"/>
          <w:sz w:val="30"/>
        </w:rPr>
        <w:lastRenderedPageBreak/>
        <w:t>二、释义</w:t>
      </w:r>
      <w:bookmarkEnd w:id="5"/>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在本招募说明书中，除非文意另有所指，下列词语或简称具有如下含义：</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1、基金或本基金：指交银施罗德优选回报灵活配置混合型证券投资基金</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2、基金管理人或本基金管理人：指交银施罗德基金管理有限公司</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3、基金托管人或本基金托管人：指中信银行股份有限公司</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4、基金合同或《基金合同》：指《交银施罗德优选回报灵活配置混合型证券投资基金基金合同》及对基金合同的任何有效修订和补充</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5、托管协议：指基金管理人与基金托管人就本基金签订之《交银施罗德优选回报灵活配置混合型证券投资基金托管协议》及对该托管协议的任何有效修订和补充</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6、招募说明书、《招募说明书》或本招募说明书：指《交银施罗德优选回报灵活配置混合型证券投资基金招募说明书》及其更新</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7、基金份额发售公告：指《交银施罗德优选回报灵活配置混合型证券投资基金基金份额发售公告》</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8、基金产品资料概要：指《交银施罗德优选回报灵活配置混合型证券投资基金基金产品资料概要》及其更新</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9、法律法规：指中国现行有效并公布实施的法律、行政法规、规范性文件、司法解释、行政规章以及其他对基金合同当事人有约束力的决定、决议、通知等</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10、《基金法》：指《中华人民共和国证券投资基金法》及颁布机关对其不时做出的修订</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11、《销售办法》：指《证券投资基金销售管理办法》及颁布机关对其不时做出的修订</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12、《信息披露办法》：指《公开募集证券投资基金信息披露管理办法》及颁布机关对其不时做出的修订</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13、《运作办法》：指《公开募集证券投资基金运作管理办法》及颁布机关对其不时做出的修订</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14、《流动性规定》：指中国证监会2017年8月31日颁布、同年10月1日实施的《公开募集开放式证券投资基金流动性风险管理规定》及颁布机关对其不时做出的修订</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15、中国证监会：指中国证券监督管理委员会</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16、银行业监督管理机构：指中国人民银行和/或中国银行业监督管理委员会</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17、基金合同当事人：指受基金合同约束，根据基金合同享有权利并承担义务的法律主体，包括基金管理人、基金托管人和基金份额持有人</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18、个人投资者：指依据有关法律法规规定可投资于证券投资基金的自然人</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19、机构投资者：指依法可以投资证券投资基金的、在中华人民共和国境内合法登记并存续或经有关政府部门批准设立并存续的企业法人、事业法人、社会团体或其他组织</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20、合格境外机构投资者：指符合《合格境外机构投资者境内证券投资管理办法》及相关法律法规规定可以投资于在中国境内依法募集的证券投资基金的中国境外的机构投资者</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21、人民币合格境外机构投资者：指按照《人民币合格境外机构投资者境内证券投资试点办法》及相关法律法规规定，运用来自境外的人民币资金进行中国境内证券投资的境外机构投资者</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22、投资人或投资者：指个人投资者、机构投资者、合格境外机构投资者和人民币合格境外机构投资者以及法律法规或中国证监会允许购买证券投资基金的其他投资人的合称</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23、基金份额持有人：指依基金合同和招募说明书合法取得基金份额的投资人</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24、基金销售业务：指基金管理人或销售机构宣传推介基金，发售基金份额，办理基金份额的申购、赎回、转换、转托管及定期定额投资等业务</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25、销售机构：指交银施罗德基金管理有限公司以及符合《销售办法》和中国证监会规定的其他条件，取得基金销售业务资格并与基金管理人签订了基金销售服务协议，办理基金销售业务的机构</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登记业务：指基金登记、存管、过户、清算和结算业务，具体内容包括投资人基金账户的建立和管理、基金份额登记、基金销售业务的确认、清算和结算、代理发放红利、建立并保管基金份额持有人名册和办理非交易过户等</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27、登记机构：指办理登记业务的机构。基金的登记机构为交银施罗德基金管理有限公司或接受交银施罗德基金管理有限公司委托办理登记业务的机构</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28、基金账户：指登记机构为投资人开立的、记录其持有的、基金管理人所管理的基金份额余额及其变动情况的账户</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29、基金交易账户：指销售机构为投资人开立的、记录投资人通过该销售机构办理认购、申购、赎回、转换及转托管等业务而引起的基金份额变动及结余情况的账户</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30、基金合同生效日：指基金募集达到法律法规规定及基金合同规定的条件，基金管理人向中国证监会办理基金备案手续完毕，并获得中国证监会书面确认的日期</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31、基金合同终止日：指基金合同规定的基金合同终止事由出现后，基金财产清算完毕，清算结果报中国证监会备案并予以公告的日期</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32、基金募集期：指自基金份额发售之日起至发售结束之日止的期间，最长不得超过3个月</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33、存续期：指基金合同生效至终止之间的不定期期限</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34、工作日：指上海证券交易所、深圳证券交易所的正常交易日</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35、T日：指销售机构在规定时间受理投资人申购、赎回或其他业务申请的开放日</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36、T+n日：指自T日起第n个工作日(不包含T日)</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37、开放日：指为投资人办理基金份额申购、赎回或其他业务的工作日</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38、开放时间：指开放日基金接受申购、赎回或其他交易的时间段</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业务规则》：指《中国证券登记结算有限责任公司开放式证券投资基金及证券公司集合资产管理计划份额登记及资金结算业务指南》及其后修订，是规范基金管理人所管理的开放式证券投资基金登记方面的业务规则，由基金管理人和投资人共同遵守</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40、认购：指在基金募集期内，投资人根据基金合同和招募说明书的规定申请购买基金份额的行为</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41、申购：指基金合同生效后，投资人根据基金合同和招募说明书的规定申请购买基金份额的行为</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42、赎回：指基金合同生效后，基金份额持有人按基金合同和招募说明书规定的条件要求将基金份额兑换为现金的行为</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43、销售服务费：指从基金资产中计提的，用于本基金市场推广、销售以及基金份额持有人服务的费用</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44、基金份额类别：指本基金根据认购/申购费用、赎回费用及销售服务费收</w:t>
      </w:r>
      <w:r>
        <w:rPr>
          <w:rFonts w:ascii="宋体" w:hAnsi="宋体"/>
          <w:sz w:val="24"/>
        </w:rPr>
        <w:lastRenderedPageBreak/>
        <w:t>取方式的不同，将基金份额分为不同的类别。两类基金份额分设不同的基金代码，并分别公布基金份额净值和基金资产净值</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45、A类基金份额：指对投资者收取认购/申购费用、赎回时收取赎回费用的，且不从本类别基金资产中计提销售服务费的基金份额</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46、C类基金份额：指对投资者不收取认购/申购费用、赎回时收取赎回费用的，且从本类别基金资产中计提销售服务费的基金份额</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47、基金转换：指基金份额持有人按照基金合同和基金管理人届时有效公告规定的条件，申请将其持有基金管理人管理的、某一基金的基金份额转换为基金管理人管理的其他基金基金份额的行为</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48、转托管：指基金份额持有人在本基金的不同销售机构之间实施的变更所持基金份额销售机构的操作</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定期定额投资计划：指投资人通过有关销售机构提出申请，约定每期申购日、扣款金额及扣款方式，由指定的销售机构在投资人指定银行账户内自动完成扣款并于每期约定的申购日受理基金申购申请的一种投资方式</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巨额赎回：指本基金单个开放日，基金净赎回申请（赎回申请份额总数加上基金转换中转出申请份额总数后扣除申购申请份额总数及基金转换中转入申请份额总数后的余额）超过上一开放日基金总份额的10%的情形</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51、元：指人民币元</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52、基金收益：指基金投资所得红利、股息、债券利息、买卖证券价差、银行存款利息、已实现的其他合法收入及因运用基金财产带来的成本和费用的节约</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53、基金资产总值：指基金拥有的各类有价证券、股指期货合约、银行存款本息、基金应收申购款及其他资产的价值总和</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54、基金资产净值：指基金资产总值减去基金负债后的价值</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55、基金份额净值：指计算日基金资产净值除以计算日基金份额总数</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56、基金资产估值：指计算评估基金资产和负债的价值，以确定基金资产净值和基金份额净值的过程</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57、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w:t>
      </w:r>
      <w:r>
        <w:rPr>
          <w:rFonts w:ascii="宋体" w:hAnsi="宋体"/>
          <w:sz w:val="24"/>
        </w:rPr>
        <w:lastRenderedPageBreak/>
        <w:t>等</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58、指定媒介：指中国证监会指定的用以进行信息披露的全国性报刊及指定互联网网站（包括基金管理人网站、基金托管人网站、中国证监会基金电子披露网站）等媒介</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59、不可抗力：指基金合同当事人不能预见、不能避免且不能克服的客观事件</w:t>
      </w:r>
    </w:p>
    <w:p w:rsidR="00B439CC" w:rsidRDefault="005C6ED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EC60B5" w:rsidRDefault="005C6EDB">
      <w:pPr>
        <w:pStyle w:val="1"/>
        <w:snapToGrid w:val="0"/>
        <w:spacing w:beforeLines="0" w:before="240" w:after="240"/>
        <w:rPr>
          <w:rFonts w:ascii="宋体" w:hAnsi="宋体"/>
          <w:szCs w:val="30"/>
        </w:rPr>
      </w:pPr>
      <w:bookmarkStart w:id="6" w:name="_Toc228201061"/>
      <w:r>
        <w:rPr>
          <w:rFonts w:ascii="Times New Roman" w:hAnsi="Times New Roman"/>
          <w:sz w:val="30"/>
        </w:rPr>
        <w:lastRenderedPageBreak/>
        <w:t>三、基金管理人</w:t>
      </w:r>
      <w:bookmarkEnd w:id="6"/>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（一）基金管理人概况</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法定代表人：张宏良</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联系人：何佳妮</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电话：（021）61055050</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传真：（021）61055034</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交银施罗德基金管理有限公司（以下简称“公司”）经中国证监会证监基金字[2005]128号文批准设立。公司股权结构如下：</w:t>
      </w:r>
    </w:p>
    <w:tbl>
      <w:tblPr>
        <w:tblW w:w="5000" w:type="pct"/>
        <w:tblCellMar>
          <w:left w:w="0" w:type="dxa"/>
          <w:right w:w="0" w:type="dxa"/>
        </w:tblCellMar>
        <w:tblLook w:val="0000" w:firstRow="0" w:lastRow="0" w:firstColumn="0" w:lastColumn="0" w:noHBand="0" w:noVBand="0"/>
      </w:tblPr>
      <w:tblGrid>
        <w:gridCol w:w="2167"/>
        <w:gridCol w:w="6503"/>
      </w:tblGrid>
      <w:tr w:rsidR="00EC60B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股东名称</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股权比例</w:t>
            </w:r>
          </w:p>
        </w:tc>
      </w:tr>
      <w:tr w:rsidR="00EC60B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交通银行股份有限公司（以下使用全称或其简称</w:t>
            </w:r>
            <w:r>
              <w:rPr>
                <w:rFonts w:ascii="Times New Roman" w:hAnsi="Times New Roman"/>
                <w:color w:val="000000"/>
                <w:kern w:val="0"/>
                <w:sz w:val="25"/>
                <w:szCs w:val="24"/>
              </w:rPr>
              <w:t>“</w:t>
            </w:r>
            <w:r>
              <w:rPr>
                <w:rFonts w:ascii="Times New Roman" w:hAnsi="Times New Roman"/>
                <w:color w:val="000000"/>
                <w:kern w:val="0"/>
                <w:sz w:val="25"/>
                <w:szCs w:val="24"/>
              </w:rPr>
              <w:t>交通银行</w:t>
            </w:r>
            <w:r>
              <w:rPr>
                <w:rFonts w:ascii="Times New Roman" w:hAnsi="Times New Roman"/>
                <w:color w:val="000000"/>
                <w:kern w:val="0"/>
                <w:sz w:val="25"/>
                <w:szCs w:val="24"/>
              </w:rPr>
              <w:t>”</w:t>
            </w: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t>65%</w:t>
            </w:r>
          </w:p>
        </w:tc>
      </w:tr>
      <w:tr w:rsidR="00EC60B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施罗德投资管理有限公司</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t>30%</w:t>
            </w:r>
          </w:p>
        </w:tc>
      </w:tr>
      <w:tr w:rsidR="00EC60B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中国国际海运集装箱（集团）股份有限公司</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r>
    </w:tbl>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（二）主要成员情况</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1、基金管理人董事会成员</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张宏良先生，董事长，硕士，高级经济师。历任中国太平洋人寿保险公司乌鲁木齐分公司、河南（郑州）分公司、上海分公司党委书记、总经理，交银人寿保险有限公司党委书记、董事长、总裁，兼任交银康联资产管理有限公司董事长，交银理财有限责任公司党委书记、董事长。</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袁庆伟女士，董事，总经理，硕士。历任交通银行乌鲁木齐分行财务会计处副</w:t>
      </w:r>
      <w:r>
        <w:rPr>
          <w:rFonts w:ascii="宋体" w:hAnsi="宋体"/>
          <w:sz w:val="24"/>
        </w:rPr>
        <w:lastRenderedPageBreak/>
        <w:t>处长、会计结算部高级经理，交通银行总行资产托管业务中心（资产托管部）副总裁、总裁，交通银行总行金融机构部总经理、资产管理业务中心总裁等职务。</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夏华龙先生，董事，博士，现任交通银行选派子公司股权董事，历任交通银行总行托管部基金业务部内控综合处副处长、资产委托高级经理、保险及养老金高级经理、资产托管部副总经理，交银施罗德基金管理有限公司党委委员、副总经理、首席信息官，交通银行总行养老金融部总经理。</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Karine Szenberg女士，董事，硕士。现任施罗德投资集团执行副主席、集团执行委员会成员和施罗德投资管理（瑞士）股份有限公司董事会主席。历任施罗德投资法国主管、欧洲主管、全球产品和营销主管等。</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章骏翔先生，副董事长，硕士，美国特许金融分析师(CFA)持证人。现任施罗德投资管理（香港）有限公司亚洲投资风险主管。历任渣打银行（香港）交易风险监控，华宝兴业基金风险管理部总经理，法国安盛投资管理（香港）有限公司亚洲风险经理等。</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单锋先生，独立董事，博士。现任南京大学法学教授职务。历任南京大学法学院助教、讲师、副教授。</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刘凤元先生，独立董事，博士。现任华东政法大学国际金融法律学院教授，资本市场研究中心主任，兼任多家香港和大陆上市公司（非证券基金经营机构）独立董事。</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宋若坤女士，独立董事，学士。英格兰及威尔士特许会计师协会和香港会计师公会特许会计师。历任毕马威会计师事务所香港分所审计部副经理，摩根资产管理（香港）亚太区资产管理合规主管等。</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2、基金管理人高级管理人员</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袁庆伟女士，总经理。简历同上。</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佘川女士，督察长，硕士，兼任交银施罗德资产管理有限公司董事。历任华泰证券有限责任公司综合发展部高级经理、投资银行部项目经理，银河基金管理有限公司监察部总监，交银施罗德基金管理有限公司监察稽核部总经理、监察风控副总监、投资运营总监。</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马俊先生，副总经理，硕士。历任交通银行总行投资管理部高级投资分析、副高级经理，交银施罗德基金管理有限公司总裁办公室总经理、研究部副总经理、研究总监、综合管理部总经理。</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周云康先生，首席信息官，硕士。历任交通银行柳州分行电脑中心科员、软件开发科长、副经理、经理；交通银行总行信息技术部（电脑部）主管、副处长；交通银行总行软件开发中心副高级经理、高级经理；交通银行总行金融科技部高级经理；交通银行总行营运与渠道部副总经理。</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3、本基金基金经理</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姜承操女士:基金经理，北京大学金融学硕士、复旦大学经济学学士。15年证券投资相关工作经验，2011年至2013年任中国人寿资产管理有限公司研究员，2013年至2017年任中债资信评估有限责任公司高级分析师。2017年加入交银施罗德基金管理有限公司，曾任固定收益部研究员，基金经理助理。曾任交银施罗德稳益短债债券型证券投资基金(2024年01月10日至2025年05月30日)、交银施罗德稳安30天滚动持有债券型证券投资基金(2024年01月10日至2025年05月30日)、交银施罗德丰享收益债券型证券投资基金(2024年01月10日至2025年05月30日)、交银施罗德丰盈收益债券型证券投资基金(2024年01月10日至2025年05月30日)、交银施罗德优择回报灵活配置混合型证券投资基金(2024年12月06日至2025年12月27日)的基金经理。现任交银施罗德稳进丰利六个月持有期混合型证券投资基金(2024年11月26日至今)、交银施罗德优选回报灵活配置混合型证券投资基金(2024年12月03日至今)、交银施罗德稳固收益债券型证券投资基金(2024年12月27日至今)、交银施罗德多策略回报灵活配置混合型证券投资基金(2025年01月09日至今)的基金经理。</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孙婕衎女士:基金经理。浙江大学高分子材料与工程硕士、学士。15年证券投资行业从业经验。曾任鹏华基金管理有限公司高级研究员，华泰柏瑞基金管理有限公司基金经理助理，财通基金管理有限公司投资经理助理。2018年加入交银施罗德基金管理有限公司，曾任行业分析师、专户投资部投资经理，混合资产投资部投资经理，现任混合资产投资部基金经理。现任交银施罗德稳进丰利六个月持有期混合型证券投资基金(2024年09月10日至今)、交银施罗德优选回报灵活配置混合型证券投资基金(2024年12月03日至今)、交银施罗德稳固收益债券型证券投资基金(2024年12月31日至今)的基金经理。</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本基金历任基金经理：</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李娜女士(2016年04月22日至2020年12月18日)；</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凌超先生(2019年07月20日至2020年07月22日)；</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王艺伟女士(2020年07月09日至2024年12月03日)；</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魏玉敏女士(2025年03月22日至2026年03月28日)。</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4、投资决策委员会成员</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委员：袁庆伟（总经理）</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马俊（副总经理）</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于海颖（混合资产投资总监、基金经理）</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王崇（权益投资副总监、权益部一级专家、基金经理）</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马韬（研究总监）</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上述人员之间无近亲属关系。</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（三）基金管理人的职责</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3、对所管理的不同基金财产分别管理、分别记账，进行证券投资；</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4、按照基金合同的约定确定基金收益分配方案，及时向基金份额持有人分配收益；</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5、进行基金会计核算并编制基金财务会计报告；</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6、编制季度报告、中期报告和年度报告；</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7、计算并公告基金净值信息，确定基金份额申购、赎回价格；</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8、办理与基金财产管理业务活动有关的信息披露事项；</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9、按照规定召集基金份额持有人大会；</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10、保存基金财产管理业务活动的记录、账册、报表和其他相关资料；</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11、以基金管理人名义，代表基金份额持有人利益行使诉讼权利或者实施其他法律行为；</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12、有关法律法规和中国证监会规定的其他职责。</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（四）基金管理人的承诺</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1、基金管理人承诺不从事违反《中华人民共和国证券法》的行为，并承诺建立健全内部控制制度，采取有效措施，防止违反《中华人民共和国证券法》行为的发生；</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2、基金管理人承诺不从事违反《基金法》的行为，并承诺建立健全内部风险控制制度，采取有效措施，防止下列行为的发生：</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（1）将基金管理人固有财产或者他人财产混同于基金财产从事证券投资；</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（2）不公平地对待管理的不同基金财产；</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（3）利用基金财产为基金份额持有人以外的第三人牟取利益；</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（4）向基金份额持有人违规承诺收益或者承担损失；</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（5）侵占、挪用基金财产；</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（6）泄露因职务便利获取的未公开信息、利用该信息从事或者明示、暗示他人从事相关的交易活动；</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（7）玩忽职守，不按照规定履行职责；</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（8）法律、行政法规和中国证监会禁止的其他行为。</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3、基金管理人承诺严格遵守基金合同，并承诺建立健全内部控制制度，采取有效措施，防止违反基金合同行为的发生；</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4、基金管理人承诺加强人员管理，强化职业操守，督促和约束员工遵守国家有关法律法规及行业规范，诚实信用、勤勉尽责；</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5、基金管理人承诺不从事其他法规规定禁止从事的行为。</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（五）基金经理承诺</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1、依照有关法律法规和基金合同的规定，本着谨慎的原则为基金份额持有人谋取最大利益；</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2、不利用职务之便为自己、受雇人或任何第三者谋取利益；</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3、不泄露在任职期间知悉的有关证券、基金的商业秘密，尚未依法公开的基金投资内容、基金投资计划等信息，或利用该信息从事或者明示、暗示他人从事相关的交易活动；</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4、不以任何形式为其他组织或个人进行证券交易。</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（六）基金管理人的内部控制制度</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1、内部控制的原则</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（1）健全性原则</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内部控制应当包括公司的各项业务、各个部门或机构和各级人员, 并涵盖到决策、执行、监督、反馈等各个环节。</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（2）有效性原则</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通过科学的内控手段和方法，建立合理的内控程序，维护内控制度的有效执行。</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（3）独立性原则</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公司各机构、部门和岗位职责应当保持相对独立，除非法律法规另有规定，公司基金资产、自有资产、其他资产的运作应当分离。</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（4）相互制约原则</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公司内部部门和岗位的设置应当体现权责分明、相互制衡。</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（5）成本效益原则</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公司运用科学化的经营管理方法降低运作成本，提高经济效益，力争以合理的控制成本达到最佳的内部控制效果。</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2、风险管理和内部风险控制体系结构</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的风险管理体系结构是一个分工明确、相互牵制的组织结构，由董事会对风险管理负最终责任，各个业务部门负责本部门的风险评估和监控，风险管理部负责监察公司的风险管理措施的执行。具体而言，包括如下组成部分：</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（1）董事会</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负责制定公司风险偏好（含风险容忍度）、风险管理和内部控制政策，审议并通过与公司内部风险管理和合规有关的重大事项。</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（2）合规风险及审计委员会</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董事会下的专业委员会之一，负责对公司在经营管理和基金业务运作的合法性、合规性和风险状况进行检查和评估，对公司监察稽核制度的有效性进行评价，监督检查公司财务状况，审计公司的财务报表，评估公司的财务表现，保证公司的财务运作符合法律的要求和通行的会计标准。</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（3）风险控制委员会</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总经理下设的专业委员会之一，风险控制委员会负责评估与公司战略发展和经营运作相关的主要风险；评估公司各方面运行状况是否合规有序，审查有无存在与公司业务有关的重大风险；审议或听取由公司制度规定的需要向风险控制委员会报告的其他情形等。</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（4）督察长</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独立行使督察权利；直接对董事会负责；就内部控制制度和执行情况独立地履行检查、评价、报告、建议职能；定期和不定期地向董事会报告公司内部控制执行情况。</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（5）风险管理部</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风险管理部负责制定公司风险管理政策和防范及控制措施，汇总公司业务所有的风险信息，独立识别、评估各类风险，提出风险控制建议，使公司在一种风险管理和控制的环境中实现业务目标。</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（6）审计部</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审计部负责按照公司要求，根据国家法律法规及行业规范，结合公司战略发展及管理目标，对公司内部控制体系的适当性及运行的效果和效率进行独立评价，协助促进公司风险管理、控制和治理过程的完善，实现合规经营目标。</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（7）内控合规及法律事务部</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控合规及法律事务部负责公司的法律、内控合规事务及协调实施信息披露事务，依法维护公司合法权益，评估并处理公司运营中发生的法律、内控合规及信息披露相关问题，及时向公司管理层及全体员工传达法规及监管要求。</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（8）业务部门</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风险管理是每一个业务部门首要的责任。部门负责人对本部门的风险负全部责任，负责履行公司的风险管理程序，负责本部门的风险管理系统的开发、执行和维护，用于识别、监控和降低风险。</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3、风险管理和内部风险控制的措施</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（1）建立内控体系，完善内控制度</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公司建立、健全了内控体系，通过高管人员关于内控的明确分工，确保各项业务活动有恰当的组织和授权，确保监察活动独立，并得到高管人员的支持，同时置备操作手册，并定期更新。</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（2）建立相互分离、相互制衡的内控机制</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建立、健全了各项制度，做到基金经理分开，投资决策分开，基金交易集中，形成不同部门、不同岗位之间的制衡机制，从制度上减少和防范风险。</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（3）建立、健全岗位责任制</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建立、健全了岗位责任制，使每个员工都明确自己的任务、职责，并及时将各自工作领域中的风险隐患上报，以防范和减少风险。</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（4）建立风险分类、识别、评估、报告、提示程序</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建立了风险评估机制，通过适合的程序，确认和评估与公司运作有关的风险；公司建立了自下而上的风险报告程序，对风险隐患进行层层汇报，使各个层次的人员及时掌握风险状况，从而以最快速度作出决策。</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（5）建立有效的内部监控系统</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建立了足够、有效的内部监控系统，对可能出现的各种风险进行全面和实时的监控。</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（6）使用数量化的风险管理手段</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采取数量化、技术化的风险控制手段，建立数量化的风险管理模型，用以提示指数趋势、行业及个股的风险，以便公司及时采取有效的措施，对风险进行分散、控制和规避，尽可能地减少损失。</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（7）提供足够的培训</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制定了完整的培训计划，为所有员工提供足够和适当的培训，使员工明确其职责所在，控制风险。</w:t>
      </w:r>
    </w:p>
    <w:p w:rsidR="00B439CC" w:rsidRDefault="005C6ED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EC60B5" w:rsidRDefault="005C6EDB">
      <w:pPr>
        <w:pStyle w:val="1"/>
        <w:snapToGrid w:val="0"/>
        <w:spacing w:beforeLines="0" w:before="240" w:after="240"/>
        <w:rPr>
          <w:rFonts w:ascii="宋体" w:hAnsi="宋体"/>
          <w:szCs w:val="30"/>
        </w:rPr>
      </w:pPr>
      <w:bookmarkStart w:id="7" w:name="_Toc228201062"/>
      <w:r>
        <w:rPr>
          <w:rFonts w:ascii="Times New Roman" w:hAnsi="Times New Roman"/>
          <w:sz w:val="30"/>
        </w:rPr>
        <w:lastRenderedPageBreak/>
        <w:t>四、基金托管人</w:t>
      </w:r>
      <w:bookmarkEnd w:id="7"/>
    </w:p>
    <w:p w:rsidR="00EC60B5" w:rsidRDefault="005C6E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（一）基金托管人基本情况</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名称：中信银行股份有限公司（简称“中信银行”）</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住所：北京市朝阳区光华路10号院1号楼6-30层、32-42层</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办公地址：北京市朝阳区光华路10号院1号楼6-30层、32-42层</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法定代表人：方合英</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成立时间：1987年4月20日</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组织形式：股份有限公司</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注册资本：489.35亿元人民币</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批准设立文号：中华人民共和国国务院办公厅国办函[1987]14号</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基金托管业务批准文号：中国证监会证监基金字[2004]125号</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联系人：中信银行资产托管部</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联系电话：4006800000</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传真：010-85230024</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客服电话：95558</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网址：www.citicbank.com</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保险兼业代理业务；吸收公众存款；发放短期、中期和长期贷款；办理国内外结算；办理票据承兑与贴现；发行金融债券；代理发行、代理兑付、承销政府债券；买卖政府债券、金融债券；从事同业拆借；买卖、代理买卖外汇；从事银行卡业务；提供信用证服务及担保；代理收付款项；提供保管箱服务；结汇、售汇业务；代理开放式基金业务；办理黄金业务；黄金进出口；开展证券投资基金、企业年金基金、保险资金、合格境外机构投资者托管业务；经国务院银行业监督管理机构批准的其他业务。（企业依法自主选择经营项目，开展经营活动；依法须经批准的项目，经相关部门批准后依批准的内容开展经营活动；不得从事本市产业政策禁止和限制类项目的经营活动。）</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行成立于1987年，是中国改革开放中最早成立的新兴商业银行之一，是中国最早参与国内外金融市场融资的商业银行，并以屡创中国现代金融史上多个第一而蜚声海内外，为中国经济建设作出了积极贡献。2007年4月，本行实现在上海证券</w:t>
      </w:r>
      <w:r>
        <w:rPr>
          <w:rFonts w:ascii="宋体" w:hAnsi="宋体"/>
          <w:sz w:val="24"/>
        </w:rPr>
        <w:lastRenderedPageBreak/>
        <w:t>交易所和香港联合交易所A+H 股同步上市。</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行依托中信集团“金融+实业”综合禀赋优势，以全面建设“四有”银行、跨入世界一流银行竞争前列为发展愿景，坚持“诚实守信、以义取利、稳健审慎、守正创新、依法合规”，以客户为中心，通过实施“五个领先”银行战略，打造有特色、差异化的中信金融服务模式，向政府与机构客户、企业客户和同业客户提供公司银行业务、投资银行业务、国际业务、交易银行业务、托管业务、金融市场业务等综合金融解决方案；向个人客户提供财富管理业务、个人信贷业务、信用卡业务、私人银行业务、养老金融业务、出国金融业务等多元化金融产品及服务，全方位满足政府与机构、企业、同业及个人客户的综合金融服务需求。</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截至报告期末，本行在国内153个大中城市设有1,484家营业网点，在境内外下设中信国际金融控股有限公司、信银（香港）投资有限公司、中信金融租赁有限公司、信银理财有限责任公司、信银金融资产投资有限公司、中信百信银行股份有限公司、阿尔金银行股份有限公司和浙江临安中信村镇银行股份有限公司 8 家附属机构。</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其中，中信国际金融控股有限公司子公司中信银行（国际）有限公司在香港、澳门、纽约、 洛杉矶、新加坡和中国内地设有28家营业网点、2 家商务理财中心及1家私人银行中心。信银（香港）投资有限公司在香港和境内设有3家子公司。信银理财有限责任公司为本行全资理财子公司。中信百信银行股份有限公司为本行与百度联合发起设立的国内首家独立法人直销银行。阿尔金银行股份有限公司在哈萨克斯坦设有7家营业网点和1家私人银行中心。</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行深刻把握金融工作的政治性、人民性，始终在党和国家战略大局中找准金融定位、履行金融职责，坚持做国家战略的忠实践行者、实体经济的有力服务者和金融强国的积极建设者。成立38年来，本行已成为一家总资产规模突破10万亿元、员工人数超6.7万名，具有强大综合实力和品牌竞争力的金融集团。2025年，本行在英国Brand Finance 发布的“全球银行品牌价值500 强”榜单中排名第19位，以27.2%的增幅居中国内地银行第一；一级资本在英国《银行家》杂志“世界1000 家银行排名”中位列第18位。荣膺英国《银行家》杂志“2025年中国年度银行”大奖。</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（二）主要人员情况</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方合英先生，本行党委书记、董事长、执行董事，代为履行行长职责。方先生</w:t>
      </w:r>
      <w:r>
        <w:rPr>
          <w:rFonts w:ascii="宋体" w:hAnsi="宋体"/>
          <w:sz w:val="24"/>
        </w:rPr>
        <w:lastRenderedPageBreak/>
        <w:t>于2020年12月起任中国中信集团有限公司副总经理、中国中信股份有限公司副总经理及执行委员会成员、中国中信有限公司副总经理，2020年11月起任中国中信集团有限公司党委委员。方先生曾任本行苏州分行行长、杭州分行行长、本行金融市场业务总监、副行长、财务总监。此前，先后在浙江银行学校任教，浙江银行学校实验城市信用社信贷部任总经理助理等。方先生具有三十余年银行从业经验，毕业于湖南财经学院（现湖南大学），获北京大学高级管理人员工商管理硕士学位，正高级经济师。</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胡罡先生，中信银行党委委员、执行董事、副行长，分管托管业务。胡先生现同时担任中信银行（国际）有限公司董事。胡先生曾任本行长沙分行筹备组副组长、长沙分行党委委员、副行长，重庆分行党委委员、副行长、党委书记、行长，上海分行党委书记、行长及本行首席风险官、批发业务总监、风险总监。此前，胡先生曾先后就职于湖南省检察院政治部，于湖南省委办公厅人事处任副主任科员，于湖南众立实业集团公司下属北海湘房地产开发公司任总经理助理、总经理，下属鸿都企业公司任副董事长，于湖南长沙湘财城市信用社任董事长。胡先生拥有近三十年中国银行业从业经验，毕业于湖南大学，获经济学博士学位，高级经济师。</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杨璋琪先生，中信银行资产托管部总经理，硕士研究生学历。杨先生2018年1月至2019年3月，任中信银行金融同业部副总经理；2015年5月至2018年1月，任中信银行长春分行副行长；2013年4月至2015年5月，任中信银行机构业务部总经理助理；1996年7月至2013年4月，就职于中信银行北京分行（原总行营业部），历任支行行长、投资银行部总经理、贸易金融部总经理。</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（三）基金托管业务经营情况</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2004年8月18日，中信银行经中国证券监督管理委员会和中国银行业监督管理委员会批准，取得基金托管人资格。中信银行本着“诚实信用、勤勉尽责”的原则，切实履行托管人职责。</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截至2026年一季度末，中信银行托管435只公开募集证券投资基金，以及基金公司、证券公司资产管理产品、信托产品、企业年金、股权基金、QDII等其他托管资产，托管总规模达到19.28万亿元人民币。</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（四）基金托管人的内部控制制度</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1、内部控制目标。强化内部管理，确保有关法律法规及规章在基金托管业务中得到全面严格的贯彻执行；建立完善的规章制度和操作规程，保证基金托管业务</w:t>
      </w:r>
      <w:r>
        <w:rPr>
          <w:rFonts w:ascii="宋体" w:hAnsi="宋体"/>
          <w:sz w:val="24"/>
        </w:rPr>
        <w:lastRenderedPageBreak/>
        <w:t>持续、稳健发展；加强稽核监察，建立高效的风险监控体系，及时有效地发现、分析、控制和避免风险，确保基金财产安全，维护基金份额持有人利益。</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 内部控制组织结构。中信银行总行建立了风险管理委员会，负责全行的风险控制和风险防范工作；托管部内设内控合规岗，专门负责托管部内部风险控制，对基金托管业务的各个工作环节和业务流程进行独立、客观、公正的稽核监察。</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内部控制制度。中信银行严格按照《基金法》以及其他法律法规及规章的规定，以控制和防范基金托管业务风险为主线，制定了《中信银行基金托管业务管理办法》、《中信银行基金托管业务内部控制管理办法》和《中信银行托管业务内控检查实施细则》等一整套规章制度，涵盖证券投资基金托管业务的各个环节，保证证券投资基金托管业务合法、合规、持续、稳健发展。</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内部控制措施。建立了各项规章制度、操作流程、岗位职责、行为规范等，从制度上、人员上保证基金托管业务稳健发展；建立了安全保管基金财产的物质条件，对业务运行场所实行封闭管理，在要害部门和岗位设立了安全保密区，安装了录像、录音监控系统，保证基金信息的安全；建立严密的内部控制防线和业务授权管理等制度，确保所托管的基金财产独立运行；营造良好的内部控制环境，开展多种形式的持续培训，加强职业道德教育。</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（五）基金托管人对基金管理人运作基金进行监督的方法和程序</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根据《基金法》、《运作办法》、《信息披露办法》、基金合同、托管协议和有关法律法规及规章的规定，对基金的投资运作、基金资产净值计算、基金份额净值计算、应收资金到账、基金费用开支及收入确定、基金收益分配、相关信息披露、基金宣传推介材料中登载的基金业绩表现数据等进行监督和核查。</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托管人发现基金管理人违反《基金法》、《运作办法》、《信息披露办法》、基金合同和有关法律法规及规章的行为，将及时以书面形式通知基金管理人限期纠正。在限期内，基金托管人有权随时对通知事项进行复查，督促基金管理人改正。基金托管人发现基金管理人有重大违规行为或违规事项未能在限期内纠正的，基金托管人将以书面形式报告中国证监会。</w:t>
      </w:r>
    </w:p>
    <w:p w:rsidR="00B439CC" w:rsidRDefault="005C6ED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EC60B5" w:rsidRDefault="005C6EDB">
      <w:pPr>
        <w:pStyle w:val="1"/>
        <w:snapToGrid w:val="0"/>
        <w:spacing w:beforeLines="0" w:before="240" w:after="240"/>
        <w:rPr>
          <w:rFonts w:ascii="宋体" w:hAnsi="宋体"/>
          <w:szCs w:val="30"/>
        </w:rPr>
      </w:pPr>
      <w:bookmarkStart w:id="8" w:name="_Toc228201063"/>
      <w:r>
        <w:rPr>
          <w:rFonts w:ascii="Times New Roman" w:hAnsi="Times New Roman"/>
          <w:sz w:val="30"/>
        </w:rPr>
        <w:lastRenderedPageBreak/>
        <w:t>五、相关服务机构</w:t>
      </w:r>
      <w:bookmarkEnd w:id="8"/>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（一）基金份额销售机构</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1、直销机构</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本基金直销机构为本公司直销柜台以及本公司的网上直销交易平台（网站及APP，下同）。</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机构名称：交银施罗德基金管理有限公司</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法定代表人：张宏良</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个人投资者可以通过基金管理人网上直销交易平台办理开户、本基金的申购、赎回、定期定额投资、转换等业务，具体交易细则请参阅基金管理人网站。</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 fund001.com。</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2、代销机构</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（1）名称：招商银行股份有限公司</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住所：深圳市福田区深南大道7088号</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办公地址：深圳市福田区深南大道7088号</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法定代表人：缪建民</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电话：（0755）83198888</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传真：（0755）83195109</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联系人：季平伟</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客户服务电话：95555</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网址：www.cmbchina.com</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（2）名称：交通银行股份有限公司</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住所：上海市浦东新区银城中路188号</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办公地址：上海市浦东新区银城中路188号</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法定代表人：任德奇</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电话：（021）58781234</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传真：（021）58408483</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联系人：范瑞波</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客户服务电话：95559</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网址：www.bankcomm.com</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（3）名称：中信银行股份有限公司</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住所：北京市东城区朝阳门北大街9号</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办公地址：北京市东城区朝阳门北大街9号</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法定代表人：朱鹤新</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电话：（010）89936330</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传真：（010）85230024</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联系人：丰靖</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客户服务电话：95558</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网址：bank.ecitic.com</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（4）名称：中国邮政储蓄银行股份有限公司</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住所：北京市西城区金融大街3号</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办公地址：北京市西城区金融大街3号</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法定代表人：李国华</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传真：（010）68858117</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联系人：陈春林</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客户服务电话：95580</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网址：www.psbc.com</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（5）名称：中国中金财富证券有限公司</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住所：深圳市福田区益田路与福中路交界处荣超商务中心A栋第18层-21层及第04层01.02.03.05.11.12.13.15.16.18.19.20.21.22.23单元</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办公地址：深圳市福田区益田路6003号荣超商务中心A栋第04、18层至21层</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法定代表人：高涛</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电话：（0755）88320851</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联系人：胡芷境</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客户服务电话：95532/400-600-8008</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网址：www.ciccwm.com</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（6）名称：国新证券股份有限公司</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住所：北京市西城区金融大街8号</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办公地址：北京市西城区金融大街8号</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法定代表人：宋德清</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电话：（010）58568235</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传真：（010）58568062</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联系人：黄恒</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客户服务电话：（010）58568118</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网址：www.crsec.com.cn</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（7）名称：华西证券股份有限公司</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住所：四川省成都市高新区天府二街198号华西证券大厦</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办公地址：四川省成都市高新区天府二街198号华西证券大厦</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法定代表人：杨炯洋</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电话：（028）86135991</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传真：（028）86150400</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联系人：周志茹</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客户服务电话：95584</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网址：www.hx168.com.cn</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（8）名称：中信建投证券股份有限公司</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住所：北京市朝阳区安立路66号4号楼</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办公地址：北京市朝阳门内大街188号</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法定代表人：刘成</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电话：（010）56135784</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联系人：刘芸</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客户服务电话：95587</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网址：www.csc108.com</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（9）名称：国金证券股份有限公司</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住所：四川省成都市东城根上街95号</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办公地址：成都市东城根上街95号</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法定代表人：冉云</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电话：（028）86690057，（028）86690058</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传真：（028）86690126</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联系人：刘婧漪 贾鹏</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客户服务电话：95310</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网址：www.gjzq.com.cn</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（10）名称：中信证券（山东）有限责任公司</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住所：青岛市崂山区深圳路222号1号楼2001</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办公地址：青岛市市南区东海西路28号龙翔广场东座5层</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法定代表人：肖海峰</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电话：0531-89606166</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传真：0532-85022605</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联系人：赵如意</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客户服务电话：95548</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网址：sd.citics.com</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（11）名称：中信证券股份有限公司</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住所：广东省深圳市福田区中心三路8号卓越时代广场（二期）北座</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办公地址：北京市朝阳区亮马桥路48号中信证券大厦</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法定代表人：张佑君</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电话：010-60838888</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客服电话：95548</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网址：www.cs.ecitic.com</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（12）名称：中信证券华南股份有限公司</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住所：广州市天河区珠江西路5号广州国际金融中心主塔19层、20层</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办公地址：广州市天河区珠江西路5号广州国际金融中心主塔19层、20层</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法定代表人：陈可可</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电话：020-88836999</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传真：020-88836984</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联系人：郭杏燕</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客服电话：（020）95396</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网址：www.gzs.com.cn</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（13）名称：国泰海通证券股份有限公司</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注册地址：中国（上海）自由贸易试验区商城路618号</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办公地址：上海市静安区南京西路768号国泰君安大厦</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法定代表人：朱健</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联系电话：021-38676666</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传真：021-38670666</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联系人：邵亚杰</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服务热线 : 95521 / 4008888666</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网址：www.gtht.com</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（14）名称：海通证券股份有限公司</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住所：上海市淮海中路98号</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办公地址：上海市广东路689号</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法定代表人：王开国</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电话：（021）23219000</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传真：（021）23219100</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联系人：李笑鸣</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客户服务电话：95553或拨打各城市营业网点咨询电话</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网址：www.htsec.com</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（15）名称：上海联泰基金销售有限公司</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住所：上海市普陀区兰溪路900弄15号526室</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办公地址：上海市虹口区临潼路188号</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法定代表人：尹彬彬</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电话：021-52822063</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传真：021-52975270</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联系人：兰敏</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客户服务电话：400-118-1188</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网址：www.66liantai.com</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（16）名称：上海大智慧基金销售有限公司</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住所：上海市浦东新区杨高南路428号1号楼10-11层</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办公地址：上海市浦东新区杨高南路428号1号楼10-11层</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法定代表人：申健</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电话：021-0219988-35374</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传真：021-20219923</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联系人：张蜓</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客户服务电话：021-20292031</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网址：https://www.wg.com.cn</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（17）名称：珠海盈米基金销售有限公司</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住所：珠海市横琴新区宝华路6号105室-3491</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办公地址：广州市海珠区琶洲大道东1号保利国际广场南塔12楼B1201-1203</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法定代表人：肖雯</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电话：（020）89629099</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传真：（020）89629011</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联系人：黄敏嫦</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客户服务电话：（020）89629066</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网址：www.yingmi.com</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（18）名称：南京苏宁基金销售有限公司</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住所：南京市玄武区苏宁大道1-5号</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办公地址：南京市玄武区苏宁大道1-5号</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法定代表人：王锋</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电话：025-66996699</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传真：025-66996699</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联系人：冯鹏鹏</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客户服务电话：95177</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网址：www.snjijin.com</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（19）名称：北京雪球基金销售有限公司</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住所：北京市朝阳区创远路 34 号院6号楼15层1501室</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办公地址：北京市朝阳区创远路 34 号院融新科技中心 C 座 17 层</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法定代表人：李楠</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电话：（010）61840688</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传真：（010）84997571</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联系人：武安广</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客户服务电话：400-1599-288</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网址：danjuanfunds.com</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（20）名称：上海天天基金销售有限公司</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住所：上海市徐汇区龙田路190号2号楼2层</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办公地址：上海市徐汇区宛平南路88号金座东方财富大厦</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法定代表人：其实</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电话：（021）54509998</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传真：（021）64385308</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联系人：屠彦洋</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客户服务电话：400-1818-188</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网址：www.1234567.com.cn</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（21）名称：上海基煜基金销售有限公司</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住所：上海市崇明县长兴镇路潘园公路1800号2号楼6153室（上海泰和经济发展区）</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办公地址：上海市杨浦区昆明路518号A1002室</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法定代表人：王翔</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电话：（021）65370077</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传真：（021）55085991</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联系人：俞申莉</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客户服务电话：（021）65370077</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网址：www.fofund.com.cn</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（22）名称：北京度小满基金销售有限公司</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注册地址：北京市海淀区西北旺东路10号院西区4号楼1层103室</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法定代表人：葛新</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办公地址：北京市海淀区西北旺东路10号院西区4号楼</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机构联系人：王笑宇</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联系人电话：010-59403028</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联系人传真：010-59403027</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客户服务电话：95055-4</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公司网址：www.baiyingfund.com</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（23）名称：中国人寿保险股份有限公司</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住所：中国北京市西城区金融大街16号</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办公地址：北京市西城区金融大街16号中国人寿广场A座</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法定代表人：王滨</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客户服务电话：95519</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www.e-chinalife.com</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（24）名称：上海利得基金销售有限公司</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上海浦东新区峨山路91弄61号陆家嘴软件园10号楼12楼</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办公地址：上海市虹口区东大名路1098号浦江国际金融广场53层</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法定代表人：李兴春</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电话：021-50583533</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传真：021-50583633</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伍豪</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客服电话：400-032-5885</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网址：www.leadfund.com.cn</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（25）名称：上海长量基金销售有限公司</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住所：上海市浦东新区高翔路526号2幢220室</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办公地址：上海市浦东新区浦东大道555号裕景国际B座16层</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法定代表人：张跃伟</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电话：（021）20691832</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传真：（021）20691861</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联系人：单丙烨</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客户服务电话：400-820-2899</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网址：www.erichfund.com</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（26）名称：北京创金启富基金销售有限公司</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 北京市西城区白纸坊东街2号院6号楼712室</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北京市西城区白纸坊东街2号院6号楼712室</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梁蓉</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电话：010-66154828-8047</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传真：010-63583991</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魏素清</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客户服务电话：010-66154828</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https://www.5irich.com</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（27）名称：浙江同花顺基金销售有限公司</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住所：浙江省杭州市文二西路1号元茂大厦903</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办公地址：浙江杭州余杭区五常街道同顺街18号</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法定代表人：吴强</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电话：（0571）88911818</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传真：（0571）86800423</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联系人：吴强</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客户服务电话：952555</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网址：https://fund.10jqka.com.cn/</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（28）名称：腾安基金销售（深圳）有限公司</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住所：深圳市前海深港合作区前湾一路1号A栋201室（入驻深圳市前海商务秘书有限公司）</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办公地址：深圳市南山区海天二路33号腾讯滨海大厦</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法定代表人：刘明军</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电话：95017（拨通后转1转8）</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联系人：谭广峰</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客户服务电话：95017（拨通后转1转8）</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网址：http://www.tenganxinxi.com/</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（29）名称：济安财富（北京）基金销售有限公司</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住所：北京市朝阳区太阳宫中路16号院1号楼10层1005</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办公地址：北京市朝阳区太阳宫中路16号院1号楼11层1105</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法定代表人：杨健</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电话：010-65309516</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传真：010-65330699</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联系人：宋静</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客户服务电话：400-673-7010</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网址：www.jianfortune.com</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（30）名称：大连网金基金销售有限公司</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辽宁省大连市沙河口区体坛路22号诺德大厦2层202室</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辽宁省大连市沙河口区体坛路22号诺德大厦2层202室</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樊怀东</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电话：（0411-39027810）</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传真：（0411-39027835）</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于秀</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4000-899-100</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网址：http://www.yibaijin.com/</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（31）名称：上海好买基金销售有限公司</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住所：上海市虹口区场中路685弄37号4号楼449室</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办公地址：上海市浦东新区浦东南路1118号鄂尔多斯国际大厦903-906室</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法定代表人：杨文斌</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传真：（021）68596916</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联系人：薛年</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客户服务电话：400-700-9665</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网址：www.howbuy.com</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（32）名称：博时财富基金销售有限公司</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住所：深圳市福田区莲花街道福新社区益田路5999号基金大厦19层</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办公地址：深圳市福田区莲花街道福新社区益田路5999号基金大厦19层</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法定代表人：王德英</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电话：0755-83169999</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传真：0755-83195220</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联系人：崔丹</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客户服务电话：400-610-5568</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网址：www.boserawealth.com</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（33）名称：北京汇成基金销售有限公司</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住所：北京市西城区宣武门外大街甲1号4层401-2</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办公地址：北京市西城区宣武门外大街甲1号环球财讯中心D座4层401-2</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法定代表人：王伟刚</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电话：（010）56282140</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传真：（010）62680827</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联系人：张林</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客户服务电话：010-63158805</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网址：www.hcfunds.co</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（34）名称：诺亚正行基金销售有限公司</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住所:上海市虹口区飞虹路360弄9号3724室</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办公地址:上海市杨浦区长阳路1687号长阳谷2号楼</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法定代表：汪静波</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电话：（021）80358523</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传真：（021）80358749</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联系人：李娟</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客户服务电话：4008215399</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网址：www.noah-fund.com</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（35）名称：嘉实财富管理有限公司</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住所：海南省三亚市天涯区三亚湾路国际客运港区国际养生度假中心酒店B座(2＃楼)27楼2714室</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办公地址及其联系方式：北京市朝阳区建国门外大街21号北京国际俱乐部C座</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张峰</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 010-85097302</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联系人：闫欢</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客户服务电话：400-021-8850</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公司网址：http://www.harvestwm.cn</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（36）名称：京东肯特瑞基金销售有限公司</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北京市海淀区西三旗建材城中路12号17号平房157</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办公地址：北京市通州区亦庄经济技术开发区科创十一街18号院京东集团总部A座17层</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法定代表人：王苏宁</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电话：95118</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传真：010-89189566</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联系人：李丹</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客服热线：95118</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网址：kenterui.jd.com</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（37）名称：深圳前海微众银行股份有限公司</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住所：深圳前海深港合作区前湾一路1号A栋201室（入驻深圳市前海商务秘书有限公司）</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办公地址：广东省深圳市南山区沙河西路1819号深圳湾科技生态园7栋A座</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法定代表人：顾敏</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电话：15112686889</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联系人：白冰</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客户服务电话：95384</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网址：www.webank.com</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（38）名称：泛华普益基金销售有限公司</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住所：成都市成华区建设路9号高地中心1101室</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办公地址：成都市金牛区花照壁西顺街399号1栋1单元龙湖西宸天街B座1201号</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法定代表人：于海锋</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电话：028-8661-6229</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联系人：隋亚方</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客户服务电话：400-080-3388</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网址：https://www.puyifund.com/</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（39）名称：和耕传承基金销售有限公司</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住所：河南自贸试验区郑州片区（郑东）东风南路东康宁街北6号楼5楼503</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办公地址：河南自贸试验区郑州片区（郑东）东风南路东康宁街北6号楼5楼</w:t>
      </w:r>
      <w:r>
        <w:rPr>
          <w:rFonts w:ascii="宋体" w:hAnsi="宋体"/>
          <w:sz w:val="24"/>
        </w:rPr>
        <w:lastRenderedPageBreak/>
        <w:t>503</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法定代表人：温丽燕</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电话：0371-85518395</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传真：0371-85518397</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联系人：胡静华</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客户服务电话：4000555671</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网址：www.hgccpb.com</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（40）名称：上海中欧财富基金销售有限公司</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住所：中国（上海）自由贸易试验区陆家嘴环路479号1008-1室</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办公地址：上海市虹口区公平路18号嘉昱大厦6楼</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法定代表人：许欣</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电话：021-68609600</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传真：021-33830351</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刘弘义</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客户服务电话：400-700-9700</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公司网址：https://www.zocaifu.com</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（41）名称：深圳众禄基金销售股份有限公司</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住所：深圳市罗湖区梨园路物资控股置地大厦8楼</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办公地址：深圳市罗湖区梨园路物资控股置地大厦8楼</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法定代表人：薛峰</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电话：（0755）33227953</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传真：（0755）33227951</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联系人：汤素娅</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客户服务电话：4006-788-887</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网址：www.zlfund.cn，www.jjmmw.com</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（42）名称：上海万得基金销售有限公司</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住所：中国（上海）自由贸易试验区福山路33号11楼B座</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办公地址：上海市浦东新区浦明路1500号万得大厦11楼</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宋晓言</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电话：021-50712782</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传真：021-50710161</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马烨莹</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客户服务电话：400-799-1888</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www.520fund.com.cn</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（43）名称：中信期货有限公司</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住所：深圳市福田区中心三路8号卓越时代广场（二期）北座13层1301-1305室、14层</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办公地址：深圳市福田区中心三路8号卓越时代广场（二期）北座13层1301-1305室、14层</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法定代表人：张皓</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电话：010-60833754</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传真：021-60819988</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联系人：刘宏莹</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客服电话：400-990-8826</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网站：www.citicsf.com</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（44）名称：蚂蚁（杭州）基金销售有限公司</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住所：浙江省杭州市余杭区五常街道文一西路969号3幢5层599室</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办公地址：浙江省杭州市西湖区西溪路556号</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法定代表人：王珺</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电话：（0571）28829790，（021）60897869</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传真：（0571）26698533</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联系人：韩爱彬</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客户服务电话：95188-8</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网址：www.fund123.cn</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基金管理人可根据有关法律法规的要求，选择其它符合要求的机构代理销售本基金，并在管理人网站公示。</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（二）登记机构</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名称：中国证券登记结算有限责任公司</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住所：北京市西城区太平桥大街17号</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办公地址：北京市西城区太平桥大街17号</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法定代表人：于文强</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电话：（010）50938782</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传真：（010）50938907</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联系人：赵亦清</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（三）出具法律意见书的律师事务所</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名称：上海市通力律师事务所</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住所：上海市银城中路68号时代金融中心19楼</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办公地址：上海市银城中路68号时代金融中心19楼</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负责人：韩炯</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电话：（021）31358666</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传真：（021）31358600</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联系人：丁媛</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经办律师：黎明、丁媛</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（四）审计基金财产的会计师事务所</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名称：毕马威华振会计师事务所(特殊普通合伙)</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住所：北京市东城区东长安街1号东方广场2座办公楼8层</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办公地址：中国上海南京西路1266号恒隆广场2期25楼</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执行事务合伙人：邹俊</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电话：+86 (21) 2212 2888</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传真：+86 (21) 6288 1889</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联系人：侯雯</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经办注册会计师：王国蓓、侯雯</w:t>
      </w:r>
    </w:p>
    <w:p w:rsidR="00B439CC" w:rsidRDefault="005C6ED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EC60B5" w:rsidRDefault="005C6EDB">
      <w:pPr>
        <w:pStyle w:val="1"/>
        <w:snapToGrid w:val="0"/>
        <w:spacing w:beforeLines="0" w:before="240" w:after="240"/>
        <w:rPr>
          <w:rFonts w:ascii="宋体" w:hAnsi="宋体"/>
          <w:szCs w:val="30"/>
        </w:rPr>
      </w:pPr>
      <w:bookmarkStart w:id="9" w:name="_Toc228201064"/>
      <w:r>
        <w:rPr>
          <w:rFonts w:ascii="Times New Roman" w:hAnsi="Times New Roman"/>
          <w:sz w:val="30"/>
        </w:rPr>
        <w:lastRenderedPageBreak/>
        <w:t>六、基金的募集</w:t>
      </w:r>
      <w:bookmarkEnd w:id="9"/>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本基金由基金管理人依照《基金法》、《运作办法》、《销售办法》、基金合同及其他有关规定，并经中国证监会2016年3月1日证监许可[2016]400号文准予募集注册。</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本基金为契约型开放式混合型基金。基金存续期间为不定期。</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本基金募集期间基金份额净值为人民币1.00元，按初始面值发售。</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本基金自2016年4月15日至2016年 4月19日进行发售，本基金设立募集期共募集500,167,508.56份基金份额，有效认购户数为269户。</w:t>
      </w:r>
    </w:p>
    <w:p w:rsidR="00B439CC" w:rsidRDefault="005C6ED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EC60B5" w:rsidRDefault="005C6EDB">
      <w:pPr>
        <w:pStyle w:val="1"/>
        <w:snapToGrid w:val="0"/>
        <w:spacing w:beforeLines="0" w:before="240" w:after="240"/>
        <w:rPr>
          <w:rFonts w:ascii="宋体" w:hAnsi="宋体"/>
          <w:szCs w:val="30"/>
        </w:rPr>
      </w:pPr>
      <w:bookmarkStart w:id="10" w:name="_Toc228201065"/>
      <w:r>
        <w:rPr>
          <w:rFonts w:ascii="Times New Roman" w:hAnsi="Times New Roman"/>
          <w:sz w:val="30"/>
        </w:rPr>
        <w:lastRenderedPageBreak/>
        <w:t>七、基金合同的生效</w:t>
      </w:r>
      <w:bookmarkEnd w:id="10"/>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根据有关规定，本基金满足基金合同生效条件，基金合同已于2016年4月22日正式生效。自基金合同生效之日起，本基金管理人正式开始管理本基金。</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连续二十个工作日基金份额持有人数量不满200人或者基金资产净值低于5000万元的，基金管理人应当在定期报告中予以披露。连续六十个工作日出现基金份额持有人数量不满200人或者基金资产净值低于5000万元情形的，基金管理人提前终止基金合同，按照相关法律法规和基金合同的约定进入清算程序，不需召开基金份额持有人大会。</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法律法规另有规定时，从其规定。</w:t>
      </w:r>
    </w:p>
    <w:p w:rsidR="00B439CC" w:rsidRDefault="005C6ED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EC60B5" w:rsidRDefault="005C6EDB">
      <w:pPr>
        <w:pStyle w:val="1"/>
        <w:snapToGrid w:val="0"/>
        <w:spacing w:beforeLines="0" w:before="240" w:after="240"/>
        <w:rPr>
          <w:rFonts w:ascii="宋体" w:hAnsi="宋体"/>
          <w:szCs w:val="30"/>
        </w:rPr>
      </w:pPr>
      <w:bookmarkStart w:id="11" w:name="_Toc228201066"/>
      <w:r>
        <w:rPr>
          <w:rFonts w:ascii="Times New Roman" w:hAnsi="Times New Roman"/>
          <w:sz w:val="30"/>
        </w:rPr>
        <w:lastRenderedPageBreak/>
        <w:t>八、基金份额的申购与赎回</w:t>
      </w:r>
      <w:bookmarkEnd w:id="11"/>
    </w:p>
    <w:p w:rsidR="00EC60B5" w:rsidRDefault="005C6E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（一）申购和赎回的场所</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投资人可通过下述场所按照规定的方式进行申购或赎回：</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1、本基金管理人的直销机构</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本基金直销机构为基金管理人以及基金管理人的网上直销交易平台。</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个人投资者可以通过基金管理人网上直销交易平台办理开户、本基金的申购、赎回、转换及定期定额投资等业务，具体交易细则请参阅基金管理人网站。</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网上直销交易平台网址：www.fund001.com</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2、除基金管理人之外的其他销售机构</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本基金除基金管理人之外的其他销售机构参见本招募说明书“五、相关服务机构”章节或拨打本公司客户服务电话进行咨询。</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投资人应当通过上述销售机构办理基金申购、赎回业务的营业场所或按上述销售机构提供的其他方式进行申购或赎回。本基金管理人可根据情况变更或增减基金销售机构，并在管理人网站公示。</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若基金管理人或其指定的销售机构开通电话、传真或网上等交易方式，投资人可以通过上述方式进行申购与赎回。</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（二）申购和赎回的开放日及时间</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1、开放日及开放时间</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在开放日办理基金份额的申购和赎回，具体办理时间为上海证券交易所、深圳证券交易所的正常交易日的交易时间，但基金管理人根据法律法规、中国证监会的要求或基金合同的规定公告暂停申购、赎回时除外。</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若出现新的证券/期货交易市场、证券/期货交易所交易时间变更或其他特殊情况，基金管理人将视情况对前述开放日及开放时间进行相应的调整，但应在实施日前依照《信息披露办法》的有关规定在指定媒介上公告。</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2、申购、赎回开始日及业务办理时间</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本基金已于2016年7月21日起开放申购、赎回业务。</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基金合同约定之外的日期或者时间办理基金份额的申购、赎回或者转换。投资人在基金合同约定之外的日期和时间提出申购、赎回或转换申请且登记机构确认接受的，其基金份额申购、赎回价格为下一开放日基金份额申购、赎回的价格。</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（三）申购与赎回的原则</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1、“未知价”原则，即申购、赎回价格以申请当日收市后计算的基金份额净值为基准进行计算；</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2、“金额申购、份额赎回”原则，即申购以金额申请，赎回以份额申请；</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3、当日的申购与赎回申请可以在基金管理人规定的时间以内撤销，但申请经登记机构受理的不得撤销；</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赎回时，除指定赎回外，基金管理人按“先进先出”的原则，对该持有人账户在该销售机构托管的基金份额进行处理，即登记确认日期在先的基金份额先赎回，登记确认日期在后的基金份额后赎回，以确定被赎回基金份额的持有期限和所适用的赎回费率。</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基金管理人可在法律法规允许的情况下，对上述原则进行调整。基金管理人必须在新规则开始实施前依照《信息披露办法》的有关规定在指定媒介上公告。</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（四）申购和赎回的数额限定</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1、申购金额的限制</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直销机构首次申购的最低金额为单笔100万元，追加申购的最低金额为单笔10万元；已在直销机构有认购或申购过本基金管理人管理的任一基金（包括本基金）记录的投资人不受首次申购最低金额的限制。通过基金管理人网上直销交易平台办理基金申购业务的不受直销机构单笔申购最低金额的限制，申购最低金额为单笔1元。本基金直销机构单笔申购最低金额可由基金管理人酌情调整。其他销售机构接受申购申请的最低金额为单笔1元，如果销售机构业务规则规定的最低单笔申购金额高于1元，以该销售机构的规定为准。</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2、赎回份额的限制</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赎回的最低份额为1份基金份额，如果销售机构业务规则规定的最低单笔赎回份额高于1份，以该销售机构的规定为准。</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3、最低保留余额的限制</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个工作日投资人在单个交易账户保留的本基金份额余额少于1份时，若当日该账户同时有基金份额减少类业务（如赎回、转换出等）被确认，则基金管理人有权将投资人在该账户保留的本基金份额一次性全部赎回。</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具体请参见相关公告。</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可根据市场情况，在法律法规允许的情况下，调整申购的金额和赎回的份额以及最低基金份额保留余额的数量限制，基金管理人必须在调整实施前依照《信息披露办法》的有关规定在指定媒介上刊登公告并报中国证监会备案。</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（五）申购和赎回的程序</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1、申购和赎回的申请方式</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必须根据销售机构规定的程序，在开放日的具体业务办理时间内提出申购或赎回的申请。投资人在提交申购申请时须按销售机构规定的方式备足申购资金，投资人在提交赎回申请时须持有足够的基金份额余额，否则所提交的申购、赎回申请不成立。</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2、申购和赎回的款项支付</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投资人申购基金份额时，必须全额交付申购款项，若申购资金在规定时间内未全额到账则申购不成立。投资人全额交付申购款项，申购成立；登记机构确认基金份额时，申购生效。</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递交赎回申请，赎回成立；登记机构确认赎回时，赎回生效。投资人赎回申请成功后，基金管理人将在T＋7日（包括该日）内支付赎回款项。在发生巨额赎回时，款项的支付办法参照基金合同有关条款处理。</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3、申购和赎回申请的确认</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基金管理人或基金管理人委托的登记机构应以交易时间结束前受理有效申购和赎回申请的当天作为申购或赎回申请日（T日），在正常情况下，本基金登记机构在</w:t>
      </w:r>
      <w:r>
        <w:rPr>
          <w:rFonts w:ascii="宋体" w:hAnsi="宋体"/>
          <w:sz w:val="24"/>
        </w:rPr>
        <w:lastRenderedPageBreak/>
        <w:t>T+1日（包括该日）内对该交易的有效性进行确认。T日提交的有效申请，投资人应在T+2日后（包括该日）及时到销售网点柜台或以销售机构规定的其他方式查询申请的确认情况。若申购不成功，则申购款项退还给投资人。</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基金管理人可在法律法规允许的范围内，依法对上述申购和赎回申请的确认时间进行调整，并必须在调整实施日前按照《信息披露办法》的有关规定在指定媒介上公告并报中国证监会备案。</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销售机构对申购、赎回申请的受理并不代表该申请一定成功，而仅代表销售机构确实接收到申购、赎回申请。申购、赎回申请的确认以登记机构的确认结果为准。对于申请的确认情况，投资者应及时查询。</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4、申购和赎回的登记</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（1）投资人T日申购基金成功后，正常情况下，登记机构在T＋1日为投资人增加权益并办理登记手续，投资人自T＋2日起（包括该日）有权赎回该部分基金份额。投资人应及时查询有关申请的确认情况。</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（2）投资人T日赎回基金成功后，正常情况下，登记机构在T＋1日为投资人扣除权益并办理相应的登记手续。</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（3）基金管理人可在法律法规允许的范围内，对上述登记办理时间进行调整，并于开始实施前按照《信息披露办法》的有关规定在指定媒介上公告并报中国证监会备案。</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（六）基金的申购费和赎回费</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1、申购费用</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本基金基金份额分为A类和C类基金份额。投资人申购A类基金份额支付申购费用，申购C类基金份额不支付申购费用，而是从该类别基金资产中计提销售服务费。</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本基金A类基金份额的申购费用由A类基金份额申购人承担，不列入基金财产，主要用于本基金的市场推广、销售、登记等各项费用。</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投资人可以多次申购本基金，申购费用按每笔申购申请单独计算。</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本基金A类基金份额的申购费率如下：</w:t>
      </w:r>
    </w:p>
    <w:tbl>
      <w:tblPr>
        <w:tblW w:w="5000" w:type="pct"/>
        <w:tblCellMar>
          <w:left w:w="0" w:type="dxa"/>
          <w:right w:w="0" w:type="dxa"/>
        </w:tblCellMar>
        <w:tblLook w:val="0000" w:firstRow="0" w:lastRow="0" w:firstColumn="0" w:lastColumn="0" w:noHBand="0" w:noVBand="0"/>
      </w:tblPr>
      <w:tblGrid>
        <w:gridCol w:w="2167"/>
        <w:gridCol w:w="6503"/>
      </w:tblGrid>
      <w:tr w:rsidR="00EC60B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类基金份额申购费率</w:t>
            </w:r>
          </w:p>
        </w:tc>
      </w:tr>
      <w:tr w:rsidR="00EC60B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t>0.8%</w:t>
            </w:r>
          </w:p>
        </w:tc>
      </w:tr>
      <w:tr w:rsidR="00EC60B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50</w:t>
            </w:r>
            <w:r>
              <w:rPr>
                <w:rFonts w:ascii="Times New Roman" w:hAnsi="Times New Roman"/>
                <w:color w:val="000000"/>
                <w:kern w:val="0"/>
                <w:sz w:val="25"/>
                <w:szCs w:val="24"/>
              </w:rPr>
              <w:t>万元（含）至</w:t>
            </w:r>
            <w:r>
              <w:rPr>
                <w:rFonts w:ascii="Times New Roman" w:hAnsi="Times New Roman"/>
                <w:color w:val="000000"/>
                <w:kern w:val="0"/>
                <w:sz w:val="25"/>
                <w:szCs w:val="24"/>
              </w:rPr>
              <w:t>100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t>0.6%</w:t>
            </w:r>
          </w:p>
        </w:tc>
      </w:tr>
      <w:tr w:rsidR="00EC60B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万元（含）至</w:t>
            </w:r>
            <w:r>
              <w:rPr>
                <w:rFonts w:ascii="Times New Roman" w:hAnsi="Times New Roman"/>
                <w:color w:val="000000"/>
                <w:kern w:val="0"/>
                <w:sz w:val="25"/>
                <w:szCs w:val="24"/>
              </w:rPr>
              <w:t>200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rsidR="00EC60B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200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t>0.3%</w:t>
            </w:r>
          </w:p>
        </w:tc>
      </w:tr>
      <w:tr w:rsidR="00EC60B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持有A类基金份额的投资人因红利自动再投资而产生的A类基金份额，不收取相应的申购费用。</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本基金对通过基金管理人直销柜台申购A类基金份额的养老金客户实施特定申购费率。</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养老金客户指基本养老基金与依法成立的养老计划筹集的资金及其投资运营收益形成的补充养老基金等，具体包括：</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1）全国社会保障基金；</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2）可以投资基金的地方社会保障基金；</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3）企业年金单一计划以及集合计划；</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4）企业年金理事会委托的特定客户资产管理计划；</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5）企业年金养老金产品。</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如将来出现经养老基金监管部门认可的新的养老基金类型，基金管理人可在招募说明书更新或发布临时公告将其纳入养老金客户范围，并按规定向中国证监会备案。</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通过基金管理人直销柜台申购本基金A类基金份额的养老金客户特定申购费率如下表：</w:t>
      </w:r>
    </w:p>
    <w:tbl>
      <w:tblPr>
        <w:tblW w:w="5000" w:type="pct"/>
        <w:tblCellMar>
          <w:left w:w="0" w:type="dxa"/>
          <w:right w:w="0" w:type="dxa"/>
        </w:tblCellMar>
        <w:tblLook w:val="0000" w:firstRow="0" w:lastRow="0" w:firstColumn="0" w:lastColumn="0" w:noHBand="0" w:noVBand="0"/>
      </w:tblPr>
      <w:tblGrid>
        <w:gridCol w:w="2167"/>
        <w:gridCol w:w="6503"/>
      </w:tblGrid>
      <w:tr w:rsidR="00EC60B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类基金份额特定申购费率</w:t>
            </w:r>
          </w:p>
        </w:tc>
      </w:tr>
      <w:tr w:rsidR="00EC60B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t>0.32%</w:t>
            </w:r>
          </w:p>
        </w:tc>
      </w:tr>
      <w:tr w:rsidR="00EC60B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万元（含）至</w:t>
            </w:r>
            <w:r>
              <w:rPr>
                <w:rFonts w:ascii="Times New Roman" w:hAnsi="Times New Roman"/>
                <w:color w:val="000000"/>
                <w:kern w:val="0"/>
                <w:sz w:val="25"/>
                <w:szCs w:val="24"/>
              </w:rPr>
              <w:t>100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t>0.18%</w:t>
            </w:r>
          </w:p>
        </w:tc>
      </w:tr>
      <w:tr w:rsidR="00EC60B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万元（含）至</w:t>
            </w:r>
            <w:r>
              <w:rPr>
                <w:rFonts w:ascii="Times New Roman" w:hAnsi="Times New Roman"/>
                <w:color w:val="000000"/>
                <w:kern w:val="0"/>
                <w:sz w:val="25"/>
                <w:szCs w:val="24"/>
              </w:rPr>
              <w:t>200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t>0.10%</w:t>
            </w:r>
          </w:p>
        </w:tc>
      </w:tr>
      <w:tr w:rsidR="00EC60B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200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t>0.06%</w:t>
            </w:r>
          </w:p>
        </w:tc>
      </w:tr>
      <w:tr w:rsidR="00EC60B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投资者通过直销机构交易享有的交易费率优惠情况请见本基金管理人的有关公告或本基金管理人网站。本基金管理人基金网上直销业务已开通的银行卡及各银行卡交易金额限额请参阅本基金管理人网站。</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2、赎回费用</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（1）本基金A类基金份额的赎回费率如下：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EC60B5">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类基金份额的赎回费率</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t>赎回费率</w:t>
            </w:r>
          </w:p>
        </w:tc>
      </w:tr>
      <w:tr w:rsidR="00EC60B5">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EC60B5" w:rsidRDefault="00EC60B5">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日以内</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EC60B5">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EC60B5" w:rsidRDefault="00EC60B5">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日（含）</w:t>
            </w:r>
            <w:r>
              <w:rPr>
                <w:rFonts w:ascii="Times New Roman" w:hAnsi="Times New Roman"/>
                <w:color w:val="000000"/>
                <w:kern w:val="0"/>
                <w:sz w:val="25"/>
                <w:szCs w:val="24"/>
              </w:rPr>
              <w:t>—30</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t>0.75%</w:t>
            </w:r>
          </w:p>
        </w:tc>
      </w:tr>
      <w:tr w:rsidR="00EC60B5">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EC60B5" w:rsidRDefault="00EC60B5">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30</w:t>
            </w:r>
            <w:r>
              <w:rPr>
                <w:rFonts w:ascii="Times New Roman" w:hAnsi="Times New Roman"/>
                <w:color w:val="000000"/>
                <w:kern w:val="0"/>
                <w:sz w:val="25"/>
                <w:szCs w:val="24"/>
              </w:rPr>
              <w:t>日（含）</w:t>
            </w:r>
            <w:r>
              <w:rPr>
                <w:rFonts w:ascii="Times New Roman" w:hAnsi="Times New Roman"/>
                <w:color w:val="000000"/>
                <w:kern w:val="0"/>
                <w:sz w:val="25"/>
                <w:szCs w:val="24"/>
              </w:rPr>
              <w:t>—6</w:t>
            </w:r>
            <w:r>
              <w:rPr>
                <w:rFonts w:ascii="Times New Roman" w:hAnsi="Times New Roman"/>
                <w:color w:val="000000"/>
                <w:kern w:val="0"/>
                <w:sz w:val="25"/>
                <w:szCs w:val="24"/>
              </w:rPr>
              <w:t>个月</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rsidR="00EC60B5">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EC60B5" w:rsidRDefault="00EC60B5">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6</w:t>
            </w:r>
            <w:r>
              <w:rPr>
                <w:rFonts w:ascii="Times New Roman" w:hAnsi="Times New Roman"/>
                <w:color w:val="000000"/>
                <w:kern w:val="0"/>
                <w:sz w:val="25"/>
                <w:szCs w:val="24"/>
              </w:rPr>
              <w:t>个月以上（含）</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上表中的“月”指的是30个自然日。</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的赎回费用由赎回A类基金份额的基金份额持有人承担，在基金份额持有人赎回基金份额时收取，对持续持有期少于7日的投资人收取1.5%的赎回费，对持续持有期大于等于7日但少于30日的投资人收取0.75%的赎回费，并将上述赎回费全额计入基金财产；对持续持有期大于等于30日但少于3个月的投资人收取0.5%的赎回费，并将赎回费总额的75%计入基金财产；对持续持有期大于等于3个月但少于6个月的投资人收取0.5%的赎回费，并将赎回费总额的50%计入基金财产；对持续持有期大于等于6个月的投资人，应当将赎回费总额的25%计入基金财产。上述“月”指的是30个自然日。其余用于支付登记费和其他必要的手续费。</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（2）本基金C类基金份额的赎回费率如下：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EC60B5">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t>C</w:t>
            </w:r>
            <w:r>
              <w:rPr>
                <w:rFonts w:ascii="Times New Roman" w:hAnsi="Times New Roman"/>
                <w:color w:val="000000"/>
                <w:kern w:val="0"/>
                <w:sz w:val="25"/>
                <w:szCs w:val="24"/>
              </w:rPr>
              <w:t>类基金份额的赎回费率</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t>赎回费率</w:t>
            </w:r>
          </w:p>
        </w:tc>
      </w:tr>
      <w:tr w:rsidR="00EC60B5">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EC60B5" w:rsidRDefault="00EC60B5">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天以内</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EC60B5">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EC60B5" w:rsidRDefault="00EC60B5">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天（含）</w:t>
            </w:r>
            <w:r>
              <w:rPr>
                <w:rFonts w:ascii="Times New Roman" w:hAnsi="Times New Roman"/>
                <w:color w:val="000000"/>
                <w:kern w:val="0"/>
                <w:sz w:val="25"/>
                <w:szCs w:val="24"/>
              </w:rPr>
              <w:t>-30</w:t>
            </w:r>
            <w:r>
              <w:rPr>
                <w:rFonts w:ascii="Times New Roman" w:hAnsi="Times New Roman"/>
                <w:color w:val="000000"/>
                <w:kern w:val="0"/>
                <w:sz w:val="25"/>
                <w:szCs w:val="24"/>
              </w:rPr>
              <w:t>天</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rsidR="00EC60B5">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EC60B5" w:rsidRDefault="00EC60B5">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30</w:t>
            </w:r>
            <w:r>
              <w:rPr>
                <w:rFonts w:ascii="Times New Roman" w:hAnsi="Times New Roman"/>
                <w:color w:val="000000"/>
                <w:kern w:val="0"/>
                <w:sz w:val="25"/>
                <w:szCs w:val="24"/>
              </w:rPr>
              <w:t>天以上（含）</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本基金C类基金份额的赎回费用由赎回C类基金份额的基金份额持有人承担，在基金份额持有人赎回C类基金份额时收取，对C类基金份额持有人收取的赎回费全额计入基金财产。</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3、基金管理人可以在基金合同约定的范围内调整费率或收费方式，并最迟应于新的费率或收费方式实施日前依照《信息披露办法》的有关规定在指定媒介上公告。</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4、基金管理人可以在不违背法律法规规定及基金合同约定的情况下根据市场情况制定基金促销计划，针对投资人定期和不定期地开展基金促销活动。在基金促</w:t>
      </w:r>
      <w:r>
        <w:rPr>
          <w:rFonts w:ascii="宋体" w:hAnsi="宋体"/>
          <w:sz w:val="24"/>
        </w:rPr>
        <w:lastRenderedPageBreak/>
        <w:t>销活动期间，基金管理人可以按中国证监会要求履行必要手续后，对投资人适当调低基金申购费率和赎回费率。</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（七）申购和赎回的数额和价格</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1、申购和赎回数额、余额的处理方式</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A类基金份额和C类基金份额的申购有效份额为净申购金额除以当日的各类基金份额净值，有效份额单位为份，申购份额计算结果按四舍五入方法，保留到小数点后2位，由此产生的收益或损失由基金财产承担。</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A类基金份额和C类基金份额的赎回金额为按实际确认的有效赎回份额乘以当日各类基金份额净值并扣除相应的费用（如有），赎回金额单位为元。赎回金额计算结果按四舍五入方法，保留到小数点后2位，由此产生的收益或损失由基金财产承担。</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2、申购份额的计算</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（1）A类基金份额的申购</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净申购金额=申购总金额/（1+申购费率）</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（注：对于适用固定金额申购费用的申购，净申购金额＝申购总金额－固定申购费用金额）</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申购费用=申购总金额-净申购金额</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（注：对于适用固定金额申购费用的申购，申购费用＝固定申购费用金额）</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申购份额=（申购总金额-申购费用）/ T日A类基金份额净值</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例一：某投资者（非养老金客户）投资100,000元申购本基金的A类基金份额，假设申购当日A类基金份额净值为1.0400元，申购费率为0.8%，则其可得到的申购份额为：</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申购总金额＝100,000元</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净申购金额=100,000/（1+0.8%）=99,206.35元</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申购费用=100,000-99,206.35=793.65元</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申购份额=（100,000-793.65）/1.0400=95,390.72份</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即：某投资者（非养老金客户）投资100,000元申购本基金A类基金份额，假设申购当日A类基金份额净值为1.0400元，如果其选择申购A类基金份额，则其可得到95,390.72份A类基金份额。</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例二：某养老金客户投资100,000元通过基金管理人的直销柜台申购本基金的A类基金份额，假设申购当日A类基金份额净值为1.0400元，申购费率为0.32%，则其可得到的申购份额为：</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申购总金额＝100,000元</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净申购金额=100,000/（1+0.32%）=99,681.02元</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申购费用=100,000-99,681.02=318.98元</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申购份额=（100,000-318.98）/1.0400=95,847.13份</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即：该养老金客户投资100,000元通过基金管理人的直销柜台申购本基金的A类基金份额，假设申购当日A类基金份额净值为1.0400元，则其可得到95,847.13份A类基金份额。</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（2）C类基金份额的申购</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如果投资者选择申购C类基金份额，则申购份额的计算方法如下：</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申购份额=申购总金额/T日C类基金份额净值</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例三：某投资者投资100,000元申购本基金的C类基金份额，假设申购当日C类基金份额净值为1.0400元，则其可得到的申购份额为：</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申购份额＝100,000/1.0400＝96,153.85份</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即：投资者投资100,000元申购本基金的C类基金份额，假设申购当日C类基金份额净值为1.0400元，则其可得到96,153.85份C类基金份额。</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3、赎回金额的计算</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赎回金额为按实际确认的有效赎回份额乘以当日各类基金份额净值并扣除相应的费用，赎回金额单位为元，计算结果保留到小数点后两位，第三位四舍五入，由此产生的收益或损失由基金财产承担。</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（1）A类基金份额的赎回</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如果投资者赎回A类基金份额，则赎回金额的计算方法如下：</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赎回费用=赎回份额×T日A类基金份额净值×赎回费率</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赎回金额=赎回份额×T日A类基金份额净值—赎回费用</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例四：某投资者赎回持有的10,000份A类基金份额，持有时间为30日，对应的赎回费率为0.5%，假设赎回当日A类基金份额净值是1.0160元，则其可得到的赎回金额为：</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赎回费用 = 10,000×1.0160×0.5% ＝ 50.80元</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 = 10,000×1.0160-50.80 ＝ 10,109.20元</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即：投资者赎回本基金10,000份A类基金份额，持有时间为30日，对应的赎回费率为0.5%，假设赎回当日A类基金份额净值是1.0160元，则其可得到的赎回金额为10,109.20元。</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（2）C类基金份额的赎回</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投资者赎回C类基金份额，赎回金额的计算方法如下：</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赎回费用=赎回份额×T日C类基金份额净值×赎回费率</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赎回金额=赎回份额×T日C类基金份额净值—赎回费用</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例五：某投资者赎回持有的10,000份C类基金份额，持有时间为20日，对应的赎回费率为0.5%，假设赎回当日C类基金份额净值是1.0160元，则其可得到的赎回金额为：</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 = 10,000×1.0160×0.5% ＝ 50.80元</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 = 10,000×1.0160-50.80＝ 10,109.20元</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即：投资者赎回本基金10,000份C类基金份额，持有时间为20日，对应的赎回费率为0.5%，假设赎回当日C类基金份额净值是1.0160元，则其可得到的赎回金额为10,109.20元。</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4、基金份额净值的计算公式</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A类基金份额净值＝A类基金份额的基金资产净值总额/发行在外的A类基金份额总数</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C类基金份额净值＝C类基金份额的基金资产净值总额/发行在外的C类基金份额总数</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T日的基金份额净值在当天收市后计算，并在T＋1日（包括该日）内公告。遇特殊情况，经中国证监会同意，可以适当延迟计算或公告。本基金A类基金份额和C类基金份额的基金份额净值的计算，保留到小数点后4位，小数点后第5位四舍五入，由此误差产生的收益或损失由基金财产承担。</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（八）拒绝或暂停申购的情形</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发生下列情况时，基金管理人可拒绝或暂停接受投资人的申购申请：</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1、因不可抗力导致基金无法正常运作。</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w:t>
      </w:r>
      <w:r>
        <w:rPr>
          <w:rFonts w:ascii="宋体" w:hAnsi="宋体"/>
          <w:sz w:val="24"/>
        </w:rPr>
        <w:lastRenderedPageBreak/>
        <w:t>资人的申购申请。</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3、证券、期货交易所交易时间非正常停市，导致基金管理人无法计算当日基金资产净值。</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4、接受某笔或某些申购申请可能会影响或损害现有基金份额持有人利益时。</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5、基金资产规模过大，使基金管理人无法找到合适的投资品种，或其他可能对基金业绩产生负面影响，或发生其他损害现有基金份额持有人利益的情形。</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6、基金管理人、基金托管人、基金销售机构、基金销售支付结算机构或登记机构的异常情况导致基金销售系统、基金销售支付结算系统、基金注册登记系统或基金会计系统无法正常运行。</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7、当前一估值日基金资产净值50%以上的资产出现无可参考的活跃市场价格且采用估值技术仍导致公允价值存在重大不确定性时，经与基金托管人协商确认后，基金管理人应当暂停接受基金申购申请。</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8、基金管理人接受某笔或者某些申购申请有可能导致单一投资者持有基金份额的比例超过50%，或者变相规避50%集中度的情形时。出现上述情形时，基金管理人有权将上述申购申请全部或部分确认失败。</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9、基金合同约定、法律法规规定或中国证监会认定的其他情形。</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第1、2、3、5、6、7、9项暂停申购情形之一且基金管理人决定暂停接受投资人的申购申请时，基金管理人应当根据有关规定在指定媒介上刊登暂停申购公告。如果投资人的申购申请被拒绝，被拒绝的申购款项将退还给投资人。在暂停申购的情况消除时，基金管理人应及时恢复申购业务的办理。</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（九）暂停赎回或延缓支付赎回款项的情形</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发生下列情形时，基金管理人可暂停接受投资人的赎回申请或延缓支付赎回款项：</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1、因不可抗力导致基金管理人不能支付赎回款项。</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2、发生基金合同规定的暂停基金资产估值情况时，基金管理人可暂停接受投资人的赎回申请或延缓支付赎回款项。</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3、证券、期货交易所交易时间非正常停市，导致基金管理人无法计算当日基金资产净值。</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4、连续两个或两个以上开放日发生巨额赎回。</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5、继续接受赎回申请将损害现有基金份额持有人利益的情形时，可暂停接受</w:t>
      </w:r>
      <w:r>
        <w:rPr>
          <w:rFonts w:ascii="宋体" w:hAnsi="宋体"/>
          <w:sz w:val="24"/>
        </w:rPr>
        <w:lastRenderedPageBreak/>
        <w:t>投资人的赎回申请。</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当前一估值日基金资产净值50%以上的资产出现无可参考的活跃市场价格且采用估值技术仍导致公允价值存在重大不确定性时，经与基金托管人协商确认后，基金管理人应当暂停接受基金赎回申请或延缓支付赎回款项。</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7、基金合同约定、法律法规规定或中国证监会认定的其他情形。</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情形之一且基金管理人决定暂停接受投资人的赎回申请或延缓支付赎回款项时，基金管理人应在当日报中国证监会备案，已确认的赎回申请，基金管理人应足额支付；如暂时不能足额支付，应将可支付部分按单个账户申请量占申请总量的比例分配给赎回申请人，未支付部分可延期确认并支付，并以后续开放日的基金份额净值为依据计算赎回金额。若出现上述第4项所述情形，按基金合同的相关条款处理。基金份额持有人在申请赎回时可事先选择将当日可能未获受理部分予以撤销。在暂停赎回的情况消除时，基金管理人应及时恢复赎回业务的办理并公告。</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（十）巨额赎回的情形及处理方式</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1、巨额赎回的认定</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2、巨额赎回的处理方式</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w:t>
      </w:r>
      <w:r>
        <w:rPr>
          <w:rFonts w:ascii="宋体" w:hAnsi="宋体"/>
          <w:sz w:val="24"/>
        </w:rPr>
        <w:lastRenderedPageBreak/>
        <w:t>以下一开放日的基金份额净值为基础计算赎回金额，以此类推，直到全部赎回为止。如投资人在提交赎回申请时未作明确选择，投资人未能赎回部分作自动延期赎回处理。</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巨额赎回且单个基金份额持有人的赎回申请超过上一日基金总份额20%的情形下，基金管理人有权采取如下措施：对于该类基金份额持有人当日超过20%的赎回申请，可以对其赎回申请延期办理；对于该类基金份额持有人未超过上述比例的部分，基金管理人可以根据前段“（1）全额赎回”或“（2）部分延期赎回”的约定方式与其他基金份额持有人的赎回申请一并办理。但是，如该类基金份额持有人在当日选择取消赎回，则其当日未获受理的部分赎回申请将被撤销。</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暂停赎回：连续2个开放日以上（含本数）发生巨额赎回，如基金管理人认为有必要，可暂停接受基金的赎回申请；已经接受的赎回申请可以延缓支付赎回款项，但不得超过20个工作日，并应当在指定媒介上进行公告。</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3、巨额赎回的公告</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当发生上述延期赎回并延期办理时，基金管理人应当通过邮寄、传真、刊登公告或者通知销售机构代为告知等方式在3个交易日内通知基金份额持有人，说明有关处理方法，并在2日内在指定媒介上刊登公告。</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（十一）暂停申购或赎回的公告和重新开放申购或赎回的公告</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1、发生上述暂停申购或赎回情况的，基金管理人应在规定期限内在指定媒介上刊登暂停公告。</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2、暂停结束，基金重新开放申购或赎回时，基金管理人应依照《信息披露办法》的有关规定，不迟于重新开放日，在指定媒介上刊登基金重新开放申购或赎回公告，并公布最近一个开放日的基金份额净值。</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（十二）基金的非交易过户</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w:t>
      </w:r>
      <w:r>
        <w:rPr>
          <w:rFonts w:ascii="宋体" w:hAnsi="宋体"/>
          <w:sz w:val="24"/>
        </w:rPr>
        <w:lastRenderedPageBreak/>
        <w:t>构要求提供的相关资料，对于符合条件的非交易过户申请按基金登记机构的规定办理，并按基金登记机构规定的标准收费。</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（十三）基金的转托管</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基金份额持有人可办理已持有基金份额在不同销售机构之间的转托管，基金销售机构可以按照规定的标准收取转托管费。</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（十四）定期定额投资计划</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定期定额投资计划是基金申购业务的一种方式，投资人可通过向相关销售机构提交申请，约定每期申购日、扣款金额及扣款方式，由指定的销售机构在投资人指定资金账户内自动扣款并于每期约定的申购日提交基金的申购申请。定期定额投资计划并不构成对基金日常申购、赎回等业务的影响，投资人在办理相关基金定期定额投资计划的同时，仍然可以进行日常申购、赎回业务。</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本基金2016年7月18日刊登公告自2016年7月21日起开通定期定额投资计划业务，具体开通销售机构名单和业务规则参见相关公告。</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（十五）基金份额的冻结和解冻</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登记机构只受理国家有权机关依法要求的基金份额的冻结与解冻，以及登记机构认可、符合法律法规的其他情况下的冻结与解冻。</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（十六）基金上市交易和场内申购赎回业务</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未来系统条件允许的情况下，基金管理人可以根据相关证券交易所上市交易规则，安排本基金上市交易和/或开通场内申购赎回业务事宜。具体上市交易和/或开通场内申购赎回的安排由基金管理人届时提前发布公告，并告知基金托管人与相关机构。场内申购赎回业务按照证券交易所及登记机构的相关业务规则办理。</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（十七）基金份额的转让</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法律法规允许且条件具备的情况下，基金管理人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（十八）其他业务</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符合法律法规及中国证监会规定的前提下，基金管理人可在对基金份额持有人利益无实质性不利影响的情形下，办理基金份额的质押业务或其他基金业务，基金管理人可制定相应的业务规则，并依照《信息披露办法》的有关规定进行公告。</w:t>
      </w:r>
    </w:p>
    <w:p w:rsidR="00B439CC" w:rsidRDefault="005C6EDB" w:rsidP="003B442C">
      <w:pPr>
        <w:autoSpaceDE w:val="0"/>
        <w:autoSpaceDN w:val="0"/>
        <w:adjustRightInd w:val="0"/>
        <w:spacing w:line="360" w:lineRule="auto"/>
        <w:ind w:firstLineChars="200" w:firstLine="480"/>
        <w:rPr>
          <w:rFonts w:ascii="宋体" w:hAnsi="宋体"/>
          <w:szCs w:val="24"/>
        </w:rPr>
      </w:pPr>
      <w:r>
        <w:rPr>
          <w:rFonts w:ascii="宋体" w:hAnsi="宋体"/>
          <w:sz w:val="24"/>
        </w:rPr>
        <w:lastRenderedPageBreak/>
        <w:br w:type="page"/>
      </w:r>
    </w:p>
    <w:p w:rsidR="00EC60B5" w:rsidRDefault="005C6EDB">
      <w:pPr>
        <w:pStyle w:val="1"/>
        <w:snapToGrid w:val="0"/>
        <w:spacing w:beforeLines="0" w:before="240" w:after="240"/>
        <w:rPr>
          <w:rFonts w:ascii="宋体" w:hAnsi="宋体"/>
          <w:szCs w:val="30"/>
        </w:rPr>
      </w:pPr>
      <w:bookmarkStart w:id="12" w:name="_Toc228201067"/>
      <w:r>
        <w:rPr>
          <w:rFonts w:ascii="Times New Roman" w:hAnsi="Times New Roman"/>
          <w:sz w:val="30"/>
        </w:rPr>
        <w:lastRenderedPageBreak/>
        <w:t>九、基金的转换</w:t>
      </w:r>
      <w:bookmarkEnd w:id="12"/>
    </w:p>
    <w:p w:rsidR="00EC60B5" w:rsidRDefault="005C6E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（一）基金转换</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是指开放式基金份额持有人将其持有某只基金的部分或全部份额转换为同一基金管理人管理的另一只开放式基金份额。基金转换只能在同一销售机构进行。转换的两只基金必须都是该销售机构代理的同一基金管理人管理的、在同一注册登记机构处注册登记的、同一收费模式的开放式基金。</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（二）转换业务办理时间</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2020年7月15日刊登公告自2020年7月17日起开放日常转换业务。办理基金间转换的时间为上海证券交易所、深圳证券交易所交易日。若出现新的证券交易市场或交易所交易时间更改或其它原因，基金管理人将视情况进行相应的调整并公告。</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在基金开放日申请办理基金转换业务，具体办理时间与基金申购、赎回业务办理时间相同。由于各销售机构的系统差异以及业务安排等原因，开展该业务的时间可能有所不同，投资人应以各销售机构公告的时间为准。</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本基金转换业务具体开通销售机构名单参见相关公告。</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（三）基金转换的程序</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1、申请方式：书面申请或销售机构公布的其他方式。</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2、基金转换申请的确认</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正常情况下，T日规定时间受理的申请，注册登记机构在T＋1日内为投资人对该交易的有效性进行确认，在T＋2日后(包括该日)投资人可向销售机构查询转换的确认情况。</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3、基金转换的注册登记</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登记机构以收到有效转换申请的当天作为转换申请日（T日）。投资人转换基金成功的，注册登记机构将在T＋1日对投资人T日的基金转换业务申请进行有效性确认，办理转出基金的权益扣除以及转入基金的权益登记，在T＋2日后（包括该日）投资人可向销售机构查询基金转换的成交情况，并有权转换或赎回该部分基金份额。</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（四）基金转换的数额限制</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基金转换以份额为单位进行申请，申请转换份额精确到小数点后两位，小数点</w:t>
      </w:r>
      <w:r>
        <w:rPr>
          <w:rFonts w:ascii="宋体" w:hAnsi="宋体"/>
          <w:sz w:val="24"/>
        </w:rPr>
        <w:lastRenderedPageBreak/>
        <w:t>后两位以后的部分四舍五入，误差部分归基金财产。</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本基金遵循“份额转换”的原则，单笔转换份额不得低于1份。基金持有人可将其全部或部分基金份额转换成其它基金，单笔转换申请不受转入基金最低申购限额限制。</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于各基金关于投资人在单个交易账户最低保留余额的规定，每个工作日投资人在单个交易账户保留的某基金基金份额余额少于该基金的最低保留余额时，若当日该账户同时有该基金的基金份额减少类业务（如赎回、转换出等）被确认，基金管理人有权将投资人在该账户保留的该基金基金份额一次性全部赎回。因此，如果某笔转换申请确认后转出基金的单个交易账户的基金份额余额少于转出基金的最低保留余额，则转出基金在该账户剩余的基金份额将被全部赎回。如果某笔转换申请确认后转入基金的单个交易账户的基金份额余额少于转入基金的最低保留余额且该账户当日有转入基金的基金份额减少类业务被确认，则转入基金在该账户剩余的基金份额（包括该部分转换入确认份额）将随即被强制赎回。</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（五）基金转换费用</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1、每笔基金转换视为一笔赎回和一笔申购，基金转换费用相应由转出基金的赎回费用及转出、转入基金的申购补差费用构成。</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2、转出基金的赎回费用</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用按照各基金最新的更新招募说明书及相关公告规定的赎回费率和计费方式收取，赎回费用按一定比例归入基金财产（收取标准遵循各基金最新的更新招募说明书相关规定），其余部分用于支付注册登记费等相关手续费。</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3、前端收费模式下转出与转入基金的申购补差费用</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从不收取申购费用的基金或前端申购费用低的基金向前端申购费用高的基金转换，收取前端申购补差费用；从前端申购费用高的基金向前端申购费用低的基金或不收取申购费用的基金转换，不收取前端申购补差费用。申购补差费用原则上按照转出确认金额对应的转入基金前端申购费率减去转出基金前端申购费率差额进行计算补差，若遇固定费用，则按实际产生补差费用收取。</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4、后端收费模式下转出与转入基金的申购补差费用</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从不收取申购费用的基金或后端申购费用低的基金向后端申购费用高的基金转换，不收取后端申购补差费用，但转入的基金份额赎回的时候需全额收取转入基金的后端申购费；从后端申购费用高的基金向后端申购费用低的基金或不收取申购费</w:t>
      </w:r>
      <w:r>
        <w:rPr>
          <w:rFonts w:ascii="宋体" w:hAnsi="宋体"/>
          <w:sz w:val="24"/>
        </w:rPr>
        <w:lastRenderedPageBreak/>
        <w:t>用的基金转换，收取后端申购补差费用，且转入的基金份额赎回的时候需全额收取转入基金的后端申购费。后端申购补差费用按照转出份额持有时间对应分档的转出基金后端申购费率减去转入基金后端申购费率差额进行补差。</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5、网上直销的申购补差费率优惠</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更好服务投资者，本基金管理人已开通基金网上直销业务，个人投资者可以通过“网上直销交易平台”办理基金转换业务，其中部分转换业务可享受转换费率优惠，优惠费率只适用于转出与转入基金申购补差费用，转出基金的赎回费用无优惠。可通过网上直销交易平台办理的转换业务范围及转换费率优惠的具体情况请参阅本基金管理人网站。</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6、本基金管理人可以根据法律法规及基金合同的规定对上述转换费用收费方式和费率进行调整，并应于调整后的收费方式和费率实施前依照《信息披露办法》的有关规定在中国证监会规定媒介上公告。</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（六）基金转换份额的计算公式</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1、前端收费模式下基金转换份额的计算公式及举例</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转出确认金额=转出的基金份额×转换申请当日转出基金的基金份额净值</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转出基金的赎回费=转出确认金额×对应的转出基金的赎回费率</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转入确认金额=转出确认金额-转出基金的赎回费</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转出与转入基金的申购补差费=转入确认金额×对应的转出与转入基金的申购补差费率/（1+对应的转出与转入基金的申购补差费率）</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（注：若转出基金申购费率不低于转入基金申购费率，转出与转入基金的申购补差费为零）</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对于涉及固定费用的，转出与转入基金的申购补差费＝MAX（0，转出基金和转入基金申购费用之差）</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例一：某投资者持有交银趋势前端收费模式的A类基金份额100,000份，持有期半年，转换申请当日交银趋势的A类基金份额净值为1.0100元，交银成长的基金份额净值为2.2700元。若该投资者将100,000份交银趋势前端A类基金份额转换为交银成长前端基金份额，则转入交银成长确认的基金份额为：</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转出确认金额=100,000×1.0100=101,000元</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转出基金的赎回费=101,000×0.5%=505元</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转入确认金额=101,000-505=100,495元</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转出与转入基金的申购补差费=100,495×0/（1+0）=0元</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转入基金确认份额=（100,495-0）/2.2700=44,270.93份</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二：某投资者持有交银增利A类基金份额1,000,000份，持有期一年半，转换申请当日交银增利A类基金份额的基金份额净值为1.0200元，交银趋势的A类基金份额净值为1.0100元。若该投资者将1,000,000份交银增利A类基金份额转换为交银趋势前端A类基金份额，则转入交银趋势确认的A类基金份额为：</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转出确认金额=1,000,000×1.0200=1,020,000元</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转出基金的赎回费=1,020,000×0.05%=510元</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转入确认金额=1,020,000-510=1,019,490元</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转出与转入基金的申购补差费=1,019,490×0.5%/（1+0.5%）=5,072.09元</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转入基金确认份额=（1,019,490-5,072.09）/1.0100=1,004,374.17份</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三：某投资者持有交银增利C类基金份额100,000份，持有期一年半，转换申请当日交银增利C类基金份额净值为1.2500元，交银精选的基金份额净值为2.2700元。若该投资者将100,000份交银增利C类基金份额转换为交银精选前端基金份额，则转入交银精选确认的基金份额为：</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转入确认金额=125,000-0=125,000元</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转出与转入基金的申购补差费=125,000×1.5%/（1+1.5%）=1,847.29元</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转入基金确认份额=（125,000-1,847.29）/2.2700=54,252.30份</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四：某投资者持有交银货币A级基金份额100,000份，该100,000份基金份额未结转的待支付收益为61.52元，转换申请当日交银增利A类基金份额净值为1.2700元，交银货币的基金份额净值为1.00元。若该投资者将100,000份交银货币A级基金</w:t>
      </w:r>
      <w:r>
        <w:rPr>
          <w:rFonts w:ascii="宋体" w:hAnsi="宋体"/>
          <w:sz w:val="24"/>
        </w:rPr>
        <w:lastRenderedPageBreak/>
        <w:t>份额转换为交银增利A类基金份额，则转入确认的交银增利A类基金份额为：</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转出确认金额=100,000×1.00=100,000元</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转入确认金额=100,000-0=100,000元</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转出与转入基金的申购补差费=100,000×0.8%/（1+0.8%）=793.65元</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转入基金确认份额=（100,000-793.65+61.52）/1.2700=78,163.68份</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2、后端收费模式下基金转换份额的计算公式及举例</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转出确认金额=转出的基金份额×转换申请当日转出基金的基金份额净值</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转出基金的赎回费=转出确认金额×对应的转出基金的赎回费率</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转入确认金额=转出确认金额-转出基金的赎回费</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转出与转入基金的申购补差费=转入确认金额×对应的转出与转入基金的申购补差费率</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五：某投资者持有交银主题后端收费模式的A类基金份额100,000份，持有期一年半，转换申请当日交银主题的A类基金份额净值为1.2500元，交银稳健的基金份额净值为2.2700元。若该投资者将100,000份交银主题后端A类基金份额转换为交银稳健后端基金份额，则转入交银稳健确认的基金份额为：</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转出基金的赎回费=125,000×0.2%=250元</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转入确认金额=125,000-250=124,750元</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转出与转入基金的申购补差费=124,750×0=0元</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转入基金确认份额=（124,750-0）/2.2700=54,955.95份</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例六：某投资者持有交银先锋后端收费模式的A类基金份额100,000份，持有期一年半，转换申请当日交银先锋的A类基金份额净值为1.2500元，交银货币的基金</w:t>
      </w:r>
      <w:r>
        <w:rPr>
          <w:rFonts w:ascii="宋体" w:hAnsi="宋体"/>
          <w:sz w:val="24"/>
        </w:rPr>
        <w:lastRenderedPageBreak/>
        <w:t>份额净值为1.00元。若该投资者将100,000份交银先锋后端A类基金份额转换为交银货币，则转入交银货币的基金份额为：</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转出基金的赎回费=125,000×0.2%=250元</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转入确认金额=125,000-250=124,750元</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转出与转入基金的申购补差费=124,750×1.2%=1497元</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转入基金确认份额=（124,750-1497）/1.00=123,253.00份</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七：某投资者持有交银蓝筹后端收费模式的基金份额100,000份，持有期三年半，转换申请当日交银蓝筹的基金份额净值为0.8500元，交银增利B类基金份额的基金份额净值为1.0500。若该投资者将100,000份交银蓝筹后端基金份额转换为交银增利B类基金份额，则转入交银增利B类基金份额的基金份额为：</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转出确认金额=100,000×0.8500=85,000元</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转出基金的赎回费=85,000×0=0元</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转入确认金额=85,000-0=85,000元</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转出与转入基金的申购补差费=85,000×0.2%=170元</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转入基金确认份额=（85,000-170）/1.0500=80,790.48份</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八：某投资者持有交银货币A级基金份额100,000份，该100,000份基金份额未结转的待支付收益为61.52元，转换申请当日交银增利B类基金份额净值为1.2700元，交银货币的基金份额净值为1.00元。若该投资者将100,000份交银货币A级基金份额转换为交银增利B类基金份额，则转入确认的交银增利B类基金份额为：</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转出确认金额=100,000×1.00=100,000元</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转入确认金额=100,000-0=100,000元</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转出与转入基金的申购补差费=100,000×0=0元</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转入基金确认份额=（100,000-0+61.52）/1.2700=78,788.60份</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（七）业务规则</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转换只能在同一销售机构进行。转换的两只基金必须都是该销售机构销售的同一基金管理人管理的、在同一注册登记机构处注册登记的基金。投资人办理基金转换业务时，转出方的基金必须处于可赎回状态，转入方的基金必须处于可申购状态。</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投资人只能在相同收费模式下进行基金转换。前端收费模式的开放式基金只能转换到前端收费模式的其他基金，后端收费模式的基金只能转换到后端收费模式的其他基金。交银货币、债券基金C类基金份额与其他基金之间的转换不受上述收费模式的限制。</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3、基金转换采取未知价法，即基金的转换价格以申请受理当日各转出、转入基金的基金份额净值为基础进行计算。（货币市场基金的基金份额净值为固定价1.00元）。</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4、投资人申请转出其账户内货币市场基金的基金份额时，注册登记机构将自动结转该转出份额对应的待支付收益，该收益将一并计入转出金额并折算为转入基金的基金份额，但收益部分不收取转换费用。</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5、转换后，转入基金份额的持有时间将重新计算，即转入基金份额的持有期将自转入基金份额被确认日起重新开始计算。</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（八）暂停基金转换</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视同为转出基金的赎回和转入基金的申购，因此有关转出基金和转入基金关于暂停或拒绝申购、暂停赎回的有关规定也一般适用于暂停基金转换。具体暂停或恢复基金转换的相关业务请详见届时本基金管理人发布的相关公告。</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单个开放日，基金净赎回申请份额（该基金赎回申请总份额加上基金转换中转出申请总份额扣除申购申请总份额及基金转换中转入申请总份额后的余额）超过上一日基金总份额的10%时，为巨额赎回。发生巨额赎回时，基金转出与基金赎回具有相同的优先级，本基金管理人可根据基金资产组合情况，决定全额转出或部分转出，并且对于基金转出和基金赎回，将采取相同的比例确认。在转出申请得到部分确认的情况下，未确认的转出申请将自动予以撤销，不再视为下一开放日的基金转换申请。</w:t>
      </w:r>
    </w:p>
    <w:p w:rsidR="00B439CC" w:rsidRDefault="005C6ED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EC60B5" w:rsidRDefault="005C6EDB">
      <w:pPr>
        <w:pStyle w:val="1"/>
        <w:snapToGrid w:val="0"/>
        <w:spacing w:beforeLines="0" w:before="240" w:after="240"/>
        <w:rPr>
          <w:rFonts w:ascii="宋体" w:hAnsi="宋体"/>
          <w:szCs w:val="30"/>
        </w:rPr>
      </w:pPr>
      <w:bookmarkStart w:id="13" w:name="_Toc228201068"/>
      <w:r>
        <w:rPr>
          <w:rFonts w:ascii="Times New Roman" w:hAnsi="Times New Roman"/>
          <w:sz w:val="30"/>
        </w:rPr>
        <w:lastRenderedPageBreak/>
        <w:t>十、基金的投资</w:t>
      </w:r>
      <w:bookmarkEnd w:id="13"/>
    </w:p>
    <w:p w:rsidR="00EC60B5" w:rsidRDefault="005C6E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（一）投资目标</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本基金在控制风险并保持基金资产良好的流动性的前提下，力争为投资者提供长期稳健的投资回报。</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（二）投资范围</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国内依法发行上市的股票（含中小板、创业板及其他经中国证监会核准上市的股票、存托凭证）、债券（含国债、央行票据、金融债、地方政府债、企业债、公司债、可转债（含可分离交易可转换债券）、可交换公司债、次级债、中期票据、短期融资券、超级短期融资券、中小企业私募债等）、资产支持证券、货币市场工具、银行存款、股指期货、权证以及法律法规或中国证监会允许基金投资的其他金融工具（但须符合中国证监会相关规定）。</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比例为：股票资产（含存托凭证）占基金资产的0%-95%，股票资产按照基金所持有的股票市值以及买入、卖出股指期货合约价值合计（轧差计算)；权证的投资比例不超过基金资产净值的3%；每个交易日日终在扣除股指期货合约需缴纳的交易保证金后，基金保留的现金或者投资于到期日在一年以内的政府债券的比例合计不低于基金资产净值的5%，其中现金不包括结算备付金、存出保证金、应收申购款等；基金在任何交易日日终，持有的买入股指期货合约价值，不得超过基金资产净值的10%；基金在任何交易日日终，持有的卖出期货合约价值不得超过基金持有的股票总市值的20%。</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（三）投资策略</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充分发挥基金管理人的研究优势，在分析和判断宏观经济周期和金融市场运行趋势的基础上，自上而下灵活调整基金大类资产配置比例和股票行业配置比例，确定债券组合久期和债券类别配置；在严谨深入的股票和债券研究分析基础上，自下而上精选股票和债券；在保持总体风险水平相对稳定的基础上，力争获取</w:t>
      </w:r>
      <w:r>
        <w:rPr>
          <w:rFonts w:ascii="宋体" w:hAnsi="宋体"/>
          <w:sz w:val="24"/>
        </w:rPr>
        <w:lastRenderedPageBreak/>
        <w:t>投资组合的较高回报。</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1、大类资产配置</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分析和判断国内外宏观经济形势的基础上，通过“自上而下”的定性分析和定量分析相结合，形成对不同大类资产市场的预测和判断，在基金合同约定的范围内确定固定收益类资产、权益类资产和现金的配置比例，并随着市场运行状况以及各类证券风险收益特征的相对变化，动态调整大类资产的投资比例，有效控制基金资产运作风险，提高基金资产风险调整后收益。</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2、股票投资策略</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主要运用交银施罗德股票研究分析方法等投资分析工具，在把握宏观经济运行趋势和股票市场行业轮动的基础上，充分利用公司股票研究团队“自下而上”的主动选股能力，从有着良好增长前景的行业中精选具有投资潜力的股票构建投资组合。具体分以下两个层次进行股票挑选：</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（1）行业选择和配置</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采用多因素的定性与定量相结合的分析和预测方法，确定宏观及行业经济变量的变动对不同行业的潜在影响，得出各行业的相对投资价值与投资时机，据此挑选出预期具有良好增长前景的优势行业，把握行业景气轮换带来的投资机会。</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（2）个股精选</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本基金在前述行业优选的基础上，根据下述标准挑选出其中具有投资潜力的上市公司构建股票池并从中精选个股，且需满足以下要求：</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1）主业清晰并在产品、技术、营销、营运、成本控制等某一方面具有较强竞争优势，销售收入或利润超过行业平均水平；</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2）根据波特五要素分析，行业发展环境良好；</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3）具有较强或可预期的盈利增长前景；</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4）盈利质量较高，经营性现金流加投资收益应该超过净利润（特殊理由除外）；</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5）较好的公司治理结构，财务报表和信息披露较为透明、规范；</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6）股票估值具有吸引力，或符合一定时期内的投资主题。</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对上述重点上市公司进行内在价值的评估和成长性跟踪研究，在明确的价值评估基础上精选优秀质地的投资标的构建股票组合。</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本基金投资存托凭证的策略依照境内上市交易的股票投资策略执行。</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3、债券投资策略</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本基金的债券投资采取主动的投资管理方式，获得与风险相匹配的投资收益，以实现在一定程度上规避股票市场的系统性风险和保证基金资产的流动性。</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全球经济的框架下，本基金管理人对宏观经济运行趋势及其引致的财政货币政策变化作出判断，运用数量化工具，对未来市场利率趋势及市场信用环境变化作出预测，并综合考虑利率变化对不同债券品种的影响、收益率水平、信用风险的大小、流动性的好坏等因素，构造债券组合。在具体操作中，本基金将灵活运用久期控制策略、类属配置策略、收益率曲线配置策略、杠杆放大策略以及信用债、可转债、资产支持证券投资等多种策略，获取债券市场的长期稳定收益。</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（1）久期管理策略</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全球经济的框架下，本基金管理人对宏观经济运行趋势及其引致的财政货币政策变化做出判断，密切跟踪CPI、PPI、汇率、M2等利率敏感指标，运用数量化工具，对未来市场利率趋势进行分析与预测，并据此确定合理的债券组合目标久期。</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（2）债券的类属配置</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定性和定量地分析不同类属债券类资产的信用风险、流动性风险及其经风险调整后的收益率水平或盈利能力，通过比较或合理预期不同类属债券类资产的风险与收益率变化，确定并动态地调整不同类属债券类资产间的配置比例。在控制信用风险和流动性风险为主的基金总体风险水平的前提下，谋求更高的经风险调整后的稳定收益。</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（3）收益率曲线配置策略</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本基金将通过预期收益率曲线形态变化来调整投资组合的头寸。在考察收益率曲线的基础上，将确定采用子弹策略、哑铃策略或梯形策略等，以从收益率曲线的形变中获利。</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（4）杠杆放大策略</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当回购利率低于债券收益率时，本基金将通过正回购融入资金并投资于信用债券等可投资标的，从而获取收益率超出回购资金成本（即回购利率）的套利价值。</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（5）信用债券投资策略</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本基金通过交银施罗德的信用债券信用评级指标体系，对信用债券进行信用评级，并在信用评级的基础上，建立本基金的信用债券池。基金经理从信用债券池中</w:t>
      </w:r>
      <w:r>
        <w:rPr>
          <w:rFonts w:ascii="宋体" w:hAnsi="宋体"/>
          <w:sz w:val="24"/>
        </w:rPr>
        <w:lastRenderedPageBreak/>
        <w:t>精选债券构建信用债券投资组合。</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（6）资产支持证券（含资产收益计划）投资策略</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通过宏观经济、提前偿还率、资产池结构及资产池资产所在行业景气变化等因素的研究，预测资产池未来现金流变化；综合运用久期管理、收益率曲线、个券选择和把握市场交易机会等积极策略，在严格控制风险的情况下，通过信用研究和流动性管理，选择风险调整后的收益高的品种进行投资，以期获得长期稳定收益。</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（7）可转换债券投资策略</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对于可转换债券股性的研究将完全依托于公司投研团队对标的股票的研究，在此基础上利用可转换债券定价模型，充分考虑转债发行后目标转债标的股票股价波动率可能出现的变化，对目标转债的股性进行合理定价。通过对标的转债股性与债性的合理定价，力求寻找出被市场低估的品种，构建本基金可转换债券的投资组合。</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（8）中小企业私募债券投资策略</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中小企业私募债将重点关注其信用风险和流动性风险，综合考虑信用基本面、债券收益率和流动性等要素，在信用风险可控的前提下，追求合理回报。本基金采取自下而上的方法建立适合中小企业私募债的信用评级体系，对个券进行信用分析，根据内部的信用分析方法对可选的中小企业私募债券个券进行严格筛选过滤：重点分析发行主体的公司背景、竞争地位、治理结构、盈利能力、偿债能力、现金流水平等诸多因素，对主体所发行债券进行打分和投资价值评估，分数高于内部投资级要求才能入库投资。在投资是综合考虑虑信用基本面、债券收益率和流动性，选择发行主体资质优良，估值合理且流通相对充分的品种进行适度投资。</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4、权证投资</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权证投资以权证的市场价值分析为基础，配以权证定价模型寻求其合理估值水平，以主动式的科学投资管理为手段，充分考虑权证资产的收益性、流动性及风险性特征，通过资产配置、品种与类属选择，追求基金资产稳定的当期收益。</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5、股指期货投资</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本基金参与股指期货投资将根据风险管理的原则，以套期保值为主要目的。本</w:t>
      </w:r>
      <w:r>
        <w:rPr>
          <w:rFonts w:ascii="宋体" w:hAnsi="宋体"/>
          <w:sz w:val="24"/>
        </w:rPr>
        <w:lastRenderedPageBreak/>
        <w:t>基金将在风险可控的前提下，本着谨慎原则，参与股指期货的投资，以管理投资组合的系统性风险，改善组合的风险收益特性。套期保值将主要采用流动性好、交易活跃的期货合约。本基金在进行股指期货投资时，将通过对证券市场和期货市场运行趋势的研究，并结合股指期货的定价模型寻求其合理的估值水平。</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针对股指期货交易制订严格的授权管理制度和投资决策流程，确保研究分析、投资决策、交易执行及风险控制各环节的独立运作，并明确相关岗位职责。此外，基金管理人建立股指期货交易决策部门或小组，并授权特定的管理人员负责股指期货的投资审批事项。</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（四）投资限制</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1、组合限制</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基金的投资组合应遵循以下限制：</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（1）股票资产（含存托凭证）占基金资产的0%-95%，股票资产按照基金所持有的股票市值以及买入、卖出股指期货合约价值合计（轧差计算)；</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（2）每个交易日日终在扣除股指期货合约需缴纳的交易保证金后，保持不低于基金资产净值5％的现金或者到期日在一年以内的政府债券，其中现金不包括结算备付金、存出保证金、应收申购款等；</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（3）本基金持有一家公司发行的证券，其市值不超过基金资产净值的10%；</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（4）本基金管理人管理的全部基金持有一家公司发行的证券，不超过该证券的10%；</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（5）本基金持有的全部权证，其市值不得超过基金资产净值的3%；</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（6）本基金管理人管理的全部基金持有的同一权证，不得超过该权证的10%；</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（7）本基金在任何交易日买入权证的总金额，不得超过上一交易日基金资产净值的0.5%；</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（8）本基金投资于同一原始权益人的各类资产支持证券的比例，不得超过基金资产净值的10%；</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（9）本基金持有的全部资产支持证券，其市值不得超过基金资产净值的20%；</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（10）本基金持有的同一(指同一信用级别)资产支持证券的比例，不得超过该资产支持证券规模的10%；</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（11）本基金管理人管理的全部基金投资于同一原始权益人的各类资产支持证券，不得超过其各类资产支持证券合计规模的10%；</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（12）本基金应投资于信用级别评级为BBB以上(含BBB)的资产支持证券。基金持有资产支持证券期间，如果其信用等级下降、不再符合投资标准，应在评级报告发布之日起3个月内予以全部卖出；</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（13）基金财产参与股票发行申购，本基金所申报的金额不超过本基金的总资产，本基金所申报的股票数量不超过拟发行股票公司本次发行股票的总量；</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（14）本基金进入全国银行间同业市场进行债券回购的资金余额不得超过基金资产净值的40%，本基金在全国银行间同业市场中的债券回购最长期限为1 年，债券回购到期后不得展期；</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（15）本基金若投资股指期货，则：</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1）本基金在任何交易日日终，持有的买入股指期货合约价值，不得超过基金资产净值的10%；</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在任何交易日日终，持有的买入期货合约价值与有价证券市值之和，不得超过基金资产净值的95%。其中，有价证券指股票、债券（不含到期日在一年以内的政府债券）、权证、资产支持证券、买入返售金融资产（不含质押式回购）等；</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3）本基金在任何交易日日终，持有的卖出期货合约价值不得超过基金持有的股票总市值的20%；</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4）本基金所持有的股票市值和买入、卖出股指期货合约价值，合计（轧差计算）应当符合基金合同关于股票投资比例的有关约定，即占基金资产的0%-95%；</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5）本基金在任何交易日内交易（不包括平仓）的股指期货合约的成交金额不得超过上一交易日基金资产净值的20%；</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6）本基金每个交易日日终在扣除股指期货合约需缴纳的交易保证金后，应当保持不低于基金资产净值5%的现金或到期日在一年以内的政府债券，其中现金不包括结算备付金、存出保证金、应收申购款等。</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（16）本基金的基金资产总值不得超过基金资产净值的140%；</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（17）本基金持有单只中小企业私募债券，其市值不得超过基金资产净值的10%；</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投资流通受限证券，基金管理人应事先根据中国证监会相关规定，与基金托管人在基金托管协议中明确基金投资流通受限证券的比例，根据比例进行投资。基金管理人应制订严格的投资决策流程和风险控制制度，防范流动性风</w:t>
      </w:r>
      <w:r>
        <w:rPr>
          <w:rFonts w:ascii="宋体" w:hAnsi="宋体"/>
          <w:sz w:val="24"/>
        </w:rPr>
        <w:lastRenderedPageBreak/>
        <w:t>险、法律风险和操作风险等各种风险；</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本基金管理人管理的全部开放式基金（包括开放式基金以及处于开放期的定期开放基金）持有一家上市公司发行的可流通股票，不得超过该上市公司可流通股票的15%；本基金管理人管理的全部投资组合持有一家上市公司发行的可流通股票，不得超过该上市公司可流通股票的30%；</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（21）本基金与私募类证券资管产品及中国证监会认定的其他主体为交易对手开展逆回购交易的，可接受质押品的资质要求应当与基金合同约定的投资范围保持一致；</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（22）本基金投资存托凭证的比例限制依照境内上市交易的股票执行；</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（23）法律法规及中国证监会规定的和《基金合同》约定的其他投资限制。</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上述第（2）、（12）、（15）项第6）目、（20）、（21）项外，因证券、期货市场波动、证券发行人合并、基金规模变动等基金管理人之外的因素致使基金投资比例不符合上述规定投资比例的，基金管理人应当在10个交易日内进行调整，但中国证监会规定的特殊情形除外。法律法规另有规定的，从其规定。</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法律法规对上述投资组合比例限制进行变更的，以变更后的规定为准。法律法规或监管部门取消上述限制，如适用于本基金，基金管理人在履行适当程序后，则</w:t>
      </w:r>
      <w:r>
        <w:rPr>
          <w:rFonts w:ascii="宋体" w:hAnsi="宋体"/>
          <w:sz w:val="24"/>
        </w:rPr>
        <w:lastRenderedPageBreak/>
        <w:t>本基金投资不再受相关限制。</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2、禁止行为</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为维护基金份额持有人的合法权益，基金财产不得用于下列投资或者活动：</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（1）承销证券；</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（2）违反规定向他人贷款或者提供担保；</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（3）从事承担无限责任的投资；</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（4）买卖其他基金份额，但是中国证监会另有规定的除外；</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（5）向其基金管理人、基金托管人出资；</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（6）从事内幕交易、操纵证券交易价格及其他不正当的证券交易活动；</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（7）法律、行政法规和中国证监会规定禁止的其他活动。</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如法律、行政法规或监管部门取消上述禁止性规定，如适用于本基金，基金管理人在履行适当程序后，本基金可不受上述规定的限制。</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（五）业绩比较基准</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沪深300指数收益率×10%+中债新综合全价（1-3年）指数收益率×85%+人民币银行活期存款利率（税后）×5%</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沪深300指数是沪深证券交易所第一次联合发布的反映A股市场整体走势的指数，由中证指数公司编制和维护，是在上海和深圳证券市场中选取300只A股作为样本编制而成。该指数样本对沪深市场的覆盖度高，具有良好的市场代表性，投资者可以方便地从报纸、互联网等财经媒体中获取。沪深300指数引进国际指数编制和管理的经验，编制方法清晰透明，具有独立性和良好的市场流动性；与市场整体表现具有较高的相关度，且指数历史表现强于市场平均收益水平，适合作为本基金权益类资产投资的业绩比较基准；</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中债新综合全价（1-3年）指数由中央国债登记结算有限责任公司编制并发布，涵盖了银行间市场和交易所市场，对中短期债券价格变动趋势有较强的代表性。该指数合理、透明、公开，具有较好的市场接受度，作为衡量本基金比较基准较为合适。</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根据本基金的投资范围和投资比例，选用上述业绩比较基准能够客观、合理地反映本基金的风险收益特征。</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如果上述基准指数停止计算编制或更改名称，或者今后法律法规发生变化，又或者市场推出更具权威、且更能够表征本基金风险收益特征的指数，则本基金管理</w:t>
      </w:r>
      <w:r>
        <w:rPr>
          <w:rFonts w:ascii="宋体" w:hAnsi="宋体"/>
          <w:sz w:val="24"/>
        </w:rPr>
        <w:lastRenderedPageBreak/>
        <w:t>人可与本基金托管人协商一致后，调整或变更本基金的业绩比较基准并及时公告，而无需召开基金份额持有人大会。</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（六）风险收益特征</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是一只混合型基金，其风险和预期收益高于债券型基金和货币市场基金，低于股票型基金。属于承担较高风险、预期收益较高的证券投资基金品种。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（七）基金管理人代表基金行使股东及债权人权利的处理原则及方法</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1、基金管理人按照国家有关规定代表基金独立行使股东及债权人权利，保护基金份额持有人的利益；</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2、不谋求对上市公司的控股，不参与所投资上市公司的经营管理；</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3、有利于基金财产的安全与增值；</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4、不通过关联交易为自身、雇员、授权代理人或任何存在利害关系的第三人牟取任何不当利益。</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（八）基金投资组合报告</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基金管理人的董事会及董事保证本报告所载资料不存在虚假记载、误导性陈述或重大遗漏，并对其内容的真实性、准确性和完整性承担个别及连带责任。</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基金托管人中信银行股份有限公司根据本基金合同规定，于2026年04月20日复核了本报告中的财务指标、净值表现和投资组合报告等内容，保证复核内容不存在虚假记载、误导性陈述或者重大遗漏。</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本投资组合报告期为2026年01月01日至03月31日，所载财务数据未经审计师审计。</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1、报告期末基金资产组合情况</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EC60B5">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t>项目</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占基金总资产的比例（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EC60B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权益投资</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right"/>
              <w:rPr>
                <w:rFonts w:ascii="宋体" w:hAnsi="宋体"/>
                <w:color w:val="000000"/>
                <w:kern w:val="0"/>
                <w:sz w:val="25"/>
                <w:szCs w:val="24"/>
              </w:rPr>
            </w:pPr>
            <w:r>
              <w:rPr>
                <w:rFonts w:ascii="Times New Roman" w:hAnsi="Times New Roman"/>
                <w:color w:val="000000"/>
                <w:kern w:val="0"/>
                <w:sz w:val="25"/>
                <w:szCs w:val="24"/>
              </w:rPr>
              <w:t>48,308,291.61</w:t>
            </w:r>
          </w:p>
        </w:tc>
        <w:tc>
          <w:tcPr>
            <w:tcW w:w="40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right"/>
              <w:rPr>
                <w:rFonts w:ascii="宋体" w:hAnsi="宋体"/>
                <w:color w:val="000000"/>
                <w:kern w:val="0"/>
                <w:sz w:val="25"/>
                <w:szCs w:val="24"/>
              </w:rPr>
            </w:pPr>
            <w:r>
              <w:rPr>
                <w:rFonts w:ascii="Times New Roman" w:hAnsi="Times New Roman"/>
                <w:color w:val="000000"/>
                <w:kern w:val="0"/>
                <w:sz w:val="25"/>
                <w:szCs w:val="24"/>
              </w:rPr>
              <w:t>6.40</w:t>
            </w:r>
          </w:p>
        </w:tc>
      </w:tr>
      <w:tr w:rsidR="00EC60B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其中：股票</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right"/>
              <w:rPr>
                <w:rFonts w:ascii="宋体" w:hAnsi="宋体"/>
                <w:color w:val="000000"/>
                <w:kern w:val="0"/>
                <w:sz w:val="25"/>
                <w:szCs w:val="24"/>
              </w:rPr>
            </w:pPr>
            <w:r>
              <w:rPr>
                <w:rFonts w:ascii="Times New Roman" w:hAnsi="Times New Roman"/>
                <w:color w:val="000000"/>
                <w:kern w:val="0"/>
                <w:sz w:val="25"/>
                <w:szCs w:val="24"/>
              </w:rPr>
              <w:t>48,308,291.61</w:t>
            </w:r>
          </w:p>
        </w:tc>
        <w:tc>
          <w:tcPr>
            <w:tcW w:w="40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right"/>
              <w:rPr>
                <w:rFonts w:ascii="宋体" w:hAnsi="宋体"/>
                <w:color w:val="000000"/>
                <w:kern w:val="0"/>
                <w:sz w:val="25"/>
                <w:szCs w:val="24"/>
              </w:rPr>
            </w:pPr>
            <w:r>
              <w:rPr>
                <w:rFonts w:ascii="Times New Roman" w:hAnsi="Times New Roman"/>
                <w:color w:val="000000"/>
                <w:kern w:val="0"/>
                <w:sz w:val="25"/>
                <w:szCs w:val="24"/>
              </w:rPr>
              <w:t>6.40</w:t>
            </w:r>
          </w:p>
        </w:tc>
      </w:tr>
      <w:tr w:rsidR="00EC60B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基金投资</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EC60B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固定收益投资</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right"/>
              <w:rPr>
                <w:rFonts w:ascii="宋体" w:hAnsi="宋体"/>
                <w:color w:val="000000"/>
                <w:kern w:val="0"/>
                <w:sz w:val="25"/>
                <w:szCs w:val="24"/>
              </w:rPr>
            </w:pPr>
            <w:r>
              <w:rPr>
                <w:rFonts w:ascii="Times New Roman" w:hAnsi="Times New Roman"/>
                <w:color w:val="000000"/>
                <w:kern w:val="0"/>
                <w:sz w:val="25"/>
                <w:szCs w:val="24"/>
              </w:rPr>
              <w:t>653,706,151.76</w:t>
            </w:r>
          </w:p>
        </w:tc>
        <w:tc>
          <w:tcPr>
            <w:tcW w:w="40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right"/>
              <w:rPr>
                <w:rFonts w:ascii="宋体" w:hAnsi="宋体"/>
                <w:color w:val="000000"/>
                <w:kern w:val="0"/>
                <w:sz w:val="25"/>
                <w:szCs w:val="24"/>
              </w:rPr>
            </w:pPr>
            <w:r>
              <w:rPr>
                <w:rFonts w:ascii="Times New Roman" w:hAnsi="Times New Roman"/>
                <w:color w:val="000000"/>
                <w:kern w:val="0"/>
                <w:sz w:val="25"/>
                <w:szCs w:val="24"/>
              </w:rPr>
              <w:t>86.65</w:t>
            </w:r>
          </w:p>
        </w:tc>
      </w:tr>
      <w:tr w:rsidR="00EC60B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其中：债券</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right"/>
              <w:rPr>
                <w:rFonts w:ascii="宋体" w:hAnsi="宋体"/>
                <w:color w:val="000000"/>
                <w:kern w:val="0"/>
                <w:sz w:val="25"/>
                <w:szCs w:val="24"/>
              </w:rPr>
            </w:pPr>
            <w:r>
              <w:rPr>
                <w:rFonts w:ascii="Times New Roman" w:hAnsi="Times New Roman"/>
                <w:color w:val="000000"/>
                <w:kern w:val="0"/>
                <w:sz w:val="25"/>
                <w:szCs w:val="24"/>
              </w:rPr>
              <w:t>653,706,151.76</w:t>
            </w:r>
          </w:p>
        </w:tc>
        <w:tc>
          <w:tcPr>
            <w:tcW w:w="40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right"/>
              <w:rPr>
                <w:rFonts w:ascii="宋体" w:hAnsi="宋体"/>
                <w:color w:val="000000"/>
                <w:kern w:val="0"/>
                <w:sz w:val="25"/>
                <w:szCs w:val="24"/>
              </w:rPr>
            </w:pPr>
            <w:r>
              <w:rPr>
                <w:rFonts w:ascii="Times New Roman" w:hAnsi="Times New Roman"/>
                <w:color w:val="000000"/>
                <w:kern w:val="0"/>
                <w:sz w:val="25"/>
                <w:szCs w:val="24"/>
              </w:rPr>
              <w:t>86.65</w:t>
            </w:r>
          </w:p>
        </w:tc>
      </w:tr>
      <w:tr w:rsidR="00EC60B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资产支持证券</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EC60B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贵金属投资</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EC60B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金融衍生品投资</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EC60B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right"/>
              <w:rPr>
                <w:rFonts w:ascii="宋体" w:hAnsi="宋体"/>
                <w:color w:val="000000"/>
                <w:kern w:val="0"/>
                <w:sz w:val="25"/>
                <w:szCs w:val="24"/>
              </w:rPr>
            </w:pPr>
            <w:r>
              <w:rPr>
                <w:rFonts w:ascii="Times New Roman" w:hAnsi="Times New Roman"/>
                <w:color w:val="000000"/>
                <w:kern w:val="0"/>
                <w:sz w:val="25"/>
                <w:szCs w:val="24"/>
              </w:rPr>
              <w:t>46,000,000.00</w:t>
            </w:r>
          </w:p>
        </w:tc>
        <w:tc>
          <w:tcPr>
            <w:tcW w:w="40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right"/>
              <w:rPr>
                <w:rFonts w:ascii="宋体" w:hAnsi="宋体"/>
                <w:color w:val="000000"/>
                <w:kern w:val="0"/>
                <w:sz w:val="25"/>
                <w:szCs w:val="24"/>
              </w:rPr>
            </w:pPr>
            <w:r>
              <w:rPr>
                <w:rFonts w:ascii="Times New Roman" w:hAnsi="Times New Roman"/>
                <w:color w:val="000000"/>
                <w:kern w:val="0"/>
                <w:sz w:val="25"/>
                <w:szCs w:val="24"/>
              </w:rPr>
              <w:t>6.10</w:t>
            </w:r>
          </w:p>
        </w:tc>
      </w:tr>
      <w:tr w:rsidR="00EC60B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其中：买断式回购的买入返售金融资产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EC60B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银行存款和结算备付金合计</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right"/>
              <w:rPr>
                <w:rFonts w:ascii="宋体" w:hAnsi="宋体"/>
                <w:color w:val="000000"/>
                <w:kern w:val="0"/>
                <w:sz w:val="25"/>
                <w:szCs w:val="24"/>
              </w:rPr>
            </w:pPr>
            <w:r>
              <w:rPr>
                <w:rFonts w:ascii="Times New Roman" w:hAnsi="Times New Roman"/>
                <w:color w:val="000000"/>
                <w:kern w:val="0"/>
                <w:sz w:val="25"/>
                <w:szCs w:val="24"/>
              </w:rPr>
              <w:t>5,693,163.21</w:t>
            </w:r>
          </w:p>
        </w:tc>
        <w:tc>
          <w:tcPr>
            <w:tcW w:w="40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right"/>
              <w:rPr>
                <w:rFonts w:ascii="宋体" w:hAnsi="宋体"/>
                <w:color w:val="000000"/>
                <w:kern w:val="0"/>
                <w:sz w:val="25"/>
                <w:szCs w:val="24"/>
              </w:rPr>
            </w:pPr>
            <w:r>
              <w:rPr>
                <w:rFonts w:ascii="Times New Roman" w:hAnsi="Times New Roman"/>
                <w:color w:val="000000"/>
                <w:kern w:val="0"/>
                <w:sz w:val="25"/>
                <w:szCs w:val="24"/>
              </w:rPr>
              <w:t>0.75</w:t>
            </w:r>
          </w:p>
        </w:tc>
      </w:tr>
      <w:tr w:rsidR="00EC60B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其他资产</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right"/>
              <w:rPr>
                <w:rFonts w:ascii="宋体" w:hAnsi="宋体"/>
                <w:color w:val="000000"/>
                <w:kern w:val="0"/>
                <w:sz w:val="25"/>
                <w:szCs w:val="24"/>
              </w:rPr>
            </w:pPr>
            <w:r>
              <w:rPr>
                <w:rFonts w:ascii="Times New Roman" w:hAnsi="Times New Roman"/>
                <w:color w:val="000000"/>
                <w:kern w:val="0"/>
                <w:sz w:val="25"/>
                <w:szCs w:val="24"/>
              </w:rPr>
              <w:t>671,428.93</w:t>
            </w:r>
          </w:p>
        </w:tc>
        <w:tc>
          <w:tcPr>
            <w:tcW w:w="40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right"/>
              <w:rPr>
                <w:rFonts w:ascii="宋体" w:hAnsi="宋体"/>
                <w:color w:val="000000"/>
                <w:kern w:val="0"/>
                <w:sz w:val="25"/>
                <w:szCs w:val="24"/>
              </w:rPr>
            </w:pPr>
            <w:r>
              <w:rPr>
                <w:rFonts w:ascii="Times New Roman" w:hAnsi="Times New Roman"/>
                <w:color w:val="000000"/>
                <w:kern w:val="0"/>
                <w:sz w:val="25"/>
                <w:szCs w:val="24"/>
              </w:rPr>
              <w:t>0.09</w:t>
            </w:r>
          </w:p>
        </w:tc>
      </w:tr>
      <w:tr w:rsidR="00EC60B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right"/>
              <w:rPr>
                <w:rFonts w:ascii="宋体" w:hAnsi="宋体"/>
                <w:color w:val="000000"/>
                <w:kern w:val="0"/>
                <w:sz w:val="25"/>
                <w:szCs w:val="24"/>
              </w:rPr>
            </w:pPr>
            <w:r>
              <w:rPr>
                <w:rFonts w:ascii="Times New Roman" w:hAnsi="Times New Roman"/>
                <w:color w:val="000000"/>
                <w:kern w:val="0"/>
                <w:sz w:val="25"/>
                <w:szCs w:val="24"/>
              </w:rPr>
              <w:t>754,379,035.51</w:t>
            </w:r>
          </w:p>
        </w:tc>
        <w:tc>
          <w:tcPr>
            <w:tcW w:w="40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w:t>
            </w:r>
          </w:p>
        </w:tc>
      </w:tr>
    </w:tbl>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2、报告期末按行业分类的股票投资组合</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 报告期末按行业分类的境内股票投资组合</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EC60B5">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t>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t>行业类别</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EC60B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农、林、牧、渔业</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EC60B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t>B</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采矿业</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right"/>
              <w:rPr>
                <w:rFonts w:ascii="宋体" w:hAnsi="宋体"/>
                <w:color w:val="000000"/>
                <w:kern w:val="0"/>
                <w:sz w:val="25"/>
                <w:szCs w:val="24"/>
              </w:rPr>
            </w:pPr>
            <w:r>
              <w:rPr>
                <w:rFonts w:ascii="Times New Roman" w:hAnsi="Times New Roman"/>
                <w:color w:val="000000"/>
                <w:kern w:val="0"/>
                <w:sz w:val="25"/>
                <w:szCs w:val="24"/>
              </w:rPr>
              <w:t>3,022,635.00</w:t>
            </w:r>
          </w:p>
        </w:tc>
        <w:tc>
          <w:tcPr>
            <w:tcW w:w="40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right"/>
              <w:rPr>
                <w:rFonts w:ascii="宋体" w:hAnsi="宋体"/>
                <w:color w:val="000000"/>
                <w:kern w:val="0"/>
                <w:sz w:val="25"/>
                <w:szCs w:val="24"/>
              </w:rPr>
            </w:pPr>
            <w:r>
              <w:rPr>
                <w:rFonts w:ascii="Times New Roman" w:hAnsi="Times New Roman"/>
                <w:color w:val="000000"/>
                <w:kern w:val="0"/>
                <w:sz w:val="25"/>
                <w:szCs w:val="24"/>
              </w:rPr>
              <w:t>0.45</w:t>
            </w:r>
          </w:p>
        </w:tc>
      </w:tr>
      <w:tr w:rsidR="00EC60B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t>C</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制造业</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right"/>
              <w:rPr>
                <w:rFonts w:ascii="宋体" w:hAnsi="宋体"/>
                <w:color w:val="000000"/>
                <w:kern w:val="0"/>
                <w:sz w:val="25"/>
                <w:szCs w:val="24"/>
              </w:rPr>
            </w:pPr>
            <w:r>
              <w:rPr>
                <w:rFonts w:ascii="Times New Roman" w:hAnsi="Times New Roman"/>
                <w:color w:val="000000"/>
                <w:kern w:val="0"/>
                <w:sz w:val="25"/>
                <w:szCs w:val="24"/>
              </w:rPr>
              <w:t>25,597,993.61</w:t>
            </w:r>
          </w:p>
        </w:tc>
        <w:tc>
          <w:tcPr>
            <w:tcW w:w="40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right"/>
              <w:rPr>
                <w:rFonts w:ascii="宋体" w:hAnsi="宋体"/>
                <w:color w:val="000000"/>
                <w:kern w:val="0"/>
                <w:sz w:val="25"/>
                <w:szCs w:val="24"/>
              </w:rPr>
            </w:pPr>
            <w:r>
              <w:rPr>
                <w:rFonts w:ascii="Times New Roman" w:hAnsi="Times New Roman"/>
                <w:color w:val="000000"/>
                <w:kern w:val="0"/>
                <w:sz w:val="25"/>
                <w:szCs w:val="24"/>
              </w:rPr>
              <w:t>3.77</w:t>
            </w:r>
          </w:p>
        </w:tc>
      </w:tr>
      <w:tr w:rsidR="00EC60B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t>D</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电力、热力、燃气及水生产和供应业</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right"/>
              <w:rPr>
                <w:rFonts w:ascii="宋体" w:hAnsi="宋体"/>
                <w:color w:val="000000"/>
                <w:kern w:val="0"/>
                <w:sz w:val="25"/>
                <w:szCs w:val="24"/>
              </w:rPr>
            </w:pPr>
            <w:r>
              <w:rPr>
                <w:rFonts w:ascii="Times New Roman" w:hAnsi="Times New Roman"/>
                <w:color w:val="000000"/>
                <w:kern w:val="0"/>
                <w:sz w:val="25"/>
                <w:szCs w:val="24"/>
              </w:rPr>
              <w:t>3,187,364.00</w:t>
            </w:r>
          </w:p>
        </w:tc>
        <w:tc>
          <w:tcPr>
            <w:tcW w:w="40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right"/>
              <w:rPr>
                <w:rFonts w:ascii="宋体" w:hAnsi="宋体"/>
                <w:color w:val="000000"/>
                <w:kern w:val="0"/>
                <w:sz w:val="25"/>
                <w:szCs w:val="24"/>
              </w:rPr>
            </w:pPr>
            <w:r>
              <w:rPr>
                <w:rFonts w:ascii="Times New Roman" w:hAnsi="Times New Roman"/>
                <w:color w:val="000000"/>
                <w:kern w:val="0"/>
                <w:sz w:val="25"/>
                <w:szCs w:val="24"/>
              </w:rPr>
              <w:t>0.47</w:t>
            </w:r>
          </w:p>
        </w:tc>
      </w:tr>
      <w:tr w:rsidR="00EC60B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t>E</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建筑业</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right"/>
              <w:rPr>
                <w:rFonts w:ascii="宋体" w:hAnsi="宋体"/>
                <w:color w:val="000000"/>
                <w:kern w:val="0"/>
                <w:sz w:val="25"/>
                <w:szCs w:val="24"/>
              </w:rPr>
            </w:pPr>
            <w:r>
              <w:rPr>
                <w:rFonts w:ascii="Times New Roman" w:hAnsi="Times New Roman"/>
                <w:color w:val="000000"/>
                <w:kern w:val="0"/>
                <w:sz w:val="25"/>
                <w:szCs w:val="24"/>
              </w:rPr>
              <w:t>947,694.00</w:t>
            </w:r>
          </w:p>
        </w:tc>
        <w:tc>
          <w:tcPr>
            <w:tcW w:w="40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right"/>
              <w:rPr>
                <w:rFonts w:ascii="宋体" w:hAnsi="宋体"/>
                <w:color w:val="000000"/>
                <w:kern w:val="0"/>
                <w:sz w:val="25"/>
                <w:szCs w:val="24"/>
              </w:rPr>
            </w:pPr>
            <w:r>
              <w:rPr>
                <w:rFonts w:ascii="Times New Roman" w:hAnsi="Times New Roman"/>
                <w:color w:val="000000"/>
                <w:kern w:val="0"/>
                <w:sz w:val="25"/>
                <w:szCs w:val="24"/>
              </w:rPr>
              <w:t>0.14</w:t>
            </w:r>
          </w:p>
        </w:tc>
      </w:tr>
      <w:tr w:rsidR="00EC60B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t>F</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批发和零售业</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right"/>
              <w:rPr>
                <w:rFonts w:ascii="宋体" w:hAnsi="宋体"/>
                <w:color w:val="000000"/>
                <w:kern w:val="0"/>
                <w:sz w:val="25"/>
                <w:szCs w:val="24"/>
              </w:rPr>
            </w:pPr>
            <w:r>
              <w:rPr>
                <w:rFonts w:ascii="Times New Roman" w:hAnsi="Times New Roman"/>
                <w:color w:val="000000"/>
                <w:kern w:val="0"/>
                <w:sz w:val="25"/>
                <w:szCs w:val="24"/>
              </w:rPr>
              <w:t>734,006.00</w:t>
            </w:r>
          </w:p>
        </w:tc>
        <w:tc>
          <w:tcPr>
            <w:tcW w:w="40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right"/>
              <w:rPr>
                <w:rFonts w:ascii="宋体" w:hAnsi="宋体"/>
                <w:color w:val="000000"/>
                <w:kern w:val="0"/>
                <w:sz w:val="25"/>
                <w:szCs w:val="24"/>
              </w:rPr>
            </w:pPr>
            <w:r>
              <w:rPr>
                <w:rFonts w:ascii="Times New Roman" w:hAnsi="Times New Roman"/>
                <w:color w:val="000000"/>
                <w:kern w:val="0"/>
                <w:sz w:val="25"/>
                <w:szCs w:val="24"/>
              </w:rPr>
              <w:t>0.11</w:t>
            </w:r>
          </w:p>
        </w:tc>
      </w:tr>
      <w:tr w:rsidR="00EC60B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t>G</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交通运输、仓储和邮政业</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right"/>
              <w:rPr>
                <w:rFonts w:ascii="宋体" w:hAnsi="宋体"/>
                <w:color w:val="000000"/>
                <w:kern w:val="0"/>
                <w:sz w:val="25"/>
                <w:szCs w:val="24"/>
              </w:rPr>
            </w:pPr>
            <w:r>
              <w:rPr>
                <w:rFonts w:ascii="Times New Roman" w:hAnsi="Times New Roman"/>
                <w:color w:val="000000"/>
                <w:kern w:val="0"/>
                <w:sz w:val="25"/>
                <w:szCs w:val="24"/>
              </w:rPr>
              <w:t>2,249,655.00</w:t>
            </w:r>
          </w:p>
        </w:tc>
        <w:tc>
          <w:tcPr>
            <w:tcW w:w="40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right"/>
              <w:rPr>
                <w:rFonts w:ascii="宋体" w:hAnsi="宋体"/>
                <w:color w:val="000000"/>
                <w:kern w:val="0"/>
                <w:sz w:val="25"/>
                <w:szCs w:val="24"/>
              </w:rPr>
            </w:pPr>
            <w:r>
              <w:rPr>
                <w:rFonts w:ascii="Times New Roman" w:hAnsi="Times New Roman"/>
                <w:color w:val="000000"/>
                <w:kern w:val="0"/>
                <w:sz w:val="25"/>
                <w:szCs w:val="24"/>
              </w:rPr>
              <w:t>0.33</w:t>
            </w:r>
          </w:p>
        </w:tc>
      </w:tr>
      <w:tr w:rsidR="00EC60B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t>H</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住宿和餐饮业</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EC60B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t>I</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信息传输、软件和信息技术服务业</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right"/>
              <w:rPr>
                <w:rFonts w:ascii="宋体" w:hAnsi="宋体"/>
                <w:color w:val="000000"/>
                <w:kern w:val="0"/>
                <w:sz w:val="25"/>
                <w:szCs w:val="24"/>
              </w:rPr>
            </w:pPr>
            <w:r>
              <w:rPr>
                <w:rFonts w:ascii="Times New Roman" w:hAnsi="Times New Roman"/>
                <w:color w:val="000000"/>
                <w:kern w:val="0"/>
                <w:sz w:val="25"/>
                <w:szCs w:val="24"/>
              </w:rPr>
              <w:t>2,725,969.00</w:t>
            </w:r>
          </w:p>
        </w:tc>
        <w:tc>
          <w:tcPr>
            <w:tcW w:w="40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right"/>
              <w:rPr>
                <w:rFonts w:ascii="宋体" w:hAnsi="宋体"/>
                <w:color w:val="000000"/>
                <w:kern w:val="0"/>
                <w:sz w:val="25"/>
                <w:szCs w:val="24"/>
              </w:rPr>
            </w:pPr>
            <w:r>
              <w:rPr>
                <w:rFonts w:ascii="Times New Roman" w:hAnsi="Times New Roman"/>
                <w:color w:val="000000"/>
                <w:kern w:val="0"/>
                <w:sz w:val="25"/>
                <w:szCs w:val="24"/>
              </w:rPr>
              <w:t>0.40</w:t>
            </w:r>
          </w:p>
        </w:tc>
      </w:tr>
      <w:tr w:rsidR="00EC60B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t>J</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金融业</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right"/>
              <w:rPr>
                <w:rFonts w:ascii="宋体" w:hAnsi="宋体"/>
                <w:color w:val="000000"/>
                <w:kern w:val="0"/>
                <w:sz w:val="25"/>
                <w:szCs w:val="24"/>
              </w:rPr>
            </w:pPr>
            <w:r>
              <w:rPr>
                <w:rFonts w:ascii="Times New Roman" w:hAnsi="Times New Roman"/>
                <w:color w:val="000000"/>
                <w:kern w:val="0"/>
                <w:sz w:val="25"/>
                <w:szCs w:val="24"/>
              </w:rPr>
              <w:t>7,594,359.00</w:t>
            </w:r>
          </w:p>
        </w:tc>
        <w:tc>
          <w:tcPr>
            <w:tcW w:w="40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right"/>
              <w:rPr>
                <w:rFonts w:ascii="宋体" w:hAnsi="宋体"/>
                <w:color w:val="000000"/>
                <w:kern w:val="0"/>
                <w:sz w:val="25"/>
                <w:szCs w:val="24"/>
              </w:rPr>
            </w:pPr>
            <w:r>
              <w:rPr>
                <w:rFonts w:ascii="Times New Roman" w:hAnsi="Times New Roman"/>
                <w:color w:val="000000"/>
                <w:kern w:val="0"/>
                <w:sz w:val="25"/>
                <w:szCs w:val="24"/>
              </w:rPr>
              <w:t>1.12</w:t>
            </w:r>
          </w:p>
        </w:tc>
      </w:tr>
      <w:tr w:rsidR="00EC60B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t>K</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房地产业</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right"/>
              <w:rPr>
                <w:rFonts w:ascii="宋体" w:hAnsi="宋体"/>
                <w:color w:val="000000"/>
                <w:kern w:val="0"/>
                <w:sz w:val="25"/>
                <w:szCs w:val="24"/>
              </w:rPr>
            </w:pPr>
            <w:r>
              <w:rPr>
                <w:rFonts w:ascii="Times New Roman" w:hAnsi="Times New Roman"/>
                <w:color w:val="000000"/>
                <w:kern w:val="0"/>
                <w:sz w:val="25"/>
                <w:szCs w:val="24"/>
              </w:rPr>
              <w:t>466,765.00</w:t>
            </w:r>
          </w:p>
        </w:tc>
        <w:tc>
          <w:tcPr>
            <w:tcW w:w="40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right"/>
              <w:rPr>
                <w:rFonts w:ascii="宋体" w:hAnsi="宋体"/>
                <w:color w:val="000000"/>
                <w:kern w:val="0"/>
                <w:sz w:val="25"/>
                <w:szCs w:val="24"/>
              </w:rPr>
            </w:pPr>
            <w:r>
              <w:rPr>
                <w:rFonts w:ascii="Times New Roman" w:hAnsi="Times New Roman"/>
                <w:color w:val="000000"/>
                <w:kern w:val="0"/>
                <w:sz w:val="25"/>
                <w:szCs w:val="24"/>
              </w:rPr>
              <w:t>0.07</w:t>
            </w:r>
          </w:p>
        </w:tc>
      </w:tr>
      <w:tr w:rsidR="00EC60B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t>L</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租赁和商务服务业</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EC60B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t>M</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科学研究和技术服务业</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right"/>
              <w:rPr>
                <w:rFonts w:ascii="宋体" w:hAnsi="宋体"/>
                <w:color w:val="000000"/>
                <w:kern w:val="0"/>
                <w:sz w:val="25"/>
                <w:szCs w:val="24"/>
              </w:rPr>
            </w:pPr>
            <w:r>
              <w:rPr>
                <w:rFonts w:ascii="Times New Roman" w:hAnsi="Times New Roman"/>
                <w:color w:val="000000"/>
                <w:kern w:val="0"/>
                <w:sz w:val="25"/>
                <w:szCs w:val="24"/>
              </w:rPr>
              <w:t>477,545.00</w:t>
            </w:r>
          </w:p>
        </w:tc>
        <w:tc>
          <w:tcPr>
            <w:tcW w:w="40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right"/>
              <w:rPr>
                <w:rFonts w:ascii="宋体" w:hAnsi="宋体"/>
                <w:color w:val="000000"/>
                <w:kern w:val="0"/>
                <w:sz w:val="25"/>
                <w:szCs w:val="24"/>
              </w:rPr>
            </w:pPr>
            <w:r>
              <w:rPr>
                <w:rFonts w:ascii="Times New Roman" w:hAnsi="Times New Roman"/>
                <w:color w:val="000000"/>
                <w:kern w:val="0"/>
                <w:sz w:val="25"/>
                <w:szCs w:val="24"/>
              </w:rPr>
              <w:t>0.07</w:t>
            </w:r>
          </w:p>
        </w:tc>
      </w:tr>
      <w:tr w:rsidR="00EC60B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t>N</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水利、环境和公共设施管理业</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EC60B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t>O</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居民服务、修理和其他服务业</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EC60B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t>P</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教育</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EC60B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t>Q</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卫生和社会工作</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EC60B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t>R</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文化、体育和娱乐业</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right"/>
              <w:rPr>
                <w:rFonts w:ascii="宋体" w:hAnsi="宋体"/>
                <w:color w:val="000000"/>
                <w:kern w:val="0"/>
                <w:sz w:val="25"/>
                <w:szCs w:val="24"/>
              </w:rPr>
            </w:pPr>
            <w:r>
              <w:rPr>
                <w:rFonts w:ascii="Times New Roman" w:hAnsi="Times New Roman"/>
                <w:color w:val="000000"/>
                <w:kern w:val="0"/>
                <w:sz w:val="25"/>
                <w:szCs w:val="24"/>
              </w:rPr>
              <w:t>1,304,306.00</w:t>
            </w:r>
          </w:p>
        </w:tc>
        <w:tc>
          <w:tcPr>
            <w:tcW w:w="40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right"/>
              <w:rPr>
                <w:rFonts w:ascii="宋体" w:hAnsi="宋体"/>
                <w:color w:val="000000"/>
                <w:kern w:val="0"/>
                <w:sz w:val="25"/>
                <w:szCs w:val="24"/>
              </w:rPr>
            </w:pPr>
            <w:r>
              <w:rPr>
                <w:rFonts w:ascii="Times New Roman" w:hAnsi="Times New Roman"/>
                <w:color w:val="000000"/>
                <w:kern w:val="0"/>
                <w:sz w:val="25"/>
                <w:szCs w:val="24"/>
              </w:rPr>
              <w:t>0.19</w:t>
            </w:r>
          </w:p>
        </w:tc>
      </w:tr>
      <w:tr w:rsidR="00EC60B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t>S</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综合</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EC60B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right"/>
              <w:rPr>
                <w:rFonts w:ascii="宋体" w:hAnsi="宋体"/>
                <w:color w:val="000000"/>
                <w:kern w:val="0"/>
                <w:sz w:val="25"/>
                <w:szCs w:val="24"/>
              </w:rPr>
            </w:pPr>
            <w:r>
              <w:rPr>
                <w:rFonts w:ascii="Times New Roman" w:hAnsi="Times New Roman"/>
                <w:color w:val="000000"/>
                <w:kern w:val="0"/>
                <w:sz w:val="25"/>
                <w:szCs w:val="24"/>
              </w:rPr>
              <w:t>48,308,291.61</w:t>
            </w:r>
          </w:p>
        </w:tc>
        <w:tc>
          <w:tcPr>
            <w:tcW w:w="40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right"/>
              <w:rPr>
                <w:rFonts w:ascii="宋体" w:hAnsi="宋体"/>
                <w:color w:val="000000"/>
                <w:kern w:val="0"/>
                <w:sz w:val="25"/>
                <w:szCs w:val="24"/>
              </w:rPr>
            </w:pPr>
            <w:r>
              <w:rPr>
                <w:rFonts w:ascii="Times New Roman" w:hAnsi="Times New Roman"/>
                <w:color w:val="000000"/>
                <w:kern w:val="0"/>
                <w:sz w:val="25"/>
                <w:szCs w:val="24"/>
              </w:rPr>
              <w:t>7.11</w:t>
            </w:r>
          </w:p>
        </w:tc>
      </w:tr>
    </w:tbl>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 报告期末按行业分类的港股通投资股票投资组合</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3、期末按公允价值占基金资产净值比例大小排序的股票投资明细</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 报告期末按公允价值占基金资产净值比例大小排序的前十名股票投资明细</w:t>
      </w:r>
    </w:p>
    <w:tbl>
      <w:tblPr>
        <w:tblW w:w="5000" w:type="pct"/>
        <w:tblCellMar>
          <w:left w:w="0" w:type="dxa"/>
          <w:right w:w="0" w:type="dxa"/>
        </w:tblCellMar>
        <w:tblLook w:val="0000" w:firstRow="0" w:lastRow="0" w:firstColumn="0" w:lastColumn="0" w:noHBand="0" w:noVBand="0"/>
      </w:tblPr>
      <w:tblGrid>
        <w:gridCol w:w="542"/>
        <w:gridCol w:w="1625"/>
        <w:gridCol w:w="1625"/>
        <w:gridCol w:w="1626"/>
        <w:gridCol w:w="1626"/>
        <w:gridCol w:w="1626"/>
      </w:tblGrid>
      <w:tr w:rsidR="00EC60B5">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数量（股）</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EC60B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t>600519</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t>贵州茅台</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right"/>
              <w:rPr>
                <w:rFonts w:ascii="宋体" w:hAnsi="宋体"/>
                <w:color w:val="000000"/>
                <w:kern w:val="0"/>
                <w:sz w:val="25"/>
                <w:szCs w:val="24"/>
              </w:rPr>
            </w:pPr>
            <w:r>
              <w:rPr>
                <w:rFonts w:ascii="Times New Roman" w:hAnsi="Times New Roman"/>
                <w:color w:val="000000"/>
                <w:kern w:val="0"/>
                <w:sz w:val="25"/>
                <w:szCs w:val="24"/>
              </w:rPr>
              <w:t>900</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right"/>
              <w:rPr>
                <w:rFonts w:ascii="宋体" w:hAnsi="宋体"/>
                <w:color w:val="000000"/>
                <w:kern w:val="0"/>
                <w:sz w:val="25"/>
                <w:szCs w:val="24"/>
              </w:rPr>
            </w:pPr>
            <w:r>
              <w:rPr>
                <w:rFonts w:ascii="Times New Roman" w:hAnsi="Times New Roman"/>
                <w:color w:val="000000"/>
                <w:kern w:val="0"/>
                <w:sz w:val="25"/>
                <w:szCs w:val="24"/>
              </w:rPr>
              <w:t>1,305,000.00</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right"/>
              <w:rPr>
                <w:rFonts w:ascii="宋体" w:hAnsi="宋体"/>
                <w:color w:val="000000"/>
                <w:kern w:val="0"/>
                <w:sz w:val="25"/>
                <w:szCs w:val="24"/>
              </w:rPr>
            </w:pPr>
            <w:r>
              <w:rPr>
                <w:rFonts w:ascii="Times New Roman" w:hAnsi="Times New Roman"/>
                <w:color w:val="000000"/>
                <w:kern w:val="0"/>
                <w:sz w:val="25"/>
                <w:szCs w:val="24"/>
              </w:rPr>
              <w:t>0.19</w:t>
            </w:r>
          </w:p>
        </w:tc>
      </w:tr>
      <w:tr w:rsidR="00EC60B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t>601088</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t>中国神华</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right"/>
              <w:rPr>
                <w:rFonts w:ascii="宋体" w:hAnsi="宋体"/>
                <w:color w:val="000000"/>
                <w:kern w:val="0"/>
                <w:sz w:val="25"/>
                <w:szCs w:val="24"/>
              </w:rPr>
            </w:pPr>
            <w:r>
              <w:rPr>
                <w:rFonts w:ascii="Times New Roman" w:hAnsi="Times New Roman"/>
                <w:color w:val="000000"/>
                <w:kern w:val="0"/>
                <w:sz w:val="25"/>
                <w:szCs w:val="24"/>
              </w:rPr>
              <w:t>22,600</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right"/>
              <w:rPr>
                <w:rFonts w:ascii="宋体" w:hAnsi="宋体"/>
                <w:color w:val="000000"/>
                <w:kern w:val="0"/>
                <w:sz w:val="25"/>
                <w:szCs w:val="24"/>
              </w:rPr>
            </w:pPr>
            <w:r>
              <w:rPr>
                <w:rFonts w:ascii="Times New Roman" w:hAnsi="Times New Roman"/>
                <w:color w:val="000000"/>
                <w:kern w:val="0"/>
                <w:sz w:val="25"/>
                <w:szCs w:val="24"/>
              </w:rPr>
              <w:t>1,056,550.00</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right"/>
              <w:rPr>
                <w:rFonts w:ascii="宋体" w:hAnsi="宋体"/>
                <w:color w:val="000000"/>
                <w:kern w:val="0"/>
                <w:sz w:val="25"/>
                <w:szCs w:val="24"/>
              </w:rPr>
            </w:pPr>
            <w:r>
              <w:rPr>
                <w:rFonts w:ascii="Times New Roman" w:hAnsi="Times New Roman"/>
                <w:color w:val="000000"/>
                <w:kern w:val="0"/>
                <w:sz w:val="25"/>
                <w:szCs w:val="24"/>
              </w:rPr>
              <w:t>0.16</w:t>
            </w:r>
          </w:p>
        </w:tc>
      </w:tr>
      <w:tr w:rsidR="00EC60B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t>601988</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t>中国银行</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right"/>
              <w:rPr>
                <w:rFonts w:ascii="宋体" w:hAnsi="宋体"/>
                <w:color w:val="000000"/>
                <w:kern w:val="0"/>
                <w:sz w:val="25"/>
                <w:szCs w:val="24"/>
              </w:rPr>
            </w:pPr>
            <w:r>
              <w:rPr>
                <w:rFonts w:ascii="Times New Roman" w:hAnsi="Times New Roman"/>
                <w:color w:val="000000"/>
                <w:kern w:val="0"/>
                <w:sz w:val="25"/>
                <w:szCs w:val="24"/>
              </w:rPr>
              <w:t>139,400</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right"/>
              <w:rPr>
                <w:rFonts w:ascii="宋体" w:hAnsi="宋体"/>
                <w:color w:val="000000"/>
                <w:kern w:val="0"/>
                <w:sz w:val="25"/>
                <w:szCs w:val="24"/>
              </w:rPr>
            </w:pPr>
            <w:r>
              <w:rPr>
                <w:rFonts w:ascii="Times New Roman" w:hAnsi="Times New Roman"/>
                <w:color w:val="000000"/>
                <w:kern w:val="0"/>
                <w:sz w:val="25"/>
                <w:szCs w:val="24"/>
              </w:rPr>
              <w:t>818,278.00</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right"/>
              <w:rPr>
                <w:rFonts w:ascii="宋体" w:hAnsi="宋体"/>
                <w:color w:val="000000"/>
                <w:kern w:val="0"/>
                <w:sz w:val="25"/>
                <w:szCs w:val="24"/>
              </w:rPr>
            </w:pPr>
            <w:r>
              <w:rPr>
                <w:rFonts w:ascii="Times New Roman" w:hAnsi="Times New Roman"/>
                <w:color w:val="000000"/>
                <w:kern w:val="0"/>
                <w:sz w:val="25"/>
                <w:szCs w:val="24"/>
              </w:rPr>
              <w:t>0.12</w:t>
            </w:r>
          </w:p>
        </w:tc>
      </w:tr>
      <w:tr w:rsidR="00EC60B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t>000975</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t>山金国际</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right"/>
              <w:rPr>
                <w:rFonts w:ascii="宋体" w:hAnsi="宋体"/>
                <w:color w:val="000000"/>
                <w:kern w:val="0"/>
                <w:sz w:val="25"/>
                <w:szCs w:val="24"/>
              </w:rPr>
            </w:pPr>
            <w:r>
              <w:rPr>
                <w:rFonts w:ascii="Times New Roman" w:hAnsi="Times New Roman"/>
                <w:color w:val="000000"/>
                <w:kern w:val="0"/>
                <w:sz w:val="25"/>
                <w:szCs w:val="24"/>
              </w:rPr>
              <w:t>27,000</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right"/>
              <w:rPr>
                <w:rFonts w:ascii="宋体" w:hAnsi="宋体"/>
                <w:color w:val="000000"/>
                <w:kern w:val="0"/>
                <w:sz w:val="25"/>
                <w:szCs w:val="24"/>
              </w:rPr>
            </w:pPr>
            <w:r>
              <w:rPr>
                <w:rFonts w:ascii="Times New Roman" w:hAnsi="Times New Roman"/>
                <w:color w:val="000000"/>
                <w:kern w:val="0"/>
                <w:sz w:val="25"/>
                <w:szCs w:val="24"/>
              </w:rPr>
              <w:t>801,360.00</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right"/>
              <w:rPr>
                <w:rFonts w:ascii="宋体" w:hAnsi="宋体"/>
                <w:color w:val="000000"/>
                <w:kern w:val="0"/>
                <w:sz w:val="25"/>
                <w:szCs w:val="24"/>
              </w:rPr>
            </w:pPr>
            <w:r>
              <w:rPr>
                <w:rFonts w:ascii="Times New Roman" w:hAnsi="Times New Roman"/>
                <w:color w:val="000000"/>
                <w:kern w:val="0"/>
                <w:sz w:val="25"/>
                <w:szCs w:val="24"/>
              </w:rPr>
              <w:t>0.12</w:t>
            </w:r>
          </w:p>
        </w:tc>
      </w:tr>
      <w:tr w:rsidR="00EC60B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t>300308</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t>中际旭创</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right"/>
              <w:rPr>
                <w:rFonts w:ascii="宋体" w:hAnsi="宋体"/>
                <w:color w:val="000000"/>
                <w:kern w:val="0"/>
                <w:sz w:val="25"/>
                <w:szCs w:val="24"/>
              </w:rPr>
            </w:pPr>
            <w:r>
              <w:rPr>
                <w:rFonts w:ascii="Times New Roman" w:hAnsi="Times New Roman"/>
                <w:color w:val="000000"/>
                <w:kern w:val="0"/>
                <w:sz w:val="25"/>
                <w:szCs w:val="24"/>
              </w:rPr>
              <w:t>1,400</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right"/>
              <w:rPr>
                <w:rFonts w:ascii="宋体" w:hAnsi="宋体"/>
                <w:color w:val="000000"/>
                <w:kern w:val="0"/>
                <w:sz w:val="25"/>
                <w:szCs w:val="24"/>
              </w:rPr>
            </w:pPr>
            <w:r>
              <w:rPr>
                <w:rFonts w:ascii="Times New Roman" w:hAnsi="Times New Roman"/>
                <w:color w:val="000000"/>
                <w:kern w:val="0"/>
                <w:sz w:val="25"/>
                <w:szCs w:val="24"/>
              </w:rPr>
              <w:t>797,174.00</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right"/>
              <w:rPr>
                <w:rFonts w:ascii="宋体" w:hAnsi="宋体"/>
                <w:color w:val="000000"/>
                <w:kern w:val="0"/>
                <w:sz w:val="25"/>
                <w:szCs w:val="24"/>
              </w:rPr>
            </w:pPr>
            <w:r>
              <w:rPr>
                <w:rFonts w:ascii="Times New Roman" w:hAnsi="Times New Roman"/>
                <w:color w:val="000000"/>
                <w:kern w:val="0"/>
                <w:sz w:val="25"/>
                <w:szCs w:val="24"/>
              </w:rPr>
              <w:t>0.12</w:t>
            </w:r>
          </w:p>
        </w:tc>
      </w:tr>
      <w:tr w:rsidR="00EC60B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t>601952</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t>苏垦农发</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right"/>
              <w:rPr>
                <w:rFonts w:ascii="宋体" w:hAnsi="宋体"/>
                <w:color w:val="000000"/>
                <w:kern w:val="0"/>
                <w:sz w:val="25"/>
                <w:szCs w:val="24"/>
              </w:rPr>
            </w:pPr>
            <w:r>
              <w:rPr>
                <w:rFonts w:ascii="Times New Roman" w:hAnsi="Times New Roman"/>
                <w:color w:val="000000"/>
                <w:kern w:val="0"/>
                <w:sz w:val="25"/>
                <w:szCs w:val="24"/>
              </w:rPr>
              <w:t>75,000</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right"/>
              <w:rPr>
                <w:rFonts w:ascii="宋体" w:hAnsi="宋体"/>
                <w:color w:val="000000"/>
                <w:kern w:val="0"/>
                <w:sz w:val="25"/>
                <w:szCs w:val="24"/>
              </w:rPr>
            </w:pPr>
            <w:r>
              <w:rPr>
                <w:rFonts w:ascii="Times New Roman" w:hAnsi="Times New Roman"/>
                <w:color w:val="000000"/>
                <w:kern w:val="0"/>
                <w:sz w:val="25"/>
                <w:szCs w:val="24"/>
              </w:rPr>
              <w:t>765,000.00</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right"/>
              <w:rPr>
                <w:rFonts w:ascii="宋体" w:hAnsi="宋体"/>
                <w:color w:val="000000"/>
                <w:kern w:val="0"/>
                <w:sz w:val="25"/>
                <w:szCs w:val="24"/>
              </w:rPr>
            </w:pPr>
            <w:r>
              <w:rPr>
                <w:rFonts w:ascii="Times New Roman" w:hAnsi="Times New Roman"/>
                <w:color w:val="000000"/>
                <w:kern w:val="0"/>
                <w:sz w:val="25"/>
                <w:szCs w:val="24"/>
              </w:rPr>
              <w:t>0.11</w:t>
            </w:r>
          </w:p>
        </w:tc>
      </w:tr>
      <w:tr w:rsidR="00EC60B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t>000333</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t>美的集团</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right"/>
              <w:rPr>
                <w:rFonts w:ascii="宋体" w:hAnsi="宋体"/>
                <w:color w:val="000000"/>
                <w:kern w:val="0"/>
                <w:sz w:val="25"/>
                <w:szCs w:val="24"/>
              </w:rPr>
            </w:pPr>
            <w:r>
              <w:rPr>
                <w:rFonts w:ascii="Times New Roman" w:hAnsi="Times New Roman"/>
                <w:color w:val="000000"/>
                <w:kern w:val="0"/>
                <w:sz w:val="25"/>
                <w:szCs w:val="24"/>
              </w:rPr>
              <w:t>9,100</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right"/>
              <w:rPr>
                <w:rFonts w:ascii="宋体" w:hAnsi="宋体"/>
                <w:color w:val="000000"/>
                <w:kern w:val="0"/>
                <w:sz w:val="25"/>
                <w:szCs w:val="24"/>
              </w:rPr>
            </w:pPr>
            <w:r>
              <w:rPr>
                <w:rFonts w:ascii="Times New Roman" w:hAnsi="Times New Roman"/>
                <w:color w:val="000000"/>
                <w:kern w:val="0"/>
                <w:sz w:val="25"/>
                <w:szCs w:val="24"/>
              </w:rPr>
              <w:t>694,785.00</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right"/>
              <w:rPr>
                <w:rFonts w:ascii="宋体" w:hAnsi="宋体"/>
                <w:color w:val="000000"/>
                <w:kern w:val="0"/>
                <w:sz w:val="25"/>
                <w:szCs w:val="24"/>
              </w:rPr>
            </w:pPr>
            <w:r>
              <w:rPr>
                <w:rFonts w:ascii="Times New Roman" w:hAnsi="Times New Roman"/>
                <w:color w:val="000000"/>
                <w:kern w:val="0"/>
                <w:sz w:val="25"/>
                <w:szCs w:val="24"/>
              </w:rPr>
              <w:t>0.10</w:t>
            </w:r>
          </w:p>
        </w:tc>
      </w:tr>
      <w:tr w:rsidR="00EC60B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t>002555</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t>三七互娱</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right"/>
              <w:rPr>
                <w:rFonts w:ascii="宋体" w:hAnsi="宋体"/>
                <w:color w:val="000000"/>
                <w:kern w:val="0"/>
                <w:sz w:val="25"/>
                <w:szCs w:val="24"/>
              </w:rPr>
            </w:pPr>
            <w:r>
              <w:rPr>
                <w:rFonts w:ascii="Times New Roman" w:hAnsi="Times New Roman"/>
                <w:color w:val="000000"/>
                <w:kern w:val="0"/>
                <w:sz w:val="25"/>
                <w:szCs w:val="24"/>
              </w:rPr>
              <w:t>30,300</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right"/>
              <w:rPr>
                <w:rFonts w:ascii="宋体" w:hAnsi="宋体"/>
                <w:color w:val="000000"/>
                <w:kern w:val="0"/>
                <w:sz w:val="25"/>
                <w:szCs w:val="24"/>
              </w:rPr>
            </w:pPr>
            <w:r>
              <w:rPr>
                <w:rFonts w:ascii="Times New Roman" w:hAnsi="Times New Roman"/>
                <w:color w:val="000000"/>
                <w:kern w:val="0"/>
                <w:sz w:val="25"/>
                <w:szCs w:val="24"/>
              </w:rPr>
              <w:t>648,723.00</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right"/>
              <w:rPr>
                <w:rFonts w:ascii="宋体" w:hAnsi="宋体"/>
                <w:color w:val="000000"/>
                <w:kern w:val="0"/>
                <w:sz w:val="25"/>
                <w:szCs w:val="24"/>
              </w:rPr>
            </w:pPr>
            <w:r>
              <w:rPr>
                <w:rFonts w:ascii="Times New Roman" w:hAnsi="Times New Roman"/>
                <w:color w:val="000000"/>
                <w:kern w:val="0"/>
                <w:sz w:val="25"/>
                <w:szCs w:val="24"/>
              </w:rPr>
              <w:t>0.10</w:t>
            </w:r>
          </w:p>
        </w:tc>
      </w:tr>
      <w:tr w:rsidR="00EC60B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t>000895</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t>双汇发展</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right"/>
              <w:rPr>
                <w:rFonts w:ascii="宋体" w:hAnsi="宋体"/>
                <w:color w:val="000000"/>
                <w:kern w:val="0"/>
                <w:sz w:val="25"/>
                <w:szCs w:val="24"/>
              </w:rPr>
            </w:pPr>
            <w:r>
              <w:rPr>
                <w:rFonts w:ascii="Times New Roman" w:hAnsi="Times New Roman"/>
                <w:color w:val="000000"/>
                <w:kern w:val="0"/>
                <w:sz w:val="25"/>
                <w:szCs w:val="24"/>
              </w:rPr>
              <w:t>21,300</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right"/>
              <w:rPr>
                <w:rFonts w:ascii="宋体" w:hAnsi="宋体"/>
                <w:color w:val="000000"/>
                <w:kern w:val="0"/>
                <w:sz w:val="25"/>
                <w:szCs w:val="24"/>
              </w:rPr>
            </w:pPr>
            <w:r>
              <w:rPr>
                <w:rFonts w:ascii="Times New Roman" w:hAnsi="Times New Roman"/>
                <w:color w:val="000000"/>
                <w:kern w:val="0"/>
                <w:sz w:val="25"/>
                <w:szCs w:val="24"/>
              </w:rPr>
              <w:t>604,920.00</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right"/>
              <w:rPr>
                <w:rFonts w:ascii="宋体" w:hAnsi="宋体"/>
                <w:color w:val="000000"/>
                <w:kern w:val="0"/>
                <w:sz w:val="25"/>
                <w:szCs w:val="24"/>
              </w:rPr>
            </w:pPr>
            <w:r>
              <w:rPr>
                <w:rFonts w:ascii="Times New Roman" w:hAnsi="Times New Roman"/>
                <w:color w:val="000000"/>
                <w:kern w:val="0"/>
                <w:sz w:val="25"/>
                <w:szCs w:val="24"/>
              </w:rPr>
              <w:t>0.09</w:t>
            </w:r>
          </w:p>
        </w:tc>
      </w:tr>
      <w:tr w:rsidR="00EC60B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t>600873</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t>梅花生物</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right"/>
              <w:rPr>
                <w:rFonts w:ascii="宋体" w:hAnsi="宋体"/>
                <w:color w:val="000000"/>
                <w:kern w:val="0"/>
                <w:sz w:val="25"/>
                <w:szCs w:val="24"/>
              </w:rPr>
            </w:pPr>
            <w:r>
              <w:rPr>
                <w:rFonts w:ascii="Times New Roman" w:hAnsi="Times New Roman"/>
                <w:color w:val="000000"/>
                <w:kern w:val="0"/>
                <w:sz w:val="25"/>
                <w:szCs w:val="24"/>
              </w:rPr>
              <w:t>48,700</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right"/>
              <w:rPr>
                <w:rFonts w:ascii="宋体" w:hAnsi="宋体"/>
                <w:color w:val="000000"/>
                <w:kern w:val="0"/>
                <w:sz w:val="25"/>
                <w:szCs w:val="24"/>
              </w:rPr>
            </w:pPr>
            <w:r>
              <w:rPr>
                <w:rFonts w:ascii="Times New Roman" w:hAnsi="Times New Roman"/>
                <w:color w:val="000000"/>
                <w:kern w:val="0"/>
                <w:sz w:val="25"/>
                <w:szCs w:val="24"/>
              </w:rPr>
              <w:t>557,615.00</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right"/>
              <w:rPr>
                <w:rFonts w:ascii="宋体" w:hAnsi="宋体"/>
                <w:color w:val="000000"/>
                <w:kern w:val="0"/>
                <w:sz w:val="25"/>
                <w:szCs w:val="24"/>
              </w:rPr>
            </w:pPr>
            <w:r>
              <w:rPr>
                <w:rFonts w:ascii="Times New Roman" w:hAnsi="Times New Roman"/>
                <w:color w:val="000000"/>
                <w:kern w:val="0"/>
                <w:sz w:val="25"/>
                <w:szCs w:val="24"/>
              </w:rPr>
              <w:t>0.08</w:t>
            </w:r>
          </w:p>
        </w:tc>
      </w:tr>
    </w:tbl>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4、报告期末按债券品种分类的债券投资组合</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EC60B5">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债券品种</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EC60B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国家债券</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right"/>
              <w:rPr>
                <w:rFonts w:ascii="宋体" w:hAnsi="宋体"/>
                <w:color w:val="000000"/>
                <w:kern w:val="0"/>
                <w:sz w:val="25"/>
                <w:szCs w:val="24"/>
              </w:rPr>
            </w:pPr>
            <w:r>
              <w:rPr>
                <w:rFonts w:ascii="Times New Roman" w:hAnsi="Times New Roman"/>
                <w:color w:val="000000"/>
                <w:kern w:val="0"/>
                <w:sz w:val="25"/>
                <w:szCs w:val="24"/>
              </w:rPr>
              <w:t>5,669,430.21</w:t>
            </w:r>
          </w:p>
        </w:tc>
        <w:tc>
          <w:tcPr>
            <w:tcW w:w="40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right"/>
              <w:rPr>
                <w:rFonts w:ascii="宋体" w:hAnsi="宋体"/>
                <w:color w:val="000000"/>
                <w:kern w:val="0"/>
                <w:sz w:val="25"/>
                <w:szCs w:val="24"/>
              </w:rPr>
            </w:pPr>
            <w:r>
              <w:rPr>
                <w:rFonts w:ascii="Times New Roman" w:hAnsi="Times New Roman"/>
                <w:color w:val="000000"/>
                <w:kern w:val="0"/>
                <w:sz w:val="25"/>
                <w:szCs w:val="24"/>
              </w:rPr>
              <w:t>0.83</w:t>
            </w:r>
          </w:p>
        </w:tc>
      </w:tr>
      <w:tr w:rsidR="00EC60B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央行票据</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EC60B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金融债券</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right"/>
              <w:rPr>
                <w:rFonts w:ascii="宋体" w:hAnsi="宋体"/>
                <w:color w:val="000000"/>
                <w:kern w:val="0"/>
                <w:sz w:val="25"/>
                <w:szCs w:val="24"/>
              </w:rPr>
            </w:pPr>
            <w:r>
              <w:rPr>
                <w:rFonts w:ascii="Times New Roman" w:hAnsi="Times New Roman"/>
                <w:color w:val="000000"/>
                <w:kern w:val="0"/>
                <w:sz w:val="25"/>
                <w:szCs w:val="24"/>
              </w:rPr>
              <w:t>331,406,228.17</w:t>
            </w:r>
          </w:p>
        </w:tc>
        <w:tc>
          <w:tcPr>
            <w:tcW w:w="40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right"/>
              <w:rPr>
                <w:rFonts w:ascii="宋体" w:hAnsi="宋体"/>
                <w:color w:val="000000"/>
                <w:kern w:val="0"/>
                <w:sz w:val="25"/>
                <w:szCs w:val="24"/>
              </w:rPr>
            </w:pPr>
            <w:r>
              <w:rPr>
                <w:rFonts w:ascii="Times New Roman" w:hAnsi="Times New Roman"/>
                <w:color w:val="000000"/>
                <w:kern w:val="0"/>
                <w:sz w:val="25"/>
                <w:szCs w:val="24"/>
              </w:rPr>
              <w:t>48.80</w:t>
            </w:r>
          </w:p>
        </w:tc>
      </w:tr>
      <w:tr w:rsidR="00EC60B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其中：政策性金融债</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right"/>
              <w:rPr>
                <w:rFonts w:ascii="宋体" w:hAnsi="宋体"/>
                <w:color w:val="000000"/>
                <w:kern w:val="0"/>
                <w:sz w:val="25"/>
                <w:szCs w:val="24"/>
              </w:rPr>
            </w:pPr>
            <w:r>
              <w:rPr>
                <w:rFonts w:ascii="Times New Roman" w:hAnsi="Times New Roman"/>
                <w:color w:val="000000"/>
                <w:kern w:val="0"/>
                <w:sz w:val="25"/>
                <w:szCs w:val="24"/>
              </w:rPr>
              <w:t>30,355,138.32</w:t>
            </w:r>
          </w:p>
        </w:tc>
        <w:tc>
          <w:tcPr>
            <w:tcW w:w="40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right"/>
              <w:rPr>
                <w:rFonts w:ascii="宋体" w:hAnsi="宋体"/>
                <w:color w:val="000000"/>
                <w:kern w:val="0"/>
                <w:sz w:val="25"/>
                <w:szCs w:val="24"/>
              </w:rPr>
            </w:pPr>
            <w:r>
              <w:rPr>
                <w:rFonts w:ascii="Times New Roman" w:hAnsi="Times New Roman"/>
                <w:color w:val="000000"/>
                <w:kern w:val="0"/>
                <w:sz w:val="25"/>
                <w:szCs w:val="24"/>
              </w:rPr>
              <w:t>4.47</w:t>
            </w:r>
          </w:p>
        </w:tc>
      </w:tr>
      <w:tr w:rsidR="00EC60B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企业债券</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right"/>
              <w:rPr>
                <w:rFonts w:ascii="宋体" w:hAnsi="宋体"/>
                <w:color w:val="000000"/>
                <w:kern w:val="0"/>
                <w:sz w:val="25"/>
                <w:szCs w:val="24"/>
              </w:rPr>
            </w:pPr>
            <w:r>
              <w:rPr>
                <w:rFonts w:ascii="Times New Roman" w:hAnsi="Times New Roman"/>
                <w:color w:val="000000"/>
                <w:kern w:val="0"/>
                <w:sz w:val="25"/>
                <w:szCs w:val="24"/>
              </w:rPr>
              <w:t>91,397,869.04</w:t>
            </w:r>
          </w:p>
        </w:tc>
        <w:tc>
          <w:tcPr>
            <w:tcW w:w="40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right"/>
              <w:rPr>
                <w:rFonts w:ascii="宋体" w:hAnsi="宋体"/>
                <w:color w:val="000000"/>
                <w:kern w:val="0"/>
                <w:sz w:val="25"/>
                <w:szCs w:val="24"/>
              </w:rPr>
            </w:pPr>
            <w:r>
              <w:rPr>
                <w:rFonts w:ascii="Times New Roman" w:hAnsi="Times New Roman"/>
                <w:color w:val="000000"/>
                <w:kern w:val="0"/>
                <w:sz w:val="25"/>
                <w:szCs w:val="24"/>
              </w:rPr>
              <w:t>13.46</w:t>
            </w:r>
          </w:p>
        </w:tc>
      </w:tr>
      <w:tr w:rsidR="00EC60B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企业短期融资券</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EC60B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中期票据</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right"/>
              <w:rPr>
                <w:rFonts w:ascii="宋体" w:hAnsi="宋体"/>
                <w:color w:val="000000"/>
                <w:kern w:val="0"/>
                <w:sz w:val="25"/>
                <w:szCs w:val="24"/>
              </w:rPr>
            </w:pPr>
            <w:r>
              <w:rPr>
                <w:rFonts w:ascii="Times New Roman" w:hAnsi="Times New Roman"/>
                <w:color w:val="000000"/>
                <w:kern w:val="0"/>
                <w:sz w:val="25"/>
                <w:szCs w:val="24"/>
              </w:rPr>
              <w:t>225,223,391.77</w:t>
            </w:r>
          </w:p>
        </w:tc>
        <w:tc>
          <w:tcPr>
            <w:tcW w:w="40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right"/>
              <w:rPr>
                <w:rFonts w:ascii="宋体" w:hAnsi="宋体"/>
                <w:color w:val="000000"/>
                <w:kern w:val="0"/>
                <w:sz w:val="25"/>
                <w:szCs w:val="24"/>
              </w:rPr>
            </w:pPr>
            <w:r>
              <w:rPr>
                <w:rFonts w:ascii="Times New Roman" w:hAnsi="Times New Roman"/>
                <w:color w:val="000000"/>
                <w:kern w:val="0"/>
                <w:sz w:val="25"/>
                <w:szCs w:val="24"/>
              </w:rPr>
              <w:t>33.16</w:t>
            </w:r>
          </w:p>
        </w:tc>
      </w:tr>
      <w:tr w:rsidR="00EC60B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可转债（可交换债）</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right"/>
              <w:rPr>
                <w:rFonts w:ascii="宋体" w:hAnsi="宋体"/>
                <w:color w:val="000000"/>
                <w:kern w:val="0"/>
                <w:sz w:val="25"/>
                <w:szCs w:val="24"/>
              </w:rPr>
            </w:pPr>
            <w:r>
              <w:rPr>
                <w:rFonts w:ascii="Times New Roman" w:hAnsi="Times New Roman"/>
                <w:color w:val="000000"/>
                <w:kern w:val="0"/>
                <w:sz w:val="25"/>
                <w:szCs w:val="24"/>
              </w:rPr>
              <w:t>9,232.57</w:t>
            </w:r>
          </w:p>
        </w:tc>
        <w:tc>
          <w:tcPr>
            <w:tcW w:w="40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right"/>
              <w:rPr>
                <w:rFonts w:ascii="宋体" w:hAnsi="宋体"/>
                <w:color w:val="000000"/>
                <w:kern w:val="0"/>
                <w:sz w:val="25"/>
                <w:szCs w:val="24"/>
              </w:rPr>
            </w:pPr>
            <w:r>
              <w:rPr>
                <w:rFonts w:ascii="Times New Roman" w:hAnsi="Times New Roman"/>
                <w:color w:val="000000"/>
                <w:kern w:val="0"/>
                <w:sz w:val="25"/>
                <w:szCs w:val="24"/>
              </w:rPr>
              <w:t>0.00</w:t>
            </w:r>
          </w:p>
        </w:tc>
      </w:tr>
      <w:tr w:rsidR="00EC60B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同业存单</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EC60B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EC60B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right"/>
              <w:rPr>
                <w:rFonts w:ascii="宋体" w:hAnsi="宋体"/>
                <w:color w:val="000000"/>
                <w:kern w:val="0"/>
                <w:sz w:val="25"/>
                <w:szCs w:val="24"/>
              </w:rPr>
            </w:pPr>
            <w:r>
              <w:rPr>
                <w:rFonts w:ascii="Times New Roman" w:hAnsi="Times New Roman"/>
                <w:color w:val="000000"/>
                <w:kern w:val="0"/>
                <w:sz w:val="25"/>
                <w:szCs w:val="24"/>
              </w:rPr>
              <w:t>653,706,151.76</w:t>
            </w:r>
          </w:p>
        </w:tc>
        <w:tc>
          <w:tcPr>
            <w:tcW w:w="40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right"/>
              <w:rPr>
                <w:rFonts w:ascii="宋体" w:hAnsi="宋体"/>
                <w:color w:val="000000"/>
                <w:kern w:val="0"/>
                <w:sz w:val="25"/>
                <w:szCs w:val="24"/>
              </w:rPr>
            </w:pPr>
            <w:r>
              <w:rPr>
                <w:rFonts w:ascii="Times New Roman" w:hAnsi="Times New Roman"/>
                <w:color w:val="000000"/>
                <w:kern w:val="0"/>
                <w:sz w:val="25"/>
                <w:szCs w:val="24"/>
              </w:rPr>
              <w:t>96.25</w:t>
            </w:r>
          </w:p>
        </w:tc>
      </w:tr>
    </w:tbl>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5、报告期末按公允价值占基金资产净值比例大小排序的前五名债券投资明细</w:t>
      </w:r>
    </w:p>
    <w:tbl>
      <w:tblPr>
        <w:tblW w:w="5000" w:type="pct"/>
        <w:tblCellMar>
          <w:left w:w="0" w:type="dxa"/>
          <w:right w:w="0" w:type="dxa"/>
        </w:tblCellMar>
        <w:tblLook w:val="0000" w:firstRow="0" w:lastRow="0" w:firstColumn="0" w:lastColumn="0" w:noHBand="0" w:noVBand="0"/>
      </w:tblPr>
      <w:tblGrid>
        <w:gridCol w:w="542"/>
        <w:gridCol w:w="1625"/>
        <w:gridCol w:w="1625"/>
        <w:gridCol w:w="1626"/>
        <w:gridCol w:w="1626"/>
        <w:gridCol w:w="1626"/>
      </w:tblGrid>
      <w:tr w:rsidR="00EC60B5">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数量（张）</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EC60B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t>242380015</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t>23</w:t>
            </w:r>
            <w:r>
              <w:rPr>
                <w:rFonts w:ascii="Times New Roman" w:hAnsi="Times New Roman"/>
                <w:color w:val="000000"/>
                <w:kern w:val="0"/>
                <w:sz w:val="25"/>
                <w:szCs w:val="24"/>
              </w:rPr>
              <w:t>成都农商行永续债</w:t>
            </w:r>
            <w:r>
              <w:rPr>
                <w:rFonts w:ascii="Times New Roman" w:hAnsi="Times New Roman"/>
                <w:color w:val="000000"/>
                <w:kern w:val="0"/>
                <w:sz w:val="25"/>
                <w:szCs w:val="24"/>
              </w:rPr>
              <w:t>01</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right"/>
              <w:rPr>
                <w:rFonts w:ascii="宋体" w:hAnsi="宋体"/>
                <w:color w:val="000000"/>
                <w:kern w:val="0"/>
                <w:sz w:val="25"/>
                <w:szCs w:val="24"/>
              </w:rPr>
            </w:pPr>
            <w:r>
              <w:rPr>
                <w:rFonts w:ascii="Times New Roman" w:hAnsi="Times New Roman"/>
                <w:color w:val="000000"/>
                <w:kern w:val="0"/>
                <w:sz w:val="25"/>
                <w:szCs w:val="24"/>
              </w:rPr>
              <w:t>300,000</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right"/>
              <w:rPr>
                <w:rFonts w:ascii="宋体" w:hAnsi="宋体"/>
                <w:color w:val="000000"/>
                <w:kern w:val="0"/>
                <w:sz w:val="25"/>
                <w:szCs w:val="24"/>
              </w:rPr>
            </w:pPr>
            <w:r>
              <w:rPr>
                <w:rFonts w:ascii="Times New Roman" w:hAnsi="Times New Roman"/>
                <w:color w:val="000000"/>
                <w:kern w:val="0"/>
                <w:sz w:val="25"/>
                <w:szCs w:val="24"/>
              </w:rPr>
              <w:t>32,161,808.22</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right"/>
              <w:rPr>
                <w:rFonts w:ascii="宋体" w:hAnsi="宋体"/>
                <w:color w:val="000000"/>
                <w:kern w:val="0"/>
                <w:sz w:val="25"/>
                <w:szCs w:val="24"/>
              </w:rPr>
            </w:pPr>
            <w:r>
              <w:rPr>
                <w:rFonts w:ascii="Times New Roman" w:hAnsi="Times New Roman"/>
                <w:color w:val="000000"/>
                <w:kern w:val="0"/>
                <w:sz w:val="25"/>
                <w:szCs w:val="24"/>
              </w:rPr>
              <w:t>4.74</w:t>
            </w:r>
          </w:p>
        </w:tc>
      </w:tr>
      <w:tr w:rsidR="00EC60B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2</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t>2220054</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t>22</w:t>
            </w:r>
            <w:r>
              <w:rPr>
                <w:rFonts w:ascii="Times New Roman" w:hAnsi="Times New Roman"/>
                <w:color w:val="000000"/>
                <w:kern w:val="0"/>
                <w:sz w:val="25"/>
                <w:szCs w:val="24"/>
              </w:rPr>
              <w:t>湖北银行二级</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right"/>
              <w:rPr>
                <w:rFonts w:ascii="宋体" w:hAnsi="宋体"/>
                <w:color w:val="000000"/>
                <w:kern w:val="0"/>
                <w:sz w:val="25"/>
                <w:szCs w:val="24"/>
              </w:rPr>
            </w:pPr>
            <w:r>
              <w:rPr>
                <w:rFonts w:ascii="Times New Roman" w:hAnsi="Times New Roman"/>
                <w:color w:val="000000"/>
                <w:kern w:val="0"/>
                <w:sz w:val="25"/>
                <w:szCs w:val="24"/>
              </w:rPr>
              <w:t>300,000</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right"/>
              <w:rPr>
                <w:rFonts w:ascii="宋体" w:hAnsi="宋体"/>
                <w:color w:val="000000"/>
                <w:kern w:val="0"/>
                <w:sz w:val="25"/>
                <w:szCs w:val="24"/>
              </w:rPr>
            </w:pPr>
            <w:r>
              <w:rPr>
                <w:rFonts w:ascii="Times New Roman" w:hAnsi="Times New Roman"/>
                <w:color w:val="000000"/>
                <w:kern w:val="0"/>
                <w:sz w:val="25"/>
                <w:szCs w:val="24"/>
              </w:rPr>
              <w:t>31,799,436.16</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right"/>
              <w:rPr>
                <w:rFonts w:ascii="宋体" w:hAnsi="宋体"/>
                <w:color w:val="000000"/>
                <w:kern w:val="0"/>
                <w:sz w:val="25"/>
                <w:szCs w:val="24"/>
              </w:rPr>
            </w:pPr>
            <w:r>
              <w:rPr>
                <w:rFonts w:ascii="Times New Roman" w:hAnsi="Times New Roman"/>
                <w:color w:val="000000"/>
                <w:kern w:val="0"/>
                <w:sz w:val="25"/>
                <w:szCs w:val="24"/>
              </w:rPr>
              <w:t>4.68</w:t>
            </w:r>
          </w:p>
        </w:tc>
      </w:tr>
      <w:tr w:rsidR="00EC60B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t>241328</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t>24</w:t>
            </w:r>
            <w:r>
              <w:rPr>
                <w:rFonts w:ascii="Times New Roman" w:hAnsi="Times New Roman"/>
                <w:color w:val="000000"/>
                <w:kern w:val="0"/>
                <w:sz w:val="25"/>
                <w:szCs w:val="24"/>
              </w:rPr>
              <w:t>吉高</w:t>
            </w:r>
            <w:r>
              <w:rPr>
                <w:rFonts w:ascii="Times New Roman" w:hAnsi="Times New Roman"/>
                <w:color w:val="000000"/>
                <w:kern w:val="0"/>
                <w:sz w:val="25"/>
                <w:szCs w:val="24"/>
              </w:rPr>
              <w:t>02</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right"/>
              <w:rPr>
                <w:rFonts w:ascii="宋体" w:hAnsi="宋体"/>
                <w:color w:val="000000"/>
                <w:kern w:val="0"/>
                <w:sz w:val="25"/>
                <w:szCs w:val="24"/>
              </w:rPr>
            </w:pPr>
            <w:r>
              <w:rPr>
                <w:rFonts w:ascii="Times New Roman" w:hAnsi="Times New Roman"/>
                <w:color w:val="000000"/>
                <w:kern w:val="0"/>
                <w:sz w:val="25"/>
                <w:szCs w:val="24"/>
              </w:rPr>
              <w:t>300,000</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right"/>
              <w:rPr>
                <w:rFonts w:ascii="宋体" w:hAnsi="宋体"/>
                <w:color w:val="000000"/>
                <w:kern w:val="0"/>
                <w:sz w:val="25"/>
                <w:szCs w:val="24"/>
              </w:rPr>
            </w:pPr>
            <w:r>
              <w:rPr>
                <w:rFonts w:ascii="Times New Roman" w:hAnsi="Times New Roman"/>
                <w:color w:val="000000"/>
                <w:kern w:val="0"/>
                <w:sz w:val="25"/>
                <w:szCs w:val="24"/>
              </w:rPr>
              <w:t>30,563,041.64</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right"/>
              <w:rPr>
                <w:rFonts w:ascii="宋体" w:hAnsi="宋体"/>
                <w:color w:val="000000"/>
                <w:kern w:val="0"/>
                <w:sz w:val="25"/>
                <w:szCs w:val="24"/>
              </w:rPr>
            </w:pPr>
            <w:r>
              <w:rPr>
                <w:rFonts w:ascii="Times New Roman" w:hAnsi="Times New Roman"/>
                <w:color w:val="000000"/>
                <w:kern w:val="0"/>
                <w:sz w:val="25"/>
                <w:szCs w:val="24"/>
              </w:rPr>
              <w:t>4.50</w:t>
            </w:r>
          </w:p>
        </w:tc>
      </w:tr>
      <w:tr w:rsidR="00EC60B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t>232280012</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t>22</w:t>
            </w:r>
            <w:r>
              <w:rPr>
                <w:rFonts w:ascii="Times New Roman" w:hAnsi="Times New Roman"/>
                <w:color w:val="000000"/>
                <w:kern w:val="0"/>
                <w:sz w:val="25"/>
                <w:szCs w:val="24"/>
              </w:rPr>
              <w:t>广州银行二级资本债</w:t>
            </w:r>
            <w:r>
              <w:rPr>
                <w:rFonts w:ascii="Times New Roman" w:hAnsi="Times New Roman"/>
                <w:color w:val="000000"/>
                <w:kern w:val="0"/>
                <w:sz w:val="25"/>
                <w:szCs w:val="24"/>
              </w:rPr>
              <w:t>01</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right"/>
              <w:rPr>
                <w:rFonts w:ascii="宋体" w:hAnsi="宋体"/>
                <w:color w:val="000000"/>
                <w:kern w:val="0"/>
                <w:sz w:val="25"/>
                <w:szCs w:val="24"/>
              </w:rPr>
            </w:pPr>
            <w:r>
              <w:rPr>
                <w:rFonts w:ascii="Times New Roman" w:hAnsi="Times New Roman"/>
                <w:color w:val="000000"/>
                <w:kern w:val="0"/>
                <w:sz w:val="25"/>
                <w:szCs w:val="24"/>
              </w:rPr>
              <w:t>200,000</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right"/>
              <w:rPr>
                <w:rFonts w:ascii="宋体" w:hAnsi="宋体"/>
                <w:color w:val="000000"/>
                <w:kern w:val="0"/>
                <w:sz w:val="25"/>
                <w:szCs w:val="24"/>
              </w:rPr>
            </w:pPr>
            <w:r>
              <w:rPr>
                <w:rFonts w:ascii="Times New Roman" w:hAnsi="Times New Roman"/>
                <w:color w:val="000000"/>
                <w:kern w:val="0"/>
                <w:sz w:val="25"/>
                <w:szCs w:val="24"/>
              </w:rPr>
              <w:t>21,185,452.05</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right"/>
              <w:rPr>
                <w:rFonts w:ascii="宋体" w:hAnsi="宋体"/>
                <w:color w:val="000000"/>
                <w:kern w:val="0"/>
                <w:sz w:val="25"/>
                <w:szCs w:val="24"/>
              </w:rPr>
            </w:pPr>
            <w:r>
              <w:rPr>
                <w:rFonts w:ascii="Times New Roman" w:hAnsi="Times New Roman"/>
                <w:color w:val="000000"/>
                <w:kern w:val="0"/>
                <w:sz w:val="25"/>
                <w:szCs w:val="24"/>
              </w:rPr>
              <w:t>3.12</w:t>
            </w:r>
          </w:p>
        </w:tc>
      </w:tr>
      <w:tr w:rsidR="00EC60B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t>232400014</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t>24</w:t>
            </w:r>
            <w:r>
              <w:rPr>
                <w:rFonts w:ascii="Times New Roman" w:hAnsi="Times New Roman"/>
                <w:color w:val="000000"/>
                <w:kern w:val="0"/>
                <w:sz w:val="25"/>
                <w:szCs w:val="24"/>
              </w:rPr>
              <w:t>民生银行二级资本债</w:t>
            </w:r>
            <w:r>
              <w:rPr>
                <w:rFonts w:ascii="Times New Roman" w:hAnsi="Times New Roman"/>
                <w:color w:val="000000"/>
                <w:kern w:val="0"/>
                <w:sz w:val="25"/>
                <w:szCs w:val="24"/>
              </w:rPr>
              <w:t>01</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right"/>
              <w:rPr>
                <w:rFonts w:ascii="宋体" w:hAnsi="宋体"/>
                <w:color w:val="000000"/>
                <w:kern w:val="0"/>
                <w:sz w:val="25"/>
                <w:szCs w:val="24"/>
              </w:rPr>
            </w:pPr>
            <w:r>
              <w:rPr>
                <w:rFonts w:ascii="Times New Roman" w:hAnsi="Times New Roman"/>
                <w:color w:val="000000"/>
                <w:kern w:val="0"/>
                <w:sz w:val="25"/>
                <w:szCs w:val="24"/>
              </w:rPr>
              <w:t>200,000</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right"/>
              <w:rPr>
                <w:rFonts w:ascii="宋体" w:hAnsi="宋体"/>
                <w:color w:val="000000"/>
                <w:kern w:val="0"/>
                <w:sz w:val="25"/>
                <w:szCs w:val="24"/>
              </w:rPr>
            </w:pPr>
            <w:r>
              <w:rPr>
                <w:rFonts w:ascii="Times New Roman" w:hAnsi="Times New Roman"/>
                <w:color w:val="000000"/>
                <w:kern w:val="0"/>
                <w:sz w:val="25"/>
                <w:szCs w:val="24"/>
              </w:rPr>
              <w:t>20,771,315.07</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right"/>
              <w:rPr>
                <w:rFonts w:ascii="宋体" w:hAnsi="宋体"/>
                <w:color w:val="000000"/>
                <w:kern w:val="0"/>
                <w:sz w:val="25"/>
                <w:szCs w:val="24"/>
              </w:rPr>
            </w:pPr>
            <w:r>
              <w:rPr>
                <w:rFonts w:ascii="Times New Roman" w:hAnsi="Times New Roman"/>
                <w:color w:val="000000"/>
                <w:kern w:val="0"/>
                <w:sz w:val="25"/>
                <w:szCs w:val="24"/>
              </w:rPr>
              <w:t>3.06</w:t>
            </w:r>
          </w:p>
        </w:tc>
      </w:tr>
    </w:tbl>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6、报告期末按公允价值占基金资产净值比例大小排序的前十名资产支持证券投资明细</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7、报告期末按公允价值占基金资产净值比例大小排序的前五名贵金属投资明细</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8、报告期末按公允价值占基金资产净值比例大小排序的前五名权证投资明细</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9、报告期末本基金投资的股指期货交易情况说明</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9.1 报告期末本基金投资的股指期货持仓和损益明细</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9.2 本基金投资股指期货的投资政策</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10、报告期末本基金投资的国债期货交易情况说明</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10.1 本期国债期货投资政策</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10.2 报告期末本基金投资的国债期货持仓和损益明细</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10.3 本期国债期货投资评价</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11、投资组合报告附注</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11.1 本基金投资的前十名证券的发行主体本期是否出现被监管部门立案调查，或在报告编制日前一年内受到公开谴责、处罚的情形</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报告期内本基金投资的前十名证券的发行主体出现被监管部门立案调查，或在报告编制日前一年内受到公开谴责、处罚的情形披露如下：</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 xml:space="preserve">　　2026年03月27日,央行湖北省分行公示鄂银罚决字[2026]6号行政处罚决定书,给予湖北银行股份有限公司249.9万元人民币的行政处罚。</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2025年12月31日,国家金融监督管理总局宁波监管局公示行政处罚决定书,给予中国民生银行股份有限公司220万元人民币的行政处罚。</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2025年12月18日,国家外汇管理局北京市分局公示京汇罚[2025]49号行政处罚决定书,给予中国工商银行股份有限公司罚没共计1142.59万元人民币的行政处罚。</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2025年12月19日,央行公示银罚决字[2025]110号行政处罚决定书,给予中国工商银行股份有限公司罚没共计4396.0709万元人民币的行政处罚。</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2025年10月31日,国家金融监督管理总局公示行政处罚决定书,给予中国民生银行股份有限公司5865万元人民币的行政处罚。</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2025年10月31日,国家金融监督管理总局公示行政处罚决定书,给予中国农业银行股份有限公司罚没共计2720万元人民币的行政处罚。</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2025年09月12日,金融监管总局公示行政处罚决定书,给予中国民生银行股份有限公司590万元人民币的行政处罚。</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本基金管理人对证券投资决策程序的说明如下：本基金管理人对证券投资特别是重仓证券的投资有严格的投资决策流程控制，对上述主体发行证券的投资决策程序符合公司投资制度的规定。</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除上述主体外，本基金投资的前十名证券的其他发行主体本期没有出现被监管部门立案调查，或在报告编制日前一年内受到公开谴责、处罚的情形。</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11.2 基金投资的前十名股票是否超出基金合同规定的备选股票库</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基金投资的前十名股票中，没有超出基金合同规定的备选股票库之外的股票。</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11.3 其他资产构成</w:t>
      </w:r>
    </w:p>
    <w:tbl>
      <w:tblPr>
        <w:tblW w:w="5000" w:type="pct"/>
        <w:tblCellMar>
          <w:left w:w="0" w:type="dxa"/>
          <w:right w:w="0" w:type="dxa"/>
        </w:tblCellMar>
        <w:tblLook w:val="0000" w:firstRow="0" w:lastRow="0" w:firstColumn="0" w:lastColumn="0" w:noHBand="0" w:noVBand="0"/>
      </w:tblPr>
      <w:tblGrid>
        <w:gridCol w:w="1547"/>
        <w:gridCol w:w="4645"/>
        <w:gridCol w:w="2478"/>
      </w:tblGrid>
      <w:tr w:rsidR="00EC60B5">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t>名称</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r>
      <w:tr w:rsidR="00EC60B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存出保证金</w:t>
            </w:r>
          </w:p>
        </w:tc>
        <w:tc>
          <w:tcPr>
            <w:tcW w:w="40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right"/>
              <w:rPr>
                <w:rFonts w:ascii="宋体" w:hAnsi="宋体"/>
                <w:color w:val="000000"/>
                <w:kern w:val="0"/>
                <w:sz w:val="25"/>
                <w:szCs w:val="24"/>
              </w:rPr>
            </w:pPr>
            <w:r>
              <w:rPr>
                <w:rFonts w:ascii="Times New Roman" w:hAnsi="Times New Roman"/>
                <w:color w:val="000000"/>
                <w:kern w:val="0"/>
                <w:sz w:val="25"/>
                <w:szCs w:val="24"/>
              </w:rPr>
              <w:t>75,139.33</w:t>
            </w:r>
          </w:p>
        </w:tc>
      </w:tr>
      <w:tr w:rsidR="00EC60B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应收证券清算款</w:t>
            </w:r>
          </w:p>
        </w:tc>
        <w:tc>
          <w:tcPr>
            <w:tcW w:w="40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right"/>
              <w:rPr>
                <w:rFonts w:ascii="宋体" w:hAnsi="宋体"/>
                <w:color w:val="000000"/>
                <w:kern w:val="0"/>
                <w:sz w:val="25"/>
                <w:szCs w:val="24"/>
              </w:rPr>
            </w:pPr>
            <w:r>
              <w:rPr>
                <w:rFonts w:ascii="Times New Roman" w:hAnsi="Times New Roman"/>
                <w:color w:val="000000"/>
                <w:kern w:val="0"/>
                <w:sz w:val="25"/>
                <w:szCs w:val="24"/>
              </w:rPr>
              <w:t>548,835.67</w:t>
            </w:r>
          </w:p>
        </w:tc>
      </w:tr>
      <w:tr w:rsidR="00EC60B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应收股利</w:t>
            </w:r>
          </w:p>
        </w:tc>
        <w:tc>
          <w:tcPr>
            <w:tcW w:w="40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EC60B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应收利息</w:t>
            </w:r>
          </w:p>
        </w:tc>
        <w:tc>
          <w:tcPr>
            <w:tcW w:w="40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EC60B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应收申购款</w:t>
            </w:r>
          </w:p>
        </w:tc>
        <w:tc>
          <w:tcPr>
            <w:tcW w:w="40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right"/>
              <w:rPr>
                <w:rFonts w:ascii="宋体" w:hAnsi="宋体"/>
                <w:color w:val="000000"/>
                <w:kern w:val="0"/>
                <w:sz w:val="25"/>
                <w:szCs w:val="24"/>
              </w:rPr>
            </w:pPr>
            <w:r>
              <w:rPr>
                <w:rFonts w:ascii="Times New Roman" w:hAnsi="Times New Roman"/>
                <w:color w:val="000000"/>
                <w:kern w:val="0"/>
                <w:sz w:val="25"/>
                <w:szCs w:val="24"/>
              </w:rPr>
              <w:t>47,453.93</w:t>
            </w:r>
          </w:p>
        </w:tc>
      </w:tr>
      <w:tr w:rsidR="00EC60B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其他应收款</w:t>
            </w:r>
          </w:p>
        </w:tc>
        <w:tc>
          <w:tcPr>
            <w:tcW w:w="40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EC60B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40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EC60B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8</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40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right"/>
              <w:rPr>
                <w:rFonts w:ascii="宋体" w:hAnsi="宋体"/>
                <w:color w:val="000000"/>
                <w:kern w:val="0"/>
                <w:sz w:val="25"/>
                <w:szCs w:val="24"/>
              </w:rPr>
            </w:pPr>
            <w:r>
              <w:rPr>
                <w:rFonts w:ascii="Times New Roman" w:hAnsi="Times New Roman"/>
                <w:color w:val="000000"/>
                <w:kern w:val="0"/>
                <w:sz w:val="25"/>
                <w:szCs w:val="24"/>
              </w:rPr>
              <w:t>671,428.93</w:t>
            </w:r>
          </w:p>
        </w:tc>
      </w:tr>
    </w:tbl>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11.4 报告期末持有的处于转股期的可转换债券明细</w:t>
      </w:r>
    </w:p>
    <w:tbl>
      <w:tblPr>
        <w:tblW w:w="5000" w:type="pct"/>
        <w:tblCellMar>
          <w:left w:w="0" w:type="dxa"/>
          <w:right w:w="0" w:type="dxa"/>
        </w:tblCellMar>
        <w:tblLook w:val="0000" w:firstRow="0" w:lastRow="0" w:firstColumn="0" w:lastColumn="0" w:noHBand="0" w:noVBand="0"/>
      </w:tblPr>
      <w:tblGrid>
        <w:gridCol w:w="667"/>
        <w:gridCol w:w="2000"/>
        <w:gridCol w:w="2001"/>
        <w:gridCol w:w="2001"/>
        <w:gridCol w:w="2001"/>
      </w:tblGrid>
      <w:tr w:rsidR="00EC60B5">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EC60B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t>118058</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t>微导转债</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right"/>
              <w:rPr>
                <w:rFonts w:ascii="宋体" w:hAnsi="宋体"/>
                <w:color w:val="000000"/>
                <w:kern w:val="0"/>
                <w:sz w:val="25"/>
                <w:szCs w:val="24"/>
              </w:rPr>
            </w:pPr>
            <w:r>
              <w:rPr>
                <w:rFonts w:ascii="Times New Roman" w:hAnsi="Times New Roman"/>
                <w:color w:val="000000"/>
                <w:kern w:val="0"/>
                <w:sz w:val="25"/>
                <w:szCs w:val="24"/>
              </w:rPr>
              <w:t>9,232.57</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right"/>
              <w:rPr>
                <w:rFonts w:ascii="宋体" w:hAnsi="宋体"/>
                <w:color w:val="000000"/>
                <w:kern w:val="0"/>
                <w:sz w:val="25"/>
                <w:szCs w:val="24"/>
              </w:rPr>
            </w:pPr>
            <w:r>
              <w:rPr>
                <w:rFonts w:ascii="Times New Roman" w:hAnsi="Times New Roman"/>
                <w:color w:val="000000"/>
                <w:kern w:val="0"/>
                <w:sz w:val="25"/>
                <w:szCs w:val="24"/>
              </w:rPr>
              <w:t>0.00</w:t>
            </w:r>
          </w:p>
        </w:tc>
      </w:tr>
    </w:tbl>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11.5 报告期末前十名股票中存在流通受限情况的说明</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11.6 投资组合报告附注的其他文字描述部分</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由于四舍五入的原因，分项之和与合计项之间可能存在尾差。</w:t>
      </w:r>
    </w:p>
    <w:p w:rsidR="00B439CC" w:rsidRDefault="005C6ED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EC60B5" w:rsidRDefault="005C6EDB">
      <w:pPr>
        <w:pStyle w:val="1"/>
        <w:snapToGrid w:val="0"/>
        <w:spacing w:beforeLines="0" w:before="240" w:after="240"/>
        <w:rPr>
          <w:rFonts w:ascii="宋体" w:hAnsi="宋体"/>
          <w:szCs w:val="30"/>
        </w:rPr>
      </w:pPr>
      <w:bookmarkStart w:id="14" w:name="_Toc228201069"/>
      <w:r>
        <w:rPr>
          <w:rFonts w:ascii="Times New Roman" w:hAnsi="Times New Roman"/>
          <w:sz w:val="30"/>
        </w:rPr>
        <w:lastRenderedPageBreak/>
        <w:t>十一、基金的业绩</w:t>
      </w:r>
      <w:bookmarkEnd w:id="14"/>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基金业绩截止日为2026年03月31日，所载财务数据未经审计师审计。</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依照恪尽职守、诚实信用、谨慎勤勉的原则管理和运用基金财产，但不保证基金一定盈利，也不保证最低收益。基金的过往业绩并不代表其未来表现。投资有风险，投资人在做出投资决策前应仔细阅读本基金的招募说明书。</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下述基金业绩指标不包括持有人认购或交易基金的各项费用，计入费用后实际收益水平要低于所列数字。</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1、基金份额净值增长率及其与同期业绩比较基准收益率的比较</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（1）交银优选回报灵活配置混合A：</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EC60B5">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w:t>
            </w:r>
            <w:r>
              <w:rPr>
                <w:rFonts w:ascii="Times New Roman" w:hAnsi="Times New Roman"/>
                <w:color w:val="000000"/>
                <w:kern w:val="0"/>
                <w:sz w:val="25"/>
                <w:szCs w:val="24"/>
              </w:rPr>
              <w:t>－</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w:t>
            </w:r>
            <w:r>
              <w:rPr>
                <w:rFonts w:ascii="Times New Roman" w:hAnsi="Times New Roman"/>
                <w:color w:val="000000"/>
                <w:kern w:val="0"/>
                <w:sz w:val="25"/>
                <w:szCs w:val="24"/>
              </w:rPr>
              <w:t>－</w:t>
            </w:r>
            <w:r>
              <w:rPr>
                <w:rFonts w:ascii="Times New Roman" w:hAnsi="Times New Roman"/>
                <w:color w:val="000000"/>
                <w:kern w:val="0"/>
                <w:sz w:val="25"/>
                <w:szCs w:val="24"/>
              </w:rPr>
              <w:t>④</w:t>
            </w:r>
          </w:p>
        </w:tc>
      </w:tr>
      <w:tr w:rsidR="00EC60B5">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0.62%</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0.13%</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-0.33%</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0.10%</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0.95%</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r>
      <w:tr w:rsidR="00EC60B5">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2.88%</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0.10%</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-0.23%</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0.17%</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3.11%</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-0.07%</w:t>
            </w:r>
          </w:p>
        </w:tc>
      </w:tr>
      <w:tr w:rsidR="00EC60B5">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2.39%</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0.12%</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10.35%</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0.66%</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-7.96%</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-0.54%</w:t>
            </w:r>
          </w:p>
        </w:tc>
      </w:tr>
      <w:tr w:rsidR="00EC60B5">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0.21%</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0.12%</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-4.68%</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0.42%</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4.89%</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-0.30%</w:t>
            </w:r>
          </w:p>
        </w:tc>
      </w:tr>
      <w:tr w:rsidR="00EC60B5">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2022</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-3.01%</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0.23%</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-10.80%</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0.64%</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7.79%</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-0.41%</w:t>
            </w:r>
          </w:p>
        </w:tc>
      </w:tr>
      <w:tr w:rsidR="00EC60B5">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2021</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9.17%</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0.21%</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-1.21%</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0.59%</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10.38%</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-0.38%</w:t>
            </w:r>
          </w:p>
        </w:tc>
      </w:tr>
      <w:tr w:rsidR="00EC60B5">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2020</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15.80%</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0.22%</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13.5%</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0.70%</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2.30%</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-0.48%</w:t>
            </w:r>
          </w:p>
        </w:tc>
      </w:tr>
      <w:tr w:rsidR="00EC60B5">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2019</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8.33%</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0.12%</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17.99%</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0.62%</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-9.66%</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-0.50%</w:t>
            </w:r>
          </w:p>
        </w:tc>
      </w:tr>
      <w:tr w:rsidR="00EC60B5">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2018</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4.48%</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0.13%</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-11.02%</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0.66%</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15.50%</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-0.53%</w:t>
            </w:r>
          </w:p>
        </w:tc>
      </w:tr>
      <w:tr w:rsidR="00EC60B5">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2017</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5.87%</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0.08%</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8.60%</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0.32%</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-2.73%</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-0.24%</w:t>
            </w:r>
          </w:p>
        </w:tc>
      </w:tr>
      <w:tr w:rsidR="00EC60B5">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2016</w:t>
            </w:r>
            <w:r>
              <w:rPr>
                <w:rFonts w:ascii="Times New Roman" w:hAnsi="Times New Roman"/>
                <w:color w:val="000000"/>
                <w:kern w:val="0"/>
                <w:sz w:val="25"/>
                <w:szCs w:val="24"/>
              </w:rPr>
              <w:t>年度（</w:t>
            </w:r>
            <w:r>
              <w:rPr>
                <w:rFonts w:ascii="Times New Roman" w:hAnsi="Times New Roman"/>
                <w:color w:val="000000"/>
                <w:kern w:val="0"/>
                <w:sz w:val="25"/>
                <w:szCs w:val="24"/>
              </w:rPr>
              <w:t>2016</w:t>
            </w:r>
            <w:r>
              <w:rPr>
                <w:rFonts w:ascii="Times New Roman" w:hAnsi="Times New Roman"/>
                <w:color w:val="000000"/>
                <w:kern w:val="0"/>
                <w:sz w:val="25"/>
                <w:szCs w:val="24"/>
              </w:rPr>
              <w:t>年</w:t>
            </w:r>
            <w:r>
              <w:rPr>
                <w:rFonts w:ascii="Times New Roman" w:hAnsi="Times New Roman"/>
                <w:color w:val="000000"/>
                <w:kern w:val="0"/>
                <w:sz w:val="25"/>
                <w:szCs w:val="24"/>
              </w:rPr>
              <w:t>4</w:t>
            </w:r>
            <w:r>
              <w:rPr>
                <w:rFonts w:ascii="Times New Roman" w:hAnsi="Times New Roman"/>
                <w:color w:val="000000"/>
                <w:kern w:val="0"/>
                <w:sz w:val="25"/>
                <w:szCs w:val="24"/>
              </w:rPr>
              <w:t>月</w:t>
            </w:r>
            <w:r>
              <w:rPr>
                <w:rFonts w:ascii="Times New Roman" w:hAnsi="Times New Roman"/>
                <w:color w:val="000000"/>
                <w:kern w:val="0"/>
                <w:sz w:val="25"/>
                <w:szCs w:val="24"/>
              </w:rPr>
              <w:t>22</w:t>
            </w:r>
            <w:r>
              <w:rPr>
                <w:rFonts w:ascii="Times New Roman" w:hAnsi="Times New Roman"/>
                <w:color w:val="000000"/>
                <w:kern w:val="0"/>
                <w:sz w:val="25"/>
                <w:szCs w:val="24"/>
              </w:rPr>
              <w:t>日到</w:t>
            </w:r>
            <w:r>
              <w:rPr>
                <w:rFonts w:ascii="Times New Roman" w:hAnsi="Times New Roman"/>
                <w:color w:val="000000"/>
                <w:kern w:val="0"/>
                <w:sz w:val="25"/>
                <w:szCs w:val="24"/>
              </w:rPr>
              <w:t>2016</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2.2%</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0.07%</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1.88%</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0.43%</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0.32%</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-0.36%</w:t>
            </w:r>
          </w:p>
        </w:tc>
      </w:tr>
    </w:tbl>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（2）交银优选回报灵活配置混合C：</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EC60B5">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①</w:t>
            </w:r>
            <w:r>
              <w:rPr>
                <w:rFonts w:ascii="Times New Roman" w:hAnsi="Times New Roman"/>
                <w:color w:val="000000"/>
                <w:kern w:val="0"/>
                <w:sz w:val="25"/>
                <w:szCs w:val="24"/>
              </w:rPr>
              <w:t>－</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②</w:t>
            </w:r>
            <w:r>
              <w:rPr>
                <w:rFonts w:ascii="Times New Roman" w:hAnsi="Times New Roman"/>
                <w:color w:val="000000"/>
                <w:kern w:val="0"/>
                <w:sz w:val="25"/>
                <w:szCs w:val="24"/>
              </w:rPr>
              <w:t>－</w:t>
            </w:r>
            <w:r>
              <w:rPr>
                <w:rFonts w:ascii="Times New Roman" w:hAnsi="Times New Roman"/>
                <w:color w:val="000000"/>
                <w:kern w:val="0"/>
                <w:sz w:val="25"/>
                <w:szCs w:val="24"/>
              </w:rPr>
              <w:t>④</w:t>
            </w:r>
          </w:p>
        </w:tc>
      </w:tr>
      <w:tr w:rsidR="00EC60B5">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0.57%</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0.13%</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-0.33%</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0.10%</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0.90%</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r>
      <w:tr w:rsidR="00EC60B5">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2.62%</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0.10%</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-0.23%</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0.17%</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2.85%</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-0.07%</w:t>
            </w:r>
          </w:p>
        </w:tc>
      </w:tr>
      <w:tr w:rsidR="00EC60B5">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2.21%</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0.13%</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10.35%</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0.66%</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-8.14%</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-0.53%</w:t>
            </w:r>
          </w:p>
        </w:tc>
      </w:tr>
      <w:tr w:rsidR="00EC60B5">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0.07%</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0.12%</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-4.68%</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0.42%</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4.75%</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-0.30%</w:t>
            </w:r>
          </w:p>
        </w:tc>
      </w:tr>
      <w:tr w:rsidR="00EC60B5">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2022</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-3.25%</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0.23%</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-10.80%</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0.64%</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7.55%</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-0.41%</w:t>
            </w:r>
          </w:p>
        </w:tc>
      </w:tr>
      <w:tr w:rsidR="00EC60B5">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2021</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8.95%</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0.21%</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-1.21%</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0.59%</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10.16%</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-0.38%</w:t>
            </w:r>
          </w:p>
        </w:tc>
      </w:tr>
      <w:tr w:rsidR="00EC60B5">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2020</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15.57%</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0.22%</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13.5%</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0.70%</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2.07%</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-0.48%</w:t>
            </w:r>
          </w:p>
        </w:tc>
      </w:tr>
      <w:tr w:rsidR="00EC60B5">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2019</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8.18%</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0.12%</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17.99%</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0.62%</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-9.81%</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-0.50%</w:t>
            </w:r>
          </w:p>
        </w:tc>
      </w:tr>
      <w:tr w:rsidR="00EC60B5">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2018</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4.21%</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0.13%</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-11.02%</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0.66%</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15.23%</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-0.53%</w:t>
            </w:r>
          </w:p>
        </w:tc>
      </w:tr>
      <w:tr w:rsidR="00EC60B5">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2017</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5.68%</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0.08%</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8.60%</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0.32%</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-2.92%</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-0.24%</w:t>
            </w:r>
          </w:p>
        </w:tc>
      </w:tr>
      <w:tr w:rsidR="00EC60B5">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2016</w:t>
            </w:r>
            <w:r>
              <w:rPr>
                <w:rFonts w:ascii="Times New Roman" w:hAnsi="Times New Roman"/>
                <w:color w:val="000000"/>
                <w:kern w:val="0"/>
                <w:sz w:val="25"/>
                <w:szCs w:val="24"/>
              </w:rPr>
              <w:t>年度（</w:t>
            </w:r>
            <w:r>
              <w:rPr>
                <w:rFonts w:ascii="Times New Roman" w:hAnsi="Times New Roman"/>
                <w:color w:val="000000"/>
                <w:kern w:val="0"/>
                <w:sz w:val="25"/>
                <w:szCs w:val="24"/>
              </w:rPr>
              <w:t>2016</w:t>
            </w:r>
            <w:r>
              <w:rPr>
                <w:rFonts w:ascii="Times New Roman" w:hAnsi="Times New Roman"/>
                <w:color w:val="000000"/>
                <w:kern w:val="0"/>
                <w:sz w:val="25"/>
                <w:szCs w:val="24"/>
              </w:rPr>
              <w:t>年</w:t>
            </w:r>
            <w:r>
              <w:rPr>
                <w:rFonts w:ascii="Times New Roman" w:hAnsi="Times New Roman"/>
                <w:color w:val="000000"/>
                <w:kern w:val="0"/>
                <w:sz w:val="25"/>
                <w:szCs w:val="24"/>
              </w:rPr>
              <w:t>4</w:t>
            </w:r>
            <w:r>
              <w:rPr>
                <w:rFonts w:ascii="Times New Roman" w:hAnsi="Times New Roman"/>
                <w:color w:val="000000"/>
                <w:kern w:val="0"/>
                <w:sz w:val="25"/>
                <w:szCs w:val="24"/>
              </w:rPr>
              <w:t>月</w:t>
            </w:r>
            <w:r>
              <w:rPr>
                <w:rFonts w:ascii="Times New Roman" w:hAnsi="Times New Roman"/>
                <w:color w:val="000000"/>
                <w:kern w:val="0"/>
                <w:sz w:val="25"/>
                <w:szCs w:val="24"/>
              </w:rPr>
              <w:t>22</w:t>
            </w:r>
            <w:r>
              <w:rPr>
                <w:rFonts w:ascii="Times New Roman" w:hAnsi="Times New Roman"/>
                <w:color w:val="000000"/>
                <w:kern w:val="0"/>
                <w:sz w:val="25"/>
                <w:szCs w:val="24"/>
              </w:rPr>
              <w:t>日到</w:t>
            </w:r>
            <w:r>
              <w:rPr>
                <w:rFonts w:ascii="Times New Roman" w:hAnsi="Times New Roman"/>
                <w:color w:val="000000"/>
                <w:kern w:val="0"/>
                <w:sz w:val="25"/>
                <w:szCs w:val="24"/>
              </w:rPr>
              <w:t>2016</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2.1%</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0.08%</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1.88%</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0.43%</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0.22%</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-0.35%</w:t>
            </w:r>
          </w:p>
        </w:tc>
      </w:tr>
    </w:tbl>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1、本基金业绩比较基准自2025年01月24日起，由原“50%×沪深300指数收益率+50%×中债综合全价指数收益率”变更为“沪深300指数收益率×10%+中债新综合全价(1-3年)指数收益率×85%+人民币银行活期存款利率（税后）×5%”，3.2.2同。详情见本基金管理人发布的相关公告。　　2、本基金的业绩比较基准每日进行再平衡过程。</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2、自基金合同生效以来基金份额累计净值增长率变动及其与同期业绩比较基准收益率变动的比较</w:t>
      </w:r>
    </w:p>
    <w:p w:rsidR="00EC60B5" w:rsidRDefault="005C6EDB">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交银施罗德优选回报灵活配置混合型证券投资基金</w:t>
      </w:r>
    </w:p>
    <w:p w:rsidR="00EC60B5" w:rsidRDefault="005C6EDB">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份额累计净值增长率与业绩比较基准收益率的历史走势对比图</w:t>
      </w:r>
    </w:p>
    <w:p w:rsidR="00EC60B5" w:rsidRDefault="005C6EDB">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（2016年4月22日至2026年03月31日）</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（1）交银优选回报灵活配置混合A</w:t>
      </w:r>
    </w:p>
    <w:p w:rsidR="00EC60B5" w:rsidRDefault="00CF0B17">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lastRenderedPageBrea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9.5pt;height:268.5pt">
            <v:imagedata r:id="rId15" o:title="1521256610242020828"/>
          </v:shape>
        </w:pic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 交银优选回报灵活配置混合C</w:t>
      </w:r>
    </w:p>
    <w:p w:rsidR="00EC60B5" w:rsidRDefault="00CF0B17">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pict>
          <v:shape id="_x0000_i1026" type="#_x0000_t75" style="width:439.5pt;height:268.5pt">
            <v:imagedata r:id="rId16" o:title="1521256610242020828"/>
          </v:shape>
        </w:pic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注：本基金建仓期为自基金合同生效日起的6个月。截至建仓期结束，本基金各项资产配置比例符合基金合同及招募说明书有关投资比例的约定。</w:t>
      </w:r>
    </w:p>
    <w:p w:rsidR="00B439CC" w:rsidRDefault="005C6ED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EC60B5" w:rsidRDefault="005C6EDB">
      <w:pPr>
        <w:pStyle w:val="1"/>
        <w:snapToGrid w:val="0"/>
        <w:spacing w:beforeLines="0" w:before="240" w:after="240"/>
        <w:rPr>
          <w:rFonts w:ascii="宋体" w:hAnsi="宋体"/>
          <w:szCs w:val="30"/>
        </w:rPr>
      </w:pPr>
      <w:bookmarkStart w:id="15" w:name="_Toc228201070"/>
      <w:r>
        <w:rPr>
          <w:rFonts w:ascii="Times New Roman" w:hAnsi="Times New Roman"/>
          <w:sz w:val="30"/>
        </w:rPr>
        <w:lastRenderedPageBreak/>
        <w:t>十二、基金的财产</w:t>
      </w:r>
      <w:bookmarkEnd w:id="15"/>
    </w:p>
    <w:p w:rsidR="00EC60B5" w:rsidRDefault="005C6E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（一）基金资产总值</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基金资产总值是指基金拥有的各类有价证券、股指期货合约、银行存款本息、基金应收申购款及其他资产的价值总和。</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（二）基金资产净值</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基金资产净值是指基金资产总值减去基金负债后的价值。</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（三）基金财产的账户</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根据相关法律法规、规范性文件为本基金开立资金账户、证券账户、期货账户以及投资所需的其他专用账户。开立的基金专用账户与基金管理人、基金托管人、基金销售机构和基金登记机构自有的财产账户以及其他基金财产账户相独立。</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（四）基金财产的保管和处分</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得相互抵销。</w:t>
      </w:r>
    </w:p>
    <w:p w:rsidR="00B439CC" w:rsidRDefault="005C6ED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EC60B5" w:rsidRDefault="005C6EDB">
      <w:pPr>
        <w:pStyle w:val="1"/>
        <w:snapToGrid w:val="0"/>
        <w:spacing w:beforeLines="0" w:before="240" w:after="240"/>
        <w:rPr>
          <w:rFonts w:ascii="宋体" w:hAnsi="宋体"/>
          <w:szCs w:val="30"/>
        </w:rPr>
      </w:pPr>
      <w:bookmarkStart w:id="16" w:name="_Toc228201071"/>
      <w:r>
        <w:rPr>
          <w:rFonts w:ascii="Times New Roman" w:hAnsi="Times New Roman"/>
          <w:sz w:val="30"/>
        </w:rPr>
        <w:lastRenderedPageBreak/>
        <w:t>十三、基金资产的估值</w:t>
      </w:r>
      <w:bookmarkEnd w:id="16"/>
    </w:p>
    <w:p w:rsidR="00EC60B5" w:rsidRDefault="005C6E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（一）估值日</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本基金的估值日为本基金相关的证券交易场所的交易日以及国家法律法规规定需要对外披露基金净值的非交易日。</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（二）估值对象</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基金所拥有的股票、债券、衍生工具和其它投资等持续以公允价值计量的金融资产及负债。</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（三）估值方法</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对存在活跃市场的投资品种，如估值日有市价的，采用市价确定公允价值；估值日无市价，但最近交易日后经济环境未发生重大变化且证券发行机构未发生影响证券价格的重大事件的，采用最近交易市价确定公允价值。</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存在活跃市场的投资品种，如估值日无市价，且最近交易日后经济环境发生了重大变化或证券发行机构发生了影响证券价格的重大事件的，可参考类似投资品种的现行市价及重大变化等因素，调整最近交易市价，确定公允价值。</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（3）当投资品种不存在活跃市场，采用市场参与者普遍认同，且被以往市场实际交易价格验证具有可靠性的估值技术，确定投资品种的公允价值。</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（4）如有充足理由认为按原有方法进行估值不能客观反映上述资产或负债公允价值的，基金管理人可根据具体情况与基金托管人商定后，按最能反映公允价值的方法估值。</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（5）本基金投资存托凭证的估值核算依照境内上市交易的股票执行。</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（6）存在相关法律法规以及监管部门有相关规范的，从其规定。如有新增事项，按监管部门最新规定估值。</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如基金管理人或基金托管人发现基金估值违反基金合同订明的估值方法、程序及相关法律法规的规定或者未能充分维护基金份额持有人利益时，应立即通知对方，共同查明原因，双方协商解决。</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资产净值的计算结果对外予以公布。</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（四）估值程序</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1、基金份额净值是按照每个工作日闭市后，基金资产净值除以当日基金份额的余额数量计算，精确到0.0001元，小数点后第五位四舍五入。国家另有规定的，从其规定。</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基金管理人于每个工作日分别计算A类基金份额、C类基金份额的基金资产净值及基金份额净值，并按规定公告。如遇特殊情况，经中国证监会同意，可以适当延迟计算或公告。</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应每个工作日对基金资产估值，但基金管理人根据法律法规或基金合同的规定暂停估值时除外。基金管理人每个工作日对基金资产估值后，将基金份额净值结果发送基金托管人，经基金托管人复核无误后，由基金管理人依据基金合同和相关法律法规的规定对外公布。</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（五）估值错误的处理</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基金管理人和基金托管人将采取必要、适当、合理的措施确保基金资产估值的准确性、及时性。当基金份额净值小数点后第4位以内（含第4位) 发生估值错误时，视为基金份额净值错误。</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一方当事人提供的信息错误，另一方当事人在采取了必要合理的措施后仍不能发现该错误，进而导致基金资产净值计算错误造成投资人或基金的损失，以及由此造成以后交易日基金资产净值计算顺延错误而引起的投资人或基金的损失，由提供错误信息的当事人一方负责赔偿。</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基金合同的当事人应按照以下约定处理：</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1、估值错误类型</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如果由于基金管理人或基金托管人、或登记机构、或销售机构、或投资人自身的过错造成估值错误，导致其他当事人遭受损失的，过错的责任人应当对由于该估值错误遭受损失当事人（“受损方”) 的直接损失按下述“估值错误处理原则”给予赔偿，承担赔偿责任。</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上述估值错误的主要类型包括但不限于：资料申报差错、数据传输差错、数据计算差错、系统故障差错、下达指令差错等。</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对于因技术原因引起的差错，若系同行业现有技术水平无法预见、无法避免、无法抗拒，则属不可抗力，按照下述规定执行。</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由于不可抗力原因造成投资人的交易资料灭失或被错误处理或造成其他错误</w:t>
      </w:r>
      <w:r>
        <w:rPr>
          <w:rFonts w:ascii="宋体" w:hAnsi="宋体"/>
          <w:sz w:val="24"/>
        </w:rPr>
        <w:lastRenderedPageBreak/>
        <w:t>等，因不可抗力原因出现估值错误的当事人不对其他当事人承担赔偿责任，但因该估值错误取得不当得利的当事人仍应负有返还不当得利的义务。</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2、估值错误处理原则</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（2）估值错误的责任方对有关当事人的直接损失负责，不对间接损失负责，并且仅对估值错误的有关直接当事人负责，不对第三方负责。</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（4）估值错误调整采用尽量恢复至假设未发生估值错误的正确情形的方式。</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（5）按法律法规规定的其他原则处理估值错误。</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3、估值错误处理程序</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估值错误被发现后，有关的当事人应当及时进行处理，处理的程序如下：</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（1）查明估值错误发生的原因，列明所有的当事人，并根据估值错误发生的原因确定估值错误的责任方；</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（2）根据估值错误处理原则或当事人协商的方法对因估值错误造成的损失进行评估；</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（3）根据估值错误处理原则或当事人协商的方法由估值错误的责任方进行更正和赔偿损失；</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（4）根据估值错误处理的方法，需要修改基金登记机构交易数据的，由基金登记机构进行更正，并就估值错误的更正向有关当事人进行确认。</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4、基金份额净值估值错误处理的方法如下：</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（1）基金份额净值计算出现错误时，基金管理人应当立即予以纠正，通报基金托管人，并采取合理的措施防止损失进一步扩大。</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（2）错误偏差达到基金份额净值的0.25%时，基金管理人应当通报基金托管人并报中国证监会备案；错误偏差达到基金份额净值的0.5%时，基金管理人应当公告。</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（3）前述内容如法律法规或监管机关另有规定的，从其规定处理。</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（六）暂停估值的情形</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1、基金投资所涉及的证券、期货交易市场遇法定节假日或因其他原因暂停营业时；</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2、因不可抗力致使基金管理人、基金托管人无法准确评估基金资产价值时；</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3、占基金相当比例的投资品种的估值出现重大转变，而基金管理人为保障基金份额持有人的利益，决定延迟估值；</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4、当前一估值日基金资产净值50%以上的资产出现无可参考的活跃市场价格且采用估值技术仍导致公允价值存在重大不确定性时，经与基金托管人协商确认后，基金管理人应当暂停估值；</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5、中国证监会和基金合同认定的其它情形。</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（七）基金净值的确认</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用于基金信息披露的各类别基金资产净值和基金份额净值由基金管理人负责计算，基金托管人负责进行复核。基金管理人应于每个开放日交易结束后计算当日的各类别基金资产净值和基金份额净值并发送给基金托管人。基金托管人对净值计算结果复核确认后发送给基金管理人，由基金管理人依据基金合同和相关法律法规的规定对基金净值予以公布。</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（八）特殊情形的处理</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1、基金管理人或基金托管人按估值方法的第（4）项进行估值时，所造成的误差不作为基金资产估值错误处理。</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由于不可抗力原因，或由于证券、期货交易所、证券经纪机构、期货公司及登记结算公司发送的数据错误等，基金管理人和基金托管人虽然已经采取必要、适当、合理的措施进行检查，但是未能发现该错误而造成的基金份额净值计算错误，基金管理人、基金托管人免除赔偿责任。但基金管理人、基金托管人应积极采</w:t>
      </w:r>
      <w:r>
        <w:rPr>
          <w:rFonts w:ascii="宋体" w:hAnsi="宋体"/>
          <w:sz w:val="24"/>
        </w:rPr>
        <w:lastRenderedPageBreak/>
        <w:t>取必要的措施减轻或消除由此造成的影响。</w:t>
      </w:r>
    </w:p>
    <w:p w:rsidR="00B439CC" w:rsidRDefault="005C6ED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EC60B5" w:rsidRDefault="005C6EDB">
      <w:pPr>
        <w:pStyle w:val="1"/>
        <w:snapToGrid w:val="0"/>
        <w:spacing w:beforeLines="0" w:before="240" w:after="240"/>
        <w:rPr>
          <w:rFonts w:ascii="宋体" w:hAnsi="宋体"/>
          <w:szCs w:val="30"/>
        </w:rPr>
      </w:pPr>
      <w:bookmarkStart w:id="17" w:name="_Toc228201072"/>
      <w:r>
        <w:rPr>
          <w:rFonts w:ascii="Times New Roman" w:hAnsi="Times New Roman"/>
          <w:sz w:val="30"/>
        </w:rPr>
        <w:lastRenderedPageBreak/>
        <w:t>十四、基金收益与分配</w:t>
      </w:r>
      <w:bookmarkEnd w:id="17"/>
    </w:p>
    <w:p w:rsidR="00EC60B5" w:rsidRDefault="005C6E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（一）基金利润的构成</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基金利润指基金利息收入、投资收益、公允价值变动收益和其他收入扣除相关费用后的余额，基金已实现收益指基金利润减去公允价值变动收益后的余额。</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（二）基金可供分配利润</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基金可供分配利润指截至收益分配基准日基金未分配利润与未分配利润中已实现收益的孰低数。</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（三）基金收益分配原则</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1、若《基金合同》生效不满3个月可不进行收益分配；</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收益分配方式分两种：现金分红与红利再投资，投资者可选择现金红利或将现金红利自动转为该类基金份额进行再投资；若投资者不选择，本基金默认的收益分配方式是现金分红；基金份额持有人可对其持有的A类、C类基金份额分别选择不同的收益分配方式；</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3、基金收益分配后任一类基金份额净值不能低于面值，即基金收益分配基准日的任一类基金份额净值减去该类每单位基金份额收益分配金额后不能低于面值；</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4、由于本基金A类基金份额不收取销售服务费，C类基金份额收取销售服务费，各基金份额类别对应的可供分配利润将有所不同，本基金同一类别的每份基金份额享有同等分配权；</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5、法律法规或监管机关另有规定的，从其规定。</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（四）收益分配方案</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基金收益分配方案中应载明截止收益分配基准日的可供分配利润、基金收益分配对象、分配时间、分配数额及比例、分配方式等内容。</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（五）收益分配方案的确定、公告与实施</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本基金收益分配方案由基金管理人拟定，并由基金托管人复核，依照《信息披露办法》的有关规定在指定媒介公告。</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基金红利发放日距离收益分配基准日（即可供分配利润计算截止日）的时间不得超过15个工作日。</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法律法规或监管机关另有规定的，从其规定。</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（六）基金收益分配中发生的费用</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收益分配时所发生的银行转账或其他手续费用由投资者自行承担。当投资者的现金红利小于一定金额，不足以支付银行转账或其他手续费用时，登记机构可将基金份额持有人的现金红利自动转为基金份额。红利再投资的计算方法，依照《业务规则》执行。</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（七）收益分配方式的修改</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投资人可至销售机构办理收益分配方式的修改，投资人对本基金不同的交易账户可设置不同的收益分配方式。</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投资人同一日多次申报收益分配方式变更的，按照《业务规则》执行，最终确认的收益分配方式以登记机构记录为准。</w:t>
      </w:r>
    </w:p>
    <w:p w:rsidR="00B439CC" w:rsidRDefault="005C6ED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EC60B5" w:rsidRDefault="005C6EDB">
      <w:pPr>
        <w:pStyle w:val="1"/>
        <w:snapToGrid w:val="0"/>
        <w:spacing w:beforeLines="0" w:before="240" w:after="240"/>
        <w:rPr>
          <w:rFonts w:ascii="宋体" w:hAnsi="宋体"/>
          <w:szCs w:val="30"/>
        </w:rPr>
      </w:pPr>
      <w:bookmarkStart w:id="18" w:name="_Toc228201073"/>
      <w:r>
        <w:rPr>
          <w:rFonts w:ascii="Times New Roman" w:hAnsi="Times New Roman"/>
          <w:sz w:val="30"/>
        </w:rPr>
        <w:lastRenderedPageBreak/>
        <w:t>十五、基金的费用与税收</w:t>
      </w:r>
      <w:bookmarkEnd w:id="18"/>
    </w:p>
    <w:p w:rsidR="00EC60B5" w:rsidRDefault="005C6E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（一）基金费用的种类</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3、《基金合同》生效后与基金相关的信息披露费用；</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4、《基金合同》生效后与基金相关的会计师费、律师费和诉讼费；</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5、基金份额持有人大会费用；</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6、基金的证券、期货交易费用；</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7、基金的银行汇划费用；</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8、基金的开户费用、账户维护费用；</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9、本基金从C类基金份额的基金财产中计提的销售服务费；</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10、按照国家有关规定和《基金合同》约定，可以在基金财产中列支的其他费用。</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（二）基金费用计提方法、计提标准和支付方式</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1、与基金运作有关的费用</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本基金的管理费按前一日基金资产净值的0.6%年费率计提。管理费的计算方法如下：</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H＝E×0.6%÷当年天数</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H为每日应计提的基金管理费</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E为前一日的基金资产净值</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费每日计提，按月支付。由基金管理人与基金托管人核对一致后，由基金托管人于次月首日起第3个工作日从基金财产中一次性支付给基金管理人，若遇法定节假日、休息日或不可抗力致使无法按时支付的，支付日期顺延。</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本基金的托管费按前一日基金资产净值的0.2%的年费率计提。托管费的计算方法如下：</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H＝E×0.2%÷当年天数</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H为每日应计提的基金托管费</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E为前一日的基金资产净值</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费每日计提，按月支付。由基金管理人与基金托管人核对一致后，由基金托管人复核后于次月首日起第3个工作日从基金财产中一次性支付给基金托管人，若遇法定节假日、休息日或不可抗力致使无法按时支付的，支付日期顺延。</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（3）C类基金份额的销售服务费</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本基金A类基金份额不收取销售服务费，C类基金份额的销售服务费按前一日C类基金资产净值的0.2%年费率计提。计算方法如下：</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H=E×0.2%÷当年天数</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H为C类基金份额每日应计提的销售服务费</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E为C类基金份额前一日的基金资产净值</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销售服务费每日计算，逐日累计至每月月末，按月支付，由基金管理人向基金托管人发送C类基金份额销售服务费划款指令，基金托管人复核后于次月前5个工作日内从基金财产中一次性支付给基金管理人，由基金管理人代付给销售机构。若遇法定节假日、休息日或不可抗力致使无法按时支付的，支付日期顺延。</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C类基金份额的销售服务费将专门用于本基金的推广、销售与基金份额持有人服务。</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（4）上述“（一）基金费用的种类”中第3－8项、第10项费用，根据有关法规及相应协议规定，按费用实际支出金额列入当期费用，由基金托管人从基金财产中支付。</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2、与基金销售有关的费用</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本基金申购费的费率水平、计算公式和收取方式详见“基金份额的申购与赎回”一章。</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本基金赎回费的费率水平、计算公式和收取方式详见“基金份额的申购与赎回”一章。</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（三）不列入基金费用的项目</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下列费用不列入基金费用：</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1、基金管理人和基金托管人因未履行或未完全履行义务导致的费用支出或基</w:t>
      </w:r>
      <w:r>
        <w:rPr>
          <w:rFonts w:ascii="宋体" w:hAnsi="宋体"/>
          <w:sz w:val="24"/>
        </w:rPr>
        <w:lastRenderedPageBreak/>
        <w:t>金财产的损失；</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2、基金管理人和基金托管人处理与基金运作无关的事项发生的费用；</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3、《基金合同》生效前的相关费用；</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4、其他根据相关法律法规及中国证监会的有关规定不得列入基金费用的项目。</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管理人和基金托管人可根据基金发展情况调整基金管理费率、基金托管费率和C类基金份额销售服务费率等相关费率。降低基金管理费率、基金托管费率和C类基金份额销售服务费率，无须召开基金份额持有人大会。基金管理人必须依照有关规定于新的费率实施日前在指定媒介上刊登公告。</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（五）基金税收</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本基金运作过程中涉及的各纳税主体，其纳税义务按国家税收法律、法规执行。</w:t>
      </w:r>
    </w:p>
    <w:p w:rsidR="00B439CC" w:rsidRDefault="005C6ED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EC60B5" w:rsidRDefault="005C6EDB">
      <w:pPr>
        <w:pStyle w:val="1"/>
        <w:snapToGrid w:val="0"/>
        <w:spacing w:beforeLines="0" w:before="240" w:after="240"/>
        <w:rPr>
          <w:rFonts w:ascii="宋体" w:hAnsi="宋体"/>
          <w:szCs w:val="30"/>
        </w:rPr>
      </w:pPr>
      <w:bookmarkStart w:id="19" w:name="_Toc228201074"/>
      <w:r>
        <w:rPr>
          <w:rFonts w:ascii="Times New Roman" w:hAnsi="Times New Roman"/>
          <w:sz w:val="30"/>
        </w:rPr>
        <w:lastRenderedPageBreak/>
        <w:t>十六、基金的会计与审计</w:t>
      </w:r>
      <w:bookmarkEnd w:id="19"/>
    </w:p>
    <w:p w:rsidR="00EC60B5" w:rsidRDefault="005C6E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（一）基金会计政策</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1、基金管理人为本基金的基金会计责任方；</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2、基金的会计年度为公历年度的1月1日至12月31日；</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3、基金核算以人民币为记账本位币，以人民币元为记账单位；</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4、会计制度执行国家有关会计制度；</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5、本基金独立建账、独立核算；</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6、基金管理人及基金托管人各自保留完整的会计账目、凭证并进行日常的会计核算，按照有关规定编制基金会计报表；</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7、基金托管人每月与基金管理人就基金的会计核算、报表编制等进行核对并以书面方式确认。</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（二）基金的年度审计</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1、基金管理人聘请与基金管理人、基金托管人相互独立的具有证券、期货相关业务资格的会计师事务所及其注册会计师对本基金的年度财务报表进行审计。</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2、会计师事务所更换经办注册会计师，应事先征得基金管理人同意。</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3、基金管理人认为有充足理由更换会计师事务所，须通报基金托管人。更换会计师事务所需依照《信息披露办法》的有关规定在指定媒介公告。</w:t>
      </w:r>
    </w:p>
    <w:p w:rsidR="00B439CC" w:rsidRDefault="005C6ED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EC60B5" w:rsidRDefault="005C6EDB">
      <w:pPr>
        <w:pStyle w:val="1"/>
        <w:snapToGrid w:val="0"/>
        <w:spacing w:beforeLines="0" w:before="240" w:after="240"/>
        <w:rPr>
          <w:rFonts w:ascii="宋体" w:hAnsi="宋体"/>
          <w:szCs w:val="30"/>
        </w:rPr>
      </w:pPr>
      <w:bookmarkStart w:id="20" w:name="_Toc228201075"/>
      <w:r>
        <w:rPr>
          <w:rFonts w:ascii="Times New Roman" w:hAnsi="Times New Roman"/>
          <w:sz w:val="30"/>
        </w:rPr>
        <w:lastRenderedPageBreak/>
        <w:t>十七、基金的信息披露</w:t>
      </w:r>
      <w:bookmarkEnd w:id="20"/>
    </w:p>
    <w:p w:rsidR="00EC60B5" w:rsidRDefault="005C6E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（一）本基金的信息披露应符合《基金法》、《运作办法》、《信息披露办法》、《流动性规定》、《基金合同》及其他有关规定。</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（二）信息披露义务人</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本基金信息披露义务人包括基金管理人、基金托管人、召集基金份额持有人大会的基金份额持有人等法律法规和中国证监会规定的自然人、法人和非法人组织。</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本基金信息披露义务人以保护基金份额持有人利益为根本出发点，按照法律法规和中国证监会的规定披露基金信息，并保证所披露信息的真实性、准确性、完整性、及时性、简明性和易得性。</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应当在中国证监会规定时间内，将应予披露的基金信息通过中国证监会指定的全国性报刊（以下简称“指定报刊”）及指定互联网网站（以下简称“指定网站”）等媒介披露，并保证基金投资者能够按照《基金合同》约定的时间和方式查阅或者复制公开披露的信息资料。</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（三）本基金信息披露义务人承诺公开披露的基金信息，不得有下列行为：</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1、虚假记载、误导性陈述或者重大遗漏；</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2、对证券投资业绩进行预测；</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3、违规承诺收益或者承担损失；</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4、诋毁其他基金管理人、基金托管人或者基金销售机构；</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5、登载任何自然人、法人和非法人组织的祝贺性、恭维性或推荐性的文字；</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6、中国证监会禁止的其他行为。</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（四）本基金公开披露的信息应采用中文文本。如同时采用外文文本的，基金信息披露义务人应保证不同文本的内容一致。不同文本之间发生歧义的，以中文文本为准。</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本基金公开披露的信息采用阿拉伯数字；除特别说明外，货币单位为人民币元。</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（五）公开披露的基金信息</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公开披露的基金信息包括：</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1、基金招募说明书、《基金合同》、基金托管协议、基金产品资料概要</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（1）《基金合同》是界定《基金合同》当事人的各项权利、义务关系，明确基</w:t>
      </w:r>
      <w:r>
        <w:rPr>
          <w:rFonts w:ascii="宋体" w:hAnsi="宋体"/>
          <w:sz w:val="24"/>
        </w:rPr>
        <w:lastRenderedPageBreak/>
        <w:t>金份额持有人大会召开的规则及具体程序，说明基金产品的特性等涉及基金投资者重大利益的事项的法律文件。</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指定网站上；基金招募说明书其他信息发生变更的，基金管理人至少每年更新一次。基金终止运作的，基金管理人不再更新基金招募说明书。</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（3）基金托管协议是界定基金托管人和基金管理人在基金财产保管及基金运作监督等活动中的权利、义务关系的法律文件。</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产品资料概要是基金招募说明书的摘要文件，用于向投资者提供简明的基金概要信息。《基金合同》生效后，基金产品资料概要的信息发生重大变更的，基金管理人应当在三个工作日内，更新基金产品资料概要，并登载在指定网站及基金销售机构网站或营业网点；基金产品资料概要其他信息发生变更的，基金管理人至少每年更新一次。基金终止运作的，基金管理人不再更新基金产品资料概要。</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基金募集申请经中国证监会注册后，基金管理人在基金份额发售的3日前，将基金招募说明书、《基金合同》摘要登载在指定媒介上；基金管理人、基金托管人应当将《基金合同》、基金托管协议登载在网站上。</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2、基金份额发售公告</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基金管理人应当就基金份额发售的具体事宜编制基金份额发售公告，并在披露招募说明书的当日登载于指定媒介上。</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3、《基金合同》生效公告</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基金管理人应当在收到中国证监会确认文件的次日在指定媒介上登载《基金合同》生效公告。</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4、基金净值信息</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《基金合同》生效后，在开始办理基金份额申购或者赎回前，基金管理人应当至少每周在指定网站披露一次A类基金份额和C类基金份额所对应的基金份额净值和基金份额累计净值。</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在开始办理基金份额申购或者赎回后，基金管理人应当在不晚于每个开放日的</w:t>
      </w:r>
      <w:r>
        <w:rPr>
          <w:rFonts w:ascii="宋体" w:hAnsi="宋体"/>
          <w:sz w:val="24"/>
        </w:rPr>
        <w:lastRenderedPageBreak/>
        <w:t>次日，通过指定网站、销售机构网站或者营业网点披露开放日的A类基金份额和C类基金份额所对应的基金份额净值和基金份额累计净值。</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基金管理人应当在不晚于半年度和年度最后一日的次日，在指定网站披露半年度和年度最后一日的A类基金份额和C类基金份额所对应的基金份额净值和基金份额累计净值。</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5、基金份额申购、赎回价格</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基金管理人应当在《基金合同》、招募说明书等信息披露文件上载明基金份额申购、赎回价格的计算方式及有关申购、赎回费率，并保证投资者能够在基金销售机构网站或营业网点查阅或者复制前述信息资料。</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6、基金定期报告，包括基金年度报告、基金中期报告和基金季度报告</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每年结束之日起三个月内，编制完成基金年度报告，将年度报告登载在指定网站上，并将年度报告提示性公告登载在指定报刊上。基金年度报告中的财务会计报告应当经过具有证券、期货相关业务资格的会计师事务所审计。</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基金管理人应当在上半年结束之日起两个月内，编制完成基金中期报告，将中期报告登载在指定网站上，并将中期报告提示性公告登载在指定报刊上。</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基金管理人应当在季度结束之日起15个工作日内，编制完成基金季度报告，将季度报告登载在指定网站上，并将季度报告提示性公告登载在指定报刊上。</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《基金合同》生效不足2个月的，基金管理人可以不编制当期季度报告、中期报告或者年度报告。</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基金管理人应当在基金年度报告和中期报告中披露基金组合资产情况及其流动性风险分析等。</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7、临时报告</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本基金发生重大事件，有关信息披露义务人应当在2日内编制临时报告书，并登载在指定报刊和指定网站上。</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前款所称重大事件，是指可能对基金份额持有人权益或者基金份额的价格产生重大影响的下列事件：</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（1）基金份额持有人大会的召开及决定的事项；</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（2）《基金合同》终止、基金清算；</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（3）转换基金运作方式、基金合并；</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（4）更换基金管理人、基金托管人、基金份额登记机构，基金改聘会计师事务所；</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（5）基金管理人委托基金服务机构代为办理基金的份额登记、核算、估值等事项，基金托管人委托基金服务机构代为办理基金的核算、估值、复核等事项；</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（6）基金管理人、基金托管人的法定名称、住所发生变更；</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（7）基金管理人变更持有百分之五以上股权的股东、基金管理人的实际控制人变更；</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（8）基金募集期延长或提前结束募集；</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（9）基金管理人的高级管理人员、基金经理和基金托管人专门基金托管部门负责人发生变动；</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（10）基金管理人的董事在最近12个月内变更超过百分之五十，基金管理人、基金托管人专门基金托管部门的主要业务人员在最近12个月内变动超过百分之三十；</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（11）涉及基金财产、基金管理业务、基金托管业务的诉讼或仲裁；</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（12）基金管理人或其高级管理人员、基金经理因基金管理业务相关行为受到重大行政处罚、刑事处罚，基金托管人或其专门基金托管部门负责人因基金托管业务相关行为受到重大行政处罚、刑事处罚；</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管理人运用基金财产买卖基金管理人、基金托管人及其控股股东、实际控制人或者与其有重大利害关系的公司发行的证券或者承销期内承销的证券，或者从事其他重大关联交易事项，但中国证监会另有规定的除外；</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（14）基金收益分配事项；</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（15）管理费、托管费、销售服务费、申购费、赎回费等费用计提标准、计提方式和费率发生变更；</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（16）任一类基金份额净值计价错误达该类基金份额净值百分之零点五；</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（17）本基金开始办理申购、赎回；</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（18）本基金发生巨额赎回并延期办理；</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（19）本基金连续发生巨额赎回并暂停接受赎回申请或延缓支付赎回款项；</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（20）本基金暂停接受申购、赎回申请或重新接受申购、赎回申请；</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（21）发生涉及基金申购、赎回事项调整或潜在影响投资者赎回等重大事项时；</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（22）调整基金份额类别；</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（23）基金信息披露义务人认为可能对基金份额持有人权益或者基金份额的价格产生重大影响的其他事项或中国证监会规定的其他事项。</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8、澄清公告</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并将有关情况立即报告中国证监会。</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9、基金份额持有人大会决议</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基金份额持有人大会决定的事项，应当依法报中国证监会备案，并予以公告。</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基金份额持有人依法自行召集基金份额持有人大会，基金管理人、基金托管人对基金份额持有人大会决定的事项不依法履行信息披露义务的，召集人应当履行相关信息披露义务。</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10、清算报告</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终止的，基金管理人应当依法组织清算组对基金财产进行清算并作出清算报告。清算报告应当经过具有证券、期货相关业务资格的会计师事务所审计，并由律师事务所出具法律意见书。清算组应当将清算报告登载在指定网站上，并将清算报告提示性公告登载在指定报刊上。</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投资股指期货，基金管理人需按照法规要求在季度报告、中期报告、年度报告等定期报告和招募说明书（更新）等文件中披露股指期货交易情况，包括投资政策、持仓情况、损益情况、风险指标等，并充分揭示股指期货交易对基金总体风险的影响以及是否符合既定的投资政策和投资目标等。</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投资资产支持证券，基金管理人应在基金年度报告及中期报告中披露其持有的资产支持证券总额、资产支持证券市值占基金净资产的比例和报告期末所有的资产支持证券明细。基金管理人应在基金季度报告中披露其持有的资产支持证券总额、资产支持证券市值占基金净资产的比例和报告期末按市值占基金净资产比例大小排序的前10名资产支持证券明细。</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13、中国证监会规定的其他信息。</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（六）信息披露事务管理</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基金管理人、基金托管人应当建立健全信息披露管理制度，指定专门部门及高级管理人员负责管理信息披露事务。</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基金信息披露义务人公开披露基金信息，应当符合中国证监会相关基金信息披露内容与格式准则等法规规定。</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应当按照相关法律法规、中国证监会的规定和《基金合同》的约定，对基金管理人编制的基金资产净值、基金份额净值、基金份额申购赎回价格、基金定期报告、更新的招募说明书、基金产品资料概要、基金清算报告等公开披露的相关基金信息进行复核、审查，并向基金管理人进行书面或电子确认。</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基金管理人、基金托管人应当在指定报刊中选择一家报刊披露本基金信息。基金管理人、基金托管人应当向中国证监会基金电子披露网站报送拟披露的基金信息，并保证相关报送信息的真实、准确、完整、及时。</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基金管理人、基金托管人除依法在指定媒介上披露信息外，还可以根据需要在其他公共媒介披露信息，但是其他公共媒介不得早于指定媒介披露信息，并且在不同媒介上披露同一信息的内容应当一致。</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为基金信息披露义务人公开披露的基金信息出具审计报告、法律意见书的专业机构，应当制作工作底稿，并将相关档案至少保存到《基金合同》终止后10年。</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（七）信息披露文件的存放与查阅</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依法必须披露的信息发布后，基金管理人、基金托管人应当按照相关法律法规规定将信息置备于各自住所，供社会公众查阅、复制。</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（八）本基金信息披露事项以法律法规规定及本章节约定的内容为准。</w:t>
      </w:r>
    </w:p>
    <w:p w:rsidR="00B439CC" w:rsidRDefault="005C6ED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EC60B5" w:rsidRDefault="005C6EDB">
      <w:pPr>
        <w:pStyle w:val="1"/>
        <w:snapToGrid w:val="0"/>
        <w:spacing w:beforeLines="0" w:before="240" w:after="240"/>
        <w:rPr>
          <w:rFonts w:ascii="宋体" w:hAnsi="宋体"/>
          <w:szCs w:val="30"/>
        </w:rPr>
      </w:pPr>
      <w:bookmarkStart w:id="21" w:name="_Toc228201076"/>
      <w:r>
        <w:rPr>
          <w:rFonts w:ascii="Times New Roman" w:hAnsi="Times New Roman"/>
          <w:sz w:val="30"/>
        </w:rPr>
        <w:lastRenderedPageBreak/>
        <w:t>十八、风险揭示</w:t>
      </w:r>
      <w:bookmarkEnd w:id="21"/>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投资基金（以下简称“基金”）是一种长期投资工具，其主要功能是分散投资，降低投资单一证券所带来的个别风险。基金不同于银行储蓄和债券等能够提供固定收益预期的金融工具，投资人购买基金，既可能按其持有份额分享基金投资所产生的收益，也可能承担基金投资所带来的损失。</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投资运作过程中可能面临各种风险，既包括市场风险，也包括基金自身的管理风险、技术风险和合规风险等。巨额赎回风险是开放式基金所特有的一种风险，即当单个交易日基金的净赎回申请（赎回申请份额总数加上基金转换中转出申请份额总数扣除申购申请份额总数及基金转换中转入申请份额总数后的余额）超过上一开放日基金总份额的百分之十时，投资人将可能无法及时赎回持有的全部基金份额。</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分为股票型基金、混合型基金、债券型基金、货币市场基金等不同类型，投资人投资不同类型的基金将获得不同的收益预期，也将承担不同程度的风险。一般来说，基金的收益预期越高，投资人承担的风险也越大。</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认真阅读《基金合同》、《招募说明书》、基金产品资料概要等基金法律文件，了解基金的风险收益特征，并根据自身的投资目的、投资期限、投资经验、资产状况等判断基金是否和投资人的风险承受能力相适应。</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充分了解基金定期定额投资和零存整取等储蓄方式的区别。定期定额投资是引导投资人进行长期投资、平均投资成本的一种简单易行的投资方式。但是定期定额投资并不能规避基金投资所固有的风险，不能保证投资人获得收益，也不是替代储蓄的等效理财方式。</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拆分、封转开、分红等行为导致基金份额净值变化，不会改变基金的风险收益特征，不会降低基金投资风险或提高基金投资收益。以1元初始面值开展基金募集或因拆分、封转开、分红等行为导致基金份额净值调整至1元初始面值或1元附近，在市场波动等因素的影响下，基金投资仍有可能出现亏损或基金净值仍有可能低于初始面值。</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以诚实信用、勤勉尽责的原则管理和运用基金资产，但不保证本基金一定盈利，也不保证最低收益。基金管理人管理的其他基金的业绩不构成对本基金业绩表现的保证。基金管理人提醒投资人基金投资的“买者自负”原则，在</w:t>
      </w:r>
      <w:r>
        <w:rPr>
          <w:rFonts w:ascii="宋体" w:hAnsi="宋体"/>
          <w:sz w:val="24"/>
        </w:rPr>
        <w:lastRenderedPageBreak/>
        <w:t>做出投资决策后，基金运营状况与基金净值变化引致的投资风险，由投资人自行负担。</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基金份额持有人须了解并承受以下风险：</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（一）市场风险</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证券市场价格因受到经济因素、政治因素、投资心理和交易制度等各种因素的影响而引起的波动，将对基金收益水平产生潜在风险，主要包括：</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1、政策风险。因国家宏观政策（如货币政策、财政政策、行业政策、地区发展政策等）和证券市场监管政策发生变化，导致市场价格波动而产生风险。</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2、经济周期风险。证券市场受宏观经济运行的影响，而经济运行具有周期性的特点，宏观经济运行状况将对证券市场的收益水平产生影响，从而对基金收益造成影响。</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率风险。金融市场利率的波动会导致证券市场价格和收益率的变动。利率直接影响着债券的价格和收益率，影响着企业的融资成本和利润。基金投资于债券和债券回购，其收益水平会受到利率变化和货币市场供求状况的影响。</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市公司经营风险。上市公司的经营状况受多种因素影响，如管理能力、财务状况、市场前景、行业竞争、人员素质等，这些都会导致企业的盈利发生变化。如果基金所投资的上市公司经营不善，其股票价格可能下跌，或者能够用于分配的利润减少，使基金投资收益下降。虽然基金可以通过投资多样化来分散这种非系统风险，但不能完全规避。</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5、购买力风险。基金投资的目的是基金资产的保值增值，如果发生通货膨胀，基金投资于证券所获得的收益可能会被通货膨胀抵消，从而使基金的实际收益下降，影响基金资产的保值增值。</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（二）管理风险</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管理运作过程中基金管理人的知识、经验、判断、决策、技能等，会影响其对信息的占有和对经济形势、证券价格走势的判断，从而影响基金收益水平。因此，本基金的收益水平与基金管理人的管理水平、管理手段和管理技术等相关性较大，本基金可能因为基金管理人的因素而影响基金收益水平。</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（三）流动性风险</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本基金属于开放式基金，在基金的所有开放日，基金管理人都有义务接受投资人的赎回。如果基金资产不能迅速转变成现金，或者变现为现金时使资金净值产生</w:t>
      </w:r>
      <w:r>
        <w:rPr>
          <w:rFonts w:ascii="宋体" w:hAnsi="宋体"/>
          <w:sz w:val="24"/>
        </w:rPr>
        <w:lastRenderedPageBreak/>
        <w:t>不利的影响，都会影响基金运作和收益水平。尤其是在发生巨额赎回时，如果基金资产变现能力差，可能会产生基金仓位调整的困难，导致流动性风险，可能影响基金份额净值。</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1、本基金的申购、赎回安排</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采用开放方式运作，基金管理人在开放日办理基金份额的申购和赎回，具体办理时间为上海证券交易所、深圳证券交易所的正常交易日的交易时间，但基金管理人根据法律法规、中国证监会的要求或基金合同的规定公告暂停申购、赎回时除外。</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2、投资市场、行业及资产的流动性风险评估</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市场主要为证券交易所、全国银行间债券市场等流动性较好的规范型交易场所，主要投资对象为具有良好流动性的金融工具，同时本基金基于分散投资的原则在个券方面未有高集中度的特征，综合评估在正常市场环境下本基金的流动性风险适中。</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3、巨额赎回情形下的流动性风险管理措施</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基金份额净值为基础计算赎回金额，以此类推，直到全部赎回为</w:t>
      </w:r>
      <w:r>
        <w:rPr>
          <w:rFonts w:ascii="宋体" w:hAnsi="宋体"/>
          <w:sz w:val="24"/>
        </w:rPr>
        <w:lastRenderedPageBreak/>
        <w:t>止。如投资人在提交赎回申请时未作明确选择，投资人未能赎回部分作自动延期赎回处理。</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巨额赎回且单个基金份额持有人的赎回申请超过上一日基金总份额20%的情形下，基金管理人有权采取如下措施：对于该类基金份额持有人当日超过20%的赎回申请，可以对其赎回申请延期办理；对于该类基金份额持有人未超过上述比例的部分，基金管理人可以根据前段“（1）全额赎回”或“（2）部分延期赎回”的约定方式与其他基金份额持有人的赎回申请一并办理。但是，如该类基金份额持有人在当日选择取消赎回，则其当日未获受理的部分赎回申请将被撤销。</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暂停赎回：连续2日以上（含本数）发生巨额赎回，如基金管理人认为有必要，可暂停接受基金的赎回申请；已经接受的赎回申请可以延缓支付赎回款项，但不得超过20个工作日，并应当在指定媒体上进行公告。</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4、实施备用的流动性风险管理工具的情形、程序及对投资者的潜在影响</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本基金在面临大规模赎回的情况下有可能因为无法变现造成流动性风险。</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出现流动性风险，基金管理人经与基金托管人协商，在确保投资者得到公平对待的前提下，可实施备用的流动性风险管理工具，包括但不限于延期办理巨额赎回申请、暂停接受赎回申请、延缓支付赎回款项、收取短期赎回费、暂停基金估值等，作为特定情形下基金管理人流动性风险管理的辅助措施，同时基金管理人应时刻防范可能产生的流动性风险，对流动性风险进行日常监控，保护持有人的利益。当实施备用的流动性风险管理工具时，有可能无法按合同约定的时限支付赎回款项。</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（四）信用风险</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基金在交易过程发生交收违约，或者基金所投资债券之发行人出现违约、拒绝支付到期本息，都可能导致基金资产损失和收益变化，从而产生风险。</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（五）本基金投资策略所特有的风险</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属于混合型基金，通过在股票、债券等各类资产之间进行配置来降低风险，提高收益。如果股票市场和债券市场同时出现下跌，本基金将不能完全抵御两个市场同时下跌的风险，基金净值将出现下降。此外，本基金在调整资产配置比例时，可能由于基金经理的预判与市场的实际表现存在较大差异，出现资产配置不合理的风险，从而对基金收益造成不利影响。</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本基金投资中小企业私募债，中小企业私募债是根据相关法律法规由非上市中</w:t>
      </w:r>
      <w:r>
        <w:rPr>
          <w:rFonts w:ascii="宋体" w:hAnsi="宋体"/>
          <w:sz w:val="24"/>
        </w:rPr>
        <w:lastRenderedPageBreak/>
        <w:t>小企业采用非公开方式发行的债券。由于不能公开交易，一般情况下，交易不活跃，潜在较大流动性风险。当发债主体信用质量恶化时，受市场流动性所限，本基金可能无法卖出所持有的中小企业私募债，由此可能给基金净值带来更大的负面影响和损失。</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本基金可投资创业板股票，创业板个股上市后的前五个交易日不设价格涨跌幅限制，第六个交易日开始涨跌幅限制比例为20%。</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（六）投资股指期货的特定风险</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具体为：</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（1）市场风险是指由于股指期货价格变动而给投资者带来的风险。市场风险是股指期货投资中最主要的风险。</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（2）流动性风险是指由于股指期货合约无法及时变现所带来的风险。</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（3）基差风险是指股指期货合约价格和指数价格之间的价格差的波动所造成的风险，以及不同股指期货合约价格之间价格差的波动所造成的期现价差风险。</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（4）保证金风险是指由于无法及时筹措资金满足建立或者维持股指期货合约头寸所要求的保证金而带来的风险。</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（5）信用风险是指期货经纪公司违约而产生损失的风险。</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（6）操作风险是指由于内部流程的不完善，业务人员出现差错或者疏漏，或者系统出现故障等原因造成损失的风险。</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此外，由于衍生品通常具有杠杆效应，价格波动比标的工具更为剧烈，并且其定价相当复杂，不适当的估值也有可能使基金资产面临损失风险。</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（七）基金合同提前终止风险</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连续六十个工作日出现基金份额持有人数量不满200人或者基金资产净值低于5000万元情形的，基金管理人将提前终止基金合同，按照相关法律法规和基金合同的约定进入清算程序，不需召开基金份额持有人大会。</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（八）投资科创板股票的特定风险</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本基金可根据投资策略需要或市场环境的变化，选择将部分基金资产投资于科创板股票或选择不将基金资产投资于科创板股票，基金资产并非必然投资于科创板</w:t>
      </w:r>
      <w:r>
        <w:rPr>
          <w:rFonts w:ascii="宋体" w:hAnsi="宋体"/>
          <w:sz w:val="24"/>
        </w:rPr>
        <w:lastRenderedPageBreak/>
        <w:t>股票。基金资产投资于科创板股票，会面临科创板机制下因投资标的、市场制度以及交易规则等差异带来的特有风险，包括但不限于市场风险、流动性风险、退市风险、系统性风险、政策风险等。</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（1）市场风险</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个股集中来自新一代信息技术、高端装备、新材料、新能源、节能环保及生物医药等高新技术和战略新兴产业领域。大多数企业为初创型公司，企业未来盈利、现金流、估值均存在不确定性，与传统二级市场投资存在差异，整体投资难度加大，个股市场风险加大。</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科创板个股上市前五日无涨跌停限制，第六日开始涨跌幅限制在正负20%以内，个股波动幅度较其他股票加大，市场风险随之上升。</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（2）流动性风险</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整体投资门槛较高，个人投资者必须满足交易满两年并且资金在50万以上才可参与，二级市场上个人投资者参与度相对较低，机构持有个股大量流通盘导致个股流动性较差，基金组合存在无法及时变现及其他相关流动性风险。</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（3）退市风险</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退市制度较主板更为严格，退市时间更短，退市速度更快；退市情形更多，新增市值低于规定标准、上市公司信息披露或者规范运作存在重大缺陷导致退市的情形；执行标准更严，明显丧失持续经营能力，仅依赖与主业无关的贸易或者不具备商业实质的关联交易维持收入的上市公司可能会被退市；且不再设置暂停上市、恢复上市和重新上市环节，上市公司退市风险更大。</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（4）系统性风险</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科创板企业均为市场认可度较高的科技创新企业，在企业经营及盈利模式上存在趋同，所以科创板个股相关性较高，市场表现不佳时，系统性风险将更为显著。</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（5）政策风险</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国家对高新技术产业扶持力度及重视程度的变化会对科创板企业带来较大影响，国际经济形势变化对战略新兴产业及科创板个股也会带来政策影响。</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（九）投资存托凭证的特定风险</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本基金可根据投资策略需要或市场环境的变化，选择将部分基金资产投资于存托凭证或选择不将基金资产投资于存托凭证，基金资产并非必然投资存托凭证。</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（十）本基金法律文件风险收益特征表述与销售机构基金风险评价可能不一致的风险</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（十一）其他风险</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1、因技术因素而产生的风险，如电脑系统不可靠产生的风险；</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2、因基金业务快速发展，在制度建设、人员配备、内控制度建立等方面的不完善产生的风险；</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3、因人为因素而产生的风险、如内幕交易、欺诈行为等产生的风险；</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4、对主要业务人员如基金经理的依赖而可能产生的风险；</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5、因业务竞争压力可能产生的风险；</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6、战争、自然灾害等不可抗力可能导致基金财产的损失，影响基金收益水平，从而带来风险；</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7、其他意外导致的风险。</w:t>
      </w:r>
    </w:p>
    <w:p w:rsidR="00B439CC" w:rsidRDefault="005C6ED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EC60B5" w:rsidRDefault="005C6EDB">
      <w:pPr>
        <w:pStyle w:val="1"/>
        <w:snapToGrid w:val="0"/>
        <w:spacing w:beforeLines="0" w:before="240" w:after="240"/>
        <w:rPr>
          <w:rFonts w:ascii="宋体" w:hAnsi="宋体"/>
          <w:szCs w:val="30"/>
        </w:rPr>
      </w:pPr>
      <w:bookmarkStart w:id="22" w:name="_Toc228201077"/>
      <w:r>
        <w:rPr>
          <w:rFonts w:ascii="Times New Roman" w:hAnsi="Times New Roman"/>
          <w:sz w:val="30"/>
        </w:rPr>
        <w:lastRenderedPageBreak/>
        <w:t>十九、基金合同的变更、终止与基金财产的清算</w:t>
      </w:r>
      <w:bookmarkEnd w:id="22"/>
    </w:p>
    <w:p w:rsidR="00EC60B5" w:rsidRDefault="005C6E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（一）《基金合同》的变更</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基金合同约定应经基金份额持有人大会决议通过的事项的，应召开基金份额持有人大会决议通过。对于可不经基金份额持有人大会决议通过的事项，由基金管理人和基金托管人同意后变更并公告，并报中国证监会备案。</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2、关于《基金合同》变更的基金份额持有人大会决议生效后方可执行，并自决议生效后依照《信息披露办法》的规定在指定媒介公告。</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（二）《基金合同》的终止事由</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有下列情形之一的，《基金合同》应当终止：</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3、连续60个工作日出现基金份额持有人数量不满200人或者基金资产净值低于5000万元情形的；</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4、《基金合同》约定的其他情形；</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5、相关法律法规和中国证监会规定的其他情况。</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（三）基金财产的清算</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2、基金财产清算小组组成：基金财产清算小组成员由基金管理人、基金托管人、具有从事证券相关业务资格的注册会计师、律师以及中国证监会指定的人员组成。基金财产清算小组可以聘用必要的工作人员。</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（1）《基金合同》终止情形出现时，由基金财产清算小组统一接管基金财产；</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（3）对基金财产进行估值和变现；</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5、基金财产清算的期限为6个月，若遇基金持有的有价证券出现长期休市、停牌或其他流通受限的情形除外。</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（四）清算费用</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（五）基金财产清算剩余资产的分配</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各类基金份额在基金合同终止事由发生时各自基金份额资产净值的比例确定剩余财产在各类基金份额中的分配比例，并在各类基金份额可分配的剩余财产范围内按各份额类别内基金份额持有人持有的基金份额比例进行分配。</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（六）基金财产清算的公告</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会计师事务所审计并由律师事务所出具法律意见书后报中国证监会备案并公告。基金财产清算公告于基金财产清算报告报中国证监会备案后5个工作日内由基金财产清算小组进行公告。</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（七）基金财产清算账册及文件的保存</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基金财产清算账册及有关文件由基金托管人保存15年以上。</w:t>
      </w:r>
    </w:p>
    <w:p w:rsidR="00B439CC" w:rsidRDefault="005C6ED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EC60B5" w:rsidRDefault="005C6EDB">
      <w:pPr>
        <w:pStyle w:val="1"/>
        <w:snapToGrid w:val="0"/>
        <w:spacing w:beforeLines="0" w:before="240" w:after="240"/>
        <w:rPr>
          <w:rFonts w:ascii="宋体" w:hAnsi="宋体"/>
          <w:szCs w:val="30"/>
        </w:rPr>
      </w:pPr>
      <w:bookmarkStart w:id="23" w:name="_Toc228201078"/>
      <w:r>
        <w:rPr>
          <w:rFonts w:ascii="Times New Roman" w:hAnsi="Times New Roman"/>
          <w:sz w:val="30"/>
        </w:rPr>
        <w:lastRenderedPageBreak/>
        <w:t>二十、基金合同内容摘要</w:t>
      </w:r>
      <w:bookmarkEnd w:id="23"/>
    </w:p>
    <w:p w:rsidR="00EC60B5" w:rsidRDefault="005C6E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（一）基金份额持有人、基金管理人和基金托管人的权利与义务</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1、基金管理人的权利与义务</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（1）根据《基金法》、《运作办法》及其他有关规定，基金管理人的权利包括但不限于：</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2）自《基金合同》生效之日起，根据法律法规和《基金合同》独立运用并管理基金财产；</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3）依照《基金合同》收取基金管理费以及法律法规规定或中国证监会批准的其他费用；</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4）销售基金份额；</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5）按照规定召集基金份额持有人大会；</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6）依据《基金合同》及有关法律规定监督基金托管人，如认为基金托管人违反了《基金合同》及国家有关法律规定，应呈报中国证监会和其他监管部门，并采取必要措施保护基金投资者的利益；</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7）在基金托管人更换时，提名新的基金托管人；</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8）选择、更换基金销售机构，对基金销售机构的相关行为进行监督和处理；</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9）担任或委托其他符合条件的机构担任基金登记机构办理基金登记业务并获得《基金合同》规定的费用；</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10）依据《基金合同》及有关法律规定决定基金收益的分配方案；</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11）在《基金合同》约定的范围内，拒绝或暂停受理申购与赎回申请；</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12）依照法律法规为基金的利益对被投资公司行使股东权利，为基金的利益行使因基金财产投资于证券所产生的权利；</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13）在法律法规允许的前提下，为基金的利益依法为基金进行融资；</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14）以基金管理人的名义，代表基金份额持有人的利益行使诉讼权利或者实施其他法律行为；</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15）选择、更换律师事务所、会计师事务所、证券经纪商、期货经纪机构或其他为基金提供服务的外部机构；</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16）在符合有关法律、法规的前提下，制定和调整有关基金认购、申购、赎</w:t>
      </w:r>
      <w:r>
        <w:rPr>
          <w:rFonts w:ascii="宋体" w:hAnsi="宋体"/>
          <w:sz w:val="24"/>
        </w:rPr>
        <w:lastRenderedPageBreak/>
        <w:t>回、转换等的业务规则；</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17）法律法规及中国证监会规定的和《基金合同》约定的其他权利。</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（2）根据《基金法》、《运作办法》及其他有关规定，基金管理人的义务包括但不限于：</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3）自《基金合同》生效之日起，以诚实信用、谨慎勤勉的原则管理和运用基金财产；</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4）配备足够的具有专业资格的人员进行基金投资分析、决策，以专业化的经营方式管理和运作基金财产；</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5）建立健全内部风险控制、监察与稽核、财务管理及人事管理等制度，保证所管理的基金财产和基金管理人的财产相互独立，对所管理的不同基金分别管理，分别记账，进行证券投资；</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6）除依据《基金法》、《基金合同》及其他有关规定外，不得利用基金财产为自己及任何第三人谋取利益，不得委托第三人运作基金财产；</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7）依法接受基金托管人的监督；</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8）采取适当合理的措施使计算基金份额认购、申购、赎回和注销价格的方法符合《基金合同》等法律文件的规定，按有关规定计算并公告基金净值信息，确定基金份额申购、赎回的价格；</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9）进行基金会计核算并编制基金财务会计报告；</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10）编制季度报告、中期报告和年度报告；</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11）严格按照《基金法》、《基金合同》及其他有关规定，履行信息披露及报告义务；</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12）保守基金商业秘密，不泄露基金投资计划、投资意向等。除《基金法》、《基金合同》及其他有关规定另有规定外，在基金信息公开披露前应予保密，不向他人泄露；</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13）按《基金合同》的约定确定基金收益分配方案，及时向基金份额持有人分配基金收益；</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14）按规定受理申购与赎回申请，及时、足额支付赎回款项；</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15）依据《基金法》、《基金合同》及其他有关规定召集基金份额持有人大会或配合基金托管人、基金份额持有人依法召集基金份额持有人大会；</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16）按规定保存基金财产管理业务活动的会计账册、报表、记录和其他相关资料15年以上；</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18）组织并参加基金财产清算小组，参与基金财产的保管、清理、估价、变现和分配；</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19）面临解散、依法被撤销或者被依法宣告破产时，及时报告中国证监会并通知基金托管人；</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20）因违反《基金合同》导致基金财产的损失或损害基金份额持有人合法权益时，应当承担赔偿责任，其赔偿责任不因其退任而免除；</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21）监督基金托管人按法律法规和《基金合同》规定履行自己的义务，基金托管人违反《基金合同》造成基金财产损失时，基金管理人应为基金份额持有人利益向基金托管人追偿；</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22）当基金管理人将其义务委托第三方处理时，应当对第三方处理有关基金事务的行为承担责任；</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23）以基金管理人名义，代表基金份额持有人利益行使诉讼权利或实施其他法律行为；</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基金管理人在募集期间未能达到基金的备案条件，《基金合同》不能生效，基金管理人承担因募集行为而产生的债务和费用，将已募集资金并加计银行同期活期存款利息在基金募集期结束后30日内退还基金认购人；</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25）执行生效的基金份额持有人大会的决议；</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26）建立并保存基金份额持有人名册；</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27）法律法规及中国证监会规定的和《基金合同》约定的其他义务。</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2、基金托管人的权利与义务</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（1）根据《基金法》、《运作办法》及其他有关规定，基金托管人的权利包括但不限于：</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1）自《基金合同》生效之日起，依法律法规和《基金合同》的规定安全保管</w:t>
      </w:r>
      <w:r>
        <w:rPr>
          <w:rFonts w:ascii="宋体" w:hAnsi="宋体"/>
          <w:sz w:val="24"/>
        </w:rPr>
        <w:lastRenderedPageBreak/>
        <w:t>基金财产；</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2）依《基金合同》约定获得基金托管费以及法律法规规定或监管部门批准的其他费用；</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4）根据相关市场规则，为基金开设资金账户、证券账户等投资所需账户、协助开立股指期货业务相关账户及交易编码、为基金办理证券、期货交易资金清算；</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5）提议召开或召集基金份额持有人大会；</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6）在基金管理人更换时，提名新的基金管理人；</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7）法律法规及中国证监会规定的和《基金合同》约定的其他权利。</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（2）根据《基金法》、《运作办法》及其他有关规定，基金托管人的义务包括但不限于：</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1）以诚实信用、勤勉尽责的原则持有并安全保管基金财产；</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2）设立专门的基金托管部门，具有符合要求的营业场所，配备足够的、合格的熟悉基金托管业务的专职人员，负责基金财产托管事宜；</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4）除依据《基金法》、《基金合同》及其他有关规定外，不得利用基金财产为自己及任何第三人谋取利益，不得委托第三人托管基金财产；</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5）保管由基金管理人代表基金签订的与基金有关的重大合同及有关凭证；</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6）按规定开设基金财产的资金账户和证券账户等投资所需账户，协助开立股指期货业务相关账户及交易编码，按照《基金合同》的约定，根据基金管理人的投资指令，及时办理清算、交割事宜；</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7）保守基金商业秘密，除《基金法》、《基金合同》及其他有关规定另有规定外，在基金信息公开披露前予以保密，不得向他人泄露；</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8）复核、审查基金管理人计算的基金净值信息、基金份额申购、赎回价格；</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9）办理与基金托管业务活动有关的信息披露事项；</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11）保存基金托管业务活动的记录、账册、报表和其他相关资料15年以上；</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12）建立并保存基金份额持有人名册；</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13）按规定制作相关账册并与基金管理人核对；</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14）依据基金管理人的指令或有关规定向基金份额持有人支付基金收益和赎回款项；</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15）依据《基金法》、《基金合同》及其他有关规定，召集基金份额持有人大会或配合基金管理人、基金份额持有人依法召集基金份额持有人大会；</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16）按照法律法规和《基金合同》的规定监督基金管理人的投资运作；</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17）参加基金财产清算小组，参与基金财产的保管、清理、估价、变现和分配；</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18）面临解散、依法被撤销或者被依法宣告破产时，及时报告中国证监会和银行业监督管理机构，并通知基金管理人；</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19）因违反《基金合同》导致基金财产损失时，应承担赔偿责任，其赔偿责任不因其退任而免除；</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20）按规定监督基金管理人按法律法规和《基金合同》规定履行自己的义务，基金管理人因违反《基金合同》造成基金财产损失时，应为基金份额持有人利益向基金管理人追偿；</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21）执行生效的基金份额持有人大会的决议；</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22）法律法规及中国证监会规定的和《基金合同》约定的其他义务。</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3、基金份额持有人的权利与义务</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者持有本基金基金份额的行为即视为对《基金合同》的承认和接受，基金投资者自依据《基金合同》取得本基金的基金份额，即成为本基金份额持有人和《基金合同》的当事人，直至其不再持有本基金的基金份额。基金份额持有人作为《基金合同》当事人并不以在《基金合同》上书面签章或签字为必要条件。</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同一类别每份基金份额具有同等的合法权益。</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（1）根据《基金法》、《运作办法》及其他有关规定，基金份额持有人的权利</w:t>
      </w:r>
      <w:r>
        <w:rPr>
          <w:rFonts w:ascii="宋体" w:hAnsi="宋体"/>
          <w:sz w:val="24"/>
        </w:rPr>
        <w:lastRenderedPageBreak/>
        <w:t>包括但不限于：</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1）分享基金财产收益；</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2）参与分配清算后的剩余基金财产；</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3）依法并按照基金合同和招募说明书的规定申请赎回或转让其持有的基金份额；</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4）按照规定要求召开基金份额持有人大会或者召集基金份额持有人大会；</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5）出席或者委派代表出席基金份额持有人大会，对基金份额持有人大会审议事项行使表决权；</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6）查阅或者复制公开披露的基金信息资料；</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7）监督基金管理人的投资运作；</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8）对基金管理人、基金托管人、基金服务机构损害其合法权益的行为依法提起诉讼或仲裁；</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9）法律法规及中国证监会规定的和《基金合同》约定的其他权利。</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（2）根据《基金法》、《运作办法》及其他有关规定，基金份额持有人的义务包括但不限于：</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1）认真阅读并遵守《基金合同》、招募说明书等信息披露文件；</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2）了解所投资基金产品，了解自身风险承受能力，自主判断基金的投资价值，自主做出投资决策，自行承担投资风险；</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3）关注基金信息披露，及时行使权利和履行义务；</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4）缴纳基金认购、申购款项及法律法规和《基金合同》所规定的费用；</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5）在其持有的基金份额范围内，承担基金亏损或者《基金合同》终止的有限责任；</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6）不从事任何有损基金及其他《基金合同》当事人合法权益的活动；</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7）执行生效的基金份额持有人大会的决议；</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8）返还在基金交易过程中因任何原因获得的不当得利；</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9）遵守基金管理人、基金托管人、销售机构和登记机构的相关交易及业务规则；</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10）提供基金管理人和监管机构依法要求提供的信息，以及不时的更新和补充，并保证其真实性；</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11）法律法规及中国证监会规定的和《基金合同》约定的其他义务。</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（二）基金份额持有人大会召集、议事及表决的程序和规则</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基金份额持有人大会由基金份额持有人组成，基金份额持有人的合法授权代表有权代表基金份额持有人出席会议并表决。基金份额持有人持有的每一基金份额拥有平等的投票权。</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本基金份额持有人大会不设日常机构。</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1、召开事由</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（1）当出现或需要决定下列事由之一的，应当召开基金份额持有人大会，法律法规、基金合同和中国证监会另有规定的除外：</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1）终止《基金合同》；</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2）更换基金管理人；</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3）更换基金托管人；</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4）转换基金运作方式；</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5）提高基金管理人、基金托管人的报酬标准和提高销售服务费；</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6）变更基金类别；</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7）本基金与其他基金的合并；</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8）变更基金投资目标、范围或策略；</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9）变更基金份额持有人大会程序；</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10）基金管理人或基金托管人要求召开基金份额持有人大会；</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11）单独或合计持有本基金总份额10%以上（含10%）基金份额的基金份额持有人（以基金管理人收到提议当日的基金份额计算，下同）就同一事项书面要求召开基金份额持有人大会；</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12）对基金合同当事人权利和义务产生重大影响的其他事项；</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13）法律法规、《基金合同》或中国证监会规定的其他应当召开基金份额持有人大会的事项。</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（2）以下情况可由基金管理人和基金托管人协商后修改，不需召开基金份额持有人大会：</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1）调低基金管理费、基金托管费、销售服务费和其他应由本基金或基金份额持有人承担的费用；</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2）法律法规要求增加的基金费用的收取；</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3）在法律法规和《基金合同》规定的范围内且在对现有基金份额持有人利益</w:t>
      </w:r>
      <w:r>
        <w:rPr>
          <w:rFonts w:ascii="宋体" w:hAnsi="宋体"/>
          <w:sz w:val="24"/>
        </w:rPr>
        <w:lastRenderedPageBreak/>
        <w:t>无实质性不利影响的前提下调整本基金的申购费率、调低赎回费率、变更或增加收费方式、调整基金份额类别；</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4）因相应的法律法规、登记机构的相关业务规则发生变动而应当对《基金合同》进行修改；</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5）对《基金合同》的修改对基金份额持有人利益无实质性不利影响或修改不涉及《基金合同》当事人权利义务关系发生重大变化；</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6）在法律法规允许及对基金份额持有人利益无实质性不利影响的前提下，基金推出新业务或服务；</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7）在不违反法律法规及对基金份额持有人利益无实质性不利影响的前提下，基金管理人、登记机构、销售机构调整有关基金认购、申购、赎回、转换、收益分配、非交易过户、转托管等业务的规则；</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8）按照法律法规和《基金合同》规定不需召开基金份额持有人大会的以外的其他情形。</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后的存续期内，若基金份额持有人数量连续60个工作日达不到200人或基金资产净值连续60个工作日低于5000万元，本基金管理人将提前终止本基金合同，按照相关法律法规和基金合同的约定进入清算程序，不需召开基金份额持有人大会。</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2、会议召集人及召集方式</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（1）除法律法规规定或《基金合同》另有约定外，基金份额持有人大会由基金管理人召集；</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（2）基金管理人未按规定召集或不能召集时，由基金托管人召集；</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w:t>
      </w:r>
      <w:r>
        <w:rPr>
          <w:rFonts w:ascii="宋体" w:hAnsi="宋体"/>
          <w:sz w:val="24"/>
        </w:rPr>
        <w:lastRenderedPageBreak/>
        <w:t>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（6）基金份额持有人会议的召集人负责选择确定开会时间、地点、方式和权益登记日。</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3、召开基金份额持有人大会的通知时间、通知内容、通知方式</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（1）召开基金份额持有人大会，召集人应于会议召开前30日，在指定媒介公告。基金份额持有人大会通知应至少载明以下内容：</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1）会议召开的时间、地点和会议形式；</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2）会议拟审议的事项、议事程序和表决方式；</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3）有权出席基金份额持有人大会的基金份额持有人的权益登记日；</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4）授权委托证明的内容要求（包括但不限于代理人身份，代理权限和代理有效期限等）、送达时间和地点；</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5）会务常设联系人姓名及联系电话；</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6）出席会议者必须准备的文件和必须履行的手续；</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7）召集人需要通知的其他事项。</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采取通讯开会方式并进行表决的情况下，由会议召集人决定在会议通知中说明本次基金份额持有人大会所采取的具体通讯方式、委托的公证机关及其联系方式和联系人、书面表决意见寄交的截止时间和收取方式。</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w:t>
      </w:r>
      <w:r>
        <w:rPr>
          <w:rFonts w:ascii="宋体" w:hAnsi="宋体"/>
          <w:sz w:val="24"/>
        </w:rPr>
        <w:lastRenderedPageBreak/>
        <w:t>通知基金管理人和基金托管人到指定地点对表决意见的计票进行监督。基金管理人或基金托管人拒不派代表对表决意见的计票进行监督的，不影响表决意见的计票效力。</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4、基金份额持有人出席会议的方式</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基金份额持有人大会可通过现场开会方式、通讯开会方式或法律法规和监管机关允许的其他方式召开，会议的召开方式由会议召集人确定。</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基金份额应不少于在权益登记日基金总份额的三分之一（含三分之一）。</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（2）通讯开会。通讯开会系指基金份额持有人将其对表决事项的投票以书面形式在表决截至日以前送达至召集人指定的地址。通讯开会应以书面方式进行表决。</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在同时符合以下条件时，通讯开会的方式视为有效：</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1）会议召集人按《基金合同》约定公布会议通知后，在2个工作日内连续公布相关提示性公告；</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召集人按基金合同约定通知基金托管人（如果基金托管人为召集人，则为基金管理人）到指定地点对书面表决意见的计票进行监督。会议召集人在基金托管人（如果基金托管人为召集人，则为基金管理人）和公证机关的监督下按照会议通知规定的方式收取基金份额持有人的书面表决意见；基金托管人或基金管理人经通</w:t>
      </w:r>
      <w:r>
        <w:rPr>
          <w:rFonts w:ascii="宋体" w:hAnsi="宋体"/>
          <w:sz w:val="24"/>
        </w:rPr>
        <w:lastRenderedPageBreak/>
        <w:t>知不参加收取书面表决意见的，不影响表决效力；</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人直接出具书面意见或授权他人代表出具书面意见的，基金份额持有人所持有的基金份额不小于在权益登记日基金总份额的二分之一（含二分之一）；若本人直接出具书面意见或授权他人代表出具书面意见的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基金总份额三分之一以上（含三分之一）基金份额的持有人直接出具书面意见或授权他人代表出具书面意见；</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述第3）项中直接出具书面意见的基金份额持有人或受托代表他人出具书面意见的代理人，同时提交的持有基金份额的凭证、受托出具书面意见的代理人出具的委托人持有基金份额的凭证及委托人的代理投票授权委托证明符合法律法规、《基金合同》和会议通知的规定，并与基金登记机构记录相符。</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法律法规和监管机关允许的情况下，经会议通知载明，本基金可采用网络、电话、短信等其他非书面方式由基金份额持有人向其授权代表进行授权；本基金亦可采用网络、电话、短信等其他非现场方式或者以非现场方式与现场方式结合的方式召开基金份额持有人大会并表决，具体方式由会议召集人确定并在会议通知中列明，会议程序比照现场开会和通讯方式开会的程序进行。</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5、议事内容与程序</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（1）议事内容及提案权</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议事内容为关系基金份额持有人利益的重大事项，如《基金合同》的重大修改、决定终止《基金合同》、更换基金管理人、更换基金托管人、与其他基金合并（法律法规、基金合同和中国证监会另有规定的除外）、法律法规及《基金合同》规定的其他事项以及会议召集人认为需提交基金份额持有人大会讨论的其他事项。</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基金份额持有人大会的召集人发出召集会议的通知后，对原有提案的修改应当在基金份额持有人大会召开前及时公告。</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基金份额持有人大会不得对未事先公告的议事内容进行表决。</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（2）议事程序</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在现场开会的方式下，首先由大会主持人按照下列第7条规定程序确定和公布</w:t>
      </w:r>
      <w:r>
        <w:rPr>
          <w:rFonts w:ascii="宋体" w:hAnsi="宋体"/>
          <w:sz w:val="24"/>
        </w:rPr>
        <w:lastRenderedPageBreak/>
        <w:t>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二分之一以上（含二分之一）选举产生一名基金份额持有人作为该次基金份额持有人大会的主持人。基金管理人和基金托管人拒不出席或主持基金份额持有人大会，不影响基金份额持有人大会作出的决议的效力。</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会议召集人应当制作出席会议人员的签名册。签名册载明参加会议人员姓名（或单位名称）、身份证明文件号码、持有或代表有表决权的基金份额、委托人姓名（或单位名称）和联系方式等事项。</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在通讯开会的情况下，首先由召集人提前30日公布提案，在所通知的表决截止日期后2个工作日内在公证机关监督下由召集人统计全部有效表决，在公证机关监督下形成决议。</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6、表决</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基金份额持有人所持每份基金份额有一票表决权。</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基金份额持有人大会决议分为一般决议和特别决议：</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一般决议，一般决议须经参加大会的基金份额持有人或其代理人所持表决权的二分之一以上（含二分之一）通过方为有效；除下列第（2）项所规定的须以特别决议通过事项以外的其他事项均以一般决议的方式通过。</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特别决议，特别决议应当经参加大会的基金份额持有人或其代理人所持表决权的三分之二以上（含三分之二）通过方可做出。转换基金运作方式、更换基金管理人或者基金托管人、终止《基金合同》、本基金与其他基金合并（法律法规、基金合同和中国证监会另有规定的除外）以特别决议通过方为有效。</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基金份额持有人大会采取记名方式进行投票表决。</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通讯方式进行表决时，除非在计票时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基金份额持有人大会的各项提案或同一项提案内并列的各项议题应当分开审</w:t>
      </w:r>
      <w:r>
        <w:rPr>
          <w:rFonts w:ascii="宋体" w:hAnsi="宋体"/>
          <w:sz w:val="24"/>
        </w:rPr>
        <w:lastRenderedPageBreak/>
        <w:t>议、逐项表决。</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7、计票</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和代理人中选举三名基金份额持有人代表担任监票人。基金管理人或基金托管人不出席大会的，不影响计票的效力。</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2）监票人应当在基金份额持有人表决后立即进行清点并由大会主持人当场公布计票结果。</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4）计票过程应由公证机关予以公证，基金管理人或基金托管人拒不出席大会的，不影响计票的效力。</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8、生效与公告</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基金份额持有人大会的决定的事项自表决通过之日起生效，召集人应当自通过之日起5日内报中国证监会备案。</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基金份额持有人大会决议自生效之日起2日内在指定媒介上公告。如果采用通讯方式进行表决，在公告基金份额持有人大会决议时，必须将公证书全文、公证机构、公证员姓名等一同公告。</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基金管理人、基金托管人和基金份额持有人应当执行生效的基金份额持有人大会的决议。生效的基金份额持有人大会决议对全体基金份额持有人、基金管理人、</w:t>
      </w:r>
      <w:r>
        <w:rPr>
          <w:rFonts w:ascii="宋体" w:hAnsi="宋体"/>
          <w:sz w:val="24"/>
        </w:rPr>
        <w:lastRenderedPageBreak/>
        <w:t>基金托管人均有约束力。</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部分对基金份额持有人大会召开事由、召开条件、议事程序、表决条件等规定，凡是直接引用法律法规的部分，如将来法律法规修改导致相关内容被取消或变更的，基金管理人提前公告后，可直接对本部分内容进行修改和调整，无需召开基金份额持有人大会审议。</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（三）基金合同解除和终止的事由、程序</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1、《基金合同》的变更</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本基金合同约定应经基金份额持有人大会决议通过的事项的，应召开基金份额持有人大会决议通过。对于可不经基金份额持有人大会决议通过的事项，由基金管理人和基金托管人同意后变更并公告，并报中国证监会备案。</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（2）关于《基金合同》变更的基金份额持有人大会决议生效后方可执行，并自决议生效后依照《信息披露办法》的规定在指定媒介公告。</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2、《基金合同》的终止事由</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有下列情形之一的，《基金合同》应当终止：</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（3）连续60个工作日出现基金份额持有人数量不满200人或者基金资产净值低于5000万元情形的；</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（4）《基金合同》约定的其他情形；</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（5）相关法律法规和中国证监会规定的其他情况。</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3、基金财产的清算</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（2）基金财产清算小组组成：基金财产清算小组成员由基金管理人、基金托管人、具有从事证券相关业务资格的注册会计师、律师以及中国证监会指定的人员组成。基金财产清算小组可以聘用必要的工作人员。</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w:t>
      </w:r>
      <w:r>
        <w:rPr>
          <w:rFonts w:ascii="宋体" w:hAnsi="宋体"/>
          <w:sz w:val="24"/>
        </w:rPr>
        <w:lastRenderedPageBreak/>
        <w:t>理、估价、变现和分配。基金财产清算小组可以依法进行必要的民事活动。</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1）《基金合同》终止情形出现时，由基金财产清算小组统一接管基金财产；</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3）对基金财产进行估值和变现；</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（5）基金财产清算的期限为6个月，若遇基金持有的有价证券出现长期休市、停牌或其他流通受限的情形除外。</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4、清算费用</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5、基金财产清算剩余资产的分配</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各类基金份额在基金合同终止事由发生时各自基金份额资产净值的比例确定剩余财产在各类基金份额中的分配比例，并在各类基金份额可分配的剩余财产范围内按各份额类别内基金份额持有人持有的基金份额比例进行分配。</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6、基金财产清算的公告</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会计师事务所审计并由律师事务所出具法律意见书后报中国证监会备案并公告。基金财产清算公告于基金财产清算报告报中国证监会备案后5个工作日内由基金财产清算小组进行公告。</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7、基金财产清算账册及文件的保存</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基金财产清算账册及有关文件由基金托管人保存15年以上。</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（四）争议解决方式</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各方当事人同意，因《基金合同》而产生的或与《基金合同》有关的一切争</w:t>
      </w:r>
      <w:r>
        <w:rPr>
          <w:rFonts w:ascii="宋体" w:hAnsi="宋体"/>
          <w:sz w:val="24"/>
        </w:rPr>
        <w:lastRenderedPageBreak/>
        <w:t>议，如经友好协商未能解决的，任何一方均有权将争议提交中国国际经济贸易仲裁委员会，按照中国国际经济贸易仲裁委员会届时有效的仲裁规则进行仲裁。仲裁地点为北京市。仲裁裁决是终局的，对各方当事人均有约束力，除非仲裁裁决另有规定，仲裁费用、律师费由败诉方承担。</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《基金合同》受中国法律管辖。</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（五）基金合同存放地及投资者取得基金合同的方式</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《基金合同》可印制成册，供投资者在基金管理人、基金托管人、销售机构的办公场所和营业场所查阅，但应以《基金合同》正本为准。</w:t>
      </w:r>
    </w:p>
    <w:p w:rsidR="00B439CC" w:rsidRDefault="005C6ED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EC60B5" w:rsidRDefault="005C6EDB">
      <w:pPr>
        <w:pStyle w:val="1"/>
        <w:snapToGrid w:val="0"/>
        <w:spacing w:beforeLines="0" w:before="240" w:after="240"/>
        <w:rPr>
          <w:rFonts w:ascii="宋体" w:hAnsi="宋体"/>
          <w:szCs w:val="30"/>
        </w:rPr>
      </w:pPr>
      <w:bookmarkStart w:id="24" w:name="_Toc228201079"/>
      <w:r>
        <w:rPr>
          <w:rFonts w:ascii="Times New Roman" w:hAnsi="Times New Roman"/>
          <w:sz w:val="30"/>
        </w:rPr>
        <w:lastRenderedPageBreak/>
        <w:t>二十一、托管协议的内容摘要</w:t>
      </w:r>
      <w:bookmarkEnd w:id="24"/>
    </w:p>
    <w:p w:rsidR="00EC60B5" w:rsidRDefault="005C6E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（一）托管协议当事人</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法定代表人：张宏良</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批准设立机关：中国证监会</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批准设立文号：证监基金字[2005]128号</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组织形式：有限责任公司</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经营范围：基金募集、基金销售、资产管理和中国证监会许可的其它业务。</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名称：中信银行股份有限公司</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住所：北京市东城区朝阳门北大街9号</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法定代表人：李庆萍</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成立时间：1987年4月20日</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批准设立文号：国办函[1987]14号</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基金托管业务批准文号：证监基金字[2004]125号</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组织形式：股份有限公司</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注册资本：489.35亿元人民币</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吸收公众存款；发放短期、中期和长期贷款；办理国内外结算；办理票据承兑与贴现；发行金融债券；代理发行、代理兑付、承销政府债券；买卖政府债券、金融债券；从事同业拆借；买卖、代理买卖外汇；从事银行卡业务；提供信用证服务及担保；代理收付款项；提供保管箱服务；结汇、售汇业务；代理开放式基金业务；办理黄金业务；黄金进出口；开展证券投资基金、企业年金基金、保险资金、合格境外机构投资者托管业务；经国务院银行业监督管理机构批准的其他</w:t>
      </w:r>
      <w:r>
        <w:rPr>
          <w:rFonts w:ascii="宋体" w:hAnsi="宋体"/>
          <w:sz w:val="24"/>
        </w:rPr>
        <w:lastRenderedPageBreak/>
        <w:t>业务；保险兼业代理业务（有效期至2017年09月08日）。（依法须经批准的项目，经相关部门批准后依批准的内容开展经营活动。）</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（二）基金托管人对基金管理人的业务监督和核查</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1、基金托管人对基金管理人的投资行为行使监督权</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（1）基金托管人根据有关法律法规的规定和基金合同的约定，对下述基金投资范围、投资对象进行监督。本基金将投资于以下金融工具：</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国内依法发行上市的股票（含中小板、创业板及其他经中国证监会核准上市的股票、存托凭证）、债券（含国债、央行票据、金融债、地方政府债、企业债、公司债、可转债（含可分离交易可转换债券）、可交换公司债、次级债、中期票据、短期融资券、超级短期融资券、中小企业私募债等）、资产支持证券、货币市场工具、银行存款、股指期货、权证以及法律法规或中国证监会允许基金投资的其他金融工具（但须符合中国证监会相关规定）。</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本基金各类资产的投资比例范围为：</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股票资产（含存托凭证）占基金资产的0%-95%，股票资产按照基金所持有的股票市值以及买入、卖出股指期货合约价值合计（轧差计算)；权证的投资比例不超过基金资产净值的3%；每个交易日日终在扣除股指期货合约需缴纳的交易保证金后，基金保留的现金或者投资于到期日在一年以内的政府债券的比例合计不低于基金资产净值的5%，其中现金不包括结算备付金、存出保证金、应收申购款等；基金在任何交易日日终，持有的买入股指期货合约价值，不得超过基金资产净值的10%；基金在任何交易日日终，持有的卖出期货合约价值不得超过基金持有的股票总市值的20%。</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（2）基金托管人根据有关法律法规的规定及基金合同的约定对下述基金投融资比例进行监督：</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1）股票资产（含存托凭证）占基金资产的0%-95%，股票资产按照基金所持有的股票市值以及买入、卖出股指期货合约价值合计（轧差计算)；</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2）每个交易日日终在扣除股指期货合约需缴纳的交易保证金后，保持不低于基金资产净值5％的现金或者到期日在一年以内的政府债券，其中现金不包括结算备付金、存出保证金、应收申购款等；</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3）本基金持有一家公司发行的证券，其市值不超过基金资产净值的10%；</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4）本基金管理人管理的全部基金持有一家公司发行的证券，不超过该证券的10%；</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5）本基金持有的全部权证，其市值不得超过基金资产净值的3%；</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6）本基金管理人管理的全部基金持有的同一权证，不得超过该权证的10%；</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7）本基金在任何交易日买入权证的总金额，不得超过上一交易日基金资产净值的0.5%；</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8）本基金投资于同一原始权益人的各类资产支持证券的比例，不得超过基金资产净值的10%；</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9）本基金持有的全部资产支持证券，其市值不得超过基金资产净值的20%；</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10）本基金持有的同一(指同一信用级别)资产支持证券的比例，不得超过该资产支持证券规模的10%；</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11）本基金管理人管理的全部基金投资于同一原始权益人的各类资产支持证券，不得超过其各类资产支持证券合计规模的10%；</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12）本基金应投资于信用级别评级为BBB以上(含BBB)的资产支持证券。基金持有资产支持证券期间，如果其信用等级下降、不再符合投资标准，应在评级报告发布之日起3个月内予以全部卖出；</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13）基金财产参与股票发行申购，本基金所申报的金额不超过本基金的总资产，本基金所申报的股票数量不超过拟发行股票公司本次发行股票的总量；</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14）本基金进入全国银行间同业市场进行债券回购的资金余额不得超过基金资产净值的40%，本基金在全国银行间同业市场中的债券回购最长期限为1 年，债券回购到期后不得展期；</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15）本基金若投资股指期货，则：</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a）本基金在任何交易日日终，持有的买入股指期货合约价值，不得超过基金资产净值的10%；</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b）本基金在任何交易日日终，持有的买入期货合约价值与有价证券市值之和，不得超过基金资产净值的95%。其中，有价证券指股票、债券（不含到期日在</w:t>
      </w:r>
      <w:r>
        <w:rPr>
          <w:rFonts w:ascii="宋体" w:hAnsi="宋体"/>
          <w:sz w:val="24"/>
        </w:rPr>
        <w:lastRenderedPageBreak/>
        <w:t>一年以内的政府债券）、权证、资产支持证券、买入返售金融资产（不含质押式回购）等；</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c）本基金在任何交易日日终，持有的卖出期货合约价值不得超过基金持有的股票总市值的20%；</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d）本基金所持有的股票市值和买入、卖出股指期货合约价值，合计（轧差计算）应当符合基金合同关于股票投资比例的有关约定，即占基金资产的0%-95%；</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e）本基金在任何交易日内交易（不包括平仓）的股指期货合约的成交金额不得超过上一交易日基金资产净值的20%；</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f）本基金每个交易日日终在扣除股指期货合约需缴纳的交易保证金后，应当保持不低于基金资产净值5%的现金或到期日在一年以内的政府债券，其中现金不包括结算备付金、存出保证金、应收申购款等；</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16）本基金的基金资产总值不得超过基金资产净值的140%；</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17）本基金持有单只中小企业私募债券，其市值不得超过基金资产净值的10%；</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18）本基金持有的同一流通受限证券，其公允价值不得超过基金资产净值的10%；</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本基金管理人管理的全部开放式基金（包括开放式基金以及处于开放期的定期开放基金）持有一家上市公司发行的可流通股票，不得超过该上市公司可流通股票的15%；本基金管理人管理的全部投资组合持有一家上市公司发行的可流通股票，不得超过该上市公司可流通股票的30%；</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21）本基金与私募类证券资管产品及中国证监会认定的其他主体为交易对手开展逆回购交易的，可接受质押品的资质要求应当与基金合同约定的投资范围保持一致；</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22）本基金投资存托凭证的比例限制依照境内上市交易的股票执行；</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23）法律法规及中国证监会规定的和《基金合同》约定的其他投资限制。</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基金管理人运用基金财产买卖基金管理人、基金托管人及其控股股东、实际控</w:t>
      </w:r>
      <w:r>
        <w:rPr>
          <w:rFonts w:ascii="宋体" w:hAnsi="宋体"/>
          <w:sz w:val="24"/>
        </w:rPr>
        <w:lastRenderedPageBreak/>
        <w:t>制人或者与其有重大利害关系的公司发行的证券或者承销期内承销的证券，或者从事其他重大关联交易的，应当符合基金的投资目标和投资策略，遵循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上述第（2）、（12）、（15）项第6）目、（20）、（21）项外，因证券、期货市场波动、证券发行人合并、基金规模变动等基金管理人之外的因素致使基金投资比例不符合上述规定投资比例的，基金管理人应当在10个交易日内进行调整，但中国证监会规定的特殊情形除外。法律法规另有规定的，从其规定。</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法律法规对上述投资组合比例限制进行变更的，以变更后的规定为准。法律法规或监管部门取消上述限制，如适用于本基金，基金管理人在履行适当程序后，则本基金投资不再受相关限制。</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（3）基金托管人根据有关法律法规的规定及基金合同的约定对下述基金投资禁止行为进行监督：</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根据法律法规的规定及基金合同的约定，本基金禁止从事下列行为：</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1）承销证券；</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2）违反规定向他人贷款或提供担保；</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3）从事承担无限责任的投资；</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4）买卖其他基金份额，但是中国证监会另有规定的除外；</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5）向其基金管理人、基金托管人出资；</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6）从事内幕交易、操纵证券交易价格及其他不正当的证券交易活动；</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7）法律、行政法规和中国证监会规定禁止的其他活动。</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如法律、行政法规或监管部门取消上述禁止性规定，如适用于本基金，基金管理人在履行适当程序后，本基金可不受上述规定的限制。</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（4）基金托管人依据有关法律法规的规定和基金合同的约定对于基金关联投资进行监督：</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根据法律法规有关基金从事的关联交易的规定，基金管理人和基金托管人应事先相互提供与本机构有控股关系的股东或与本机构有其他重大利害关系的公司名单及有关关联方发行的证券名单及其更新，加盖公章并书面提交，并确保所提供名单的真实性、完整性、全面性。基金管理人或基金托管人在名单变更后应及时发送对方，收到方于2个工作日内进行回函确认已知名单的变更。名单变更时间以收到方回函确认的时间为准。如果基金托管人在运作中严格遵循了监督流程，基金管理人仍违规进行交易，并造成基金资产损失的，由基金管理人承担责任，基金托管人不承担任何损失和责任。</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相关交易必须事先得到基金托管人的同意，若基金托管人发现基金管理人与关联方进行违反法律法规规定的关联交易时，基金托管人应及时提醒并协助基金管理人采取必要措施阻止该交易的发生，若基金托管人采取必要措施后仍无法阻止该交易发生时，基金托管人有权向中国证监会报告，由此造成的损失和责任由基金管理人承担。对于交易所场内已成交的违规交易，基金托管人应按相关法律法规和交易所规则的规定进行结算，同时向中国证监会报告，基金托管人不承担由此造成的损失和责任。</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（5）基金托管人依据有关法律法规的规定和基金合同的约定对基金管理人参与银行间债券市场进行监督：</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1）基金托管人依据有关法律法规的规定和基金合同的约定对于基金管理人参与银行间债券市场交易时面临的交易对手资信风险进行监督。</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在基金投资运作之前向基金托管人提供符合法律法规及行业标准的银行间债券市场交易对手的名单。基金托管人在收到名单后2个工作日内回函确认收到该名单。基金管理人应定期或不定期对银行间债券市场现券及回购交易对手的名单进行更新，名单中增加或减少银行间债券市场交易对手时须及时通知基金托管人，基金托管人于2个工作日内回函确认收到后，对名单进行更新。基金管理人收到基金托管人书面确认后，被确认调整的名单开始生效，新名单生效前已与本次剔除的交易对手所进行但尚未结算的交易，仍应按照双方原定协议进行结算。</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如果基金托管人发现基金管理人与不在名单内的银行间债券市场交易对手进行交易，应及时提醒基金管理人撤销交易，经提醒后基金管理人仍执行交易并造成基金资产损失的，基金托管人不承担责任。</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2）基金管理人有责任控制交易对手的资信风险，按银行间债券市场的交易规</w:t>
      </w:r>
      <w:r>
        <w:rPr>
          <w:rFonts w:ascii="宋体" w:hAnsi="宋体"/>
          <w:sz w:val="24"/>
        </w:rPr>
        <w:lastRenderedPageBreak/>
        <w:t>则进行交易，基金托管人则根据银行间债券市场成交单对合同履行情况进行监督。如基金托管人事后发现基金管理人没有按照事先约定的交易对手进行交易时，基金托管人应及时提醒基金管理人，基金托管人不承担由此造成的任何损失和责任。</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（6）基金托管人对基金投资流通受限证券的监督：</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流通受限证券，应遵守有关法律法规规定。流通受限证券指由《上市公司证券发行管理办法》规范的非公开发行股票、公开发行股票网下配售部分等在发行时明确一定期限锁定期的可交易证券,不包括由于发布重大消息或其他原因而临时停牌的证券、已发行未上市证券、回购交易中的质押券等流通受限证券。</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应在基金首次投资流通受限证券前，向基金托管人提供经基金管理人董事会批准的有关基金投资流通受限证券的投资决策流程、风险控制制度。上述资料应包括但不限于基金投资流通受限证券的投资额度和投资比例控制情况。</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至少于首次执行投资指令之前2个工作日将上述资料书面发至基金托管人，保证基金托管人有足够的时间进行审核。基金托管人应在收到上述资料后2个工作日内，以书面或其他双方认可的方式确认收到上述资料。</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3）基金投资流通受限证券前，基金管理人应向基金托管人提供符合法律法规要求的有关必要书面信息。基金管理人应保证上述信息的真实、完整，并应至少于拟执行投资指令前将上述信息书面发至基金托管人。</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应对基金管理人是否遵守法律法规、投资决策流程、风险控制制度情况进行监督，并审核基金管理人提供的有关书面信息。基金托管人认为上述资料可能导致基金出现风险的，有权要求基金管理人在投资流通受限证券前就该风险的消除或防范措施进行补充书面说明，否则，基金托管人有权拒绝执行有关指令并报告中国证监会。因拒绝执行该指令造成基金财产损失的，基金托管人不承担任何责任，但基金托管人未经提前告知基金管理人于合理时间内提供说明的除外。</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和基金托管人无法达成一致，应及时上报中国证监会请求解决。如果基金托管人切实履行监督职责，则不承担任何责任。如果基金托管人没有切实履行监督职责，导致基金出现风险，基金托管人应承担连带责任。</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（7）基金托管人对基金投资中期票据和中小企业私募债的监督：</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1）基金管理人管理的基金在投资中期票据和中小企业私募债前，基金管理人须根据法律、法规、监管部门的规定，制定严格的关于投资中期票据和中小企业私</w:t>
      </w:r>
      <w:r>
        <w:rPr>
          <w:rFonts w:ascii="宋体" w:hAnsi="宋体"/>
          <w:sz w:val="24"/>
        </w:rPr>
        <w:lastRenderedPageBreak/>
        <w:t>募债的风险控制制度和流动性风险处置预案，并书面提供给基金托管人，基金托管人依据上述文件对基金管理人投资中期票据和中小企业私募债的额度和比例进行监督。</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2）如未来有关监管部门发布的法律法规对证券投资基金投资中期票据和中小企业私募债另有规定的，从其约定。</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有权监督基金管理人在相关基金投资中期票据和中小企业私募债时的法律法规遵守情况，有关制度、信用风险、流动性风险处置预案的完善情况，有关额度、比例限制的执行情况。基金托管人发现基金管理人的上述事项违反法律法规和基金合同以及本协议的规定，应及时以书面形式通知基金管理人纠正。基金管理人应积极配合和协助基金托管人的监督和核查。基金管理人应按相关托管协议要求向基金托管人及时发出回函，并及时改正。基金托管人有权随时对所通知事项进行复查,督促基金管理人改正。如果基金管理人违规事项未能在限期内纠正的，基金托管人应报告中国证监会。如果基金托管人未能切实履行监督职责，导致基金出现风险，基金托管人应承担连带责任。</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（8）基金托管人根据有关法律法规的规定及基金合同的约定，对基金管理人选择存款银行进行监督：</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银行定期存款的，基金管理人应根据法律法规的规定及基金合同的约定，确定符合条件的所有存款银行的名单，并及时提供给基金托管人，基金托管人应据以对基金投资银行存款的交易对手是否符合有关规定进行监督。</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本基金投资银行存款应符合如下规定：</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1）基金管理人、基金托管人应当与存款银行建立定期对账机制，确保基金银行存款业务账目及核算的真实、准确。</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与基金托管人应根据相关规定，就本基金银行存款业务另行签订书面协议，明确双方在相关协议签署、账户开设与管理、投资指令传达与执行、资金划拨、账目核对、到期兑付、文件保管以及存款证实书的开立、传递、保管等流程中的权利、义务和职责，以确保基金财产的安全，保护基金份额持有人的合法权益。</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3）基金托管人应加强对基金银行存款业务的监督与核查，严格审查、复核相关协议、账户资料、投资指令、存款证实书等有关文件，切实履行托管职责。</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4）基金管理人与基金托管人在开展基金存款业务时，应严格遵守《基金法》、</w:t>
      </w:r>
      <w:r>
        <w:rPr>
          <w:rFonts w:ascii="宋体" w:hAnsi="宋体"/>
          <w:sz w:val="24"/>
        </w:rPr>
        <w:lastRenderedPageBreak/>
        <w:t>《运作办法》等有关法律法规，以及国家有关账户管理、利率管理、支付结算等的各项规定。</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对基金管理人选择存款银行的监督应依据基金管理人向基金托管人提供的符合条件的存款银行的名单执行，如基金托管人发现基金管理人将基金资产投资于该名单之外的存款银行，有权拒绝执行。该名单如有变更，基金管理人应在启用新名单前提前及时将新名单发送给基金托管人。</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2、基金托管人对基金管理人业务进行监督和核查的有关措施：</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应根据有关法律法规的规定及基金合同的约定，对A类基金份额、C类基金份额的基金资产净值计算、A类基金份额、C类基金份额的基金份额净值计算、应收资金到账、基金费用开支及收入确定、基金收益分配、相关信息披露、基金宣传推介材料中登载基金业绩表现数据等进行监督和核查。</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发现基金管理人的投资运作及其他运作违反《基金法》、基金合同、本托管协议及其他有关规定时，应及时以书面形式通知基金管理人限期纠正，基金管理人收到通知后应在下一个工作日及时核对，并以书面形式向基金托管人发出回函，进行解释或举证。</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（3）在限期内，基金托管人有权随时对通知事项进行复查，督促基金管理人改正。基金管理人对基金托管人通知的违规事项未能在限期内纠正的，基金托管人应报告中国证监会。</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（4）基金托管人发现基金管理人的投资指令违反关法律法规规定或者违反基金合同约定的，应当拒绝执行，立即通知基金管理人。</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发现基金管理人依据交易程序已经生效的投资指令违反法律、行政法规和其他有关规定，或者违反基金合同约定的，应当立即通知基金管理人，并及时向中国证监会报告，基金管理人应依法承担相应责任。</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应积极配合和协助基金托管人的监督和核查，必须在规定时间内答复基金托管人并改正，就基金托管人的疑义进行解释或举证，对基金托管人按照法规要求需向中国证监会报送基金监督报告的，基金管理人应积极配合提供相关数据资料和制度等。</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（7）基金托管人发现基金管理人有重大违规行为，应立即报告中国证监会，同时通知基金管理人限期纠正。</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（8）基金管理人无正当理由，拒绝、阻挠基金托管人根据本协议规定行使监</w:t>
      </w:r>
      <w:r>
        <w:rPr>
          <w:rFonts w:ascii="宋体" w:hAnsi="宋体"/>
          <w:sz w:val="24"/>
        </w:rPr>
        <w:lastRenderedPageBreak/>
        <w:t>督权，或采取拖延、欺诈等手段妨碍基金托管人进行有效监督，情节严重或经基金托管人提出警告仍不改正的，基金托管人应报告中国证监会。</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（三）基金管理人对基金托管人的业务核查</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对基金托管人履行托管职责情况进行核查，核查事项包括但不限于基金托管人安全保管基金财产、开设基金财产的资金账户、证券账户和期货账户等投资所需账户、复核基金管理人计算的A类基金份额、C类基金份额的基金资产净值和基金份额净值、根据基金管理人指令办理清算交收、相关信息披露和监督基金投资运作等行为。</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发现基金托管人擅自挪用基金财产、未对基金财产实行分账管理、未执行或无故延迟执行基金管理人资金划拨指令、泄露基金投资信息等违反《基金法》、基金合同、本托管协议及其他有关规定时，基金管理人应及时以书面形式通知基金托管人限期纠正，基金托管人收到通知后应及时核对确认并以书面形式向基金管理人发出回函。在限期内，基金管理人有权随时对通知事项进行复查，督促基金托管人改正，并予协助配合。基金托管人对基金管理人通知的违规事项未能在限期内纠正或未在合理期限内确认的，基金管理人应报告中国证监会。基金管理人有义务要求基金托管人赔偿基金、基金管理人因此所遭受的损失。</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3、基金管理人发现基金托管人有重大违规行为，应立即报告中国证监会和银行业监督管理机构，同时通知基金托管人限期纠正。</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4、基金托管人应积极配合基金管理人的核查行为，包括但不限于：提交相关资料以供基金管理人核查托管财产的完整性和真实性，在规定时间内答复基金管理人并改正。</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无正当理由，拒绝、阻挠基金管理人根据本协议规定行使监督权，或采取拖延、欺诈等手段妨碍基金管理人进行有效监督，情节严重或经基金管理人提出警告仍不改正的，基金管理人应报告中国证监会。</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（四）基金财产保管</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1、基金财产保管的原则</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（1）基金财产应独立于基金管理人、基金托管人的固有财产。</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（2）基金托管人应安全保管基金财产。除依据法律法规规定、基金合同和本托管协议约定及基金管理人的正当指令外，不得自行运用、处分、分配基金的任何财产。</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（3）基金托管人按照规定开设基金财产的资金账户和证券账户，协助开立股指期货业务相关账户及交易编码。</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（4）基金托管人对所托管的不同基金财产分别设置账户，与基金托管人的其他业务和其他基金的托管业务实行严格的分账管理，确保基金财产的完整与独立。</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（5）基金托管人根据基金管理人的指令，按照基金合同和本协议的约定保管基金财产，如有特殊情况双方可另行协商解决。</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（6）除依据法律法规和基金合同的规定外，基金托管人不得委托第三人托管基金资产。</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2、募集资金的验资</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（1）基金募集期间募集认购款项应存于基金认购专用账户，该账户由基金管理人或基金管理人委托的登记机构开立并管理。</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募集期满或基金提前结束募集时，募集的基金份额总额、基金募集金额、基金份额持有人人数符合《基金法》、《运作办法》等有关规定后，基金管理人应将募集的属于本基金财产的全部资金划入基金托管人为本基金开立的资产托管专户中，基金托管人在收到资金当日出具确认文件。同时，基金管理人应聘请具有从事证券业务资格的会计师事务所进行验资，出具验资报告，出具的验资报告应由参加验资的2名以上（含2名）中国注册会计师签字有效。</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（3）若基金募集期限届满，未能达到基金备案条件，由基金管理人按规定办理退款事宜，基金托管人应提供充分协助。</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3、基金的银行账户的开立和管理</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（1）基金托管人以本基金的名义在其营业机构开立基金的银行账户，并根据基金管理人合法合规的指令办理资金收付。本基金的银行预留印鉴由基金托管人刻制、保管和使用。</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（2）基金银行账户的开立和使用，限于满足开展本基金业务的需要。基金托管人和基金管理人不得假借本基金的名义开立任何其他银行账户；亦不得使用本基金的任何账户进行本基金业务以外的活动。</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（3）基金银行账户的开立和管理应符合有关法律法规以及银行业监督管理机构的有关规定。</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4、基金证券账户和证券交易资金账户的开设和管理</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（1）基金托管人以基金托管人和本基金联名的方式在中国证券登记结算有限</w:t>
      </w:r>
      <w:r>
        <w:rPr>
          <w:rFonts w:ascii="宋体" w:hAnsi="宋体"/>
          <w:sz w:val="24"/>
        </w:rPr>
        <w:lastRenderedPageBreak/>
        <w:t>责任公司上海分公司/深圳分公司开设证券账户。</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（2）基金托管人以基金托管人的名义在中国证券登记结算有限责任公司上海分公司/深圳分公司开立基金证券交易资金账户，用于证券清算。</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（3）基金证券账户的开立和使用，限于满足开展本基金业务的需要。基金托管人和基金管理人不得出借和未经对方同意擅自转让基金的任何证券账户；亦不得使用基金的任何账户进行本基金业务以外的活动。</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5、债券托管账户的开立和管理</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生效后，基金管理人负责以本基金的名义申请并取得进入全国银行间同业拆借市场的交易资格，并代表基金进行交易；基金托管人负责以本基金的名义在中央国债登记结算有限责任公司开设银行间债券市场债券托管账户，并由基金托管人负责本基金的债券的后台匹配及资金的清算。</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（2）基金管理人和基金托管人应一起负责为本基金对外签订全国银行间国债市场回购主协议，正本由基金托管人保管，基金管理人保存副本。</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6、其他账户的开设和管理</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本托管协议生效之后，本基金被允许从事符合法律法规规定和基金合同约定的其他投资品种的投资业务时，如果涉及相关账户的开设和使用，由基金管理人协助基金托管人根据有关法律法规的规定和基金合同的约定，开立有关账户。该账户按有关规则使用并管理。</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7、基金财产投资的有关实物证券、银行定期存款存单等有价凭证的保管</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投资的有关实物证券由基金托管人存放于基金托管人的保管库；其中实物证券也可存入中央国债登记结算有限责任公司、银行间市场清算所股份有限公司或中国证券登记结算有限责任公司上海分公司/深圳分公司或票据营业中心的代保管库。实物证券的购买和转让，由基金托管人根据基金管理人的指令办理。属于基金托管人控制下的实物证券在基金托管人保管期间的损坏、灭失，由此产生的责任应由基金托管人承担。基金托管人对基金托管人以外机构实际有效控制的证券不承担保管责任，但应勤勉履行定期查询等合理注意。</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8、与基金财产有关的重大合同的保管</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与基金财产有关的重大合同的签署，由基金管理人负责。由基金管理人代表基金签署的与本基金有关的重大合同的原件分别应由基金托管人、基金管理人保管。基金管理人在代表本基金签署与本基金有关的重大合同时应保证基金一方持有两份</w:t>
      </w:r>
      <w:r>
        <w:rPr>
          <w:rFonts w:ascii="宋体" w:hAnsi="宋体"/>
          <w:sz w:val="24"/>
        </w:rPr>
        <w:lastRenderedPageBreak/>
        <w:t>以上的正本原件，以便基金管理人和基金托管人至少各持有一份正本的原件。基金管理人在合同签署后30个工作日内通过专人送达、挂号邮寄等安全方式将合同送达基金托管人处。合同应存放于基金管理人和基金托管人各自文件保管部门15年以上。对于无法取得二份以上的正本的，基金管理人应向基金托管人提供加盖授权业务章的合同传真件，未经双方协商或未在合同约定范围内，合同原件不得转移，由基金管理人保管。</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（五）基金资产净值计算与复核</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1、基金资产净值的计算、复核的时间和程序</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资产净值是指基金资产总值减去负债后的价值。基金份额净值是按照每个工作日闭市后，基金资产净值除以当日基金份额的余额数量计算，精确到0.0001元，小数点后第五位四舍五入。国家另有规定的，从其规定。</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应每工作日对基金资产估值，但基金管理人根据法律法规或基金合同的规定暂停估值时除外。估值原则应符合基金合同及相关法律、法规的规定。用于基金信息披露的A类基金份额、C类基金份额的基金资产净值和基金份额净值由基金管理人负责计算，基金托管人复核。基金管理人应于每个工作日交易结束后计算当日的各类基金份额净值并以双方认可的方式发送给基金托管人。基金托管人对净值计算结果复核后以双方认可的方式发送给基金管理人，由基金管理人依据基金合同和相关法律法规的规定予以公布。月末、年中和年末估值复核与基金会计账目的核对同时进行。</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根据《基金法》，基金管理人每工作日分别计算并公告A类基金份额及C类基金份额的基金资产净值，基金托管人复核、审查基金管理人计算的基金资产净值。因此，本基金的会计责任方是基金管理人，就与本基金有关的会计问题，如经相关各方在平等基础上充分讨论后，仍无法达成一致的意见，按照基金管理人对基金资产净值的计算结果对外予以公布。</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2、基金资产估值方法</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（1）估值对象</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基金所拥有的股票、债券、衍生工具和其它投资等持续以公允价值计量的金融资产及负债。</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（2）估值方法</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1）对存在活跃市场的投资品种，如估值日有市价的，采用市价确定公允价</w:t>
      </w:r>
      <w:r>
        <w:rPr>
          <w:rFonts w:ascii="宋体" w:hAnsi="宋体"/>
          <w:sz w:val="24"/>
        </w:rPr>
        <w:lastRenderedPageBreak/>
        <w:t>值；估值日无市价，但最近交易日后经济环境未发生重大变化且证券发行机构未发生影响证券价格的重大事件的，采用最近交易市价确定公允价值。</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存在活跃市场的投资品种，如估值日无市价，且最近交易日后经济环境发生了重大变化或证券发行机构发生了影响证券价格的重大事件的，可参考类似投资品种的现行市价及重大变化等因素，调整最近交易市价，确定公允价值。</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3）当投资品种不存在活跃市场，采用市场参与者普遍认同，且被以往市场实际交易价格验证具有可靠性的估值技术，确定投资品种的公允价值。</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4）如有充足理由认为按原有方法进行估值不能客观反映上述资产或负债公允价值的，基金管理人可根据具体情况与基金托管人商定后，按最能反映公允价值的方法估值。</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5）本基金投资存托凭证的估值核算依照境内上市交易的股票执行。</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6）存在相关法律法规以及监管部门有相关规范的，从其规定。如有新增事项，按监管部门最新规定估值。</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如基金管理人或基金托管人发现基金估值违反基金合同订明的估值方法、程序及相关法律法规的规定或者未能充分维护基金份额持有人利益时，应立即通知对方，共同查明原因，双方协商解决。</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资产净值的计算结果对外予以公布。</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3、估值错误处理</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（1）因基金估值错误给投资人造成损失的应先由基金管理人承担，基金管理人对不应由其承担的责任，有权向过错人追偿。</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当基金管理人计算的A类基金份额及C类基金份额的基金资产净值、基金份额净值已由基金托管人复核确认后公告的，由此造成的投资人或基金的损失，应根据法律法规的规定对投资人或基金支付赔偿金，就实际向投资人或基金支付的赔偿金额，由基金管理人与基金托管人按照管理费率和托管费率的比例各自承担相应的责任。</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（3）由于一方当事人提供的信息错误，另一方当事人在采取了必要合理的措施后仍不能发现该错误，进而导致A类基金份额及C类基金份额的基金资产净值、基</w:t>
      </w:r>
      <w:r>
        <w:rPr>
          <w:rFonts w:ascii="宋体" w:hAnsi="宋体"/>
          <w:sz w:val="24"/>
        </w:rPr>
        <w:lastRenderedPageBreak/>
        <w:t>金份额净值计算错误造成投资人或基金的损失，以及由此造成以后交易日A类基金份额及C类基金份额的基金资产净值、基金份额净值计算顺延错误而引起的投资人或基金的损失，由提供错误信息的当事人一方负责赔偿。</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由于不可抗力原因，或由于证券、期货交易所、证券经纪机构、期货公司或登记结算公司发送的数据错误等，基金管理人和基金托管人虽然已经采取必要、适当、合理的措施进行检查，但是未能发现该错误的，由此造成的基金资产估值错误，基金管理人和基金托管人可以免除赔偿责任。但基金管理人和基金托管人应当积极采取必要的措施减轻或消除由此造成的影响。</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当基金管理人计算的基金资产净值与基金托管人的计算结果不一致时，相关各方应本着勤勉尽责的态度重新计算核对，如果最后仍无法达成一致，应以基金管理人的计算结果为准对外公布，由此造成的损失由基金管理人承担赔偿责任，基金托管人不负赔偿责任。</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（6）基金管理人或基金托管人按估值方法的第4）项进行估值的，所造成的误差不作为基金资产估值错误处理。</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估值错误责任方拒绝进行赔偿时，如果因基金管理人过错造成基金资产损失时，基金托管人应为基金的利益向基金管理人追偿，如果因基金托管人过错造成基金资产损失时，基金管理人应为基金的利益向基金托管人追偿。除基金管理人和基金托管人之外的第三方造成基金资产的损失，并拒绝进行赔偿时，由基金管理人负责向差错方追偿。</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4、基金账册的建立</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和基金托管人在基金合同生效后，应按照相关各方约定的同一记账方法和会计处理原则，分别独立地设置、登录和保管本基金的全套账册，对相关各方各自的账册定期进行核对，互相监督，以保证基金资产的安全。若双方对会计处理方法存在分歧，应以基金管理人的处理方法为准。</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对账发现相关各方的账目存在不符的，基金管理人和基金托管人必须及时查明原因并纠正，保证相关各方平行登录的账册记录完全相符。若当日核对不符，暂时无法查找到错账的原因而影响到基金资产净值的计算和公告的，以基金管理人的账册为准。</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5、基金定期报告的编制和复核</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（1）基金财务报表由基金管理人和基金托管人每月分别独立编制。月度报表</w:t>
      </w:r>
      <w:r>
        <w:rPr>
          <w:rFonts w:ascii="宋体" w:hAnsi="宋体"/>
          <w:sz w:val="24"/>
        </w:rPr>
        <w:lastRenderedPageBreak/>
        <w:t>的编制，应于每月终了后5个工作日内完成。</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基金合同生效后，基金招募说明书的信息发生重大变更的，基金管理人应当在三个工作日内，更新基金招募说明书并登载在指定网站上；基金招募说明书其他信息发生变更的，基金管理人至少每年更新一次。基金终止运作的，基金管理人不再更新基金招募说明书。基金管理人在季度结束之日起15个工作日内完成季度报告编制并公告；在上半年终了后两个月内完成中期报告编制并公告；在每年结束后三个月内完成年度报告编制并公告。</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应及时完成报表编制，将有关报表提供基金托管人复核；基金托管人应当在收到报告之日起2个工作日内完成月度报表的复核；在收到报告之日起7个工作日内完成基金季度报告的复核；在收到报告之日起20日内完成基金中期报告的复核；在收到报告之日起30日内完成基金年度报告的复核。基金托管人在复核过程中，发现双方的报表存在不符时，基金管理人和基金托管人应共同查明原因，进行调整，调整以国家有关规定为准。</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（4）核对无误后，基金托管人在基金管理人提供的报告上加盖业务印鉴或者出具加盖托管业务部门公章的复核意见书，相关各方各自留存一份。</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（5）基金托管人在对月度报表、季度、中期报告或年度报告复核完毕后，需盖章确认或出具相应的复核确认书，以备有权机构对相关文件审核时提示。</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6、暂停估值的情形</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（1）基金投资所涉及的证券、期货交易场所遇法定节假日或因其他原因暂停营业时；</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（2）因不可抗力致使基金管理人、基金托管人无法准确评估基金资产价值时；</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（3）占基金相当比例的投资品种的估值出现重大转变，而基金管理人为保障基金份额持有人的利益，决定延迟估值时；</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（4）当前一估值日基金资产净值50%以上的资产出现无可参考的活跃市场价格且采用估值技术仍导致公允价值存在重大不确定性时，经与基金托管人协商确认后，基金管理人应当暂停估值；</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（5）中国证监会和基金合同认定的其他情形。</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（六）基金份额持有人名册的登记与保管</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1、基金管理人和基金托管人须分别妥善保管的基金份额持有人名册，基金份</w:t>
      </w:r>
      <w:r>
        <w:rPr>
          <w:rFonts w:ascii="宋体" w:hAnsi="宋体"/>
          <w:sz w:val="24"/>
        </w:rPr>
        <w:lastRenderedPageBreak/>
        <w:t>额持有人名册的内容必须包括基金份额持有人的名称和持有的基金份额。</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份额持有人名册由基金的登记机构根据基金管理人的指令编制和保管，保管期限为20年。基金管理人和基金托管人应按照目前相关规则分别保管基金份额持有人名册。保管方式可以采用电子或文档的形式，保管期限为15年。</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应当及时向基金托管人定期或不定期提交下列日期的基金份额持有人名册。基金份额持有人名册的内容必须包括基金份额持有人的名称和持有的基金份额。基金托管人可以采用电子或文档的形式妥善保管基金份额持有人名册，保存期限为15年。基金托管人不得将所保管的基金份额持有人名册用于基金托管业务以外的其他用途，并应遵守保密义务。</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4、若基金管理人或基金托管人由于自身原因无法妥善保管基金份额持有人名册，应按有关法规规定各自承担相应的责任。</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（七）争议解决方式</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方当事人同意，因本协议而产生的或与本协议有关的一切争议，如经友好协商未能解决的，任何一方均有权将争议提交中国国际经济贸易仲裁委员会，按照中国国际经济贸易仲裁委员会届时有效的仲裁规则进行仲裁。仲裁地点为北京市。仲裁裁决是终局的，对各方当事人均有约束力，除非仲裁裁决另有规定，仲裁费用、律师费由败诉方承担。</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本协议受中国法律管辖。</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（八）托管协议的修改与终止</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1、托管协议的变更程序</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本协议双方当事人经协商一致，可以对协议的内容进行变更。变更后的托管协议，其内容不得与基金合同的规定有任何冲突。本托管协议的变更报中国证监会备案。</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2、基金托管协议终止的情形</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发生以下情况，本托管协议终止：</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（2）基金托管人解散、依法被撤销、破产或由其他基金托管人接管基金资产；</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（3）基金管理人解散、依法被撤销、破产或由其他基金管理人接管基金管理权；</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（4）发生法律法规或基金合同规定的终止事项。</w:t>
      </w:r>
    </w:p>
    <w:p w:rsidR="00B439CC" w:rsidRDefault="005C6ED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EC60B5" w:rsidRDefault="005C6EDB">
      <w:pPr>
        <w:pStyle w:val="1"/>
        <w:snapToGrid w:val="0"/>
        <w:spacing w:beforeLines="0" w:before="240" w:after="240"/>
        <w:rPr>
          <w:rFonts w:ascii="宋体" w:hAnsi="宋体"/>
          <w:szCs w:val="30"/>
        </w:rPr>
      </w:pPr>
      <w:bookmarkStart w:id="25" w:name="_Toc228201080"/>
      <w:r>
        <w:rPr>
          <w:rFonts w:ascii="Times New Roman" w:hAnsi="Times New Roman"/>
          <w:sz w:val="30"/>
        </w:rPr>
        <w:lastRenderedPageBreak/>
        <w:t>二十二、对基金份额持有人的服务</w:t>
      </w:r>
      <w:bookmarkEnd w:id="25"/>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基金管理人承诺为基金份额持有人提供一系列的服务。基金管理人根据基金份额持有人的需要和市场的变化，有权增加或变更服务项目。主要服务内容如下：</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（一）持有人交易资料的寄送服务</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每次交易结束后，可在T+2个工作日后通过销售机构的网点查询和打印确认单；</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本基金管理人将向持有人提供电子或纸质对账单，需要订阅或取消的客户可与本基金管理人客户服务中心（400-700-5000，021-61055000）联系。</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（二）网上直销服务</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已开通基金网上直销业务，个人投资者可以直接通过本基金管理人网站的网上直销交易平台办理开户和本基金的申购、赎回、定期定额投资、转换等业务。通过网上直销交易平台办理本基金A类基金份额的申购和定期定额投资业务的个人投资者将享受前端申购费率的优惠。具体优惠费率请参见公司网站列示的网上直销交易平台申购、定期定额投资费率表或相关公告。</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基金网上直销交易平台已开通的银行卡及各银行卡交易金额限额请参阅本基金管理人网站。</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在条件成熟的时候，本基金管理人将根据基金网上直销业务的发展状况，适时调整可用于网上直销交易平台的银行卡种类，敬请投资人留意相关公告。</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（三）信息咨询、查询服务</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如果想查询申购和赎回等交易情况、分红方式状态、基金账户余额、基金产品与服务等信息，请拨打本基金管理人客户服务电话（400-700-5000，021-61055000）或登录本基金管理人网站（www.fund001.com）进行咨询、查询。</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为投资人预设基金查询密码，预设的基金查询密码为投资人开户证件号码的后6位数字，不足6位数字的，前面加“0”补足。基金查询密码用于投资人通过客户服务电话查询基金账户下的账户和交易信息。投资人请在其知晓基金账号后，及时拨打本基金管理人客户服务电话修改基金查询密码。</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投资人可以拨打本基金管理人客户服务电话投诉直销机构的人员和服务。</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（四）基金转换业务</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本基金已开通转换业务，具体实施方法请参见相关公告。</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（五）定期定额投资计划</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本基金已开通定期定额投资计划，具体实施方法请参见相关公告。</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服务联系方式：</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本基金管理人的互联网地址及电子信箱</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电子信箱：services@jysld.com</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投资者也可登录本基金管理人网站，直接提出有关本基金的问题和建议。</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（六）如本招募说明书存在任何您/贵机构无法理解的内容，请通过上述方式联系基金管理人。请确保投资前，您/贵机构已经全面理解了本招募说明书。</w:t>
      </w:r>
    </w:p>
    <w:p w:rsidR="00B439CC" w:rsidRDefault="005C6ED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EC60B5" w:rsidRDefault="005C6EDB">
      <w:pPr>
        <w:pStyle w:val="1"/>
        <w:snapToGrid w:val="0"/>
        <w:spacing w:beforeLines="0" w:before="240" w:after="240"/>
        <w:rPr>
          <w:rFonts w:ascii="宋体" w:hAnsi="宋体"/>
          <w:szCs w:val="30"/>
        </w:rPr>
      </w:pPr>
      <w:bookmarkStart w:id="26" w:name="_Toc228201081"/>
      <w:r>
        <w:rPr>
          <w:rFonts w:ascii="Times New Roman" w:hAnsi="Times New Roman"/>
          <w:sz w:val="30"/>
        </w:rPr>
        <w:lastRenderedPageBreak/>
        <w:t>二十三、其他应披露事项</w:t>
      </w:r>
      <w:bookmarkEnd w:id="26"/>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基金合同如有未尽事宜，由基金合同当事人各方按有关法律法规协商解决。</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本招募说明书更新期间基金披露的其他重要事项</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EC60B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公告事项</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法定披露方式</w:t>
            </w:r>
          </w:p>
        </w:tc>
        <w:tc>
          <w:tcPr>
            <w:tcW w:w="40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法定披露日期</w:t>
            </w:r>
          </w:p>
        </w:tc>
      </w:tr>
      <w:tr w:rsidR="00EC60B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交银施罗德优选回报灵活配置混合型证券投资基金招募说明书更新</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2025-05-09</w:t>
            </w:r>
          </w:p>
        </w:tc>
      </w:tr>
      <w:tr w:rsidR="00EC60B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交银施罗德优选回报灵活配置混合型证券投资基金（</w:t>
            </w:r>
            <w:r>
              <w:rPr>
                <w:rFonts w:ascii="Times New Roman" w:hAnsi="Times New Roman"/>
                <w:color w:val="000000"/>
                <w:kern w:val="0"/>
                <w:sz w:val="25"/>
                <w:szCs w:val="24"/>
              </w:rPr>
              <w:t>A</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2025-05-09</w:t>
            </w:r>
          </w:p>
        </w:tc>
      </w:tr>
      <w:tr w:rsidR="00EC60B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交银施罗德优选回报灵活配置混合型证券投资基金（</w:t>
            </w:r>
            <w:r>
              <w:rPr>
                <w:rFonts w:ascii="Times New Roman" w:hAnsi="Times New Roman"/>
                <w:color w:val="000000"/>
                <w:kern w:val="0"/>
                <w:sz w:val="25"/>
                <w:szCs w:val="24"/>
              </w:rPr>
              <w:t>C</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2025-05-09</w:t>
            </w:r>
          </w:p>
        </w:tc>
      </w:tr>
      <w:tr w:rsidR="00EC60B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2025-06-07</w:t>
            </w:r>
          </w:p>
        </w:tc>
      </w:tr>
      <w:tr w:rsidR="00EC60B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交银施罗德优选回报灵活配置混合型证券投资基金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2</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2025-07-18</w:t>
            </w:r>
          </w:p>
        </w:tc>
      </w:tr>
      <w:tr w:rsidR="00EC60B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交银施罗德优选回报灵活配置混合型证券投资基金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年中期报告</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2025-08-29</w:t>
            </w:r>
          </w:p>
        </w:tc>
      </w:tr>
      <w:tr w:rsidR="00EC60B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交银施罗德优选回报灵活配置混合型证券投资基金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3</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2025-10-28</w:t>
            </w:r>
          </w:p>
        </w:tc>
      </w:tr>
      <w:tr w:rsidR="00EC60B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交银施罗德基金管理有限公司董事变更公告</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2025-12-20</w:t>
            </w:r>
          </w:p>
        </w:tc>
      </w:tr>
      <w:tr w:rsidR="00EC60B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交银施罗德优选回报灵活配置混合型证券投资基金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4</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2026-01-21</w:t>
            </w:r>
          </w:p>
        </w:tc>
      </w:tr>
      <w:tr w:rsidR="00EC60B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交银施罗德优选回报灵活配置混合型证券投资基金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年年度报告</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rsidR="00EC60B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11</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交银施罗德基金管理有限公司关于交银施罗德优选回报灵活配置混合型证券投资基金基金经理变更公告</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rsidR="00EC60B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12</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交银施罗德基金管理有限公司旗下公募基金通过证券公司证券交易及佣金支付情况（</w:t>
            </w:r>
            <w:r>
              <w:rPr>
                <w:rFonts w:ascii="Times New Roman" w:hAnsi="Times New Roman"/>
                <w:color w:val="000000"/>
                <w:kern w:val="0"/>
                <w:sz w:val="25"/>
                <w:szCs w:val="24"/>
              </w:rPr>
              <w:t>2025</w:t>
            </w:r>
            <w:r>
              <w:rPr>
                <w:rFonts w:ascii="Times New Roman" w:hAnsi="Times New Roman"/>
                <w:color w:val="000000"/>
                <w:kern w:val="0"/>
                <w:sz w:val="25"/>
                <w:szCs w:val="24"/>
              </w:rPr>
              <w:t>年）</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rsidR="00EC60B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13</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交银施罗德优选回报灵活配置混合型证券投资基金招募说明书更新</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2026-04-01</w:t>
            </w:r>
          </w:p>
        </w:tc>
      </w:tr>
      <w:tr w:rsidR="00EC60B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14</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交银施罗德优选回报灵活配置混合型证券投资基金（</w:t>
            </w:r>
            <w:r>
              <w:rPr>
                <w:rFonts w:ascii="Times New Roman" w:hAnsi="Times New Roman"/>
                <w:color w:val="000000"/>
                <w:kern w:val="0"/>
                <w:sz w:val="25"/>
                <w:szCs w:val="24"/>
              </w:rPr>
              <w:t>A</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2026-04-01</w:t>
            </w:r>
          </w:p>
        </w:tc>
      </w:tr>
      <w:tr w:rsidR="00EC60B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15</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交银施罗德优选回报灵活配置混合型证券投资基金（</w:t>
            </w:r>
            <w:r>
              <w:rPr>
                <w:rFonts w:ascii="Times New Roman" w:hAnsi="Times New Roman"/>
                <w:color w:val="000000"/>
                <w:kern w:val="0"/>
                <w:sz w:val="25"/>
                <w:szCs w:val="24"/>
              </w:rPr>
              <w:t>C</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2026-04-01</w:t>
            </w:r>
          </w:p>
        </w:tc>
      </w:tr>
      <w:tr w:rsidR="00EC60B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16</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交银施罗德基金管理有限公司关于旗下部分基金参与交通银行股份有限公司前端申购、定期定额投资费率优惠的公告</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2026-04-01</w:t>
            </w:r>
          </w:p>
        </w:tc>
      </w:tr>
      <w:tr w:rsidR="00EC60B5">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17</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交银施罗德优选回报灵活配置混合型证券投资基金</w:t>
            </w:r>
            <w:r>
              <w:rPr>
                <w:rFonts w:ascii="Times New Roman" w:hAnsi="Times New Roman"/>
                <w:color w:val="000000"/>
                <w:kern w:val="0"/>
                <w:sz w:val="25"/>
                <w:szCs w:val="24"/>
              </w:rPr>
              <w:t>2026</w:t>
            </w:r>
            <w:r>
              <w:rPr>
                <w:rFonts w:ascii="Times New Roman" w:hAnsi="Times New Roman"/>
                <w:color w:val="000000"/>
                <w:kern w:val="0"/>
                <w:sz w:val="25"/>
                <w:szCs w:val="24"/>
              </w:rPr>
              <w:t>年第</w:t>
            </w:r>
            <w:r>
              <w:rPr>
                <w:rFonts w:ascii="Times New Roman" w:hAnsi="Times New Roman"/>
                <w:color w:val="000000"/>
                <w:kern w:val="0"/>
                <w:sz w:val="25"/>
                <w:szCs w:val="24"/>
              </w:rPr>
              <w:t>1</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EC60B5" w:rsidRDefault="005C6EDB">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2026-04-21</w:t>
            </w:r>
          </w:p>
        </w:tc>
      </w:tr>
    </w:tbl>
    <w:p w:rsidR="00B439CC" w:rsidRDefault="005C6ED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EC60B5" w:rsidRDefault="005C6EDB">
      <w:pPr>
        <w:pStyle w:val="1"/>
        <w:snapToGrid w:val="0"/>
        <w:spacing w:beforeLines="0" w:before="240" w:after="240"/>
        <w:rPr>
          <w:rFonts w:ascii="宋体" w:hAnsi="宋体"/>
          <w:szCs w:val="30"/>
        </w:rPr>
      </w:pPr>
      <w:bookmarkStart w:id="27" w:name="_Toc228201082"/>
      <w:r>
        <w:rPr>
          <w:rFonts w:ascii="Times New Roman" w:hAnsi="Times New Roman"/>
          <w:sz w:val="30"/>
        </w:rPr>
        <w:lastRenderedPageBreak/>
        <w:t>二十四、招募说明书的存放及查阅方式</w:t>
      </w:r>
      <w:bookmarkEnd w:id="27"/>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募说明书存放在基金管理人、基金托管人和基金销售机构的办公场所，投资人可在办公时间查阅；投资人在支付工本费后，可在合理时间内取得上述文件复制件或复印件。对投资人按此种方式所获得的文件及其复印件，基金管理人和基金托管人保证文本的内容与所公告的内容完全一致。</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投资人还可以直接登录基金管理人的网站(www.fund001.com)查阅和下载招募说明书。</w:t>
      </w:r>
    </w:p>
    <w:p w:rsidR="00B439CC" w:rsidRDefault="005C6EDB"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EC60B5" w:rsidRDefault="005C6EDB">
      <w:pPr>
        <w:pStyle w:val="1"/>
        <w:snapToGrid w:val="0"/>
        <w:spacing w:beforeLines="0" w:before="240" w:after="240"/>
        <w:rPr>
          <w:rFonts w:ascii="宋体" w:hAnsi="宋体"/>
          <w:szCs w:val="30"/>
        </w:rPr>
      </w:pPr>
      <w:bookmarkStart w:id="28" w:name="_Toc228201083"/>
      <w:r>
        <w:rPr>
          <w:rFonts w:ascii="Times New Roman" w:hAnsi="Times New Roman"/>
          <w:sz w:val="30"/>
        </w:rPr>
        <w:lastRenderedPageBreak/>
        <w:t>二十五、备查文件</w:t>
      </w:r>
      <w:bookmarkEnd w:id="28"/>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以下备查文件存放在基金管理人的办公场所，在办公时间可供免费查阅。</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（一）中国证监会准予交银施罗德优选回报灵活配置混合型证券投资基金募集注册的文件</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（二）《交银施罗德优选回报灵活配置混合型证券投资基金基金合同》</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（三）《交银施罗德优选回报灵活配置混合型证券投资基金托管协议》</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（四）基金管理人业务资格批件、营业执照</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（五）基金托管人业务资格批件、营业执照</w:t>
      </w:r>
    </w:p>
    <w:p w:rsidR="00EC60B5" w:rsidRDefault="005C6EDB">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（六）关于申请募集注册交银施罗德优选回报灵活配置混合型证券投资基金的法律意见书</w:t>
      </w:r>
    </w:p>
    <w:sectPr w:rsidR="00EC60B5">
      <w:footerReference w:type="default" r:id="rId17"/>
      <w:pgSz w:w="11920" w:h="16840"/>
      <w:pgMar w:top="1360" w:right="1580" w:bottom="280" w:left="1680" w:header="0" w:footer="118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314DD" w:rsidRDefault="005C6EDB">
      <w:r>
        <w:separator/>
      </w:r>
    </w:p>
  </w:endnote>
  <w:endnote w:type="continuationSeparator" w:id="0">
    <w:p w:rsidR="007314DD" w:rsidRDefault="005C6E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ˎ̥">
    <w:altName w:val="Times New Roman"/>
    <w:charset w:val="00"/>
    <w:family w:val="roman"/>
    <w:pitch w:val="default"/>
    <w:sig w:usb0="00000000" w:usb1="00000000" w:usb2="00000000" w:usb3="00000000" w:csb0="00040001" w:csb1="00000000"/>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60B5" w:rsidRDefault="00EC60B5">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60B5" w:rsidRDefault="00CF0B17">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49" type="#_x0000_t202" style="position:absolute;margin-left:293.4pt;margin-top:782.6pt;width:21.6pt;height:11pt;z-index:-251658240;mso-position-horizontal-relative:page;mso-position-vertical-relative:page;mso-width-relative:page;mso-height-relative:page" o:allowincell="f" filled="f" stroked="f">
          <v:textbox inset="0,0,0,0">
            <w:txbxContent>
              <w:p w:rsidR="00EC60B5" w:rsidRDefault="005C6EDB">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CF0B17">
                  <w:rPr>
                    <w:rFonts w:ascii="Times New Roman" w:hAnsi="Times New Roman"/>
                    <w:noProof/>
                    <w:kern w:val="0"/>
                    <w:sz w:val="18"/>
                    <w:szCs w:val="18"/>
                  </w:rPr>
                  <w:t>3</w:t>
                </w:r>
                <w:r>
                  <w:rPr>
                    <w:rFonts w:ascii="Times New Roman" w:hAnsi="Times New Roman"/>
                    <w:kern w:val="0"/>
                    <w:sz w:val="18"/>
                    <w:szCs w:val="18"/>
                  </w:rPr>
                  <w:fldChar w:fldCharType="end"/>
                </w:r>
              </w:p>
            </w:txbxContent>
          </v:textbox>
          <w10:wrap anchorx="page" anchory="page"/>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60B5" w:rsidRDefault="00EC60B5">
    <w:pPr>
      <w:pStyle w:val="a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60B5" w:rsidRDefault="00CF0B17">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68" type="#_x0000_t202" style="position:absolute;margin-left:291.25pt;margin-top:773.85pt;width:33.5pt;height:11pt;z-index:-251657216;mso-position-horizontal-relative:page;mso-position-vertical-relative:page;mso-width-relative:page;mso-height-relative:page" o:allowincell="f" filled="f" stroked="f">
          <v:textbox inset="0,0,0,0">
            <w:txbxContent>
              <w:p w:rsidR="00EC60B5" w:rsidRDefault="005C6EDB">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CF0B17">
                  <w:rPr>
                    <w:rFonts w:ascii="Times New Roman" w:hAnsi="Times New Roman"/>
                    <w:noProof/>
                    <w:kern w:val="0"/>
                    <w:sz w:val="18"/>
                    <w:szCs w:val="18"/>
                  </w:rPr>
                  <w:t>143</w:t>
                </w:r>
                <w:r>
                  <w:rPr>
                    <w:rFonts w:ascii="Times New Roman" w:hAnsi="Times New Roman"/>
                    <w:kern w:val="0"/>
                    <w:sz w:val="18"/>
                    <w:szCs w:val="18"/>
                  </w:rP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314DD" w:rsidRDefault="005C6EDB">
      <w:r>
        <w:separator/>
      </w:r>
    </w:p>
  </w:footnote>
  <w:footnote w:type="continuationSeparator" w:id="0">
    <w:p w:rsidR="007314DD" w:rsidRDefault="005C6ED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60B5" w:rsidRDefault="00EC60B5">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60B5" w:rsidRDefault="005C6EDB">
    <w:pPr>
      <w:pStyle w:val="a3"/>
      <w:jc w:val="right"/>
      <w:rPr>
        <w:rFonts w:ascii="宋体" w:hAnsi="宋体"/>
      </w:rPr>
    </w:pPr>
    <w:r>
      <w:rPr>
        <w:rFonts w:ascii="宋体" w:hAnsi="宋体" w:hint="eastAsia"/>
      </w:rPr>
      <w:t>交银施罗德优选回报灵活配置混合型证券投资基金招募说明书更新</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60B5" w:rsidRDefault="00EC60B5">
    <w:pPr>
      <w:pStyle w:val="10"/>
      <w:jc w:val="right"/>
    </w:pPr>
  </w:p>
  <w:p w:rsidR="00EC60B5" w:rsidRDefault="00EC60B5">
    <w:pPr>
      <w:pStyle w:val="10"/>
      <w:jc w:val="right"/>
    </w:pPr>
  </w:p>
  <w:p w:rsidR="00EC60B5" w:rsidRDefault="00EC60B5">
    <w:pPr>
      <w:pStyle w:val="a3"/>
      <w:jc w:val="right"/>
    </w:pPr>
  </w:p>
  <w:p w:rsidR="00EC60B5" w:rsidRDefault="005C6EDB">
    <w:pPr>
      <w:pStyle w:val="a3"/>
      <w:jc w:val="right"/>
      <w:rPr>
        <w:rFonts w:ascii="宋体" w:hAnsi="宋体"/>
      </w:rPr>
    </w:pPr>
    <w:r>
      <w:rPr>
        <w:rFonts w:ascii="宋体" w:hAnsi="宋体" w:hint="eastAsia"/>
      </w:rPr>
      <w:t>交银施罗德优选回报灵活配置混合型证券投资基金招募说明书更新</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60B5" w:rsidRDefault="00EC60B5">
    <w:pPr>
      <w:pStyle w:val="a3"/>
      <w:jc w:val="right"/>
    </w:pPr>
  </w:p>
  <w:p w:rsidR="00EC60B5" w:rsidRDefault="00EC60B5">
    <w:pPr>
      <w:pStyle w:val="a3"/>
      <w:jc w:val="right"/>
    </w:pPr>
  </w:p>
  <w:p w:rsidR="00EC60B5" w:rsidRDefault="00EC60B5">
    <w:pPr>
      <w:pStyle w:val="a3"/>
      <w:jc w:val="right"/>
    </w:pPr>
  </w:p>
  <w:p w:rsidR="00EC60B5" w:rsidRDefault="005C6EDB">
    <w:pPr>
      <w:pStyle w:val="a3"/>
      <w:jc w:val="right"/>
      <w:rPr>
        <w:rFonts w:ascii="宋体" w:hAnsi="宋体"/>
      </w:rPr>
    </w:pPr>
    <w:r>
      <w:rPr>
        <w:rFonts w:ascii="宋体" w:hAnsi="宋体" w:hint="eastAsia"/>
      </w:rPr>
      <w:t>交银施罗德优选回报灵活配置混合型证券投资基金招募说明书更新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47D73EE"/>
    <w:multiLevelType w:val="multilevel"/>
    <w:tmpl w:val="547D73EE"/>
    <w:lvl w:ilvl="0">
      <w:start w:val="1"/>
      <w:numFmt w:val="decimal"/>
      <w:pStyle w:val="XBRLTitle1"/>
      <w:suff w:val="space"/>
      <w:lvlText w:val="§%1"/>
      <w:lvlJc w:val="left"/>
      <w:pPr>
        <w:ind w:left="425" w:hanging="425"/>
      </w:pPr>
      <w:rPr>
        <w:rFonts w:hint="eastAsia"/>
      </w:rPr>
    </w:lvl>
    <w:lvl w:ilvl="1">
      <w:start w:val="1"/>
      <w:numFmt w:val="decimal"/>
      <w:pStyle w:val="XBRLTitle2"/>
      <w:suff w:val="space"/>
      <w:lvlText w:val="%1.%2"/>
      <w:lvlJc w:val="left"/>
      <w:pPr>
        <w:ind w:left="738" w:hanging="454"/>
      </w:pPr>
      <w:rPr>
        <w:rFonts w:hint="eastAsia"/>
      </w:rPr>
    </w:lvl>
    <w:lvl w:ilvl="2">
      <w:start w:val="1"/>
      <w:numFmt w:val="decimal"/>
      <w:pStyle w:val="XBRLTitle3"/>
      <w:suff w:val="space"/>
      <w:lvlText w:val="%1.%2.%3"/>
      <w:lvlJc w:val="left"/>
      <w:pPr>
        <w:ind w:left="624" w:hanging="624"/>
      </w:pPr>
    </w:lvl>
    <w:lvl w:ilvl="3">
      <w:start w:val="1"/>
      <w:numFmt w:val="decimal"/>
      <w:pStyle w:val="XBRLTitle4"/>
      <w:suff w:val="space"/>
      <w:lvlText w:val="%1.%2.%3.%4"/>
      <w:lvlJc w:val="left"/>
      <w:pPr>
        <w:ind w:left="794" w:hanging="794"/>
      </w:pPr>
      <w:rPr>
        <w:rFonts w:hint="eastAsia"/>
      </w:rPr>
    </w:lvl>
    <w:lvl w:ilvl="4">
      <w:start w:val="1"/>
      <w:numFmt w:val="decimal"/>
      <w:pStyle w:val="XBRLTitle5"/>
      <w:suff w:val="space"/>
      <w:lvlText w:val="%1.%2.%3.%4.%5"/>
      <w:lvlJc w:val="left"/>
      <w:pPr>
        <w:ind w:left="1021" w:hanging="1021"/>
      </w:pPr>
      <w:rPr>
        <w:rFonts w:hint="eastAsia"/>
      </w:rPr>
    </w:lvl>
    <w:lvl w:ilvl="5">
      <w:start w:val="1"/>
      <w:numFmt w:val="decimal"/>
      <w:pStyle w:val="XBRLTitle6"/>
      <w:suff w:val="space"/>
      <w:lvlText w:val="%1.%2.%3.%4.%5.%6"/>
      <w:lvlJc w:val="left"/>
      <w:pPr>
        <w:ind w:left="1021" w:hanging="1021"/>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720"/>
  <w:drawingGridHorizontalSpacing w:val="105"/>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3076"/>
    <o:shapelayout v:ext="edit">
      <o:idmap v:ext="edit" data="2"/>
    </o:shapelayout>
  </w:hdrShapeDefaults>
  <w:footnotePr>
    <w:footnote w:id="-1"/>
    <w:footnote w:id="0"/>
  </w:footnotePr>
  <w:endnotePr>
    <w:endnote w:id="-1"/>
    <w:endnote w:id="0"/>
  </w:endnotePr>
  <w:compat>
    <w:spaceForUL/>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doNotVertAlignCellWithSp/>
    <w:doNotBreakConstrainedForcedTable/>
    <w:doNotVertAlignInTxbx/>
    <w:useAnsiKerningPairs/>
    <w:cachedColBalance/>
    <w:compatSetting w:name="compatibilityMode" w:uri="http://schemas.microsoft.com/office/word" w:val="11"/>
  </w:compat>
  <w:rsids>
    <w:rsidRoot w:val="00A860C9"/>
    <w:rsid w:val="000002A2"/>
    <w:rsid w:val="00001EEA"/>
    <w:rsid w:val="00003EC9"/>
    <w:rsid w:val="0000560A"/>
    <w:rsid w:val="0001266E"/>
    <w:rsid w:val="00026A29"/>
    <w:rsid w:val="00026D00"/>
    <w:rsid w:val="00027C73"/>
    <w:rsid w:val="00030964"/>
    <w:rsid w:val="00030F3E"/>
    <w:rsid w:val="000368A2"/>
    <w:rsid w:val="00044AFD"/>
    <w:rsid w:val="00044E2C"/>
    <w:rsid w:val="000457B7"/>
    <w:rsid w:val="0004614E"/>
    <w:rsid w:val="00046212"/>
    <w:rsid w:val="000500B8"/>
    <w:rsid w:val="000506ED"/>
    <w:rsid w:val="000543D5"/>
    <w:rsid w:val="00055792"/>
    <w:rsid w:val="00055F52"/>
    <w:rsid w:val="00061C0D"/>
    <w:rsid w:val="0006212F"/>
    <w:rsid w:val="0006220F"/>
    <w:rsid w:val="000647B8"/>
    <w:rsid w:val="0006506B"/>
    <w:rsid w:val="0006551A"/>
    <w:rsid w:val="000700AC"/>
    <w:rsid w:val="000705A6"/>
    <w:rsid w:val="0007638A"/>
    <w:rsid w:val="00076B6E"/>
    <w:rsid w:val="000816EA"/>
    <w:rsid w:val="00081744"/>
    <w:rsid w:val="000828CE"/>
    <w:rsid w:val="000833CB"/>
    <w:rsid w:val="00083491"/>
    <w:rsid w:val="00084078"/>
    <w:rsid w:val="000843B3"/>
    <w:rsid w:val="000869C2"/>
    <w:rsid w:val="00087F4C"/>
    <w:rsid w:val="00090648"/>
    <w:rsid w:val="00094253"/>
    <w:rsid w:val="00095030"/>
    <w:rsid w:val="000A01A0"/>
    <w:rsid w:val="000A352B"/>
    <w:rsid w:val="000B0F8B"/>
    <w:rsid w:val="000B359E"/>
    <w:rsid w:val="000B3894"/>
    <w:rsid w:val="000B4E04"/>
    <w:rsid w:val="000C1E1E"/>
    <w:rsid w:val="000C38F1"/>
    <w:rsid w:val="000C5E77"/>
    <w:rsid w:val="000C68E9"/>
    <w:rsid w:val="000D0ADE"/>
    <w:rsid w:val="000D179E"/>
    <w:rsid w:val="000D66DC"/>
    <w:rsid w:val="000E1F3B"/>
    <w:rsid w:val="000E3AB4"/>
    <w:rsid w:val="000E7544"/>
    <w:rsid w:val="000F0C17"/>
    <w:rsid w:val="000F2904"/>
    <w:rsid w:val="000F34A1"/>
    <w:rsid w:val="000F5226"/>
    <w:rsid w:val="000F5583"/>
    <w:rsid w:val="000F6050"/>
    <w:rsid w:val="000F66FF"/>
    <w:rsid w:val="000F698D"/>
    <w:rsid w:val="000F7D42"/>
    <w:rsid w:val="001008A5"/>
    <w:rsid w:val="00100C86"/>
    <w:rsid w:val="0011339C"/>
    <w:rsid w:val="001135B0"/>
    <w:rsid w:val="00113FAA"/>
    <w:rsid w:val="00115AE5"/>
    <w:rsid w:val="00116489"/>
    <w:rsid w:val="0011648B"/>
    <w:rsid w:val="001166C1"/>
    <w:rsid w:val="00116874"/>
    <w:rsid w:val="001177A3"/>
    <w:rsid w:val="001240EB"/>
    <w:rsid w:val="0012443D"/>
    <w:rsid w:val="00127053"/>
    <w:rsid w:val="0013182D"/>
    <w:rsid w:val="00131CEE"/>
    <w:rsid w:val="0013315B"/>
    <w:rsid w:val="00134FCF"/>
    <w:rsid w:val="00135AD8"/>
    <w:rsid w:val="0013630D"/>
    <w:rsid w:val="001367F2"/>
    <w:rsid w:val="001412E8"/>
    <w:rsid w:val="0014250F"/>
    <w:rsid w:val="00144B52"/>
    <w:rsid w:val="00153D66"/>
    <w:rsid w:val="0015725E"/>
    <w:rsid w:val="00162F69"/>
    <w:rsid w:val="00164946"/>
    <w:rsid w:val="00165756"/>
    <w:rsid w:val="0017362C"/>
    <w:rsid w:val="0017392F"/>
    <w:rsid w:val="0018184C"/>
    <w:rsid w:val="0018198F"/>
    <w:rsid w:val="00181C62"/>
    <w:rsid w:val="00183642"/>
    <w:rsid w:val="001860C4"/>
    <w:rsid w:val="00186FAE"/>
    <w:rsid w:val="001917D4"/>
    <w:rsid w:val="001917FC"/>
    <w:rsid w:val="00191D7F"/>
    <w:rsid w:val="001925A2"/>
    <w:rsid w:val="00195218"/>
    <w:rsid w:val="00197A55"/>
    <w:rsid w:val="00197F7E"/>
    <w:rsid w:val="001A1623"/>
    <w:rsid w:val="001A2263"/>
    <w:rsid w:val="001B4531"/>
    <w:rsid w:val="001B5BDB"/>
    <w:rsid w:val="001B75F9"/>
    <w:rsid w:val="001C2B9E"/>
    <w:rsid w:val="001C38DA"/>
    <w:rsid w:val="001C7A48"/>
    <w:rsid w:val="001C7C12"/>
    <w:rsid w:val="001D2797"/>
    <w:rsid w:val="001D2B67"/>
    <w:rsid w:val="001D3730"/>
    <w:rsid w:val="001D4727"/>
    <w:rsid w:val="001D5665"/>
    <w:rsid w:val="001D61DC"/>
    <w:rsid w:val="001D6377"/>
    <w:rsid w:val="001D68A8"/>
    <w:rsid w:val="001D6B88"/>
    <w:rsid w:val="001D6C5F"/>
    <w:rsid w:val="001D7ECC"/>
    <w:rsid w:val="001E144C"/>
    <w:rsid w:val="001E25FD"/>
    <w:rsid w:val="001E2A4F"/>
    <w:rsid w:val="001E3F8F"/>
    <w:rsid w:val="001E5250"/>
    <w:rsid w:val="001F33EB"/>
    <w:rsid w:val="001F4DEA"/>
    <w:rsid w:val="001F4ECB"/>
    <w:rsid w:val="001F7353"/>
    <w:rsid w:val="00201F27"/>
    <w:rsid w:val="00201F9B"/>
    <w:rsid w:val="00203597"/>
    <w:rsid w:val="002076AC"/>
    <w:rsid w:val="00212B27"/>
    <w:rsid w:val="00212BBA"/>
    <w:rsid w:val="0021469C"/>
    <w:rsid w:val="00215523"/>
    <w:rsid w:val="00216962"/>
    <w:rsid w:val="00217CA4"/>
    <w:rsid w:val="00221112"/>
    <w:rsid w:val="00221A1B"/>
    <w:rsid w:val="002220A4"/>
    <w:rsid w:val="00223C19"/>
    <w:rsid w:val="00224421"/>
    <w:rsid w:val="00226503"/>
    <w:rsid w:val="00226A60"/>
    <w:rsid w:val="0023578C"/>
    <w:rsid w:val="00235AC5"/>
    <w:rsid w:val="002377E0"/>
    <w:rsid w:val="00240BB6"/>
    <w:rsid w:val="002432CA"/>
    <w:rsid w:val="00243D40"/>
    <w:rsid w:val="00245250"/>
    <w:rsid w:val="002477CB"/>
    <w:rsid w:val="00247BF6"/>
    <w:rsid w:val="00250A33"/>
    <w:rsid w:val="00251126"/>
    <w:rsid w:val="002524D2"/>
    <w:rsid w:val="00252802"/>
    <w:rsid w:val="00261A50"/>
    <w:rsid w:val="002634C3"/>
    <w:rsid w:val="00265B3A"/>
    <w:rsid w:val="0027052E"/>
    <w:rsid w:val="00271E9D"/>
    <w:rsid w:val="00271F7D"/>
    <w:rsid w:val="00274E85"/>
    <w:rsid w:val="002777F6"/>
    <w:rsid w:val="00277907"/>
    <w:rsid w:val="00280C42"/>
    <w:rsid w:val="00281B73"/>
    <w:rsid w:val="002833C9"/>
    <w:rsid w:val="00285E5C"/>
    <w:rsid w:val="00290B63"/>
    <w:rsid w:val="00290E73"/>
    <w:rsid w:val="00293415"/>
    <w:rsid w:val="00294689"/>
    <w:rsid w:val="0029539A"/>
    <w:rsid w:val="002A1A82"/>
    <w:rsid w:val="002A2FB0"/>
    <w:rsid w:val="002A4D32"/>
    <w:rsid w:val="002A5F87"/>
    <w:rsid w:val="002B017B"/>
    <w:rsid w:val="002B0DC0"/>
    <w:rsid w:val="002B2664"/>
    <w:rsid w:val="002B4E21"/>
    <w:rsid w:val="002B5000"/>
    <w:rsid w:val="002B78AA"/>
    <w:rsid w:val="002C383C"/>
    <w:rsid w:val="002D15BB"/>
    <w:rsid w:val="002D1C13"/>
    <w:rsid w:val="002D3109"/>
    <w:rsid w:val="002D378C"/>
    <w:rsid w:val="002D6413"/>
    <w:rsid w:val="002D6F14"/>
    <w:rsid w:val="002D74D5"/>
    <w:rsid w:val="002E4922"/>
    <w:rsid w:val="002E4B2C"/>
    <w:rsid w:val="002E5261"/>
    <w:rsid w:val="002F00BB"/>
    <w:rsid w:val="002F1DE7"/>
    <w:rsid w:val="002F2627"/>
    <w:rsid w:val="002F2748"/>
    <w:rsid w:val="002F6445"/>
    <w:rsid w:val="002F6580"/>
    <w:rsid w:val="002F6DE8"/>
    <w:rsid w:val="002F74D8"/>
    <w:rsid w:val="002F7C72"/>
    <w:rsid w:val="002F7EDC"/>
    <w:rsid w:val="003003A8"/>
    <w:rsid w:val="0030091B"/>
    <w:rsid w:val="00301E62"/>
    <w:rsid w:val="00304063"/>
    <w:rsid w:val="0030555F"/>
    <w:rsid w:val="00305A3B"/>
    <w:rsid w:val="00305BB4"/>
    <w:rsid w:val="0030645F"/>
    <w:rsid w:val="003117B9"/>
    <w:rsid w:val="00311C71"/>
    <w:rsid w:val="00313073"/>
    <w:rsid w:val="0031336C"/>
    <w:rsid w:val="0031339F"/>
    <w:rsid w:val="00313F3E"/>
    <w:rsid w:val="00323F65"/>
    <w:rsid w:val="00326147"/>
    <w:rsid w:val="0033051E"/>
    <w:rsid w:val="0033401D"/>
    <w:rsid w:val="00334456"/>
    <w:rsid w:val="00336150"/>
    <w:rsid w:val="00336E99"/>
    <w:rsid w:val="00342417"/>
    <w:rsid w:val="003454EC"/>
    <w:rsid w:val="00346537"/>
    <w:rsid w:val="00347B94"/>
    <w:rsid w:val="003527DD"/>
    <w:rsid w:val="003547A2"/>
    <w:rsid w:val="00355171"/>
    <w:rsid w:val="00362702"/>
    <w:rsid w:val="00362A37"/>
    <w:rsid w:val="00362CF0"/>
    <w:rsid w:val="00362D5D"/>
    <w:rsid w:val="00364AC5"/>
    <w:rsid w:val="00365D15"/>
    <w:rsid w:val="0036702F"/>
    <w:rsid w:val="00367F3A"/>
    <w:rsid w:val="00370BDF"/>
    <w:rsid w:val="00372FA2"/>
    <w:rsid w:val="003735E9"/>
    <w:rsid w:val="003739FE"/>
    <w:rsid w:val="003749D5"/>
    <w:rsid w:val="0038254F"/>
    <w:rsid w:val="003828EC"/>
    <w:rsid w:val="00383488"/>
    <w:rsid w:val="003843BB"/>
    <w:rsid w:val="003859DA"/>
    <w:rsid w:val="00386153"/>
    <w:rsid w:val="00386BA7"/>
    <w:rsid w:val="00390B48"/>
    <w:rsid w:val="0039213A"/>
    <w:rsid w:val="00393BF6"/>
    <w:rsid w:val="00395D4D"/>
    <w:rsid w:val="00396D64"/>
    <w:rsid w:val="00397A06"/>
    <w:rsid w:val="003A0FAF"/>
    <w:rsid w:val="003A38BD"/>
    <w:rsid w:val="003A38C8"/>
    <w:rsid w:val="003A6045"/>
    <w:rsid w:val="003A72D0"/>
    <w:rsid w:val="003B22FD"/>
    <w:rsid w:val="003B3004"/>
    <w:rsid w:val="003B3A47"/>
    <w:rsid w:val="003B4168"/>
    <w:rsid w:val="003B42FF"/>
    <w:rsid w:val="003B62D2"/>
    <w:rsid w:val="003B66A3"/>
    <w:rsid w:val="003C27F7"/>
    <w:rsid w:val="003C62C1"/>
    <w:rsid w:val="003C6FA4"/>
    <w:rsid w:val="003D0B3E"/>
    <w:rsid w:val="003D2352"/>
    <w:rsid w:val="003D3863"/>
    <w:rsid w:val="003D3D0A"/>
    <w:rsid w:val="003E0800"/>
    <w:rsid w:val="003E1584"/>
    <w:rsid w:val="003E33DE"/>
    <w:rsid w:val="003E3593"/>
    <w:rsid w:val="003E585F"/>
    <w:rsid w:val="003E6049"/>
    <w:rsid w:val="003E67F9"/>
    <w:rsid w:val="003F0D27"/>
    <w:rsid w:val="003F1C98"/>
    <w:rsid w:val="003F317C"/>
    <w:rsid w:val="003F4813"/>
    <w:rsid w:val="00406654"/>
    <w:rsid w:val="0041100B"/>
    <w:rsid w:val="004114F3"/>
    <w:rsid w:val="00412894"/>
    <w:rsid w:val="004130C3"/>
    <w:rsid w:val="00413E71"/>
    <w:rsid w:val="00421363"/>
    <w:rsid w:val="00421921"/>
    <w:rsid w:val="00422100"/>
    <w:rsid w:val="004254D3"/>
    <w:rsid w:val="0042746B"/>
    <w:rsid w:val="00433B69"/>
    <w:rsid w:val="004369AD"/>
    <w:rsid w:val="00436DD6"/>
    <w:rsid w:val="00444FB7"/>
    <w:rsid w:val="00450674"/>
    <w:rsid w:val="004533FE"/>
    <w:rsid w:val="00454715"/>
    <w:rsid w:val="00454D80"/>
    <w:rsid w:val="00456785"/>
    <w:rsid w:val="00462EB0"/>
    <w:rsid w:val="00463933"/>
    <w:rsid w:val="00464346"/>
    <w:rsid w:val="00470325"/>
    <w:rsid w:val="00470F42"/>
    <w:rsid w:val="00471605"/>
    <w:rsid w:val="0047297A"/>
    <w:rsid w:val="00474709"/>
    <w:rsid w:val="00480184"/>
    <w:rsid w:val="00480516"/>
    <w:rsid w:val="00480658"/>
    <w:rsid w:val="00480D3C"/>
    <w:rsid w:val="0048170B"/>
    <w:rsid w:val="00481BD4"/>
    <w:rsid w:val="00482AA2"/>
    <w:rsid w:val="0048579F"/>
    <w:rsid w:val="00487005"/>
    <w:rsid w:val="004901A7"/>
    <w:rsid w:val="004A084F"/>
    <w:rsid w:val="004A1FA1"/>
    <w:rsid w:val="004A3225"/>
    <w:rsid w:val="004A3F90"/>
    <w:rsid w:val="004A5F59"/>
    <w:rsid w:val="004A6F1F"/>
    <w:rsid w:val="004B17D8"/>
    <w:rsid w:val="004B2323"/>
    <w:rsid w:val="004B62C3"/>
    <w:rsid w:val="004C0BC8"/>
    <w:rsid w:val="004C461A"/>
    <w:rsid w:val="004C7D23"/>
    <w:rsid w:val="004D0783"/>
    <w:rsid w:val="004D11CB"/>
    <w:rsid w:val="004D49E3"/>
    <w:rsid w:val="004D7163"/>
    <w:rsid w:val="004E0366"/>
    <w:rsid w:val="004E1C30"/>
    <w:rsid w:val="004E3342"/>
    <w:rsid w:val="004E45AC"/>
    <w:rsid w:val="004E4672"/>
    <w:rsid w:val="004E5593"/>
    <w:rsid w:val="004E7A1E"/>
    <w:rsid w:val="004E7F1A"/>
    <w:rsid w:val="004F0352"/>
    <w:rsid w:val="004F0740"/>
    <w:rsid w:val="004F415D"/>
    <w:rsid w:val="004F4980"/>
    <w:rsid w:val="004F66F4"/>
    <w:rsid w:val="004F7710"/>
    <w:rsid w:val="00502A45"/>
    <w:rsid w:val="0050542C"/>
    <w:rsid w:val="00512DC1"/>
    <w:rsid w:val="00514C6B"/>
    <w:rsid w:val="005161EC"/>
    <w:rsid w:val="0051709F"/>
    <w:rsid w:val="005175EB"/>
    <w:rsid w:val="00521A18"/>
    <w:rsid w:val="00522079"/>
    <w:rsid w:val="00522622"/>
    <w:rsid w:val="0052450E"/>
    <w:rsid w:val="00525410"/>
    <w:rsid w:val="00530703"/>
    <w:rsid w:val="00530763"/>
    <w:rsid w:val="00534EFD"/>
    <w:rsid w:val="005362F2"/>
    <w:rsid w:val="00543B42"/>
    <w:rsid w:val="0054651A"/>
    <w:rsid w:val="00546EA9"/>
    <w:rsid w:val="005474CD"/>
    <w:rsid w:val="005501B7"/>
    <w:rsid w:val="0055152E"/>
    <w:rsid w:val="00552094"/>
    <w:rsid w:val="00553D73"/>
    <w:rsid w:val="00554BAF"/>
    <w:rsid w:val="00555A15"/>
    <w:rsid w:val="00556291"/>
    <w:rsid w:val="005569E4"/>
    <w:rsid w:val="00560E11"/>
    <w:rsid w:val="00561147"/>
    <w:rsid w:val="00561463"/>
    <w:rsid w:val="00561F8F"/>
    <w:rsid w:val="00563A0E"/>
    <w:rsid w:val="005647D0"/>
    <w:rsid w:val="00574C59"/>
    <w:rsid w:val="00576CE2"/>
    <w:rsid w:val="005770AC"/>
    <w:rsid w:val="00577C1A"/>
    <w:rsid w:val="00577FAA"/>
    <w:rsid w:val="0058041D"/>
    <w:rsid w:val="005826AA"/>
    <w:rsid w:val="00583CE7"/>
    <w:rsid w:val="005856E9"/>
    <w:rsid w:val="005867BB"/>
    <w:rsid w:val="00587452"/>
    <w:rsid w:val="00591C2A"/>
    <w:rsid w:val="00592461"/>
    <w:rsid w:val="00592539"/>
    <w:rsid w:val="00596A05"/>
    <w:rsid w:val="00596D6D"/>
    <w:rsid w:val="00597284"/>
    <w:rsid w:val="00597F8F"/>
    <w:rsid w:val="005A1EA2"/>
    <w:rsid w:val="005A2467"/>
    <w:rsid w:val="005A5858"/>
    <w:rsid w:val="005A6E51"/>
    <w:rsid w:val="005A7C7F"/>
    <w:rsid w:val="005A7D88"/>
    <w:rsid w:val="005B130C"/>
    <w:rsid w:val="005B14FF"/>
    <w:rsid w:val="005B3B71"/>
    <w:rsid w:val="005B4B1B"/>
    <w:rsid w:val="005B4F0F"/>
    <w:rsid w:val="005B58F0"/>
    <w:rsid w:val="005C0E62"/>
    <w:rsid w:val="005C0F5B"/>
    <w:rsid w:val="005C2E15"/>
    <w:rsid w:val="005C403B"/>
    <w:rsid w:val="005C63CB"/>
    <w:rsid w:val="005C6EDB"/>
    <w:rsid w:val="005D0AA6"/>
    <w:rsid w:val="005D165F"/>
    <w:rsid w:val="005D21F3"/>
    <w:rsid w:val="005D3CF8"/>
    <w:rsid w:val="005D5D89"/>
    <w:rsid w:val="005E0D2D"/>
    <w:rsid w:val="005E3FB6"/>
    <w:rsid w:val="005F4583"/>
    <w:rsid w:val="005F4ABB"/>
    <w:rsid w:val="005F6066"/>
    <w:rsid w:val="005F6562"/>
    <w:rsid w:val="005F6C6D"/>
    <w:rsid w:val="005F6F09"/>
    <w:rsid w:val="005F787A"/>
    <w:rsid w:val="006019C7"/>
    <w:rsid w:val="00601E7B"/>
    <w:rsid w:val="00601EBC"/>
    <w:rsid w:val="00602D32"/>
    <w:rsid w:val="00603A84"/>
    <w:rsid w:val="006067DC"/>
    <w:rsid w:val="00610629"/>
    <w:rsid w:val="00611BCD"/>
    <w:rsid w:val="0061258D"/>
    <w:rsid w:val="006142EC"/>
    <w:rsid w:val="006155A5"/>
    <w:rsid w:val="00617824"/>
    <w:rsid w:val="00624214"/>
    <w:rsid w:val="00625419"/>
    <w:rsid w:val="00626D1A"/>
    <w:rsid w:val="00627429"/>
    <w:rsid w:val="0063089C"/>
    <w:rsid w:val="00632A91"/>
    <w:rsid w:val="006345E8"/>
    <w:rsid w:val="0063765C"/>
    <w:rsid w:val="006403CB"/>
    <w:rsid w:val="006410B0"/>
    <w:rsid w:val="0064139F"/>
    <w:rsid w:val="00641404"/>
    <w:rsid w:val="00641EDA"/>
    <w:rsid w:val="00642B97"/>
    <w:rsid w:val="00643680"/>
    <w:rsid w:val="00644453"/>
    <w:rsid w:val="00644B32"/>
    <w:rsid w:val="0064639A"/>
    <w:rsid w:val="0064646F"/>
    <w:rsid w:val="00646523"/>
    <w:rsid w:val="00647BDD"/>
    <w:rsid w:val="0065273C"/>
    <w:rsid w:val="00656A74"/>
    <w:rsid w:val="00657221"/>
    <w:rsid w:val="00661FC1"/>
    <w:rsid w:val="00663FED"/>
    <w:rsid w:val="00664B64"/>
    <w:rsid w:val="006678E3"/>
    <w:rsid w:val="00667A9C"/>
    <w:rsid w:val="006712E8"/>
    <w:rsid w:val="00677DA7"/>
    <w:rsid w:val="00680212"/>
    <w:rsid w:val="00680C90"/>
    <w:rsid w:val="00681036"/>
    <w:rsid w:val="006823AD"/>
    <w:rsid w:val="00682C29"/>
    <w:rsid w:val="00685872"/>
    <w:rsid w:val="00685AD7"/>
    <w:rsid w:val="00691963"/>
    <w:rsid w:val="00692124"/>
    <w:rsid w:val="00692D96"/>
    <w:rsid w:val="00693C96"/>
    <w:rsid w:val="00696339"/>
    <w:rsid w:val="00696982"/>
    <w:rsid w:val="006A3F85"/>
    <w:rsid w:val="006A48FA"/>
    <w:rsid w:val="006A56F1"/>
    <w:rsid w:val="006A6E5C"/>
    <w:rsid w:val="006B0972"/>
    <w:rsid w:val="006B3153"/>
    <w:rsid w:val="006B5871"/>
    <w:rsid w:val="006B6BB1"/>
    <w:rsid w:val="006B7212"/>
    <w:rsid w:val="006C14C3"/>
    <w:rsid w:val="006C4B6F"/>
    <w:rsid w:val="006C589D"/>
    <w:rsid w:val="006C769C"/>
    <w:rsid w:val="006C7A95"/>
    <w:rsid w:val="006D11E8"/>
    <w:rsid w:val="006D4B0E"/>
    <w:rsid w:val="006D753C"/>
    <w:rsid w:val="006E0A00"/>
    <w:rsid w:val="006E306D"/>
    <w:rsid w:val="006E4BEC"/>
    <w:rsid w:val="006E6968"/>
    <w:rsid w:val="006F04C6"/>
    <w:rsid w:val="006F08A0"/>
    <w:rsid w:val="006F2A97"/>
    <w:rsid w:val="006F7AD7"/>
    <w:rsid w:val="00702627"/>
    <w:rsid w:val="0070359F"/>
    <w:rsid w:val="0070464C"/>
    <w:rsid w:val="00705474"/>
    <w:rsid w:val="00705B46"/>
    <w:rsid w:val="007076B2"/>
    <w:rsid w:val="00711BBB"/>
    <w:rsid w:val="0071340A"/>
    <w:rsid w:val="00713FC7"/>
    <w:rsid w:val="00716FD1"/>
    <w:rsid w:val="00720D0F"/>
    <w:rsid w:val="007218A9"/>
    <w:rsid w:val="0072241C"/>
    <w:rsid w:val="007245A5"/>
    <w:rsid w:val="007314DD"/>
    <w:rsid w:val="00731628"/>
    <w:rsid w:val="00734108"/>
    <w:rsid w:val="007343AD"/>
    <w:rsid w:val="0073448D"/>
    <w:rsid w:val="00735087"/>
    <w:rsid w:val="00736FA0"/>
    <w:rsid w:val="0074053E"/>
    <w:rsid w:val="0075000E"/>
    <w:rsid w:val="00752156"/>
    <w:rsid w:val="00753A7A"/>
    <w:rsid w:val="00756E77"/>
    <w:rsid w:val="007577C2"/>
    <w:rsid w:val="0076038F"/>
    <w:rsid w:val="00760D77"/>
    <w:rsid w:val="007617E5"/>
    <w:rsid w:val="0077124E"/>
    <w:rsid w:val="00772FA7"/>
    <w:rsid w:val="0077578C"/>
    <w:rsid w:val="00781ACA"/>
    <w:rsid w:val="007823CF"/>
    <w:rsid w:val="00783E35"/>
    <w:rsid w:val="00784F67"/>
    <w:rsid w:val="00786754"/>
    <w:rsid w:val="00786D49"/>
    <w:rsid w:val="00787061"/>
    <w:rsid w:val="00790F0A"/>
    <w:rsid w:val="00790F5E"/>
    <w:rsid w:val="007927A6"/>
    <w:rsid w:val="00797F6E"/>
    <w:rsid w:val="007A1F4C"/>
    <w:rsid w:val="007A53F8"/>
    <w:rsid w:val="007B05BD"/>
    <w:rsid w:val="007B31A5"/>
    <w:rsid w:val="007B3327"/>
    <w:rsid w:val="007B3533"/>
    <w:rsid w:val="007B4996"/>
    <w:rsid w:val="007B6926"/>
    <w:rsid w:val="007B6FA3"/>
    <w:rsid w:val="007B705D"/>
    <w:rsid w:val="007C5764"/>
    <w:rsid w:val="007C61D0"/>
    <w:rsid w:val="007C6FAA"/>
    <w:rsid w:val="007C768F"/>
    <w:rsid w:val="007D251F"/>
    <w:rsid w:val="007D4FA2"/>
    <w:rsid w:val="007E0874"/>
    <w:rsid w:val="007E0FAD"/>
    <w:rsid w:val="007E60E9"/>
    <w:rsid w:val="007E63F3"/>
    <w:rsid w:val="007E6F5A"/>
    <w:rsid w:val="007F0916"/>
    <w:rsid w:val="007F1E7D"/>
    <w:rsid w:val="007F2A79"/>
    <w:rsid w:val="007F3026"/>
    <w:rsid w:val="007F42DD"/>
    <w:rsid w:val="007F4E0F"/>
    <w:rsid w:val="007F77CA"/>
    <w:rsid w:val="008011ED"/>
    <w:rsid w:val="00801636"/>
    <w:rsid w:val="00803935"/>
    <w:rsid w:val="008045D0"/>
    <w:rsid w:val="008059B8"/>
    <w:rsid w:val="00810333"/>
    <w:rsid w:val="0081415C"/>
    <w:rsid w:val="0081590D"/>
    <w:rsid w:val="00815E57"/>
    <w:rsid w:val="008166F5"/>
    <w:rsid w:val="0081677E"/>
    <w:rsid w:val="00817467"/>
    <w:rsid w:val="0082043E"/>
    <w:rsid w:val="00822905"/>
    <w:rsid w:val="0082299E"/>
    <w:rsid w:val="00827CD1"/>
    <w:rsid w:val="00832164"/>
    <w:rsid w:val="00832F53"/>
    <w:rsid w:val="00834003"/>
    <w:rsid w:val="0083455F"/>
    <w:rsid w:val="00834EA0"/>
    <w:rsid w:val="00843042"/>
    <w:rsid w:val="00843C37"/>
    <w:rsid w:val="00844886"/>
    <w:rsid w:val="00844C2D"/>
    <w:rsid w:val="00846D68"/>
    <w:rsid w:val="008518E5"/>
    <w:rsid w:val="00852B15"/>
    <w:rsid w:val="00856135"/>
    <w:rsid w:val="00857A96"/>
    <w:rsid w:val="00861FE5"/>
    <w:rsid w:val="0086376D"/>
    <w:rsid w:val="008703C2"/>
    <w:rsid w:val="0087209F"/>
    <w:rsid w:val="008806CC"/>
    <w:rsid w:val="008849E6"/>
    <w:rsid w:val="0088513E"/>
    <w:rsid w:val="00886300"/>
    <w:rsid w:val="0089099F"/>
    <w:rsid w:val="00890AAF"/>
    <w:rsid w:val="00892F7A"/>
    <w:rsid w:val="00894CEB"/>
    <w:rsid w:val="00896A62"/>
    <w:rsid w:val="00897B88"/>
    <w:rsid w:val="008A113D"/>
    <w:rsid w:val="008A678B"/>
    <w:rsid w:val="008B0034"/>
    <w:rsid w:val="008B0702"/>
    <w:rsid w:val="008B2397"/>
    <w:rsid w:val="008B33B5"/>
    <w:rsid w:val="008B3CD6"/>
    <w:rsid w:val="008B6003"/>
    <w:rsid w:val="008B691D"/>
    <w:rsid w:val="008C4D11"/>
    <w:rsid w:val="008D54FA"/>
    <w:rsid w:val="008D5C05"/>
    <w:rsid w:val="008D6490"/>
    <w:rsid w:val="008D6FFD"/>
    <w:rsid w:val="008E1191"/>
    <w:rsid w:val="008E342E"/>
    <w:rsid w:val="008E4D9C"/>
    <w:rsid w:val="008E566D"/>
    <w:rsid w:val="008E588C"/>
    <w:rsid w:val="008F52D9"/>
    <w:rsid w:val="008F6BC6"/>
    <w:rsid w:val="00902B4C"/>
    <w:rsid w:val="00903FC5"/>
    <w:rsid w:val="0090403F"/>
    <w:rsid w:val="009071FF"/>
    <w:rsid w:val="009108DB"/>
    <w:rsid w:val="009112EB"/>
    <w:rsid w:val="00913191"/>
    <w:rsid w:val="009131F2"/>
    <w:rsid w:val="00916431"/>
    <w:rsid w:val="00917DBE"/>
    <w:rsid w:val="0092605A"/>
    <w:rsid w:val="0092689A"/>
    <w:rsid w:val="0093228E"/>
    <w:rsid w:val="009325E1"/>
    <w:rsid w:val="00933602"/>
    <w:rsid w:val="009338B2"/>
    <w:rsid w:val="009351EF"/>
    <w:rsid w:val="0093698F"/>
    <w:rsid w:val="00940914"/>
    <w:rsid w:val="009409E8"/>
    <w:rsid w:val="00942250"/>
    <w:rsid w:val="00942706"/>
    <w:rsid w:val="00942E51"/>
    <w:rsid w:val="00946A6A"/>
    <w:rsid w:val="00947EB7"/>
    <w:rsid w:val="0095056B"/>
    <w:rsid w:val="00951FC3"/>
    <w:rsid w:val="009520BD"/>
    <w:rsid w:val="00952B29"/>
    <w:rsid w:val="00953DBA"/>
    <w:rsid w:val="00954137"/>
    <w:rsid w:val="00955882"/>
    <w:rsid w:val="00955ABF"/>
    <w:rsid w:val="00956F74"/>
    <w:rsid w:val="00956F84"/>
    <w:rsid w:val="009575A0"/>
    <w:rsid w:val="00957C6C"/>
    <w:rsid w:val="00960AA2"/>
    <w:rsid w:val="009649DC"/>
    <w:rsid w:val="00966EB2"/>
    <w:rsid w:val="00970C67"/>
    <w:rsid w:val="00974456"/>
    <w:rsid w:val="00991483"/>
    <w:rsid w:val="0099296D"/>
    <w:rsid w:val="009935AA"/>
    <w:rsid w:val="00993F94"/>
    <w:rsid w:val="009951B2"/>
    <w:rsid w:val="009A039C"/>
    <w:rsid w:val="009A2859"/>
    <w:rsid w:val="009A4E90"/>
    <w:rsid w:val="009A50B8"/>
    <w:rsid w:val="009A737B"/>
    <w:rsid w:val="009B1823"/>
    <w:rsid w:val="009B406F"/>
    <w:rsid w:val="009B443A"/>
    <w:rsid w:val="009B4D09"/>
    <w:rsid w:val="009B6DD1"/>
    <w:rsid w:val="009C1332"/>
    <w:rsid w:val="009C4A4F"/>
    <w:rsid w:val="009C6D34"/>
    <w:rsid w:val="009D2E97"/>
    <w:rsid w:val="009D328E"/>
    <w:rsid w:val="009D3438"/>
    <w:rsid w:val="009D3B88"/>
    <w:rsid w:val="009D40B6"/>
    <w:rsid w:val="009D4D3A"/>
    <w:rsid w:val="009D7AD4"/>
    <w:rsid w:val="009E1231"/>
    <w:rsid w:val="009E1A57"/>
    <w:rsid w:val="009E36CA"/>
    <w:rsid w:val="009E4B6B"/>
    <w:rsid w:val="009E6470"/>
    <w:rsid w:val="009E7175"/>
    <w:rsid w:val="009F08CB"/>
    <w:rsid w:val="009F1E5E"/>
    <w:rsid w:val="009F497B"/>
    <w:rsid w:val="009F5331"/>
    <w:rsid w:val="009F6453"/>
    <w:rsid w:val="009F6AD6"/>
    <w:rsid w:val="009F6F30"/>
    <w:rsid w:val="009F7BFB"/>
    <w:rsid w:val="00A0081F"/>
    <w:rsid w:val="00A01B61"/>
    <w:rsid w:val="00A03BCB"/>
    <w:rsid w:val="00A048F3"/>
    <w:rsid w:val="00A04CA6"/>
    <w:rsid w:val="00A052DD"/>
    <w:rsid w:val="00A06E6F"/>
    <w:rsid w:val="00A12A49"/>
    <w:rsid w:val="00A135C4"/>
    <w:rsid w:val="00A13CB5"/>
    <w:rsid w:val="00A13FEC"/>
    <w:rsid w:val="00A200C3"/>
    <w:rsid w:val="00A21103"/>
    <w:rsid w:val="00A21E3C"/>
    <w:rsid w:val="00A23419"/>
    <w:rsid w:val="00A24BBD"/>
    <w:rsid w:val="00A26D62"/>
    <w:rsid w:val="00A27D2E"/>
    <w:rsid w:val="00A30D78"/>
    <w:rsid w:val="00A31032"/>
    <w:rsid w:val="00A31CCF"/>
    <w:rsid w:val="00A32598"/>
    <w:rsid w:val="00A33EF8"/>
    <w:rsid w:val="00A3432E"/>
    <w:rsid w:val="00A40DFB"/>
    <w:rsid w:val="00A435BF"/>
    <w:rsid w:val="00A448B0"/>
    <w:rsid w:val="00A46981"/>
    <w:rsid w:val="00A5210B"/>
    <w:rsid w:val="00A524EC"/>
    <w:rsid w:val="00A52F4A"/>
    <w:rsid w:val="00A531D6"/>
    <w:rsid w:val="00A54346"/>
    <w:rsid w:val="00A55211"/>
    <w:rsid w:val="00A569C9"/>
    <w:rsid w:val="00A57E0C"/>
    <w:rsid w:val="00A6039D"/>
    <w:rsid w:val="00A631B5"/>
    <w:rsid w:val="00A63351"/>
    <w:rsid w:val="00A6487D"/>
    <w:rsid w:val="00A65DF5"/>
    <w:rsid w:val="00A66D3E"/>
    <w:rsid w:val="00A676CE"/>
    <w:rsid w:val="00A7001C"/>
    <w:rsid w:val="00A70A43"/>
    <w:rsid w:val="00A75807"/>
    <w:rsid w:val="00A77913"/>
    <w:rsid w:val="00A8209D"/>
    <w:rsid w:val="00A82740"/>
    <w:rsid w:val="00A860C9"/>
    <w:rsid w:val="00A9137F"/>
    <w:rsid w:val="00A9483B"/>
    <w:rsid w:val="00A94F2C"/>
    <w:rsid w:val="00A972E1"/>
    <w:rsid w:val="00AA3F8C"/>
    <w:rsid w:val="00AA6E6B"/>
    <w:rsid w:val="00AB3052"/>
    <w:rsid w:val="00AB4248"/>
    <w:rsid w:val="00AB4520"/>
    <w:rsid w:val="00AB572D"/>
    <w:rsid w:val="00AB5A86"/>
    <w:rsid w:val="00AB6170"/>
    <w:rsid w:val="00AB707C"/>
    <w:rsid w:val="00AC0B37"/>
    <w:rsid w:val="00AC2185"/>
    <w:rsid w:val="00AC3068"/>
    <w:rsid w:val="00AC3C48"/>
    <w:rsid w:val="00AC4067"/>
    <w:rsid w:val="00AC53DF"/>
    <w:rsid w:val="00AC54F8"/>
    <w:rsid w:val="00AC692A"/>
    <w:rsid w:val="00AD0F08"/>
    <w:rsid w:val="00AD1585"/>
    <w:rsid w:val="00AD1747"/>
    <w:rsid w:val="00AD235B"/>
    <w:rsid w:val="00AD560B"/>
    <w:rsid w:val="00AD5BBB"/>
    <w:rsid w:val="00AE02B5"/>
    <w:rsid w:val="00AE0494"/>
    <w:rsid w:val="00AE0B28"/>
    <w:rsid w:val="00AE0C8D"/>
    <w:rsid w:val="00AE0D50"/>
    <w:rsid w:val="00AE1947"/>
    <w:rsid w:val="00AE242E"/>
    <w:rsid w:val="00AE2D8E"/>
    <w:rsid w:val="00AE4C9F"/>
    <w:rsid w:val="00AE7A40"/>
    <w:rsid w:val="00AE7EF9"/>
    <w:rsid w:val="00AF4A88"/>
    <w:rsid w:val="00AF60FC"/>
    <w:rsid w:val="00AF619D"/>
    <w:rsid w:val="00B01A75"/>
    <w:rsid w:val="00B02D39"/>
    <w:rsid w:val="00B03711"/>
    <w:rsid w:val="00B03B6B"/>
    <w:rsid w:val="00B04CC3"/>
    <w:rsid w:val="00B17DE2"/>
    <w:rsid w:val="00B2096A"/>
    <w:rsid w:val="00B20E8D"/>
    <w:rsid w:val="00B32541"/>
    <w:rsid w:val="00B3267F"/>
    <w:rsid w:val="00B35F87"/>
    <w:rsid w:val="00B379DA"/>
    <w:rsid w:val="00B37A67"/>
    <w:rsid w:val="00B41203"/>
    <w:rsid w:val="00B41500"/>
    <w:rsid w:val="00B5297F"/>
    <w:rsid w:val="00B52E16"/>
    <w:rsid w:val="00B53812"/>
    <w:rsid w:val="00B53C36"/>
    <w:rsid w:val="00B623DA"/>
    <w:rsid w:val="00B62736"/>
    <w:rsid w:val="00B62A71"/>
    <w:rsid w:val="00B62EF9"/>
    <w:rsid w:val="00B630C6"/>
    <w:rsid w:val="00B65DC0"/>
    <w:rsid w:val="00B67C2D"/>
    <w:rsid w:val="00B70D91"/>
    <w:rsid w:val="00B72FA0"/>
    <w:rsid w:val="00B73209"/>
    <w:rsid w:val="00B7708B"/>
    <w:rsid w:val="00B7721B"/>
    <w:rsid w:val="00B80E25"/>
    <w:rsid w:val="00B8347E"/>
    <w:rsid w:val="00B84B4A"/>
    <w:rsid w:val="00B8589C"/>
    <w:rsid w:val="00B86BAC"/>
    <w:rsid w:val="00B97B35"/>
    <w:rsid w:val="00BA3196"/>
    <w:rsid w:val="00BA3509"/>
    <w:rsid w:val="00BA5877"/>
    <w:rsid w:val="00BB124C"/>
    <w:rsid w:val="00BB17E3"/>
    <w:rsid w:val="00BB1CDB"/>
    <w:rsid w:val="00BB2110"/>
    <w:rsid w:val="00BB3645"/>
    <w:rsid w:val="00BB547E"/>
    <w:rsid w:val="00BB69B7"/>
    <w:rsid w:val="00BC2581"/>
    <w:rsid w:val="00BC3F55"/>
    <w:rsid w:val="00BC481A"/>
    <w:rsid w:val="00BC4D26"/>
    <w:rsid w:val="00BC555D"/>
    <w:rsid w:val="00BC658E"/>
    <w:rsid w:val="00BD0218"/>
    <w:rsid w:val="00BD1869"/>
    <w:rsid w:val="00BD200B"/>
    <w:rsid w:val="00BD63DF"/>
    <w:rsid w:val="00BD64D4"/>
    <w:rsid w:val="00BD7C4B"/>
    <w:rsid w:val="00BE33E8"/>
    <w:rsid w:val="00BF2BEB"/>
    <w:rsid w:val="00BF3197"/>
    <w:rsid w:val="00BF5E23"/>
    <w:rsid w:val="00BF6AD1"/>
    <w:rsid w:val="00C01DB8"/>
    <w:rsid w:val="00C0300F"/>
    <w:rsid w:val="00C04C13"/>
    <w:rsid w:val="00C0523E"/>
    <w:rsid w:val="00C06C3C"/>
    <w:rsid w:val="00C0751C"/>
    <w:rsid w:val="00C07D81"/>
    <w:rsid w:val="00C07F14"/>
    <w:rsid w:val="00C11B64"/>
    <w:rsid w:val="00C1218B"/>
    <w:rsid w:val="00C12B6B"/>
    <w:rsid w:val="00C135F1"/>
    <w:rsid w:val="00C140D0"/>
    <w:rsid w:val="00C14775"/>
    <w:rsid w:val="00C150A5"/>
    <w:rsid w:val="00C22B21"/>
    <w:rsid w:val="00C23593"/>
    <w:rsid w:val="00C23845"/>
    <w:rsid w:val="00C31846"/>
    <w:rsid w:val="00C32A33"/>
    <w:rsid w:val="00C367FB"/>
    <w:rsid w:val="00C41389"/>
    <w:rsid w:val="00C41BB7"/>
    <w:rsid w:val="00C42379"/>
    <w:rsid w:val="00C44004"/>
    <w:rsid w:val="00C445F4"/>
    <w:rsid w:val="00C54DF3"/>
    <w:rsid w:val="00C610B6"/>
    <w:rsid w:val="00C6257F"/>
    <w:rsid w:val="00C63117"/>
    <w:rsid w:val="00C640C7"/>
    <w:rsid w:val="00C65784"/>
    <w:rsid w:val="00C67BDD"/>
    <w:rsid w:val="00C70F24"/>
    <w:rsid w:val="00C717F6"/>
    <w:rsid w:val="00C72FD7"/>
    <w:rsid w:val="00C8155C"/>
    <w:rsid w:val="00C907F0"/>
    <w:rsid w:val="00C93A91"/>
    <w:rsid w:val="00C95601"/>
    <w:rsid w:val="00CA1947"/>
    <w:rsid w:val="00CA1C91"/>
    <w:rsid w:val="00CA323D"/>
    <w:rsid w:val="00CA54A0"/>
    <w:rsid w:val="00CB5515"/>
    <w:rsid w:val="00CB76EF"/>
    <w:rsid w:val="00CB7840"/>
    <w:rsid w:val="00CC0E24"/>
    <w:rsid w:val="00CC2390"/>
    <w:rsid w:val="00CC34E2"/>
    <w:rsid w:val="00CC4A5C"/>
    <w:rsid w:val="00CC5BB7"/>
    <w:rsid w:val="00CC5F62"/>
    <w:rsid w:val="00CC69B4"/>
    <w:rsid w:val="00CC6D17"/>
    <w:rsid w:val="00CC7102"/>
    <w:rsid w:val="00CC7CF3"/>
    <w:rsid w:val="00CD1E85"/>
    <w:rsid w:val="00CD3AEA"/>
    <w:rsid w:val="00CD3C32"/>
    <w:rsid w:val="00CD4235"/>
    <w:rsid w:val="00CD56D7"/>
    <w:rsid w:val="00CD57FC"/>
    <w:rsid w:val="00CD632A"/>
    <w:rsid w:val="00CE0B6D"/>
    <w:rsid w:val="00CE127E"/>
    <w:rsid w:val="00CE1C10"/>
    <w:rsid w:val="00CE217C"/>
    <w:rsid w:val="00CE4AE9"/>
    <w:rsid w:val="00CF0B17"/>
    <w:rsid w:val="00CF41D0"/>
    <w:rsid w:val="00D00CF9"/>
    <w:rsid w:val="00D012FF"/>
    <w:rsid w:val="00D04CD8"/>
    <w:rsid w:val="00D04DEC"/>
    <w:rsid w:val="00D114ED"/>
    <w:rsid w:val="00D1261E"/>
    <w:rsid w:val="00D13F32"/>
    <w:rsid w:val="00D14B5E"/>
    <w:rsid w:val="00D1685E"/>
    <w:rsid w:val="00D171BA"/>
    <w:rsid w:val="00D25B74"/>
    <w:rsid w:val="00D25CA1"/>
    <w:rsid w:val="00D31474"/>
    <w:rsid w:val="00D32933"/>
    <w:rsid w:val="00D3579F"/>
    <w:rsid w:val="00D36B62"/>
    <w:rsid w:val="00D37BF5"/>
    <w:rsid w:val="00D421A7"/>
    <w:rsid w:val="00D42987"/>
    <w:rsid w:val="00D42C18"/>
    <w:rsid w:val="00D43F5E"/>
    <w:rsid w:val="00D44623"/>
    <w:rsid w:val="00D47CF6"/>
    <w:rsid w:val="00D50820"/>
    <w:rsid w:val="00D511C3"/>
    <w:rsid w:val="00D5481D"/>
    <w:rsid w:val="00D55B2D"/>
    <w:rsid w:val="00D60045"/>
    <w:rsid w:val="00D628AE"/>
    <w:rsid w:val="00D647C9"/>
    <w:rsid w:val="00D6632B"/>
    <w:rsid w:val="00D67995"/>
    <w:rsid w:val="00D7163F"/>
    <w:rsid w:val="00D7298C"/>
    <w:rsid w:val="00D73998"/>
    <w:rsid w:val="00D76FD9"/>
    <w:rsid w:val="00D800BD"/>
    <w:rsid w:val="00D816C8"/>
    <w:rsid w:val="00D81BC5"/>
    <w:rsid w:val="00D827CE"/>
    <w:rsid w:val="00D84DEB"/>
    <w:rsid w:val="00D877A6"/>
    <w:rsid w:val="00D904D9"/>
    <w:rsid w:val="00D946F0"/>
    <w:rsid w:val="00D95156"/>
    <w:rsid w:val="00D95BD9"/>
    <w:rsid w:val="00D95DC3"/>
    <w:rsid w:val="00D96A46"/>
    <w:rsid w:val="00D96A67"/>
    <w:rsid w:val="00DA12D5"/>
    <w:rsid w:val="00DA3326"/>
    <w:rsid w:val="00DA3644"/>
    <w:rsid w:val="00DA3FCB"/>
    <w:rsid w:val="00DA630F"/>
    <w:rsid w:val="00DA6A38"/>
    <w:rsid w:val="00DA6B30"/>
    <w:rsid w:val="00DA7040"/>
    <w:rsid w:val="00DB07B5"/>
    <w:rsid w:val="00DB07F9"/>
    <w:rsid w:val="00DB3CAF"/>
    <w:rsid w:val="00DB4966"/>
    <w:rsid w:val="00DC1386"/>
    <w:rsid w:val="00DC7A46"/>
    <w:rsid w:val="00DD0F54"/>
    <w:rsid w:val="00DD4F7A"/>
    <w:rsid w:val="00DD5050"/>
    <w:rsid w:val="00DD5306"/>
    <w:rsid w:val="00DD5903"/>
    <w:rsid w:val="00DD5E1E"/>
    <w:rsid w:val="00DE229B"/>
    <w:rsid w:val="00DE3A2B"/>
    <w:rsid w:val="00DE4A81"/>
    <w:rsid w:val="00DE7AB8"/>
    <w:rsid w:val="00DF3188"/>
    <w:rsid w:val="00DF5529"/>
    <w:rsid w:val="00DF6DE8"/>
    <w:rsid w:val="00DF6FB0"/>
    <w:rsid w:val="00DF76B3"/>
    <w:rsid w:val="00DF76F2"/>
    <w:rsid w:val="00E00083"/>
    <w:rsid w:val="00E009E2"/>
    <w:rsid w:val="00E01DE7"/>
    <w:rsid w:val="00E0411F"/>
    <w:rsid w:val="00E0572E"/>
    <w:rsid w:val="00E10005"/>
    <w:rsid w:val="00E1238E"/>
    <w:rsid w:val="00E124B9"/>
    <w:rsid w:val="00E13F21"/>
    <w:rsid w:val="00E1612B"/>
    <w:rsid w:val="00E17515"/>
    <w:rsid w:val="00E20591"/>
    <w:rsid w:val="00E22766"/>
    <w:rsid w:val="00E2572E"/>
    <w:rsid w:val="00E2692D"/>
    <w:rsid w:val="00E271C2"/>
    <w:rsid w:val="00E27AC2"/>
    <w:rsid w:val="00E30031"/>
    <w:rsid w:val="00E329A6"/>
    <w:rsid w:val="00E34CB5"/>
    <w:rsid w:val="00E36419"/>
    <w:rsid w:val="00E37789"/>
    <w:rsid w:val="00E42265"/>
    <w:rsid w:val="00E45DAA"/>
    <w:rsid w:val="00E46560"/>
    <w:rsid w:val="00E47307"/>
    <w:rsid w:val="00E47601"/>
    <w:rsid w:val="00E50DB1"/>
    <w:rsid w:val="00E51053"/>
    <w:rsid w:val="00E51A6B"/>
    <w:rsid w:val="00E51A9F"/>
    <w:rsid w:val="00E52CA8"/>
    <w:rsid w:val="00E550CE"/>
    <w:rsid w:val="00E60B86"/>
    <w:rsid w:val="00E62E45"/>
    <w:rsid w:val="00E62F7D"/>
    <w:rsid w:val="00E700B8"/>
    <w:rsid w:val="00E702B9"/>
    <w:rsid w:val="00E70588"/>
    <w:rsid w:val="00E75FA1"/>
    <w:rsid w:val="00E76419"/>
    <w:rsid w:val="00E77787"/>
    <w:rsid w:val="00E77CD7"/>
    <w:rsid w:val="00E82017"/>
    <w:rsid w:val="00E82792"/>
    <w:rsid w:val="00E844D7"/>
    <w:rsid w:val="00E92E9D"/>
    <w:rsid w:val="00E93B3C"/>
    <w:rsid w:val="00E96A7F"/>
    <w:rsid w:val="00EA031A"/>
    <w:rsid w:val="00EA0CE9"/>
    <w:rsid w:val="00EA1A40"/>
    <w:rsid w:val="00EA330D"/>
    <w:rsid w:val="00EA5190"/>
    <w:rsid w:val="00EA5F4C"/>
    <w:rsid w:val="00EA6109"/>
    <w:rsid w:val="00EB2688"/>
    <w:rsid w:val="00EB6181"/>
    <w:rsid w:val="00EB664F"/>
    <w:rsid w:val="00EB7E37"/>
    <w:rsid w:val="00EC12E8"/>
    <w:rsid w:val="00EC1357"/>
    <w:rsid w:val="00EC5ACF"/>
    <w:rsid w:val="00EC60B5"/>
    <w:rsid w:val="00ED22A8"/>
    <w:rsid w:val="00ED2479"/>
    <w:rsid w:val="00ED4EB4"/>
    <w:rsid w:val="00ED5D09"/>
    <w:rsid w:val="00ED7107"/>
    <w:rsid w:val="00EE2221"/>
    <w:rsid w:val="00EE276F"/>
    <w:rsid w:val="00EE2982"/>
    <w:rsid w:val="00EE634F"/>
    <w:rsid w:val="00EF369D"/>
    <w:rsid w:val="00EF38A7"/>
    <w:rsid w:val="00EF6A39"/>
    <w:rsid w:val="00F00B38"/>
    <w:rsid w:val="00F0376E"/>
    <w:rsid w:val="00F044B3"/>
    <w:rsid w:val="00F05E83"/>
    <w:rsid w:val="00F07DC4"/>
    <w:rsid w:val="00F07E05"/>
    <w:rsid w:val="00F10842"/>
    <w:rsid w:val="00F13C42"/>
    <w:rsid w:val="00F161F7"/>
    <w:rsid w:val="00F206E8"/>
    <w:rsid w:val="00F21755"/>
    <w:rsid w:val="00F21F2E"/>
    <w:rsid w:val="00F23947"/>
    <w:rsid w:val="00F23B61"/>
    <w:rsid w:val="00F276F1"/>
    <w:rsid w:val="00F32680"/>
    <w:rsid w:val="00F33A66"/>
    <w:rsid w:val="00F34368"/>
    <w:rsid w:val="00F34E5A"/>
    <w:rsid w:val="00F35452"/>
    <w:rsid w:val="00F45532"/>
    <w:rsid w:val="00F45ED2"/>
    <w:rsid w:val="00F53C4F"/>
    <w:rsid w:val="00F56A51"/>
    <w:rsid w:val="00F61899"/>
    <w:rsid w:val="00F66CD4"/>
    <w:rsid w:val="00F66E01"/>
    <w:rsid w:val="00F7129A"/>
    <w:rsid w:val="00F7180D"/>
    <w:rsid w:val="00F727A7"/>
    <w:rsid w:val="00F729D7"/>
    <w:rsid w:val="00F774CD"/>
    <w:rsid w:val="00F80F59"/>
    <w:rsid w:val="00F82E69"/>
    <w:rsid w:val="00F8414D"/>
    <w:rsid w:val="00F84181"/>
    <w:rsid w:val="00F84C5D"/>
    <w:rsid w:val="00F86271"/>
    <w:rsid w:val="00F87176"/>
    <w:rsid w:val="00F87303"/>
    <w:rsid w:val="00F91287"/>
    <w:rsid w:val="00F917FA"/>
    <w:rsid w:val="00F91B28"/>
    <w:rsid w:val="00F91DA0"/>
    <w:rsid w:val="00F9306F"/>
    <w:rsid w:val="00F94B4E"/>
    <w:rsid w:val="00F978B7"/>
    <w:rsid w:val="00FA2FCD"/>
    <w:rsid w:val="00FA3FA8"/>
    <w:rsid w:val="00FA4718"/>
    <w:rsid w:val="00FA6E64"/>
    <w:rsid w:val="00FB1DCD"/>
    <w:rsid w:val="00FB2F0E"/>
    <w:rsid w:val="00FB31CC"/>
    <w:rsid w:val="00FC05EE"/>
    <w:rsid w:val="00FC2EC6"/>
    <w:rsid w:val="00FC339A"/>
    <w:rsid w:val="00FC36E0"/>
    <w:rsid w:val="00FC546F"/>
    <w:rsid w:val="00FC6F5E"/>
    <w:rsid w:val="00FC711A"/>
    <w:rsid w:val="00FC7D31"/>
    <w:rsid w:val="00FD13AC"/>
    <w:rsid w:val="00FD2D28"/>
    <w:rsid w:val="00FD6BFE"/>
    <w:rsid w:val="00FE3FF3"/>
    <w:rsid w:val="00FE6D8B"/>
    <w:rsid w:val="00FF459F"/>
    <w:rsid w:val="00FF4D4F"/>
    <w:rsid w:val="1A113708"/>
    <w:rsid w:val="4D8212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6"/>
    <o:shapelayout v:ext="edit">
      <o:idmap v:ext="edit" data="3"/>
    </o:shapelayout>
  </w:shapeDefaults>
  <w:decimalSymbol w:val="."/>
  <w:listSeparator w:val=","/>
  <w15:docId w15:val="{3E74F9AB-0EA6-4934-8046-41B8C7F473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iPriority="0"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paragraph" w:styleId="1">
    <w:name w:val="heading 1"/>
    <w:basedOn w:val="a"/>
    <w:next w:val="a"/>
    <w:link w:val="1Char"/>
    <w:uiPriority w:val="9"/>
    <w:qFormat/>
    <w:pPr>
      <w:keepNext/>
      <w:keepLines/>
      <w:spacing w:beforeLines="100" w:before="100" w:afterLines="100" w:after="100" w:line="360" w:lineRule="auto"/>
      <w:jc w:val="center"/>
      <w:outlineLvl w:val="0"/>
    </w:pPr>
    <w:rPr>
      <w:b/>
      <w:bCs/>
      <w:kern w:val="44"/>
      <w:sz w:val="28"/>
      <w:szCs w:val="44"/>
    </w:rPr>
  </w:style>
  <w:style w:type="paragraph" w:styleId="2">
    <w:name w:val="heading 2"/>
    <w:basedOn w:val="a"/>
    <w:next w:val="a"/>
    <w:link w:val="2Char"/>
    <w:uiPriority w:val="9"/>
    <w:unhideWhenUsed/>
    <w:qFormat/>
    <w:pPr>
      <w:keepNext/>
      <w:keepLines/>
      <w:spacing w:before="260" w:after="260" w:line="416" w:lineRule="auto"/>
      <w:outlineLvl w:val="1"/>
    </w:pPr>
    <w:rPr>
      <w:rFonts w:ascii="Cambria" w:hAnsi="Cambria"/>
      <w:b/>
      <w:bCs/>
      <w:sz w:val="32"/>
      <w:szCs w:val="32"/>
    </w:rPr>
  </w:style>
  <w:style w:type="paragraph" w:styleId="4">
    <w:name w:val="heading 4"/>
    <w:basedOn w:val="a"/>
    <w:next w:val="a"/>
    <w:link w:val="4Char"/>
    <w:uiPriority w:val="9"/>
    <w:unhideWhenUsed/>
    <w:qFormat/>
    <w:pPr>
      <w:keepNext/>
      <w:keepLines/>
      <w:spacing w:before="280" w:after="290" w:line="376" w:lineRule="auto"/>
      <w:outlineLvl w:val="3"/>
    </w:pPr>
    <w:rPr>
      <w:rFonts w:ascii="Cambria" w:hAnsi="Cambria"/>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pPr>
      <w:pBdr>
        <w:bottom w:val="single" w:sz="6" w:space="1" w:color="auto"/>
      </w:pBdr>
      <w:tabs>
        <w:tab w:val="center" w:pos="4153"/>
        <w:tab w:val="right" w:pos="8306"/>
      </w:tabs>
      <w:snapToGrid w:val="0"/>
      <w:jc w:val="center"/>
    </w:pPr>
    <w:rPr>
      <w:kern w:val="0"/>
      <w:sz w:val="18"/>
      <w:szCs w:val="18"/>
    </w:rPr>
  </w:style>
  <w:style w:type="paragraph" w:styleId="a4">
    <w:name w:val="annotation subject"/>
    <w:basedOn w:val="a5"/>
    <w:next w:val="a5"/>
    <w:link w:val="Char0"/>
    <w:uiPriority w:val="99"/>
    <w:unhideWhenUsed/>
    <w:rPr>
      <w:b/>
      <w:bCs/>
    </w:rPr>
  </w:style>
  <w:style w:type="paragraph" w:styleId="a5">
    <w:name w:val="annotation text"/>
    <w:basedOn w:val="a"/>
    <w:link w:val="Char1"/>
    <w:unhideWhenUsed/>
    <w:pPr>
      <w:jc w:val="left"/>
    </w:pPr>
  </w:style>
  <w:style w:type="paragraph" w:styleId="a6">
    <w:name w:val="Document Map"/>
    <w:basedOn w:val="a"/>
    <w:link w:val="Char2"/>
    <w:uiPriority w:val="99"/>
    <w:unhideWhenUsed/>
    <w:rPr>
      <w:rFonts w:ascii="宋体"/>
      <w:sz w:val="18"/>
      <w:szCs w:val="18"/>
    </w:rPr>
  </w:style>
  <w:style w:type="paragraph" w:styleId="a7">
    <w:name w:val="Balloon Text"/>
    <w:basedOn w:val="a"/>
    <w:semiHidden/>
    <w:rPr>
      <w:sz w:val="18"/>
      <w:szCs w:val="18"/>
    </w:rPr>
  </w:style>
  <w:style w:type="paragraph" w:styleId="a8">
    <w:name w:val="footer"/>
    <w:basedOn w:val="a"/>
    <w:link w:val="Char3"/>
    <w:uiPriority w:val="99"/>
    <w:unhideWhenUsed/>
    <w:pPr>
      <w:tabs>
        <w:tab w:val="center" w:pos="4153"/>
        <w:tab w:val="right" w:pos="8306"/>
      </w:tabs>
      <w:snapToGrid w:val="0"/>
      <w:jc w:val="left"/>
    </w:pPr>
    <w:rPr>
      <w:kern w:val="0"/>
      <w:sz w:val="18"/>
      <w:szCs w:val="18"/>
    </w:rPr>
  </w:style>
  <w:style w:type="paragraph" w:styleId="10">
    <w:name w:val="toc 1"/>
    <w:basedOn w:val="a"/>
    <w:next w:val="a"/>
    <w:uiPriority w:val="39"/>
    <w:unhideWhenUsed/>
  </w:style>
  <w:style w:type="paragraph" w:styleId="a9">
    <w:name w:val="Subtitle"/>
    <w:basedOn w:val="a"/>
    <w:next w:val="a"/>
    <w:link w:val="Char4"/>
    <w:qFormat/>
    <w:pPr>
      <w:spacing w:before="240" w:after="60" w:line="312" w:lineRule="auto"/>
      <w:jc w:val="center"/>
      <w:outlineLvl w:val="1"/>
    </w:pPr>
    <w:rPr>
      <w:rFonts w:ascii="Cambria" w:hAnsi="Cambria"/>
      <w:b/>
      <w:bCs/>
      <w:kern w:val="28"/>
      <w:sz w:val="32"/>
      <w:szCs w:val="32"/>
    </w:rPr>
  </w:style>
  <w:style w:type="paragraph" w:styleId="20">
    <w:name w:val="toc 2"/>
    <w:basedOn w:val="a"/>
    <w:next w:val="a"/>
    <w:uiPriority w:val="39"/>
    <w:unhideWhenUsed/>
    <w:pPr>
      <w:ind w:leftChars="200" w:left="480"/>
    </w:pPr>
  </w:style>
  <w:style w:type="character" w:styleId="aa">
    <w:name w:val="Hyperlink"/>
    <w:uiPriority w:val="99"/>
    <w:unhideWhenUsed/>
    <w:rPr>
      <w:color w:val="0000FF"/>
      <w:u w:val="single"/>
    </w:rPr>
  </w:style>
  <w:style w:type="character" w:styleId="ab">
    <w:name w:val="annotation reference"/>
    <w:unhideWhenUsed/>
    <w:rPr>
      <w:sz w:val="21"/>
      <w:szCs w:val="21"/>
    </w:rPr>
  </w:style>
  <w:style w:type="table" w:styleId="ac">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5">
    <w:name w:val="Light Shading Accent 5"/>
    <w:basedOn w:val="a1"/>
    <w:uiPriority w:val="60"/>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la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2EAF1"/>
      </w:tcPr>
    </w:tblStylePr>
    <w:tblStylePr w:type="band1Horz">
      <w:tblPr/>
      <w:tcPr>
        <w:tcBorders>
          <w:top w:val="nil"/>
          <w:left w:val="nil"/>
          <w:bottom w:val="nil"/>
          <w:right w:val="nil"/>
          <w:insideH w:val="nil"/>
          <w:insideV w:val="nil"/>
          <w:tl2br w:val="nil"/>
          <w:tr2bl w:val="nil"/>
        </w:tcBorders>
        <w:shd w:val="clear" w:color="auto" w:fill="D2EAF1"/>
      </w:tcPr>
    </w:tblStylePr>
  </w:style>
  <w:style w:type="paragraph" w:customStyle="1" w:styleId="ad">
    <w:basedOn w:val="1"/>
    <w:next w:val="a"/>
    <w:uiPriority w:val="39"/>
    <w:qFormat/>
    <w:pPr>
      <w:widowControl/>
      <w:spacing w:beforeLines="0" w:before="480" w:line="276" w:lineRule="auto"/>
      <w:jc w:val="left"/>
      <w:outlineLvl w:val="9"/>
    </w:pPr>
    <w:rPr>
      <w:rFonts w:ascii="Cambria" w:hAnsi="Cambria"/>
      <w:color w:val="365F91"/>
      <w:kern w:val="0"/>
      <w:szCs w:val="28"/>
    </w:rPr>
  </w:style>
  <w:style w:type="paragraph" w:customStyle="1" w:styleId="XBRLTitle6">
    <w:name w:val="XBRLTitle6"/>
    <w:basedOn w:val="a9"/>
    <w:next w:val="4"/>
    <w:qFormat/>
    <w:pPr>
      <w:keepNext/>
      <w:keepLines/>
      <w:numPr>
        <w:ilvl w:val="5"/>
        <w:numId w:val="1"/>
      </w:numPr>
      <w:ind w:left="0" w:firstLine="0"/>
      <w:jc w:val="left"/>
    </w:pPr>
    <w:rPr>
      <w:bCs w:val="0"/>
      <w:sz w:val="24"/>
    </w:rPr>
  </w:style>
  <w:style w:type="paragraph" w:customStyle="1" w:styleId="ae">
    <w:uiPriority w:val="99"/>
    <w:semiHidden/>
    <w:rPr>
      <w:kern w:val="2"/>
      <w:sz w:val="21"/>
      <w:szCs w:val="22"/>
    </w:rPr>
  </w:style>
  <w:style w:type="paragraph" w:customStyle="1" w:styleId="Default">
    <w:name w:val="Default"/>
    <w:pPr>
      <w:widowControl w:val="0"/>
      <w:autoSpaceDE w:val="0"/>
      <w:autoSpaceDN w:val="0"/>
      <w:adjustRightInd w:val="0"/>
    </w:pPr>
    <w:rPr>
      <w:rFonts w:ascii="宋体" w:cs="宋体"/>
      <w:color w:val="000000"/>
      <w:sz w:val="24"/>
      <w:szCs w:val="24"/>
    </w:rPr>
  </w:style>
  <w:style w:type="paragraph" w:customStyle="1" w:styleId="XBRLTitle1">
    <w:name w:val="XBRLTitle1"/>
    <w:basedOn w:val="1"/>
    <w:next w:val="2"/>
    <w:qFormat/>
    <w:pPr>
      <w:numPr>
        <w:numId w:val="1"/>
      </w:numPr>
      <w:spacing w:beforeLines="50" w:before="340" w:afterLines="50" w:after="330" w:line="240" w:lineRule="auto"/>
    </w:pPr>
    <w:rPr>
      <w:rFonts w:ascii="Cambria" w:hAnsi="Cambria"/>
    </w:rPr>
  </w:style>
  <w:style w:type="paragraph" w:customStyle="1" w:styleId="XBRLTitle2">
    <w:name w:val="XBRLTitle2"/>
    <w:basedOn w:val="a9"/>
    <w:next w:val="4"/>
    <w:qFormat/>
    <w:pPr>
      <w:keepNext/>
      <w:keepLines/>
      <w:numPr>
        <w:ilvl w:val="1"/>
        <w:numId w:val="1"/>
      </w:numPr>
      <w:jc w:val="left"/>
    </w:pPr>
    <w:rPr>
      <w:bCs w:val="0"/>
      <w:sz w:val="24"/>
    </w:rPr>
  </w:style>
  <w:style w:type="paragraph" w:customStyle="1" w:styleId="XBRLTitle3">
    <w:name w:val="XBRLTitle3"/>
    <w:basedOn w:val="a9"/>
    <w:next w:val="4"/>
    <w:qFormat/>
    <w:pPr>
      <w:keepNext/>
      <w:keepLines/>
      <w:numPr>
        <w:ilvl w:val="2"/>
        <w:numId w:val="1"/>
      </w:numPr>
      <w:ind w:left="0" w:firstLine="0"/>
      <w:jc w:val="left"/>
    </w:pPr>
    <w:rPr>
      <w:bCs w:val="0"/>
      <w:sz w:val="24"/>
    </w:rPr>
  </w:style>
  <w:style w:type="paragraph" w:customStyle="1" w:styleId="XBRLTitle5">
    <w:name w:val="XBRLTitle5"/>
    <w:basedOn w:val="a9"/>
    <w:next w:val="4"/>
    <w:qFormat/>
    <w:pPr>
      <w:keepNext/>
      <w:keepLines/>
      <w:numPr>
        <w:ilvl w:val="4"/>
        <w:numId w:val="1"/>
      </w:numPr>
      <w:ind w:left="0" w:firstLine="0"/>
      <w:jc w:val="left"/>
    </w:pPr>
    <w:rPr>
      <w:bCs w:val="0"/>
      <w:sz w:val="24"/>
    </w:rPr>
  </w:style>
  <w:style w:type="paragraph" w:customStyle="1" w:styleId="XBRLTitle4">
    <w:name w:val="XBRLTitle4"/>
    <w:basedOn w:val="a9"/>
    <w:next w:val="4"/>
    <w:qFormat/>
    <w:pPr>
      <w:keepNext/>
      <w:keepLines/>
      <w:numPr>
        <w:ilvl w:val="3"/>
        <w:numId w:val="1"/>
      </w:numPr>
      <w:ind w:left="0" w:firstLine="0"/>
      <w:jc w:val="left"/>
    </w:pPr>
    <w:rPr>
      <w:bCs w:val="0"/>
      <w:sz w:val="24"/>
    </w:rPr>
  </w:style>
  <w:style w:type="character" w:customStyle="1" w:styleId="Char10">
    <w:name w:val="副标题 Char1"/>
    <w:rPr>
      <w:rFonts w:ascii="Cambria" w:hAnsi="Cambria"/>
      <w:b/>
      <w:kern w:val="28"/>
      <w:sz w:val="24"/>
      <w:szCs w:val="32"/>
    </w:rPr>
  </w:style>
  <w:style w:type="character" w:customStyle="1" w:styleId="txtcontent11">
    <w:name w:val="txtcontent11"/>
    <w:rPr>
      <w:rFonts w:ascii="ˎ̥" w:hAnsi="ˎ̥" w:hint="default"/>
      <w:color w:val="000000"/>
      <w:sz w:val="21"/>
      <w:szCs w:val="21"/>
    </w:rPr>
  </w:style>
  <w:style w:type="character" w:customStyle="1" w:styleId="Char1">
    <w:name w:val="批注文字 Char"/>
    <w:link w:val="a5"/>
    <w:rPr>
      <w:kern w:val="2"/>
      <w:sz w:val="21"/>
      <w:szCs w:val="22"/>
    </w:rPr>
  </w:style>
  <w:style w:type="character" w:customStyle="1" w:styleId="Char0">
    <w:name w:val="批注主题 Char"/>
    <w:link w:val="a4"/>
    <w:uiPriority w:val="99"/>
    <w:semiHidden/>
    <w:rPr>
      <w:b/>
      <w:bCs/>
      <w:kern w:val="2"/>
      <w:sz w:val="21"/>
      <w:szCs w:val="22"/>
    </w:rPr>
  </w:style>
  <w:style w:type="character" w:customStyle="1" w:styleId="Char">
    <w:name w:val="页眉 Char"/>
    <w:link w:val="a3"/>
    <w:uiPriority w:val="99"/>
    <w:rPr>
      <w:sz w:val="18"/>
      <w:szCs w:val="18"/>
    </w:rPr>
  </w:style>
  <w:style w:type="character" w:customStyle="1" w:styleId="Char4">
    <w:name w:val="副标题 Char"/>
    <w:link w:val="a9"/>
    <w:rPr>
      <w:rFonts w:ascii="Cambria" w:hAnsi="Cambria" w:cs="Times New Roman"/>
      <w:b/>
      <w:bCs/>
      <w:kern w:val="28"/>
      <w:sz w:val="32"/>
      <w:szCs w:val="32"/>
    </w:rPr>
  </w:style>
  <w:style w:type="character" w:customStyle="1" w:styleId="Char2">
    <w:name w:val="文档结构图 Char"/>
    <w:link w:val="a6"/>
    <w:uiPriority w:val="99"/>
    <w:semiHidden/>
    <w:rPr>
      <w:rFonts w:ascii="宋体"/>
      <w:kern w:val="2"/>
      <w:sz w:val="18"/>
      <w:szCs w:val="18"/>
    </w:rPr>
  </w:style>
  <w:style w:type="character" w:customStyle="1" w:styleId="Char3">
    <w:name w:val="页脚 Char"/>
    <w:link w:val="a8"/>
    <w:uiPriority w:val="99"/>
    <w:rPr>
      <w:sz w:val="18"/>
      <w:szCs w:val="18"/>
    </w:rPr>
  </w:style>
  <w:style w:type="character" w:customStyle="1" w:styleId="2Char">
    <w:name w:val="标题 2 Char"/>
    <w:link w:val="2"/>
    <w:uiPriority w:val="9"/>
    <w:semiHidden/>
    <w:rPr>
      <w:rFonts w:ascii="Cambria" w:eastAsia="宋体" w:hAnsi="Cambria" w:cs="Times New Roman"/>
      <w:b/>
      <w:bCs/>
      <w:kern w:val="2"/>
      <w:sz w:val="32"/>
      <w:szCs w:val="32"/>
    </w:rPr>
  </w:style>
  <w:style w:type="character" w:customStyle="1" w:styleId="4Char">
    <w:name w:val="标题 4 Char"/>
    <w:link w:val="4"/>
    <w:uiPriority w:val="9"/>
    <w:semiHidden/>
    <w:rPr>
      <w:rFonts w:ascii="Cambria" w:eastAsia="宋体" w:hAnsi="Cambria" w:cs="Times New Roman"/>
      <w:b/>
      <w:bCs/>
      <w:kern w:val="2"/>
      <w:sz w:val="28"/>
      <w:szCs w:val="28"/>
    </w:rPr>
  </w:style>
  <w:style w:type="character" w:customStyle="1" w:styleId="1Char">
    <w:name w:val="标题 1 Char"/>
    <w:link w:val="1"/>
    <w:uiPriority w:val="9"/>
    <w:rPr>
      <w:b/>
      <w:bCs/>
      <w:kern w:val="44"/>
      <w:sz w:val="28"/>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49"/>
    <customShpInfo spid="_x0000_s206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144</Pages>
  <Words>15261</Words>
  <Characters>86993</Characters>
  <Application>Microsoft Office Word</Application>
  <DocSecurity>0</DocSecurity>
  <Lines>724</Lines>
  <Paragraphs>204</Paragraphs>
  <ScaleCrop>false</ScaleCrop>
  <Company>Microsoft</Company>
  <LinksUpToDate>false</LinksUpToDate>
  <CharactersWithSpaces>102050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系统用户</dc:creator>
  <cp:lastModifiedBy>平台支持</cp:lastModifiedBy>
  <cp:revision>3</cp:revision>
  <cp:lastPrinted>2013-02-18T03:10:00Z</cp:lastPrinted>
  <dcterms:created xsi:type="dcterms:W3CDTF">2026-04-27T08:50:00Z</dcterms:created>
  <dcterms:modified xsi:type="dcterms:W3CDTF">2026-04-27T08:50:00Z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2052-10.1.0.7022</vt:lpwstr>
  </property>
</Properties>
</file>