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DA" w:rsidRPr="00E56CFD" w:rsidRDefault="00C962DA">
      <w:pPr>
        <w:tabs>
          <w:tab w:val="left" w:pos="1470"/>
        </w:tabs>
        <w:spacing w:before="960" w:line="320" w:lineRule="exact"/>
        <w:jc w:val="center"/>
        <w:outlineLvl w:val="2"/>
        <w:rPr>
          <w:b/>
          <w:w w:val="200"/>
        </w:rPr>
      </w:pPr>
      <w:bookmarkStart w:id="0" w:name="_GoBack"/>
      <w:bookmarkEnd w:id="0"/>
    </w:p>
    <w:p w:rsidR="00C962DA" w:rsidRPr="00E56CFD" w:rsidRDefault="00C962DA">
      <w:pPr>
        <w:tabs>
          <w:tab w:val="left" w:pos="1470"/>
        </w:tabs>
        <w:spacing w:before="960" w:line="320" w:lineRule="exact"/>
        <w:jc w:val="center"/>
        <w:outlineLvl w:val="2"/>
        <w:rPr>
          <w:b/>
          <w:w w:val="200"/>
        </w:rPr>
      </w:pPr>
    </w:p>
    <w:p w:rsidR="00094EE1" w:rsidRDefault="006336F8">
      <w:pPr>
        <w:spacing w:before="960" w:line="620" w:lineRule="exact"/>
        <w:jc w:val="center"/>
        <w:outlineLvl w:val="2"/>
        <w:rPr>
          <w:b/>
          <w:sz w:val="44"/>
        </w:rPr>
      </w:pPr>
      <w:r w:rsidRPr="00E56CFD">
        <w:rPr>
          <w:rFonts w:hint="eastAsia"/>
          <w:b/>
          <w:sz w:val="44"/>
        </w:rPr>
        <w:t>交银施罗德智远量化选股股票型发起式</w:t>
      </w:r>
    </w:p>
    <w:p w:rsidR="00C962DA" w:rsidRPr="00E56CFD" w:rsidRDefault="006336F8" w:rsidP="00465668">
      <w:pPr>
        <w:spacing w:line="620" w:lineRule="exact"/>
        <w:jc w:val="center"/>
        <w:outlineLvl w:val="2"/>
        <w:rPr>
          <w:b/>
          <w:sz w:val="44"/>
        </w:rPr>
      </w:pPr>
      <w:r w:rsidRPr="00E56CFD">
        <w:rPr>
          <w:rFonts w:hint="eastAsia"/>
          <w:b/>
          <w:sz w:val="44"/>
        </w:rPr>
        <w:t>证券投资基金托管协议</w:t>
      </w:r>
    </w:p>
    <w:p w:rsidR="00C962DA" w:rsidRPr="00E56CFD" w:rsidRDefault="00C962DA">
      <w:pPr>
        <w:spacing w:before="960" w:line="620" w:lineRule="exact"/>
        <w:jc w:val="center"/>
        <w:outlineLvl w:val="2"/>
        <w:rPr>
          <w:b/>
          <w:sz w:val="32"/>
          <w:szCs w:val="32"/>
        </w:rPr>
      </w:pPr>
    </w:p>
    <w:p w:rsidR="00C962DA" w:rsidRPr="00E56CFD" w:rsidRDefault="00C962DA">
      <w:pPr>
        <w:spacing w:before="960" w:line="620" w:lineRule="exact"/>
        <w:jc w:val="center"/>
        <w:outlineLvl w:val="2"/>
        <w:rPr>
          <w:b/>
          <w:sz w:val="44"/>
        </w:rPr>
      </w:pPr>
    </w:p>
    <w:p w:rsidR="00C962DA" w:rsidRPr="00E56CFD" w:rsidRDefault="00C962DA">
      <w:pPr>
        <w:spacing w:line="320" w:lineRule="exact"/>
        <w:ind w:left="360" w:right="26"/>
        <w:jc w:val="center"/>
        <w:rPr>
          <w:b/>
          <w:sz w:val="30"/>
        </w:rPr>
      </w:pPr>
    </w:p>
    <w:p w:rsidR="00C962DA" w:rsidRPr="00E56CFD" w:rsidRDefault="006336F8">
      <w:pPr>
        <w:spacing w:line="320" w:lineRule="exact"/>
        <w:ind w:left="479" w:right="26" w:firstLine="1200"/>
        <w:rPr>
          <w:sz w:val="28"/>
          <w:szCs w:val="28"/>
        </w:rPr>
      </w:pPr>
      <w:r w:rsidRPr="00E56CFD">
        <w:rPr>
          <w:rFonts w:hint="eastAsia"/>
          <w:sz w:val="28"/>
          <w:szCs w:val="28"/>
        </w:rPr>
        <w:t>基金管理人：交银施罗德基金管理有限公司</w:t>
      </w:r>
    </w:p>
    <w:p w:rsidR="00C962DA" w:rsidRPr="00E56CFD" w:rsidRDefault="00C962DA">
      <w:pPr>
        <w:spacing w:line="320" w:lineRule="exact"/>
        <w:ind w:left="359" w:right="26" w:firstLine="1200"/>
        <w:rPr>
          <w:sz w:val="28"/>
          <w:szCs w:val="28"/>
        </w:rPr>
      </w:pPr>
    </w:p>
    <w:p w:rsidR="00C962DA" w:rsidRPr="00E56CFD" w:rsidRDefault="006336F8">
      <w:pPr>
        <w:spacing w:line="320" w:lineRule="exact"/>
        <w:ind w:left="479" w:right="26" w:firstLine="1200"/>
        <w:rPr>
          <w:sz w:val="28"/>
          <w:szCs w:val="28"/>
        </w:rPr>
      </w:pPr>
      <w:r w:rsidRPr="00E56CFD">
        <w:rPr>
          <w:rFonts w:hint="eastAsia"/>
          <w:sz w:val="28"/>
          <w:szCs w:val="28"/>
        </w:rPr>
        <w:t>基金托管人：中国银行股份有限公司</w:t>
      </w:r>
    </w:p>
    <w:p w:rsidR="00C962DA" w:rsidRPr="00E56CFD" w:rsidRDefault="00C962DA">
      <w:pPr>
        <w:spacing w:line="320" w:lineRule="exact"/>
        <w:ind w:right="26"/>
        <w:rPr>
          <w:sz w:val="28"/>
          <w:szCs w:val="28"/>
        </w:rPr>
      </w:pPr>
    </w:p>
    <w:p w:rsidR="00C962DA" w:rsidRPr="00E56CFD" w:rsidRDefault="00C962DA">
      <w:pPr>
        <w:spacing w:line="320" w:lineRule="exact"/>
        <w:ind w:right="26"/>
        <w:rPr>
          <w:sz w:val="28"/>
          <w:szCs w:val="28"/>
        </w:rPr>
      </w:pPr>
    </w:p>
    <w:p w:rsidR="00C962DA" w:rsidRPr="00E56CFD" w:rsidRDefault="00C962DA">
      <w:pPr>
        <w:spacing w:line="320" w:lineRule="exact"/>
        <w:ind w:right="26"/>
        <w:jc w:val="center"/>
        <w:rPr>
          <w:sz w:val="28"/>
          <w:szCs w:val="28"/>
        </w:rPr>
      </w:pPr>
    </w:p>
    <w:p w:rsidR="00C962DA" w:rsidRPr="00E56CFD" w:rsidRDefault="00C962DA">
      <w:pPr>
        <w:spacing w:line="320" w:lineRule="exact"/>
        <w:ind w:right="26"/>
        <w:jc w:val="center"/>
        <w:rPr>
          <w:sz w:val="28"/>
          <w:szCs w:val="28"/>
        </w:rPr>
      </w:pPr>
    </w:p>
    <w:p w:rsidR="00C962DA" w:rsidRPr="00E56CFD" w:rsidRDefault="00C962DA">
      <w:pPr>
        <w:spacing w:line="320" w:lineRule="exact"/>
        <w:ind w:right="26"/>
        <w:jc w:val="center"/>
        <w:rPr>
          <w:sz w:val="28"/>
          <w:szCs w:val="28"/>
        </w:rPr>
      </w:pPr>
    </w:p>
    <w:p w:rsidR="00C962DA" w:rsidRPr="00E56CFD" w:rsidRDefault="00C962DA">
      <w:pPr>
        <w:spacing w:line="320" w:lineRule="exact"/>
        <w:ind w:right="26"/>
        <w:jc w:val="center"/>
        <w:rPr>
          <w:sz w:val="28"/>
          <w:szCs w:val="28"/>
        </w:rPr>
      </w:pPr>
    </w:p>
    <w:p w:rsidR="00C962DA" w:rsidRPr="00E56CFD" w:rsidRDefault="00C962DA">
      <w:pPr>
        <w:spacing w:line="320" w:lineRule="exact"/>
        <w:ind w:right="26"/>
        <w:jc w:val="center"/>
        <w:rPr>
          <w:sz w:val="28"/>
          <w:szCs w:val="28"/>
        </w:rPr>
      </w:pPr>
    </w:p>
    <w:p w:rsidR="00C962DA" w:rsidRPr="00E56CFD" w:rsidRDefault="006336F8">
      <w:pPr>
        <w:spacing w:line="320" w:lineRule="exact"/>
        <w:ind w:right="26"/>
        <w:jc w:val="center"/>
        <w:rPr>
          <w:sz w:val="28"/>
          <w:szCs w:val="28"/>
        </w:rPr>
      </w:pPr>
      <w:r w:rsidRPr="00E56CFD">
        <w:rPr>
          <w:rFonts w:hint="eastAsia"/>
          <w:sz w:val="28"/>
          <w:szCs w:val="28"/>
        </w:rPr>
        <w:t>二○</w:t>
      </w:r>
      <w:r w:rsidR="005F4986">
        <w:rPr>
          <w:rFonts w:hint="eastAsia"/>
          <w:sz w:val="28"/>
          <w:szCs w:val="28"/>
        </w:rPr>
        <w:t>二六</w:t>
      </w:r>
      <w:r w:rsidRPr="00E56CFD">
        <w:rPr>
          <w:rFonts w:hint="eastAsia"/>
          <w:sz w:val="28"/>
          <w:szCs w:val="28"/>
        </w:rPr>
        <w:t>年</w:t>
      </w:r>
      <w:r w:rsidR="007C563D">
        <w:rPr>
          <w:rFonts w:hint="eastAsia"/>
          <w:sz w:val="28"/>
          <w:szCs w:val="28"/>
        </w:rPr>
        <w:t>四</w:t>
      </w:r>
      <w:r w:rsidRPr="00E56CFD">
        <w:rPr>
          <w:sz w:val="28"/>
          <w:szCs w:val="28"/>
        </w:rPr>
        <w:t>月</w:t>
      </w:r>
    </w:p>
    <w:p w:rsidR="00C962DA" w:rsidRPr="00E56CFD" w:rsidRDefault="006336F8">
      <w:pPr>
        <w:tabs>
          <w:tab w:val="left" w:pos="0"/>
        </w:tabs>
        <w:spacing w:before="100" w:beforeAutospacing="1" w:after="100" w:afterAutospacing="1" w:line="400" w:lineRule="exact"/>
        <w:ind w:right="26" w:firstLineChars="200" w:firstLine="422"/>
        <w:outlineLvl w:val="0"/>
        <w:rPr>
          <w:szCs w:val="21"/>
        </w:rPr>
      </w:pPr>
      <w:r w:rsidRPr="00E56CFD">
        <w:rPr>
          <w:b/>
        </w:rPr>
        <w:br w:type="page"/>
      </w:r>
      <w:r w:rsidRPr="00E56CFD">
        <w:rPr>
          <w:b/>
          <w:sz w:val="24"/>
        </w:rPr>
        <w:lastRenderedPageBreak/>
        <w:t xml:space="preserve"> </w:t>
      </w:r>
      <w:r w:rsidRPr="00E56CFD">
        <w:rPr>
          <w:rFonts w:hint="eastAsia"/>
          <w:szCs w:val="21"/>
        </w:rPr>
        <w:t>鉴于交银施罗德基金管理有限公司是一家依照中国法律合法成立并有效存续的有限责任公司，按照相关法律法规的规定具备担任基金管理人的资格和能力；</w:t>
      </w:r>
    </w:p>
    <w:p w:rsidR="00C962DA" w:rsidRPr="00E56CFD" w:rsidRDefault="006336F8">
      <w:pPr>
        <w:pStyle w:val="a9"/>
        <w:spacing w:before="100" w:beforeAutospacing="1" w:after="100" w:afterAutospacing="1" w:line="400" w:lineRule="exact"/>
        <w:ind w:firstLine="549"/>
        <w:rPr>
          <w:rFonts w:ascii="Times New Roman" w:hAnsi="Times New Roman"/>
        </w:rPr>
      </w:pPr>
      <w:r w:rsidRPr="00E56CFD">
        <w:rPr>
          <w:rFonts w:ascii="Times New Roman" w:hAnsi="Times New Roman" w:hint="eastAsia"/>
        </w:rPr>
        <w:t>鉴于中国银行股份有限公司是一家依照中国法律合法成立并有效存续的银行，按照相关法律法规的规定具备担任基金托管人的资格和能力；</w:t>
      </w:r>
    </w:p>
    <w:p w:rsidR="00C962DA" w:rsidRPr="00E56CFD" w:rsidRDefault="006336F8">
      <w:pPr>
        <w:pStyle w:val="a9"/>
        <w:spacing w:before="100" w:beforeAutospacing="1" w:after="100" w:afterAutospacing="1" w:line="400" w:lineRule="exact"/>
        <w:ind w:firstLine="549"/>
        <w:rPr>
          <w:rFonts w:ascii="Times New Roman" w:hAnsi="Times New Roman"/>
        </w:rPr>
      </w:pPr>
      <w:r w:rsidRPr="00E56CFD">
        <w:rPr>
          <w:rFonts w:ascii="Times New Roman" w:hAnsi="Times New Roman" w:hint="eastAsia"/>
        </w:rPr>
        <w:t>鉴于交银施罗德基金管理有限公司拟担任交银施罗德智远量化选股股票型发起式证券投资基金的基金管理人，中国银行股份有限公司拟担任交银施罗德智远量化选股股票型发起式证券投资基金的基金托管人；</w:t>
      </w:r>
    </w:p>
    <w:p w:rsidR="00C962DA" w:rsidRPr="00E56CFD" w:rsidRDefault="006336F8">
      <w:pPr>
        <w:pStyle w:val="a9"/>
        <w:spacing w:before="100" w:beforeAutospacing="1" w:after="100" w:afterAutospacing="1" w:line="400" w:lineRule="exact"/>
        <w:ind w:firstLine="549"/>
        <w:rPr>
          <w:rFonts w:ascii="Times New Roman" w:hAnsi="Times New Roman"/>
        </w:rPr>
      </w:pPr>
      <w:r w:rsidRPr="00E56CFD">
        <w:rPr>
          <w:rFonts w:ascii="Times New Roman" w:hAnsi="Times New Roman" w:hint="eastAsia"/>
        </w:rPr>
        <w:t>为明确交银施罗德智远量化选股股票型发起式证券投资基金基金管理人和基金托管人之间的权利义务关系，特制订本协议。</w:t>
      </w:r>
      <w:bookmarkStart w:id="1" w:name="_Toc30230313"/>
    </w:p>
    <w:p w:rsidR="00C962DA" w:rsidRPr="00E56CFD" w:rsidRDefault="00C962DA">
      <w:pPr>
        <w:pStyle w:val="a9"/>
        <w:spacing w:before="100" w:beforeAutospacing="1" w:after="100" w:afterAutospacing="1" w:line="400" w:lineRule="exact"/>
        <w:ind w:firstLine="549"/>
        <w:rPr>
          <w:rFonts w:ascii="Times New Roman" w:hAnsi="Times New Roman"/>
        </w:rPr>
      </w:pPr>
    </w:p>
    <w:p w:rsidR="00C962DA" w:rsidRPr="00E56CFD" w:rsidRDefault="006336F8">
      <w:pPr>
        <w:pStyle w:val="1"/>
        <w:spacing w:before="100" w:beforeAutospacing="1" w:after="100" w:afterAutospacing="1" w:line="400" w:lineRule="exact"/>
        <w:ind w:firstLine="422"/>
        <w:rPr>
          <w:sz w:val="21"/>
          <w:szCs w:val="21"/>
        </w:rPr>
      </w:pPr>
      <w:bookmarkStart w:id="2" w:name="_Toc116900096"/>
      <w:r w:rsidRPr="00E56CFD">
        <w:rPr>
          <w:rFonts w:hint="eastAsia"/>
          <w:sz w:val="21"/>
          <w:szCs w:val="21"/>
        </w:rPr>
        <w:t>一、托管协议当事人</w:t>
      </w:r>
      <w:bookmarkEnd w:id="1"/>
      <w:bookmarkEnd w:id="2"/>
    </w:p>
    <w:p w:rsidR="00C962DA" w:rsidRPr="00E56CFD" w:rsidRDefault="006336F8">
      <w:pPr>
        <w:pStyle w:val="a9"/>
        <w:spacing w:before="100" w:beforeAutospacing="1" w:after="100" w:afterAutospacing="1" w:line="400" w:lineRule="exact"/>
        <w:ind w:firstLine="403"/>
        <w:rPr>
          <w:rFonts w:ascii="Times New Roman" w:hAnsi="Times New Roman"/>
        </w:rPr>
      </w:pPr>
      <w:r w:rsidRPr="00E56CFD">
        <w:rPr>
          <w:rFonts w:ascii="Times New Roman" w:hAnsi="Times New Roman" w:hint="eastAsia"/>
        </w:rPr>
        <w:t>（一）基金管理人</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名称：交银施罗德基金管理有限公司</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住所：中国（上海）自由贸易试验区银城中路</w:t>
      </w:r>
      <w:r w:rsidRPr="00E56CFD">
        <w:rPr>
          <w:szCs w:val="21"/>
        </w:rPr>
        <w:t>188</w:t>
      </w:r>
      <w:r w:rsidRPr="00E56CFD">
        <w:rPr>
          <w:szCs w:val="21"/>
        </w:rPr>
        <w:t>号交通银行大楼二层（裙）</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法定代表人</w:t>
      </w:r>
      <w:r w:rsidRPr="00E56CFD">
        <w:rPr>
          <w:szCs w:val="21"/>
        </w:rPr>
        <w:t xml:space="preserve">: </w:t>
      </w:r>
      <w:r w:rsidRPr="00E56CFD">
        <w:rPr>
          <w:rFonts w:hint="eastAsia"/>
          <w:szCs w:val="21"/>
        </w:rPr>
        <w:t>张宏良</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成立时间：</w:t>
      </w:r>
      <w:r w:rsidRPr="00E56CFD">
        <w:rPr>
          <w:szCs w:val="21"/>
        </w:rPr>
        <w:t>2005</w:t>
      </w:r>
      <w:r w:rsidRPr="00E56CFD">
        <w:rPr>
          <w:szCs w:val="21"/>
        </w:rPr>
        <w:t>年</w:t>
      </w:r>
      <w:r w:rsidRPr="00E56CFD">
        <w:rPr>
          <w:szCs w:val="21"/>
        </w:rPr>
        <w:t>8</w:t>
      </w:r>
      <w:r w:rsidRPr="00E56CFD">
        <w:rPr>
          <w:szCs w:val="21"/>
        </w:rPr>
        <w:t>月</w:t>
      </w:r>
      <w:r w:rsidRPr="00E56CFD">
        <w:rPr>
          <w:szCs w:val="21"/>
        </w:rPr>
        <w:t>4</w:t>
      </w:r>
      <w:r w:rsidRPr="00E56CFD">
        <w:rPr>
          <w:szCs w:val="21"/>
        </w:rPr>
        <w:t>日</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批准设立机关及批准设立文号：中国证监会证监基金字</w:t>
      </w:r>
      <w:r w:rsidRPr="00E56CFD">
        <w:rPr>
          <w:szCs w:val="21"/>
        </w:rPr>
        <w:t>[2005]128</w:t>
      </w:r>
      <w:r w:rsidRPr="00E56CFD">
        <w:rPr>
          <w:szCs w:val="21"/>
        </w:rPr>
        <w:t>号</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组织形式：有限责任公司</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注册资本：</w:t>
      </w:r>
      <w:r w:rsidRPr="00E56CFD">
        <w:rPr>
          <w:szCs w:val="21"/>
        </w:rPr>
        <w:t>2</w:t>
      </w:r>
      <w:r w:rsidRPr="00E56CFD">
        <w:rPr>
          <w:szCs w:val="21"/>
        </w:rPr>
        <w:t>亿</w:t>
      </w:r>
      <w:r w:rsidRPr="00E56CFD">
        <w:rPr>
          <w:rFonts w:hint="eastAsia"/>
          <w:szCs w:val="21"/>
        </w:rPr>
        <w:t>元人民币</w:t>
      </w:r>
    </w:p>
    <w:p w:rsidR="00C962DA" w:rsidRPr="00E56CFD" w:rsidRDefault="006336F8">
      <w:pPr>
        <w:spacing w:before="100" w:beforeAutospacing="1" w:after="100" w:afterAutospacing="1" w:line="400" w:lineRule="exact"/>
        <w:ind w:right="26" w:firstLine="403"/>
        <w:rPr>
          <w:szCs w:val="21"/>
          <w:u w:val="single"/>
        </w:rPr>
      </w:pPr>
      <w:r w:rsidRPr="00E56CFD">
        <w:rPr>
          <w:rFonts w:hint="eastAsia"/>
          <w:szCs w:val="21"/>
        </w:rPr>
        <w:t>经营范围：基金募集、基金销售、资产管理和中国证监会许可的其他业务</w:t>
      </w:r>
    </w:p>
    <w:p w:rsidR="00C962DA" w:rsidRPr="00E56CFD" w:rsidRDefault="006336F8">
      <w:pPr>
        <w:pStyle w:val="a9"/>
        <w:spacing w:before="100" w:beforeAutospacing="1" w:after="100" w:afterAutospacing="1" w:line="400" w:lineRule="exact"/>
        <w:ind w:firstLine="403"/>
        <w:rPr>
          <w:rFonts w:ascii="Times New Roman" w:hAnsi="Times New Roman"/>
        </w:rPr>
      </w:pPr>
      <w:r w:rsidRPr="00E56CFD">
        <w:rPr>
          <w:rFonts w:ascii="Times New Roman" w:hAnsi="Times New Roman" w:hint="eastAsia"/>
        </w:rPr>
        <w:t>存续期间：持续经营</w:t>
      </w:r>
    </w:p>
    <w:p w:rsidR="00C962DA" w:rsidRPr="00E56CFD" w:rsidRDefault="00C962DA">
      <w:pPr>
        <w:pStyle w:val="a9"/>
        <w:spacing w:before="100" w:beforeAutospacing="1" w:after="100" w:afterAutospacing="1" w:line="400" w:lineRule="exact"/>
        <w:ind w:firstLine="403"/>
        <w:rPr>
          <w:rFonts w:ascii="Times New Roman" w:hAnsi="Times New Roman"/>
        </w:rPr>
      </w:pPr>
    </w:p>
    <w:p w:rsidR="00C962DA" w:rsidRPr="00E56CFD" w:rsidRDefault="006336F8">
      <w:pPr>
        <w:pStyle w:val="a9"/>
        <w:spacing w:before="100" w:beforeAutospacing="1" w:after="100" w:afterAutospacing="1" w:line="400" w:lineRule="exact"/>
        <w:ind w:firstLine="403"/>
        <w:rPr>
          <w:rFonts w:ascii="Times New Roman" w:hAnsi="Times New Roman"/>
        </w:rPr>
      </w:pPr>
      <w:r w:rsidRPr="00E56CFD">
        <w:rPr>
          <w:rFonts w:ascii="Times New Roman" w:hAnsi="Times New Roman" w:hint="eastAsia"/>
        </w:rPr>
        <w:lastRenderedPageBreak/>
        <w:t>（二）基金托管人</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名称：中国银行股份有限公司</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住所：北京市西城区复兴门内大街</w:t>
      </w:r>
      <w:r w:rsidRPr="00E56CFD">
        <w:rPr>
          <w:szCs w:val="21"/>
        </w:rPr>
        <w:t>1</w:t>
      </w:r>
      <w:r w:rsidRPr="00E56CFD">
        <w:rPr>
          <w:szCs w:val="21"/>
        </w:rPr>
        <w:t>号</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法定代表人</w:t>
      </w:r>
      <w:r w:rsidRPr="00E56CFD">
        <w:rPr>
          <w:szCs w:val="21"/>
        </w:rPr>
        <w:t xml:space="preserve">: </w:t>
      </w:r>
      <w:r w:rsidRPr="00E56CFD">
        <w:rPr>
          <w:rFonts w:hint="eastAsia"/>
          <w:szCs w:val="21"/>
        </w:rPr>
        <w:t>葛海蛟</w:t>
      </w:r>
    </w:p>
    <w:p w:rsidR="00C962DA" w:rsidRPr="00E56CFD" w:rsidRDefault="006336F8">
      <w:pPr>
        <w:spacing w:before="100" w:beforeAutospacing="1" w:after="100" w:afterAutospacing="1" w:line="400" w:lineRule="exact"/>
        <w:ind w:firstLine="435"/>
        <w:rPr>
          <w:kern w:val="0"/>
          <w:szCs w:val="21"/>
        </w:rPr>
      </w:pPr>
      <w:r w:rsidRPr="00E56CFD">
        <w:rPr>
          <w:rFonts w:hint="eastAsia"/>
          <w:szCs w:val="21"/>
        </w:rPr>
        <w:t>成立时间：</w:t>
      </w:r>
      <w:r w:rsidRPr="00E56CFD">
        <w:rPr>
          <w:szCs w:val="21"/>
        </w:rPr>
        <w:t xml:space="preserve"> 1983</w:t>
      </w:r>
      <w:r w:rsidRPr="00E56CFD">
        <w:rPr>
          <w:szCs w:val="21"/>
        </w:rPr>
        <w:t>年</w:t>
      </w:r>
      <w:r w:rsidRPr="00E56CFD">
        <w:rPr>
          <w:szCs w:val="21"/>
        </w:rPr>
        <w:t>10</w:t>
      </w:r>
      <w:r w:rsidRPr="00E56CFD">
        <w:rPr>
          <w:szCs w:val="21"/>
        </w:rPr>
        <w:t>月</w:t>
      </w:r>
      <w:r w:rsidRPr="00E56CFD">
        <w:rPr>
          <w:szCs w:val="21"/>
        </w:rPr>
        <w:t>31</w:t>
      </w:r>
      <w:r w:rsidRPr="00E56CFD">
        <w:rPr>
          <w:szCs w:val="21"/>
        </w:rPr>
        <w:t>日</w:t>
      </w:r>
    </w:p>
    <w:p w:rsidR="00C962DA" w:rsidRPr="00E56CFD" w:rsidRDefault="006336F8">
      <w:pPr>
        <w:spacing w:before="100" w:beforeAutospacing="1" w:after="100" w:afterAutospacing="1" w:line="400" w:lineRule="exact"/>
        <w:ind w:firstLine="420"/>
        <w:rPr>
          <w:szCs w:val="21"/>
        </w:rPr>
      </w:pPr>
      <w:r w:rsidRPr="00E56CFD">
        <w:rPr>
          <w:rFonts w:hint="eastAsia"/>
          <w:kern w:val="0"/>
          <w:szCs w:val="21"/>
        </w:rPr>
        <w:t>基金托管业务批准文号：中国证监会证监基字【</w:t>
      </w:r>
      <w:r w:rsidRPr="00E56CFD">
        <w:rPr>
          <w:kern w:val="0"/>
          <w:szCs w:val="21"/>
        </w:rPr>
        <w:t>1998</w:t>
      </w:r>
      <w:r w:rsidRPr="00E56CFD">
        <w:rPr>
          <w:kern w:val="0"/>
          <w:szCs w:val="21"/>
        </w:rPr>
        <w:t>】</w:t>
      </w:r>
      <w:r w:rsidRPr="00E56CFD">
        <w:rPr>
          <w:kern w:val="0"/>
          <w:szCs w:val="21"/>
        </w:rPr>
        <w:t>24</w:t>
      </w:r>
      <w:r w:rsidRPr="00E56CFD">
        <w:rPr>
          <w:kern w:val="0"/>
          <w:szCs w:val="21"/>
        </w:rPr>
        <w:t>号</w:t>
      </w:r>
    </w:p>
    <w:p w:rsidR="00C962DA" w:rsidRPr="00E56CFD" w:rsidRDefault="006336F8">
      <w:pPr>
        <w:tabs>
          <w:tab w:val="left" w:pos="1110"/>
        </w:tabs>
        <w:spacing w:before="100" w:beforeAutospacing="1" w:after="100" w:afterAutospacing="1" w:line="400" w:lineRule="exact"/>
        <w:ind w:firstLine="420"/>
        <w:rPr>
          <w:szCs w:val="21"/>
        </w:rPr>
      </w:pPr>
      <w:r w:rsidRPr="00E56CFD">
        <w:rPr>
          <w:rFonts w:hint="eastAsia"/>
          <w:szCs w:val="21"/>
        </w:rPr>
        <w:t>组织形式：</w:t>
      </w:r>
      <w:r w:rsidRPr="00E56CFD">
        <w:rPr>
          <w:szCs w:val="21"/>
        </w:rPr>
        <w:t xml:space="preserve"> </w:t>
      </w:r>
      <w:r w:rsidRPr="00E56CFD">
        <w:rPr>
          <w:rFonts w:hint="eastAsia"/>
          <w:szCs w:val="21"/>
        </w:rPr>
        <w:t>股份有限公司</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注册资本：人民币贰仟玖佰肆拾叁亿捌仟柒佰柒拾玖万壹仟贰佰肆拾壹元整</w:t>
      </w:r>
    </w:p>
    <w:p w:rsidR="00C962DA" w:rsidRPr="00E56CFD" w:rsidRDefault="006336F8">
      <w:pPr>
        <w:spacing w:before="100" w:beforeAutospacing="1" w:after="100" w:afterAutospacing="1" w:line="400" w:lineRule="exact"/>
        <w:ind w:left="1674" w:right="26" w:hanging="1271"/>
        <w:rPr>
          <w:szCs w:val="21"/>
        </w:rPr>
      </w:pPr>
      <w:r w:rsidRPr="00E56CFD">
        <w:rPr>
          <w:rFonts w:hint="eastAsia"/>
          <w:szCs w:val="21"/>
        </w:rPr>
        <w:t>经营范围：</w:t>
      </w:r>
      <w:r w:rsidRPr="00E56CFD">
        <w:rPr>
          <w:szCs w:val="21"/>
        </w:rPr>
        <w:tab/>
      </w:r>
      <w:r w:rsidRPr="00E56CFD">
        <w:rPr>
          <w:rFonts w:hint="eastAsia"/>
          <w:szCs w:val="21"/>
        </w:rPr>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C962DA" w:rsidRPr="00E56CFD" w:rsidRDefault="006336F8">
      <w:pPr>
        <w:spacing w:before="100" w:beforeAutospacing="1" w:after="100" w:afterAutospacing="1" w:line="400" w:lineRule="exact"/>
        <w:ind w:firstLine="403"/>
        <w:rPr>
          <w:szCs w:val="21"/>
        </w:rPr>
      </w:pPr>
      <w:r w:rsidRPr="00E56CFD">
        <w:rPr>
          <w:rFonts w:hint="eastAsia"/>
          <w:szCs w:val="21"/>
        </w:rPr>
        <w:t>存续期间：</w:t>
      </w:r>
      <w:r w:rsidRPr="00E56CFD">
        <w:rPr>
          <w:szCs w:val="21"/>
        </w:rPr>
        <w:tab/>
      </w:r>
      <w:r w:rsidRPr="00E56CFD">
        <w:rPr>
          <w:rFonts w:hint="eastAsia"/>
          <w:szCs w:val="21"/>
        </w:rPr>
        <w:t>持续经营</w:t>
      </w:r>
    </w:p>
    <w:p w:rsidR="00C962DA" w:rsidRPr="00E56CFD" w:rsidRDefault="00C962DA">
      <w:pPr>
        <w:spacing w:before="100" w:beforeAutospacing="1" w:after="100" w:afterAutospacing="1" w:line="400" w:lineRule="exact"/>
        <w:ind w:firstLine="403"/>
        <w:rPr>
          <w:szCs w:val="21"/>
        </w:rPr>
      </w:pPr>
    </w:p>
    <w:p w:rsidR="00C962DA" w:rsidRPr="00E56CFD" w:rsidRDefault="006336F8">
      <w:pPr>
        <w:pStyle w:val="1"/>
        <w:spacing w:before="100" w:beforeAutospacing="1" w:after="100" w:afterAutospacing="1" w:line="400" w:lineRule="exact"/>
        <w:ind w:firstLine="422"/>
        <w:rPr>
          <w:sz w:val="21"/>
          <w:szCs w:val="21"/>
        </w:rPr>
      </w:pPr>
      <w:bookmarkStart w:id="3" w:name="_Toc116900097"/>
      <w:r w:rsidRPr="00E56CFD">
        <w:rPr>
          <w:rFonts w:hint="eastAsia"/>
          <w:sz w:val="21"/>
          <w:szCs w:val="21"/>
        </w:rPr>
        <w:t>二、托管协议的依据、目的、原则和解释</w:t>
      </w:r>
      <w:bookmarkEnd w:id="3"/>
    </w:p>
    <w:p w:rsidR="00C962DA" w:rsidRPr="00E56CFD" w:rsidRDefault="006336F8">
      <w:pPr>
        <w:spacing w:before="100" w:beforeAutospacing="1" w:after="100" w:afterAutospacing="1" w:line="400" w:lineRule="exact"/>
        <w:ind w:firstLine="403"/>
        <w:rPr>
          <w:szCs w:val="21"/>
        </w:rPr>
      </w:pPr>
      <w:r w:rsidRPr="00E56CFD">
        <w:rPr>
          <w:rFonts w:hint="eastAsia"/>
          <w:szCs w:val="21"/>
        </w:rPr>
        <w:t>（一）依据</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本协议依据《中华人民共和国民法典</w:t>
      </w:r>
      <w:r w:rsidRPr="00E56CFD">
        <w:rPr>
          <w:rFonts w:ascii="Times New Roman" w:eastAsia="宋体" w:hAnsi="Times New Roman"/>
          <w:color w:val="auto"/>
          <w:sz w:val="21"/>
          <w:szCs w:val="21"/>
        </w:rPr>
        <w:t>》、</w:t>
      </w:r>
      <w:r w:rsidRPr="00E56CFD">
        <w:rPr>
          <w:rFonts w:ascii="Times New Roman" w:eastAsia="宋体" w:hAnsi="Times New Roman" w:hint="eastAsia"/>
          <w:color w:val="auto"/>
          <w:sz w:val="21"/>
          <w:szCs w:val="21"/>
        </w:rPr>
        <w:t>《中华人民共和国证券法》</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以下简称</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w:t>
      </w:r>
      <w:r w:rsidRPr="00E56CFD">
        <w:rPr>
          <w:rFonts w:ascii="Times New Roman" w:eastAsia="宋体" w:hAnsi="Times New Roman" w:hint="eastAsia"/>
          <w:color w:val="auto"/>
          <w:sz w:val="21"/>
          <w:szCs w:val="21"/>
        </w:rPr>
        <w:t>证券</w:t>
      </w:r>
      <w:r w:rsidRPr="00E56CFD">
        <w:rPr>
          <w:rFonts w:ascii="Times New Roman" w:eastAsia="宋体" w:hAnsi="Times New Roman"/>
          <w:color w:val="auto"/>
          <w:sz w:val="21"/>
          <w:szCs w:val="21"/>
        </w:rPr>
        <w:t>法》</w:t>
      </w:r>
      <w:r w:rsidRPr="00E56CFD">
        <w:rPr>
          <w:rFonts w:ascii="Times New Roman" w:eastAsia="宋体" w:hAnsi="Times New Roman"/>
          <w:color w:val="auto"/>
          <w:sz w:val="21"/>
          <w:szCs w:val="21"/>
        </w:rPr>
        <w:t>”)</w:t>
      </w:r>
      <w:r w:rsidRPr="00E56CFD">
        <w:rPr>
          <w:rFonts w:ascii="Times New Roman" w:eastAsia="宋体" w:hAnsi="Times New Roman" w:hint="eastAsia"/>
          <w:color w:val="auto"/>
          <w:sz w:val="21"/>
          <w:szCs w:val="21"/>
        </w:rPr>
        <w:t>、《中华人民共和国证券投资基金法》（以下简称“《基金法》”）、《公开募集证券投资基金运作</w:t>
      </w:r>
      <w:r w:rsidRPr="00E56CFD">
        <w:rPr>
          <w:rFonts w:ascii="Times New Roman" w:eastAsia="宋体" w:hAnsi="Times New Roman" w:hint="eastAsia"/>
          <w:color w:val="auto"/>
          <w:sz w:val="21"/>
          <w:szCs w:val="21"/>
        </w:rPr>
        <w:lastRenderedPageBreak/>
        <w:t>管理办法》（以下简称“《运作办法》”）、《证券投资基金托管业务管理办法》、《公开募集证券投资基金信息披露管理办法》（以下简称“《信息披露办法》”）、《证券投资基金信息披露内容与格式准则第</w:t>
      </w:r>
      <w:r w:rsidRPr="00E56CFD">
        <w:rPr>
          <w:rFonts w:ascii="Times New Roman" w:eastAsia="宋体" w:hAnsi="Times New Roman"/>
          <w:color w:val="auto"/>
          <w:sz w:val="21"/>
          <w:szCs w:val="21"/>
        </w:rPr>
        <w:t>7</w:t>
      </w:r>
      <w:r w:rsidRPr="00E56CFD">
        <w:rPr>
          <w:rFonts w:ascii="Times New Roman" w:eastAsia="宋体" w:hAnsi="Times New Roman"/>
          <w:color w:val="auto"/>
          <w:sz w:val="21"/>
          <w:szCs w:val="21"/>
        </w:rPr>
        <w:t>号〈托管协议的内容与格式〉》、《公开募集开放式证券投资基金流动性风险管理规定》及其他有关法律法规与《</w:t>
      </w:r>
      <w:r w:rsidRPr="00E56CFD">
        <w:rPr>
          <w:rFonts w:ascii="Times New Roman" w:eastAsia="宋体" w:hAnsi="Times New Roman" w:hint="eastAsia"/>
          <w:color w:val="auto"/>
          <w:sz w:val="21"/>
          <w:szCs w:val="21"/>
        </w:rPr>
        <w:t>交银施罗德智远量化选股股票型发起式证券投资基金基金合同》（以下简称“《基金合同》”或“基金合同”）订立。</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（二）目的</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订立本协议的目的是明确交银施罗德智远量化选股股票型发起式证券投资基金基金托管人和交银施罗德智远量化选股股票型发起式证券投资基金基金管理人之间在基金财产的保管、投资运作、净值计算、收益分配、信息披露及相互监督等相关事宜中的权利、义务及职责，确保基金财产的安全，保护基金份额持有人的合法权益。</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（三）原则</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基金管理人和基金托管人本着平等自愿、诚实信用的原则，经协商一致，签订本协议。</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（四）解释</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除非文义另有所指，本协议的所有术语与</w:t>
      </w:r>
      <w:bookmarkStart w:id="4" w:name="OLE_LINK3"/>
      <w:r w:rsidRPr="00E56CFD">
        <w:rPr>
          <w:rFonts w:ascii="Times New Roman" w:eastAsia="宋体" w:hAnsi="Times New Roman" w:hint="eastAsia"/>
          <w:color w:val="auto"/>
          <w:sz w:val="21"/>
          <w:szCs w:val="21"/>
        </w:rPr>
        <w:t>《基金合同》</w:t>
      </w:r>
      <w:bookmarkEnd w:id="4"/>
      <w:r w:rsidRPr="00E56CFD">
        <w:rPr>
          <w:rFonts w:ascii="Times New Roman" w:eastAsia="宋体" w:hAnsi="Times New Roman" w:hint="eastAsia"/>
          <w:color w:val="auto"/>
          <w:sz w:val="21"/>
          <w:szCs w:val="21"/>
        </w:rPr>
        <w:t>的相应术语具有相同含义。</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（五）若本基金实施侧袋机制的，侧袋机制实施期间的相关安排见基金合同和招募说明书的规定。</w:t>
      </w:r>
    </w:p>
    <w:p w:rsidR="00C962DA" w:rsidRPr="00E56CFD" w:rsidRDefault="006336F8">
      <w:pPr>
        <w:pStyle w:val="1"/>
        <w:spacing w:before="100" w:beforeAutospacing="1" w:after="100" w:afterAutospacing="1" w:line="400" w:lineRule="exact"/>
        <w:ind w:firstLine="422"/>
        <w:rPr>
          <w:sz w:val="21"/>
          <w:szCs w:val="21"/>
        </w:rPr>
      </w:pPr>
      <w:bookmarkStart w:id="5" w:name="_Toc116900098"/>
      <w:r w:rsidRPr="00E56CFD">
        <w:rPr>
          <w:rFonts w:hint="eastAsia"/>
          <w:sz w:val="21"/>
          <w:szCs w:val="21"/>
        </w:rPr>
        <w:t>三、基金托管人对基金管理人的业务监督和核查</w:t>
      </w:r>
      <w:bookmarkEnd w:id="5"/>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（一）基金托管人根据有关法律法规的规定对基金管理人的下列投资运作进行监督：</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1</w:t>
      </w:r>
      <w:r w:rsidRPr="00E56CFD">
        <w:rPr>
          <w:szCs w:val="21"/>
        </w:rPr>
        <w:t>、对基金的投资范围、投资对象进行监督。</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lastRenderedPageBreak/>
        <w:t>如法律法规或监管机构以后允许基金投资其他品种，基金管理人在履行适当程序后，可以将其纳入投资范围。</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基金的投资组合比例为：股票投资（含存托凭证）占基金资产的比例不低于</w:t>
      </w:r>
      <w:r w:rsidRPr="00E56CFD">
        <w:rPr>
          <w:szCs w:val="21"/>
        </w:rPr>
        <w:t>80%</w:t>
      </w:r>
      <w:r w:rsidRPr="00E56CFD">
        <w:rPr>
          <w:rFonts w:hint="eastAsia"/>
          <w:szCs w:val="21"/>
        </w:rPr>
        <w:t>，其中投资于港股通标的股票的比例占股票资产的</w:t>
      </w:r>
      <w:r w:rsidRPr="00E56CFD">
        <w:rPr>
          <w:szCs w:val="21"/>
        </w:rPr>
        <w:t>0%-50%</w:t>
      </w:r>
      <w:r w:rsidRPr="00E56CFD">
        <w:rPr>
          <w:szCs w:val="21"/>
        </w:rPr>
        <w:t>；每个交易日日终在扣除股指期货合约需缴纳的交易保证金后，本基金持有的现金或者到期日在一年以内的政府债券的比例合计不低于基金资产净值的</w:t>
      </w:r>
      <w:r w:rsidRPr="00E56CFD">
        <w:rPr>
          <w:szCs w:val="21"/>
        </w:rPr>
        <w:t>5%</w:t>
      </w:r>
      <w:r w:rsidRPr="00E56CFD">
        <w:rPr>
          <w:szCs w:val="21"/>
        </w:rPr>
        <w:t>，其中现金不包括结算备付金、存出保证金、应收申购款等。</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如果法律法规或中国证监会变更投资品种的投资比例限制，基金管理人在履行适当程序后，可以调整上述投资品种的投资比例。</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color w:val="000000"/>
          <w:szCs w:val="21"/>
        </w:rPr>
        <w:t>基金托管人根据上述投资范围对基金的投资进行监督。</w:t>
      </w:r>
    </w:p>
    <w:p w:rsidR="00C962DA" w:rsidRPr="00E56CFD" w:rsidRDefault="006336F8">
      <w:pPr>
        <w:spacing w:line="360" w:lineRule="auto"/>
        <w:ind w:firstLineChars="200" w:firstLine="420"/>
        <w:rPr>
          <w:szCs w:val="21"/>
        </w:rPr>
      </w:pPr>
      <w:r w:rsidRPr="00E56CFD">
        <w:rPr>
          <w:szCs w:val="21"/>
        </w:rPr>
        <w:t>2</w:t>
      </w:r>
      <w:r w:rsidRPr="00E56CFD">
        <w:rPr>
          <w:szCs w:val="21"/>
        </w:rPr>
        <w:t>、对基金投融资比例进行监督</w:t>
      </w:r>
      <w:r>
        <w:rPr>
          <w:rFonts w:hint="eastAsia"/>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）股票投资（含存托凭证）占基金资产的比例不低于</w:t>
      </w:r>
      <w:r>
        <w:rPr>
          <w:bCs/>
          <w:szCs w:val="21"/>
        </w:rPr>
        <w:t>8</w:t>
      </w:r>
      <w:r>
        <w:rPr>
          <w:rFonts w:hint="eastAsia"/>
          <w:bCs/>
          <w:szCs w:val="21"/>
        </w:rPr>
        <w:t>0%</w:t>
      </w:r>
      <w:r>
        <w:rPr>
          <w:rFonts w:hint="eastAsia"/>
          <w:bCs/>
          <w:szCs w:val="21"/>
        </w:rPr>
        <w:t>，其中投资于港股通标的股票的比例占股票资产的</w:t>
      </w:r>
      <w:r>
        <w:rPr>
          <w:rFonts w:hint="eastAsia"/>
          <w:bCs/>
          <w:szCs w:val="21"/>
        </w:rPr>
        <w:t>0%-50%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）每个交易日日终在扣除股指期货合约需缴纳的交易保证金后，本基金持有的现金或者到期日在一年以内的政府债券的比例合计不低于基金资产净值的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rsidR="00C962DA" w:rsidRDefault="006336F8">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）本基金持有一家公司发行的证券（同一家公司在内地和香港同时上市的</w:t>
      </w:r>
      <w:r>
        <w:rPr>
          <w:rFonts w:hint="eastAsia"/>
          <w:bCs/>
          <w:szCs w:val="21"/>
        </w:rPr>
        <w:t>A+H</w:t>
      </w:r>
      <w:r>
        <w:rPr>
          <w:rFonts w:hint="eastAsia"/>
          <w:bCs/>
          <w:szCs w:val="21"/>
        </w:rPr>
        <w:t>股合计计算），其市值不超过基金资产净值的</w:t>
      </w:r>
      <w:r>
        <w:rPr>
          <w:rFonts w:hint="eastAsia"/>
          <w:bCs/>
          <w:szCs w:val="21"/>
        </w:rPr>
        <w:t>10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）本基金管理人管理的全部基金持有一家公司发行的证券（同一家公司在内地和香港同时上市的</w:t>
      </w:r>
      <w:r>
        <w:rPr>
          <w:rFonts w:hint="eastAsia"/>
          <w:bCs/>
          <w:szCs w:val="21"/>
        </w:rPr>
        <w:t>A+H</w:t>
      </w:r>
      <w:r>
        <w:rPr>
          <w:rFonts w:hint="eastAsia"/>
          <w:bCs/>
          <w:szCs w:val="21"/>
        </w:rPr>
        <w:t>股合计计算），不超过该证券的</w:t>
      </w:r>
      <w:r>
        <w:rPr>
          <w:rFonts w:hint="eastAsia"/>
          <w:bCs/>
          <w:szCs w:val="21"/>
        </w:rPr>
        <w:t>10</w:t>
      </w:r>
      <w:r>
        <w:rPr>
          <w:rFonts w:hint="eastAsia"/>
          <w:bCs/>
          <w:szCs w:val="21"/>
        </w:rPr>
        <w:t>％，完全按照有关指数的构成比例进行证券投资的基金品种可以不受此条款规定的比例限制；</w:t>
      </w:r>
    </w:p>
    <w:p w:rsidR="00C962DA" w:rsidRDefault="006336F8">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）本基金持有的同一（指同一信用级别）资产支持证券的比例，不得超过该资产支持证券规模的</w:t>
      </w:r>
      <w:r>
        <w:rPr>
          <w:rFonts w:hint="eastAsia"/>
          <w:bCs/>
          <w:szCs w:val="21"/>
        </w:rPr>
        <w:t>10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）本基金管理人管理且由本基金托管人托管的全部基金投资于同一原始权益人的各类资产支持证券，不得超过其各类资产支持证券合计规模的</w:t>
      </w:r>
      <w:r>
        <w:rPr>
          <w:rFonts w:hint="eastAsia"/>
          <w:bCs/>
          <w:szCs w:val="21"/>
        </w:rPr>
        <w:t>10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）本基金应投资于信用级别评级为</w:t>
      </w:r>
      <w:r>
        <w:rPr>
          <w:rFonts w:hint="eastAsia"/>
          <w:bCs/>
          <w:szCs w:val="21"/>
        </w:rPr>
        <w:t>BBB</w:t>
      </w:r>
      <w:r>
        <w:rPr>
          <w:rFonts w:hint="eastAsia"/>
          <w:bCs/>
          <w:szCs w:val="21"/>
        </w:rPr>
        <w:t>以上（含</w:t>
      </w:r>
      <w:r>
        <w:rPr>
          <w:rFonts w:hint="eastAsia"/>
          <w:bCs/>
          <w:szCs w:val="21"/>
        </w:rPr>
        <w:t>BBB</w:t>
      </w:r>
      <w:r>
        <w:rPr>
          <w:rFonts w:hint="eastAsia"/>
          <w:bCs/>
          <w:szCs w:val="21"/>
        </w:rPr>
        <w:t>）的资产支持证券。基金持</w:t>
      </w:r>
      <w:r>
        <w:rPr>
          <w:rFonts w:hint="eastAsia"/>
          <w:bCs/>
          <w:szCs w:val="21"/>
        </w:rPr>
        <w:lastRenderedPageBreak/>
        <w:t>有资产支持证券期间，如果其信用等级下降、不再符合投资标准，应在评级报告发布之日起</w:t>
      </w:r>
      <w:r>
        <w:rPr>
          <w:rFonts w:hint="eastAsia"/>
          <w:bCs/>
          <w:szCs w:val="21"/>
        </w:rPr>
        <w:t>3</w:t>
      </w:r>
      <w:r>
        <w:rPr>
          <w:rFonts w:hint="eastAsia"/>
          <w:bCs/>
          <w:szCs w:val="21"/>
        </w:rPr>
        <w:t>个月内予以全部卖出；</w:t>
      </w:r>
    </w:p>
    <w:p w:rsidR="00C962DA" w:rsidRDefault="006336F8">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）基金财产参与股票发行申购，本基金所申报的金额不超过本基金的总资产，本基金所申报的股票数量不超过拟发行股票公司本次发行股票的总量；</w:t>
      </w:r>
    </w:p>
    <w:p w:rsidR="00C962DA" w:rsidRDefault="006336F8">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）本基金管理人管理且由本基金托管人托管的全部开放式基金（包括开放式基金以及处于开放期的定期开放基金）持有一家上市公司发行的可流通股票，不得超过该上市公司可流通股票的</w:t>
      </w:r>
      <w:r>
        <w:rPr>
          <w:rFonts w:hint="eastAsia"/>
          <w:bCs/>
          <w:szCs w:val="21"/>
        </w:rPr>
        <w:t>15%</w:t>
      </w:r>
      <w:r>
        <w:rPr>
          <w:rFonts w:hint="eastAsia"/>
          <w:bCs/>
          <w:szCs w:val="21"/>
        </w:rPr>
        <w:t>；本基金管理人管理且由本基金托管人托管的全部投资组合持有一家上市公司发行的可流通股票，不得超过该上市公司可流通股票的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；完全按照有关指数的构成比例进行证券投资的开放式基金以及中国证监会认定的特殊投资组合可不受前述比例限制；</w:t>
      </w:r>
    </w:p>
    <w:p w:rsidR="00C962DA" w:rsidRDefault="006336F8">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）本基金主动投资于流动性受限资产的市值合计不得超过基金资产净值的</w:t>
      </w:r>
      <w:r>
        <w:rPr>
          <w:rFonts w:hint="eastAsia"/>
          <w:bCs/>
          <w:szCs w:val="21"/>
        </w:rPr>
        <w:t>15%</w:t>
      </w:r>
      <w:r>
        <w:rPr>
          <w:rFonts w:hint="eastAsia"/>
          <w:bCs/>
          <w:szCs w:val="21"/>
        </w:rPr>
        <w:t>；因证券市场波动、上市公司股票停牌、基金规模变动等基金管理人之外的因素致使基金不符合该比例限制的，基金管理人不得主动新增流动性受限资产的投资；</w:t>
      </w:r>
    </w:p>
    <w:p w:rsidR="00C962DA" w:rsidRDefault="006336F8">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）本基金与私募类证券资管产品及中国证监会认定的其他主体为交易对手开展逆回购交易的，可接受质押品的资质要求应当与本基金合同约定的投资范围保持一致；</w:t>
      </w:r>
    </w:p>
    <w:p w:rsidR="00C962DA" w:rsidRDefault="006336F8">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）若本基金参与股指期货交易，则：</w:t>
      </w:r>
    </w:p>
    <w:p w:rsidR="00C962DA" w:rsidRDefault="006336F8">
      <w:pPr>
        <w:spacing w:line="360" w:lineRule="auto"/>
        <w:ind w:firstLineChars="200" w:firstLine="420"/>
        <w:rPr>
          <w:bCs/>
          <w:szCs w:val="21"/>
        </w:rPr>
      </w:pPr>
      <w:r>
        <w:rPr>
          <w:rFonts w:hint="eastAsia"/>
          <w:bCs/>
          <w:szCs w:val="21"/>
        </w:rPr>
        <w:t>1</w:t>
      </w:r>
      <w:r>
        <w:rPr>
          <w:rFonts w:hint="eastAsia"/>
          <w:bCs/>
          <w:szCs w:val="21"/>
        </w:rPr>
        <w:t>）本基金在任何交易日日终，持有的买入股指期货合约价值，不得超过基金资产净值的</w:t>
      </w:r>
      <w:r>
        <w:rPr>
          <w:rFonts w:hint="eastAsia"/>
          <w:bCs/>
          <w:szCs w:val="21"/>
        </w:rPr>
        <w:t>10%</w:t>
      </w:r>
      <w:r>
        <w:rPr>
          <w:rFonts w:hint="eastAsia"/>
          <w:bCs/>
          <w:szCs w:val="21"/>
        </w:rPr>
        <w:t>；</w:t>
      </w:r>
    </w:p>
    <w:p w:rsidR="00C962DA" w:rsidRDefault="006336F8">
      <w:pPr>
        <w:spacing w:line="360" w:lineRule="auto"/>
        <w:ind w:firstLineChars="200" w:firstLine="420"/>
        <w:rPr>
          <w:bCs/>
          <w:szCs w:val="21"/>
        </w:rPr>
      </w:pPr>
      <w:r>
        <w:rPr>
          <w:rFonts w:hint="eastAsia"/>
          <w:bCs/>
          <w:szCs w:val="21"/>
        </w:rPr>
        <w:t>2</w:t>
      </w:r>
      <w:r>
        <w:rPr>
          <w:rFonts w:hint="eastAsia"/>
          <w:bCs/>
          <w:szCs w:val="21"/>
        </w:rPr>
        <w:t>）本基金在任何交易日日终，持有的买入股指期货合约价值与有价证券市值之和，不得超过基金资产净值的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rsidR="00C962DA" w:rsidRDefault="006336F8">
      <w:pPr>
        <w:spacing w:line="360" w:lineRule="auto"/>
        <w:ind w:firstLineChars="200" w:firstLine="420"/>
        <w:rPr>
          <w:bCs/>
          <w:szCs w:val="21"/>
        </w:rPr>
      </w:pPr>
      <w:r>
        <w:rPr>
          <w:rFonts w:hint="eastAsia"/>
          <w:bCs/>
          <w:szCs w:val="21"/>
        </w:rPr>
        <w:t>3</w:t>
      </w:r>
      <w:r>
        <w:rPr>
          <w:rFonts w:hint="eastAsia"/>
          <w:bCs/>
          <w:szCs w:val="21"/>
        </w:rPr>
        <w:t>）本基金在任何交易日日终，持有的卖出股指期货合约价值不得超过基金持有的股票总市值的</w:t>
      </w:r>
      <w:r>
        <w:rPr>
          <w:rFonts w:hint="eastAsia"/>
          <w:bCs/>
          <w:szCs w:val="21"/>
        </w:rPr>
        <w:t>20%</w:t>
      </w:r>
      <w:r>
        <w:rPr>
          <w:rFonts w:hint="eastAsia"/>
          <w:bCs/>
          <w:szCs w:val="21"/>
        </w:rPr>
        <w:t>；</w:t>
      </w:r>
    </w:p>
    <w:p w:rsidR="00C962DA" w:rsidRDefault="006336F8">
      <w:pPr>
        <w:spacing w:line="360" w:lineRule="auto"/>
        <w:ind w:firstLineChars="200" w:firstLine="420"/>
        <w:rPr>
          <w:bCs/>
          <w:szCs w:val="21"/>
        </w:rPr>
      </w:pPr>
      <w:r>
        <w:rPr>
          <w:rFonts w:hint="eastAsia"/>
          <w:bCs/>
          <w:szCs w:val="21"/>
        </w:rPr>
        <w:t>4</w:t>
      </w:r>
      <w:r>
        <w:rPr>
          <w:rFonts w:hint="eastAsia"/>
          <w:bCs/>
          <w:szCs w:val="21"/>
        </w:rPr>
        <w:t>）本基金所持有的股票市值和买入、卖出股指期货合约价值，合计（轧差计算）应当符合基金合同关于股票投资比例的有关约定，即不低于资产净值的</w:t>
      </w:r>
      <w:r>
        <w:rPr>
          <w:rFonts w:hint="eastAsia"/>
          <w:bCs/>
          <w:szCs w:val="21"/>
        </w:rPr>
        <w:t>80%</w:t>
      </w:r>
      <w:r>
        <w:rPr>
          <w:rFonts w:hint="eastAsia"/>
          <w:bCs/>
          <w:szCs w:val="21"/>
        </w:rPr>
        <w:t>；</w:t>
      </w:r>
    </w:p>
    <w:p w:rsidR="00C962DA" w:rsidRDefault="006336F8">
      <w:pPr>
        <w:spacing w:line="360" w:lineRule="auto"/>
        <w:ind w:firstLineChars="200" w:firstLine="420"/>
        <w:rPr>
          <w:bCs/>
          <w:szCs w:val="21"/>
        </w:rPr>
      </w:pPr>
      <w:r>
        <w:rPr>
          <w:rFonts w:hint="eastAsia"/>
          <w:bCs/>
          <w:szCs w:val="21"/>
        </w:rPr>
        <w:t>5</w:t>
      </w:r>
      <w:r>
        <w:rPr>
          <w:rFonts w:hint="eastAsia"/>
          <w:bCs/>
          <w:szCs w:val="21"/>
        </w:rPr>
        <w:t>）本基金在任何交易日内交易（不包括平仓）的股指期货合约的成交金额不得超过上一交易日基金资产净值的</w:t>
      </w:r>
      <w:r>
        <w:rPr>
          <w:rFonts w:hint="eastAsia"/>
          <w:bCs/>
          <w:szCs w:val="21"/>
        </w:rPr>
        <w:t>20%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15</w:t>
      </w:r>
      <w:r>
        <w:rPr>
          <w:rFonts w:hint="eastAsia"/>
          <w:bCs/>
          <w:szCs w:val="21"/>
        </w:rPr>
        <w:t>）本基金资产总值不超过基金资产净值的</w:t>
      </w:r>
      <w:r>
        <w:rPr>
          <w:rFonts w:hint="eastAsia"/>
          <w:bCs/>
          <w:szCs w:val="21"/>
        </w:rPr>
        <w:t>140%</w:t>
      </w:r>
      <w:r>
        <w:rPr>
          <w:rFonts w:hint="eastAsia"/>
          <w:bCs/>
          <w:szCs w:val="21"/>
        </w:rPr>
        <w:t>；</w:t>
      </w:r>
    </w:p>
    <w:p w:rsidR="00C962DA" w:rsidRDefault="006336F8">
      <w:pPr>
        <w:spacing w:line="360" w:lineRule="auto"/>
        <w:ind w:firstLineChars="200" w:firstLine="420"/>
        <w:rPr>
          <w:bCs/>
          <w:szCs w:val="21"/>
        </w:rPr>
      </w:pPr>
      <w:r>
        <w:rPr>
          <w:rFonts w:hint="eastAsia"/>
          <w:bCs/>
          <w:szCs w:val="21"/>
        </w:rPr>
        <w:t>（</w:t>
      </w:r>
      <w:r>
        <w:rPr>
          <w:rFonts w:hint="eastAsia"/>
          <w:bCs/>
          <w:szCs w:val="21"/>
        </w:rPr>
        <w:t>16</w:t>
      </w:r>
      <w:r>
        <w:rPr>
          <w:rFonts w:hint="eastAsia"/>
          <w:bCs/>
          <w:szCs w:val="21"/>
        </w:rPr>
        <w:t>）本基金投资存托凭证的比例限制依照境内上市交易的股票执行；</w:t>
      </w:r>
    </w:p>
    <w:p w:rsidR="00C962DA" w:rsidRDefault="006336F8">
      <w:pPr>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）法律法规及中国证监会规定的其他投资比例限制。</w:t>
      </w:r>
    </w:p>
    <w:p w:rsidR="00C962DA" w:rsidRDefault="006336F8">
      <w:pPr>
        <w:spacing w:line="360" w:lineRule="auto"/>
        <w:ind w:firstLineChars="200" w:firstLine="420"/>
        <w:rPr>
          <w:bCs/>
          <w:szCs w:val="21"/>
        </w:rPr>
      </w:pPr>
      <w:r>
        <w:rPr>
          <w:rFonts w:hint="eastAsia"/>
          <w:bCs/>
          <w:szCs w:val="21"/>
        </w:rPr>
        <w:lastRenderedPageBreak/>
        <w:t>除上述（</w:t>
      </w:r>
      <w:r>
        <w:rPr>
          <w:rFonts w:hint="eastAsia"/>
          <w:bCs/>
          <w:szCs w:val="21"/>
        </w:rPr>
        <w:t>2</w:t>
      </w:r>
      <w:r>
        <w:rPr>
          <w:rFonts w:hint="eastAsia"/>
          <w:bCs/>
          <w:szCs w:val="21"/>
        </w:rPr>
        <w:t>）、（</w:t>
      </w:r>
      <w:r>
        <w:rPr>
          <w:rFonts w:hint="eastAsia"/>
          <w:bCs/>
          <w:szCs w:val="21"/>
        </w:rPr>
        <w:t>9</w:t>
      </w:r>
      <w:r>
        <w:rPr>
          <w:rFonts w:hint="eastAsia"/>
          <w:bCs/>
          <w:szCs w:val="21"/>
        </w:rPr>
        <w:t>）、（</w:t>
      </w:r>
      <w:r>
        <w:rPr>
          <w:rFonts w:hint="eastAsia"/>
          <w:bCs/>
          <w:szCs w:val="21"/>
        </w:rPr>
        <w:t>12</w:t>
      </w:r>
      <w:r>
        <w:rPr>
          <w:rFonts w:hint="eastAsia"/>
          <w:bCs/>
          <w:szCs w:val="21"/>
        </w:rPr>
        <w:t>）、（</w:t>
      </w:r>
      <w:r>
        <w:rPr>
          <w:rFonts w:hint="eastAsia"/>
          <w:bCs/>
          <w:szCs w:val="21"/>
        </w:rPr>
        <w:t>13</w:t>
      </w:r>
      <w:r>
        <w:rPr>
          <w:rFonts w:hint="eastAsia"/>
          <w:bCs/>
          <w:szCs w:val="21"/>
        </w:rPr>
        <w:t>）情形之外，因证券、期货市场波动、证券发行人合并、基金规模变动等基金管理人之外的因素致使基金投资比例不符合上述规定投资比例的，基金管理人应当在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个交易日内进行调整，但中国证监会规定的特殊情形除外。法律法规另有规定的，从其规定。</w:t>
      </w:r>
    </w:p>
    <w:p w:rsidR="00C962DA" w:rsidRDefault="006336F8">
      <w:pPr>
        <w:spacing w:line="360" w:lineRule="auto"/>
        <w:ind w:firstLineChars="200" w:firstLine="42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C962DA" w:rsidRDefault="006336F8">
      <w:pPr>
        <w:widowControl/>
        <w:spacing w:line="360" w:lineRule="auto"/>
        <w:ind w:firstLineChars="200" w:firstLine="420"/>
        <w:contextualSpacing/>
        <w:rPr>
          <w:bCs/>
          <w:szCs w:val="21"/>
        </w:rPr>
      </w:pPr>
      <w:r>
        <w:rPr>
          <w:rFonts w:hint="eastAsia"/>
          <w:bCs/>
          <w:szCs w:val="21"/>
        </w:rPr>
        <w:t>法律法规或监管部门取消或变更上述限制，如适用于本基金，基金管理人在履行适当程序后，则本基金投资不再受相关限制或以变更后的规定为准。</w:t>
      </w:r>
    </w:p>
    <w:p w:rsidR="00C962DA" w:rsidRPr="00E56CFD" w:rsidRDefault="006336F8">
      <w:pPr>
        <w:widowControl/>
        <w:spacing w:line="360" w:lineRule="auto"/>
        <w:ind w:firstLineChars="200" w:firstLine="420"/>
        <w:contextualSpacing/>
        <w:rPr>
          <w:kern w:val="0"/>
          <w:szCs w:val="21"/>
        </w:rPr>
      </w:pPr>
      <w:r w:rsidRPr="00E56CFD">
        <w:rPr>
          <w:rFonts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二）基金托管人应根据有关法律法规的规定及《基金合同》的约定，对基金资产净值计算、基金份额净值计算、应收资金到账、基金费用开支及收入确定、基金收益分配、相关信息披露及基金宣传推介材料中登载基金业绩表现数据等进行复核。</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基金合同、本协议规定的，应当及时提示基金管理人，并依照法律法规的规定及时向中国证监会报告。</w:t>
      </w:r>
    </w:p>
    <w:p w:rsidR="00C962DA" w:rsidRPr="00E56CFD" w:rsidRDefault="006336F8">
      <w:pPr>
        <w:spacing w:before="100" w:beforeAutospacing="1" w:after="100" w:afterAutospacing="1" w:line="400" w:lineRule="exact"/>
        <w:ind w:firstLine="420"/>
        <w:rPr>
          <w:szCs w:val="21"/>
        </w:rPr>
      </w:pPr>
      <w:r w:rsidRPr="00E56CFD">
        <w:rPr>
          <w:rFonts w:hint="eastAsia"/>
          <w:szCs w:val="21"/>
        </w:rPr>
        <w:t>（五）基金管理人应积极配合和协助基金托管人的监督和核查，包括但不限于：在规定时间内答复基金托管人并改正，就基金托管人的疑义进行解释或举证，提供相关数据资料和</w:t>
      </w:r>
      <w:r w:rsidRPr="00E56CFD">
        <w:rPr>
          <w:rFonts w:hint="eastAsia"/>
          <w:szCs w:val="21"/>
        </w:rPr>
        <w:lastRenderedPageBreak/>
        <w:t>制度等。</w:t>
      </w:r>
    </w:p>
    <w:p w:rsidR="00C962DA" w:rsidRPr="00E56CFD" w:rsidRDefault="006336F8">
      <w:pPr>
        <w:spacing w:before="100" w:beforeAutospacing="1" w:after="100" w:afterAutospacing="1" w:line="400" w:lineRule="exact"/>
        <w:ind w:firstLine="420"/>
        <w:rPr>
          <w:szCs w:val="21"/>
        </w:rPr>
      </w:pPr>
      <w:r w:rsidRPr="00E56CFD">
        <w:rPr>
          <w:rFonts w:hint="eastAsia"/>
          <w:szCs w:val="21"/>
        </w:rPr>
        <w:t>（六）如启用侧袋机制，在侧袋机制实施期间，本部分约定的投资组合比例、组合限制等约定仅适用于主袋账户。</w:t>
      </w:r>
    </w:p>
    <w:p w:rsidR="00C962DA" w:rsidRPr="00E56CFD" w:rsidRDefault="00C962DA">
      <w:pPr>
        <w:spacing w:before="100" w:beforeAutospacing="1" w:after="100" w:afterAutospacing="1" w:line="400" w:lineRule="exact"/>
        <w:ind w:firstLine="420"/>
        <w:rPr>
          <w:szCs w:val="21"/>
        </w:rPr>
      </w:pPr>
    </w:p>
    <w:p w:rsidR="00C962DA" w:rsidRPr="00E56CFD" w:rsidRDefault="006336F8">
      <w:pPr>
        <w:pStyle w:val="1"/>
        <w:spacing w:before="100" w:beforeAutospacing="1" w:after="100" w:afterAutospacing="1" w:line="400" w:lineRule="exact"/>
        <w:ind w:firstLine="422"/>
        <w:rPr>
          <w:sz w:val="21"/>
          <w:szCs w:val="21"/>
        </w:rPr>
      </w:pPr>
      <w:r w:rsidRPr="00E56CFD">
        <w:rPr>
          <w:rFonts w:hint="eastAsia"/>
          <w:sz w:val="21"/>
          <w:szCs w:val="21"/>
        </w:rPr>
        <w:t>四、基金管理人对基金托管人的业务核查</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1</w:t>
      </w:r>
      <w:r w:rsidRPr="00E56CFD">
        <w:rPr>
          <w:szCs w:val="21"/>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w:t>
      </w:r>
      <w:r w:rsidRPr="00E56CFD">
        <w:rPr>
          <w:rFonts w:hint="eastAsia"/>
          <w:szCs w:val="21"/>
        </w:rPr>
        <w:t>基金份额净值、根据基金管理人指令办理清算交收、相关信息披露和监督基金投资运作等行为。</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2</w:t>
      </w:r>
      <w:r w:rsidRPr="00E56CFD">
        <w:rPr>
          <w:szCs w:val="21"/>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3</w:t>
      </w:r>
      <w:r w:rsidRPr="00E56CFD">
        <w:rPr>
          <w:szCs w:val="21"/>
        </w:rPr>
        <w:t>、基金托管人应积极配合基金管理人的核查行为，包括但不限于：提交相关资料以供基金管理人核查</w:t>
      </w:r>
      <w:r w:rsidRPr="00E56CFD">
        <w:rPr>
          <w:rFonts w:hint="eastAsia"/>
          <w:szCs w:val="21"/>
        </w:rPr>
        <w:t>基金财产的完整性和真实性，在规定时间内答复基金管理人并改正。</w:t>
      </w:r>
    </w:p>
    <w:p w:rsidR="00C962DA" w:rsidRPr="00E56CFD" w:rsidRDefault="006336F8">
      <w:pPr>
        <w:pStyle w:val="1"/>
        <w:spacing w:before="100" w:beforeAutospacing="1" w:after="100" w:afterAutospacing="1" w:line="400" w:lineRule="exact"/>
        <w:ind w:firstLine="422"/>
        <w:rPr>
          <w:sz w:val="21"/>
          <w:szCs w:val="21"/>
        </w:rPr>
      </w:pPr>
      <w:bookmarkStart w:id="6" w:name="_Toc116900099"/>
      <w:r w:rsidRPr="00E56CFD">
        <w:rPr>
          <w:rFonts w:hint="eastAsia"/>
          <w:sz w:val="21"/>
          <w:szCs w:val="21"/>
        </w:rPr>
        <w:t>五、基金财产的保管</w:t>
      </w:r>
      <w:bookmarkEnd w:id="6"/>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（一）基金财产保管的原则</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1</w:t>
      </w:r>
      <w:r w:rsidRPr="00E56CFD">
        <w:rPr>
          <w:szCs w:val="21"/>
        </w:rPr>
        <w:t>、</w:t>
      </w:r>
      <w:r w:rsidRPr="00E56CFD">
        <w:rPr>
          <w:rFonts w:hint="eastAsia"/>
          <w:szCs w:val="21"/>
        </w:rPr>
        <w:t>基金财产应独立于基金管理人、基金托管人、证券经纪商的固有财产。</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2</w:t>
      </w:r>
      <w:r w:rsidRPr="00E56CFD">
        <w:rPr>
          <w:szCs w:val="21"/>
        </w:rPr>
        <w:t>、基金托管人应安全保管基金财产，</w:t>
      </w:r>
      <w:r w:rsidRPr="00E56CFD">
        <w:rPr>
          <w:rFonts w:hint="eastAsia"/>
          <w:szCs w:val="21"/>
        </w:rPr>
        <w:t>未经基金管理人的合法合规指令或法律法规、《基金合同》及本协议另有约定，不得自行运用、处分、分配基金的任何财产。</w:t>
      </w:r>
    </w:p>
    <w:p w:rsidR="00C962DA" w:rsidRPr="00E56CFD" w:rsidRDefault="006336F8">
      <w:pPr>
        <w:adjustRightInd w:val="0"/>
        <w:snapToGrid w:val="0"/>
        <w:spacing w:before="100" w:beforeAutospacing="1" w:after="100" w:afterAutospacing="1" w:line="400" w:lineRule="exact"/>
        <w:ind w:firstLineChars="200" w:firstLine="420"/>
        <w:rPr>
          <w:color w:val="FF0000"/>
          <w:szCs w:val="21"/>
        </w:rPr>
      </w:pPr>
      <w:r w:rsidRPr="00E56CFD">
        <w:rPr>
          <w:szCs w:val="21"/>
        </w:rPr>
        <w:t>3</w:t>
      </w:r>
      <w:r w:rsidRPr="00E56CFD">
        <w:rPr>
          <w:szCs w:val="21"/>
        </w:rPr>
        <w:t>、基金托管人按照规定开设基金财产的资金账户、证券账户等投资所需账户。</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sz w:val="21"/>
          <w:szCs w:val="21"/>
        </w:rPr>
        <w:t>4</w:t>
      </w:r>
      <w:r w:rsidRPr="00E56CFD">
        <w:rPr>
          <w:rFonts w:ascii="Times New Roman" w:eastAsia="宋体" w:hAnsi="Times New Roman"/>
          <w:sz w:val="21"/>
          <w:szCs w:val="21"/>
        </w:rPr>
        <w:t>、基金托管人对所托管的不同基金财产分别设置账户，确保基金财产的完整与独立。</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lastRenderedPageBreak/>
        <w:t>5</w:t>
      </w:r>
      <w:r w:rsidRPr="00E56CFD">
        <w:rPr>
          <w:rFonts w:ascii="Times New Roman" w:eastAsia="宋体" w:hAnsi="Times New Roman"/>
          <w:color w:val="auto"/>
          <w:sz w:val="21"/>
          <w:szCs w:val="21"/>
        </w:rPr>
        <w:t>、除依据《基金法》、《运作办法》、《基金合同》及其他有关法律法规规定外，基金托管人不得委托第三人托管基金财产。</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（二）基金合同生效前募集资金的验资和入账</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、基金募集期满或基金管理人宣布停止募集时，</w:t>
      </w:r>
      <w:r w:rsidRPr="00E56CFD">
        <w:rPr>
          <w:rFonts w:ascii="Times New Roman" w:eastAsia="宋体" w:hAnsi="Times New Roman" w:hint="eastAsia"/>
          <w:color w:val="auto"/>
          <w:sz w:val="21"/>
          <w:szCs w:val="21"/>
        </w:rPr>
        <w:t>发起资金提供方认购金额及承诺持有期限</w:t>
      </w:r>
      <w:r w:rsidRPr="00E56CFD">
        <w:rPr>
          <w:rFonts w:ascii="Times New Roman" w:eastAsia="宋体" w:hAnsi="Times New Roman" w:hint="eastAsia"/>
          <w:sz w:val="21"/>
          <w:szCs w:val="21"/>
        </w:rPr>
        <w:t>符合《基金法》、《运作办法》等有关规定的，</w:t>
      </w:r>
      <w:r w:rsidRPr="00E56CFD">
        <w:rPr>
          <w:rFonts w:ascii="Times New Roman" w:eastAsia="宋体" w:hAnsi="Times New Roman" w:hint="eastAsia"/>
          <w:color w:val="auto"/>
          <w:sz w:val="21"/>
          <w:szCs w:val="21"/>
        </w:rPr>
        <w:t>由基金管理人在法定期限内聘请符合《中华人民共和国证券法》规定的会计师事务所对基金进行验资，并出具验资报告</w:t>
      </w:r>
      <w:r w:rsidRPr="00E56CFD">
        <w:rPr>
          <w:rFonts w:ascii="Times New Roman" w:eastAsia="宋体" w:hAnsi="Times New Roman" w:hint="eastAsia"/>
          <w:sz w:val="21"/>
          <w:szCs w:val="21"/>
          <w:lang w:bidi="ar"/>
        </w:rPr>
        <w:t>，验资机构需在验资报告中对发起资金提供方及其持有份额进行专门说明</w:t>
      </w:r>
      <w:r w:rsidRPr="00E56CFD">
        <w:rPr>
          <w:rFonts w:ascii="Times New Roman" w:eastAsia="宋体" w:hAnsi="Times New Roman" w:hint="eastAsia"/>
          <w:color w:val="auto"/>
          <w:sz w:val="21"/>
          <w:szCs w:val="21"/>
        </w:rPr>
        <w:t>，出具的验资报告应由参加验资的</w:t>
      </w:r>
      <w:r w:rsidRPr="00E56CFD">
        <w:rPr>
          <w:rFonts w:ascii="Times New Roman" w:eastAsia="宋体" w:hAnsi="Times New Roman"/>
          <w:color w:val="auto"/>
          <w:sz w:val="21"/>
          <w:szCs w:val="21"/>
        </w:rPr>
        <w:t>2</w:t>
      </w:r>
      <w:r w:rsidRPr="00E56CFD">
        <w:rPr>
          <w:rFonts w:ascii="Times New Roman" w:eastAsia="宋体" w:hAnsi="Times New Roman" w:hint="eastAsia"/>
          <w:color w:val="auto"/>
          <w:sz w:val="21"/>
          <w:szCs w:val="21"/>
        </w:rPr>
        <w:t>名以上（含</w:t>
      </w:r>
      <w:r w:rsidRPr="00E56CFD">
        <w:rPr>
          <w:rFonts w:ascii="Times New Roman" w:eastAsia="宋体" w:hAnsi="Times New Roman"/>
          <w:color w:val="auto"/>
          <w:sz w:val="21"/>
          <w:szCs w:val="21"/>
        </w:rPr>
        <w:t>2</w:t>
      </w:r>
      <w:r w:rsidRPr="00E56CFD">
        <w:rPr>
          <w:rFonts w:ascii="Times New Roman" w:eastAsia="宋体" w:hAnsi="Times New Roman" w:hint="eastAsia"/>
          <w:color w:val="auto"/>
          <w:sz w:val="21"/>
          <w:szCs w:val="21"/>
        </w:rPr>
        <w:t>名）中国注册会计师签字方为有效。</w:t>
      </w:r>
    </w:p>
    <w:p w:rsidR="00C962DA" w:rsidRPr="00E56CFD" w:rsidRDefault="006336F8">
      <w:pPr>
        <w:pStyle w:val="a7"/>
        <w:spacing w:before="100" w:beforeAutospacing="1" w:after="100" w:afterAutospacing="1"/>
        <w:ind w:firstLine="403"/>
        <w:rPr>
          <w:rFonts w:ascii="Times New Roman" w:eastAsia="宋体" w:hAnsi="Times New Roman"/>
          <w:sz w:val="21"/>
          <w:szCs w:val="21"/>
        </w:rPr>
      </w:pPr>
      <w:r w:rsidRPr="00E56CFD">
        <w:rPr>
          <w:rFonts w:ascii="Times New Roman" w:eastAsia="宋体" w:hAnsi="Times New Roman"/>
          <w:sz w:val="21"/>
          <w:szCs w:val="21"/>
        </w:rPr>
        <w:t>2</w:t>
      </w:r>
      <w:r w:rsidRPr="00E56CFD">
        <w:rPr>
          <w:rFonts w:ascii="Times New Roman" w:eastAsia="宋体" w:hAnsi="Times New Roman"/>
          <w:sz w:val="21"/>
          <w:szCs w:val="21"/>
        </w:rPr>
        <w:t>、基金管理人应将属于本基金财产的全部资金划入在基金托管人处为本基金开立的基金银行账户中，并确保划入的资金与验资确认金额相一致。</w:t>
      </w:r>
    </w:p>
    <w:p w:rsidR="00C962DA" w:rsidRPr="00E56CFD" w:rsidRDefault="006336F8">
      <w:pPr>
        <w:pStyle w:val="a7"/>
        <w:spacing w:before="100" w:beforeAutospacing="1" w:after="100" w:afterAutospacing="1"/>
        <w:ind w:firstLine="403"/>
        <w:rPr>
          <w:rFonts w:ascii="Times New Roman" w:eastAsia="宋体" w:hAnsi="Times New Roman"/>
          <w:sz w:val="21"/>
          <w:szCs w:val="21"/>
        </w:rPr>
      </w:pPr>
      <w:r w:rsidRPr="00E56CFD">
        <w:rPr>
          <w:rFonts w:ascii="Times New Roman" w:eastAsia="宋体" w:hAnsi="Times New Roman"/>
          <w:sz w:val="21"/>
          <w:szCs w:val="21"/>
          <w:lang w:bidi="ar"/>
        </w:rPr>
        <w:t>3</w:t>
      </w:r>
      <w:r w:rsidRPr="00E56CFD">
        <w:rPr>
          <w:rFonts w:ascii="Times New Roman" w:eastAsia="宋体" w:hAnsi="Times New Roman" w:hint="eastAsia"/>
          <w:sz w:val="21"/>
          <w:szCs w:val="21"/>
          <w:lang w:bidi="ar"/>
        </w:rPr>
        <w:t>、若基金募集期限届满，未能达到基金合同生效的条件，由基金管理人按规定办理退款等事宜，基金托管人应提供充分协助。</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（三）基金的银行账户的开设和管理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、基金托管人应负责本基金的银行账户的开设和管理。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、基金托管人以本基金的名义开设本基金的银行账户</w:t>
      </w:r>
      <w:r w:rsidRPr="00E56CFD">
        <w:rPr>
          <w:rFonts w:ascii="Times New Roman" w:eastAsia="宋体" w:hAnsi="Times New Roman" w:hint="eastAsia"/>
          <w:sz w:val="21"/>
          <w:szCs w:val="21"/>
          <w:lang w:bidi="ar"/>
        </w:rPr>
        <w:t>（亦称“托管账户”）</w:t>
      </w:r>
      <w:r w:rsidRPr="00E56CFD">
        <w:rPr>
          <w:rFonts w:ascii="Times New Roman" w:eastAsia="宋体" w:hAnsi="Times New Roman" w:hint="eastAsia"/>
          <w:color w:val="auto"/>
          <w:sz w:val="21"/>
          <w:szCs w:val="21"/>
        </w:rPr>
        <w:t>。本基金的银行预留印鉴由基金托管人保管和使用。本基金除证券交易所场内交易以外的一切货币收支活动包括但不限于投资、支付赎回金额、支付基金收益、收取申购款，均需通过本基金的银行账户进行。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、本基金银行账户的开立和使用，限于满足开展本基金业务的需要。基金托管人和基金管理人不得假借本基金的名义开立其他任何银行账户；亦不得使用本基金的银行账户进行本基金业务以外的活动。</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color w:val="auto"/>
          <w:sz w:val="21"/>
          <w:szCs w:val="21"/>
        </w:rPr>
        <w:t>、基金银行账户的管理应符合法律法规的有关规定。</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（四）基金进行定期存款投资的账户开设和管理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基金管理人以基金名义在</w:t>
      </w:r>
      <w:r w:rsidRPr="00E56CFD">
        <w:rPr>
          <w:rFonts w:ascii="Times New Roman" w:eastAsia="宋体" w:hAnsi="Times New Roman" w:hint="eastAsia"/>
          <w:sz w:val="21"/>
          <w:szCs w:val="21"/>
          <w:lang w:bidi="ar"/>
        </w:rPr>
        <w:t>符合法律法规规定</w:t>
      </w:r>
      <w:r w:rsidRPr="00E56CFD">
        <w:rPr>
          <w:rFonts w:ascii="Times New Roman" w:eastAsia="宋体" w:hAnsi="Times New Roman" w:hint="eastAsia"/>
          <w:color w:val="auto"/>
          <w:sz w:val="21"/>
          <w:szCs w:val="21"/>
        </w:rPr>
        <w:t>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lastRenderedPageBreak/>
        <w:t>（五）基金证券账户及其他投资账户的开设和管理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、基金托管人应当代表本基金，以基金托管人和本基金联名的方式在中国证券登记结算有限责任公司开设证券账户。</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、本基金证券账户的开立和使用，限于满足开展本基金业务的需要。基金托管人和基金管理人不得出借或转让本基金的证券账户，亦不得使用本基金的证券账户进行本基金业务以外的活动。</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sz w:val="21"/>
          <w:szCs w:val="21"/>
        </w:rPr>
        <w:t>3</w:t>
      </w:r>
      <w:r w:rsidRPr="00E56CFD">
        <w:rPr>
          <w:rFonts w:ascii="Times New Roman" w:eastAsia="宋体" w:hAnsi="Times New Roman" w:hint="eastAsia"/>
          <w:sz w:val="21"/>
          <w:szCs w:val="21"/>
        </w:rPr>
        <w:t>、</w:t>
      </w:r>
      <w:r w:rsidRPr="00E56CFD">
        <w:rPr>
          <w:rFonts w:ascii="Times New Roman" w:eastAsia="宋体" w:hAnsi="Times New Roman" w:hint="eastAsia"/>
          <w:color w:val="auto"/>
          <w:sz w:val="21"/>
          <w:szCs w:val="21"/>
        </w:rPr>
        <w:t>在本托管协议生效日之后，本基金被允许从事其他投资品种的投资业务的，涉及相关账户的开设、使用的，若无相关规定，则基金托管人应当比照并遵守上述关于账户开设、使用的规定。</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（六）债券托管专户的开设和管理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r w:rsidRPr="00E56CFD">
        <w:rPr>
          <w:rFonts w:ascii="Times New Roman" w:hAnsi="Times New Roman" w:hint="eastAsia"/>
          <w:color w:val="auto"/>
          <w:sz w:val="21"/>
        </w:rPr>
        <w:t>。</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（七）证券资金账户的开立和管理</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商的规定执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、基金管理人以本基金名义在基金管理人选择的证券经纪商营业网点开立证券资金账户，并按照该营业网点开户的流程和要求，签订相关的协议。证券资金账户与基金托管银行账户建立第三方存管关系。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（八）基金财产投资的有关有价凭证的保管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基金财产投资的实物证券、银行定期存款存单等有价凭证由基金托管人负责妥善保管。基金托管人对其以外机构实际有效控制的有价凭证不承担责任。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（九）与基金财产有关的重大合同及有关凭证的保管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lastRenderedPageBreak/>
        <w:t>基金托管人按照法律法规保管由基金管理人代表基金签署的与基金有关的重大合同及有关凭证。基金管理人代表基金签署有关重大合同后应在收到合同正本后</w:t>
      </w:r>
      <w:r w:rsidRPr="00E56CFD">
        <w:rPr>
          <w:rFonts w:ascii="Times New Roman" w:eastAsia="宋体" w:hAnsi="Times New Roman"/>
          <w:color w:val="auto"/>
          <w:sz w:val="21"/>
          <w:szCs w:val="21"/>
        </w:rPr>
        <w:t>30</w:t>
      </w:r>
      <w:r w:rsidRPr="00E56CFD">
        <w:rPr>
          <w:rFonts w:ascii="Times New Roman" w:eastAsia="宋体" w:hAnsi="Times New Roman"/>
          <w:color w:val="auto"/>
          <w:sz w:val="21"/>
          <w:szCs w:val="21"/>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期限不少于法律法规的规定。</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对于无法取得二份以上的正本的，基金管理人应向基金托管人提供与合同原件核对一致并加盖公章的合同复印件或传真件，未经双方协商一致，合同原件不得转移。</w:t>
      </w:r>
    </w:p>
    <w:p w:rsidR="00C962DA" w:rsidRPr="00E56CFD" w:rsidRDefault="006336F8">
      <w:pPr>
        <w:pStyle w:val="1"/>
        <w:spacing w:before="100" w:beforeAutospacing="1" w:after="100" w:afterAutospacing="1" w:line="400" w:lineRule="exact"/>
        <w:ind w:firstLine="422"/>
        <w:rPr>
          <w:sz w:val="21"/>
          <w:szCs w:val="21"/>
        </w:rPr>
      </w:pPr>
      <w:bookmarkStart w:id="7" w:name="_Toc116900100"/>
      <w:r w:rsidRPr="00E56CFD">
        <w:rPr>
          <w:rFonts w:hint="eastAsia"/>
          <w:sz w:val="21"/>
          <w:szCs w:val="21"/>
        </w:rPr>
        <w:t>六、指令的发送、确认及执行</w:t>
      </w:r>
      <w:bookmarkEnd w:id="7"/>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基金管理人发送的指令包括电子指令和线下指令。</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电子指令包括基金管理人发送的电子指令（采用深证通金融数据交换平台发送的电子指令、采用</w:t>
      </w:r>
      <w:r w:rsidRPr="00E56CFD">
        <w:rPr>
          <w:rFonts w:ascii="Times New Roman" w:eastAsia="宋体" w:hAnsi="Times New Roman"/>
          <w:color w:val="auto"/>
          <w:sz w:val="21"/>
          <w:szCs w:val="21"/>
        </w:rPr>
        <w:t>SWIFT</w:t>
      </w:r>
      <w:r w:rsidRPr="00E56CFD">
        <w:rPr>
          <w:rFonts w:ascii="Times New Roman" w:eastAsia="宋体" w:hAnsi="Times New Roman"/>
          <w:color w:val="auto"/>
          <w:sz w:val="21"/>
          <w:szCs w:val="21"/>
        </w:rPr>
        <w:t>电子报文发送的电子指令、通过中国银行托管网银发送的电子指令）、自动产生的电子指令（基金托管人的全球托管系统根据基金管理人的授权通过预先设定的业务规则自动产生的电子指令）。电子指令一经发出即被视为合法有效指令。基金管理人通过深证通金融数据交换平台发送的电子指令，基金托管人根据</w:t>
      </w:r>
      <w:r w:rsidRPr="00E56CFD">
        <w:rPr>
          <w:rFonts w:ascii="Times New Roman" w:eastAsia="宋体" w:hAnsi="Times New Roman"/>
          <w:color w:val="auto"/>
          <w:sz w:val="21"/>
          <w:szCs w:val="21"/>
        </w:rPr>
        <w:t>USER ID</w:t>
      </w:r>
      <w:r w:rsidRPr="00E56CFD">
        <w:rPr>
          <w:rFonts w:ascii="Times New Roman" w:eastAsia="宋体" w:hAnsi="Times New Roman"/>
          <w:color w:val="auto"/>
          <w:sz w:val="21"/>
          <w:szCs w:val="21"/>
        </w:rPr>
        <w:t>和</w:t>
      </w:r>
      <w:r w:rsidRPr="00E56CFD">
        <w:rPr>
          <w:rFonts w:ascii="Times New Roman" w:eastAsia="宋体" w:hAnsi="Times New Roman"/>
          <w:color w:val="auto"/>
          <w:sz w:val="21"/>
          <w:szCs w:val="21"/>
        </w:rPr>
        <w:t>APP ID</w:t>
      </w:r>
      <w:r w:rsidRPr="00E56CFD">
        <w:rPr>
          <w:rFonts w:ascii="Times New Roman" w:eastAsia="宋体" w:hAnsi="Times New Roman"/>
          <w:color w:val="auto"/>
          <w:sz w:val="21"/>
          <w:szCs w:val="21"/>
        </w:rPr>
        <w:t>唯一识别基金管理人身份，基金管理人应妥善保管</w:t>
      </w:r>
      <w:r w:rsidRPr="00E56CFD">
        <w:rPr>
          <w:rFonts w:ascii="Times New Roman" w:eastAsia="宋体" w:hAnsi="Times New Roman"/>
          <w:color w:val="auto"/>
          <w:sz w:val="21"/>
          <w:szCs w:val="21"/>
        </w:rPr>
        <w:t>USER ID</w:t>
      </w:r>
      <w:r w:rsidRPr="00E56CFD">
        <w:rPr>
          <w:rFonts w:ascii="Times New Roman" w:eastAsia="宋体" w:hAnsi="Times New Roman"/>
          <w:color w:val="auto"/>
          <w:sz w:val="21"/>
          <w:szCs w:val="21"/>
        </w:rPr>
        <w:t>和</w:t>
      </w:r>
      <w:r w:rsidRPr="00E56CFD">
        <w:rPr>
          <w:rFonts w:ascii="Times New Roman" w:eastAsia="宋体" w:hAnsi="Times New Roman"/>
          <w:color w:val="auto"/>
          <w:sz w:val="21"/>
          <w:szCs w:val="21"/>
        </w:rPr>
        <w:t>APP ID</w:t>
      </w:r>
      <w:r w:rsidRPr="00E56CFD">
        <w:rPr>
          <w:rFonts w:ascii="Times New Roman" w:eastAsia="宋体" w:hAnsi="Times New Roman"/>
          <w:color w:val="auto"/>
          <w:sz w:val="21"/>
          <w:szCs w:val="21"/>
        </w:rPr>
        <w:t>，基金托管人身份识别后对于执行该电子指令造成的</w:t>
      </w:r>
      <w:r w:rsidRPr="00E56CFD">
        <w:rPr>
          <w:rFonts w:ascii="Times New Roman" w:eastAsia="宋体" w:hAnsi="Times New Roman" w:hint="eastAsia"/>
          <w:color w:val="auto"/>
          <w:sz w:val="21"/>
          <w:szCs w:val="21"/>
        </w:rPr>
        <w:t>相应损失基金托管人不承担责任。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线下指令的传送方式为传真、邮件等双方认可的方式。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（一）基金管理人对发送线下指令人员的书面授权</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、基金管理人应当事先向基金托管人发出书面通知（以下称</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授权通知</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），载明基金管理人有权发送指令的人员名单（以下称</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指令发送人员</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）及各个人员的权限范围。基金管理人应向基金托管人提供指令发送人员的人名印鉴的预留印鉴样本和签字样本。</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、基金管理人向基金托管人发出的授权通知应加盖公章</w:t>
      </w:r>
      <w:r>
        <w:rPr>
          <w:rFonts w:ascii="Times New Roman" w:eastAsia="宋体" w:hAnsi="Times New Roman"/>
          <w:color w:val="auto"/>
          <w:sz w:val="21"/>
          <w:szCs w:val="21"/>
        </w:rPr>
        <w:t>并由法定代表人或其授权签字人签署，若由授权签字人签署，还应附上法定代表人的授权书</w:t>
      </w:r>
      <w:r w:rsidRPr="00E56CFD">
        <w:rPr>
          <w:rFonts w:ascii="Times New Roman" w:eastAsia="宋体" w:hAnsi="Times New Roman"/>
          <w:color w:val="auto"/>
          <w:sz w:val="21"/>
          <w:szCs w:val="21"/>
        </w:rPr>
        <w:t>。基金管理人向基金托管人以传真的形式发送授权通知后同时电话通知基金托管人。授权通知自基金托管人接到基金管理人的电话确认后于通知载明的生效时间起生效。通知载明的生效时间不得早于电话确认时间，如早于电话确认时间的，授权通知自基金托管人电话确认后生效。基金管理人在此后</w:t>
      </w: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个工作日内将授权通知原件送交基金托管人。</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lastRenderedPageBreak/>
        <w:t>3</w:t>
      </w:r>
      <w:r w:rsidRPr="00E56CFD">
        <w:rPr>
          <w:rFonts w:ascii="Times New Roman" w:eastAsia="宋体" w:hAnsi="Times New Roman"/>
          <w:color w:val="auto"/>
          <w:sz w:val="21"/>
          <w:szCs w:val="21"/>
        </w:rPr>
        <w:t>、基金管理人和基金托管人对授权通知及其更改负有保密义务，其内容不得向指令发送人员及相关操作人员以外的任何人披露、泄露。</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（二）指令的内容</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指令是基金管理人在运作基金财产时，向基金托管人发出的资金划拨及投资指令。</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（三）指令的发送、确认和执行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、线下指令由</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授权通知</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基金管理人应按照《基金法》、《运作办法》、《基金合同》和有关法律法规的规定，在其合法的经营权限和交易权限内，并依据相关业务规则发送指令。指令发出后，基金管理人应及时通过电话或其他双方认可的方式通知基金托管人，基金管理人应确保基金托管人收到指令。</w:t>
      </w:r>
      <w:r w:rsidRPr="00E56CFD">
        <w:rPr>
          <w:rFonts w:ascii="Times New Roman" w:eastAsia="宋体" w:hAnsi="Times New Roman"/>
          <w:color w:val="auto"/>
          <w:sz w:val="21"/>
          <w:szCs w:val="21"/>
        </w:rPr>
        <w:t xml:space="preserve"> </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、基金托管人在接</w:t>
      </w:r>
      <w:r w:rsidRPr="00E56CFD">
        <w:rPr>
          <w:rFonts w:ascii="Times New Roman" w:eastAsia="宋体" w:hAnsi="Times New Roman" w:hint="eastAsia"/>
          <w:color w:val="auto"/>
          <w:sz w:val="21"/>
          <w:szCs w:val="21"/>
        </w:rPr>
        <w:t>收线下指令时，应对指令的要素是否齐全、印鉴是否与授权通知相符等进行表面一致性的检查，对合法合规的指令，基金托管人应在规定期限内执行，不得</w:t>
      </w:r>
      <w:r w:rsidRPr="00E56CFD">
        <w:rPr>
          <w:rFonts w:ascii="Times New Roman" w:eastAsia="宋体" w:hAnsi="Times New Roman" w:hint="eastAsia"/>
          <w:sz w:val="21"/>
          <w:szCs w:val="21"/>
        </w:rPr>
        <w:t>不合理</w:t>
      </w:r>
      <w:r w:rsidRPr="00E56CFD">
        <w:rPr>
          <w:rFonts w:ascii="Times New Roman" w:eastAsia="宋体" w:hAnsi="Times New Roman" w:hint="eastAsia"/>
          <w:color w:val="auto"/>
          <w:sz w:val="21"/>
          <w:szCs w:val="21"/>
        </w:rPr>
        <w:t>延误。</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hint="eastAsia"/>
          <w:color w:val="auto"/>
          <w:sz w:val="21"/>
          <w:szCs w:val="21"/>
        </w:rPr>
        <w:t>、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5</w:t>
      </w:r>
      <w:r w:rsidRPr="00E56CFD">
        <w:rPr>
          <w:rFonts w:ascii="Times New Roman" w:eastAsia="宋体" w:hAnsi="Times New Roman"/>
          <w:color w:val="auto"/>
          <w:sz w:val="21"/>
          <w:szCs w:val="21"/>
        </w:rPr>
        <w:t>、基金管理人在发送指令时，应为基金托管人执行指令留出执行指令时所必需的时间。</w:t>
      </w:r>
      <w:bookmarkStart w:id="8" w:name="OLE_LINK2"/>
      <w:bookmarkStart w:id="9" w:name="OLE_LINK1"/>
      <w:r w:rsidRPr="00E56CFD">
        <w:rPr>
          <w:rFonts w:ascii="Times New Roman" w:eastAsia="宋体" w:hAnsi="Times New Roman" w:hint="eastAsia"/>
          <w:color w:val="auto"/>
          <w:sz w:val="21"/>
          <w:szCs w:val="21"/>
        </w:rPr>
        <w:t>指令传输不及时未能留出足够的执行时间，致使指令未能及时执行所造成的损失由基金管理人承担。</w:t>
      </w:r>
      <w:bookmarkEnd w:id="8"/>
      <w:bookmarkEnd w:id="9"/>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（四）基金管理人发送错误指令的情形和处理程序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基金管理人发送错误指令的情形主要包括：指令要素错误、预留印鉴错误等情形。</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基金托管人发现基金管理人的指令错误时，有权拒绝执行，并及时通知基金管理人改正。</w:t>
      </w:r>
      <w:r w:rsidRPr="00E56CFD">
        <w:rPr>
          <w:rFonts w:ascii="Times New Roman" w:eastAsia="宋体" w:hAnsi="Times New Roman" w:hint="eastAsia"/>
          <w:color w:val="auto"/>
          <w:sz w:val="21"/>
          <w:szCs w:val="21"/>
        </w:rPr>
        <w:lastRenderedPageBreak/>
        <w:t>对基金管理人更正并重新发送后的指令经基金托管人核对确认后方能执行。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（五）基金托管人依照法律法规暂缓、拒绝执行指令的情形和处理程序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托管人发现基金管理人的指令违反法律法规规定或者《基金合同》约定，应当不予执行，并及时通知基金管理人要求其变更或撤销相关指令，若基金管理人在基金托管人发出上述通知后仍未变更或撤销相关指令，基金托管人应当拒绝执行，并向中国证监会报告。</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向基金托管人下达指令时，应确保基金的银行存款账户有足够的资金余额。对超头寸的指令，基金托管人可不予执行，但应及时通知基金管理人，由此造成的损失，由基金管理人承担（不可抗力或基金管理人无法控制的因素造成的除外）。</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（六）基金托管人未按照基金管理人指令执行的处理方法</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基金托管人因未正确执行基金管理人合法合规的指令，致使本基金的利益受到损害，基金托管人应承担相应的责任。除此之外，基金托管人对执行基金管理人的合法合规指令对基金造成的损失不承担相应责任。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（七）被授权人员及授权权限的变更</w:t>
      </w:r>
      <w:r w:rsidRPr="00E56CFD">
        <w:rPr>
          <w:rFonts w:ascii="Times New Roman" w:eastAsia="宋体" w:hAnsi="Times New Roman"/>
          <w:color w:val="auto"/>
          <w:sz w:val="21"/>
          <w:szCs w:val="21"/>
        </w:rPr>
        <w:tab/>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基金管理人若对授权通知的内容进行修改（包括但不限于指令发送人员的名单的修改，及</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或权限的修改），应当至少提前</w:t>
      </w: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个工作日通知基金托管人；修改授权通知的文件应由基金管理人加盖公章</w:t>
      </w:r>
      <w:r>
        <w:rPr>
          <w:rFonts w:ascii="Times New Roman" w:eastAsia="宋体" w:hAnsi="Times New Roman"/>
          <w:color w:val="auto"/>
          <w:sz w:val="21"/>
          <w:szCs w:val="21"/>
        </w:rPr>
        <w:t>并由法定代表人或其授权签字人签署，若由授权签字人签署，还应附上法定代表人的授权书</w:t>
      </w:r>
      <w:r w:rsidRPr="00E56CFD">
        <w:rPr>
          <w:rFonts w:ascii="Times New Roman" w:eastAsia="宋体" w:hAnsi="Times New Roman"/>
          <w:color w:val="auto"/>
          <w:sz w:val="21"/>
          <w:szCs w:val="21"/>
        </w:rPr>
        <w:t>。基金管理人对授权通知的修改应当以传真的形式发送给基金托管人，同时电话通知基金托管人。基金管理人对授权通知的内容的修改自基金托管人电话确认后于通知载明的生效时间起生效。通知载明的生效时间不得早于电话确认时间，如早于电话确认时间的，授权通知自基金托管人电话确认后生效。基金管理人在此后</w:t>
      </w: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个工作日内将对授权通知修改的文件原件送交基金托管人。</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0" w:name="_Toc116900101"/>
      <w:r w:rsidRPr="00E56CFD">
        <w:rPr>
          <w:rFonts w:hint="eastAsia"/>
          <w:sz w:val="21"/>
          <w:szCs w:val="21"/>
        </w:rPr>
        <w:t>七、交易及清算交收安排</w:t>
      </w:r>
      <w:bookmarkEnd w:id="10"/>
    </w:p>
    <w:p w:rsidR="00C962DA" w:rsidRPr="00E56CFD" w:rsidRDefault="006336F8">
      <w:pPr>
        <w:pStyle w:val="30"/>
        <w:spacing w:before="100" w:beforeAutospacing="1" w:after="100" w:afterAutospacing="1" w:line="400" w:lineRule="exact"/>
        <w:ind w:left="0" w:firstLine="403"/>
        <w:rPr>
          <w:rFonts w:eastAsia="宋体"/>
          <w:b/>
          <w:sz w:val="21"/>
          <w:szCs w:val="21"/>
        </w:rPr>
      </w:pPr>
      <w:r w:rsidRPr="00E56CFD">
        <w:rPr>
          <w:rFonts w:eastAsia="宋体" w:hint="eastAsia"/>
          <w:sz w:val="21"/>
          <w:szCs w:val="21"/>
        </w:rPr>
        <w:t>（一）基金管理人负责选择代理本基金证券、期货买卖的证券、期货经纪机构。</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、选择代理证券买卖的证券经纪机构的程序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lang w:bidi="en-US"/>
        </w:rPr>
        <w:t>基金管理人应制定选择代理证券买卖的证券经纪机构的标准和程序。</w:t>
      </w:r>
      <w:r w:rsidRPr="00E56CFD">
        <w:rPr>
          <w:rFonts w:ascii="Times New Roman" w:eastAsia="宋体" w:hAnsi="Times New Roman" w:hint="eastAsia"/>
          <w:color w:val="auto"/>
          <w:sz w:val="21"/>
          <w:szCs w:val="21"/>
        </w:rPr>
        <w:t>基金管理人根据相</w:t>
      </w:r>
      <w:r w:rsidRPr="00E56CFD">
        <w:rPr>
          <w:rFonts w:ascii="Times New Roman" w:eastAsia="宋体" w:hAnsi="Times New Roman" w:hint="eastAsia"/>
          <w:color w:val="auto"/>
          <w:sz w:val="21"/>
          <w:szCs w:val="21"/>
        </w:rPr>
        <w:lastRenderedPageBreak/>
        <w:t>关标准进行考察后确定证券经纪机构的选择。基金管理人应代表基金与被选择的证券经纪机构签订证券经纪合同或其他约定的形式。基金管理人、基金托管人和证券经纪机构可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及时以书面形式通知基金托管人，并在法定信息披露公告中披露相关内容。</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、选择代理期货买卖的期货经营机构</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（二）基金清算交收</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本基金通过证券经纪机构进行的交易所场内交易由证券经纪机构作为结算参与人代理本基金进行结算，并承担由证券经纪机构原因造成的正常结算、交收业务无法完成的责任。该证券经纪机构应当具有基金产品的结算经验，有完善的技术设施配备、人员配置和管理制度，能够保障数据接收、发送的及时性和准确性。</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基金托管人以及被选择的证券经纪机构应根据有关法律法规及相关业务规则，签订证券经纪服务协议，用以具体明确三方在证券交易资金结算业务中的责任。证券经纪机构代理本基金财产与中登公司完成证券交易及非交易涉及的证券资金结算业务，并承担由证券经纪机构原因造成的正常结算、交收业务无法完成的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本基金投资于证券发生的所有场外交易的资金清算交收，由基金托管人负责办理。对基金管理人的资金划拨指令，基金托管人在表面一致性检查后应在规定期限内执行，不得不合理延误。如果因为基金管理人违反法律法规的规定进行证券投资或违反双方签订的协议造成基金投资清算困难和风险的，基金托管人发现后应及时通知基金管理人，由基金管理人负责解决，由此给基金造成的损失由基金管理人承担。场外资金对外投资划款由基金托管人凭基金管理人符合本托管协议约定的有效资金划拨指令进行资金划拨；场外投资本金及收益的划回，由基金管理人负责协调相关资金划拨回资金托管账户事宜。</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本基金投资于期货发生的资金交割清算由基金管理人选定的期货经纪公司负责办理，基金托管人对由于期货交易所期货保证金制度和清算交割的需要而存放在期货经纪公司的资金不行使保管职责和交收职责，基金管理人应在期货经纪协议或其它协议中约定由选定的</w:t>
      </w:r>
      <w:r w:rsidRPr="00E56CFD">
        <w:rPr>
          <w:rFonts w:ascii="Times New Roman" w:eastAsia="宋体" w:hAnsi="Times New Roman"/>
          <w:color w:val="auto"/>
          <w:sz w:val="21"/>
          <w:szCs w:val="21"/>
        </w:rPr>
        <w:lastRenderedPageBreak/>
        <w:t>期货经纪公司承担资金安全保管责任和交收责任。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color w:val="auto"/>
          <w:sz w:val="21"/>
          <w:szCs w:val="21"/>
        </w:rPr>
        <w:t>、由于基金管理人或基金托管人原因导致基金资金透支、超买或超卖等情形的，由责任方承担相应的责任。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5</w:t>
      </w:r>
      <w:r w:rsidRPr="00E56CFD">
        <w:rPr>
          <w:rFonts w:ascii="Times New Roman" w:eastAsia="宋体" w:hAnsi="Times New Roman"/>
          <w:color w:val="auto"/>
          <w:sz w:val="21"/>
          <w:szCs w:val="21"/>
        </w:rPr>
        <w:t>、基金管理人应保证基金托管人在执行基金管理人发送的划款指令时，基金银行账户或资金交收账户上有充足的资金。基金的资金头寸不足时，基金托管人有权拒绝基金管理人发送的划款指令，并及时通知管理人，由此造成的损失，由基金管理人负责赔偿。基金管理人在发送划款指令时应充分考虑基金托管人的划款处理时间。对于要求当天到账的指令，应在当天</w:t>
      </w:r>
      <w:r w:rsidRPr="00E56CFD">
        <w:rPr>
          <w:rFonts w:ascii="Times New Roman" w:eastAsia="宋体" w:hAnsi="Times New Roman"/>
          <w:color w:val="auto"/>
          <w:sz w:val="21"/>
          <w:szCs w:val="21"/>
        </w:rPr>
        <w:t>15:00</w:t>
      </w:r>
      <w:r w:rsidRPr="00E56CFD">
        <w:rPr>
          <w:rFonts w:ascii="Times New Roman" w:eastAsia="宋体" w:hAnsi="Times New Roman"/>
          <w:color w:val="auto"/>
          <w:sz w:val="21"/>
          <w:szCs w:val="21"/>
        </w:rPr>
        <w:t>前发送；对于要求当天某一时点到账，则指令需提前</w:t>
      </w: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个工作小时发送，并保证相关付款条件已经具备。对于新股申购网下公开发行业务，基金管理人应在网下申购缴款日</w:t>
      </w:r>
      <w:r w:rsidRPr="00E56CFD">
        <w:rPr>
          <w:rFonts w:ascii="Times New Roman" w:eastAsia="宋体" w:hAnsi="Times New Roman"/>
          <w:color w:val="auto"/>
          <w:sz w:val="21"/>
          <w:szCs w:val="21"/>
        </w:rPr>
        <w:t>(T</w:t>
      </w:r>
      <w:r w:rsidRPr="00E56CFD">
        <w:rPr>
          <w:rFonts w:ascii="Times New Roman" w:eastAsia="宋体" w:hAnsi="Times New Roman"/>
          <w:color w:val="auto"/>
          <w:sz w:val="21"/>
          <w:szCs w:val="21"/>
        </w:rPr>
        <w:t>日</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的前一工作日下班前将新股申购指令发送给基金托管人，指令发送时间最迟不应晚于</w:t>
      </w:r>
      <w:r w:rsidRPr="00E56CFD">
        <w:rPr>
          <w:rFonts w:ascii="Times New Roman" w:eastAsia="宋体" w:hAnsi="Times New Roman"/>
          <w:color w:val="auto"/>
          <w:sz w:val="21"/>
          <w:szCs w:val="21"/>
        </w:rPr>
        <w:t>T</w:t>
      </w:r>
      <w:r w:rsidRPr="00E56CFD">
        <w:rPr>
          <w:rFonts w:ascii="Times New Roman" w:eastAsia="宋体" w:hAnsi="Times New Roman"/>
          <w:color w:val="auto"/>
          <w:sz w:val="21"/>
          <w:szCs w:val="21"/>
        </w:rPr>
        <w:t>日上午</w:t>
      </w:r>
      <w:r w:rsidRPr="00E56CFD">
        <w:rPr>
          <w:rFonts w:ascii="Times New Roman" w:eastAsia="宋体" w:hAnsi="Times New Roman"/>
          <w:color w:val="auto"/>
          <w:sz w:val="21"/>
          <w:szCs w:val="21"/>
        </w:rPr>
        <w:t>10</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00</w:t>
      </w:r>
      <w:r w:rsidRPr="00E56CFD">
        <w:rPr>
          <w:rFonts w:ascii="Times New Roman" w:eastAsia="宋体" w:hAnsi="Times New Roman"/>
          <w:color w:val="auto"/>
          <w:sz w:val="21"/>
          <w:szCs w:val="21"/>
        </w:rPr>
        <w:t>时。</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（三）资金、证券账目和交易记录核对</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基金管理人和基金托管人应对本基金的资金、证券账目、期货账目及交易记录按日进行核对，确保双方账目相符。若基金管理人与基金托管人核对不一致，双方应积极查找原因并纠正。</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（四）申购、赎回和基金转换的资金清算</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1</w:t>
      </w:r>
      <w:r w:rsidRPr="00E56CFD">
        <w:rPr>
          <w:rFonts w:eastAsia="宋体"/>
          <w:sz w:val="21"/>
          <w:szCs w:val="21"/>
        </w:rPr>
        <w:t>、</w:t>
      </w:r>
      <w:r w:rsidRPr="00E56CFD">
        <w:rPr>
          <w:rFonts w:eastAsia="宋体"/>
          <w:sz w:val="21"/>
          <w:szCs w:val="21"/>
        </w:rPr>
        <w:t>T</w:t>
      </w:r>
      <w:r w:rsidRPr="00E56CFD">
        <w:rPr>
          <w:rFonts w:eastAsia="宋体"/>
          <w:sz w:val="21"/>
          <w:szCs w:val="21"/>
        </w:rPr>
        <w:t>日，投资者进行基金申购、赎回和转换申请，基金管理人和基金托管人分别计算基金资产净值，并进行核对；基金管理人将双方确认的或基金管理人决定采用的基金份额净值以基金份额净值公告的形式传真至相关信息披露媒介。</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2</w:t>
      </w:r>
      <w:r w:rsidRPr="00E56CFD">
        <w:rPr>
          <w:rFonts w:eastAsia="宋体"/>
          <w:sz w:val="21"/>
          <w:szCs w:val="21"/>
        </w:rPr>
        <w:t>、</w:t>
      </w:r>
      <w:r w:rsidRPr="00E56CFD">
        <w:rPr>
          <w:rFonts w:eastAsia="宋体"/>
          <w:sz w:val="21"/>
          <w:szCs w:val="21"/>
        </w:rPr>
        <w:t>T+1</w:t>
      </w:r>
      <w:r w:rsidRPr="00E56CFD">
        <w:rPr>
          <w:rFonts w:eastAsia="宋体"/>
          <w:sz w:val="21"/>
          <w:szCs w:val="21"/>
        </w:rPr>
        <w:t>日，</w:t>
      </w:r>
      <w:r w:rsidRPr="00E56CFD">
        <w:rPr>
          <w:rFonts w:eastAsia="宋体" w:hint="eastAsia"/>
          <w:sz w:val="21"/>
          <w:szCs w:val="21"/>
        </w:rPr>
        <w:t>登记机构根据</w:t>
      </w:r>
      <w:r w:rsidRPr="00E56CFD">
        <w:rPr>
          <w:rFonts w:eastAsia="宋体"/>
          <w:sz w:val="21"/>
          <w:szCs w:val="21"/>
        </w:rPr>
        <w:t>T</w:t>
      </w:r>
      <w:r w:rsidRPr="00E56CFD">
        <w:rPr>
          <w:rFonts w:eastAsia="宋体"/>
          <w:sz w:val="21"/>
          <w:szCs w:val="21"/>
        </w:rPr>
        <w:t>日基金份额净值计算申购份额、赎回金额及转换份额，更新基金份额持有人数据库；并将确认的申购、赎回及转换数据向基金托管人、基金管理人传送。基金管理人、基金托管人根据确认数据进行账务处理。</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3</w:t>
      </w:r>
      <w:r w:rsidRPr="00E56CFD">
        <w:rPr>
          <w:rFonts w:eastAsia="宋体"/>
          <w:sz w:val="21"/>
          <w:szCs w:val="21"/>
        </w:rPr>
        <w:t>、资金托管账户与</w:t>
      </w:r>
      <w:r w:rsidRPr="00E56CFD">
        <w:rPr>
          <w:rFonts w:eastAsia="宋体"/>
          <w:sz w:val="21"/>
          <w:szCs w:val="21"/>
        </w:rPr>
        <w:t>“</w:t>
      </w:r>
      <w:r w:rsidRPr="00E56CFD">
        <w:rPr>
          <w:rFonts w:eastAsia="宋体"/>
          <w:sz w:val="21"/>
          <w:szCs w:val="21"/>
        </w:rPr>
        <w:t>基金清算账户</w:t>
      </w:r>
      <w:r w:rsidRPr="00E56CFD">
        <w:rPr>
          <w:rFonts w:eastAsia="宋体"/>
          <w:sz w:val="21"/>
          <w:szCs w:val="21"/>
        </w:rPr>
        <w:t>”</w:t>
      </w:r>
      <w:r w:rsidRPr="00E56CFD">
        <w:rPr>
          <w:rFonts w:eastAsia="宋体"/>
          <w:sz w:val="21"/>
          <w:szCs w:val="21"/>
        </w:rPr>
        <w:t>间的资金清算遵循</w:t>
      </w:r>
      <w:r w:rsidRPr="00E56CFD">
        <w:rPr>
          <w:rFonts w:eastAsia="宋体"/>
          <w:sz w:val="21"/>
          <w:szCs w:val="21"/>
        </w:rPr>
        <w:t>“</w:t>
      </w:r>
      <w:r w:rsidRPr="00E56CFD">
        <w:rPr>
          <w:rFonts w:eastAsia="宋体"/>
          <w:sz w:val="21"/>
          <w:szCs w:val="21"/>
        </w:rPr>
        <w:t>全额清算、净额交收</w:t>
      </w:r>
      <w:r w:rsidRPr="00E56CFD">
        <w:rPr>
          <w:rFonts w:eastAsia="宋体"/>
          <w:sz w:val="21"/>
          <w:szCs w:val="21"/>
        </w:rPr>
        <w:t>”</w:t>
      </w:r>
      <w:r w:rsidRPr="00E56CFD">
        <w:rPr>
          <w:rFonts w:eastAsia="宋体"/>
          <w:sz w:val="21"/>
          <w:szCs w:val="21"/>
        </w:rPr>
        <w:t>的原则，即按照托管账户当日应收资金（包括申购资金及基金转换转入款）与托管账户应付额（含赎回资金、基金转换转出款及未计入基金资产的转换费）的差额来确定托管账户净应收额或净应付额，以此确定资金交收额。当存在托管账户净应收额时，基金管理人负责将托管账户净应收额在交收日</w:t>
      </w:r>
      <w:r w:rsidRPr="00E56CFD">
        <w:rPr>
          <w:rFonts w:eastAsia="宋体"/>
          <w:sz w:val="21"/>
          <w:szCs w:val="21"/>
        </w:rPr>
        <w:t>1</w:t>
      </w:r>
      <w:r>
        <w:rPr>
          <w:rFonts w:eastAsia="宋体"/>
          <w:sz w:val="21"/>
          <w:szCs w:val="21"/>
        </w:rPr>
        <w:t>7</w:t>
      </w:r>
      <w:r w:rsidRPr="00E56CFD">
        <w:rPr>
          <w:rFonts w:eastAsia="宋体"/>
          <w:sz w:val="21"/>
          <w:szCs w:val="21"/>
        </w:rPr>
        <w:t>:00</w:t>
      </w:r>
      <w:r w:rsidRPr="00E56CFD">
        <w:rPr>
          <w:rFonts w:eastAsia="宋体"/>
          <w:sz w:val="21"/>
          <w:szCs w:val="21"/>
        </w:rPr>
        <w:t>前从</w:t>
      </w:r>
      <w:r w:rsidRPr="00E56CFD">
        <w:rPr>
          <w:rFonts w:eastAsia="宋体"/>
          <w:sz w:val="21"/>
          <w:szCs w:val="21"/>
        </w:rPr>
        <w:t>“</w:t>
      </w:r>
      <w:r w:rsidRPr="00E56CFD">
        <w:rPr>
          <w:rFonts w:eastAsia="宋体"/>
          <w:sz w:val="21"/>
          <w:szCs w:val="21"/>
        </w:rPr>
        <w:t>基金清算账户</w:t>
      </w:r>
      <w:r w:rsidRPr="00E56CFD">
        <w:rPr>
          <w:rFonts w:eastAsia="宋体"/>
          <w:sz w:val="21"/>
          <w:szCs w:val="21"/>
        </w:rPr>
        <w:t>”</w:t>
      </w:r>
      <w:r w:rsidRPr="00E56CFD">
        <w:rPr>
          <w:rFonts w:eastAsia="宋体"/>
          <w:sz w:val="21"/>
          <w:szCs w:val="21"/>
        </w:rPr>
        <w:t>划到资金托管账户；当存在托管账户净应付额时，基金托管人按</w:t>
      </w:r>
      <w:r w:rsidRPr="00E56CFD">
        <w:rPr>
          <w:rFonts w:eastAsia="宋体" w:hint="eastAsia"/>
          <w:sz w:val="21"/>
          <w:szCs w:val="21"/>
        </w:rPr>
        <w:t>基金管理人的划款指令将托管账户净应付额在交收日</w:t>
      </w:r>
      <w:r w:rsidRPr="00E56CFD">
        <w:rPr>
          <w:rFonts w:eastAsia="宋体"/>
          <w:sz w:val="21"/>
          <w:szCs w:val="21"/>
        </w:rPr>
        <w:t>15:00</w:t>
      </w:r>
      <w:r w:rsidRPr="00E56CFD">
        <w:rPr>
          <w:rFonts w:eastAsia="宋体"/>
          <w:sz w:val="21"/>
          <w:szCs w:val="21"/>
        </w:rPr>
        <w:t>前划到</w:t>
      </w:r>
      <w:r w:rsidRPr="00E56CFD">
        <w:rPr>
          <w:rFonts w:eastAsia="宋体"/>
          <w:sz w:val="21"/>
          <w:szCs w:val="21"/>
        </w:rPr>
        <w:t>“</w:t>
      </w:r>
      <w:r w:rsidRPr="00E56CFD">
        <w:rPr>
          <w:rFonts w:eastAsia="宋体"/>
          <w:sz w:val="21"/>
          <w:szCs w:val="21"/>
        </w:rPr>
        <w:t>基金清算账户</w:t>
      </w:r>
      <w:r w:rsidRPr="00E56CFD">
        <w:rPr>
          <w:rFonts w:eastAsia="宋体"/>
          <w:sz w:val="21"/>
          <w:szCs w:val="21"/>
        </w:rPr>
        <w:t>”</w:t>
      </w:r>
      <w:r w:rsidRPr="00E56CFD">
        <w:rPr>
          <w:rFonts w:eastAsia="宋体"/>
          <w:sz w:val="21"/>
          <w:szCs w:val="21"/>
        </w:rPr>
        <w:t>。</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lastRenderedPageBreak/>
        <w:t>4</w:t>
      </w:r>
      <w:r w:rsidRPr="00E56CFD">
        <w:rPr>
          <w:rFonts w:ascii="Times New Roman" w:eastAsia="宋体" w:hAnsi="Times New Roman"/>
          <w:color w:val="auto"/>
          <w:sz w:val="21"/>
          <w:szCs w:val="21"/>
        </w:rPr>
        <w:t>、因基金管理人原因，未能按上款约定将托管账户净应收额全额、及时汇至资金托管账户，由此产生的责任应由该基金管理人承担</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不可抗力或基金管理人无过错的情况除外</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；基金托管人未能按上款约定将托管账户净应付额全额、及时汇至</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基金清算账户</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，由此产生的责任应由基金托管人承担</w:t>
      </w:r>
      <w:r w:rsidRPr="00E56CFD">
        <w:rPr>
          <w:rFonts w:ascii="Times New Roman" w:eastAsia="宋体" w:hAnsi="Times New Roman"/>
          <w:color w:val="auto"/>
          <w:sz w:val="21"/>
          <w:szCs w:val="21"/>
        </w:rPr>
        <w:t>(</w:t>
      </w:r>
      <w:r w:rsidRPr="00E56CFD">
        <w:rPr>
          <w:rFonts w:ascii="Times New Roman" w:eastAsia="宋体" w:hAnsi="Times New Roman"/>
          <w:color w:val="auto"/>
          <w:sz w:val="21"/>
          <w:szCs w:val="21"/>
        </w:rPr>
        <w:t>不可抗力</w:t>
      </w:r>
      <w:r w:rsidRPr="00E56CFD">
        <w:rPr>
          <w:rFonts w:ascii="Times New Roman" w:eastAsia="宋体" w:hAnsi="Times New Roman"/>
          <w:sz w:val="21"/>
        </w:rPr>
        <w:t>或基金托管人无过错的情况</w:t>
      </w:r>
      <w:r w:rsidRPr="00E56CFD">
        <w:rPr>
          <w:rFonts w:ascii="Times New Roman" w:eastAsia="宋体" w:hAnsi="Times New Roman"/>
          <w:color w:val="auto"/>
          <w:sz w:val="21"/>
          <w:szCs w:val="21"/>
        </w:rPr>
        <w:t>除外</w:t>
      </w:r>
      <w:r w:rsidRPr="00E56CFD">
        <w:rPr>
          <w:rFonts w:ascii="Times New Roman" w:eastAsia="宋体" w:hAnsi="Times New Roman"/>
          <w:color w:val="auto"/>
          <w:sz w:val="21"/>
          <w:szCs w:val="21"/>
        </w:rPr>
        <w:t>)</w:t>
      </w:r>
      <w:r w:rsidRPr="00E56CFD">
        <w:rPr>
          <w:rFonts w:ascii="Times New Roman" w:eastAsia="宋体" w:hAnsi="Times New Roman" w:hint="eastAsia"/>
          <w:color w:val="auto"/>
          <w:sz w:val="21"/>
          <w:szCs w:val="21"/>
        </w:rPr>
        <w:t>。</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5</w:t>
      </w:r>
      <w:r w:rsidRPr="00E56CFD">
        <w:rPr>
          <w:rFonts w:ascii="Times New Roman" w:eastAsia="宋体" w:hAnsi="Times New Roman" w:hint="eastAsia"/>
          <w:color w:val="auto"/>
          <w:sz w:val="21"/>
          <w:szCs w:val="21"/>
        </w:rPr>
        <w:t>、基金管理人应将每个开放日的申购、赎回、转换开放式基金的数据传送给基金托管人。基金管理人应对传递的申购、赎回、转换开放式基金的数据真实性负责。</w:t>
      </w:r>
    </w:p>
    <w:p w:rsidR="00C962DA" w:rsidRPr="00E56CFD" w:rsidRDefault="006336F8">
      <w:pPr>
        <w:pStyle w:val="Default"/>
        <w:spacing w:line="400" w:lineRule="exact"/>
        <w:ind w:firstLineChars="200" w:firstLine="420"/>
        <w:jc w:val="both"/>
        <w:rPr>
          <w:rFonts w:ascii="Times New Roman" w:hAnsi="Times New Roman" w:cs="Times New Roman"/>
          <w:i/>
          <w:color w:val="auto"/>
          <w:szCs w:val="21"/>
        </w:rPr>
      </w:pPr>
      <w:r w:rsidRPr="00E56CFD">
        <w:rPr>
          <w:rFonts w:ascii="Times New Roman" w:eastAsia="宋体" w:hAnsi="Times New Roman" w:cs="Times New Roman" w:hint="eastAsia"/>
          <w:color w:val="auto"/>
          <w:kern w:val="2"/>
          <w:sz w:val="21"/>
          <w:szCs w:val="21"/>
        </w:rPr>
        <w:t>（</w:t>
      </w:r>
      <w:r w:rsidRPr="00E56CFD">
        <w:rPr>
          <w:rFonts w:ascii="Times New Roman" w:eastAsia="宋体" w:hAnsi="Times New Roman" w:cs="Times New Roman"/>
          <w:color w:val="auto"/>
          <w:kern w:val="2"/>
          <w:sz w:val="21"/>
          <w:szCs w:val="21"/>
        </w:rPr>
        <w:t>五）港股通交易</w:t>
      </w:r>
    </w:p>
    <w:p w:rsidR="00C962DA" w:rsidRPr="00E56CFD" w:rsidRDefault="006336F8">
      <w:pPr>
        <w:pStyle w:val="Default"/>
        <w:spacing w:line="400" w:lineRule="exact"/>
        <w:ind w:firstLineChars="200" w:firstLine="420"/>
        <w:jc w:val="both"/>
        <w:rPr>
          <w:rFonts w:ascii="Times New Roman" w:eastAsia="宋体" w:hAnsi="Times New Roman" w:cs="Times New Roman"/>
          <w:color w:val="auto"/>
          <w:kern w:val="2"/>
          <w:sz w:val="21"/>
          <w:szCs w:val="21"/>
        </w:rPr>
      </w:pPr>
      <w:r w:rsidRPr="00E56CFD">
        <w:rPr>
          <w:rFonts w:ascii="Times New Roman" w:eastAsia="宋体" w:hAnsi="Times New Roman" w:cs="Times New Roman" w:hint="eastAsia"/>
          <w:color w:val="auto"/>
          <w:kern w:val="2"/>
          <w:sz w:val="21"/>
          <w:szCs w:val="21"/>
        </w:rPr>
        <w:t>本基金的港股通交易应遵守相关法律法规及业务规则，股票投资比例合计应当符合法律法规和基金合同的约定，并充分揭示风险。</w:t>
      </w:r>
    </w:p>
    <w:p w:rsidR="00C962DA" w:rsidRPr="00E56CFD" w:rsidRDefault="006336F8">
      <w:pPr>
        <w:pStyle w:val="Default"/>
        <w:spacing w:line="400" w:lineRule="exact"/>
        <w:ind w:firstLineChars="200" w:firstLine="422"/>
        <w:jc w:val="both"/>
        <w:rPr>
          <w:rFonts w:ascii="Times New Roman" w:eastAsia="宋体" w:hAnsi="Times New Roman" w:cs="Times New Roman"/>
          <w:b/>
          <w:color w:val="auto"/>
          <w:kern w:val="2"/>
          <w:sz w:val="21"/>
          <w:szCs w:val="21"/>
        </w:rPr>
      </w:pPr>
      <w:r w:rsidRPr="00E56CFD">
        <w:rPr>
          <w:rFonts w:ascii="Times New Roman" w:eastAsia="宋体" w:hAnsi="Times New Roman" w:cs="Times New Roman"/>
          <w:b/>
          <w:color w:val="auto"/>
          <w:kern w:val="2"/>
          <w:sz w:val="21"/>
          <w:szCs w:val="21"/>
        </w:rPr>
        <w:t>1</w:t>
      </w:r>
      <w:r w:rsidRPr="00E56CFD">
        <w:rPr>
          <w:rFonts w:ascii="Times New Roman" w:eastAsia="宋体" w:hAnsi="Times New Roman" w:cs="Times New Roman" w:hint="eastAsia"/>
          <w:b/>
          <w:color w:val="auto"/>
          <w:kern w:val="2"/>
          <w:sz w:val="21"/>
          <w:szCs w:val="21"/>
        </w:rPr>
        <w:t>、基金管理人声明和承诺</w:t>
      </w:r>
    </w:p>
    <w:p w:rsidR="00C962DA" w:rsidRPr="00E56CFD" w:rsidRDefault="006336F8">
      <w:pPr>
        <w:autoSpaceDE w:val="0"/>
        <w:autoSpaceDN w:val="0"/>
        <w:adjustRightInd w:val="0"/>
        <w:spacing w:line="400" w:lineRule="exact"/>
        <w:ind w:firstLine="564"/>
        <w:rPr>
          <w:szCs w:val="21"/>
        </w:rPr>
      </w:pPr>
      <w:r w:rsidRPr="00E56CFD">
        <w:rPr>
          <w:rFonts w:hint="eastAsia"/>
          <w:szCs w:val="21"/>
        </w:rPr>
        <w:t>（</w:t>
      </w:r>
      <w:r w:rsidRPr="00E56CFD">
        <w:rPr>
          <w:szCs w:val="21"/>
        </w:rPr>
        <w:t>1</w:t>
      </w:r>
      <w:r w:rsidRPr="00E56CFD">
        <w:rPr>
          <w:rFonts w:hint="eastAsia"/>
          <w:szCs w:val="21"/>
        </w:rPr>
        <w:t>）基金管理人承诺其是依照中国内地法律设立且有效存续的法人机构，具备从事港股通业务的资质；</w:t>
      </w:r>
    </w:p>
    <w:p w:rsidR="00C962DA" w:rsidRPr="00E56CFD" w:rsidRDefault="006336F8">
      <w:pPr>
        <w:autoSpaceDE w:val="0"/>
        <w:autoSpaceDN w:val="0"/>
        <w:adjustRightInd w:val="0"/>
        <w:spacing w:line="400" w:lineRule="exact"/>
        <w:ind w:firstLine="564"/>
        <w:rPr>
          <w:szCs w:val="21"/>
        </w:rPr>
      </w:pPr>
      <w:r w:rsidRPr="00E56CFD">
        <w:rPr>
          <w:rFonts w:hint="eastAsia"/>
          <w:szCs w:val="21"/>
        </w:rPr>
        <w:t>（</w:t>
      </w:r>
      <w:r w:rsidRPr="00E56CFD">
        <w:rPr>
          <w:szCs w:val="21"/>
        </w:rPr>
        <w:t>2</w:t>
      </w:r>
      <w:r w:rsidRPr="00E56CFD">
        <w:rPr>
          <w:szCs w:val="21"/>
        </w:rPr>
        <w:t>）基金管理人承诺托管资产具有合法的港股通交易资格，不存在相关法律、行政法规、部门规章、规范性文件以及业务规则等规定的禁止、限制或不适于参与港股通交易的情形；</w:t>
      </w:r>
    </w:p>
    <w:p w:rsidR="00C962DA" w:rsidRPr="00E56CFD" w:rsidRDefault="006336F8">
      <w:pPr>
        <w:autoSpaceDE w:val="0"/>
        <w:autoSpaceDN w:val="0"/>
        <w:adjustRightInd w:val="0"/>
        <w:spacing w:line="400" w:lineRule="exact"/>
        <w:ind w:firstLineChars="250" w:firstLine="525"/>
        <w:rPr>
          <w:szCs w:val="21"/>
        </w:rPr>
      </w:pPr>
      <w:r w:rsidRPr="00E56CFD">
        <w:rPr>
          <w:rFonts w:hint="eastAsia"/>
          <w:szCs w:val="21"/>
        </w:rPr>
        <w:t>（</w:t>
      </w:r>
      <w:r w:rsidRPr="00E56CFD">
        <w:rPr>
          <w:szCs w:val="21"/>
        </w:rPr>
        <w:t>3</w:t>
      </w:r>
      <w:r w:rsidRPr="00E56CFD">
        <w:rPr>
          <w:szCs w:val="21"/>
        </w:rPr>
        <w:t>）基金管理人保证其提供的所有证件、资料均真实、准确、完整、合法、有效，且用于港股通交易的资金来源合法，并保证遵守国家反洗钱的相关规定；</w:t>
      </w:r>
      <w:r w:rsidRPr="00E56CFD">
        <w:rPr>
          <w:szCs w:val="21"/>
        </w:rPr>
        <w:t xml:space="preserve"> </w:t>
      </w:r>
    </w:p>
    <w:p w:rsidR="00C962DA" w:rsidRPr="00E56CFD" w:rsidRDefault="006336F8">
      <w:pPr>
        <w:autoSpaceDE w:val="0"/>
        <w:autoSpaceDN w:val="0"/>
        <w:adjustRightInd w:val="0"/>
        <w:spacing w:line="400" w:lineRule="exact"/>
        <w:ind w:firstLineChars="250" w:firstLine="525"/>
        <w:rPr>
          <w:szCs w:val="21"/>
        </w:rPr>
      </w:pPr>
      <w:r w:rsidRPr="00E56CFD">
        <w:rPr>
          <w:rFonts w:hint="eastAsia"/>
          <w:szCs w:val="21"/>
        </w:rPr>
        <w:t>（</w:t>
      </w:r>
      <w:r w:rsidRPr="00E56CFD">
        <w:rPr>
          <w:szCs w:val="21"/>
        </w:rPr>
        <w:t>4</w:t>
      </w:r>
      <w:r w:rsidRPr="00E56CFD">
        <w:rPr>
          <w:rFonts w:hint="eastAsia"/>
          <w:szCs w:val="21"/>
        </w:rPr>
        <w:t>）基金管理人承诺遵守港股通交易的中国内地与香港地区法律、行政法规、部门规章、规范性文件、业务规则等相关规定，并承诺按照基金托管人的相关业务流程办理业务；基金管理人应准确理解港股通交易的业务规则，包括不限于交收规则、投资额度、汇兑安排、交易日、风险管理要求、延迟交收等，由于基金管理人对港股通业务规则理解错误而导致的交收失败及其他损害基金份额持有人合法权益的行为，基金管理人自行承担相应赔偿责任，基金托管人不承担相应责任；</w:t>
      </w:r>
    </w:p>
    <w:p w:rsidR="00C962DA" w:rsidRPr="00E56CFD" w:rsidRDefault="006336F8">
      <w:pPr>
        <w:autoSpaceDE w:val="0"/>
        <w:autoSpaceDN w:val="0"/>
        <w:adjustRightInd w:val="0"/>
        <w:spacing w:line="400" w:lineRule="exact"/>
        <w:ind w:firstLineChars="250" w:firstLine="525"/>
        <w:rPr>
          <w:szCs w:val="21"/>
        </w:rPr>
      </w:pPr>
      <w:r w:rsidRPr="00E56CFD">
        <w:rPr>
          <w:rFonts w:hint="eastAsia"/>
          <w:szCs w:val="21"/>
        </w:rPr>
        <w:t>（</w:t>
      </w:r>
      <w:r w:rsidRPr="00E56CFD">
        <w:rPr>
          <w:szCs w:val="21"/>
        </w:rPr>
        <w:t>5</w:t>
      </w:r>
      <w:r w:rsidRPr="00E56CFD">
        <w:rPr>
          <w:rFonts w:hint="eastAsia"/>
          <w:szCs w:val="21"/>
        </w:rPr>
        <w:t>）基金管理人承诺，同意由中国证券登记结算有限责任公司（以下简称</w:t>
      </w:r>
      <w:r w:rsidRPr="00E56CFD">
        <w:rPr>
          <w:szCs w:val="21"/>
        </w:rPr>
        <w:t>“</w:t>
      </w:r>
      <w:r w:rsidRPr="00E56CFD">
        <w:rPr>
          <w:rFonts w:hint="eastAsia"/>
          <w:szCs w:val="21"/>
        </w:rPr>
        <w:t>中国结算</w:t>
      </w:r>
      <w:r w:rsidRPr="00E56CFD">
        <w:rPr>
          <w:szCs w:val="21"/>
        </w:rPr>
        <w:t>”</w:t>
      </w:r>
      <w:r w:rsidRPr="00E56CFD">
        <w:rPr>
          <w:rFonts w:hint="eastAsia"/>
          <w:szCs w:val="21"/>
        </w:rPr>
        <w:t>）以本基金的名义持有通过港股通取得的证券；基金管理人已清楚认识并愿意承担从事港股通交易的相关风险，</w:t>
      </w:r>
      <w:r w:rsidRPr="00E56CFD">
        <w:rPr>
          <w:szCs w:val="21"/>
        </w:rPr>
        <w:t>特别是其中有关基金托管人的免责条款。</w:t>
      </w:r>
    </w:p>
    <w:p w:rsidR="00C962DA" w:rsidRPr="00E56CFD" w:rsidRDefault="006336F8">
      <w:pPr>
        <w:pStyle w:val="Default"/>
        <w:spacing w:line="400" w:lineRule="exact"/>
        <w:ind w:firstLineChars="198" w:firstLine="417"/>
        <w:jc w:val="both"/>
        <w:rPr>
          <w:rFonts w:ascii="Times New Roman" w:eastAsia="宋体" w:hAnsi="Times New Roman" w:cs="Times New Roman"/>
          <w:b/>
          <w:color w:val="auto"/>
          <w:kern w:val="2"/>
          <w:sz w:val="21"/>
          <w:szCs w:val="21"/>
        </w:rPr>
      </w:pPr>
      <w:r w:rsidRPr="00E56CFD">
        <w:rPr>
          <w:rFonts w:ascii="Times New Roman" w:eastAsia="宋体" w:hAnsi="Times New Roman" w:cs="Times New Roman"/>
          <w:b/>
          <w:color w:val="auto"/>
          <w:kern w:val="2"/>
          <w:sz w:val="21"/>
          <w:szCs w:val="21"/>
        </w:rPr>
        <w:t>2</w:t>
      </w:r>
      <w:r w:rsidRPr="00E56CFD">
        <w:rPr>
          <w:rFonts w:ascii="Times New Roman" w:eastAsia="宋体" w:hAnsi="Times New Roman" w:cs="Times New Roman" w:hint="eastAsia"/>
          <w:b/>
          <w:color w:val="auto"/>
          <w:kern w:val="2"/>
          <w:sz w:val="21"/>
          <w:szCs w:val="21"/>
        </w:rPr>
        <w:t>、账户开立</w:t>
      </w:r>
    </w:p>
    <w:p w:rsidR="00C962DA" w:rsidRPr="00E56CFD" w:rsidRDefault="006336F8">
      <w:pPr>
        <w:pStyle w:val="Default"/>
        <w:spacing w:line="400" w:lineRule="exact"/>
        <w:ind w:firstLineChars="200" w:firstLine="420"/>
        <w:jc w:val="both"/>
        <w:rPr>
          <w:rFonts w:ascii="Times New Roman" w:eastAsia="宋体" w:hAnsi="Times New Roman" w:cs="Times New Roman"/>
          <w:color w:val="auto"/>
          <w:kern w:val="2"/>
          <w:sz w:val="21"/>
          <w:szCs w:val="21"/>
        </w:rPr>
      </w:pPr>
      <w:r w:rsidRPr="00E56CFD">
        <w:rPr>
          <w:rFonts w:ascii="Times New Roman" w:eastAsia="宋体" w:hAnsi="Times New Roman" w:cs="Times New Roman" w:hint="eastAsia"/>
          <w:color w:val="auto"/>
          <w:kern w:val="2"/>
          <w:sz w:val="21"/>
          <w:szCs w:val="21"/>
        </w:rPr>
        <w:t>基金管理人在参与港股通交易前，应先依照法律法规、相关业务规则委托基金托管人代为在中国结算开立人民币普通股票（</w:t>
      </w:r>
      <w:r w:rsidRPr="00E56CFD">
        <w:rPr>
          <w:rFonts w:ascii="Times New Roman" w:eastAsia="宋体" w:hAnsi="Times New Roman" w:cs="Times New Roman"/>
          <w:color w:val="auto"/>
          <w:kern w:val="2"/>
          <w:sz w:val="21"/>
          <w:szCs w:val="21"/>
        </w:rPr>
        <w:t>A</w:t>
      </w:r>
      <w:r w:rsidRPr="00E56CFD">
        <w:rPr>
          <w:rFonts w:ascii="Times New Roman" w:eastAsia="宋体" w:hAnsi="Times New Roman" w:cs="Times New Roman"/>
          <w:color w:val="auto"/>
          <w:kern w:val="2"/>
          <w:sz w:val="21"/>
          <w:szCs w:val="21"/>
        </w:rPr>
        <w:t>股）证券账户用于证券交易等。基金管理人已经开立人民币普通股票（</w:t>
      </w:r>
      <w:r w:rsidRPr="00E56CFD">
        <w:rPr>
          <w:rFonts w:ascii="Times New Roman" w:eastAsia="宋体" w:hAnsi="Times New Roman" w:cs="Times New Roman"/>
          <w:color w:val="auto"/>
          <w:kern w:val="2"/>
          <w:sz w:val="21"/>
          <w:szCs w:val="21"/>
        </w:rPr>
        <w:t>A</w:t>
      </w:r>
      <w:r w:rsidRPr="00E56CFD">
        <w:rPr>
          <w:rFonts w:ascii="Times New Roman" w:eastAsia="宋体" w:hAnsi="Times New Roman" w:cs="Times New Roman"/>
          <w:color w:val="auto"/>
          <w:kern w:val="2"/>
          <w:sz w:val="21"/>
          <w:szCs w:val="21"/>
        </w:rPr>
        <w:t>股）证券账户，可使用上述现有账户进行港股通交易。</w:t>
      </w:r>
    </w:p>
    <w:p w:rsidR="00C962DA" w:rsidRPr="00E56CFD" w:rsidRDefault="006336F8">
      <w:pPr>
        <w:pStyle w:val="Default"/>
        <w:spacing w:line="400" w:lineRule="exact"/>
        <w:ind w:firstLineChars="200" w:firstLine="420"/>
        <w:jc w:val="both"/>
        <w:rPr>
          <w:rFonts w:ascii="Times New Roman" w:eastAsia="宋体" w:hAnsi="Times New Roman" w:cs="Times New Roman"/>
          <w:color w:val="auto"/>
          <w:kern w:val="2"/>
          <w:sz w:val="21"/>
          <w:szCs w:val="21"/>
        </w:rPr>
      </w:pPr>
      <w:r w:rsidRPr="00E56CFD">
        <w:rPr>
          <w:rFonts w:ascii="Times New Roman" w:eastAsia="宋体" w:hAnsi="Times New Roman" w:cs="Times New Roman" w:hint="eastAsia"/>
          <w:color w:val="auto"/>
          <w:kern w:val="2"/>
          <w:sz w:val="21"/>
          <w:szCs w:val="21"/>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w:t>
      </w:r>
      <w:r w:rsidRPr="00E56CFD">
        <w:rPr>
          <w:rFonts w:ascii="Times New Roman" w:eastAsia="宋体" w:hAnsi="Times New Roman" w:cs="Times New Roman" w:hint="eastAsia"/>
          <w:color w:val="auto"/>
          <w:kern w:val="2"/>
          <w:sz w:val="21"/>
          <w:szCs w:val="21"/>
        </w:rPr>
        <w:lastRenderedPageBreak/>
        <w:t>股东名册。基金管理人不能要求存入或提取纸面股票，中国证监会另有规定的除外。</w:t>
      </w:r>
    </w:p>
    <w:p w:rsidR="00C962DA" w:rsidRPr="00E56CFD" w:rsidRDefault="006336F8">
      <w:pPr>
        <w:pStyle w:val="Default"/>
        <w:spacing w:line="400" w:lineRule="exact"/>
        <w:ind w:firstLineChars="198" w:firstLine="417"/>
        <w:jc w:val="both"/>
        <w:rPr>
          <w:rFonts w:ascii="Times New Roman" w:eastAsia="宋体" w:hAnsi="Times New Roman" w:cs="Times New Roman"/>
          <w:b/>
          <w:color w:val="auto"/>
          <w:kern w:val="2"/>
          <w:sz w:val="21"/>
          <w:szCs w:val="21"/>
        </w:rPr>
      </w:pPr>
      <w:r w:rsidRPr="00E56CFD">
        <w:rPr>
          <w:rFonts w:ascii="Times New Roman" w:eastAsia="宋体" w:hAnsi="Times New Roman" w:cs="Times New Roman"/>
          <w:b/>
          <w:color w:val="auto"/>
          <w:kern w:val="2"/>
          <w:sz w:val="21"/>
          <w:szCs w:val="21"/>
        </w:rPr>
        <w:t>3</w:t>
      </w:r>
      <w:r w:rsidRPr="00E56CFD">
        <w:rPr>
          <w:rFonts w:ascii="Times New Roman" w:eastAsia="宋体" w:hAnsi="Times New Roman" w:cs="Times New Roman" w:hint="eastAsia"/>
          <w:b/>
          <w:color w:val="auto"/>
          <w:kern w:val="2"/>
          <w:sz w:val="21"/>
          <w:szCs w:val="21"/>
        </w:rPr>
        <w:t>、港股通交易及清算交收安排</w:t>
      </w:r>
    </w:p>
    <w:p w:rsidR="00C962DA" w:rsidRPr="00E56CFD" w:rsidRDefault="006336F8">
      <w:pPr>
        <w:pStyle w:val="Default"/>
        <w:spacing w:line="400" w:lineRule="exact"/>
        <w:ind w:firstLineChars="200" w:firstLine="420"/>
        <w:jc w:val="both"/>
        <w:rPr>
          <w:rFonts w:ascii="Times New Roman" w:eastAsia="宋体" w:hAnsi="Times New Roman" w:cs="Times New Roman"/>
          <w:color w:val="auto"/>
          <w:kern w:val="2"/>
          <w:sz w:val="21"/>
          <w:szCs w:val="21"/>
        </w:rPr>
      </w:pPr>
      <w:r w:rsidRPr="00E56CFD">
        <w:rPr>
          <w:rFonts w:ascii="Times New Roman" w:eastAsia="宋体" w:hAnsi="Times New Roman" w:cs="Times New Roman" w:hint="eastAsia"/>
          <w:color w:val="auto"/>
          <w:kern w:val="2"/>
          <w:sz w:val="21"/>
          <w:szCs w:val="21"/>
        </w:rPr>
        <w:t>中国结算按照香港结算的业务规则，与香港结算完成港股通交易的证券和资金的交收。港股通交易的境内结算由基金管理人选定的证券经纪机构作为结算参与人与中国结算根据相关业务规则完成。</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1" w:name="_Toc116900103"/>
      <w:r w:rsidRPr="00E56CFD">
        <w:rPr>
          <w:rFonts w:hint="eastAsia"/>
          <w:sz w:val="21"/>
          <w:szCs w:val="21"/>
        </w:rPr>
        <w:t>八、基金资产净值计算和会计核算</w:t>
      </w:r>
      <w:bookmarkEnd w:id="11"/>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（一）基金资产净值的计算和复核</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1</w:t>
      </w:r>
      <w:r w:rsidRPr="00E56CFD">
        <w:rPr>
          <w:rFonts w:eastAsia="宋体"/>
          <w:sz w:val="21"/>
          <w:szCs w:val="21"/>
        </w:rPr>
        <w:t>、基金资产净值是指基金资产总值减去</w:t>
      </w:r>
      <w:r w:rsidRPr="00E56CFD">
        <w:rPr>
          <w:rFonts w:eastAsia="宋体" w:hint="eastAsia"/>
          <w:sz w:val="21"/>
          <w:szCs w:val="21"/>
        </w:rPr>
        <w:t>基金负债后的价值。基金份额净值是指计算日基金资产净值除以计算日基金份额总数后的价值。基金份额净值是按照每个工作日闭市后，基金资产净值除以当日基金份额的余额数量计算，精确到</w:t>
      </w:r>
      <w:r w:rsidRPr="00E56CFD">
        <w:rPr>
          <w:rFonts w:eastAsia="宋体"/>
          <w:sz w:val="21"/>
          <w:szCs w:val="21"/>
        </w:rPr>
        <w:t>0.0001</w:t>
      </w:r>
      <w:r w:rsidRPr="00E56CFD">
        <w:rPr>
          <w:rFonts w:eastAsia="宋体"/>
          <w:sz w:val="21"/>
          <w:szCs w:val="21"/>
        </w:rPr>
        <w:t>元，小数点后第</w:t>
      </w:r>
      <w:r w:rsidRPr="00E56CFD">
        <w:rPr>
          <w:rFonts w:eastAsia="宋体"/>
          <w:sz w:val="21"/>
          <w:szCs w:val="21"/>
        </w:rPr>
        <w:t>5</w:t>
      </w:r>
      <w:r w:rsidRPr="00E56CFD">
        <w:rPr>
          <w:rFonts w:eastAsia="宋体"/>
          <w:sz w:val="21"/>
          <w:szCs w:val="21"/>
        </w:rPr>
        <w:t>位四舍五入</w:t>
      </w:r>
      <w:r w:rsidRPr="00E56CFD">
        <w:rPr>
          <w:rFonts w:eastAsia="宋体" w:hint="eastAsia"/>
          <w:sz w:val="21"/>
          <w:szCs w:val="21"/>
        </w:rPr>
        <w:t>，由此产生的误差计入基金财产。基金管理人可以设立大额赎回情形下的净值精度应急调整机制，具体可参见相关公告。国家另有规定的，从其规定。基金管理人于每个工作日计算基金资产净值及基金份额净值，经基金托管人复核，并按规定公告。如遇特殊情况，经履行适当程序，可以适当延迟计算或公告。</w:t>
      </w:r>
    </w:p>
    <w:p w:rsidR="00C962DA" w:rsidRPr="00E56CFD" w:rsidRDefault="006336F8">
      <w:pPr>
        <w:spacing w:before="100" w:beforeAutospacing="1" w:after="100" w:afterAutospacing="1" w:line="400" w:lineRule="exact"/>
        <w:ind w:firstLine="420"/>
        <w:rPr>
          <w:kern w:val="0"/>
          <w:szCs w:val="21"/>
        </w:rPr>
      </w:pPr>
      <w:r w:rsidRPr="00E56CFD">
        <w:rPr>
          <w:szCs w:val="21"/>
        </w:rPr>
        <w:t>2</w:t>
      </w:r>
      <w:r w:rsidRPr="00E56CFD">
        <w:rPr>
          <w:szCs w:val="21"/>
        </w:rPr>
        <w:t>、基金管理人应每个估值日对基金财产估值</w:t>
      </w:r>
      <w:r w:rsidRPr="00E56CFD">
        <w:rPr>
          <w:rFonts w:hint="eastAsia"/>
          <w:color w:val="000000"/>
          <w:kern w:val="0"/>
          <w:szCs w:val="21"/>
        </w:rPr>
        <w:t>，但基金管理人根据法律法规或《基金合同》的规定暂停估值时除外</w:t>
      </w:r>
      <w:r w:rsidRPr="00E56CFD">
        <w:rPr>
          <w:rFonts w:hint="eastAsia"/>
          <w:szCs w:val="21"/>
        </w:rPr>
        <w:t>。估值原则应符合《基金合同》、《证券投资基金会计核算业务指引》及其他法律法规的规定。基金资产净值和基金份额净值由基金管理人负责计算，基金托管人复核。基金管理人应于每个估值日结束后计算得出当日的基金份额净值，并以双方约定的方式发送给基金托管人。基金托管人应对净值计算结果进行复核，并以双方约定的方式将复核结果传送给基金管理人</w:t>
      </w:r>
      <w:r w:rsidRPr="00E56CFD">
        <w:rPr>
          <w:rFonts w:hint="eastAsia"/>
          <w:kern w:val="0"/>
          <w:szCs w:val="21"/>
        </w:rPr>
        <w:t>，由基金管理人对外公布。月末、年中和年末估值复核与基金会计账目的核对同时进行。</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3</w:t>
      </w:r>
      <w:r w:rsidRPr="00E56CFD">
        <w:rPr>
          <w:rFonts w:eastAsia="宋体"/>
          <w:sz w:val="21"/>
          <w:szCs w:val="21"/>
        </w:rPr>
        <w:t>、当</w:t>
      </w:r>
      <w:r w:rsidRPr="00E56CFD">
        <w:rPr>
          <w:rFonts w:eastAsia="宋体" w:hint="eastAsia"/>
          <w:sz w:val="21"/>
          <w:szCs w:val="21"/>
        </w:rPr>
        <w:t>相关法律法规或《基金合同》规定的估值方法不能客观反映基金财产公允价值时，基金管理人可根据具体情况</w:t>
      </w:r>
      <w:r w:rsidRPr="00E56CFD">
        <w:rPr>
          <w:rFonts w:eastAsia="宋体"/>
          <w:sz w:val="21"/>
          <w:szCs w:val="21"/>
        </w:rPr>
        <w:t>，</w:t>
      </w:r>
      <w:r w:rsidRPr="00E56CFD">
        <w:rPr>
          <w:rFonts w:eastAsia="宋体" w:hint="eastAsia"/>
          <w:sz w:val="21"/>
          <w:szCs w:val="21"/>
        </w:rPr>
        <w:t>并与基金托管人商定后</w:t>
      </w:r>
      <w:r w:rsidRPr="00E56CFD">
        <w:rPr>
          <w:rFonts w:eastAsia="宋体"/>
          <w:sz w:val="21"/>
          <w:szCs w:val="21"/>
        </w:rPr>
        <w:t>，</w:t>
      </w:r>
      <w:r w:rsidRPr="00E56CFD">
        <w:rPr>
          <w:rFonts w:eastAsia="宋体" w:hint="eastAsia"/>
          <w:sz w:val="21"/>
          <w:szCs w:val="21"/>
        </w:rPr>
        <w:t>按最能反映公允价值的价格估值。本基金实施侧袋机制的，应根据本部分的约定对主袋账户资产进行估值并披露主袋账户的基金资产净值和份额净值，暂停披露侧袋账户份额净值。</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4</w:t>
      </w:r>
      <w:r w:rsidRPr="00E56CFD">
        <w:rPr>
          <w:rFonts w:eastAsia="宋体"/>
          <w:sz w:val="21"/>
          <w:szCs w:val="21"/>
        </w:rPr>
        <w:t>、</w:t>
      </w:r>
      <w:r w:rsidRPr="00E56CFD">
        <w:rPr>
          <w:rFonts w:eastAsia="宋体" w:hint="eastAsia"/>
          <w:sz w:val="21"/>
          <w:szCs w:val="21"/>
        </w:rPr>
        <w:t>基金管理人、基金托管人发现基金估值违反《基金合同》订明的估值方法、程序以及相关法律法规的规定或者未能充分维护基金份额持有人利益时，双方应及时进行协商和纠正。</w:t>
      </w:r>
    </w:p>
    <w:p w:rsidR="00C962DA" w:rsidRPr="00E56CFD" w:rsidRDefault="006336F8">
      <w:pPr>
        <w:spacing w:before="100" w:beforeAutospacing="1" w:after="100" w:afterAutospacing="1" w:line="400" w:lineRule="exact"/>
        <w:ind w:firstLine="420"/>
        <w:rPr>
          <w:szCs w:val="21"/>
        </w:rPr>
      </w:pPr>
      <w:r w:rsidRPr="00E56CFD">
        <w:rPr>
          <w:szCs w:val="21"/>
        </w:rPr>
        <w:lastRenderedPageBreak/>
        <w:t>5</w:t>
      </w:r>
      <w:r w:rsidRPr="00E56CFD">
        <w:rPr>
          <w:szCs w:val="21"/>
        </w:rPr>
        <w:t>、</w:t>
      </w:r>
      <w:r w:rsidRPr="00E56CFD">
        <w:rPr>
          <w:rFonts w:hint="eastAsia"/>
          <w:szCs w:val="21"/>
        </w:rPr>
        <w:t>当基金资产的估值导致基金份额净值小数点后</w:t>
      </w:r>
      <w:r w:rsidRPr="00E56CFD">
        <w:rPr>
          <w:szCs w:val="21"/>
        </w:rPr>
        <w:t>4</w:t>
      </w:r>
      <w:r w:rsidRPr="00E56CFD">
        <w:rPr>
          <w:szCs w:val="21"/>
        </w:rPr>
        <w:t>位以内（含第</w:t>
      </w:r>
      <w:r w:rsidRPr="00E56CFD">
        <w:rPr>
          <w:szCs w:val="21"/>
        </w:rPr>
        <w:t>4</w:t>
      </w:r>
      <w:r w:rsidRPr="00E56CFD">
        <w:rPr>
          <w:szCs w:val="21"/>
        </w:rPr>
        <w:t>位）发生估值错误时，</w:t>
      </w:r>
      <w:r w:rsidRPr="00E56CFD">
        <w:rPr>
          <w:rFonts w:hint="eastAsia"/>
          <w:szCs w:val="21"/>
        </w:rPr>
        <w:t>视为基金份额净值估值错误。当基金份额净值出现错误时，基金管理人应当立即予以纠正，并采取合理的措施防止损失进一步扩大；当计价错误达到基金份额净值的</w:t>
      </w:r>
      <w:r w:rsidRPr="00E56CFD">
        <w:rPr>
          <w:szCs w:val="21"/>
        </w:rPr>
        <w:t>0.25%</w:t>
      </w:r>
      <w:r w:rsidRPr="00E56CFD">
        <w:rPr>
          <w:rFonts w:hint="eastAsia"/>
          <w:szCs w:val="21"/>
        </w:rPr>
        <w:t>时，基金管理人应当通知基金托管人并报中国证监会备案；当计价错误达到基金份额净值的</w:t>
      </w:r>
      <w:r w:rsidRPr="00E56CFD">
        <w:rPr>
          <w:szCs w:val="21"/>
        </w:rPr>
        <w:t>0.5%</w:t>
      </w:r>
      <w:r w:rsidRPr="00E56CFD">
        <w:rPr>
          <w:rFonts w:hint="eastAsia"/>
          <w:szCs w:val="21"/>
        </w:rPr>
        <w:t>时，基金管理人应当通知基金托管人，在报中国证监会备案的同时及时进行公告。</w:t>
      </w:r>
      <w:r w:rsidRPr="00E56CFD">
        <w:rPr>
          <w:szCs w:val="21"/>
        </w:rPr>
        <w:t>如法律法规或监管机关</w:t>
      </w:r>
      <w:r w:rsidRPr="00E56CFD">
        <w:rPr>
          <w:rFonts w:hint="eastAsia"/>
          <w:szCs w:val="21"/>
        </w:rPr>
        <w:t>对</w:t>
      </w:r>
      <w:r w:rsidRPr="00E56CFD">
        <w:rPr>
          <w:szCs w:val="21"/>
        </w:rPr>
        <w:t>前述内容另有规定的，按其规定处理。</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6</w:t>
      </w:r>
      <w:r w:rsidRPr="00E56CFD">
        <w:rPr>
          <w:rFonts w:eastAsia="宋体"/>
          <w:sz w:val="21"/>
          <w:szCs w:val="21"/>
        </w:rPr>
        <w:t>、</w:t>
      </w:r>
      <w:r w:rsidRPr="00E56CFD">
        <w:rPr>
          <w:rFonts w:eastAsia="宋体" w:hint="eastAsia"/>
          <w:sz w:val="21"/>
          <w:szCs w:val="21"/>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7</w:t>
      </w:r>
      <w:r w:rsidRPr="00E56CFD">
        <w:rPr>
          <w:rFonts w:eastAsia="宋体"/>
          <w:sz w:val="21"/>
          <w:szCs w:val="21"/>
        </w:rPr>
        <w:t>、</w:t>
      </w:r>
      <w:r w:rsidRPr="00E56CFD">
        <w:rPr>
          <w:rFonts w:eastAsia="宋体" w:hint="eastAsia"/>
          <w:kern w:val="0"/>
          <w:sz w:val="21"/>
          <w:szCs w:val="21"/>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8</w:t>
      </w:r>
      <w:r w:rsidRPr="00E56CFD">
        <w:rPr>
          <w:rFonts w:eastAsia="宋体"/>
          <w:sz w:val="21"/>
          <w:szCs w:val="21"/>
        </w:rPr>
        <w:t>、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（二）基金会计核算</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1</w:t>
      </w:r>
      <w:r w:rsidRPr="00E56CFD">
        <w:rPr>
          <w:rFonts w:eastAsia="宋体"/>
          <w:sz w:val="21"/>
          <w:szCs w:val="21"/>
        </w:rPr>
        <w:t>、基金账册的建立</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2</w:t>
      </w:r>
      <w:r w:rsidRPr="00E56CFD">
        <w:rPr>
          <w:rFonts w:eastAsia="宋体"/>
          <w:sz w:val="21"/>
          <w:szCs w:val="21"/>
        </w:rPr>
        <w:t>、会计数据和财务指标的核对</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lastRenderedPageBreak/>
        <w:t>基金管理人和基金托管人应定期就会计数据和财务指标进行核对。如发现存在不符，双方应及时查明原因并纠正。</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3</w:t>
      </w:r>
      <w:r w:rsidRPr="00E56CFD">
        <w:rPr>
          <w:rFonts w:eastAsia="宋体"/>
          <w:sz w:val="21"/>
          <w:szCs w:val="21"/>
        </w:rPr>
        <w:t>、基金财务报表和定期报告的编制和复核</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基金财务报表由基金管理人和基金托管人每月分别独立编制。月度报表的编制，应于每月终了后</w:t>
      </w:r>
      <w:r w:rsidRPr="00E56CFD">
        <w:rPr>
          <w:rFonts w:eastAsia="宋体"/>
          <w:sz w:val="21"/>
          <w:szCs w:val="21"/>
        </w:rPr>
        <w:t>5</w:t>
      </w:r>
      <w:r w:rsidRPr="00E56CFD">
        <w:rPr>
          <w:rFonts w:eastAsia="宋体" w:hint="eastAsia"/>
          <w:sz w:val="21"/>
          <w:szCs w:val="21"/>
        </w:rPr>
        <w:t>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w:t>
      </w:r>
      <w:r w:rsidRPr="00E56CFD">
        <w:rPr>
          <w:rFonts w:eastAsia="宋体"/>
          <w:sz w:val="21"/>
          <w:szCs w:val="21"/>
        </w:rPr>
        <w:t>15</w:t>
      </w:r>
      <w:r w:rsidRPr="00E56CFD">
        <w:rPr>
          <w:rFonts w:eastAsia="宋体"/>
          <w:sz w:val="21"/>
          <w:szCs w:val="21"/>
        </w:rPr>
        <w:t>个工作日内，编制完成基金季度报告，将季度报告登载在规定网站上，并将季度报告提示性公告登载在规定报刊上。《</w:t>
      </w:r>
      <w:r w:rsidRPr="00E56CFD">
        <w:rPr>
          <w:rFonts w:eastAsia="宋体" w:hint="eastAsia"/>
          <w:color w:val="000000"/>
          <w:sz w:val="21"/>
          <w:szCs w:val="21"/>
        </w:rPr>
        <w:t>基金合同</w:t>
      </w:r>
      <w:r w:rsidRPr="00E56CFD">
        <w:rPr>
          <w:rFonts w:eastAsia="宋体" w:hint="eastAsia"/>
          <w:sz w:val="21"/>
          <w:szCs w:val="21"/>
        </w:rPr>
        <w:t>》</w:t>
      </w:r>
      <w:r w:rsidRPr="00E56CFD">
        <w:rPr>
          <w:rFonts w:eastAsia="宋体" w:hint="eastAsia"/>
          <w:color w:val="000000"/>
          <w:sz w:val="21"/>
          <w:szCs w:val="21"/>
        </w:rPr>
        <w:t>生效不足两个月的，基金管理人可以不编制当期季度报告、中期报告或者年度报告。</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 xml:space="preserve"> </w:t>
      </w:r>
      <w:r w:rsidRPr="00E56CFD">
        <w:rPr>
          <w:rFonts w:eastAsia="宋体"/>
          <w:sz w:val="21"/>
          <w:szCs w:val="21"/>
        </w:rPr>
        <w:t>基金管理人应及时完成报表编制，将有关报表提供</w:t>
      </w:r>
      <w:r w:rsidRPr="00E56CFD">
        <w:rPr>
          <w:rFonts w:eastAsia="宋体" w:hint="eastAsia"/>
          <w:sz w:val="21"/>
          <w:szCs w:val="21"/>
        </w:rPr>
        <w:t>给</w:t>
      </w:r>
      <w:r w:rsidRPr="00E56CFD">
        <w:rPr>
          <w:rFonts w:eastAsia="宋体"/>
          <w:sz w:val="21"/>
          <w:szCs w:val="21"/>
        </w:rPr>
        <w:t>基金托管人复核</w:t>
      </w:r>
      <w:r w:rsidRPr="00E56CFD">
        <w:rPr>
          <w:rFonts w:eastAsia="宋体" w:hint="eastAsia"/>
          <w:sz w:val="21"/>
          <w:szCs w:val="21"/>
        </w:rPr>
        <w:t>，基金托管人在收到后应及时进行复核，并将复核结果书面通知基金管理人</w:t>
      </w:r>
      <w:r w:rsidRPr="00E56CFD">
        <w:rPr>
          <w:rFonts w:eastAsia="宋体"/>
          <w:sz w:val="21"/>
          <w:szCs w:val="21"/>
        </w:rPr>
        <w:t>；基金管理人应留足充分的时间，便于基金托管人复核相关报表及报告。</w:t>
      </w:r>
      <w:r w:rsidRPr="00E56CFD">
        <w:rPr>
          <w:rFonts w:eastAsia="宋体" w:hint="eastAsia"/>
          <w:sz w:val="21"/>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证监会备案。</w:t>
      </w:r>
    </w:p>
    <w:p w:rsidR="00C962DA" w:rsidRPr="00E56CFD" w:rsidRDefault="00C962DA">
      <w:pPr>
        <w:pStyle w:val="30"/>
        <w:spacing w:before="100" w:beforeAutospacing="1" w:after="100" w:afterAutospacing="1" w:line="400" w:lineRule="exact"/>
        <w:ind w:left="0" w:right="26" w:firstLine="403"/>
        <w:rPr>
          <w:rFonts w:eastAsia="宋体"/>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2" w:name="_Toc116900104"/>
      <w:r w:rsidRPr="00E56CFD">
        <w:rPr>
          <w:rFonts w:hint="eastAsia"/>
          <w:sz w:val="21"/>
          <w:szCs w:val="21"/>
        </w:rPr>
        <w:t>九、基金收益分配</w:t>
      </w:r>
      <w:bookmarkEnd w:id="12"/>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（一）基金收益分配的依据</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t>收益分配应该符合《基金合同》关于收益分配原则的规定。</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hint="eastAsia"/>
          <w:sz w:val="21"/>
          <w:szCs w:val="21"/>
        </w:rPr>
        <w:lastRenderedPageBreak/>
        <w:t>（二）基金收益分配的时间和程序</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1</w:t>
      </w:r>
      <w:r w:rsidRPr="00E56CFD">
        <w:rPr>
          <w:rFonts w:eastAsia="宋体"/>
          <w:sz w:val="21"/>
          <w:szCs w:val="21"/>
        </w:rPr>
        <w:t>、基金收益分配方案由基金管理人根据《基金合同》的相关规定制定。</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2</w:t>
      </w:r>
      <w:r w:rsidRPr="00E56CFD">
        <w:rPr>
          <w:rFonts w:eastAsia="宋体"/>
          <w:sz w:val="21"/>
          <w:szCs w:val="21"/>
        </w:rPr>
        <w:t>、基金管理人应于收益分配日之前将其制定的收益分配方案提交基金托管人复核，基金托管人应于收到收益分配方案后完成对收益分配方案的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3</w:t>
      </w:r>
      <w:r w:rsidRPr="00E56CFD">
        <w:rPr>
          <w:rFonts w:eastAsia="宋体"/>
          <w:sz w:val="21"/>
          <w:szCs w:val="21"/>
        </w:rPr>
        <w:t>、</w:t>
      </w:r>
      <w:r w:rsidRPr="00E56CFD">
        <w:rPr>
          <w:rFonts w:eastAsia="宋体" w:hint="eastAsia"/>
          <w:sz w:val="21"/>
          <w:szCs w:val="21"/>
        </w:rPr>
        <w:t>本基金收益分配方式分两种：现金分红与红利再投资，投资者可选择现金红利或将现金红利自动转为基金份额进行再投资；若投资者不选择，本基金默认的收益分配方式是现金分红</w:t>
      </w:r>
      <w:r>
        <w:rPr>
          <w:rFonts w:eastAsia="宋体" w:hint="eastAsia"/>
          <w:sz w:val="21"/>
          <w:szCs w:val="21"/>
        </w:rPr>
        <w:t>。</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4</w:t>
      </w:r>
      <w:r w:rsidRPr="00E56CFD">
        <w:rPr>
          <w:rFonts w:eastAsia="宋体"/>
          <w:sz w:val="21"/>
          <w:szCs w:val="21"/>
        </w:rPr>
        <w:t>、基金托管人根据基金管理人的收益分配方案和提供的现金红利金额的数据，在红利发放日将分红资金划入基金管理人指定账户。如果投资者选择转购基金份额，基金管理人和基金托管人则应当进行红利再投资的账务处理。</w:t>
      </w:r>
    </w:p>
    <w:p w:rsidR="00C962DA" w:rsidRPr="00E56CFD" w:rsidRDefault="006336F8">
      <w:pPr>
        <w:pStyle w:val="30"/>
        <w:spacing w:before="100" w:beforeAutospacing="1" w:after="100" w:afterAutospacing="1" w:line="400" w:lineRule="exact"/>
        <w:ind w:left="0" w:right="26" w:firstLine="403"/>
        <w:rPr>
          <w:rFonts w:eastAsia="宋体"/>
          <w:sz w:val="21"/>
          <w:szCs w:val="21"/>
        </w:rPr>
      </w:pPr>
      <w:r w:rsidRPr="00E56CFD">
        <w:rPr>
          <w:rFonts w:eastAsia="宋体"/>
          <w:sz w:val="21"/>
          <w:szCs w:val="21"/>
        </w:rPr>
        <w:t>5</w:t>
      </w:r>
      <w:r w:rsidRPr="00E56CFD">
        <w:rPr>
          <w:rFonts w:eastAsia="宋体"/>
          <w:sz w:val="21"/>
          <w:szCs w:val="21"/>
        </w:rPr>
        <w:t>、本基金实施侧袋机制的，侧袋账户不进行收益分配。</w:t>
      </w:r>
    </w:p>
    <w:p w:rsidR="00C962DA" w:rsidRPr="00E56CFD" w:rsidRDefault="00C962DA">
      <w:pPr>
        <w:pStyle w:val="30"/>
        <w:spacing w:before="100" w:beforeAutospacing="1" w:after="100" w:afterAutospacing="1" w:line="400" w:lineRule="exact"/>
        <w:ind w:left="0" w:right="26" w:firstLine="403"/>
        <w:rPr>
          <w:rFonts w:eastAsia="宋体"/>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3" w:name="_Hlt82414846"/>
      <w:bookmarkStart w:id="14" w:name="_Toc116900105"/>
      <w:bookmarkEnd w:id="13"/>
      <w:r w:rsidRPr="00E56CFD">
        <w:rPr>
          <w:rFonts w:hint="eastAsia"/>
          <w:sz w:val="21"/>
          <w:szCs w:val="21"/>
        </w:rPr>
        <w:t>十、基金信息披露</w:t>
      </w:r>
      <w:bookmarkEnd w:id="14"/>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（一）保密义务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heme="minorEastAsia" w:eastAsiaTheme="minorEastAsia" w:hAnsiTheme="minorEastAsia" w:cstheme="minorEastAsia" w:hint="eastAsia"/>
          <w:sz w:val="21"/>
          <w:szCs w:val="16"/>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、非因基金管理人和基金托管人的原因导致保密信息被披露、泄露或公开；</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、基金管理人和基金托管人为遵守和服从法院判决、仲裁裁决或中国证监会等监管机构的命令、决定所做出的信息披露或公开；</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lastRenderedPageBreak/>
        <w:t>3</w:t>
      </w:r>
      <w:r w:rsidRPr="00E56CFD">
        <w:rPr>
          <w:rFonts w:ascii="Times New Roman" w:eastAsia="宋体" w:hAnsi="Times New Roman"/>
          <w:color w:val="auto"/>
          <w:sz w:val="21"/>
          <w:szCs w:val="21"/>
        </w:rPr>
        <w:t>、因审计、法律等专业服务向外部专业顾问提供信息，并要求专业顾问遵守保密义务。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（二）基金管理人和基金托管人在信息披露中的职责和信息披露程序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、基金管理人和基金托管人应根据相关法律法规、《基金合同》的规定各自承担相应的信息披露职责。</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、本基金信息披露的所有文件，包括《基金合同》和本协议规定的定期报告、临时报告、基金产品资料概要、基金净值信息及其他必要的公告文件，由基金管理人和基金托管人按照有关法律法规的规定予以公布。</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、基金年度报告中的财务会计报告必须经符合《中华人民共和国证券法》规定的会计师事务所审计。</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color w:val="auto"/>
          <w:sz w:val="21"/>
          <w:szCs w:val="21"/>
        </w:rPr>
        <w:t>、本基金的信息披露，应通过中国证监会规定的媒介进行；基金管理人、基金托管人可以根据需要在其他公共媒介披露信息，但是其他公共媒介不得早于规定媒介</w:t>
      </w:r>
      <w:r w:rsidRPr="00E56CFD">
        <w:rPr>
          <w:rFonts w:ascii="Times New Roman" w:eastAsia="宋体" w:hAnsi="Times New Roman" w:hint="eastAsia"/>
          <w:color w:val="auto"/>
          <w:sz w:val="21"/>
          <w:szCs w:val="21"/>
        </w:rPr>
        <w:t>披露信息，并且在不同媒介上披露同一信息的内容应当一致。</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5</w:t>
      </w:r>
      <w:r w:rsidRPr="00E56CFD">
        <w:rPr>
          <w:rFonts w:ascii="Times New Roman" w:eastAsia="宋体" w:hAnsi="Times New Roman"/>
          <w:color w:val="auto"/>
          <w:sz w:val="21"/>
          <w:szCs w:val="21"/>
        </w:rPr>
        <w:t>、信息文本的存放与备查</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依法必须</w:t>
      </w:r>
      <w:r w:rsidRPr="00E56CFD">
        <w:rPr>
          <w:rFonts w:ascii="Times New Roman" w:eastAsia="宋体" w:hAnsi="Times New Roman"/>
          <w:color w:val="auto"/>
          <w:sz w:val="21"/>
          <w:szCs w:val="21"/>
        </w:rPr>
        <w:t>披露的信息发布后，基金管理人、基金托管人应当按照相关法律法规</w:t>
      </w:r>
      <w:r w:rsidRPr="00E56CFD">
        <w:rPr>
          <w:rFonts w:ascii="Times New Roman" w:eastAsia="宋体" w:hAnsi="Times New Roman" w:hint="eastAsia"/>
          <w:color w:val="auto"/>
          <w:sz w:val="21"/>
          <w:szCs w:val="21"/>
        </w:rPr>
        <w:t>规定</w:t>
      </w:r>
      <w:r w:rsidRPr="00E56CFD">
        <w:rPr>
          <w:rFonts w:ascii="Times New Roman" w:eastAsia="宋体" w:hAnsi="Times New Roman"/>
          <w:color w:val="auto"/>
          <w:sz w:val="21"/>
          <w:szCs w:val="21"/>
        </w:rPr>
        <w:t>将信息</w:t>
      </w:r>
      <w:r w:rsidRPr="00E56CFD">
        <w:rPr>
          <w:rFonts w:ascii="Times New Roman" w:eastAsia="宋体" w:hAnsi="Times New Roman" w:hint="eastAsia"/>
          <w:color w:val="auto"/>
          <w:sz w:val="21"/>
          <w:szCs w:val="21"/>
        </w:rPr>
        <w:t>置备于各自办公场所</w:t>
      </w:r>
      <w:r w:rsidRPr="00E56CFD">
        <w:rPr>
          <w:rFonts w:ascii="Times New Roman" w:eastAsia="宋体" w:hAnsi="Times New Roman"/>
          <w:color w:val="auto"/>
          <w:sz w:val="21"/>
          <w:szCs w:val="21"/>
        </w:rPr>
        <w:t>，供社会公众查阅、复制。</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基金管理人和基金托管人应保证文本的内容与所公告的内容完全一致。</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6</w:t>
      </w:r>
      <w:r w:rsidRPr="00E56CFD">
        <w:rPr>
          <w:szCs w:val="21"/>
        </w:rPr>
        <w:t>、</w:t>
      </w:r>
      <w:r w:rsidRPr="00E56CFD">
        <w:rPr>
          <w:rFonts w:hint="eastAsia"/>
          <w:szCs w:val="21"/>
        </w:rPr>
        <w:t>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7</w:t>
      </w:r>
      <w:r w:rsidRPr="00E56CFD">
        <w:rPr>
          <w:rFonts w:hint="eastAsia"/>
          <w:szCs w:val="21"/>
        </w:rPr>
        <w:t>、本基金实施侧袋机制的，相关信息披露义务人应当根据法律法规、基金合同的规定进行信息披露。</w:t>
      </w:r>
    </w:p>
    <w:p w:rsidR="00C962DA" w:rsidRPr="00E56CFD" w:rsidRDefault="00C962DA">
      <w:pPr>
        <w:adjustRightInd w:val="0"/>
        <w:snapToGrid w:val="0"/>
        <w:spacing w:before="100" w:beforeAutospacing="1" w:after="100" w:afterAutospacing="1" w:line="400" w:lineRule="exact"/>
        <w:ind w:firstLineChars="200" w:firstLine="420"/>
        <w:rPr>
          <w:szCs w:val="21"/>
        </w:rPr>
      </w:pPr>
    </w:p>
    <w:p w:rsidR="00C962DA" w:rsidRPr="00E56CFD" w:rsidRDefault="006336F8">
      <w:pPr>
        <w:pStyle w:val="a7"/>
        <w:spacing w:before="100" w:beforeAutospacing="1" w:after="100" w:afterAutospacing="1"/>
        <w:ind w:firstLineChars="200" w:firstLine="420"/>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（三）基金托管人报告</w:t>
      </w:r>
    </w:p>
    <w:p w:rsidR="00C962DA" w:rsidRPr="00E56CFD" w:rsidRDefault="006336F8">
      <w:pPr>
        <w:pStyle w:val="a7"/>
        <w:spacing w:before="100" w:beforeAutospacing="1" w:after="100" w:afterAutospacing="1"/>
        <w:ind w:firstLineChars="200" w:firstLine="420"/>
        <w:rPr>
          <w:rFonts w:ascii="Times New Roman" w:eastAsia="宋体" w:hAnsi="Times New Roman"/>
          <w:color w:val="auto"/>
          <w:sz w:val="21"/>
          <w:szCs w:val="21"/>
        </w:rPr>
      </w:pPr>
      <w:r w:rsidRPr="00E56CFD">
        <w:rPr>
          <w:rFonts w:ascii="Times New Roman" w:eastAsia="宋体" w:hAnsi="Times New Roman" w:hint="eastAsia"/>
          <w:color w:val="auto"/>
          <w:sz w:val="21"/>
          <w:szCs w:val="21"/>
        </w:rPr>
        <w:t>基金托管人应按《基金法》、《运作办法》、《信息披露办法》和其他有关法律法规的规定于每个上半年度结束后两个月内、每个会计年度结束后三个月内在基金中期报告及年度报告</w:t>
      </w:r>
      <w:r w:rsidRPr="00E56CFD">
        <w:rPr>
          <w:rFonts w:ascii="Times New Roman" w:eastAsia="宋体" w:hAnsi="Times New Roman" w:hint="eastAsia"/>
          <w:color w:val="auto"/>
          <w:sz w:val="21"/>
          <w:szCs w:val="21"/>
        </w:rPr>
        <w:lastRenderedPageBreak/>
        <w:t>中分别出具托管人报告。</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5" w:name="_Toc116900106"/>
      <w:r w:rsidRPr="00E56CFD">
        <w:rPr>
          <w:rFonts w:hint="eastAsia"/>
          <w:sz w:val="21"/>
          <w:szCs w:val="21"/>
        </w:rPr>
        <w:t>十一、基金费用</w:t>
      </w:r>
    </w:p>
    <w:p w:rsidR="00C962DA" w:rsidRPr="00E56CFD" w:rsidRDefault="006336F8">
      <w:pPr>
        <w:spacing w:before="100" w:beforeAutospacing="1" w:after="100" w:afterAutospacing="1" w:line="400" w:lineRule="exact"/>
        <w:ind w:right="26" w:firstLine="403"/>
        <w:rPr>
          <w:szCs w:val="21"/>
        </w:rPr>
      </w:pPr>
      <w:r w:rsidRPr="00E56CFD">
        <w:rPr>
          <w:rFonts w:hint="eastAsia"/>
          <w:szCs w:val="21"/>
        </w:rPr>
        <w:t>（一）基金管理人的管理费</w:t>
      </w:r>
    </w:p>
    <w:p w:rsidR="00C962DA" w:rsidRPr="00E56CFD" w:rsidRDefault="006336F8">
      <w:pPr>
        <w:autoSpaceDE w:val="0"/>
        <w:autoSpaceDN w:val="0"/>
        <w:spacing w:before="100" w:beforeAutospacing="1" w:after="100" w:afterAutospacing="1" w:line="400" w:lineRule="exact"/>
        <w:ind w:firstLine="851"/>
        <w:textAlignment w:val="bottom"/>
        <w:rPr>
          <w:szCs w:val="21"/>
        </w:rPr>
      </w:pPr>
      <w:r w:rsidRPr="00E56CFD">
        <w:rPr>
          <w:rFonts w:hint="eastAsia"/>
          <w:szCs w:val="21"/>
        </w:rPr>
        <w:t>本基金的管理费按前一日基金资产净值的</w:t>
      </w:r>
      <w:r w:rsidRPr="00E56CFD">
        <w:rPr>
          <w:szCs w:val="21"/>
        </w:rPr>
        <w:t>1.2%</w:t>
      </w:r>
      <w:r w:rsidRPr="00E56CFD">
        <w:rPr>
          <w:szCs w:val="21"/>
        </w:rPr>
        <w:t>年费率计提。</w:t>
      </w:r>
      <w:r w:rsidRPr="00E56CFD">
        <w:rPr>
          <w:rFonts w:hint="eastAsia"/>
          <w:szCs w:val="21"/>
        </w:rPr>
        <w:t>管理费的计算方法如下：</w:t>
      </w:r>
    </w:p>
    <w:p w:rsidR="00C962DA" w:rsidRPr="00E56CFD" w:rsidRDefault="006336F8">
      <w:pPr>
        <w:autoSpaceDE w:val="0"/>
        <w:autoSpaceDN w:val="0"/>
        <w:spacing w:before="100" w:beforeAutospacing="1" w:after="100" w:afterAutospacing="1" w:line="400" w:lineRule="exact"/>
        <w:ind w:firstLine="840"/>
        <w:textAlignment w:val="bottom"/>
        <w:rPr>
          <w:szCs w:val="21"/>
        </w:rPr>
      </w:pPr>
      <w:r w:rsidRPr="00E56CFD">
        <w:rPr>
          <w:szCs w:val="21"/>
        </w:rPr>
        <w:t>H</w:t>
      </w:r>
      <w:r w:rsidRPr="00E56CFD">
        <w:rPr>
          <w:rFonts w:hint="eastAsia"/>
          <w:szCs w:val="21"/>
        </w:rPr>
        <w:t>＝</w:t>
      </w:r>
      <w:r w:rsidRPr="00E56CFD">
        <w:rPr>
          <w:szCs w:val="21"/>
        </w:rPr>
        <w:t>E</w:t>
      </w:r>
      <w:r w:rsidRPr="00E56CFD">
        <w:rPr>
          <w:rFonts w:hint="eastAsia"/>
          <w:szCs w:val="21"/>
        </w:rPr>
        <w:t>×</w:t>
      </w:r>
      <w:r>
        <w:rPr>
          <w:szCs w:val="21"/>
        </w:rPr>
        <w:t>1.2%</w:t>
      </w:r>
      <w:r w:rsidRPr="00E56CFD">
        <w:rPr>
          <w:rFonts w:hint="eastAsia"/>
          <w:szCs w:val="21"/>
        </w:rPr>
        <w:t>÷当年天数</w:t>
      </w:r>
    </w:p>
    <w:p w:rsidR="00C962DA" w:rsidRPr="00E56CFD" w:rsidRDefault="006336F8">
      <w:pPr>
        <w:autoSpaceDE w:val="0"/>
        <w:autoSpaceDN w:val="0"/>
        <w:spacing w:before="100" w:beforeAutospacing="1" w:after="100" w:afterAutospacing="1" w:line="400" w:lineRule="exact"/>
        <w:ind w:firstLine="840"/>
        <w:textAlignment w:val="bottom"/>
        <w:rPr>
          <w:szCs w:val="21"/>
        </w:rPr>
      </w:pPr>
      <w:r w:rsidRPr="00E56CFD">
        <w:rPr>
          <w:szCs w:val="21"/>
        </w:rPr>
        <w:t>H</w:t>
      </w:r>
      <w:r w:rsidRPr="00E56CFD">
        <w:rPr>
          <w:rFonts w:hint="eastAsia"/>
          <w:szCs w:val="21"/>
        </w:rPr>
        <w:t>为每日应计提的基金管理费</w:t>
      </w:r>
    </w:p>
    <w:p w:rsidR="00C962DA" w:rsidRPr="00E56CFD" w:rsidRDefault="006336F8">
      <w:pPr>
        <w:autoSpaceDE w:val="0"/>
        <w:autoSpaceDN w:val="0"/>
        <w:spacing w:before="100" w:beforeAutospacing="1" w:after="100" w:afterAutospacing="1" w:line="400" w:lineRule="exact"/>
        <w:ind w:firstLine="840"/>
        <w:textAlignment w:val="bottom"/>
        <w:rPr>
          <w:szCs w:val="21"/>
        </w:rPr>
      </w:pPr>
      <w:r w:rsidRPr="00E56CFD">
        <w:rPr>
          <w:szCs w:val="21"/>
        </w:rPr>
        <w:t>E</w:t>
      </w:r>
      <w:r w:rsidRPr="00E56CFD">
        <w:rPr>
          <w:rFonts w:hint="eastAsia"/>
          <w:szCs w:val="21"/>
        </w:rPr>
        <w:t>为前一日的基金资产净值</w:t>
      </w:r>
    </w:p>
    <w:p w:rsidR="00C962DA" w:rsidRDefault="006336F8" w:rsidP="00E56CFD">
      <w:pPr>
        <w:spacing w:before="100" w:beforeAutospacing="1" w:after="100" w:afterAutospacing="1" w:line="400" w:lineRule="exact"/>
        <w:ind w:right="26" w:firstLine="403"/>
        <w:rPr>
          <w:szCs w:val="21"/>
        </w:rPr>
      </w:pPr>
      <w:r>
        <w:rPr>
          <w:rFonts w:hint="eastAsia"/>
          <w:szCs w:val="21"/>
        </w:rPr>
        <w:t>基金管理费每日计提，逐日累计至每月月末，按月支付。由基金管理人与基金托管人核对一致后，由基金托管人按照与基金管理人协商一致的方式于次月首日起</w:t>
      </w:r>
      <w:r>
        <w:rPr>
          <w:rFonts w:hint="eastAsia"/>
          <w:szCs w:val="21"/>
        </w:rPr>
        <w:t>5</w:t>
      </w:r>
      <w:r>
        <w:rPr>
          <w:rFonts w:hint="eastAsia"/>
          <w:szCs w:val="21"/>
        </w:rPr>
        <w:t>个工作日内从基金财产中一次性支付给基金管理人，若遇法定节假日、休息日或不可抗力致使无法按时支付的，支付日期顺延。</w:t>
      </w:r>
    </w:p>
    <w:p w:rsidR="00C962DA" w:rsidRPr="00E56CFD" w:rsidRDefault="006336F8" w:rsidP="00E56CFD">
      <w:pPr>
        <w:spacing w:before="100" w:beforeAutospacing="1" w:after="100" w:afterAutospacing="1" w:line="400" w:lineRule="exact"/>
        <w:ind w:right="26" w:firstLine="403"/>
        <w:rPr>
          <w:szCs w:val="21"/>
        </w:rPr>
      </w:pPr>
      <w:r w:rsidRPr="00E56CFD">
        <w:rPr>
          <w:rFonts w:hint="eastAsia"/>
          <w:szCs w:val="21"/>
        </w:rPr>
        <w:t>（二）基金托管人的托管费</w:t>
      </w:r>
    </w:p>
    <w:p w:rsidR="00C962DA" w:rsidRPr="00E56CFD" w:rsidRDefault="006336F8">
      <w:pPr>
        <w:spacing w:before="100" w:beforeAutospacing="1" w:after="100" w:afterAutospacing="1" w:line="400" w:lineRule="exact"/>
        <w:ind w:firstLine="851"/>
        <w:rPr>
          <w:szCs w:val="21"/>
        </w:rPr>
      </w:pPr>
      <w:r w:rsidRPr="00E56CFD">
        <w:rPr>
          <w:rFonts w:hint="eastAsia"/>
          <w:szCs w:val="21"/>
        </w:rPr>
        <w:t>本基金的托管费按前一日基金资产净值的</w:t>
      </w:r>
      <w:r w:rsidRPr="00E56CFD">
        <w:rPr>
          <w:szCs w:val="21"/>
        </w:rPr>
        <w:t>0.2%</w:t>
      </w:r>
      <w:r w:rsidRPr="00E56CFD">
        <w:rPr>
          <w:szCs w:val="21"/>
        </w:rPr>
        <w:t>年费率计提。</w:t>
      </w:r>
      <w:r w:rsidRPr="00E56CFD">
        <w:rPr>
          <w:rFonts w:hint="eastAsia"/>
          <w:szCs w:val="21"/>
        </w:rPr>
        <w:t>托管费的计算方法如下：</w:t>
      </w:r>
    </w:p>
    <w:p w:rsidR="00C962DA" w:rsidRPr="00E56CFD" w:rsidRDefault="006336F8">
      <w:pPr>
        <w:spacing w:before="100" w:beforeAutospacing="1" w:after="100" w:afterAutospacing="1" w:line="400" w:lineRule="exact"/>
        <w:ind w:firstLine="840"/>
        <w:rPr>
          <w:szCs w:val="21"/>
        </w:rPr>
      </w:pPr>
      <w:r w:rsidRPr="00E56CFD">
        <w:rPr>
          <w:szCs w:val="21"/>
        </w:rPr>
        <w:t>H=E</w:t>
      </w:r>
      <w:r w:rsidRPr="00E56CFD">
        <w:rPr>
          <w:rFonts w:hint="eastAsia"/>
          <w:szCs w:val="21"/>
        </w:rPr>
        <w:t>×</w:t>
      </w:r>
      <w:r>
        <w:rPr>
          <w:szCs w:val="21"/>
        </w:rPr>
        <w:t>0.2%</w:t>
      </w:r>
      <w:r w:rsidRPr="00E56CFD">
        <w:rPr>
          <w:rFonts w:hint="eastAsia"/>
          <w:szCs w:val="21"/>
        </w:rPr>
        <w:t>÷当年天数</w:t>
      </w:r>
    </w:p>
    <w:p w:rsidR="00C962DA" w:rsidRPr="00E56CFD" w:rsidRDefault="006336F8">
      <w:pPr>
        <w:spacing w:before="100" w:beforeAutospacing="1" w:after="100" w:afterAutospacing="1" w:line="400" w:lineRule="exact"/>
        <w:ind w:firstLine="840"/>
        <w:rPr>
          <w:szCs w:val="21"/>
        </w:rPr>
      </w:pPr>
      <w:r w:rsidRPr="00E56CFD">
        <w:rPr>
          <w:szCs w:val="21"/>
        </w:rPr>
        <w:t>H</w:t>
      </w:r>
      <w:r w:rsidRPr="00E56CFD">
        <w:rPr>
          <w:rFonts w:hint="eastAsia"/>
          <w:szCs w:val="21"/>
        </w:rPr>
        <w:t>为每日应计提的基金托管费</w:t>
      </w:r>
    </w:p>
    <w:p w:rsidR="00C962DA" w:rsidRPr="00E56CFD" w:rsidRDefault="006336F8">
      <w:pPr>
        <w:spacing w:before="100" w:beforeAutospacing="1" w:after="100" w:afterAutospacing="1" w:line="400" w:lineRule="exact"/>
        <w:ind w:firstLine="840"/>
        <w:rPr>
          <w:szCs w:val="21"/>
        </w:rPr>
      </w:pPr>
      <w:r w:rsidRPr="00E56CFD">
        <w:rPr>
          <w:szCs w:val="21"/>
        </w:rPr>
        <w:t>E</w:t>
      </w:r>
      <w:r w:rsidRPr="00E56CFD">
        <w:rPr>
          <w:rFonts w:hint="eastAsia"/>
          <w:szCs w:val="21"/>
        </w:rPr>
        <w:t>为前一日的基金资产净值</w:t>
      </w:r>
    </w:p>
    <w:p w:rsidR="00C962DA" w:rsidRDefault="006336F8" w:rsidP="00E56CFD">
      <w:pPr>
        <w:spacing w:before="100" w:beforeAutospacing="1" w:after="100" w:afterAutospacing="1" w:line="400" w:lineRule="exact"/>
        <w:ind w:right="26" w:firstLine="403"/>
        <w:rPr>
          <w:rFonts w:ascii="宋体"/>
          <w:szCs w:val="21"/>
        </w:rPr>
      </w:pPr>
      <w:r>
        <w:rPr>
          <w:rFonts w:ascii="宋体" w:hint="eastAsia"/>
          <w:szCs w:val="21"/>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rsidR="00C962DA" w:rsidRPr="00E56CFD" w:rsidRDefault="006336F8" w:rsidP="00094EE1">
      <w:pPr>
        <w:spacing w:before="100" w:beforeAutospacing="1" w:after="100" w:afterAutospacing="1" w:line="400" w:lineRule="exact"/>
        <w:ind w:right="26" w:firstLine="403"/>
        <w:rPr>
          <w:szCs w:val="21"/>
        </w:rPr>
      </w:pPr>
      <w:r w:rsidRPr="00E56CFD">
        <w:rPr>
          <w:rFonts w:hint="eastAsia"/>
          <w:szCs w:val="21"/>
        </w:rPr>
        <w:t>（三）从基金财产中列支基金管理人的管理费、基金托管人的托管费之外的其他基金费</w:t>
      </w:r>
      <w:r w:rsidRPr="00E56CFD">
        <w:rPr>
          <w:rFonts w:hint="eastAsia"/>
          <w:szCs w:val="21"/>
        </w:rPr>
        <w:lastRenderedPageBreak/>
        <w:t>用，应当依据有关法律法规、《基金合同》的规定执行。本基金实施侧袋机制的，与侧袋账户有关的费用可以从侧袋账户中列支，但应待侧袋账户资产变现后方可列支，有关费用可酌情收取或减免，但不得收取管理费。</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w:t>
      </w:r>
      <w:r w:rsidR="00764867">
        <w:rPr>
          <w:rFonts w:ascii="Times New Roman" w:eastAsia="宋体" w:hAnsi="Times New Roman" w:hint="eastAsia"/>
          <w:color w:val="auto"/>
          <w:sz w:val="21"/>
          <w:szCs w:val="21"/>
        </w:rPr>
        <w:t>四</w:t>
      </w:r>
      <w:r w:rsidRPr="00E56CFD">
        <w:rPr>
          <w:rFonts w:ascii="Times New Roman" w:eastAsia="宋体" w:hAnsi="Times New Roman" w:hint="eastAsia"/>
          <w:color w:val="auto"/>
          <w:sz w:val="21"/>
          <w:szCs w:val="21"/>
        </w:rPr>
        <w:t>）对于</w:t>
      </w:r>
      <w:r w:rsidRPr="00E56CFD">
        <w:rPr>
          <w:rFonts w:ascii="Times New Roman" w:eastAsia="宋体" w:hAnsi="Times New Roman" w:hint="eastAsia"/>
          <w:sz w:val="21"/>
          <w:szCs w:val="21"/>
        </w:rPr>
        <w:t>违反法律法规、</w:t>
      </w:r>
      <w:r w:rsidRPr="00E56CFD">
        <w:rPr>
          <w:rFonts w:ascii="Times New Roman" w:eastAsia="宋体" w:hAnsi="Times New Roman" w:hint="eastAsia"/>
          <w:color w:val="auto"/>
          <w:sz w:val="21"/>
          <w:szCs w:val="21"/>
        </w:rPr>
        <w:t>《基金合同》</w:t>
      </w:r>
      <w:r w:rsidRPr="00E56CFD">
        <w:rPr>
          <w:rFonts w:ascii="Times New Roman" w:eastAsia="宋体" w:hAnsi="Times New Roman" w:hint="eastAsia"/>
          <w:sz w:val="21"/>
          <w:szCs w:val="21"/>
        </w:rPr>
        <w:t>、本协议及其他有关规定</w:t>
      </w:r>
      <w:r w:rsidRPr="00E56CFD">
        <w:rPr>
          <w:rFonts w:ascii="Times New Roman" w:eastAsia="宋体" w:hAnsi="Times New Roman" w:hint="eastAsia"/>
          <w:color w:val="auto"/>
          <w:sz w:val="21"/>
          <w:szCs w:val="21"/>
        </w:rPr>
        <w:t>（包括基金费用的计提方法、计提标准、支付方式等）的基金费用，不得从任何基金财产中列支。</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w:t>
      </w:r>
      <w:r w:rsidR="00764867">
        <w:rPr>
          <w:rFonts w:ascii="Times New Roman" w:eastAsia="宋体" w:hAnsi="Times New Roman" w:hint="eastAsia"/>
          <w:color w:val="auto"/>
          <w:sz w:val="21"/>
          <w:szCs w:val="21"/>
        </w:rPr>
        <w:t>五</w:t>
      </w:r>
      <w:r w:rsidRPr="00E56CFD">
        <w:rPr>
          <w:rFonts w:ascii="Times New Roman" w:eastAsia="宋体" w:hAnsi="Times New Roman" w:hint="eastAsia"/>
          <w:color w:val="auto"/>
          <w:sz w:val="21"/>
          <w:szCs w:val="21"/>
        </w:rPr>
        <w:t>）本基金支付给基金管理人、基金托管人的各项费用均为含税价格，具体税率适用中国税务机关的相关规定。</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highlight w:val="lightGray"/>
        </w:rPr>
      </w:pPr>
      <w:bookmarkStart w:id="16" w:name="_Toc116900107"/>
      <w:bookmarkEnd w:id="15"/>
      <w:r w:rsidRPr="00E56CFD">
        <w:rPr>
          <w:rFonts w:hint="eastAsia"/>
          <w:sz w:val="21"/>
          <w:szCs w:val="21"/>
        </w:rPr>
        <w:t>十二、基金份额持有人名册的保管</w:t>
      </w:r>
    </w:p>
    <w:p w:rsidR="00C962DA" w:rsidRPr="00E56CFD" w:rsidRDefault="006336F8">
      <w:pPr>
        <w:spacing w:before="100" w:beforeAutospacing="1" w:after="100" w:afterAutospacing="1" w:line="400" w:lineRule="exact"/>
        <w:ind w:firstLineChars="200" w:firstLine="420"/>
        <w:rPr>
          <w:color w:val="000000"/>
          <w:szCs w:val="21"/>
        </w:rPr>
      </w:pPr>
      <w:r w:rsidRPr="00E56CFD">
        <w:rPr>
          <w:rFonts w:hint="eastAsia"/>
        </w:rPr>
        <w:t>基金份额持有人名册</w:t>
      </w:r>
      <w:r w:rsidRPr="00E56CFD">
        <w:rPr>
          <w:rFonts w:hint="eastAsia"/>
          <w:szCs w:val="21"/>
        </w:rPr>
        <w:t>至少应</w:t>
      </w:r>
      <w:r w:rsidRPr="00E56CFD">
        <w:rPr>
          <w:rFonts w:hint="eastAsia"/>
        </w:rPr>
        <w:t>包括基金份额持有人的名称和持有的基金份额。</w:t>
      </w:r>
      <w:r w:rsidRPr="00E56CFD">
        <w:rPr>
          <w:rFonts w:hint="eastAsia"/>
          <w:szCs w:val="21"/>
        </w:rPr>
        <w:t>基金份额持有人名册由</w:t>
      </w:r>
      <w:r w:rsidRPr="00E56CFD">
        <w:rPr>
          <w:rFonts w:hint="eastAsia"/>
        </w:rPr>
        <w:t>基金登记</w:t>
      </w:r>
      <w:r w:rsidRPr="00E56CFD">
        <w:rPr>
          <w:rFonts w:hint="eastAsia"/>
          <w:szCs w:val="21"/>
        </w:rPr>
        <w:t>机构根据</w:t>
      </w:r>
      <w:r w:rsidRPr="00E56CFD">
        <w:rPr>
          <w:rFonts w:hint="eastAsia"/>
        </w:rPr>
        <w:t>基金管理人</w:t>
      </w:r>
      <w:r w:rsidRPr="00E56CFD">
        <w:rPr>
          <w:rFonts w:hint="eastAsia"/>
          <w:szCs w:val="21"/>
        </w:rPr>
        <w:t>的指令编制和保管，基金管理人和</w:t>
      </w:r>
      <w:r w:rsidRPr="00E56CFD">
        <w:rPr>
          <w:rFonts w:hint="eastAsia"/>
        </w:rPr>
        <w:t>基金托管人</w:t>
      </w:r>
      <w:r w:rsidRPr="00E56CFD">
        <w:rPr>
          <w:rFonts w:hint="eastAsia"/>
          <w:color w:val="000000"/>
          <w:szCs w:val="21"/>
        </w:rPr>
        <w:t>应分别保管基金份额持有人名册，基金登记机构保存期不少于</w:t>
      </w:r>
      <w:r w:rsidRPr="00E56CFD">
        <w:rPr>
          <w:color w:val="000000"/>
          <w:szCs w:val="21"/>
        </w:rPr>
        <w:t>20</w:t>
      </w:r>
      <w:r w:rsidRPr="00E56CFD">
        <w:rPr>
          <w:color w:val="000000"/>
          <w:szCs w:val="21"/>
        </w:rPr>
        <w:t>年，法律法规另有规定或有权机关另有要求的除外。如不能妥善保管，则按相关法规承担责任。</w:t>
      </w:r>
    </w:p>
    <w:p w:rsidR="00C962DA" w:rsidRPr="00E56CFD" w:rsidRDefault="006336F8">
      <w:pPr>
        <w:spacing w:before="100" w:beforeAutospacing="1" w:after="100" w:afterAutospacing="1" w:line="400" w:lineRule="exact"/>
        <w:ind w:firstLineChars="200" w:firstLine="420"/>
        <w:rPr>
          <w:color w:val="FF0000"/>
          <w:szCs w:val="21"/>
          <w:highlight w:val="lightGray"/>
        </w:rPr>
      </w:pPr>
      <w:r w:rsidRPr="00E56CFD">
        <w:rPr>
          <w:rFonts w:hint="eastAsia"/>
          <w:color w:val="000000"/>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C962DA" w:rsidRPr="00E56CFD" w:rsidRDefault="006336F8">
      <w:pPr>
        <w:pStyle w:val="1"/>
        <w:spacing w:before="100" w:beforeAutospacing="1" w:after="100" w:afterAutospacing="1" w:line="400" w:lineRule="exact"/>
        <w:ind w:firstLine="422"/>
        <w:rPr>
          <w:sz w:val="21"/>
          <w:szCs w:val="21"/>
        </w:rPr>
      </w:pPr>
      <w:r w:rsidRPr="00E56CFD">
        <w:rPr>
          <w:rFonts w:hint="eastAsia"/>
          <w:sz w:val="21"/>
          <w:szCs w:val="21"/>
        </w:rPr>
        <w:t>十三、基金有关文件档案的保存</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w:t>
      </w:r>
      <w:r w:rsidRPr="00E56CFD">
        <w:rPr>
          <w:rFonts w:ascii="Times New Roman" w:eastAsia="宋体" w:hAnsi="Times New Roman" w:hint="eastAsia"/>
          <w:sz w:val="21"/>
          <w:szCs w:val="21"/>
        </w:rPr>
        <w:t>基金管理人应保存基金财产管理业务活动的记录、账册、报表和其他相关资料，基金托管人应保存基金托管业务活动的记录、账册、报表和其他相关资料，保存期限</w:t>
      </w:r>
      <w:r w:rsidRPr="00E56CFD">
        <w:rPr>
          <w:rFonts w:ascii="Times New Roman" w:eastAsia="宋体" w:hAnsi="Times New Roman" w:hint="eastAsia"/>
          <w:color w:val="auto"/>
          <w:sz w:val="21"/>
          <w:szCs w:val="21"/>
        </w:rPr>
        <w:t>不少于法律法规规定的期限</w:t>
      </w:r>
      <w:r w:rsidRPr="00E56CFD">
        <w:rPr>
          <w:rFonts w:ascii="Times New Roman" w:eastAsia="宋体" w:hAnsi="Times New Roman" w:hint="eastAsia"/>
          <w:sz w:val="21"/>
          <w:szCs w:val="21"/>
        </w:rPr>
        <w:t>。</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（二）基金管理人和基金托管人应按本协议第十章的约定对各自保存的文件和档案履行保密义务。</w:t>
      </w:r>
    </w:p>
    <w:p w:rsidR="00C962DA" w:rsidRPr="00E56CFD" w:rsidRDefault="00C962DA">
      <w:pPr>
        <w:spacing w:before="100" w:beforeAutospacing="1" w:after="100" w:afterAutospacing="1" w:line="400" w:lineRule="exact"/>
        <w:rPr>
          <w:szCs w:val="21"/>
        </w:rPr>
      </w:pPr>
    </w:p>
    <w:p w:rsidR="00C962DA" w:rsidRPr="00E56CFD" w:rsidRDefault="006336F8">
      <w:pPr>
        <w:pStyle w:val="1"/>
        <w:spacing w:before="100" w:beforeAutospacing="1" w:after="100" w:afterAutospacing="1" w:line="400" w:lineRule="exact"/>
        <w:ind w:firstLine="422"/>
        <w:rPr>
          <w:sz w:val="21"/>
          <w:szCs w:val="21"/>
        </w:rPr>
      </w:pPr>
      <w:r w:rsidRPr="00E56CFD">
        <w:rPr>
          <w:rFonts w:hint="eastAsia"/>
          <w:sz w:val="21"/>
          <w:szCs w:val="21"/>
        </w:rPr>
        <w:t>十四、</w:t>
      </w:r>
      <w:bookmarkStart w:id="17" w:name="_Toc116900108"/>
      <w:bookmarkEnd w:id="16"/>
      <w:r w:rsidRPr="00E56CFD">
        <w:rPr>
          <w:rFonts w:hint="eastAsia"/>
          <w:sz w:val="21"/>
          <w:szCs w:val="21"/>
        </w:rPr>
        <w:t>基金托管人和基金管理人的更换</w:t>
      </w:r>
      <w:bookmarkEnd w:id="17"/>
      <w:r w:rsidRPr="00E56CFD">
        <w:rPr>
          <w:sz w:val="21"/>
          <w:szCs w:val="21"/>
        </w:rPr>
        <w:t xml:space="preserve"> </w:t>
      </w:r>
    </w:p>
    <w:p w:rsidR="00C962DA" w:rsidRPr="00E56CFD" w:rsidRDefault="006336F8">
      <w:pPr>
        <w:spacing w:before="100" w:beforeAutospacing="1" w:after="100" w:afterAutospacing="1" w:line="400" w:lineRule="exact"/>
        <w:ind w:firstLine="420"/>
        <w:rPr>
          <w:kern w:val="0"/>
          <w:szCs w:val="21"/>
        </w:rPr>
      </w:pPr>
      <w:r w:rsidRPr="00E56CFD">
        <w:rPr>
          <w:rFonts w:hint="eastAsia"/>
          <w:szCs w:val="21"/>
        </w:rPr>
        <w:t>（一）</w:t>
      </w:r>
      <w:r w:rsidRPr="00E56CFD">
        <w:rPr>
          <w:kern w:val="0"/>
          <w:szCs w:val="21"/>
        </w:rPr>
        <w:t>基金管理人职责终止</w:t>
      </w:r>
      <w:r w:rsidRPr="00E56CFD">
        <w:rPr>
          <w:rFonts w:hint="eastAsia"/>
          <w:kern w:val="0"/>
          <w:szCs w:val="21"/>
        </w:rPr>
        <w:t>后</w:t>
      </w:r>
      <w:r w:rsidRPr="00E56CFD">
        <w:rPr>
          <w:kern w:val="0"/>
          <w:szCs w:val="21"/>
        </w:rPr>
        <w:t>，</w:t>
      </w:r>
      <w:r w:rsidRPr="00E56CFD">
        <w:rPr>
          <w:rFonts w:hint="eastAsia"/>
          <w:kern w:val="0"/>
          <w:szCs w:val="21"/>
        </w:rPr>
        <w:t>仍</w:t>
      </w:r>
      <w:r w:rsidRPr="00E56CFD">
        <w:rPr>
          <w:kern w:val="0"/>
          <w:szCs w:val="21"/>
        </w:rPr>
        <w:t>应妥善保管基金管理业务资料，</w:t>
      </w:r>
      <w:r w:rsidRPr="00E56CFD">
        <w:rPr>
          <w:rFonts w:hint="eastAsia"/>
          <w:kern w:val="0"/>
          <w:szCs w:val="21"/>
        </w:rPr>
        <w:t>并与新任基金管理人或临时基金管理人</w:t>
      </w:r>
      <w:r w:rsidRPr="00E56CFD">
        <w:rPr>
          <w:kern w:val="0"/>
          <w:szCs w:val="21"/>
        </w:rPr>
        <w:t>及时办理基金管理业务的移交手续。</w:t>
      </w:r>
      <w:r w:rsidRPr="00E56CFD">
        <w:rPr>
          <w:rFonts w:hint="eastAsia"/>
          <w:kern w:val="0"/>
          <w:szCs w:val="21"/>
        </w:rPr>
        <w:t>基金托管人应给予积极配合，并与新</w:t>
      </w:r>
      <w:r w:rsidRPr="00E56CFD">
        <w:rPr>
          <w:rFonts w:hint="eastAsia"/>
          <w:kern w:val="0"/>
          <w:szCs w:val="21"/>
        </w:rPr>
        <w:lastRenderedPageBreak/>
        <w:t>任基金管理人或临时基金管理人核对基金资产总值和净值。</w:t>
      </w:r>
    </w:p>
    <w:p w:rsidR="00C962DA" w:rsidRPr="00E56CFD" w:rsidRDefault="006336F8">
      <w:pPr>
        <w:spacing w:before="100" w:beforeAutospacing="1" w:after="100" w:afterAutospacing="1" w:line="400" w:lineRule="exact"/>
        <w:ind w:firstLine="420"/>
        <w:rPr>
          <w:kern w:val="0"/>
          <w:szCs w:val="21"/>
        </w:rPr>
      </w:pPr>
      <w:r w:rsidRPr="00E56CFD">
        <w:rPr>
          <w:rFonts w:hint="eastAsia"/>
          <w:szCs w:val="21"/>
        </w:rPr>
        <w:t>（二）</w:t>
      </w:r>
      <w:r w:rsidRPr="00E56CFD">
        <w:rPr>
          <w:kern w:val="0"/>
          <w:szCs w:val="21"/>
        </w:rPr>
        <w:t>基金托管人职责终止</w:t>
      </w:r>
      <w:r w:rsidRPr="00E56CFD">
        <w:rPr>
          <w:rFonts w:hint="eastAsia"/>
          <w:kern w:val="0"/>
          <w:szCs w:val="21"/>
        </w:rPr>
        <w:t>后</w:t>
      </w:r>
      <w:r w:rsidRPr="00E56CFD">
        <w:rPr>
          <w:kern w:val="0"/>
          <w:szCs w:val="21"/>
        </w:rPr>
        <w:t>，</w:t>
      </w:r>
      <w:r w:rsidRPr="00E56CFD">
        <w:rPr>
          <w:rFonts w:hint="eastAsia"/>
          <w:kern w:val="0"/>
          <w:szCs w:val="21"/>
        </w:rPr>
        <w:t>仍</w:t>
      </w:r>
      <w:r w:rsidRPr="00E56CFD">
        <w:rPr>
          <w:kern w:val="0"/>
          <w:szCs w:val="21"/>
        </w:rPr>
        <w:t>应妥善保管基金财产和基金托管业务资料，</w:t>
      </w:r>
      <w:r w:rsidRPr="00E56CFD">
        <w:rPr>
          <w:rFonts w:hint="eastAsia"/>
          <w:kern w:val="0"/>
          <w:szCs w:val="21"/>
        </w:rPr>
        <w:t>并与新任基金托管人或临时基金托管人</w:t>
      </w:r>
      <w:r w:rsidRPr="00E56CFD">
        <w:rPr>
          <w:kern w:val="0"/>
          <w:szCs w:val="21"/>
        </w:rPr>
        <w:t>及时办理基金财产和基金托管业务的移交手续。</w:t>
      </w:r>
      <w:r w:rsidRPr="00E56CFD">
        <w:rPr>
          <w:rFonts w:hint="eastAsia"/>
          <w:kern w:val="0"/>
          <w:szCs w:val="21"/>
        </w:rPr>
        <w:t>基金管理人应给予积极配合，并与新任基金托管人或临时基金托管人核对基金资产总值和净值。</w:t>
      </w:r>
    </w:p>
    <w:p w:rsidR="00C962DA" w:rsidRPr="00E56CFD" w:rsidRDefault="006336F8">
      <w:pPr>
        <w:spacing w:before="100" w:beforeAutospacing="1" w:after="100" w:afterAutospacing="1" w:line="400" w:lineRule="exact"/>
        <w:ind w:firstLineChars="200" w:firstLine="420"/>
        <w:rPr>
          <w:kern w:val="0"/>
          <w:szCs w:val="21"/>
        </w:rPr>
      </w:pPr>
      <w:r w:rsidRPr="00E56CFD">
        <w:rPr>
          <w:rFonts w:hint="eastAsia"/>
          <w:kern w:val="0"/>
          <w:szCs w:val="21"/>
        </w:rPr>
        <w:t>（三）其他事宜见《基金合同》的相关约定。</w:t>
      </w:r>
    </w:p>
    <w:p w:rsidR="00C962DA" w:rsidRPr="00E56CFD" w:rsidRDefault="00C962DA">
      <w:pPr>
        <w:spacing w:before="100" w:beforeAutospacing="1" w:after="100" w:afterAutospacing="1" w:line="400" w:lineRule="exact"/>
        <w:ind w:firstLine="540"/>
        <w:rPr>
          <w:szCs w:val="21"/>
        </w:rPr>
      </w:pPr>
    </w:p>
    <w:p w:rsidR="00C962DA" w:rsidRPr="00E56CFD" w:rsidRDefault="006336F8">
      <w:pPr>
        <w:pStyle w:val="1"/>
        <w:spacing w:before="100" w:beforeAutospacing="1" w:after="100" w:afterAutospacing="1" w:line="400" w:lineRule="exact"/>
        <w:ind w:firstLine="422"/>
        <w:rPr>
          <w:sz w:val="21"/>
          <w:szCs w:val="21"/>
        </w:rPr>
      </w:pPr>
      <w:bookmarkStart w:id="18" w:name="_Toc116900110"/>
      <w:r w:rsidRPr="00E56CFD">
        <w:rPr>
          <w:rFonts w:hint="eastAsia"/>
          <w:sz w:val="21"/>
          <w:szCs w:val="21"/>
        </w:rPr>
        <w:t>十五、禁止行为</w:t>
      </w:r>
      <w:bookmarkEnd w:id="18"/>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（一）《基金法》第二十条、第三十八条禁止的行为。</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（二）《基金法》第七十三条禁止的投资或活动。</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（三）除根据基金管理人的指令或《基金合同》、本协议另有规定外，基金托管人不得动用或处分基金财产。</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（四）基金管理人、基金托管人的高级管理人员和其他从业人员不得相互兼职。</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（五）法律法规、《基金合同》和本协议禁止的其他行为。</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如法律、行政法规或监管部门取消或变更上述规定，如适用于本基金，基金管理人在履行适当程序后，本基金可不受上述规定的限制或以变更后的规定为准。</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19" w:name="_Toc116900111"/>
      <w:r w:rsidRPr="00E56CFD">
        <w:rPr>
          <w:rFonts w:hint="eastAsia"/>
          <w:sz w:val="21"/>
          <w:szCs w:val="21"/>
        </w:rPr>
        <w:t>十六、托管协议的变更、终止与基金财产的清算</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（一）托管协议的变更</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本协议双方当事人经协商一致，可以对协议进行变更。变更后的新协议，其内容不得与《基金合同》的规定有任何冲突。变更后的新协议应当按规定报中国证监会备案。</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（二）托管协议的终止</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发生以下情况，</w:t>
      </w:r>
      <w:r w:rsidRPr="00E56CFD">
        <w:rPr>
          <w:rFonts w:ascii="Times New Roman" w:eastAsia="宋体" w:hAnsi="Times New Roman" w:hint="eastAsia"/>
          <w:sz w:val="21"/>
          <w:szCs w:val="21"/>
          <w:lang w:bidi="ar"/>
        </w:rPr>
        <w:t>经履行适当程序后，</w:t>
      </w:r>
      <w:r w:rsidRPr="00E56CFD">
        <w:rPr>
          <w:rFonts w:ascii="Times New Roman" w:eastAsia="宋体" w:hAnsi="Times New Roman" w:hint="eastAsia"/>
          <w:color w:val="auto"/>
          <w:sz w:val="21"/>
          <w:szCs w:val="21"/>
        </w:rPr>
        <w:t>本托管协议应当终止：</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lastRenderedPageBreak/>
        <w:t>1</w:t>
      </w:r>
      <w:r w:rsidRPr="00E56CFD">
        <w:rPr>
          <w:rFonts w:ascii="Times New Roman" w:eastAsia="宋体" w:hAnsi="Times New Roman"/>
          <w:color w:val="auto"/>
          <w:sz w:val="21"/>
          <w:szCs w:val="21"/>
        </w:rPr>
        <w:t>、《基金合同》终止；</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w:t>
      </w:r>
      <w:r w:rsidRPr="00E56CFD">
        <w:rPr>
          <w:rFonts w:ascii="Times New Roman" w:eastAsia="宋体" w:hAnsi="Times New Roman" w:hint="eastAsia"/>
          <w:sz w:val="21"/>
          <w:szCs w:val="21"/>
          <w:lang w:bidi="ar"/>
        </w:rPr>
        <w:t>基金托管人解散、依法被撤销、破产或</w:t>
      </w:r>
      <w:r w:rsidRPr="00E56CFD">
        <w:rPr>
          <w:rFonts w:ascii="Times New Roman" w:eastAsia="宋体" w:hAnsi="Times New Roman" w:hint="eastAsia"/>
          <w:color w:val="auto"/>
          <w:sz w:val="21"/>
          <w:szCs w:val="21"/>
        </w:rPr>
        <w:t>本基金更换基金托管人；</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w:t>
      </w:r>
      <w:r w:rsidRPr="00E56CFD">
        <w:rPr>
          <w:rFonts w:ascii="Times New Roman" w:eastAsia="宋体" w:hAnsi="Times New Roman" w:hint="eastAsia"/>
          <w:sz w:val="21"/>
          <w:szCs w:val="21"/>
          <w:lang w:bidi="ar"/>
        </w:rPr>
        <w:t>基金托管人解散、依法被撤销、破产或</w:t>
      </w:r>
      <w:r w:rsidRPr="00E56CFD">
        <w:rPr>
          <w:rFonts w:ascii="Times New Roman" w:eastAsia="宋体" w:hAnsi="Times New Roman" w:hint="eastAsia"/>
          <w:color w:val="auto"/>
          <w:sz w:val="21"/>
          <w:szCs w:val="21"/>
        </w:rPr>
        <w:t>本基金更换基金管理人；</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color w:val="auto"/>
          <w:sz w:val="21"/>
          <w:szCs w:val="21"/>
        </w:rPr>
        <w:t>、发生《基金法》、《运作办法》或其他法律法规规定</w:t>
      </w:r>
      <w:r w:rsidRPr="00E56CFD">
        <w:rPr>
          <w:rFonts w:ascii="Times New Roman" w:eastAsia="宋体" w:hAnsi="Times New Roman" w:hint="eastAsia"/>
          <w:color w:val="auto"/>
          <w:sz w:val="21"/>
          <w:szCs w:val="21"/>
        </w:rPr>
        <w:t>、《基金合同》约定的终止事项。</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（三）基金财产的清算</w:t>
      </w:r>
    </w:p>
    <w:p w:rsidR="00C962DA" w:rsidRPr="00E56CFD" w:rsidRDefault="006336F8">
      <w:pPr>
        <w:spacing w:before="100" w:beforeAutospacing="1" w:after="100" w:afterAutospacing="1" w:line="400" w:lineRule="exact"/>
        <w:ind w:firstLine="420"/>
        <w:rPr>
          <w:color w:val="000000"/>
          <w:kern w:val="0"/>
          <w:szCs w:val="21"/>
        </w:rPr>
      </w:pPr>
      <w:r w:rsidRPr="00E56CFD">
        <w:rPr>
          <w:rFonts w:hint="eastAsia"/>
          <w:color w:val="000000"/>
          <w:kern w:val="0"/>
          <w:szCs w:val="21"/>
        </w:rPr>
        <w:t>基金管理人和基金托管人应按照《基金合同》及有关法律法规的规定对本基金的财产进行清算。</w:t>
      </w:r>
    </w:p>
    <w:p w:rsidR="00C962DA" w:rsidRPr="00E56CFD" w:rsidRDefault="00C962DA">
      <w:pPr>
        <w:spacing w:before="100" w:beforeAutospacing="1" w:after="100" w:afterAutospacing="1" w:line="400" w:lineRule="exact"/>
        <w:ind w:firstLineChars="214" w:firstLine="449"/>
        <w:rPr>
          <w:szCs w:val="21"/>
        </w:rPr>
      </w:pPr>
    </w:p>
    <w:p w:rsidR="00C962DA" w:rsidRPr="00E56CFD" w:rsidRDefault="006336F8">
      <w:pPr>
        <w:pStyle w:val="1"/>
        <w:spacing w:before="100" w:beforeAutospacing="1" w:after="100" w:afterAutospacing="1" w:line="400" w:lineRule="exact"/>
        <w:ind w:firstLine="422"/>
        <w:rPr>
          <w:sz w:val="21"/>
          <w:szCs w:val="21"/>
        </w:rPr>
      </w:pPr>
      <w:r w:rsidRPr="00E56CFD">
        <w:rPr>
          <w:rFonts w:hint="eastAsia"/>
          <w:sz w:val="21"/>
          <w:szCs w:val="21"/>
        </w:rPr>
        <w:t>十七、违约责任和责任划分</w:t>
      </w:r>
      <w:bookmarkEnd w:id="19"/>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（一）本协议当事人不履行本协议或履行本协议不符合约定的，应当承担违约责任。</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二）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E56CFD">
        <w:rPr>
          <w:szCs w:val="21"/>
        </w:rPr>
        <w:t>对损失的赔偿，仅限于直接</w:t>
      </w:r>
      <w:r w:rsidRPr="00E56CFD">
        <w:rPr>
          <w:rFonts w:hint="eastAsia"/>
          <w:szCs w:val="21"/>
        </w:rPr>
        <w:t>经济</w:t>
      </w:r>
      <w:r w:rsidRPr="00E56CFD">
        <w:rPr>
          <w:szCs w:val="21"/>
        </w:rPr>
        <w:t>损失。</w:t>
      </w:r>
      <w:r w:rsidRPr="00E56CFD">
        <w:rPr>
          <w:rFonts w:hint="eastAsia"/>
          <w:szCs w:val="21"/>
        </w:rPr>
        <w:t>但是发生下列情况，当事人免责：</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1</w:t>
      </w:r>
      <w:r w:rsidRPr="00E56CFD">
        <w:rPr>
          <w:szCs w:val="21"/>
        </w:rPr>
        <w:t>、基金管理人及基金托管人按照当时有效的法律法规或中国证监会</w:t>
      </w:r>
      <w:r w:rsidRPr="00E56CFD">
        <w:rPr>
          <w:rFonts w:hint="eastAsia"/>
          <w:szCs w:val="21"/>
        </w:rPr>
        <w:t>等监管机构的规定作为或不作为而造成的损失等；</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2</w:t>
      </w:r>
      <w:r w:rsidRPr="00E56CFD">
        <w:rPr>
          <w:szCs w:val="21"/>
        </w:rPr>
        <w:t>、基金管理人由于按照《基金合同》规定的投资原则而行使或不行使其投资权而造成的损失等；</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3</w:t>
      </w:r>
      <w:r w:rsidRPr="00E56CFD">
        <w:rPr>
          <w:szCs w:val="21"/>
        </w:rPr>
        <w:t>、不可抗力；</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4</w:t>
      </w:r>
      <w:r w:rsidRPr="00E56CFD">
        <w:rPr>
          <w:szCs w:val="21"/>
        </w:rPr>
        <w:t>、基金托管人对存放或存管在基金托管人以外机构的基金资产，或交由证券公司等其他机构负责清算交收的基金资产及其收益不承担</w:t>
      </w:r>
      <w:r w:rsidRPr="00E56CFD">
        <w:rPr>
          <w:rFonts w:hint="eastAsia"/>
          <w:szCs w:val="21"/>
        </w:rPr>
        <w:t>相应责任；</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szCs w:val="21"/>
        </w:rPr>
        <w:t>5</w:t>
      </w:r>
      <w:r w:rsidRPr="00E56CFD">
        <w:rPr>
          <w:szCs w:val="21"/>
        </w:rPr>
        <w:t>、计算机系统故障、网络故障、通讯故障、电力故障、计算机病毒攻击及其它非基金管理人、基金托管人过错造成的意外事故。</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（三）一方当事人违反本协议，给另一方当事人造成损失的，应承担赔偿责任。</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lastRenderedPageBreak/>
        <w:t>（四）因不可抗力不能履行本协议的，根据不可抗力的影响，违约方部分或全部免除责任，但法律另有规定的除外。当事人迟延履行后发生不可抗力的，不能免除责任。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（五）当事人一方违约，另一方在职责范围内有义务及时采取必要的措施，尽力防止损失的扩大。</w:t>
      </w:r>
      <w:r w:rsidRPr="00E56CFD">
        <w:rPr>
          <w:rFonts w:ascii="Times New Roman" w:eastAsia="宋体" w:hAnsi="Times New Roman" w:hint="eastAsia"/>
          <w:color w:val="auto"/>
          <w:sz w:val="21"/>
          <w:szCs w:val="21"/>
          <w:lang w:bidi="ar"/>
        </w:rPr>
        <w:t>没有采取适当措施致使损失进一步扩大的，不得就扩大的损失要求赔偿。非违约方因防止损失扩大而支出的合理费用由违约方承担。</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（六）违约行为虽已发生，但本协议能够继续履行的，在最大限度地保护基金份额持有人利益的前提下，基金管理人和基金托管人应当继续履行本协议。</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（七）为明确责任，在不影响本协议本条其他规定的普遍适用性的前提下，基金管理人和基金托管人对由于如下行为造成的损失的责任承担问题，明确如下：</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1</w:t>
      </w:r>
      <w:r w:rsidRPr="00E56CFD">
        <w:rPr>
          <w:rFonts w:ascii="Times New Roman" w:eastAsia="宋体" w:hAnsi="Times New Roman"/>
          <w:color w:val="auto"/>
          <w:sz w:val="21"/>
          <w:szCs w:val="21"/>
        </w:rPr>
        <w:t>、由于</w:t>
      </w:r>
      <w:r w:rsidRPr="00E56CFD">
        <w:rPr>
          <w:rFonts w:ascii="Times New Roman" w:eastAsia="宋体" w:hAnsi="Times New Roman" w:hint="eastAsia"/>
          <w:color w:val="auto"/>
          <w:sz w:val="21"/>
          <w:szCs w:val="21"/>
        </w:rPr>
        <w:t>基金管理人过错，导致下达违法、违规的指令所导致的责任，由基金管理人承担；</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2</w:t>
      </w:r>
      <w:r w:rsidRPr="00E56CFD">
        <w:rPr>
          <w:rFonts w:ascii="Times New Roman" w:eastAsia="宋体" w:hAnsi="Times New Roman"/>
          <w:color w:val="auto"/>
          <w:sz w:val="21"/>
          <w:szCs w:val="21"/>
        </w:rPr>
        <w:t>、</w:t>
      </w:r>
      <w:r w:rsidRPr="00E56CFD">
        <w:rPr>
          <w:rFonts w:ascii="Times New Roman" w:eastAsia="宋体" w:hAnsi="Times New Roman" w:hint="eastAsia"/>
          <w:color w:val="auto"/>
          <w:sz w:val="21"/>
          <w:szCs w:val="21"/>
        </w:rPr>
        <w:t>指令下达人员在授权通知载明的权限范围内下达的指令所导致的责任，由基金管理人承担</w:t>
      </w:r>
      <w:r>
        <w:rPr>
          <w:rFonts w:ascii="Times New Roman" w:eastAsia="宋体" w:hAnsi="Times New Roman" w:hint="eastAsia"/>
          <w:color w:val="auto"/>
          <w:sz w:val="21"/>
          <w:szCs w:val="21"/>
        </w:rPr>
        <w:t>，即使该人员下达指令并没有获得基金管理人的实际授权（例如基金管理人在撤销或变更授权权限后未能及时通知基金托管人）</w:t>
      </w:r>
      <w:r w:rsidRPr="00E56CFD">
        <w:rPr>
          <w:rFonts w:ascii="Times New Roman" w:eastAsia="宋体" w:hAnsi="Times New Roman" w:hint="eastAsia"/>
          <w:color w:val="auto"/>
          <w:sz w:val="21"/>
          <w:szCs w:val="21"/>
        </w:rPr>
        <w:t>；</w:t>
      </w:r>
      <w:r w:rsidRPr="00E56CFD">
        <w:rPr>
          <w:rFonts w:ascii="Times New Roman" w:eastAsia="宋体" w:hAnsi="Times New Roman"/>
          <w:color w:val="auto"/>
          <w:sz w:val="21"/>
          <w:szCs w:val="21"/>
        </w:rPr>
        <w:t xml:space="preserve"> </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3</w:t>
      </w:r>
      <w:r w:rsidRPr="00E56CFD">
        <w:rPr>
          <w:rFonts w:ascii="Times New Roman" w:eastAsia="宋体" w:hAnsi="Times New Roman"/>
          <w:color w:val="auto"/>
          <w:sz w:val="21"/>
          <w:szCs w:val="21"/>
        </w:rPr>
        <w:t>、基金托管人未对指令上签名和印鉴与预留签字样本和预留印鉴进行表面一致性审核，导致基金托管人执行了应当无效的指令，基金管理人与基金托管人应根据各自过错程度承担责任；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4</w:t>
      </w:r>
      <w:r w:rsidRPr="00E56CFD">
        <w:rPr>
          <w:rFonts w:ascii="Times New Roman" w:eastAsia="宋体" w:hAnsi="Times New Roman"/>
          <w:color w:val="auto"/>
          <w:sz w:val="21"/>
          <w:szCs w:val="21"/>
        </w:rPr>
        <w:t>、属于基金托管人实际有效控制下的基金财产（包括实物证券）在基金托管人保管期间的损坏、灭失，由此产生的责任应由该基金托管人承担；</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5</w:t>
      </w:r>
      <w:r w:rsidRPr="00E56CFD">
        <w:rPr>
          <w:rFonts w:ascii="Times New Roman" w:eastAsia="宋体" w:hAnsi="Times New Roman"/>
          <w:color w:val="auto"/>
          <w:sz w:val="21"/>
          <w:szCs w:val="21"/>
        </w:rPr>
        <w:t>、基金管理人应承担对其应收取的管理费数额</w:t>
      </w:r>
      <w:r w:rsidRPr="00E56CFD">
        <w:rPr>
          <w:rFonts w:ascii="Times New Roman" w:eastAsia="宋体" w:hAnsi="Times New Roman" w:hint="eastAsia"/>
          <w:color w:val="auto"/>
          <w:sz w:val="21"/>
          <w:szCs w:val="21"/>
        </w:rPr>
        <w:t>比例计算错误的责任。如果基金托管人复核后同意基金管理人的计算结果，则基金托管人也应承担未正确履行复核义务的相应责任；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6</w:t>
      </w:r>
      <w:r w:rsidRPr="00E56CFD">
        <w:rPr>
          <w:rFonts w:ascii="Times New Roman" w:eastAsia="宋体" w:hAnsi="Times New Roman"/>
          <w:color w:val="auto"/>
          <w:sz w:val="21"/>
          <w:szCs w:val="21"/>
        </w:rPr>
        <w:t>、基金管理人应承担对基金托管人应收取的托管费数额</w:t>
      </w:r>
      <w:r w:rsidRPr="00E56CFD">
        <w:rPr>
          <w:rFonts w:ascii="Times New Roman" w:eastAsia="宋体" w:hAnsi="Times New Roman" w:hint="eastAsia"/>
          <w:color w:val="auto"/>
          <w:sz w:val="21"/>
          <w:szCs w:val="21"/>
        </w:rPr>
        <w:t>比例计算错误的责任。如果基金托管人复核后同意基金管理人的计算结果，则基金托管人也应承担未正确履行复核义务的相应责任；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7</w:t>
      </w:r>
      <w:r w:rsidRPr="00E56CFD">
        <w:rPr>
          <w:rFonts w:ascii="Times New Roman" w:eastAsia="宋体" w:hAnsi="Times New Roman"/>
          <w:color w:val="auto"/>
          <w:sz w:val="21"/>
          <w:szCs w:val="21"/>
        </w:rPr>
        <w:t>、由于基金管理人或</w:t>
      </w:r>
      <w:r w:rsidRPr="00E56CFD">
        <w:rPr>
          <w:rFonts w:ascii="Times New Roman" w:eastAsia="宋体" w:hAnsi="Times New Roman" w:hint="eastAsia"/>
          <w:color w:val="auto"/>
          <w:sz w:val="21"/>
          <w:szCs w:val="21"/>
        </w:rPr>
        <w:t>基金托管人原因导致本基金不能依据中国证券登记结算有限责任公司的业务规则及时清算的，由责任方承担由此给基金财产、基金份额持有人及受损害方造</w:t>
      </w:r>
      <w:r w:rsidRPr="00E56CFD">
        <w:rPr>
          <w:rFonts w:ascii="Times New Roman" w:eastAsia="宋体" w:hAnsi="Times New Roman" w:hint="eastAsia"/>
          <w:color w:val="auto"/>
          <w:sz w:val="21"/>
          <w:szCs w:val="21"/>
        </w:rPr>
        <w:lastRenderedPageBreak/>
        <w:t>成的直接损失，若由于双方原因导致本基金不能依据中国证券登记结算有限责任公司的业务规则及时清算的，双方应按照各自的过错程度对造成的直接损失合理分担责任；</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color w:val="auto"/>
          <w:sz w:val="21"/>
          <w:szCs w:val="21"/>
        </w:rPr>
        <w:t>8</w:t>
      </w:r>
      <w:r w:rsidRPr="00E56CFD">
        <w:rPr>
          <w:rFonts w:ascii="Times New Roman" w:eastAsia="宋体" w:hAnsi="Times New Roman"/>
          <w:color w:val="auto"/>
          <w:sz w:val="21"/>
          <w:szCs w:val="21"/>
        </w:rPr>
        <w:t>、在资金交收日，基金</w:t>
      </w:r>
      <w:r w:rsidRPr="00E56CFD">
        <w:rPr>
          <w:rFonts w:ascii="Times New Roman" w:eastAsia="宋体" w:hAnsi="Times New Roman" w:hint="eastAsia"/>
          <w:color w:val="auto"/>
          <w:sz w:val="21"/>
          <w:szCs w:val="21"/>
        </w:rPr>
        <w:t>托管</w:t>
      </w:r>
      <w:r w:rsidRPr="00E56CFD">
        <w:rPr>
          <w:rFonts w:ascii="Times New Roman" w:eastAsia="宋体" w:hAnsi="Times New Roman"/>
          <w:color w:val="auto"/>
          <w:sz w:val="21"/>
          <w:szCs w:val="21"/>
        </w:rPr>
        <w:t>账户资金首先用于除新股申购以外的其他资金交收义务，交收完成后资金余额方可用于新股申购。如果因此资金不足造成新股申购失败或者新股申购不足，基金托管人不承担</w:t>
      </w:r>
      <w:r w:rsidRPr="00E56CFD">
        <w:rPr>
          <w:rFonts w:ascii="Times New Roman" w:eastAsia="宋体" w:hAnsi="Times New Roman" w:hint="eastAsia"/>
          <w:color w:val="auto"/>
          <w:sz w:val="21"/>
          <w:szCs w:val="21"/>
        </w:rPr>
        <w:t>相应</w:t>
      </w:r>
      <w:r w:rsidRPr="00E56CFD">
        <w:rPr>
          <w:rFonts w:ascii="Times New Roman" w:eastAsia="宋体" w:hAnsi="Times New Roman"/>
          <w:color w:val="auto"/>
          <w:sz w:val="21"/>
          <w:szCs w:val="21"/>
        </w:rPr>
        <w:t>责任。如基金份额持有人因此提出赔偿要求，相关法律责任和损失由基金管理人承担。</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20" w:name="_Toc116900112"/>
      <w:r w:rsidRPr="00E56CFD">
        <w:rPr>
          <w:rFonts w:hint="eastAsia"/>
          <w:sz w:val="21"/>
          <w:szCs w:val="21"/>
        </w:rPr>
        <w:t>十八、适用法律与争议解决</w:t>
      </w:r>
      <w:bookmarkEnd w:id="20"/>
      <w:r w:rsidRPr="00E56CFD">
        <w:rPr>
          <w:rFonts w:hint="eastAsia"/>
          <w:sz w:val="21"/>
          <w:szCs w:val="21"/>
        </w:rPr>
        <w:t>方式</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（一）本协议适用中华人民共和国法律（为本协议之目的，不包括香港特别行政区、澳门特别行政区和台湾地区法律）并从其解释。</w:t>
      </w:r>
    </w:p>
    <w:p w:rsidR="00C962DA" w:rsidRPr="00E56CFD" w:rsidRDefault="006336F8">
      <w:pPr>
        <w:pStyle w:val="a7"/>
        <w:spacing w:before="100" w:beforeAutospacing="1" w:after="100" w:afterAutospacing="1"/>
        <w:ind w:firstLine="403"/>
        <w:rPr>
          <w:rFonts w:ascii="Times New Roman" w:eastAsia="宋体" w:hAnsi="Times New Roman"/>
          <w:b/>
          <w:bCs/>
          <w:color w:val="auto"/>
          <w:sz w:val="21"/>
          <w:szCs w:val="21"/>
        </w:rPr>
      </w:pPr>
      <w:r w:rsidRPr="00E56CFD">
        <w:rPr>
          <w:rFonts w:ascii="Times New Roman" w:eastAsia="宋体" w:hAnsi="Times New Roman" w:hint="eastAsia"/>
          <w:color w:val="auto"/>
          <w:sz w:val="21"/>
          <w:szCs w:val="21"/>
        </w:rPr>
        <w:t>（二）</w:t>
      </w:r>
      <w:r w:rsidRPr="00E56CFD">
        <w:rPr>
          <w:rFonts w:ascii="Times New Roman" w:eastAsia="宋体" w:hAnsi="Times New Roman" w:hint="eastAsia"/>
          <w:b/>
          <w:bCs/>
          <w:color w:val="auto"/>
          <w:sz w:val="21"/>
          <w:szCs w:val="21"/>
        </w:rPr>
        <w:t>基金管理人与基金托管人之间因本协议产生的或与本协议有关的争议可通过友好协商解决。但如经友好协商未能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color w:val="auto"/>
          <w:sz w:val="21"/>
          <w:szCs w:val="21"/>
        </w:rPr>
        <w:t>（三）除争议所涉的内容之外，本协议的当事人仍应履行本协议的其他规定。</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p>
    <w:p w:rsidR="00C962DA" w:rsidRPr="00E56CFD" w:rsidRDefault="006336F8">
      <w:pPr>
        <w:pStyle w:val="1"/>
        <w:spacing w:before="100" w:beforeAutospacing="1" w:after="100" w:afterAutospacing="1" w:line="400" w:lineRule="exact"/>
        <w:ind w:firstLine="422"/>
        <w:rPr>
          <w:sz w:val="21"/>
          <w:szCs w:val="21"/>
        </w:rPr>
      </w:pPr>
      <w:bookmarkStart w:id="21" w:name="_Toc116900113"/>
      <w:r w:rsidRPr="00E56CFD">
        <w:rPr>
          <w:rFonts w:hint="eastAsia"/>
          <w:sz w:val="21"/>
          <w:szCs w:val="21"/>
        </w:rPr>
        <w:t>十九、托管协议的效力</w:t>
      </w:r>
      <w:bookmarkEnd w:id="21"/>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一）基金管理人在向中国证监会申请本基金募集注册时提交的基金托管协议草案，应经托管协议双方当事人的法定代表人或授权签字人签字或盖章并加盖公章，协议当事人双方根据中国证监会的意见修改托管协议草案。托管协议以中国证监会注册的文本为正式文本。</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（二）本协议自双方签署之日起成立，自基金合同生效之日起生效。本协议的有效期自其生效之日起至基金财产清算结果报中国证监会备案并公告之日止。</w:t>
      </w:r>
    </w:p>
    <w:p w:rsidR="00C962DA" w:rsidRPr="00E56CFD" w:rsidRDefault="006336F8">
      <w:pPr>
        <w:adjustRightInd w:val="0"/>
        <w:snapToGrid w:val="0"/>
        <w:spacing w:before="100" w:beforeAutospacing="1" w:after="100" w:afterAutospacing="1" w:line="400" w:lineRule="exact"/>
        <w:ind w:firstLineChars="200" w:firstLine="420"/>
        <w:rPr>
          <w:szCs w:val="21"/>
        </w:rPr>
      </w:pPr>
      <w:r w:rsidRPr="00E56CFD">
        <w:rPr>
          <w:rFonts w:hint="eastAsia"/>
          <w:szCs w:val="21"/>
        </w:rPr>
        <w:t>（三）本协议自生效之日起对双方当事人具有同等的法律约束力。</w:t>
      </w:r>
    </w:p>
    <w:p w:rsidR="00C962DA" w:rsidRPr="00E56CFD" w:rsidRDefault="006336F8">
      <w:pPr>
        <w:pStyle w:val="a7"/>
        <w:spacing w:before="100" w:beforeAutospacing="1" w:after="100" w:afterAutospacing="1"/>
        <w:ind w:firstLine="403"/>
        <w:rPr>
          <w:rFonts w:ascii="Times New Roman" w:eastAsia="宋体" w:hAnsi="Times New Roman"/>
          <w:color w:val="auto"/>
          <w:sz w:val="21"/>
          <w:szCs w:val="21"/>
        </w:rPr>
      </w:pPr>
      <w:r w:rsidRPr="00E56CFD">
        <w:rPr>
          <w:rFonts w:ascii="Times New Roman" w:eastAsia="宋体" w:hAnsi="Times New Roman" w:hint="eastAsia"/>
          <w:sz w:val="21"/>
          <w:szCs w:val="21"/>
        </w:rPr>
        <w:t>（四）</w:t>
      </w:r>
      <w:r w:rsidRPr="00E56CFD">
        <w:rPr>
          <w:rFonts w:ascii="Times New Roman" w:eastAsia="宋体" w:hAnsi="Times New Roman" w:hint="eastAsia"/>
          <w:color w:val="auto"/>
          <w:sz w:val="21"/>
          <w:szCs w:val="21"/>
        </w:rPr>
        <w:t>本协议正本一式三份，协议双方各执一份，上报中国证监会</w:t>
      </w:r>
      <w:r>
        <w:rPr>
          <w:rFonts w:ascii="Times New Roman" w:eastAsia="宋体" w:hAnsi="Times New Roman" w:hint="eastAsia"/>
          <w:color w:val="auto"/>
          <w:sz w:val="21"/>
          <w:szCs w:val="21"/>
        </w:rPr>
        <w:t>一</w:t>
      </w:r>
      <w:r w:rsidRPr="00E56CFD">
        <w:rPr>
          <w:rFonts w:ascii="Times New Roman" w:eastAsia="宋体" w:hAnsi="Times New Roman" w:hint="eastAsia"/>
          <w:color w:val="auto"/>
          <w:sz w:val="21"/>
          <w:szCs w:val="21"/>
        </w:rPr>
        <w:t>份，每份具有同等法律效力。</w:t>
      </w:r>
    </w:p>
    <w:p w:rsidR="00C962DA" w:rsidRPr="00E56CFD" w:rsidRDefault="00C962DA">
      <w:pPr>
        <w:pStyle w:val="a7"/>
        <w:spacing w:before="100" w:beforeAutospacing="1" w:after="100" w:afterAutospacing="1"/>
        <w:ind w:firstLine="403"/>
        <w:rPr>
          <w:rFonts w:ascii="Times New Roman" w:eastAsia="宋体" w:hAnsi="Times New Roman"/>
          <w:color w:val="auto"/>
          <w:sz w:val="21"/>
          <w:szCs w:val="21"/>
        </w:rPr>
      </w:pPr>
      <w:bookmarkStart w:id="22" w:name="_Toc116900116"/>
    </w:p>
    <w:p w:rsidR="00C962DA" w:rsidRPr="00E56CFD" w:rsidRDefault="006336F8">
      <w:pPr>
        <w:pStyle w:val="1"/>
        <w:spacing w:before="100" w:beforeAutospacing="1" w:after="100" w:afterAutospacing="1" w:line="400" w:lineRule="exact"/>
        <w:ind w:firstLine="422"/>
        <w:rPr>
          <w:sz w:val="21"/>
          <w:szCs w:val="21"/>
        </w:rPr>
      </w:pPr>
      <w:r w:rsidRPr="00E56CFD">
        <w:rPr>
          <w:sz w:val="21"/>
          <w:szCs w:val="21"/>
        </w:rPr>
        <w:t>二十、托管协议</w:t>
      </w:r>
      <w:bookmarkEnd w:id="22"/>
      <w:r w:rsidRPr="00E56CFD">
        <w:rPr>
          <w:rFonts w:hint="eastAsia"/>
          <w:sz w:val="21"/>
          <w:szCs w:val="21"/>
        </w:rPr>
        <w:t>的签订</w:t>
      </w:r>
    </w:p>
    <w:p w:rsidR="00C962DA" w:rsidRPr="00E56CFD" w:rsidRDefault="006336F8">
      <w:pPr>
        <w:pStyle w:val="a7"/>
        <w:spacing w:before="100" w:beforeAutospacing="1" w:after="100" w:afterAutospacing="1"/>
        <w:ind w:firstLine="403"/>
        <w:rPr>
          <w:rFonts w:ascii="Times New Roman" w:eastAsia="宋体" w:hAnsi="Times New Roman"/>
          <w:sz w:val="21"/>
          <w:szCs w:val="21"/>
        </w:rPr>
      </w:pPr>
      <w:r w:rsidRPr="00E56CFD">
        <w:rPr>
          <w:rFonts w:ascii="Times New Roman" w:eastAsia="宋体" w:hAnsi="Times New Roman" w:hint="eastAsia"/>
          <w:color w:val="auto"/>
          <w:sz w:val="21"/>
          <w:szCs w:val="21"/>
        </w:rPr>
        <w:t>见签署页。</w:t>
      </w:r>
    </w:p>
    <w:p w:rsidR="00C962DA" w:rsidRPr="00E56CFD" w:rsidRDefault="006336F8">
      <w:pPr>
        <w:pStyle w:val="a7"/>
        <w:spacing w:before="100" w:beforeAutospacing="1" w:after="100" w:afterAutospacing="1"/>
        <w:ind w:firstLine="403"/>
        <w:rPr>
          <w:rFonts w:ascii="Times New Roman" w:eastAsia="宋体" w:hAnsi="Times New Roman"/>
          <w:sz w:val="21"/>
          <w:szCs w:val="21"/>
        </w:rPr>
      </w:pPr>
      <w:r w:rsidRPr="00E56CFD">
        <w:rPr>
          <w:rFonts w:ascii="Times New Roman" w:eastAsia="宋体" w:hAnsi="Times New Roman" w:hint="eastAsia"/>
          <w:sz w:val="21"/>
          <w:szCs w:val="21"/>
        </w:rPr>
        <w:t>（以下无正文）</w:t>
      </w:r>
    </w:p>
    <w:p w:rsidR="00C962DA" w:rsidRPr="00E56CFD" w:rsidRDefault="006336F8">
      <w:pPr>
        <w:pStyle w:val="a7"/>
        <w:spacing w:before="100" w:beforeAutospacing="1" w:after="100" w:afterAutospacing="1"/>
        <w:ind w:firstLine="403"/>
        <w:rPr>
          <w:rFonts w:ascii="Times New Roman" w:eastAsia="宋体" w:hAnsi="Times New Roman"/>
          <w:sz w:val="21"/>
          <w:szCs w:val="21"/>
        </w:rPr>
      </w:pPr>
      <w:r w:rsidRPr="00E56CFD">
        <w:rPr>
          <w:rFonts w:ascii="Times New Roman" w:eastAsia="宋体" w:hAnsi="Times New Roman"/>
          <w:sz w:val="21"/>
          <w:szCs w:val="21"/>
        </w:rPr>
        <w:br w:type="page"/>
      </w:r>
      <w:r w:rsidRPr="00E56CFD">
        <w:rPr>
          <w:rFonts w:ascii="Times New Roman" w:eastAsia="宋体" w:hAnsi="Times New Roman" w:hint="eastAsia"/>
          <w:sz w:val="21"/>
          <w:szCs w:val="21"/>
        </w:rPr>
        <w:lastRenderedPageBreak/>
        <w:t>（本页为《交银施罗德智远量化选股股票型发起式证券投资基金托管协议》签署页，无正文）</w:t>
      </w:r>
    </w:p>
    <w:p w:rsidR="00C962DA" w:rsidRPr="00E56CFD" w:rsidRDefault="006336F8">
      <w:pPr>
        <w:pStyle w:val="Web"/>
        <w:spacing w:line="400" w:lineRule="exact"/>
        <w:rPr>
          <w:rFonts w:ascii="Times New Roman" w:hAnsi="Times New Roman"/>
          <w:color w:val="000000"/>
          <w:kern w:val="2"/>
          <w:sz w:val="21"/>
          <w:szCs w:val="21"/>
        </w:rPr>
      </w:pPr>
      <w:r w:rsidRPr="00E56CFD">
        <w:rPr>
          <w:rFonts w:ascii="Times New Roman" w:hAnsi="Times New Roman"/>
          <w:color w:val="000000"/>
          <w:kern w:val="2"/>
          <w:sz w:val="21"/>
          <w:szCs w:val="21"/>
        </w:rPr>
        <w:t xml:space="preserve">　　</w:t>
      </w:r>
    </w:p>
    <w:p w:rsidR="00C962DA" w:rsidRPr="00E56CFD" w:rsidRDefault="006336F8">
      <w:pPr>
        <w:pStyle w:val="Web"/>
        <w:spacing w:line="400" w:lineRule="exact"/>
        <w:ind w:firstLine="403"/>
        <w:rPr>
          <w:rFonts w:ascii="Times New Roman" w:hAnsi="Times New Roman"/>
          <w:b/>
        </w:rPr>
      </w:pPr>
      <w:r w:rsidRPr="00E56CFD">
        <w:rPr>
          <w:rFonts w:ascii="Times New Roman" w:hAnsi="Times New Roman"/>
          <w:b/>
        </w:rPr>
        <w:t>基金托管人</w:t>
      </w:r>
      <w:r w:rsidRPr="00E56CFD">
        <w:rPr>
          <w:rFonts w:ascii="Times New Roman" w:hAnsi="Times New Roman"/>
          <w:b/>
        </w:rPr>
        <w:t>:</w:t>
      </w:r>
      <w:r w:rsidRPr="00E56CFD">
        <w:rPr>
          <w:rFonts w:ascii="Times New Roman" w:hAnsi="Times New Roman"/>
          <w:b/>
        </w:rPr>
        <w:t>中国银行股份有限公司</w:t>
      </w:r>
    </w:p>
    <w:p w:rsidR="00C962DA" w:rsidRPr="00E56CFD" w:rsidRDefault="00C962DA">
      <w:pPr>
        <w:pStyle w:val="Web"/>
        <w:spacing w:line="400" w:lineRule="exact"/>
        <w:ind w:firstLine="403"/>
        <w:rPr>
          <w:rFonts w:ascii="Times New Roman" w:hAnsi="Times New Roman"/>
          <w:b/>
        </w:rPr>
      </w:pPr>
    </w:p>
    <w:p w:rsidR="00C962DA" w:rsidRPr="00E56CFD" w:rsidRDefault="006336F8">
      <w:pPr>
        <w:pStyle w:val="Web"/>
        <w:spacing w:line="400" w:lineRule="exact"/>
        <w:ind w:firstLine="403"/>
        <w:rPr>
          <w:rFonts w:ascii="Times New Roman" w:hAnsi="Times New Roman"/>
          <w:b/>
        </w:rPr>
      </w:pPr>
      <w:r w:rsidRPr="00E56CFD">
        <w:rPr>
          <w:rFonts w:ascii="Times New Roman" w:hAnsi="Times New Roman"/>
          <w:b/>
        </w:rPr>
        <w:t>法定代表人</w:t>
      </w:r>
      <w:r w:rsidRPr="00E56CFD">
        <w:rPr>
          <w:rFonts w:ascii="Times New Roman" w:hAnsi="Times New Roman" w:hint="eastAsia"/>
          <w:b/>
        </w:rPr>
        <w:t>或授权签字人：</w:t>
      </w:r>
    </w:p>
    <w:p w:rsidR="00C962DA" w:rsidRPr="00E56CFD" w:rsidRDefault="00C962DA">
      <w:pPr>
        <w:pStyle w:val="Web"/>
        <w:spacing w:line="400" w:lineRule="exact"/>
        <w:ind w:firstLine="420"/>
        <w:rPr>
          <w:rFonts w:ascii="Times New Roman" w:hAnsi="Times New Roman"/>
          <w:b/>
        </w:rPr>
      </w:pPr>
    </w:p>
    <w:p w:rsidR="00C962DA" w:rsidRPr="00E56CFD" w:rsidRDefault="00C962DA">
      <w:pPr>
        <w:pStyle w:val="Web"/>
        <w:spacing w:line="400" w:lineRule="exact"/>
        <w:ind w:firstLine="420"/>
        <w:rPr>
          <w:rFonts w:ascii="Times New Roman" w:hAnsi="Times New Roman"/>
          <w:b/>
        </w:rPr>
      </w:pPr>
    </w:p>
    <w:p w:rsidR="00C962DA" w:rsidRPr="00E56CFD" w:rsidRDefault="006336F8">
      <w:pPr>
        <w:pStyle w:val="Web"/>
        <w:spacing w:line="400" w:lineRule="exact"/>
        <w:ind w:firstLine="403"/>
        <w:rPr>
          <w:rFonts w:ascii="Times New Roman" w:hAnsi="Times New Roman"/>
          <w:b/>
        </w:rPr>
      </w:pPr>
      <w:r w:rsidRPr="00E56CFD">
        <w:rPr>
          <w:rFonts w:ascii="Times New Roman" w:hAnsi="Times New Roman"/>
          <w:b/>
        </w:rPr>
        <w:t>签订日：</w:t>
      </w:r>
      <w:r w:rsidRPr="00E56CFD">
        <w:rPr>
          <w:rFonts w:ascii="Times New Roman" w:hAnsi="Times New Roman"/>
          <w:b/>
        </w:rPr>
        <w:tab/>
      </w:r>
    </w:p>
    <w:p w:rsidR="00C962DA" w:rsidRPr="00E56CFD" w:rsidRDefault="006336F8">
      <w:pPr>
        <w:pStyle w:val="Web"/>
        <w:spacing w:line="400" w:lineRule="exact"/>
        <w:ind w:firstLine="420"/>
        <w:rPr>
          <w:rFonts w:ascii="Times New Roman" w:hAnsi="Times New Roman"/>
          <w:b/>
        </w:rPr>
      </w:pPr>
      <w:r w:rsidRPr="00E56CFD">
        <w:rPr>
          <w:rFonts w:ascii="Times New Roman" w:hAnsi="Times New Roman"/>
          <w:b/>
        </w:rPr>
        <w:t xml:space="preserve">签订地：　</w:t>
      </w:r>
    </w:p>
    <w:p w:rsidR="00C962DA" w:rsidRPr="00E56CFD" w:rsidRDefault="00C962DA">
      <w:pPr>
        <w:pStyle w:val="Web"/>
        <w:spacing w:line="400" w:lineRule="exact"/>
        <w:ind w:firstLine="540"/>
        <w:rPr>
          <w:rFonts w:ascii="Times New Roman" w:hAnsi="Times New Roman"/>
          <w:b/>
        </w:rPr>
      </w:pPr>
    </w:p>
    <w:p w:rsidR="00C962DA" w:rsidRPr="00E56CFD" w:rsidRDefault="00C962DA">
      <w:pPr>
        <w:pStyle w:val="Web"/>
        <w:spacing w:line="400" w:lineRule="exact"/>
        <w:ind w:firstLine="540"/>
        <w:rPr>
          <w:rFonts w:ascii="Times New Roman" w:hAnsi="Times New Roman"/>
          <w:b/>
        </w:rPr>
      </w:pPr>
    </w:p>
    <w:p w:rsidR="00C962DA" w:rsidRPr="00E56CFD" w:rsidRDefault="00C962DA">
      <w:pPr>
        <w:pStyle w:val="Web"/>
        <w:spacing w:line="400" w:lineRule="exact"/>
        <w:ind w:firstLine="403"/>
        <w:rPr>
          <w:rFonts w:ascii="Times New Roman" w:hAnsi="Times New Roman"/>
          <w:b/>
        </w:rPr>
      </w:pPr>
    </w:p>
    <w:p w:rsidR="00C962DA" w:rsidRPr="00E56CFD" w:rsidRDefault="006336F8">
      <w:pPr>
        <w:spacing w:before="100" w:beforeAutospacing="1" w:after="100" w:afterAutospacing="1" w:line="400" w:lineRule="exact"/>
        <w:ind w:firstLine="403"/>
        <w:rPr>
          <w:b/>
          <w:sz w:val="24"/>
        </w:rPr>
      </w:pPr>
      <w:r w:rsidRPr="00E56CFD">
        <w:rPr>
          <w:b/>
          <w:sz w:val="24"/>
        </w:rPr>
        <w:t>基金管理人：</w:t>
      </w:r>
      <w:r w:rsidRPr="00E56CFD">
        <w:rPr>
          <w:rFonts w:hint="eastAsia"/>
          <w:b/>
          <w:sz w:val="24"/>
        </w:rPr>
        <w:t>交银施罗德基金管理有限公司</w:t>
      </w:r>
    </w:p>
    <w:p w:rsidR="00C962DA" w:rsidRPr="00E56CFD" w:rsidRDefault="00C962DA">
      <w:pPr>
        <w:pStyle w:val="Web"/>
        <w:spacing w:line="400" w:lineRule="exact"/>
        <w:rPr>
          <w:rFonts w:ascii="Times New Roman" w:hAnsi="Times New Roman"/>
          <w:b/>
        </w:rPr>
      </w:pPr>
    </w:p>
    <w:p w:rsidR="00C962DA" w:rsidRPr="00E56CFD" w:rsidRDefault="006336F8">
      <w:pPr>
        <w:pStyle w:val="Web"/>
        <w:spacing w:line="400" w:lineRule="exact"/>
        <w:ind w:firstLine="403"/>
        <w:rPr>
          <w:rFonts w:ascii="Times New Roman" w:hAnsi="Times New Roman"/>
          <w:b/>
        </w:rPr>
      </w:pPr>
      <w:r w:rsidRPr="00E56CFD">
        <w:rPr>
          <w:rFonts w:ascii="Times New Roman" w:hAnsi="Times New Roman"/>
          <w:b/>
        </w:rPr>
        <w:t>法定代表人</w:t>
      </w:r>
      <w:r w:rsidRPr="00E56CFD">
        <w:rPr>
          <w:rFonts w:ascii="Times New Roman" w:hAnsi="Times New Roman" w:hint="eastAsia"/>
          <w:b/>
        </w:rPr>
        <w:t>或授权签字人：</w:t>
      </w:r>
      <w:r w:rsidRPr="00E56CFD">
        <w:rPr>
          <w:rFonts w:ascii="Times New Roman" w:hAnsi="Times New Roman"/>
          <w:b/>
        </w:rPr>
        <w:t xml:space="preserve"> </w:t>
      </w:r>
    </w:p>
    <w:p w:rsidR="00C962DA" w:rsidRPr="00E56CFD" w:rsidRDefault="00C962DA">
      <w:pPr>
        <w:pStyle w:val="Web"/>
        <w:spacing w:line="400" w:lineRule="exact"/>
        <w:ind w:firstLine="420"/>
        <w:rPr>
          <w:rFonts w:ascii="Times New Roman" w:hAnsi="Times New Roman"/>
          <w:b/>
        </w:rPr>
      </w:pPr>
    </w:p>
    <w:p w:rsidR="00C962DA" w:rsidRPr="00E56CFD" w:rsidRDefault="00C962DA">
      <w:pPr>
        <w:pStyle w:val="Web"/>
        <w:spacing w:line="400" w:lineRule="exact"/>
        <w:ind w:firstLine="420"/>
        <w:rPr>
          <w:rFonts w:ascii="Times New Roman" w:hAnsi="Times New Roman"/>
          <w:b/>
        </w:rPr>
      </w:pPr>
    </w:p>
    <w:p w:rsidR="00C962DA" w:rsidRPr="00E56CFD" w:rsidRDefault="006336F8">
      <w:pPr>
        <w:pStyle w:val="Web"/>
        <w:spacing w:line="400" w:lineRule="exact"/>
        <w:ind w:firstLine="420"/>
        <w:rPr>
          <w:rFonts w:ascii="Times New Roman" w:hAnsi="Times New Roman"/>
          <w:b/>
        </w:rPr>
      </w:pPr>
      <w:r w:rsidRPr="00E56CFD">
        <w:rPr>
          <w:rFonts w:ascii="Times New Roman" w:hAnsi="Times New Roman"/>
          <w:b/>
        </w:rPr>
        <w:t>签订日：</w:t>
      </w:r>
    </w:p>
    <w:p w:rsidR="00C962DA" w:rsidRPr="00E56CFD" w:rsidRDefault="006336F8">
      <w:pPr>
        <w:pStyle w:val="Web"/>
        <w:spacing w:line="400" w:lineRule="exact"/>
        <w:ind w:firstLine="403"/>
        <w:rPr>
          <w:rFonts w:ascii="Times New Roman" w:hAnsi="Times New Roman"/>
          <w:b/>
        </w:rPr>
      </w:pPr>
      <w:r w:rsidRPr="00E56CFD">
        <w:rPr>
          <w:rFonts w:ascii="Times New Roman" w:hAnsi="Times New Roman"/>
          <w:b/>
        </w:rPr>
        <w:t xml:space="preserve">签订地：　</w:t>
      </w:r>
      <w:r w:rsidRPr="00E56CFD">
        <w:rPr>
          <w:rFonts w:ascii="Times New Roman" w:hAnsi="Times New Roman"/>
          <w:b/>
        </w:rPr>
        <w:tab/>
      </w:r>
    </w:p>
    <w:p w:rsidR="00C962DA" w:rsidRPr="00E56CFD" w:rsidRDefault="00C962DA">
      <w:pPr>
        <w:pStyle w:val="a7"/>
        <w:spacing w:before="100" w:beforeAutospacing="1" w:after="100" w:afterAutospacing="1"/>
        <w:ind w:firstLine="463"/>
        <w:rPr>
          <w:rFonts w:ascii="Times New Roman" w:eastAsia="宋体" w:hAnsi="Times New Roman"/>
          <w:b/>
          <w:color w:val="auto"/>
          <w:sz w:val="24"/>
        </w:rPr>
      </w:pPr>
    </w:p>
    <w:sectPr w:rsidR="00C962DA" w:rsidRPr="00E56CFD">
      <w:footerReference w:type="even" r:id="rId6"/>
      <w:footerReference w:type="default" r:id="rId7"/>
      <w:type w:val="continuous"/>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C6" w:rsidRDefault="004A44C6">
      <w:r>
        <w:separator/>
      </w:r>
    </w:p>
  </w:endnote>
  <w:endnote w:type="continuationSeparator" w:id="0">
    <w:p w:rsidR="004A44C6" w:rsidRDefault="004A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altName w:val="方正仿宋_GBK"/>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DA" w:rsidRDefault="006336F8">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C962DA" w:rsidRDefault="00C962D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DA" w:rsidRDefault="006336F8">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71305">
      <w:rPr>
        <w:rStyle w:val="af0"/>
        <w:noProof/>
      </w:rPr>
      <w:t>29</w:t>
    </w:r>
    <w:r>
      <w:rPr>
        <w:rStyle w:val="af0"/>
      </w:rPr>
      <w:fldChar w:fldCharType="end"/>
    </w:r>
  </w:p>
  <w:p w:rsidR="00C962DA" w:rsidRDefault="00C962D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C6" w:rsidRDefault="004A44C6">
      <w:r>
        <w:separator/>
      </w:r>
    </w:p>
  </w:footnote>
  <w:footnote w:type="continuationSeparator" w:id="0">
    <w:p w:rsidR="004A44C6" w:rsidRDefault="004A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BE"/>
    <w:rsid w:val="A75B3679"/>
    <w:rsid w:val="BDFF53D0"/>
    <w:rsid w:val="BEBEA8C2"/>
    <w:rsid w:val="EBFF605E"/>
    <w:rsid w:val="EFBF01B7"/>
    <w:rsid w:val="00000533"/>
    <w:rsid w:val="00004D8F"/>
    <w:rsid w:val="000154B1"/>
    <w:rsid w:val="000173BD"/>
    <w:rsid w:val="000223B0"/>
    <w:rsid w:val="00024F9F"/>
    <w:rsid w:val="00027A8B"/>
    <w:rsid w:val="00030BBC"/>
    <w:rsid w:val="00031BE4"/>
    <w:rsid w:val="00031C54"/>
    <w:rsid w:val="0003738B"/>
    <w:rsid w:val="000373C8"/>
    <w:rsid w:val="00040A2B"/>
    <w:rsid w:val="00045293"/>
    <w:rsid w:val="000525D7"/>
    <w:rsid w:val="00053D35"/>
    <w:rsid w:val="00056250"/>
    <w:rsid w:val="0006445C"/>
    <w:rsid w:val="000650FF"/>
    <w:rsid w:val="00070854"/>
    <w:rsid w:val="00072204"/>
    <w:rsid w:val="00072F3C"/>
    <w:rsid w:val="000730D5"/>
    <w:rsid w:val="000774E5"/>
    <w:rsid w:val="00081420"/>
    <w:rsid w:val="00081477"/>
    <w:rsid w:val="0008188D"/>
    <w:rsid w:val="00085508"/>
    <w:rsid w:val="00094EE1"/>
    <w:rsid w:val="00097DC5"/>
    <w:rsid w:val="000A11FE"/>
    <w:rsid w:val="000A13CA"/>
    <w:rsid w:val="000B0297"/>
    <w:rsid w:val="000B5793"/>
    <w:rsid w:val="000B6AA2"/>
    <w:rsid w:val="000C7AD1"/>
    <w:rsid w:val="000D10A2"/>
    <w:rsid w:val="000D15B1"/>
    <w:rsid w:val="000E1AD8"/>
    <w:rsid w:val="000E3514"/>
    <w:rsid w:val="000F2C23"/>
    <w:rsid w:val="000F5377"/>
    <w:rsid w:val="00100E96"/>
    <w:rsid w:val="00104752"/>
    <w:rsid w:val="001104D9"/>
    <w:rsid w:val="001109F4"/>
    <w:rsid w:val="00111E2B"/>
    <w:rsid w:val="00117C8D"/>
    <w:rsid w:val="00117FC5"/>
    <w:rsid w:val="001210D9"/>
    <w:rsid w:val="00121EF0"/>
    <w:rsid w:val="00123F4B"/>
    <w:rsid w:val="00130D5E"/>
    <w:rsid w:val="00134323"/>
    <w:rsid w:val="00134E02"/>
    <w:rsid w:val="00136AF2"/>
    <w:rsid w:val="00136D62"/>
    <w:rsid w:val="001400FE"/>
    <w:rsid w:val="00140367"/>
    <w:rsid w:val="001411C1"/>
    <w:rsid w:val="001437DA"/>
    <w:rsid w:val="00143859"/>
    <w:rsid w:val="00146DD0"/>
    <w:rsid w:val="00150188"/>
    <w:rsid w:val="00150901"/>
    <w:rsid w:val="00151241"/>
    <w:rsid w:val="00151BB2"/>
    <w:rsid w:val="001526D1"/>
    <w:rsid w:val="001542EE"/>
    <w:rsid w:val="00154B1C"/>
    <w:rsid w:val="00155040"/>
    <w:rsid w:val="001560C0"/>
    <w:rsid w:val="00156130"/>
    <w:rsid w:val="001623FC"/>
    <w:rsid w:val="00165C15"/>
    <w:rsid w:val="0016648D"/>
    <w:rsid w:val="00170620"/>
    <w:rsid w:val="00173DEE"/>
    <w:rsid w:val="001741D0"/>
    <w:rsid w:val="00175C5F"/>
    <w:rsid w:val="001919B0"/>
    <w:rsid w:val="001A2E28"/>
    <w:rsid w:val="001A667A"/>
    <w:rsid w:val="001B116D"/>
    <w:rsid w:val="001B1BDB"/>
    <w:rsid w:val="001C0C1E"/>
    <w:rsid w:val="001C27A7"/>
    <w:rsid w:val="001C27DE"/>
    <w:rsid w:val="001C55DC"/>
    <w:rsid w:val="001C6E51"/>
    <w:rsid w:val="001C714B"/>
    <w:rsid w:val="001C79FE"/>
    <w:rsid w:val="001D0D38"/>
    <w:rsid w:val="001D2CDE"/>
    <w:rsid w:val="001D6057"/>
    <w:rsid w:val="001E0A08"/>
    <w:rsid w:val="001E133D"/>
    <w:rsid w:val="001E592E"/>
    <w:rsid w:val="001E5D9D"/>
    <w:rsid w:val="001F4C7C"/>
    <w:rsid w:val="001F60D9"/>
    <w:rsid w:val="001F6BA5"/>
    <w:rsid w:val="001F7F00"/>
    <w:rsid w:val="00202069"/>
    <w:rsid w:val="002024CB"/>
    <w:rsid w:val="0020778B"/>
    <w:rsid w:val="00210D7D"/>
    <w:rsid w:val="002169F9"/>
    <w:rsid w:val="00220E75"/>
    <w:rsid w:val="002212AE"/>
    <w:rsid w:val="0022137C"/>
    <w:rsid w:val="00222F93"/>
    <w:rsid w:val="00223047"/>
    <w:rsid w:val="00223DB0"/>
    <w:rsid w:val="00223FEA"/>
    <w:rsid w:val="00227171"/>
    <w:rsid w:val="00227C20"/>
    <w:rsid w:val="00230BA1"/>
    <w:rsid w:val="002313EF"/>
    <w:rsid w:val="00231A58"/>
    <w:rsid w:val="00232EE0"/>
    <w:rsid w:val="00237371"/>
    <w:rsid w:val="00237FC5"/>
    <w:rsid w:val="00243722"/>
    <w:rsid w:val="002437AF"/>
    <w:rsid w:val="00243C92"/>
    <w:rsid w:val="00244D8D"/>
    <w:rsid w:val="002468D5"/>
    <w:rsid w:val="00246BA3"/>
    <w:rsid w:val="0025181B"/>
    <w:rsid w:val="002530F0"/>
    <w:rsid w:val="0025577A"/>
    <w:rsid w:val="00262182"/>
    <w:rsid w:val="00273992"/>
    <w:rsid w:val="0027634A"/>
    <w:rsid w:val="00277AC0"/>
    <w:rsid w:val="0028046F"/>
    <w:rsid w:val="00281354"/>
    <w:rsid w:val="002819F4"/>
    <w:rsid w:val="002845F1"/>
    <w:rsid w:val="00286871"/>
    <w:rsid w:val="002877DB"/>
    <w:rsid w:val="00287AE1"/>
    <w:rsid w:val="00290256"/>
    <w:rsid w:val="00293B28"/>
    <w:rsid w:val="002947CB"/>
    <w:rsid w:val="00296AAD"/>
    <w:rsid w:val="002A07E2"/>
    <w:rsid w:val="002A1FFD"/>
    <w:rsid w:val="002A389A"/>
    <w:rsid w:val="002A392E"/>
    <w:rsid w:val="002A7B61"/>
    <w:rsid w:val="002B1780"/>
    <w:rsid w:val="002B1BDF"/>
    <w:rsid w:val="002B655F"/>
    <w:rsid w:val="002C204F"/>
    <w:rsid w:val="002C328E"/>
    <w:rsid w:val="002C5760"/>
    <w:rsid w:val="002C7975"/>
    <w:rsid w:val="002C7A50"/>
    <w:rsid w:val="002D5685"/>
    <w:rsid w:val="002E08AB"/>
    <w:rsid w:val="002E18D2"/>
    <w:rsid w:val="002E3393"/>
    <w:rsid w:val="002E41B5"/>
    <w:rsid w:val="002E53CC"/>
    <w:rsid w:val="002F0B44"/>
    <w:rsid w:val="002F1E5D"/>
    <w:rsid w:val="002F36B1"/>
    <w:rsid w:val="002F40E3"/>
    <w:rsid w:val="00306DA8"/>
    <w:rsid w:val="00310A2C"/>
    <w:rsid w:val="00310E46"/>
    <w:rsid w:val="00311E48"/>
    <w:rsid w:val="00312010"/>
    <w:rsid w:val="00312DC1"/>
    <w:rsid w:val="00316331"/>
    <w:rsid w:val="00321A40"/>
    <w:rsid w:val="00321B00"/>
    <w:rsid w:val="0032409B"/>
    <w:rsid w:val="003240BA"/>
    <w:rsid w:val="003247B7"/>
    <w:rsid w:val="003263AE"/>
    <w:rsid w:val="00327E44"/>
    <w:rsid w:val="0033063E"/>
    <w:rsid w:val="00330997"/>
    <w:rsid w:val="0033282F"/>
    <w:rsid w:val="0033302B"/>
    <w:rsid w:val="0033514F"/>
    <w:rsid w:val="00336293"/>
    <w:rsid w:val="0033739D"/>
    <w:rsid w:val="00337800"/>
    <w:rsid w:val="0034368B"/>
    <w:rsid w:val="0034410E"/>
    <w:rsid w:val="003478EE"/>
    <w:rsid w:val="00347AD9"/>
    <w:rsid w:val="0035030F"/>
    <w:rsid w:val="003505A0"/>
    <w:rsid w:val="00350619"/>
    <w:rsid w:val="00351006"/>
    <w:rsid w:val="00351E29"/>
    <w:rsid w:val="0035240A"/>
    <w:rsid w:val="0035504B"/>
    <w:rsid w:val="003564F7"/>
    <w:rsid w:val="0035711B"/>
    <w:rsid w:val="003572B7"/>
    <w:rsid w:val="00360A72"/>
    <w:rsid w:val="00362C2B"/>
    <w:rsid w:val="0036741E"/>
    <w:rsid w:val="0037053F"/>
    <w:rsid w:val="00371002"/>
    <w:rsid w:val="003710C4"/>
    <w:rsid w:val="00372309"/>
    <w:rsid w:val="00373DEF"/>
    <w:rsid w:val="00374230"/>
    <w:rsid w:val="0037482B"/>
    <w:rsid w:val="00375C80"/>
    <w:rsid w:val="00376D0C"/>
    <w:rsid w:val="003801E2"/>
    <w:rsid w:val="00381A18"/>
    <w:rsid w:val="00382C99"/>
    <w:rsid w:val="00387AB9"/>
    <w:rsid w:val="00391678"/>
    <w:rsid w:val="003A2461"/>
    <w:rsid w:val="003A2ED7"/>
    <w:rsid w:val="003B3D67"/>
    <w:rsid w:val="003B47FA"/>
    <w:rsid w:val="003B508D"/>
    <w:rsid w:val="003B6497"/>
    <w:rsid w:val="003C0EE7"/>
    <w:rsid w:val="003C2482"/>
    <w:rsid w:val="003D033F"/>
    <w:rsid w:val="003D329A"/>
    <w:rsid w:val="003D6254"/>
    <w:rsid w:val="003D6A79"/>
    <w:rsid w:val="003E0B40"/>
    <w:rsid w:val="003E0EF9"/>
    <w:rsid w:val="003E0FE6"/>
    <w:rsid w:val="003E2D77"/>
    <w:rsid w:val="003E3208"/>
    <w:rsid w:val="003E5136"/>
    <w:rsid w:val="003E7A82"/>
    <w:rsid w:val="003F2E61"/>
    <w:rsid w:val="003F506E"/>
    <w:rsid w:val="003F7398"/>
    <w:rsid w:val="003F76BE"/>
    <w:rsid w:val="0040191F"/>
    <w:rsid w:val="004060BB"/>
    <w:rsid w:val="00407C37"/>
    <w:rsid w:val="0041327F"/>
    <w:rsid w:val="0041455F"/>
    <w:rsid w:val="00415CF9"/>
    <w:rsid w:val="00420578"/>
    <w:rsid w:val="00422F0D"/>
    <w:rsid w:val="004265D0"/>
    <w:rsid w:val="00437BCC"/>
    <w:rsid w:val="0044418A"/>
    <w:rsid w:val="004441B8"/>
    <w:rsid w:val="00447CA1"/>
    <w:rsid w:val="00447E25"/>
    <w:rsid w:val="00451623"/>
    <w:rsid w:val="00451CC7"/>
    <w:rsid w:val="004574F6"/>
    <w:rsid w:val="004577D6"/>
    <w:rsid w:val="00461180"/>
    <w:rsid w:val="00465668"/>
    <w:rsid w:val="00471518"/>
    <w:rsid w:val="00472029"/>
    <w:rsid w:val="004776F5"/>
    <w:rsid w:val="004777E0"/>
    <w:rsid w:val="00480715"/>
    <w:rsid w:val="00484D0E"/>
    <w:rsid w:val="00494C86"/>
    <w:rsid w:val="004A44C6"/>
    <w:rsid w:val="004B05D4"/>
    <w:rsid w:val="004B082B"/>
    <w:rsid w:val="004B1997"/>
    <w:rsid w:val="004B28E0"/>
    <w:rsid w:val="004B4C66"/>
    <w:rsid w:val="004B5D49"/>
    <w:rsid w:val="004C26DB"/>
    <w:rsid w:val="004C5725"/>
    <w:rsid w:val="004E0EB9"/>
    <w:rsid w:val="004E1CEE"/>
    <w:rsid w:val="004E293F"/>
    <w:rsid w:val="004E45A3"/>
    <w:rsid w:val="004E4796"/>
    <w:rsid w:val="004E5518"/>
    <w:rsid w:val="004F1396"/>
    <w:rsid w:val="004F13E7"/>
    <w:rsid w:val="004F2080"/>
    <w:rsid w:val="004F4214"/>
    <w:rsid w:val="004F4338"/>
    <w:rsid w:val="00500461"/>
    <w:rsid w:val="00500A25"/>
    <w:rsid w:val="005059DE"/>
    <w:rsid w:val="005131E8"/>
    <w:rsid w:val="00513E25"/>
    <w:rsid w:val="00517A8A"/>
    <w:rsid w:val="00517ABC"/>
    <w:rsid w:val="00526501"/>
    <w:rsid w:val="005308B9"/>
    <w:rsid w:val="005318BA"/>
    <w:rsid w:val="00531AD1"/>
    <w:rsid w:val="00533ED9"/>
    <w:rsid w:val="0053659C"/>
    <w:rsid w:val="005428AF"/>
    <w:rsid w:val="00543868"/>
    <w:rsid w:val="00545BEC"/>
    <w:rsid w:val="00545CA2"/>
    <w:rsid w:val="00546A60"/>
    <w:rsid w:val="00547F48"/>
    <w:rsid w:val="00550D41"/>
    <w:rsid w:val="00555062"/>
    <w:rsid w:val="00557771"/>
    <w:rsid w:val="00561D33"/>
    <w:rsid w:val="00562FD2"/>
    <w:rsid w:val="00565045"/>
    <w:rsid w:val="00566037"/>
    <w:rsid w:val="00567836"/>
    <w:rsid w:val="00573C2F"/>
    <w:rsid w:val="005801D8"/>
    <w:rsid w:val="0058032A"/>
    <w:rsid w:val="00581A17"/>
    <w:rsid w:val="00583E7F"/>
    <w:rsid w:val="00587E55"/>
    <w:rsid w:val="00590F17"/>
    <w:rsid w:val="00592B54"/>
    <w:rsid w:val="0059429C"/>
    <w:rsid w:val="005A11C5"/>
    <w:rsid w:val="005A1608"/>
    <w:rsid w:val="005A2A8D"/>
    <w:rsid w:val="005A6B74"/>
    <w:rsid w:val="005B1431"/>
    <w:rsid w:val="005B3924"/>
    <w:rsid w:val="005B5FB7"/>
    <w:rsid w:val="005C0A67"/>
    <w:rsid w:val="005C0C33"/>
    <w:rsid w:val="005C1A59"/>
    <w:rsid w:val="005C2F77"/>
    <w:rsid w:val="005C5CFB"/>
    <w:rsid w:val="005D266C"/>
    <w:rsid w:val="005D3A53"/>
    <w:rsid w:val="005D4815"/>
    <w:rsid w:val="005D5A84"/>
    <w:rsid w:val="005D70F7"/>
    <w:rsid w:val="005E0815"/>
    <w:rsid w:val="005E1F75"/>
    <w:rsid w:val="005E2F02"/>
    <w:rsid w:val="005E4094"/>
    <w:rsid w:val="005E6183"/>
    <w:rsid w:val="005E67A0"/>
    <w:rsid w:val="005F1CC3"/>
    <w:rsid w:val="005F272C"/>
    <w:rsid w:val="005F3E36"/>
    <w:rsid w:val="005F4986"/>
    <w:rsid w:val="005F5652"/>
    <w:rsid w:val="005F5915"/>
    <w:rsid w:val="00601F3C"/>
    <w:rsid w:val="006023E5"/>
    <w:rsid w:val="00602C6B"/>
    <w:rsid w:val="00604155"/>
    <w:rsid w:val="00604168"/>
    <w:rsid w:val="00605E5B"/>
    <w:rsid w:val="0060600F"/>
    <w:rsid w:val="00606510"/>
    <w:rsid w:val="00606DDF"/>
    <w:rsid w:val="006121E6"/>
    <w:rsid w:val="0061251F"/>
    <w:rsid w:val="00612D20"/>
    <w:rsid w:val="00613050"/>
    <w:rsid w:val="00616F86"/>
    <w:rsid w:val="0061782D"/>
    <w:rsid w:val="00617A81"/>
    <w:rsid w:val="00620624"/>
    <w:rsid w:val="00621A92"/>
    <w:rsid w:val="00621B60"/>
    <w:rsid w:val="00623B30"/>
    <w:rsid w:val="0062453D"/>
    <w:rsid w:val="00624CDA"/>
    <w:rsid w:val="0062708F"/>
    <w:rsid w:val="006300E1"/>
    <w:rsid w:val="0063047B"/>
    <w:rsid w:val="00630B5D"/>
    <w:rsid w:val="006336F8"/>
    <w:rsid w:val="00634687"/>
    <w:rsid w:val="00634BFB"/>
    <w:rsid w:val="00637EE8"/>
    <w:rsid w:val="00640B39"/>
    <w:rsid w:val="006458E6"/>
    <w:rsid w:val="00647510"/>
    <w:rsid w:val="00650E92"/>
    <w:rsid w:val="006513A6"/>
    <w:rsid w:val="0065529F"/>
    <w:rsid w:val="00655FDB"/>
    <w:rsid w:val="0066110D"/>
    <w:rsid w:val="006611E5"/>
    <w:rsid w:val="00663A8C"/>
    <w:rsid w:val="00663B08"/>
    <w:rsid w:val="00671805"/>
    <w:rsid w:val="006775F7"/>
    <w:rsid w:val="00682323"/>
    <w:rsid w:val="00683044"/>
    <w:rsid w:val="00683DAD"/>
    <w:rsid w:val="00686DCE"/>
    <w:rsid w:val="00690291"/>
    <w:rsid w:val="006956F8"/>
    <w:rsid w:val="00695CD4"/>
    <w:rsid w:val="006A094B"/>
    <w:rsid w:val="006A1FBE"/>
    <w:rsid w:val="006A2A48"/>
    <w:rsid w:val="006A3DCD"/>
    <w:rsid w:val="006B0778"/>
    <w:rsid w:val="006B132E"/>
    <w:rsid w:val="006B4778"/>
    <w:rsid w:val="006C1F4C"/>
    <w:rsid w:val="006C2FE1"/>
    <w:rsid w:val="006C4261"/>
    <w:rsid w:val="006C7C4B"/>
    <w:rsid w:val="006D5042"/>
    <w:rsid w:val="006D686B"/>
    <w:rsid w:val="006D71FE"/>
    <w:rsid w:val="006D72AE"/>
    <w:rsid w:val="006E0EB2"/>
    <w:rsid w:val="006E5412"/>
    <w:rsid w:val="006E5E72"/>
    <w:rsid w:val="006E6F51"/>
    <w:rsid w:val="006F6181"/>
    <w:rsid w:val="006F76D3"/>
    <w:rsid w:val="007001F9"/>
    <w:rsid w:val="00702E40"/>
    <w:rsid w:val="0070465C"/>
    <w:rsid w:val="00705EE4"/>
    <w:rsid w:val="00706418"/>
    <w:rsid w:val="0070778E"/>
    <w:rsid w:val="00712820"/>
    <w:rsid w:val="00713AA8"/>
    <w:rsid w:val="007140BB"/>
    <w:rsid w:val="007219B0"/>
    <w:rsid w:val="00723E33"/>
    <w:rsid w:val="007310B9"/>
    <w:rsid w:val="00741835"/>
    <w:rsid w:val="00742619"/>
    <w:rsid w:val="00744FCC"/>
    <w:rsid w:val="00747146"/>
    <w:rsid w:val="007501C9"/>
    <w:rsid w:val="007544C1"/>
    <w:rsid w:val="00760028"/>
    <w:rsid w:val="007605B8"/>
    <w:rsid w:val="0076068D"/>
    <w:rsid w:val="00764867"/>
    <w:rsid w:val="00765E78"/>
    <w:rsid w:val="0077005B"/>
    <w:rsid w:val="00770AB2"/>
    <w:rsid w:val="00770D75"/>
    <w:rsid w:val="00771305"/>
    <w:rsid w:val="00776945"/>
    <w:rsid w:val="007815EA"/>
    <w:rsid w:val="007819F1"/>
    <w:rsid w:val="00787095"/>
    <w:rsid w:val="007908A5"/>
    <w:rsid w:val="00791330"/>
    <w:rsid w:val="00794948"/>
    <w:rsid w:val="00795AE7"/>
    <w:rsid w:val="00797671"/>
    <w:rsid w:val="007A56EB"/>
    <w:rsid w:val="007A632C"/>
    <w:rsid w:val="007B29E8"/>
    <w:rsid w:val="007B33F3"/>
    <w:rsid w:val="007B5ADF"/>
    <w:rsid w:val="007C1E3C"/>
    <w:rsid w:val="007C4A4E"/>
    <w:rsid w:val="007C563D"/>
    <w:rsid w:val="007C79FB"/>
    <w:rsid w:val="007D4D05"/>
    <w:rsid w:val="007D5292"/>
    <w:rsid w:val="007D7751"/>
    <w:rsid w:val="007D795A"/>
    <w:rsid w:val="007E305E"/>
    <w:rsid w:val="007E5246"/>
    <w:rsid w:val="007E66B2"/>
    <w:rsid w:val="007F261D"/>
    <w:rsid w:val="00803057"/>
    <w:rsid w:val="0080341C"/>
    <w:rsid w:val="0080626E"/>
    <w:rsid w:val="00807FA6"/>
    <w:rsid w:val="00810E68"/>
    <w:rsid w:val="008115A9"/>
    <w:rsid w:val="0081307D"/>
    <w:rsid w:val="0082119F"/>
    <w:rsid w:val="0083260B"/>
    <w:rsid w:val="008401B4"/>
    <w:rsid w:val="00841BD0"/>
    <w:rsid w:val="00846403"/>
    <w:rsid w:val="0085034E"/>
    <w:rsid w:val="008522CE"/>
    <w:rsid w:val="008525F8"/>
    <w:rsid w:val="0085580B"/>
    <w:rsid w:val="008559D5"/>
    <w:rsid w:val="00861143"/>
    <w:rsid w:val="00863252"/>
    <w:rsid w:val="008669CD"/>
    <w:rsid w:val="0087507D"/>
    <w:rsid w:val="008801EE"/>
    <w:rsid w:val="00880E99"/>
    <w:rsid w:val="0088223F"/>
    <w:rsid w:val="00885028"/>
    <w:rsid w:val="00886986"/>
    <w:rsid w:val="00886B93"/>
    <w:rsid w:val="00887BB0"/>
    <w:rsid w:val="00890B8D"/>
    <w:rsid w:val="008916D1"/>
    <w:rsid w:val="00891F83"/>
    <w:rsid w:val="00892277"/>
    <w:rsid w:val="008944C7"/>
    <w:rsid w:val="0089669B"/>
    <w:rsid w:val="00896FA6"/>
    <w:rsid w:val="008A1DB5"/>
    <w:rsid w:val="008A5569"/>
    <w:rsid w:val="008A5F3F"/>
    <w:rsid w:val="008B2CE7"/>
    <w:rsid w:val="008B38F5"/>
    <w:rsid w:val="008C10E7"/>
    <w:rsid w:val="008C1110"/>
    <w:rsid w:val="008D0744"/>
    <w:rsid w:val="008D0D07"/>
    <w:rsid w:val="008D1FB1"/>
    <w:rsid w:val="008D29B5"/>
    <w:rsid w:val="008D46CB"/>
    <w:rsid w:val="008D5BFD"/>
    <w:rsid w:val="008D6F89"/>
    <w:rsid w:val="008D75B9"/>
    <w:rsid w:val="008E3210"/>
    <w:rsid w:val="008E3D73"/>
    <w:rsid w:val="008E68CA"/>
    <w:rsid w:val="008E7AA7"/>
    <w:rsid w:val="008F00EC"/>
    <w:rsid w:val="008F00FC"/>
    <w:rsid w:val="008F283C"/>
    <w:rsid w:val="008F33C7"/>
    <w:rsid w:val="008F350B"/>
    <w:rsid w:val="008F4F84"/>
    <w:rsid w:val="008F5E0C"/>
    <w:rsid w:val="008F75D1"/>
    <w:rsid w:val="0090065F"/>
    <w:rsid w:val="00900FD1"/>
    <w:rsid w:val="00901EF6"/>
    <w:rsid w:val="00902898"/>
    <w:rsid w:val="00913DEC"/>
    <w:rsid w:val="00916782"/>
    <w:rsid w:val="00924178"/>
    <w:rsid w:val="009241ED"/>
    <w:rsid w:val="00926D6E"/>
    <w:rsid w:val="0092749F"/>
    <w:rsid w:val="00933830"/>
    <w:rsid w:val="00933FE7"/>
    <w:rsid w:val="00935556"/>
    <w:rsid w:val="009357DA"/>
    <w:rsid w:val="00943AC1"/>
    <w:rsid w:val="00945640"/>
    <w:rsid w:val="00950242"/>
    <w:rsid w:val="00951358"/>
    <w:rsid w:val="00957DEB"/>
    <w:rsid w:val="00973CFA"/>
    <w:rsid w:val="00983BEA"/>
    <w:rsid w:val="00987AF5"/>
    <w:rsid w:val="00990602"/>
    <w:rsid w:val="0099756D"/>
    <w:rsid w:val="009A2718"/>
    <w:rsid w:val="009A5603"/>
    <w:rsid w:val="009A5DAD"/>
    <w:rsid w:val="009A6846"/>
    <w:rsid w:val="009A6F8B"/>
    <w:rsid w:val="009B2051"/>
    <w:rsid w:val="009B2749"/>
    <w:rsid w:val="009B2B56"/>
    <w:rsid w:val="009B3A14"/>
    <w:rsid w:val="009B6343"/>
    <w:rsid w:val="009B65DC"/>
    <w:rsid w:val="009B7A1C"/>
    <w:rsid w:val="009C1261"/>
    <w:rsid w:val="009C1B57"/>
    <w:rsid w:val="009C249F"/>
    <w:rsid w:val="009C395D"/>
    <w:rsid w:val="009C543F"/>
    <w:rsid w:val="009C6225"/>
    <w:rsid w:val="009C69EB"/>
    <w:rsid w:val="009D7BE1"/>
    <w:rsid w:val="009E059E"/>
    <w:rsid w:val="009E20C8"/>
    <w:rsid w:val="009E2B06"/>
    <w:rsid w:val="009F101B"/>
    <w:rsid w:val="009F1905"/>
    <w:rsid w:val="009F4866"/>
    <w:rsid w:val="009F6EE6"/>
    <w:rsid w:val="009F75CE"/>
    <w:rsid w:val="00A009CA"/>
    <w:rsid w:val="00A01661"/>
    <w:rsid w:val="00A02926"/>
    <w:rsid w:val="00A06573"/>
    <w:rsid w:val="00A07079"/>
    <w:rsid w:val="00A108A9"/>
    <w:rsid w:val="00A114B9"/>
    <w:rsid w:val="00A11D0E"/>
    <w:rsid w:val="00A2283C"/>
    <w:rsid w:val="00A23810"/>
    <w:rsid w:val="00A25363"/>
    <w:rsid w:val="00A27B4D"/>
    <w:rsid w:val="00A32619"/>
    <w:rsid w:val="00A347A9"/>
    <w:rsid w:val="00A352EA"/>
    <w:rsid w:val="00A35B1E"/>
    <w:rsid w:val="00A35EE7"/>
    <w:rsid w:val="00A37BB3"/>
    <w:rsid w:val="00A569F2"/>
    <w:rsid w:val="00A56EDD"/>
    <w:rsid w:val="00A5724D"/>
    <w:rsid w:val="00A60690"/>
    <w:rsid w:val="00A61478"/>
    <w:rsid w:val="00A652E4"/>
    <w:rsid w:val="00A658C0"/>
    <w:rsid w:val="00A663BD"/>
    <w:rsid w:val="00A673C2"/>
    <w:rsid w:val="00A70C67"/>
    <w:rsid w:val="00A723C5"/>
    <w:rsid w:val="00A73F7B"/>
    <w:rsid w:val="00A813DA"/>
    <w:rsid w:val="00A81DBC"/>
    <w:rsid w:val="00A85408"/>
    <w:rsid w:val="00A858CF"/>
    <w:rsid w:val="00A930DD"/>
    <w:rsid w:val="00A93F23"/>
    <w:rsid w:val="00A95EB8"/>
    <w:rsid w:val="00A960FA"/>
    <w:rsid w:val="00A968CF"/>
    <w:rsid w:val="00A97CDB"/>
    <w:rsid w:val="00AA08BA"/>
    <w:rsid w:val="00AA0E28"/>
    <w:rsid w:val="00AA4DFF"/>
    <w:rsid w:val="00AA55D1"/>
    <w:rsid w:val="00AA59F3"/>
    <w:rsid w:val="00AB1761"/>
    <w:rsid w:val="00AB37AD"/>
    <w:rsid w:val="00AB5F85"/>
    <w:rsid w:val="00AC4BF3"/>
    <w:rsid w:val="00AC593D"/>
    <w:rsid w:val="00AC6FF4"/>
    <w:rsid w:val="00AC72B7"/>
    <w:rsid w:val="00AD17A9"/>
    <w:rsid w:val="00AD2ED5"/>
    <w:rsid w:val="00AD4933"/>
    <w:rsid w:val="00AD7B16"/>
    <w:rsid w:val="00AE1B33"/>
    <w:rsid w:val="00AE33EC"/>
    <w:rsid w:val="00AF507C"/>
    <w:rsid w:val="00B01A30"/>
    <w:rsid w:val="00B01D3E"/>
    <w:rsid w:val="00B03564"/>
    <w:rsid w:val="00B04156"/>
    <w:rsid w:val="00B10167"/>
    <w:rsid w:val="00B10179"/>
    <w:rsid w:val="00B10213"/>
    <w:rsid w:val="00B1280D"/>
    <w:rsid w:val="00B12D6B"/>
    <w:rsid w:val="00B137FE"/>
    <w:rsid w:val="00B14D82"/>
    <w:rsid w:val="00B16204"/>
    <w:rsid w:val="00B16D18"/>
    <w:rsid w:val="00B1718F"/>
    <w:rsid w:val="00B24BD5"/>
    <w:rsid w:val="00B25BA2"/>
    <w:rsid w:val="00B27C70"/>
    <w:rsid w:val="00B412FA"/>
    <w:rsid w:val="00B4536A"/>
    <w:rsid w:val="00B4549D"/>
    <w:rsid w:val="00B50A36"/>
    <w:rsid w:val="00B50FB9"/>
    <w:rsid w:val="00B52186"/>
    <w:rsid w:val="00B53C57"/>
    <w:rsid w:val="00B54B22"/>
    <w:rsid w:val="00B55710"/>
    <w:rsid w:val="00B56179"/>
    <w:rsid w:val="00B564E9"/>
    <w:rsid w:val="00B57850"/>
    <w:rsid w:val="00B611A1"/>
    <w:rsid w:val="00B61AD4"/>
    <w:rsid w:val="00B61DD8"/>
    <w:rsid w:val="00B63A3D"/>
    <w:rsid w:val="00B66F8D"/>
    <w:rsid w:val="00B679AF"/>
    <w:rsid w:val="00B77218"/>
    <w:rsid w:val="00B8017C"/>
    <w:rsid w:val="00B80F49"/>
    <w:rsid w:val="00B815AC"/>
    <w:rsid w:val="00B82BED"/>
    <w:rsid w:val="00B82F2F"/>
    <w:rsid w:val="00B859D1"/>
    <w:rsid w:val="00B96942"/>
    <w:rsid w:val="00B97E65"/>
    <w:rsid w:val="00BA144E"/>
    <w:rsid w:val="00BA1676"/>
    <w:rsid w:val="00BA28F7"/>
    <w:rsid w:val="00BA2D56"/>
    <w:rsid w:val="00BA3051"/>
    <w:rsid w:val="00BA6182"/>
    <w:rsid w:val="00BB3755"/>
    <w:rsid w:val="00BB396C"/>
    <w:rsid w:val="00BC05B5"/>
    <w:rsid w:val="00BC457F"/>
    <w:rsid w:val="00BD1893"/>
    <w:rsid w:val="00BD2E56"/>
    <w:rsid w:val="00BD7C96"/>
    <w:rsid w:val="00BE0A23"/>
    <w:rsid w:val="00BE0F15"/>
    <w:rsid w:val="00BE3388"/>
    <w:rsid w:val="00BE46B6"/>
    <w:rsid w:val="00BF0DF5"/>
    <w:rsid w:val="00BF170A"/>
    <w:rsid w:val="00C00BE8"/>
    <w:rsid w:val="00C00CE5"/>
    <w:rsid w:val="00C0714E"/>
    <w:rsid w:val="00C0727E"/>
    <w:rsid w:val="00C138B1"/>
    <w:rsid w:val="00C14EF3"/>
    <w:rsid w:val="00C1538A"/>
    <w:rsid w:val="00C16DDB"/>
    <w:rsid w:val="00C21E76"/>
    <w:rsid w:val="00C229F4"/>
    <w:rsid w:val="00C24D23"/>
    <w:rsid w:val="00C2567D"/>
    <w:rsid w:val="00C25719"/>
    <w:rsid w:val="00C34AA6"/>
    <w:rsid w:val="00C36308"/>
    <w:rsid w:val="00C40982"/>
    <w:rsid w:val="00C43C6F"/>
    <w:rsid w:val="00C500DE"/>
    <w:rsid w:val="00C5314F"/>
    <w:rsid w:val="00C570E1"/>
    <w:rsid w:val="00C57C7E"/>
    <w:rsid w:val="00C613B1"/>
    <w:rsid w:val="00C62794"/>
    <w:rsid w:val="00C718FE"/>
    <w:rsid w:val="00C72C65"/>
    <w:rsid w:val="00C731AA"/>
    <w:rsid w:val="00C73C41"/>
    <w:rsid w:val="00C764CF"/>
    <w:rsid w:val="00C7741A"/>
    <w:rsid w:val="00C80AC2"/>
    <w:rsid w:val="00C80D34"/>
    <w:rsid w:val="00C81513"/>
    <w:rsid w:val="00C816B1"/>
    <w:rsid w:val="00C83B89"/>
    <w:rsid w:val="00C84305"/>
    <w:rsid w:val="00C84A64"/>
    <w:rsid w:val="00C86597"/>
    <w:rsid w:val="00C907E2"/>
    <w:rsid w:val="00C9178C"/>
    <w:rsid w:val="00C921D5"/>
    <w:rsid w:val="00C95FC1"/>
    <w:rsid w:val="00C960F0"/>
    <w:rsid w:val="00C962DA"/>
    <w:rsid w:val="00CA0A74"/>
    <w:rsid w:val="00CA17FA"/>
    <w:rsid w:val="00CA1FB4"/>
    <w:rsid w:val="00CA3561"/>
    <w:rsid w:val="00CA73D9"/>
    <w:rsid w:val="00CA7AB0"/>
    <w:rsid w:val="00CB0E26"/>
    <w:rsid w:val="00CB0FCF"/>
    <w:rsid w:val="00CB5A22"/>
    <w:rsid w:val="00CB6D5F"/>
    <w:rsid w:val="00CC1F33"/>
    <w:rsid w:val="00CC636E"/>
    <w:rsid w:val="00CD0DAB"/>
    <w:rsid w:val="00CD17E6"/>
    <w:rsid w:val="00CD75D3"/>
    <w:rsid w:val="00CE0B0E"/>
    <w:rsid w:val="00CE10BD"/>
    <w:rsid w:val="00CE4252"/>
    <w:rsid w:val="00CE6082"/>
    <w:rsid w:val="00CE7223"/>
    <w:rsid w:val="00CE7C68"/>
    <w:rsid w:val="00CF07E3"/>
    <w:rsid w:val="00CF286B"/>
    <w:rsid w:val="00CF3864"/>
    <w:rsid w:val="00D05193"/>
    <w:rsid w:val="00D054F3"/>
    <w:rsid w:val="00D101CB"/>
    <w:rsid w:val="00D11020"/>
    <w:rsid w:val="00D21425"/>
    <w:rsid w:val="00D245DF"/>
    <w:rsid w:val="00D25A1F"/>
    <w:rsid w:val="00D25E86"/>
    <w:rsid w:val="00D32806"/>
    <w:rsid w:val="00D35A99"/>
    <w:rsid w:val="00D40112"/>
    <w:rsid w:val="00D402BC"/>
    <w:rsid w:val="00D41172"/>
    <w:rsid w:val="00D427B4"/>
    <w:rsid w:val="00D54B5A"/>
    <w:rsid w:val="00D5697E"/>
    <w:rsid w:val="00D578B2"/>
    <w:rsid w:val="00D64D3C"/>
    <w:rsid w:val="00D66AC0"/>
    <w:rsid w:val="00D70171"/>
    <w:rsid w:val="00D7244B"/>
    <w:rsid w:val="00D726EA"/>
    <w:rsid w:val="00D732D1"/>
    <w:rsid w:val="00D751CD"/>
    <w:rsid w:val="00D823F3"/>
    <w:rsid w:val="00D84A84"/>
    <w:rsid w:val="00D879D7"/>
    <w:rsid w:val="00D92C75"/>
    <w:rsid w:val="00D93350"/>
    <w:rsid w:val="00D9435A"/>
    <w:rsid w:val="00D95949"/>
    <w:rsid w:val="00D96EA5"/>
    <w:rsid w:val="00D974E1"/>
    <w:rsid w:val="00DA0BBC"/>
    <w:rsid w:val="00DA2A24"/>
    <w:rsid w:val="00DA3426"/>
    <w:rsid w:val="00DA3C45"/>
    <w:rsid w:val="00DA7246"/>
    <w:rsid w:val="00DB011D"/>
    <w:rsid w:val="00DB5596"/>
    <w:rsid w:val="00DC0146"/>
    <w:rsid w:val="00DC2D81"/>
    <w:rsid w:val="00DC47DD"/>
    <w:rsid w:val="00DC5890"/>
    <w:rsid w:val="00DC747A"/>
    <w:rsid w:val="00DC7724"/>
    <w:rsid w:val="00DD0F7E"/>
    <w:rsid w:val="00DD4D7B"/>
    <w:rsid w:val="00DD7593"/>
    <w:rsid w:val="00DD77E2"/>
    <w:rsid w:val="00DE6334"/>
    <w:rsid w:val="00DE7757"/>
    <w:rsid w:val="00DF09AB"/>
    <w:rsid w:val="00DF09D7"/>
    <w:rsid w:val="00DF0B77"/>
    <w:rsid w:val="00DF1FA6"/>
    <w:rsid w:val="00DF4CC3"/>
    <w:rsid w:val="00DF7195"/>
    <w:rsid w:val="00E015D1"/>
    <w:rsid w:val="00E03263"/>
    <w:rsid w:val="00E039EA"/>
    <w:rsid w:val="00E056DB"/>
    <w:rsid w:val="00E0700A"/>
    <w:rsid w:val="00E07CA9"/>
    <w:rsid w:val="00E1265F"/>
    <w:rsid w:val="00E14EC7"/>
    <w:rsid w:val="00E16401"/>
    <w:rsid w:val="00E2101D"/>
    <w:rsid w:val="00E23217"/>
    <w:rsid w:val="00E2482A"/>
    <w:rsid w:val="00E26DC9"/>
    <w:rsid w:val="00E27BC4"/>
    <w:rsid w:val="00E30028"/>
    <w:rsid w:val="00E302A8"/>
    <w:rsid w:val="00E32376"/>
    <w:rsid w:val="00E33002"/>
    <w:rsid w:val="00E34125"/>
    <w:rsid w:val="00E34FD7"/>
    <w:rsid w:val="00E40576"/>
    <w:rsid w:val="00E40D74"/>
    <w:rsid w:val="00E41D25"/>
    <w:rsid w:val="00E424B4"/>
    <w:rsid w:val="00E4551B"/>
    <w:rsid w:val="00E47223"/>
    <w:rsid w:val="00E511ED"/>
    <w:rsid w:val="00E52CF5"/>
    <w:rsid w:val="00E533AE"/>
    <w:rsid w:val="00E567E9"/>
    <w:rsid w:val="00E56CFD"/>
    <w:rsid w:val="00E56E98"/>
    <w:rsid w:val="00E63506"/>
    <w:rsid w:val="00E6621F"/>
    <w:rsid w:val="00E67191"/>
    <w:rsid w:val="00E72060"/>
    <w:rsid w:val="00E76C85"/>
    <w:rsid w:val="00E84159"/>
    <w:rsid w:val="00E84A8B"/>
    <w:rsid w:val="00E8652A"/>
    <w:rsid w:val="00E90DBC"/>
    <w:rsid w:val="00E9116A"/>
    <w:rsid w:val="00E96D66"/>
    <w:rsid w:val="00E974DE"/>
    <w:rsid w:val="00EA15CF"/>
    <w:rsid w:val="00EA1808"/>
    <w:rsid w:val="00EA2783"/>
    <w:rsid w:val="00EA27D0"/>
    <w:rsid w:val="00EA6247"/>
    <w:rsid w:val="00EA6A13"/>
    <w:rsid w:val="00EB15F2"/>
    <w:rsid w:val="00EB385A"/>
    <w:rsid w:val="00EB3D20"/>
    <w:rsid w:val="00EB5F8E"/>
    <w:rsid w:val="00EB7103"/>
    <w:rsid w:val="00EC0E29"/>
    <w:rsid w:val="00EC3FB4"/>
    <w:rsid w:val="00EC4166"/>
    <w:rsid w:val="00EC57BC"/>
    <w:rsid w:val="00EC7A58"/>
    <w:rsid w:val="00ED162E"/>
    <w:rsid w:val="00ED2950"/>
    <w:rsid w:val="00ED33FC"/>
    <w:rsid w:val="00ED3A81"/>
    <w:rsid w:val="00ED5946"/>
    <w:rsid w:val="00ED5A9F"/>
    <w:rsid w:val="00EE30C6"/>
    <w:rsid w:val="00EE35C9"/>
    <w:rsid w:val="00EE3EC4"/>
    <w:rsid w:val="00EE545F"/>
    <w:rsid w:val="00EE5834"/>
    <w:rsid w:val="00EE58E9"/>
    <w:rsid w:val="00EE7AA6"/>
    <w:rsid w:val="00EF015B"/>
    <w:rsid w:val="00EF1205"/>
    <w:rsid w:val="00EF2A1F"/>
    <w:rsid w:val="00EF360C"/>
    <w:rsid w:val="00EF48A1"/>
    <w:rsid w:val="00EF4A1E"/>
    <w:rsid w:val="00EF5006"/>
    <w:rsid w:val="00EF5D1C"/>
    <w:rsid w:val="00F008B1"/>
    <w:rsid w:val="00F00DBC"/>
    <w:rsid w:val="00F018A4"/>
    <w:rsid w:val="00F061A4"/>
    <w:rsid w:val="00F148F1"/>
    <w:rsid w:val="00F16C61"/>
    <w:rsid w:val="00F16EDD"/>
    <w:rsid w:val="00F171A9"/>
    <w:rsid w:val="00F17E64"/>
    <w:rsid w:val="00F2054F"/>
    <w:rsid w:val="00F24438"/>
    <w:rsid w:val="00F273D4"/>
    <w:rsid w:val="00F3016C"/>
    <w:rsid w:val="00F31B3F"/>
    <w:rsid w:val="00F336BB"/>
    <w:rsid w:val="00F44DDF"/>
    <w:rsid w:val="00F45CB9"/>
    <w:rsid w:val="00F4767C"/>
    <w:rsid w:val="00F56EA4"/>
    <w:rsid w:val="00F62F29"/>
    <w:rsid w:val="00F65E26"/>
    <w:rsid w:val="00F66299"/>
    <w:rsid w:val="00F72660"/>
    <w:rsid w:val="00F7335A"/>
    <w:rsid w:val="00F73514"/>
    <w:rsid w:val="00F737AE"/>
    <w:rsid w:val="00F769C4"/>
    <w:rsid w:val="00F80195"/>
    <w:rsid w:val="00F80720"/>
    <w:rsid w:val="00F82674"/>
    <w:rsid w:val="00F86784"/>
    <w:rsid w:val="00F93B79"/>
    <w:rsid w:val="00F951C2"/>
    <w:rsid w:val="00F96803"/>
    <w:rsid w:val="00FA5025"/>
    <w:rsid w:val="00FA57A1"/>
    <w:rsid w:val="00FA7E2B"/>
    <w:rsid w:val="00FB1E9E"/>
    <w:rsid w:val="00FB4993"/>
    <w:rsid w:val="00FB49E8"/>
    <w:rsid w:val="00FB7D16"/>
    <w:rsid w:val="00FC2C7F"/>
    <w:rsid w:val="00FC55AC"/>
    <w:rsid w:val="00FD0134"/>
    <w:rsid w:val="00FD1818"/>
    <w:rsid w:val="00FD5BFA"/>
    <w:rsid w:val="00FD79E8"/>
    <w:rsid w:val="00FE277C"/>
    <w:rsid w:val="00FE5AAF"/>
    <w:rsid w:val="00FE5B37"/>
    <w:rsid w:val="00FF214F"/>
    <w:rsid w:val="00FF3F72"/>
    <w:rsid w:val="00FF4B3C"/>
    <w:rsid w:val="04F419D9"/>
    <w:rsid w:val="05EB2641"/>
    <w:rsid w:val="079A2388"/>
    <w:rsid w:val="08E97AAB"/>
    <w:rsid w:val="09272E13"/>
    <w:rsid w:val="0E383970"/>
    <w:rsid w:val="123E0DFD"/>
    <w:rsid w:val="12BA2945"/>
    <w:rsid w:val="14193B86"/>
    <w:rsid w:val="178D44B2"/>
    <w:rsid w:val="17E85AC5"/>
    <w:rsid w:val="181F06C4"/>
    <w:rsid w:val="1A7A5DFE"/>
    <w:rsid w:val="1B221A8F"/>
    <w:rsid w:val="1BE1444C"/>
    <w:rsid w:val="20481D81"/>
    <w:rsid w:val="21E914AE"/>
    <w:rsid w:val="229A2A9C"/>
    <w:rsid w:val="22C45F12"/>
    <w:rsid w:val="23C358BC"/>
    <w:rsid w:val="25684A36"/>
    <w:rsid w:val="27BA2F3E"/>
    <w:rsid w:val="28665E9B"/>
    <w:rsid w:val="28C433F0"/>
    <w:rsid w:val="2AE56F78"/>
    <w:rsid w:val="2B6B7E4B"/>
    <w:rsid w:val="2D260121"/>
    <w:rsid w:val="30347DA4"/>
    <w:rsid w:val="341B4C51"/>
    <w:rsid w:val="34B47CB0"/>
    <w:rsid w:val="395E321B"/>
    <w:rsid w:val="3B1D4AC9"/>
    <w:rsid w:val="3CE93C7A"/>
    <w:rsid w:val="3D0657A9"/>
    <w:rsid w:val="3D41637D"/>
    <w:rsid w:val="3FB9F8EF"/>
    <w:rsid w:val="40402A78"/>
    <w:rsid w:val="424741EF"/>
    <w:rsid w:val="44071E88"/>
    <w:rsid w:val="45636201"/>
    <w:rsid w:val="475D1BA0"/>
    <w:rsid w:val="48DC15DD"/>
    <w:rsid w:val="4A314103"/>
    <w:rsid w:val="4A5B2F2E"/>
    <w:rsid w:val="4D4E302E"/>
    <w:rsid w:val="53E60FE1"/>
    <w:rsid w:val="5423223A"/>
    <w:rsid w:val="557931CB"/>
    <w:rsid w:val="55B41744"/>
    <w:rsid w:val="55EC41E9"/>
    <w:rsid w:val="58627B7D"/>
    <w:rsid w:val="5CAD6B66"/>
    <w:rsid w:val="5DD5F374"/>
    <w:rsid w:val="5F4872DE"/>
    <w:rsid w:val="5FBEF338"/>
    <w:rsid w:val="677243C5"/>
    <w:rsid w:val="67DEFC06"/>
    <w:rsid w:val="67F36E11"/>
    <w:rsid w:val="68DD6BBF"/>
    <w:rsid w:val="6A8C58DC"/>
    <w:rsid w:val="6B850746"/>
    <w:rsid w:val="6E6E2FB9"/>
    <w:rsid w:val="6F645694"/>
    <w:rsid w:val="6FF70359"/>
    <w:rsid w:val="70853044"/>
    <w:rsid w:val="714F08C1"/>
    <w:rsid w:val="73035041"/>
    <w:rsid w:val="79EF6B22"/>
    <w:rsid w:val="7A367332"/>
    <w:rsid w:val="7E3C65F7"/>
    <w:rsid w:val="7F183EFE"/>
    <w:rsid w:val="7F283EAC"/>
    <w:rsid w:val="7F5F10F3"/>
    <w:rsid w:val="7F64E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05B108-990C-41E8-A72E-C0452CE4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Indent"/>
    <w:basedOn w:val="a"/>
    <w:link w:val="a8"/>
    <w:qFormat/>
    <w:pPr>
      <w:spacing w:line="400" w:lineRule="exact"/>
      <w:ind w:firstLineChars="192" w:firstLine="538"/>
    </w:pPr>
    <w:rPr>
      <w:rFonts w:ascii="仿宋_GB2312" w:eastAsia="仿宋_GB2312" w:hAnsi="宋体"/>
      <w:color w:val="000000"/>
      <w:sz w:val="28"/>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a9">
    <w:name w:val="Plain Text"/>
    <w:basedOn w:val="a"/>
    <w:qFormat/>
    <w:rPr>
      <w:rFonts w:ascii="宋体" w:hAnsi="Courier New"/>
      <w:szCs w:val="21"/>
    </w:rPr>
  </w:style>
  <w:style w:type="paragraph" w:styleId="8">
    <w:name w:val="toc 8"/>
    <w:basedOn w:val="a"/>
    <w:next w:val="a"/>
    <w:semiHidden/>
    <w:qFormat/>
    <w:pPr>
      <w:ind w:leftChars="1400" w:left="2940"/>
    </w:pPr>
  </w:style>
  <w:style w:type="paragraph" w:styleId="2">
    <w:name w:val="Body Text Indent 2"/>
    <w:basedOn w:val="a"/>
    <w:qFormat/>
    <w:pPr>
      <w:tabs>
        <w:tab w:val="left" w:pos="540"/>
      </w:tabs>
      <w:ind w:left="540" w:firstLine="540"/>
    </w:pPr>
    <w:rPr>
      <w:rFonts w:eastAsia="长城仿宋"/>
      <w:sz w:val="24"/>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ind w:left="360" w:firstLine="540"/>
    </w:pPr>
    <w:rPr>
      <w:rFonts w:eastAsia="长城仿宋"/>
      <w:sz w:val="24"/>
      <w:szCs w:val="20"/>
    </w:rPr>
  </w:style>
  <w:style w:type="paragraph" w:styleId="20">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1">
    <w:name w:val="Body Text 2"/>
    <w:basedOn w:val="a"/>
    <w:qFormat/>
    <w:pPr>
      <w:spacing w:after="120" w:line="480" w:lineRule="auto"/>
    </w:pPr>
  </w:style>
  <w:style w:type="paragraph" w:styleId="ad">
    <w:name w:val="Normal (Web)"/>
    <w:basedOn w:val="a"/>
    <w:qFormat/>
    <w:rPr>
      <w:sz w:val="24"/>
    </w:rPr>
  </w:style>
  <w:style w:type="paragraph" w:styleId="ae">
    <w:name w:val="annotation subject"/>
    <w:basedOn w:val="a5"/>
    <w:next w:val="a5"/>
    <w:link w:val="af"/>
    <w:qFormat/>
    <w:rPr>
      <w:b/>
      <w:bCs/>
    </w:rPr>
  </w:style>
  <w:style w:type="character" w:styleId="af0">
    <w:name w:val="page number"/>
    <w:basedOn w:val="a0"/>
    <w:qFormat/>
  </w:style>
  <w:style w:type="character" w:styleId="af1">
    <w:name w:val="Hyperlink"/>
    <w:qFormat/>
    <w:rPr>
      <w:color w:val="0000FF"/>
      <w:u w:val="single"/>
    </w:rPr>
  </w:style>
  <w:style w:type="character" w:styleId="af2">
    <w:name w:val="annotation reference"/>
    <w:qFormat/>
    <w:rPr>
      <w:sz w:val="21"/>
      <w:szCs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Style30">
    <w:name w:val="_Style 30"/>
    <w:hidden/>
    <w:uiPriority w:val="99"/>
    <w:semiHidden/>
    <w:qFormat/>
    <w:rPr>
      <w:kern w:val="2"/>
      <w:sz w:val="21"/>
      <w:szCs w:val="24"/>
    </w:rPr>
  </w:style>
  <w:style w:type="character" w:customStyle="1" w:styleId="unnamed11">
    <w:name w:val="unnamed11"/>
    <w:qFormat/>
    <w:rPr>
      <w:rFonts w:ascii="宋体" w:eastAsia="宋体" w:hAnsi="宋体" w:hint="eastAsia"/>
      <w:sz w:val="18"/>
    </w:rPr>
  </w:style>
  <w:style w:type="paragraph" w:customStyle="1" w:styleId="CharChar">
    <w:name w:val="Char Char"/>
    <w:basedOn w:val="a"/>
    <w:qFormat/>
    <w:rPr>
      <w:szCs w:val="20"/>
    </w:rPr>
  </w:style>
  <w:style w:type="character" w:customStyle="1" w:styleId="a6">
    <w:name w:val="批注文字 字符"/>
    <w:link w:val="a5"/>
    <w:qFormat/>
    <w:rPr>
      <w:kern w:val="2"/>
      <w:sz w:val="21"/>
      <w:szCs w:val="24"/>
    </w:rPr>
  </w:style>
  <w:style w:type="character" w:customStyle="1" w:styleId="af">
    <w:name w:val="批注主题 字符"/>
    <w:link w:val="ae"/>
    <w:qFormat/>
    <w:rPr>
      <w:b/>
      <w:bCs/>
      <w:kern w:val="2"/>
      <w:sz w:val="21"/>
      <w:szCs w:val="24"/>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a8">
    <w:name w:val="正文文本缩进 字符"/>
    <w:basedOn w:val="a0"/>
    <w:link w:val="a7"/>
    <w:qFormat/>
    <w:rPr>
      <w:rFonts w:ascii="仿宋_GB2312" w:eastAsia="仿宋_GB2312" w:hAnsi="宋体" w:cs="仿宋_GB2312" w:hint="eastAsia"/>
      <w:color w:val="000000"/>
      <w:kern w:val="2"/>
      <w:sz w:val="28"/>
      <w:szCs w:val="24"/>
    </w:rPr>
  </w:style>
  <w:style w:type="paragraph" w:customStyle="1" w:styleId="12">
    <w:name w:val="修订1"/>
    <w:hidden/>
    <w:uiPriority w:val="99"/>
    <w:unhideWhenUsed/>
    <w:qFormat/>
    <w:rPr>
      <w:kern w:val="2"/>
      <w:sz w:val="21"/>
      <w:szCs w:val="24"/>
    </w:rPr>
  </w:style>
  <w:style w:type="paragraph" w:styleId="af3">
    <w:name w:val="Revision"/>
    <w:hidden/>
    <w:uiPriority w:val="99"/>
    <w:semiHidden/>
    <w:rsid w:val="00E56C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3195</Words>
  <Characters>18213</Characters>
  <Application>Microsoft Office Word</Application>
  <DocSecurity>0</DocSecurity>
  <Lines>151</Lines>
  <Paragraphs>42</Paragraphs>
  <ScaleCrop>false</ScaleCrop>
  <Company>EastHome</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金鹰成份股优选证券投资基金托管协议</dc:title>
  <dc:creator>user</dc:creator>
  <cp:lastModifiedBy>张婕茹</cp:lastModifiedBy>
  <cp:revision>14</cp:revision>
  <cp:lastPrinted>2019-04-17T14:45:00Z</cp:lastPrinted>
  <dcterms:created xsi:type="dcterms:W3CDTF">2026-01-07T13:19:00Z</dcterms:created>
  <dcterms:modified xsi:type="dcterms:W3CDTF">2026-04-08T08:46:00Z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2DAB86641C7940D88057C7FDBF86105B</vt:lpwstr>
  </property>
  <property fmtid="{D5CDD505-2E9C-101B-9397-08002B2CF9AE}" pid="4" name="KSOTemplateDocerSaveRecord">
    <vt:lpwstr>eyJoZGlkIjoiYmJlMTM1OTQzNjc4MDU2M2Q4N2QwZWU0ZjYyZTMyZmIiLCJ1c2VySWQiOiI2NTE1MDQyNjQifQ==</vt:lpwstr>
  </property>
</Properties>
</file>