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63914" w14:textId="7E46A910" w:rsidR="001932F7" w:rsidRDefault="00E87C32">
      <w:pPr>
        <w:spacing w:before="50" w:after="50" w:line="360" w:lineRule="auto"/>
        <w:jc w:val="center"/>
        <w:outlineLvl w:val="0"/>
        <w:rPr>
          <w:rFonts w:ascii="宋体" w:hAnsi="宋体"/>
          <w:b/>
          <w:bCs/>
          <w:sz w:val="28"/>
          <w:szCs w:val="28"/>
        </w:rPr>
      </w:pPr>
      <w:r>
        <w:rPr>
          <w:rFonts w:ascii="宋体" w:hAnsi="宋体" w:cs="宋体" w:hint="eastAsia"/>
          <w:b/>
          <w:bCs/>
          <w:sz w:val="28"/>
          <w:szCs w:val="28"/>
        </w:rPr>
        <w:t>交银施罗德智远量化选股股票型发起式证券投资基金基金份额发售公告</w:t>
      </w:r>
    </w:p>
    <w:p w14:paraId="11A8AACE" w14:textId="77777777" w:rsidR="001932F7" w:rsidRDefault="001932F7">
      <w:pPr>
        <w:adjustRightInd w:val="0"/>
        <w:snapToGrid w:val="0"/>
        <w:spacing w:before="120" w:line="360" w:lineRule="auto"/>
        <w:jc w:val="center"/>
        <w:rPr>
          <w:rFonts w:ascii="宋体" w:hAnsi="宋体"/>
          <w:b/>
          <w:sz w:val="24"/>
        </w:rPr>
      </w:pPr>
    </w:p>
    <w:p w14:paraId="0EAD61F4" w14:textId="77777777" w:rsidR="001932F7" w:rsidRDefault="00E87C32">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2C937B33" w14:textId="204E2719" w:rsidR="001932F7" w:rsidRDefault="00E87C32">
      <w:pPr>
        <w:adjustRightInd w:val="0"/>
        <w:snapToGrid w:val="0"/>
        <w:spacing w:line="360" w:lineRule="auto"/>
        <w:ind w:firstLineChars="200" w:firstLine="480"/>
        <w:rPr>
          <w:rFonts w:hAnsi="宋体"/>
          <w:sz w:val="24"/>
        </w:rPr>
      </w:pPr>
      <w:r>
        <w:rPr>
          <w:sz w:val="24"/>
        </w:rPr>
        <w:t>1</w:t>
      </w:r>
      <w:r>
        <w:rPr>
          <w:rFonts w:hAnsi="宋体"/>
          <w:sz w:val="24"/>
        </w:rPr>
        <w:t>、</w:t>
      </w:r>
      <w:r>
        <w:rPr>
          <w:rFonts w:hAnsi="宋体" w:hint="eastAsia"/>
          <w:sz w:val="24"/>
        </w:rPr>
        <w:t>交银施罗德智远量化选股股票型发起式证券投资基金</w:t>
      </w:r>
      <w:r>
        <w:rPr>
          <w:rFonts w:hAnsi="宋体"/>
          <w:sz w:val="24"/>
        </w:rPr>
        <w:t>（以下简称“本基金”）的募集已获中国证券监督管理委员会（以下简称“中国证监会”）证监许可【</w:t>
      </w:r>
      <w:r>
        <w:rPr>
          <w:rFonts w:hAnsi="宋体" w:hint="eastAsia"/>
          <w:sz w:val="24"/>
        </w:rPr>
        <w:t>2026</w:t>
      </w:r>
      <w:r>
        <w:rPr>
          <w:rFonts w:hAnsi="宋体"/>
          <w:sz w:val="24"/>
        </w:rPr>
        <w:t>】</w:t>
      </w:r>
      <w:r>
        <w:rPr>
          <w:rFonts w:hAnsi="宋体"/>
          <w:sz w:val="24"/>
        </w:rPr>
        <w:t>687</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和市场前景作出实质性判断、推荐或者保证。</w:t>
      </w:r>
    </w:p>
    <w:p w14:paraId="30EA17CA" w14:textId="713EB455" w:rsidR="001932F7" w:rsidRDefault="00E87C32">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Pr>
          <w:rFonts w:hAnsi="宋体" w:hint="eastAsia"/>
          <w:sz w:val="24"/>
        </w:rPr>
        <w:t>股票型</w:t>
      </w:r>
      <w:r>
        <w:rPr>
          <w:rFonts w:hAnsi="宋体"/>
          <w:sz w:val="24"/>
        </w:rPr>
        <w:t>证券投资基金。</w:t>
      </w:r>
      <w:r>
        <w:rPr>
          <w:rFonts w:hAnsi="宋体" w:hint="eastAsia"/>
          <w:sz w:val="24"/>
        </w:rPr>
        <w:t>本基金为发起式基金，其中，发起资金提供方认购本基金的总金额不少于</w:t>
      </w:r>
      <w:r>
        <w:rPr>
          <w:rFonts w:hAnsi="宋体" w:hint="eastAsia"/>
          <w:sz w:val="24"/>
        </w:rPr>
        <w:t>1000</w:t>
      </w:r>
      <w:r>
        <w:rPr>
          <w:rFonts w:hAnsi="宋体" w:hint="eastAsia"/>
          <w:sz w:val="24"/>
        </w:rPr>
        <w:t>万元人民币，且持有期限自基金合同生效之日起不少于</w:t>
      </w:r>
      <w:r>
        <w:rPr>
          <w:rFonts w:hAnsi="宋体" w:hint="eastAsia"/>
          <w:sz w:val="24"/>
        </w:rPr>
        <w:t>3</w:t>
      </w:r>
      <w:r>
        <w:rPr>
          <w:rFonts w:hAnsi="宋体" w:hint="eastAsia"/>
          <w:sz w:val="24"/>
        </w:rPr>
        <w:t>年，法律法规和监管机构另有规定的除外。</w:t>
      </w:r>
    </w:p>
    <w:p w14:paraId="1F9F6612" w14:textId="0D99214F" w:rsidR="001932F7" w:rsidRDefault="00E87C32">
      <w:pPr>
        <w:adjustRightInd w:val="0"/>
        <w:snapToGrid w:val="0"/>
        <w:spacing w:line="360" w:lineRule="auto"/>
        <w:ind w:firstLineChars="200" w:firstLine="480"/>
        <w:rPr>
          <w:rFonts w:hAnsi="宋体"/>
          <w:sz w:val="24"/>
        </w:rPr>
      </w:pPr>
      <w:r>
        <w:rPr>
          <w:rFonts w:hint="eastAsia"/>
          <w:sz w:val="24"/>
        </w:rPr>
        <w:t>3</w:t>
      </w:r>
      <w:r>
        <w:rPr>
          <w:rFonts w:hint="eastAsia"/>
          <w:sz w:val="24"/>
        </w:rPr>
        <w:t>、</w:t>
      </w:r>
      <w:r>
        <w:rPr>
          <w:rFonts w:hAnsi="宋体"/>
          <w:sz w:val="24"/>
        </w:rPr>
        <w:t>本基金的管理人为交银施罗德基金管理有限公司（以下使用全称或其简称“本公司”），托管人为</w:t>
      </w:r>
      <w:r>
        <w:rPr>
          <w:rFonts w:hAnsi="宋体" w:hint="eastAsia"/>
          <w:sz w:val="24"/>
        </w:rPr>
        <w:t>中国银行股份有限公司</w:t>
      </w:r>
      <w:r>
        <w:rPr>
          <w:rFonts w:hAnsi="宋体"/>
          <w:sz w:val="24"/>
        </w:rPr>
        <w:t>，登记机构为</w:t>
      </w:r>
      <w:r>
        <w:rPr>
          <w:rFonts w:hAnsi="宋体" w:hint="eastAsia"/>
          <w:sz w:val="24"/>
        </w:rPr>
        <w:t>本</w:t>
      </w:r>
      <w:r>
        <w:rPr>
          <w:rFonts w:hAnsi="宋体"/>
          <w:sz w:val="24"/>
        </w:rPr>
        <w:t>公司。</w:t>
      </w:r>
    </w:p>
    <w:p w14:paraId="7D91E02A" w14:textId="35759D78" w:rsidR="001932F7" w:rsidRDefault="00E87C32">
      <w:pPr>
        <w:adjustRightInd w:val="0"/>
        <w:snapToGrid w:val="0"/>
        <w:spacing w:line="360" w:lineRule="auto"/>
        <w:ind w:firstLineChars="200" w:firstLine="480"/>
        <w:rPr>
          <w:rFonts w:ascii="宋体" w:hAnsi="宋体"/>
          <w:sz w:val="24"/>
        </w:rPr>
      </w:pPr>
      <w:r>
        <w:rPr>
          <w:rFonts w:hAnsi="宋体" w:hint="eastAsia"/>
          <w:sz w:val="24"/>
        </w:rPr>
        <w:t>4</w:t>
      </w:r>
      <w:r>
        <w:rPr>
          <w:rFonts w:hAnsi="宋体" w:hint="eastAsia"/>
          <w:sz w:val="24"/>
        </w:rPr>
        <w:t>、</w:t>
      </w:r>
      <w:r>
        <w:rPr>
          <w:rFonts w:ascii="宋体" w:hAnsi="宋体" w:hint="eastAsia"/>
          <w:sz w:val="24"/>
        </w:rPr>
        <w:t>投资者可以通过基金管理人的直销机构即基金管理人直销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和除基金管理人之外的其他销售机构（以下或称“其他销售机构”）认购本基金。</w:t>
      </w:r>
      <w:r>
        <w:rPr>
          <w:rFonts w:ascii="宋体" w:hAnsi="宋体"/>
          <w:sz w:val="24"/>
        </w:rPr>
        <w:t>本公告中如无特别说明，销售机构即指直销机构和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w:t>
      </w:r>
    </w:p>
    <w:p w14:paraId="3A0BAA18" w14:textId="77777777" w:rsidR="001932F7" w:rsidRDefault="00E87C32">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基金管理人可根据有关法律法规的要求，选择其他符合要求的机构销售本基金。除法律法规另有规定外，任何与基金份额发售有关的当事人不得提前发售基金份额。</w:t>
      </w:r>
    </w:p>
    <w:p w14:paraId="6C891E01" w14:textId="70AE5F94" w:rsidR="001932F7" w:rsidRDefault="00E87C32">
      <w:pPr>
        <w:adjustRightInd w:val="0"/>
        <w:snapToGrid w:val="0"/>
        <w:spacing w:line="360" w:lineRule="auto"/>
        <w:ind w:firstLineChars="200" w:firstLine="480"/>
        <w:rPr>
          <w:sz w:val="24"/>
        </w:rPr>
      </w:pPr>
      <w:r>
        <w:rPr>
          <w:sz w:val="24"/>
        </w:rPr>
        <w:t>5</w:t>
      </w:r>
      <w:r>
        <w:rPr>
          <w:rFonts w:hAnsi="宋体"/>
          <w:sz w:val="24"/>
        </w:rPr>
        <w:t>、基金募集期：本基金自</w:t>
      </w:r>
      <w:r>
        <w:rPr>
          <w:rFonts w:hint="eastAsia"/>
          <w:sz w:val="24"/>
        </w:rPr>
        <w:t>2026</w:t>
      </w:r>
      <w:r>
        <w:rPr>
          <w:rFonts w:hint="eastAsia"/>
          <w:sz w:val="24"/>
        </w:rPr>
        <w:t>年</w:t>
      </w:r>
      <w:r w:rsidR="00020878">
        <w:rPr>
          <w:sz w:val="24"/>
        </w:rPr>
        <w:t>5</w:t>
      </w:r>
      <w:r>
        <w:rPr>
          <w:rFonts w:hint="eastAsia"/>
          <w:sz w:val="24"/>
        </w:rPr>
        <w:t>月</w:t>
      </w:r>
      <w:r w:rsidR="00020878">
        <w:rPr>
          <w:sz w:val="24"/>
        </w:rPr>
        <w:t>6</w:t>
      </w:r>
      <w:r>
        <w:rPr>
          <w:rFonts w:hint="eastAsia"/>
          <w:sz w:val="24"/>
        </w:rPr>
        <w:t>日起至</w:t>
      </w:r>
      <w:r>
        <w:rPr>
          <w:rFonts w:hint="eastAsia"/>
          <w:sz w:val="24"/>
        </w:rPr>
        <w:t>2026</w:t>
      </w:r>
      <w:r>
        <w:rPr>
          <w:rFonts w:hint="eastAsia"/>
          <w:sz w:val="24"/>
        </w:rPr>
        <w:t>年</w:t>
      </w:r>
      <w:r w:rsidR="00020878">
        <w:rPr>
          <w:sz w:val="24"/>
        </w:rPr>
        <w:t>5</w:t>
      </w:r>
      <w:r>
        <w:rPr>
          <w:rFonts w:hint="eastAsia"/>
          <w:sz w:val="24"/>
        </w:rPr>
        <w:t>月</w:t>
      </w:r>
      <w:r w:rsidR="00020878">
        <w:rPr>
          <w:sz w:val="24"/>
        </w:rPr>
        <w:t>29</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6350EA8C" w14:textId="6C95B084" w:rsidR="001932F7" w:rsidRDefault="00E87C32">
      <w:pPr>
        <w:autoSpaceDE w:val="0"/>
        <w:autoSpaceDN w:val="0"/>
        <w:adjustRightInd w:val="0"/>
        <w:snapToGrid w:val="0"/>
        <w:spacing w:line="360" w:lineRule="auto"/>
        <w:ind w:firstLineChars="200" w:firstLine="480"/>
        <w:rPr>
          <w:rFonts w:hAnsi="宋体"/>
          <w:sz w:val="24"/>
        </w:rPr>
      </w:pPr>
      <w:r>
        <w:rPr>
          <w:sz w:val="24"/>
        </w:rPr>
        <w:t>6</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int="eastAsia"/>
          <w:bCs/>
          <w:sz w:val="24"/>
        </w:rPr>
        <w:t>、发起资金提供方</w:t>
      </w:r>
      <w:r>
        <w:rPr>
          <w:rFonts w:hAnsi="宋体"/>
          <w:sz w:val="24"/>
        </w:rPr>
        <w:t>以及法律法规或中国证监</w:t>
      </w:r>
      <w:r>
        <w:rPr>
          <w:rFonts w:hAnsi="宋体"/>
          <w:sz w:val="24"/>
        </w:rPr>
        <w:lastRenderedPageBreak/>
        <w:t>会允许购买证券投资基金的其他投资人</w:t>
      </w:r>
      <w:r>
        <w:rPr>
          <w:rFonts w:hint="eastAsia"/>
          <w:color w:val="000000"/>
          <w:kern w:val="0"/>
          <w:sz w:val="24"/>
        </w:rPr>
        <w:t>（以下合称“投资人”或“投资者”）</w:t>
      </w:r>
      <w:r>
        <w:rPr>
          <w:rFonts w:hAnsi="宋体"/>
          <w:sz w:val="24"/>
        </w:rPr>
        <w:t>。</w:t>
      </w:r>
    </w:p>
    <w:p w14:paraId="3242E323" w14:textId="45A1AC9E" w:rsidR="001932F7" w:rsidRDefault="00E87C32">
      <w:pPr>
        <w:adjustRightInd w:val="0"/>
        <w:snapToGrid w:val="0"/>
        <w:spacing w:line="360" w:lineRule="auto"/>
        <w:ind w:firstLineChars="200" w:firstLine="480"/>
        <w:rPr>
          <w:rFonts w:hAnsi="宋体"/>
          <w:kern w:val="0"/>
          <w:sz w:val="24"/>
        </w:rPr>
      </w:pPr>
      <w:r>
        <w:rPr>
          <w:sz w:val="24"/>
        </w:rPr>
        <w:t>7</w:t>
      </w:r>
      <w:r>
        <w:rPr>
          <w:rFonts w:hAnsi="宋体"/>
          <w:sz w:val="24"/>
        </w:rPr>
        <w:t>、</w:t>
      </w:r>
      <w:r>
        <w:rPr>
          <w:rFonts w:hAnsi="宋体" w:hint="eastAsia"/>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4B108D3B" w14:textId="6667FC31" w:rsidR="001932F7" w:rsidRDefault="00E87C32">
      <w:pPr>
        <w:adjustRightInd w:val="0"/>
        <w:snapToGrid w:val="0"/>
        <w:spacing w:line="360" w:lineRule="auto"/>
        <w:ind w:firstLineChars="200" w:firstLine="480"/>
        <w:rPr>
          <w:sz w:val="24"/>
        </w:rPr>
      </w:pPr>
      <w:r>
        <w:rPr>
          <w:rFonts w:hAnsi="宋体"/>
          <w:kern w:val="0"/>
          <w:sz w:val="24"/>
        </w:rPr>
        <w:t>8</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14:paraId="5506F044" w14:textId="3E42D8FD" w:rsidR="001932F7" w:rsidRDefault="00E87C32">
      <w:pPr>
        <w:adjustRightInd w:val="0"/>
        <w:snapToGrid w:val="0"/>
        <w:spacing w:line="360" w:lineRule="auto"/>
        <w:ind w:firstLineChars="200" w:firstLine="480"/>
        <w:rPr>
          <w:sz w:val="24"/>
        </w:rPr>
      </w:pPr>
      <w:r>
        <w:rPr>
          <w:sz w:val="24"/>
        </w:rPr>
        <w:t>9</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063C46C2" w14:textId="28F12F46" w:rsidR="001932F7" w:rsidRDefault="00E87C32">
      <w:pPr>
        <w:adjustRightInd w:val="0"/>
        <w:snapToGrid w:val="0"/>
        <w:spacing w:line="360" w:lineRule="auto"/>
        <w:ind w:firstLineChars="200" w:firstLine="480"/>
        <w:rPr>
          <w:sz w:val="24"/>
        </w:rPr>
      </w:pPr>
      <w:r>
        <w:rPr>
          <w:rFonts w:hint="eastAsia"/>
          <w:sz w:val="24"/>
        </w:rPr>
        <w:t>1</w:t>
      </w:r>
      <w:r>
        <w:rPr>
          <w:sz w:val="24"/>
        </w:rPr>
        <w:t>0</w:t>
      </w:r>
      <w:r>
        <w:rPr>
          <w:rFonts w:hAnsi="宋体"/>
          <w:sz w:val="24"/>
        </w:rPr>
        <w:t>、本公告仅对本基金基金份额发售的有关事项和规定予以说明。投资者欲了解本基金的详细情况，请详细阅读</w:t>
      </w:r>
      <w:r>
        <w:rPr>
          <w:rFonts w:hAnsi="宋体" w:hint="eastAsia"/>
          <w:sz w:val="24"/>
        </w:rPr>
        <w:t>2026</w:t>
      </w:r>
      <w:r>
        <w:rPr>
          <w:rFonts w:hAnsi="宋体" w:hint="eastAsia"/>
          <w:sz w:val="24"/>
        </w:rPr>
        <w:t>年</w:t>
      </w:r>
      <w:r w:rsidR="003341DA">
        <w:rPr>
          <w:rFonts w:hAnsi="宋体"/>
          <w:sz w:val="24"/>
        </w:rPr>
        <w:t>4</w:t>
      </w:r>
      <w:r>
        <w:rPr>
          <w:rFonts w:hAnsi="宋体" w:hint="eastAsia"/>
          <w:sz w:val="24"/>
        </w:rPr>
        <w:t>月</w:t>
      </w:r>
      <w:r w:rsidR="003341DA">
        <w:rPr>
          <w:rFonts w:hAnsi="宋体"/>
          <w:sz w:val="24"/>
        </w:rPr>
        <w:t>29</w:t>
      </w:r>
      <w:r>
        <w:rPr>
          <w:rFonts w:hAnsi="宋体" w:hint="eastAsia"/>
          <w:sz w:val="24"/>
        </w:rPr>
        <w:t>日在本公司网站（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w:t>
      </w:r>
      <w:r>
        <w:rPr>
          <w:rFonts w:hAnsi="宋体" w:hint="eastAsia"/>
          <w:sz w:val="24"/>
        </w:rPr>
        <w:lastRenderedPageBreak/>
        <w:t>披露</w:t>
      </w:r>
      <w:r>
        <w:rPr>
          <w:rFonts w:hAnsi="宋体"/>
          <w:sz w:val="24"/>
        </w:rPr>
        <w:t>的</w:t>
      </w:r>
      <w:r>
        <w:rPr>
          <w:rFonts w:hAnsi="宋体" w:hint="eastAsia"/>
          <w:sz w:val="24"/>
        </w:rPr>
        <w:t>交银施罗德智远量化选股股票型发起式证券投资基金基金合同</w:t>
      </w:r>
      <w:r>
        <w:rPr>
          <w:rFonts w:hAnsi="宋体"/>
          <w:sz w:val="24"/>
        </w:rPr>
        <w:t>和招募说明书。</w:t>
      </w:r>
    </w:p>
    <w:p w14:paraId="51734316" w14:textId="47AF5AAF" w:rsidR="001932F7" w:rsidRDefault="00E87C32">
      <w:pPr>
        <w:adjustRightInd w:val="0"/>
        <w:snapToGrid w:val="0"/>
        <w:spacing w:line="360" w:lineRule="auto"/>
        <w:ind w:firstLineChars="200" w:firstLine="480"/>
        <w:rPr>
          <w:sz w:val="24"/>
        </w:rPr>
      </w:pPr>
      <w:r>
        <w:rPr>
          <w:rFonts w:hint="eastAsia"/>
          <w:sz w:val="24"/>
        </w:rPr>
        <w:t>1</w:t>
      </w:r>
      <w:r>
        <w:rPr>
          <w:sz w:val="24"/>
        </w:rPr>
        <w:t>1</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4DE18F30" w14:textId="2D36C5A4" w:rsidR="001932F7" w:rsidRDefault="00E87C32">
      <w:pPr>
        <w:adjustRightInd w:val="0"/>
        <w:snapToGrid w:val="0"/>
        <w:spacing w:line="360" w:lineRule="auto"/>
        <w:ind w:firstLineChars="200" w:firstLine="480"/>
        <w:rPr>
          <w:sz w:val="24"/>
        </w:rPr>
      </w:pPr>
      <w:r>
        <w:rPr>
          <w:rFonts w:hint="eastAsia"/>
          <w:sz w:val="24"/>
        </w:rPr>
        <w:t>1</w:t>
      </w:r>
      <w:r>
        <w:rPr>
          <w:sz w:val="24"/>
        </w:rPr>
        <w:t>2</w:t>
      </w:r>
      <w:r>
        <w:rPr>
          <w:rFonts w:hAnsi="宋体"/>
          <w:sz w:val="24"/>
        </w:rPr>
        <w:t>、销售机构的销售网点以及开户认购等事项的详细情况请向各销售机构咨询。</w:t>
      </w:r>
    </w:p>
    <w:p w14:paraId="613F095D" w14:textId="2948E4CB" w:rsidR="001932F7" w:rsidRDefault="00E87C32">
      <w:pPr>
        <w:adjustRightInd w:val="0"/>
        <w:snapToGrid w:val="0"/>
        <w:spacing w:line="360" w:lineRule="auto"/>
        <w:ind w:firstLineChars="200" w:firstLine="480"/>
        <w:rPr>
          <w:sz w:val="24"/>
        </w:rPr>
      </w:pPr>
      <w:r>
        <w:rPr>
          <w:rFonts w:hint="eastAsia"/>
          <w:sz w:val="24"/>
        </w:rPr>
        <w:t>1</w:t>
      </w:r>
      <w:r>
        <w:rPr>
          <w:sz w:val="24"/>
        </w:rPr>
        <w:t>3</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4A572853" w14:textId="6C7E0CC5" w:rsidR="001932F7" w:rsidRDefault="00E87C32">
      <w:pPr>
        <w:widowControl/>
        <w:adjustRightInd w:val="0"/>
        <w:snapToGrid w:val="0"/>
        <w:spacing w:line="360" w:lineRule="auto"/>
        <w:ind w:firstLineChars="200" w:firstLine="480"/>
        <w:rPr>
          <w:kern w:val="0"/>
          <w:sz w:val="24"/>
        </w:rPr>
      </w:pPr>
      <w:r>
        <w:rPr>
          <w:rFonts w:hint="eastAsia"/>
          <w:sz w:val="24"/>
        </w:rPr>
        <w:t>1</w:t>
      </w:r>
      <w:r>
        <w:rPr>
          <w:sz w:val="24"/>
        </w:rPr>
        <w:t>4</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0CB2D571" w14:textId="3ABCD748" w:rsidR="001932F7" w:rsidRDefault="00E87C32">
      <w:pPr>
        <w:adjustRightInd w:val="0"/>
        <w:snapToGrid w:val="0"/>
        <w:spacing w:line="360" w:lineRule="auto"/>
        <w:ind w:firstLineChars="200" w:firstLine="480"/>
        <w:rPr>
          <w:rFonts w:hAnsi="宋体"/>
          <w:sz w:val="24"/>
        </w:rPr>
      </w:pPr>
      <w:r>
        <w:rPr>
          <w:rFonts w:hint="eastAsia"/>
          <w:sz w:val="24"/>
        </w:rPr>
        <w:t>1</w:t>
      </w:r>
      <w:r>
        <w:rPr>
          <w:sz w:val="24"/>
        </w:rPr>
        <w:t>5</w:t>
      </w:r>
      <w:r>
        <w:rPr>
          <w:rFonts w:hAnsi="宋体"/>
          <w:sz w:val="24"/>
        </w:rPr>
        <w:t>、本公司可综合各种情况对募集安排做适当调整。</w:t>
      </w:r>
      <w:r>
        <w:rPr>
          <w:rFonts w:hAnsi="宋体" w:hint="eastAsia"/>
          <w:sz w:val="24"/>
        </w:rPr>
        <w:t>为稳定基金募集规模，本公司可</w:t>
      </w:r>
      <w:r>
        <w:rPr>
          <w:rFonts w:hAnsi="宋体"/>
          <w:sz w:val="24"/>
        </w:rPr>
        <w:t>综合各种情况对</w:t>
      </w:r>
      <w:r>
        <w:rPr>
          <w:rFonts w:hAnsi="宋体" w:hint="eastAsia"/>
          <w:sz w:val="24"/>
        </w:rPr>
        <w:t>基金</w:t>
      </w:r>
      <w:r>
        <w:rPr>
          <w:rFonts w:hAnsi="宋体"/>
          <w:sz w:val="24"/>
        </w:rPr>
        <w:t>募集规模上限进行设</w:t>
      </w:r>
      <w:r>
        <w:rPr>
          <w:rFonts w:hAnsi="宋体" w:hint="eastAsia"/>
          <w:sz w:val="24"/>
        </w:rPr>
        <w:t>定并予以公告。</w:t>
      </w:r>
    </w:p>
    <w:p w14:paraId="43B308FF" w14:textId="799BA66A" w:rsidR="001932F7" w:rsidRDefault="00E87C32">
      <w:pPr>
        <w:adjustRightInd w:val="0"/>
        <w:snapToGrid w:val="0"/>
        <w:spacing w:line="360" w:lineRule="auto"/>
        <w:ind w:firstLineChars="200" w:firstLine="480"/>
        <w:rPr>
          <w:sz w:val="24"/>
        </w:rPr>
      </w:pPr>
      <w:r>
        <w:rPr>
          <w:rFonts w:hint="eastAsia"/>
          <w:sz w:val="24"/>
        </w:rPr>
        <w:t>1</w:t>
      </w:r>
      <w:r>
        <w:rPr>
          <w:sz w:val="24"/>
        </w:rPr>
        <w:t>6</w:t>
      </w:r>
      <w:r>
        <w:rPr>
          <w:rFonts w:hAnsi="宋体"/>
          <w:sz w:val="24"/>
        </w:rPr>
        <w:t>、风险提示</w:t>
      </w:r>
    </w:p>
    <w:p w14:paraId="466CFA46" w14:textId="77777777" w:rsidR="001932F7" w:rsidRDefault="00E87C32">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5DCA2EE3" w14:textId="77777777" w:rsidR="001932F7" w:rsidRDefault="00E87C32">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基金在投资运作过程中可能面临各种风险，既包括市场风险，也包括基金自身的管理风险、技术风险和合规风险等。巨额赎回风险是开放式基金所特有的一种风险，即当本基金</w:t>
      </w:r>
      <w:r>
        <w:rPr>
          <w:rFonts w:hAnsi="宋体" w:hint="eastAsia"/>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sz w:val="24"/>
        </w:rPr>
        <w:t>，投资人将可能无法及时赎回持有的全部基金份额。</w:t>
      </w:r>
    </w:p>
    <w:p w14:paraId="3075A40A" w14:textId="77777777" w:rsidR="001932F7" w:rsidRDefault="00E87C32">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2C22EADA"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本基金是一只股票型基金，其预期风险和预期收益理论上高于混合型基金、债券型基金和货币市场基金。</w:t>
      </w:r>
    </w:p>
    <w:p w14:paraId="3D39DBB4"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6FAE6FDD"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12066B92"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B59844D"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w:t>
      </w:r>
      <w:r>
        <w:rPr>
          <w:rFonts w:hAnsi="宋体" w:hint="eastAsia"/>
          <w:kern w:val="0"/>
          <w:sz w:val="24"/>
        </w:rPr>
        <w:t>T+0</w:t>
      </w:r>
      <w:r>
        <w:rPr>
          <w:rFonts w:hAnsi="宋体" w:hint="eastAsia"/>
          <w:kern w:val="0"/>
          <w:sz w:val="24"/>
        </w:rPr>
        <w:t>回转交易，且对个股不设涨跌幅限制，港股股价可能表现出比</w:t>
      </w:r>
      <w:r>
        <w:rPr>
          <w:rFonts w:hAnsi="宋体" w:hint="eastAsia"/>
          <w:kern w:val="0"/>
          <w:sz w:val="24"/>
        </w:rPr>
        <w:t>A</w:t>
      </w:r>
      <w:r>
        <w:rPr>
          <w:rFonts w:hAnsi="宋体" w:hint="eastAsia"/>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14:paraId="543543A8" w14:textId="77777777" w:rsidR="001932F7" w:rsidRDefault="00E87C32">
      <w:pPr>
        <w:widowControl/>
        <w:adjustRightInd w:val="0"/>
        <w:snapToGrid w:val="0"/>
        <w:spacing w:line="360" w:lineRule="auto"/>
        <w:ind w:firstLineChars="200" w:firstLine="480"/>
        <w:rPr>
          <w:rFonts w:hAnsi="宋体"/>
          <w:bCs/>
          <w:sz w:val="24"/>
        </w:rPr>
      </w:pPr>
      <w:r>
        <w:rPr>
          <w:rFonts w:hAnsi="宋体" w:hint="eastAsia"/>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14:paraId="1A715B07"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09BDCA9A" w14:textId="77777777" w:rsidR="001932F7" w:rsidRDefault="00E87C32">
      <w:pPr>
        <w:widowControl/>
        <w:adjustRightInd w:val="0"/>
        <w:snapToGrid w:val="0"/>
        <w:spacing w:line="360" w:lineRule="auto"/>
        <w:ind w:firstLineChars="200" w:firstLine="480"/>
        <w:rPr>
          <w:rFonts w:hAnsi="宋体"/>
          <w:bCs/>
          <w:sz w:val="24"/>
        </w:rPr>
      </w:pPr>
      <w:r>
        <w:rPr>
          <w:rFonts w:hint="eastAsia"/>
          <w:bCs/>
          <w:sz w:val="24"/>
        </w:rPr>
        <w:t>本基金采用量化模型构建投资组合，量化模型仅是选股模型，并不基于量化模型进行高频交易。</w:t>
      </w:r>
      <w:r>
        <w:rPr>
          <w:rFonts w:ascii="宋体" w:hAnsi="宋体" w:cs="宋体"/>
          <w:sz w:val="24"/>
          <w:szCs w:val="24"/>
        </w:rPr>
        <w:t>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14:paraId="51122C1E" w14:textId="77777777" w:rsidR="001932F7" w:rsidRDefault="00E87C32">
      <w:pPr>
        <w:adjustRightInd w:val="0"/>
        <w:snapToGrid w:val="0"/>
        <w:spacing w:line="360" w:lineRule="auto"/>
        <w:ind w:firstLineChars="200" w:firstLine="480"/>
        <w:rPr>
          <w:rFonts w:hAnsi="宋体"/>
          <w:kern w:val="0"/>
          <w:sz w:val="24"/>
        </w:rPr>
      </w:pPr>
      <w:r>
        <w:rPr>
          <w:rFonts w:hAnsi="宋体" w:hint="eastAsia"/>
          <w:kern w:val="0"/>
          <w:sz w:val="24"/>
        </w:rPr>
        <w:t>本基金为发起式基金，《基金合同》生效之日起三年后的对应日，若基金资产净值低于</w:t>
      </w:r>
      <w:r>
        <w:rPr>
          <w:rFonts w:hAnsi="宋体" w:hint="eastAsia"/>
          <w:kern w:val="0"/>
          <w:sz w:val="24"/>
        </w:rPr>
        <w:t>2</w:t>
      </w:r>
      <w:r>
        <w:rPr>
          <w:rFonts w:hAnsi="宋体" w:hint="eastAsia"/>
          <w:kern w:val="0"/>
          <w:sz w:val="24"/>
        </w:rPr>
        <w:t>亿元，基金合同自动终止，且不得通过召开基金份额持有人大会的方式延续《基金合同》期限。因此，投资人可能面临基金合同自动终止的不确定性风险。</w:t>
      </w:r>
    </w:p>
    <w:p w14:paraId="41336140" w14:textId="77777777" w:rsidR="001932F7" w:rsidRDefault="00E87C32">
      <w:pPr>
        <w:adjustRightInd w:val="0"/>
        <w:snapToGrid w:val="0"/>
        <w:spacing w:line="360" w:lineRule="auto"/>
        <w:ind w:firstLineChars="200" w:firstLine="480"/>
        <w:rPr>
          <w:rFonts w:hAnsi="宋体"/>
          <w:kern w:val="0"/>
          <w:sz w:val="24"/>
        </w:rPr>
      </w:pPr>
      <w:r>
        <w:rPr>
          <w:rFonts w:hAnsi="宋体" w:hint="eastAsia"/>
          <w:kern w:val="0"/>
          <w:sz w:val="24"/>
        </w:rPr>
        <w:t>投资人应当认真阅读《基金合同》、《招募说明书》、</w:t>
      </w:r>
      <w:r>
        <w:rPr>
          <w:rFonts w:hAnsi="宋体"/>
          <w:kern w:val="0"/>
          <w:sz w:val="24"/>
        </w:rPr>
        <w:t>《</w:t>
      </w:r>
      <w:r>
        <w:rPr>
          <w:rFonts w:hAnsi="宋体" w:hint="eastAsia"/>
          <w:kern w:val="0"/>
          <w:sz w:val="24"/>
        </w:rPr>
        <w:t>基金</w:t>
      </w:r>
      <w:r>
        <w:rPr>
          <w:rFonts w:hAnsi="宋体"/>
          <w:kern w:val="0"/>
          <w:sz w:val="24"/>
        </w:rPr>
        <w:t>产品资料概要》</w:t>
      </w:r>
      <w:r>
        <w:rPr>
          <w:rFonts w:hAnsi="宋体" w:hint="eastAsia"/>
          <w:kern w:val="0"/>
          <w:sz w:val="24"/>
        </w:rPr>
        <w:t>等基金法律文件，了解基金的风险收益特征，并根据自身的投资目的、投资期限、投资经验、资产状况等判断基金是否和投资人的风险承受能力相适应。</w:t>
      </w:r>
    </w:p>
    <w:p w14:paraId="6B26B2BB" w14:textId="77777777" w:rsidR="001932F7" w:rsidRDefault="00E87C32">
      <w:pPr>
        <w:adjustRightInd w:val="0"/>
        <w:snapToGrid w:val="0"/>
        <w:spacing w:line="360" w:lineRule="auto"/>
        <w:ind w:firstLineChars="200" w:firstLine="480"/>
        <w:rPr>
          <w:rFonts w:hAnsi="宋体"/>
          <w:kern w:val="0"/>
          <w:sz w:val="24"/>
        </w:rPr>
      </w:pPr>
      <w:r>
        <w:rPr>
          <w:rFonts w:hAnsi="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46A3B202" w14:textId="77777777" w:rsidR="001932F7" w:rsidRDefault="00E87C32">
      <w:pPr>
        <w:adjustRightInd w:val="0"/>
        <w:snapToGrid w:val="0"/>
        <w:spacing w:line="360" w:lineRule="auto"/>
        <w:ind w:firstLineChars="200" w:firstLine="480"/>
        <w:rPr>
          <w:rFonts w:hAnsi="宋体"/>
          <w:kern w:val="0"/>
          <w:sz w:val="24"/>
        </w:rPr>
      </w:pPr>
      <w:r>
        <w:rPr>
          <w:rFonts w:hAnsi="宋体" w:hint="eastAsia"/>
          <w:kern w:val="0"/>
          <w:sz w:val="24"/>
        </w:rPr>
        <w:t>因拆分、分红等行为导致基金份额净值变化，不会改变基金的风险收益特征，不会降低基金投资风险或提高基金投资收益。以</w:t>
      </w:r>
      <w:r>
        <w:rPr>
          <w:rFonts w:hAnsi="宋体" w:hint="eastAsia"/>
          <w:kern w:val="0"/>
          <w:sz w:val="24"/>
        </w:rPr>
        <w:t>1</w:t>
      </w:r>
      <w:r>
        <w:rPr>
          <w:rFonts w:hAnsi="宋体" w:hint="eastAsia"/>
          <w:kern w:val="0"/>
          <w:sz w:val="24"/>
        </w:rPr>
        <w:t>元初始面值开展基金募集或因拆分、分红等行为导致基金份额净值调整至</w:t>
      </w:r>
      <w:r>
        <w:rPr>
          <w:rFonts w:hAnsi="宋体" w:hint="eastAsia"/>
          <w:kern w:val="0"/>
          <w:sz w:val="24"/>
        </w:rPr>
        <w:t>1</w:t>
      </w:r>
      <w:r>
        <w:rPr>
          <w:rFonts w:hAnsi="宋体" w:hint="eastAsia"/>
          <w:kern w:val="0"/>
          <w:sz w:val="24"/>
        </w:rPr>
        <w:t>元初始面值或</w:t>
      </w:r>
      <w:r>
        <w:rPr>
          <w:rFonts w:hAnsi="宋体" w:hint="eastAsia"/>
          <w:kern w:val="0"/>
          <w:sz w:val="24"/>
        </w:rPr>
        <w:t>1</w:t>
      </w:r>
      <w:r>
        <w:rPr>
          <w:rFonts w:hAnsi="宋体" w:hint="eastAsia"/>
          <w:kern w:val="0"/>
          <w:sz w:val="24"/>
        </w:rPr>
        <w:t>元附近，在市场波动等因素的影响下，基金投资仍有可能出现亏损或基金净值仍有可能低于初始面值。</w:t>
      </w:r>
    </w:p>
    <w:p w14:paraId="10F0DD28"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w:t>
      </w:r>
      <w:r>
        <w:rPr>
          <w:rFonts w:hAnsi="宋体" w:hint="eastAsia"/>
          <w:kern w:val="0"/>
          <w:sz w:val="24"/>
        </w:rPr>
        <w:lastRenderedPageBreak/>
        <w:t>负”原则，在做出投资决策后，基金运营状况与基金净值变化引致的投资风险，由投资人自行负担。</w:t>
      </w:r>
    </w:p>
    <w:p w14:paraId="036106A0" w14:textId="77777777" w:rsidR="001932F7" w:rsidRDefault="00E87C32">
      <w:pPr>
        <w:widowControl/>
        <w:adjustRightInd w:val="0"/>
        <w:snapToGrid w:val="0"/>
        <w:spacing w:line="360" w:lineRule="auto"/>
        <w:ind w:firstLineChars="200" w:firstLine="480"/>
        <w:rPr>
          <w:sz w:val="24"/>
        </w:rPr>
      </w:pPr>
      <w:r>
        <w:rPr>
          <w:rFonts w:hAnsi="宋体"/>
          <w:kern w:val="0"/>
          <w:sz w:val="24"/>
        </w:rPr>
        <w:t>投资人应当通过基金管理人或具有基金</w:t>
      </w:r>
      <w:r>
        <w:rPr>
          <w:rFonts w:hAnsi="宋体" w:hint="eastAsia"/>
          <w:kern w:val="0"/>
          <w:sz w:val="24"/>
        </w:rPr>
        <w:t>销售</w:t>
      </w:r>
      <w:r>
        <w:rPr>
          <w:rFonts w:hAnsi="宋体"/>
          <w:kern w:val="0"/>
          <w:sz w:val="24"/>
        </w:rPr>
        <w:t>业务资格的其他机构购买和赎回基金。</w:t>
      </w:r>
    </w:p>
    <w:p w14:paraId="3C47D95A" w14:textId="77777777" w:rsidR="001932F7" w:rsidRDefault="00E87C32">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2B6A3880" w14:textId="77777777" w:rsidR="001932F7" w:rsidRDefault="00E87C32">
      <w:pPr>
        <w:adjustRightInd w:val="0"/>
        <w:snapToGrid w:val="0"/>
        <w:spacing w:line="360" w:lineRule="auto"/>
        <w:ind w:firstLineChars="200" w:firstLine="480"/>
        <w:rPr>
          <w:rFonts w:hAnsi="宋体"/>
          <w:sz w:val="24"/>
        </w:rPr>
      </w:pPr>
      <w:r>
        <w:rPr>
          <w:rFonts w:hAnsi="宋体"/>
          <w:sz w:val="24"/>
        </w:rPr>
        <w:t>1</w:t>
      </w:r>
      <w:r>
        <w:rPr>
          <w:rFonts w:hAnsi="宋体"/>
          <w:sz w:val="24"/>
        </w:rPr>
        <w:t>、基金名称</w:t>
      </w:r>
    </w:p>
    <w:p w14:paraId="25064212" w14:textId="382CB8C8" w:rsidR="001932F7" w:rsidRDefault="00E87C32">
      <w:pPr>
        <w:adjustRightInd w:val="0"/>
        <w:snapToGrid w:val="0"/>
        <w:spacing w:line="360" w:lineRule="auto"/>
        <w:ind w:firstLineChars="200" w:firstLine="480"/>
        <w:rPr>
          <w:rFonts w:hAnsi="宋体"/>
          <w:sz w:val="24"/>
        </w:rPr>
      </w:pPr>
      <w:r>
        <w:rPr>
          <w:rFonts w:hAnsi="宋体" w:hint="eastAsia"/>
          <w:sz w:val="24"/>
        </w:rPr>
        <w:t>交银施罗德智远量化选股股票型发起式证券投资基金</w:t>
      </w:r>
    </w:p>
    <w:p w14:paraId="7C216F86" w14:textId="77777777" w:rsidR="001932F7" w:rsidRDefault="00E87C32">
      <w:pPr>
        <w:adjustRightInd w:val="0"/>
        <w:snapToGrid w:val="0"/>
        <w:spacing w:line="360" w:lineRule="auto"/>
        <w:ind w:firstLineChars="200" w:firstLine="480"/>
        <w:rPr>
          <w:rFonts w:hAnsi="宋体"/>
          <w:sz w:val="24"/>
        </w:rPr>
      </w:pPr>
      <w:r>
        <w:rPr>
          <w:rFonts w:hAnsi="宋体"/>
          <w:sz w:val="24"/>
        </w:rPr>
        <w:t>2</w:t>
      </w:r>
      <w:r>
        <w:rPr>
          <w:rFonts w:hAnsi="宋体"/>
          <w:sz w:val="24"/>
        </w:rPr>
        <w:t>、基金类型</w:t>
      </w:r>
    </w:p>
    <w:p w14:paraId="29C0505B" w14:textId="26B9B1EA" w:rsidR="001932F7" w:rsidRDefault="00E87C32">
      <w:pPr>
        <w:adjustRightInd w:val="0"/>
        <w:snapToGrid w:val="0"/>
        <w:spacing w:line="360" w:lineRule="auto"/>
        <w:ind w:firstLineChars="200" w:firstLine="480"/>
        <w:rPr>
          <w:rFonts w:hAnsi="宋体"/>
          <w:sz w:val="24"/>
        </w:rPr>
      </w:pPr>
      <w:r>
        <w:rPr>
          <w:rFonts w:hAnsi="宋体" w:hint="eastAsia"/>
          <w:sz w:val="24"/>
        </w:rPr>
        <w:t>股票型证券投资基金</w:t>
      </w:r>
    </w:p>
    <w:p w14:paraId="51D78375" w14:textId="77777777" w:rsidR="001932F7" w:rsidRDefault="00E87C32">
      <w:pPr>
        <w:adjustRightInd w:val="0"/>
        <w:snapToGrid w:val="0"/>
        <w:spacing w:line="360" w:lineRule="auto"/>
        <w:ind w:firstLineChars="200" w:firstLine="480"/>
        <w:rPr>
          <w:rFonts w:hAnsi="宋体"/>
          <w:sz w:val="24"/>
        </w:rPr>
      </w:pPr>
      <w:r>
        <w:rPr>
          <w:rFonts w:hAnsi="宋体"/>
          <w:sz w:val="24"/>
        </w:rPr>
        <w:t>3</w:t>
      </w:r>
      <w:r>
        <w:rPr>
          <w:rFonts w:hAnsi="宋体"/>
          <w:sz w:val="24"/>
        </w:rPr>
        <w:t>、运作方式</w:t>
      </w:r>
    </w:p>
    <w:p w14:paraId="53DAF585" w14:textId="77777777" w:rsidR="001932F7" w:rsidRDefault="00E87C32">
      <w:pPr>
        <w:adjustRightInd w:val="0"/>
        <w:snapToGrid w:val="0"/>
        <w:spacing w:line="360" w:lineRule="auto"/>
        <w:ind w:firstLineChars="200" w:firstLine="480"/>
        <w:rPr>
          <w:rFonts w:hAnsi="宋体"/>
          <w:sz w:val="24"/>
        </w:rPr>
      </w:pPr>
      <w:r>
        <w:rPr>
          <w:rFonts w:hAnsi="宋体" w:hint="eastAsia"/>
          <w:sz w:val="24"/>
        </w:rPr>
        <w:t>契约型开放式</w:t>
      </w:r>
    </w:p>
    <w:p w14:paraId="1209DD3D" w14:textId="77777777" w:rsidR="001932F7" w:rsidRDefault="00E87C32">
      <w:pPr>
        <w:adjustRightInd w:val="0"/>
        <w:snapToGrid w:val="0"/>
        <w:spacing w:line="360" w:lineRule="auto"/>
        <w:ind w:firstLineChars="200" w:firstLine="480"/>
        <w:rPr>
          <w:rFonts w:hAnsi="宋体"/>
          <w:sz w:val="24"/>
        </w:rPr>
      </w:pPr>
      <w:r>
        <w:rPr>
          <w:rFonts w:hAnsi="宋体"/>
          <w:sz w:val="24"/>
        </w:rPr>
        <w:t>4</w:t>
      </w:r>
      <w:r>
        <w:rPr>
          <w:rFonts w:hAnsi="宋体"/>
          <w:sz w:val="24"/>
        </w:rPr>
        <w:t>、基金存续期限</w:t>
      </w:r>
    </w:p>
    <w:p w14:paraId="1F79328C" w14:textId="77777777" w:rsidR="001932F7" w:rsidRDefault="00E87C32">
      <w:pPr>
        <w:adjustRightInd w:val="0"/>
        <w:snapToGrid w:val="0"/>
        <w:spacing w:line="360" w:lineRule="auto"/>
        <w:ind w:firstLineChars="200" w:firstLine="480"/>
        <w:rPr>
          <w:rFonts w:hAnsi="宋体"/>
          <w:sz w:val="24"/>
        </w:rPr>
      </w:pPr>
      <w:r>
        <w:rPr>
          <w:rFonts w:hAnsi="宋体"/>
          <w:sz w:val="24"/>
        </w:rPr>
        <w:t>不定期</w:t>
      </w:r>
    </w:p>
    <w:p w14:paraId="0794DFFB" w14:textId="77777777" w:rsidR="001932F7" w:rsidRDefault="00E87C32">
      <w:pPr>
        <w:adjustRightInd w:val="0"/>
        <w:snapToGrid w:val="0"/>
        <w:spacing w:line="360" w:lineRule="auto"/>
        <w:ind w:firstLineChars="200" w:firstLine="480"/>
        <w:rPr>
          <w:rFonts w:hAnsi="宋体"/>
          <w:sz w:val="24"/>
        </w:rPr>
      </w:pPr>
      <w:r>
        <w:rPr>
          <w:rFonts w:hAnsi="宋体"/>
          <w:sz w:val="24"/>
        </w:rPr>
        <w:t>5</w:t>
      </w:r>
      <w:r>
        <w:rPr>
          <w:rFonts w:hAnsi="宋体"/>
          <w:sz w:val="24"/>
        </w:rPr>
        <w:t>、基金份额发售面值</w:t>
      </w:r>
    </w:p>
    <w:p w14:paraId="75615FB8" w14:textId="77777777" w:rsidR="001932F7" w:rsidRDefault="00E87C32">
      <w:pPr>
        <w:adjustRightInd w:val="0"/>
        <w:snapToGrid w:val="0"/>
        <w:spacing w:line="360" w:lineRule="auto"/>
        <w:ind w:firstLineChars="200" w:firstLine="480"/>
        <w:rPr>
          <w:rFonts w:hAnsi="宋体"/>
          <w:sz w:val="24"/>
        </w:rPr>
      </w:pPr>
      <w:r>
        <w:rPr>
          <w:rFonts w:hAnsi="宋体"/>
          <w:sz w:val="24"/>
        </w:rPr>
        <w:t>本基金基金份额发售面值为人民币</w:t>
      </w:r>
      <w:r>
        <w:rPr>
          <w:rFonts w:hAnsi="宋体"/>
          <w:sz w:val="24"/>
        </w:rPr>
        <w:t>1.00</w:t>
      </w:r>
      <w:r>
        <w:rPr>
          <w:rFonts w:hAnsi="宋体"/>
          <w:sz w:val="24"/>
        </w:rPr>
        <w:t>元。</w:t>
      </w:r>
    </w:p>
    <w:p w14:paraId="5880771E" w14:textId="371A083D" w:rsidR="001932F7" w:rsidRDefault="00E87C32">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w:t>
      </w:r>
      <w:r>
        <w:rPr>
          <w:rFonts w:hAnsi="宋体"/>
          <w:sz w:val="24"/>
        </w:rPr>
        <w:t>基金代码及基金简称</w:t>
      </w:r>
    </w:p>
    <w:p w14:paraId="5366A858" w14:textId="1C72C553" w:rsidR="001932F7" w:rsidRDefault="00E87C32">
      <w:pPr>
        <w:adjustRightInd w:val="0"/>
        <w:snapToGrid w:val="0"/>
        <w:spacing w:line="360" w:lineRule="auto"/>
        <w:ind w:firstLineChars="200" w:firstLine="480"/>
        <w:rPr>
          <w:rFonts w:hAnsi="宋体"/>
          <w:sz w:val="24"/>
        </w:rPr>
      </w:pPr>
      <w:r>
        <w:rPr>
          <w:rFonts w:hAnsi="宋体" w:hint="eastAsia"/>
          <w:sz w:val="24"/>
        </w:rPr>
        <w:t>基金代码：</w:t>
      </w:r>
      <w:r>
        <w:rPr>
          <w:rFonts w:hAnsi="宋体"/>
          <w:sz w:val="24"/>
        </w:rPr>
        <w:t>027235</w:t>
      </w:r>
      <w:r>
        <w:rPr>
          <w:rFonts w:hAnsi="宋体" w:hint="eastAsia"/>
          <w:sz w:val="24"/>
        </w:rPr>
        <w:t>；基金简称：交银智远量化选股股票发起</w:t>
      </w:r>
    </w:p>
    <w:p w14:paraId="6D17D533" w14:textId="460B42E8" w:rsidR="001932F7" w:rsidRDefault="00E87C32">
      <w:pPr>
        <w:adjustRightInd w:val="0"/>
        <w:snapToGrid w:val="0"/>
        <w:spacing w:line="360" w:lineRule="auto"/>
        <w:ind w:firstLineChars="200" w:firstLine="480"/>
        <w:rPr>
          <w:rFonts w:hAnsi="宋体"/>
          <w:sz w:val="24"/>
        </w:rPr>
      </w:pPr>
      <w:r>
        <w:rPr>
          <w:rFonts w:hAnsi="宋体"/>
          <w:sz w:val="24"/>
        </w:rPr>
        <w:t>7</w:t>
      </w:r>
      <w:r>
        <w:rPr>
          <w:rFonts w:hAnsi="宋体"/>
          <w:sz w:val="24"/>
        </w:rPr>
        <w:t>、发售对象</w:t>
      </w:r>
    </w:p>
    <w:p w14:paraId="465AEE0D" w14:textId="77777777" w:rsidR="001932F7" w:rsidRDefault="00E87C32">
      <w:pPr>
        <w:adjustRightInd w:val="0"/>
        <w:snapToGrid w:val="0"/>
        <w:spacing w:line="360" w:lineRule="auto"/>
        <w:ind w:firstLineChars="200" w:firstLine="480"/>
        <w:rPr>
          <w:rFonts w:hAnsi="宋体"/>
          <w:sz w:val="24"/>
        </w:rPr>
      </w:pPr>
      <w:r>
        <w:rPr>
          <w:rFonts w:hAnsi="宋体" w:hint="eastAsia"/>
          <w:sz w:val="24"/>
        </w:rPr>
        <w:t>符合法律法规规定的可投资于证券投资基金的个人投资者、机构投资者、合格境外投资者、发起资金提供方以及法律法规或中国证监会允许购买证券投资基金的其他投资人。</w:t>
      </w:r>
    </w:p>
    <w:p w14:paraId="296B518D" w14:textId="3912931A" w:rsidR="001932F7" w:rsidRDefault="00E87C32">
      <w:pPr>
        <w:adjustRightInd w:val="0"/>
        <w:snapToGrid w:val="0"/>
        <w:spacing w:line="360" w:lineRule="auto"/>
        <w:ind w:firstLineChars="200" w:firstLine="480"/>
        <w:rPr>
          <w:rFonts w:hAnsi="宋体"/>
          <w:sz w:val="24"/>
        </w:rPr>
      </w:pPr>
      <w:r>
        <w:rPr>
          <w:rFonts w:hAnsi="宋体"/>
          <w:sz w:val="24"/>
        </w:rPr>
        <w:t>8</w:t>
      </w:r>
      <w:r>
        <w:rPr>
          <w:rFonts w:hAnsi="宋体"/>
          <w:sz w:val="24"/>
        </w:rPr>
        <w:t>、销售机构</w:t>
      </w:r>
    </w:p>
    <w:p w14:paraId="1524461F" w14:textId="77777777" w:rsidR="001932F7" w:rsidRDefault="00E87C32">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）直销机构：</w:t>
      </w:r>
    </w:p>
    <w:p w14:paraId="2BA2DA12" w14:textId="77777777" w:rsidR="001932F7" w:rsidRDefault="00E87C32">
      <w:pPr>
        <w:adjustRightInd w:val="0"/>
        <w:snapToGrid w:val="0"/>
        <w:spacing w:line="360" w:lineRule="auto"/>
        <w:ind w:firstLineChars="200" w:firstLine="480"/>
        <w:rPr>
          <w:rFonts w:hAnsi="宋体"/>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14:paraId="2194B0F8" w14:textId="77777777" w:rsidR="001932F7" w:rsidRDefault="00E87C32">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w:t>
      </w:r>
      <w:r>
        <w:rPr>
          <w:rFonts w:hAnsi="宋体" w:hint="eastAsia"/>
          <w:sz w:val="24"/>
        </w:rPr>
        <w:t>除基金管理人之外的其他销售机构：</w:t>
      </w:r>
    </w:p>
    <w:p w14:paraId="6055D80F"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本基金的其他销售机构名单详见本公告“九、本次募集当事人或中介机构”项下“（三）销售机构”中“</w:t>
      </w:r>
      <w:r>
        <w:rPr>
          <w:rFonts w:hAnsi="宋体"/>
          <w:sz w:val="24"/>
        </w:rPr>
        <w:t>2</w:t>
      </w:r>
      <w:r>
        <w:rPr>
          <w:rFonts w:hAnsi="宋体" w:hint="eastAsia"/>
          <w:sz w:val="24"/>
        </w:rPr>
        <w:t>、除基金管理人之外的其他销售机构”章节。</w:t>
      </w:r>
    </w:p>
    <w:p w14:paraId="584E999B" w14:textId="77777777" w:rsidR="001932F7" w:rsidRDefault="00E87C32">
      <w:pPr>
        <w:adjustRightInd w:val="0"/>
        <w:snapToGrid w:val="0"/>
        <w:spacing w:line="360" w:lineRule="auto"/>
        <w:ind w:firstLineChars="200" w:firstLine="480"/>
        <w:rPr>
          <w:rFonts w:hAnsi="宋体"/>
          <w:sz w:val="24"/>
        </w:rPr>
      </w:pPr>
      <w:r>
        <w:rPr>
          <w:rFonts w:hAnsi="宋体"/>
          <w:sz w:val="24"/>
        </w:rPr>
        <w:lastRenderedPageBreak/>
        <w:t>基金管理人可根据有关法律法规的要求，选择其他符合要求的机构销售本基金。</w:t>
      </w:r>
    </w:p>
    <w:p w14:paraId="5A67A733" w14:textId="18A2179A" w:rsidR="001932F7" w:rsidRDefault="00E87C32">
      <w:pPr>
        <w:adjustRightInd w:val="0"/>
        <w:snapToGrid w:val="0"/>
        <w:spacing w:line="360" w:lineRule="auto"/>
        <w:ind w:firstLineChars="200" w:firstLine="480"/>
        <w:rPr>
          <w:rFonts w:hAnsi="宋体"/>
          <w:sz w:val="24"/>
        </w:rPr>
      </w:pPr>
      <w:r>
        <w:rPr>
          <w:rFonts w:hAnsi="宋体"/>
          <w:sz w:val="24"/>
        </w:rPr>
        <w:t>9</w:t>
      </w:r>
      <w:r>
        <w:rPr>
          <w:rFonts w:hAnsi="宋体"/>
          <w:sz w:val="24"/>
        </w:rPr>
        <w:t>、募集时间安排与基金合同生效</w:t>
      </w:r>
    </w:p>
    <w:p w14:paraId="55862BD7" w14:textId="5FE9C8FF" w:rsidR="001932F7" w:rsidRDefault="00E87C32">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Pr>
          <w:rFonts w:hAnsi="宋体"/>
          <w:sz w:val="24"/>
        </w:rPr>
        <w:t>3</w:t>
      </w:r>
      <w:r>
        <w:rPr>
          <w:rFonts w:hAnsi="宋体"/>
          <w:sz w:val="24"/>
        </w:rPr>
        <w:t>个月。本基金募集期自</w:t>
      </w:r>
      <w:r>
        <w:rPr>
          <w:rFonts w:hAnsi="宋体" w:hint="eastAsia"/>
          <w:sz w:val="24"/>
        </w:rPr>
        <w:t>2026</w:t>
      </w:r>
      <w:r>
        <w:rPr>
          <w:rFonts w:hAnsi="宋体" w:hint="eastAsia"/>
          <w:sz w:val="24"/>
        </w:rPr>
        <w:t>年</w:t>
      </w:r>
      <w:r w:rsidR="00B70DD5">
        <w:rPr>
          <w:rFonts w:hAnsi="宋体" w:hint="eastAsia"/>
          <w:sz w:val="24"/>
        </w:rPr>
        <w:t>5</w:t>
      </w:r>
      <w:r>
        <w:rPr>
          <w:rFonts w:hAnsi="宋体" w:hint="eastAsia"/>
          <w:sz w:val="24"/>
        </w:rPr>
        <w:t>月</w:t>
      </w:r>
      <w:r w:rsidR="00B70DD5">
        <w:rPr>
          <w:rFonts w:hAnsi="宋体" w:hint="eastAsia"/>
          <w:sz w:val="24"/>
        </w:rPr>
        <w:t>6</w:t>
      </w:r>
      <w:r>
        <w:rPr>
          <w:rFonts w:hAnsi="宋体" w:hint="eastAsia"/>
          <w:sz w:val="24"/>
        </w:rPr>
        <w:t>日起至</w:t>
      </w:r>
      <w:r>
        <w:rPr>
          <w:rFonts w:hAnsi="宋体" w:hint="eastAsia"/>
          <w:sz w:val="24"/>
        </w:rPr>
        <w:t>2026</w:t>
      </w:r>
      <w:r>
        <w:rPr>
          <w:rFonts w:hAnsi="宋体" w:hint="eastAsia"/>
          <w:sz w:val="24"/>
        </w:rPr>
        <w:t>年</w:t>
      </w:r>
      <w:r w:rsidR="00B70DD5">
        <w:rPr>
          <w:rFonts w:hAnsi="宋体"/>
          <w:sz w:val="24"/>
        </w:rPr>
        <w:t>5</w:t>
      </w:r>
      <w:r>
        <w:rPr>
          <w:rFonts w:hAnsi="宋体" w:hint="eastAsia"/>
          <w:sz w:val="24"/>
        </w:rPr>
        <w:t>月</w:t>
      </w:r>
      <w:r w:rsidR="00B70DD5">
        <w:rPr>
          <w:rFonts w:hAnsi="宋体"/>
          <w:sz w:val="24"/>
        </w:rPr>
        <w:t>29</w:t>
      </w:r>
      <w:r>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int="eastAsia"/>
          <w:bCs/>
          <w:sz w:val="24"/>
        </w:rPr>
        <w:t>、发起资金提供方</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174CA88E" w14:textId="77777777" w:rsidR="001932F7" w:rsidRDefault="00E87C32">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72EB1411" w14:textId="77777777" w:rsidR="001932F7" w:rsidRDefault="00E87C32">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3F6DD121" w14:textId="26D0D6F9" w:rsidR="001932F7" w:rsidRDefault="00E87C32">
      <w:pPr>
        <w:adjustRightInd w:val="0"/>
        <w:snapToGrid w:val="0"/>
        <w:spacing w:line="360" w:lineRule="auto"/>
        <w:ind w:firstLineChars="200" w:firstLine="480"/>
        <w:rPr>
          <w:rFonts w:hAnsi="宋体"/>
          <w:sz w:val="24"/>
        </w:rPr>
      </w:pPr>
      <w:r>
        <w:rPr>
          <w:rFonts w:hAnsi="宋体" w:hint="eastAsia"/>
          <w:sz w:val="24"/>
        </w:rPr>
        <w:t>1</w:t>
      </w:r>
      <w:r>
        <w:rPr>
          <w:rFonts w:hAnsi="宋体"/>
          <w:sz w:val="24"/>
        </w:rPr>
        <w:t>0</w:t>
      </w:r>
      <w:r>
        <w:rPr>
          <w:rFonts w:hAnsi="宋体"/>
          <w:sz w:val="24"/>
        </w:rPr>
        <w:t>、认购期利息的处理方式</w:t>
      </w:r>
    </w:p>
    <w:p w14:paraId="72FCA9B0"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本基金基金合同生效前，投资人的有效认购款项只能存入专门账户，任何人不得动用。有效认购款项在募集期间产生的利息将折算为基金份额归基金份额持有人所有。</w:t>
      </w:r>
      <w:bookmarkStart w:id="0" w:name="_Hlt90455312"/>
      <w:bookmarkStart w:id="1" w:name="_Hlt90801570"/>
      <w:bookmarkStart w:id="2" w:name="_Hlt91264042"/>
      <w:bookmarkStart w:id="3" w:name="_Hlt91148053"/>
      <w:bookmarkStart w:id="4" w:name="_Hlt91264078"/>
      <w:bookmarkEnd w:id="0"/>
      <w:bookmarkEnd w:id="1"/>
      <w:bookmarkEnd w:id="2"/>
      <w:bookmarkEnd w:id="3"/>
      <w:bookmarkEnd w:id="4"/>
    </w:p>
    <w:p w14:paraId="6206C8CF" w14:textId="77777777" w:rsidR="001932F7" w:rsidRDefault="00E87C32">
      <w:pPr>
        <w:adjustRightInd w:val="0"/>
        <w:snapToGrid w:val="0"/>
        <w:spacing w:line="360" w:lineRule="auto"/>
        <w:ind w:firstLineChars="200" w:firstLine="480"/>
        <w:rPr>
          <w:rFonts w:hAnsi="宋体"/>
          <w:sz w:val="24"/>
        </w:rPr>
      </w:pPr>
      <w:r>
        <w:rPr>
          <w:rFonts w:hAnsi="宋体" w:hint="eastAsia"/>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3952A16A" w14:textId="34D3DD5C" w:rsidR="001932F7" w:rsidRDefault="00E87C32">
      <w:pPr>
        <w:adjustRightInd w:val="0"/>
        <w:snapToGrid w:val="0"/>
        <w:spacing w:line="360" w:lineRule="auto"/>
        <w:ind w:firstLineChars="200" w:firstLine="480"/>
        <w:rPr>
          <w:kern w:val="0"/>
          <w:sz w:val="24"/>
          <w:szCs w:val="24"/>
        </w:rPr>
      </w:pPr>
      <w:r>
        <w:rPr>
          <w:rFonts w:hAnsi="宋体" w:hint="eastAsia"/>
          <w:sz w:val="24"/>
        </w:rPr>
        <w:t>1</w:t>
      </w:r>
      <w:r>
        <w:rPr>
          <w:rFonts w:hAnsi="宋体"/>
          <w:sz w:val="24"/>
        </w:rPr>
        <w:t>1</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32072EC8" w14:textId="77777777" w:rsidR="001932F7" w:rsidRDefault="00E87C32">
      <w:pPr>
        <w:adjustRightInd w:val="0"/>
        <w:snapToGrid w:val="0"/>
        <w:spacing w:line="360" w:lineRule="auto"/>
        <w:ind w:firstLineChars="200" w:firstLine="480"/>
        <w:rPr>
          <w:kern w:val="0"/>
          <w:sz w:val="24"/>
          <w:szCs w:val="24"/>
        </w:rPr>
      </w:pPr>
      <w:r>
        <w:rPr>
          <w:kern w:val="0"/>
          <w:sz w:val="24"/>
          <w:szCs w:val="24"/>
        </w:rPr>
        <w:t>（</w:t>
      </w:r>
      <w:r>
        <w:rPr>
          <w:kern w:val="0"/>
          <w:sz w:val="24"/>
          <w:szCs w:val="24"/>
        </w:rPr>
        <w:t>1</w:t>
      </w:r>
      <w:r>
        <w:rPr>
          <w:kern w:val="0"/>
          <w:sz w:val="24"/>
          <w:szCs w:val="24"/>
        </w:rPr>
        <w:t>）</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w:t>
      </w:r>
      <w:r>
        <w:rPr>
          <w:kern w:val="0"/>
          <w:sz w:val="24"/>
          <w:szCs w:val="24"/>
        </w:rPr>
        <w:t>1.00</w:t>
      </w:r>
      <w:r>
        <w:rPr>
          <w:kern w:val="0"/>
          <w:sz w:val="24"/>
          <w:szCs w:val="24"/>
        </w:rPr>
        <w:t>元</w:t>
      </w:r>
      <w:r>
        <w:rPr>
          <w:kern w:val="0"/>
          <w:sz w:val="24"/>
          <w:szCs w:val="24"/>
        </w:rPr>
        <w:t>/</w:t>
      </w:r>
      <w:r>
        <w:rPr>
          <w:kern w:val="0"/>
          <w:sz w:val="24"/>
          <w:szCs w:val="24"/>
        </w:rPr>
        <w:t>份。</w:t>
      </w:r>
    </w:p>
    <w:p w14:paraId="589A8F3D" w14:textId="77777777" w:rsidR="001932F7" w:rsidRDefault="00E87C32">
      <w:pPr>
        <w:adjustRightInd w:val="0"/>
        <w:snapToGrid w:val="0"/>
        <w:spacing w:line="360" w:lineRule="auto"/>
        <w:ind w:firstLineChars="200" w:firstLine="480"/>
        <w:rPr>
          <w:kern w:val="0"/>
          <w:sz w:val="24"/>
          <w:szCs w:val="24"/>
        </w:rPr>
      </w:pPr>
      <w:r>
        <w:rPr>
          <w:kern w:val="0"/>
          <w:sz w:val="24"/>
          <w:szCs w:val="24"/>
        </w:rPr>
        <w:t>（</w:t>
      </w:r>
      <w:r>
        <w:rPr>
          <w:kern w:val="0"/>
          <w:sz w:val="24"/>
          <w:szCs w:val="24"/>
        </w:rPr>
        <w:t>2</w:t>
      </w:r>
      <w:r>
        <w:rPr>
          <w:kern w:val="0"/>
          <w:sz w:val="24"/>
          <w:szCs w:val="24"/>
        </w:rPr>
        <w:t>）认购费率</w:t>
      </w:r>
    </w:p>
    <w:p w14:paraId="3C75F62B" w14:textId="77777777" w:rsidR="001932F7" w:rsidRDefault="00E87C32">
      <w:pPr>
        <w:adjustRightInd w:val="0"/>
        <w:snapToGrid w:val="0"/>
        <w:spacing w:line="360" w:lineRule="auto"/>
        <w:ind w:firstLineChars="200" w:firstLine="480"/>
        <w:rPr>
          <w:sz w:val="24"/>
        </w:rPr>
      </w:pPr>
      <w:r>
        <w:rPr>
          <w:rFonts w:hint="eastAsia"/>
          <w:sz w:val="24"/>
        </w:rPr>
        <w:t>通过直销机构认购本基金不收取认购费；通过其他销售机构认购本基金的，认购费用由认购基金份额的投资人承担，募集期内投资人可以多次认购本基金，</w:t>
      </w:r>
      <w:r>
        <w:rPr>
          <w:rFonts w:hint="eastAsia"/>
          <w:sz w:val="24"/>
        </w:rPr>
        <w:lastRenderedPageBreak/>
        <w:t>认购费用按每笔认购申请单独计算。认购费用不列入基金财产，主要用于基金的市场推广、销售等募集期间发生的各项费用。</w:t>
      </w:r>
    </w:p>
    <w:p w14:paraId="1471B5C0"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通过其他销售机构认购</w:t>
      </w:r>
      <w:r>
        <w:rPr>
          <w:kern w:val="0"/>
          <w:sz w:val="24"/>
        </w:rPr>
        <w:t>本基金</w:t>
      </w:r>
      <w:r>
        <w:rPr>
          <w:rFonts w:hint="eastAsia"/>
          <w:kern w:val="0"/>
          <w:sz w:val="24"/>
        </w:rPr>
        <w:t>的</w:t>
      </w:r>
      <w:r>
        <w:rPr>
          <w:kern w:val="0"/>
          <w:sz w:val="24"/>
        </w:rPr>
        <w:t>认购费率如下</w:t>
      </w:r>
      <w:r>
        <w:rPr>
          <w:rFonts w:hint="eastAsia"/>
          <w:kern w:val="0"/>
          <w:sz w:val="24"/>
        </w:rPr>
        <w:t>表</w:t>
      </w:r>
      <w:r>
        <w:rPr>
          <w:kern w:val="0"/>
          <w:sz w:val="24"/>
        </w:rPr>
        <w:t>：</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1932F7" w14:paraId="59EF1C28" w14:textId="77777777">
        <w:trPr>
          <w:cantSplit/>
          <w:trHeight w:val="132"/>
          <w:jc w:val="center"/>
        </w:trPr>
        <w:tc>
          <w:tcPr>
            <w:tcW w:w="3528" w:type="dxa"/>
            <w:shd w:val="clear" w:color="auto" w:fill="FFFFFF"/>
            <w:vAlign w:val="center"/>
          </w:tcPr>
          <w:p w14:paraId="69565054" w14:textId="77777777" w:rsidR="001932F7" w:rsidRDefault="00E87C32">
            <w:pPr>
              <w:adjustRightInd w:val="0"/>
              <w:snapToGrid w:val="0"/>
              <w:jc w:val="center"/>
              <w:rPr>
                <w:b/>
                <w:sz w:val="24"/>
              </w:rPr>
            </w:pPr>
            <w:r>
              <w:rPr>
                <w:b/>
                <w:sz w:val="24"/>
              </w:rPr>
              <w:t>认购金额（含认购费）</w:t>
            </w:r>
          </w:p>
        </w:tc>
        <w:tc>
          <w:tcPr>
            <w:tcW w:w="3598" w:type="dxa"/>
            <w:shd w:val="clear" w:color="auto" w:fill="FFFFFF"/>
            <w:vAlign w:val="center"/>
          </w:tcPr>
          <w:p w14:paraId="2F548E98" w14:textId="77777777" w:rsidR="001932F7" w:rsidRDefault="00E87C32">
            <w:pPr>
              <w:adjustRightInd w:val="0"/>
              <w:snapToGrid w:val="0"/>
              <w:jc w:val="center"/>
              <w:rPr>
                <w:b/>
                <w:sz w:val="24"/>
              </w:rPr>
            </w:pPr>
            <w:r>
              <w:rPr>
                <w:b/>
                <w:sz w:val="24"/>
              </w:rPr>
              <w:t>认购费率</w:t>
            </w:r>
          </w:p>
        </w:tc>
      </w:tr>
      <w:tr w:rsidR="001932F7" w14:paraId="70358E19" w14:textId="77777777">
        <w:trPr>
          <w:cantSplit/>
          <w:trHeight w:val="131"/>
          <w:jc w:val="center"/>
        </w:trPr>
        <w:tc>
          <w:tcPr>
            <w:tcW w:w="3528" w:type="dxa"/>
          </w:tcPr>
          <w:p w14:paraId="45181A8D" w14:textId="77777777" w:rsidR="001932F7" w:rsidRDefault="00E87C32">
            <w:pPr>
              <w:adjustRightInd w:val="0"/>
              <w:snapToGrid w:val="0"/>
              <w:rPr>
                <w:sz w:val="24"/>
              </w:rPr>
            </w:pPr>
            <w:r>
              <w:rPr>
                <w:sz w:val="24"/>
              </w:rPr>
              <w:t>100</w:t>
            </w:r>
            <w:r>
              <w:rPr>
                <w:sz w:val="24"/>
              </w:rPr>
              <w:t>万元以下</w:t>
            </w:r>
          </w:p>
        </w:tc>
        <w:tc>
          <w:tcPr>
            <w:tcW w:w="3598" w:type="dxa"/>
          </w:tcPr>
          <w:p w14:paraId="48BF5BE7" w14:textId="77777777" w:rsidR="001932F7" w:rsidRDefault="00E87C32">
            <w:pPr>
              <w:adjustRightInd w:val="0"/>
              <w:snapToGrid w:val="0"/>
              <w:jc w:val="center"/>
              <w:rPr>
                <w:sz w:val="24"/>
              </w:rPr>
            </w:pPr>
            <w:r>
              <w:rPr>
                <w:sz w:val="24"/>
              </w:rPr>
              <w:t>0.7%</w:t>
            </w:r>
          </w:p>
        </w:tc>
      </w:tr>
      <w:tr w:rsidR="001932F7" w14:paraId="459D2143" w14:textId="77777777">
        <w:trPr>
          <w:cantSplit/>
          <w:trHeight w:val="131"/>
          <w:jc w:val="center"/>
        </w:trPr>
        <w:tc>
          <w:tcPr>
            <w:tcW w:w="3528" w:type="dxa"/>
          </w:tcPr>
          <w:p w14:paraId="51994579" w14:textId="77777777" w:rsidR="001932F7" w:rsidRDefault="00E87C32">
            <w:pPr>
              <w:adjustRightInd w:val="0"/>
              <w:snapToGrid w:val="0"/>
              <w:rPr>
                <w:sz w:val="24"/>
              </w:rPr>
            </w:pPr>
            <w:r>
              <w:rPr>
                <w:rFonts w:hint="eastAsia"/>
                <w:sz w:val="24"/>
              </w:rPr>
              <w:t>100</w:t>
            </w:r>
            <w:r>
              <w:rPr>
                <w:rFonts w:hint="eastAsia"/>
                <w:sz w:val="24"/>
              </w:rPr>
              <w:t>万元（含）至</w:t>
            </w:r>
            <w:r>
              <w:rPr>
                <w:sz w:val="24"/>
              </w:rPr>
              <w:t>2</w:t>
            </w:r>
            <w:r>
              <w:rPr>
                <w:rFonts w:hint="eastAsia"/>
                <w:sz w:val="24"/>
              </w:rPr>
              <w:t>00</w:t>
            </w:r>
            <w:r>
              <w:rPr>
                <w:rFonts w:hint="eastAsia"/>
                <w:sz w:val="24"/>
              </w:rPr>
              <w:t>万元</w:t>
            </w:r>
          </w:p>
        </w:tc>
        <w:tc>
          <w:tcPr>
            <w:tcW w:w="3598" w:type="dxa"/>
          </w:tcPr>
          <w:p w14:paraId="000B1E7C" w14:textId="77777777" w:rsidR="001932F7" w:rsidRDefault="00E87C32">
            <w:pPr>
              <w:adjustRightInd w:val="0"/>
              <w:snapToGrid w:val="0"/>
              <w:jc w:val="center"/>
              <w:rPr>
                <w:sz w:val="24"/>
              </w:rPr>
            </w:pPr>
            <w:r>
              <w:rPr>
                <w:sz w:val="24"/>
              </w:rPr>
              <w:t>0.5%</w:t>
            </w:r>
          </w:p>
        </w:tc>
      </w:tr>
      <w:tr w:rsidR="001932F7" w14:paraId="595188CA" w14:textId="77777777">
        <w:trPr>
          <w:cantSplit/>
          <w:trHeight w:val="131"/>
          <w:jc w:val="center"/>
        </w:trPr>
        <w:tc>
          <w:tcPr>
            <w:tcW w:w="3528" w:type="dxa"/>
            <w:vAlign w:val="center"/>
          </w:tcPr>
          <w:p w14:paraId="3811D33F" w14:textId="77777777" w:rsidR="001932F7" w:rsidRDefault="00E87C32">
            <w:pPr>
              <w:adjustRightInd w:val="0"/>
              <w:snapToGrid w:val="0"/>
              <w:rPr>
                <w:sz w:val="24"/>
              </w:rPr>
            </w:pPr>
            <w:r>
              <w:rPr>
                <w:sz w:val="24"/>
              </w:rPr>
              <w:t>200</w:t>
            </w:r>
            <w:r>
              <w:rPr>
                <w:rFonts w:hint="eastAsia"/>
                <w:sz w:val="24"/>
              </w:rPr>
              <w:t>万元（含）至</w:t>
            </w:r>
            <w:r>
              <w:rPr>
                <w:sz w:val="24"/>
              </w:rPr>
              <w:t>500</w:t>
            </w:r>
            <w:r>
              <w:rPr>
                <w:rFonts w:hint="eastAsia"/>
                <w:sz w:val="24"/>
              </w:rPr>
              <w:t>万元</w:t>
            </w:r>
          </w:p>
        </w:tc>
        <w:tc>
          <w:tcPr>
            <w:tcW w:w="3598" w:type="dxa"/>
          </w:tcPr>
          <w:p w14:paraId="1EE1D914" w14:textId="77777777" w:rsidR="001932F7" w:rsidRDefault="00E87C32">
            <w:pPr>
              <w:adjustRightInd w:val="0"/>
              <w:snapToGrid w:val="0"/>
              <w:jc w:val="center"/>
              <w:rPr>
                <w:sz w:val="24"/>
              </w:rPr>
            </w:pPr>
            <w:r>
              <w:rPr>
                <w:sz w:val="24"/>
              </w:rPr>
              <w:t>0.3%</w:t>
            </w:r>
          </w:p>
        </w:tc>
      </w:tr>
      <w:tr w:rsidR="001932F7" w14:paraId="3E97B526" w14:textId="77777777">
        <w:trPr>
          <w:cantSplit/>
          <w:trHeight w:val="131"/>
          <w:jc w:val="center"/>
        </w:trPr>
        <w:tc>
          <w:tcPr>
            <w:tcW w:w="3528" w:type="dxa"/>
          </w:tcPr>
          <w:p w14:paraId="27F993E3" w14:textId="77777777" w:rsidR="001932F7" w:rsidRDefault="00E87C32">
            <w:pPr>
              <w:adjustRightInd w:val="0"/>
              <w:snapToGrid w:val="0"/>
              <w:rPr>
                <w:sz w:val="24"/>
              </w:rPr>
            </w:pPr>
            <w:r>
              <w:rPr>
                <w:sz w:val="24"/>
              </w:rPr>
              <w:t>500</w:t>
            </w:r>
            <w:r>
              <w:rPr>
                <w:sz w:val="24"/>
              </w:rPr>
              <w:t>万元以上（含</w:t>
            </w:r>
            <w:r>
              <w:rPr>
                <w:sz w:val="24"/>
              </w:rPr>
              <w:t>500</w:t>
            </w:r>
            <w:r>
              <w:rPr>
                <w:sz w:val="24"/>
              </w:rPr>
              <w:t>万</w:t>
            </w:r>
            <w:r>
              <w:rPr>
                <w:rFonts w:hint="eastAsia"/>
                <w:sz w:val="24"/>
              </w:rPr>
              <w:t>元</w:t>
            </w:r>
            <w:r>
              <w:rPr>
                <w:sz w:val="24"/>
              </w:rPr>
              <w:t>）</w:t>
            </w:r>
          </w:p>
        </w:tc>
        <w:tc>
          <w:tcPr>
            <w:tcW w:w="3598" w:type="dxa"/>
          </w:tcPr>
          <w:p w14:paraId="2CAB3186" w14:textId="77777777" w:rsidR="001932F7" w:rsidRDefault="00E87C32">
            <w:pPr>
              <w:adjustRightInd w:val="0"/>
              <w:snapToGrid w:val="0"/>
              <w:jc w:val="center"/>
              <w:rPr>
                <w:sz w:val="24"/>
              </w:rPr>
            </w:pPr>
            <w:r>
              <w:rPr>
                <w:sz w:val="24"/>
              </w:rPr>
              <w:t>每笔交易</w:t>
            </w:r>
            <w:r>
              <w:rPr>
                <w:sz w:val="24"/>
              </w:rPr>
              <w:t>1000</w:t>
            </w:r>
            <w:r>
              <w:rPr>
                <w:sz w:val="24"/>
              </w:rPr>
              <w:t>元</w:t>
            </w:r>
          </w:p>
        </w:tc>
      </w:tr>
    </w:tbl>
    <w:p w14:paraId="27D76DA6" w14:textId="77777777" w:rsidR="001932F7" w:rsidRDefault="00E87C3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）认购份额的计算</w:t>
      </w:r>
    </w:p>
    <w:p w14:paraId="0E964E47" w14:textId="77777777" w:rsidR="001932F7" w:rsidRDefault="00E87C32">
      <w:pPr>
        <w:adjustRightInd w:val="0"/>
        <w:snapToGrid w:val="0"/>
        <w:spacing w:line="360" w:lineRule="auto"/>
        <w:ind w:firstLineChars="200" w:firstLine="480"/>
        <w:rPr>
          <w:sz w:val="24"/>
          <w:szCs w:val="24"/>
        </w:rPr>
      </w:pPr>
      <w:r>
        <w:rPr>
          <w:rFonts w:hint="eastAsia"/>
          <w:sz w:val="24"/>
          <w:szCs w:val="24"/>
        </w:rPr>
        <w:t>基金认购采用金额认购的方式。</w:t>
      </w:r>
    </w:p>
    <w:p w14:paraId="3745AC85" w14:textId="77777777" w:rsidR="001932F7" w:rsidRDefault="00E87C32">
      <w:pPr>
        <w:adjustRightInd w:val="0"/>
        <w:snapToGrid w:val="0"/>
        <w:spacing w:line="360" w:lineRule="auto"/>
        <w:ind w:firstLineChars="200" w:firstLine="480"/>
        <w:rPr>
          <w:sz w:val="24"/>
          <w:szCs w:val="24"/>
        </w:rPr>
      </w:pPr>
      <w:r>
        <w:rPr>
          <w:rFonts w:hint="eastAsia"/>
          <w:sz w:val="24"/>
          <w:szCs w:val="24"/>
        </w:rPr>
        <w:t>基金的认购金额包括认购费用和净认购金额。计算公式为：</w:t>
      </w:r>
    </w:p>
    <w:p w14:paraId="06F84309" w14:textId="77777777" w:rsidR="001932F7" w:rsidRDefault="00E87C32">
      <w:pPr>
        <w:adjustRightInd w:val="0"/>
        <w:snapToGrid w:val="0"/>
        <w:spacing w:line="360" w:lineRule="auto"/>
        <w:ind w:firstLineChars="200" w:firstLine="480"/>
        <w:rPr>
          <w:sz w:val="24"/>
          <w:szCs w:val="24"/>
        </w:rPr>
      </w:pPr>
      <w:r>
        <w:rPr>
          <w:rFonts w:hint="eastAsia"/>
          <w:sz w:val="24"/>
          <w:szCs w:val="24"/>
        </w:rPr>
        <w:t>认购总金额</w:t>
      </w:r>
      <w:r>
        <w:rPr>
          <w:rFonts w:hint="eastAsia"/>
          <w:sz w:val="24"/>
          <w:szCs w:val="24"/>
        </w:rPr>
        <w:t>=</w:t>
      </w:r>
      <w:r>
        <w:rPr>
          <w:rFonts w:hint="eastAsia"/>
          <w:sz w:val="24"/>
          <w:szCs w:val="24"/>
        </w:rPr>
        <w:t>申请总金额</w:t>
      </w:r>
    </w:p>
    <w:p w14:paraId="7D306624" w14:textId="77777777" w:rsidR="001932F7" w:rsidRDefault="00E87C32">
      <w:pPr>
        <w:adjustRightInd w:val="0"/>
        <w:snapToGrid w:val="0"/>
        <w:spacing w:line="360" w:lineRule="auto"/>
        <w:ind w:firstLineChars="200" w:firstLine="480"/>
        <w:rPr>
          <w:sz w:val="24"/>
          <w:szCs w:val="24"/>
        </w:rPr>
      </w:pPr>
      <w:r>
        <w:rPr>
          <w:rFonts w:hint="eastAsia"/>
          <w:sz w:val="24"/>
          <w:szCs w:val="24"/>
        </w:rPr>
        <w:t>净认购金额</w:t>
      </w:r>
      <w:r>
        <w:rPr>
          <w:rFonts w:hint="eastAsia"/>
          <w:sz w:val="24"/>
          <w:szCs w:val="24"/>
        </w:rPr>
        <w:t>=</w:t>
      </w:r>
      <w:r>
        <w:rPr>
          <w:rFonts w:hint="eastAsia"/>
          <w:sz w:val="24"/>
          <w:szCs w:val="24"/>
        </w:rPr>
        <w:t>认购总金额</w:t>
      </w:r>
      <w:r>
        <w:rPr>
          <w:rFonts w:hint="eastAsia"/>
          <w:sz w:val="24"/>
          <w:szCs w:val="24"/>
        </w:rPr>
        <w:t>/</w:t>
      </w:r>
      <w:r>
        <w:rPr>
          <w:rFonts w:hint="eastAsia"/>
          <w:sz w:val="24"/>
          <w:szCs w:val="24"/>
        </w:rPr>
        <w:t>（</w:t>
      </w:r>
      <w:r>
        <w:rPr>
          <w:rFonts w:hint="eastAsia"/>
          <w:sz w:val="24"/>
          <w:szCs w:val="24"/>
        </w:rPr>
        <w:t>1+</w:t>
      </w:r>
      <w:r>
        <w:rPr>
          <w:rFonts w:hint="eastAsia"/>
          <w:sz w:val="24"/>
          <w:szCs w:val="24"/>
        </w:rPr>
        <w:t>认购费率）</w:t>
      </w:r>
    </w:p>
    <w:p w14:paraId="44CB63EC" w14:textId="77777777" w:rsidR="001932F7" w:rsidRDefault="00E87C32">
      <w:pPr>
        <w:adjustRightInd w:val="0"/>
        <w:snapToGrid w:val="0"/>
        <w:spacing w:line="360" w:lineRule="auto"/>
        <w:ind w:firstLineChars="200" w:firstLine="480"/>
        <w:rPr>
          <w:sz w:val="24"/>
          <w:szCs w:val="24"/>
        </w:rPr>
      </w:pPr>
      <w:r>
        <w:rPr>
          <w:rFonts w:hint="eastAsia"/>
          <w:sz w:val="24"/>
          <w:szCs w:val="24"/>
        </w:rPr>
        <w:t>（注：①对于适用固定金额认购费用的认购，净认购金额＝认购总金额－固定认购费用金额；②对于通过直销机构认购的，认购费率均为</w:t>
      </w:r>
      <w:r>
        <w:rPr>
          <w:rFonts w:hint="eastAsia"/>
          <w:sz w:val="24"/>
          <w:szCs w:val="24"/>
        </w:rPr>
        <w:t>0</w:t>
      </w:r>
      <w:r>
        <w:rPr>
          <w:rFonts w:hint="eastAsia"/>
          <w:sz w:val="24"/>
          <w:szCs w:val="24"/>
        </w:rPr>
        <w:t>）</w:t>
      </w:r>
    </w:p>
    <w:p w14:paraId="49C51D7D" w14:textId="77777777" w:rsidR="001932F7" w:rsidRDefault="00E87C32">
      <w:pPr>
        <w:adjustRightInd w:val="0"/>
        <w:snapToGrid w:val="0"/>
        <w:spacing w:line="360" w:lineRule="auto"/>
        <w:ind w:firstLineChars="200" w:firstLine="480"/>
        <w:rPr>
          <w:sz w:val="24"/>
          <w:szCs w:val="24"/>
        </w:rPr>
      </w:pPr>
      <w:r>
        <w:rPr>
          <w:rFonts w:hint="eastAsia"/>
          <w:sz w:val="24"/>
          <w:szCs w:val="24"/>
        </w:rPr>
        <w:t>认购费用</w:t>
      </w:r>
      <w:r>
        <w:rPr>
          <w:rFonts w:hint="eastAsia"/>
          <w:sz w:val="24"/>
          <w:szCs w:val="24"/>
        </w:rPr>
        <w:t>=</w:t>
      </w:r>
      <w:r>
        <w:rPr>
          <w:rFonts w:hint="eastAsia"/>
          <w:sz w:val="24"/>
          <w:szCs w:val="24"/>
        </w:rPr>
        <w:t>认购总金额</w:t>
      </w:r>
      <w:r>
        <w:rPr>
          <w:rFonts w:hint="eastAsia"/>
          <w:sz w:val="24"/>
          <w:szCs w:val="24"/>
        </w:rPr>
        <w:t>-</w:t>
      </w:r>
      <w:r>
        <w:rPr>
          <w:rFonts w:hint="eastAsia"/>
          <w:sz w:val="24"/>
          <w:szCs w:val="24"/>
        </w:rPr>
        <w:t>净认购金额</w:t>
      </w:r>
    </w:p>
    <w:p w14:paraId="2A092C90" w14:textId="77777777" w:rsidR="001932F7" w:rsidRDefault="00E87C32">
      <w:pPr>
        <w:adjustRightInd w:val="0"/>
        <w:snapToGrid w:val="0"/>
        <w:spacing w:line="360" w:lineRule="auto"/>
        <w:ind w:firstLineChars="200" w:firstLine="480"/>
        <w:rPr>
          <w:sz w:val="24"/>
          <w:szCs w:val="24"/>
        </w:rPr>
      </w:pPr>
      <w:r>
        <w:rPr>
          <w:rFonts w:hint="eastAsia"/>
          <w:sz w:val="24"/>
          <w:szCs w:val="24"/>
        </w:rPr>
        <w:t>（注：对于适用固定金额认购费用的认购，认购费用＝固定认购费用金额）</w:t>
      </w:r>
    </w:p>
    <w:p w14:paraId="3CFF5639" w14:textId="77777777" w:rsidR="001932F7" w:rsidRDefault="00E87C32">
      <w:pPr>
        <w:adjustRightInd w:val="0"/>
        <w:snapToGrid w:val="0"/>
        <w:spacing w:line="360" w:lineRule="auto"/>
        <w:ind w:firstLineChars="200" w:firstLine="480"/>
        <w:rPr>
          <w:sz w:val="24"/>
          <w:szCs w:val="24"/>
        </w:rPr>
      </w:pPr>
      <w:r>
        <w:rPr>
          <w:rFonts w:hint="eastAsia"/>
          <w:sz w:val="24"/>
          <w:szCs w:val="24"/>
        </w:rPr>
        <w:t>认购份额</w:t>
      </w:r>
      <w:r>
        <w:rPr>
          <w:rFonts w:hint="eastAsia"/>
          <w:sz w:val="24"/>
          <w:szCs w:val="24"/>
        </w:rPr>
        <w:t>=</w:t>
      </w:r>
      <w:r>
        <w:rPr>
          <w:rFonts w:hint="eastAsia"/>
          <w:sz w:val="24"/>
          <w:szCs w:val="24"/>
        </w:rPr>
        <w:t>净认购金额</w:t>
      </w:r>
      <w:r>
        <w:rPr>
          <w:rFonts w:hint="eastAsia"/>
          <w:sz w:val="24"/>
          <w:szCs w:val="24"/>
        </w:rPr>
        <w:t>/</w:t>
      </w:r>
      <w:r>
        <w:rPr>
          <w:rFonts w:hint="eastAsia"/>
          <w:sz w:val="24"/>
          <w:szCs w:val="24"/>
        </w:rPr>
        <w:t>基金份额初始面值</w:t>
      </w:r>
      <w:r>
        <w:rPr>
          <w:rFonts w:hint="eastAsia"/>
          <w:sz w:val="24"/>
          <w:szCs w:val="24"/>
        </w:rPr>
        <w:t>+</w:t>
      </w:r>
      <w:r>
        <w:rPr>
          <w:rFonts w:hint="eastAsia"/>
          <w:sz w:val="24"/>
          <w:szCs w:val="24"/>
        </w:rPr>
        <w:t>认购利息</w:t>
      </w:r>
      <w:r>
        <w:rPr>
          <w:rFonts w:hint="eastAsia"/>
          <w:sz w:val="24"/>
          <w:szCs w:val="24"/>
        </w:rPr>
        <w:t>/</w:t>
      </w:r>
      <w:r>
        <w:rPr>
          <w:rFonts w:hint="eastAsia"/>
          <w:sz w:val="24"/>
          <w:szCs w:val="24"/>
        </w:rPr>
        <w:t>基金份额初始面值</w:t>
      </w:r>
    </w:p>
    <w:p w14:paraId="2A9B8E3E" w14:textId="77777777" w:rsidR="001932F7" w:rsidRDefault="00E87C32">
      <w:pPr>
        <w:adjustRightInd w:val="0"/>
        <w:snapToGrid w:val="0"/>
        <w:spacing w:line="360" w:lineRule="auto"/>
        <w:ind w:firstLineChars="200" w:firstLine="480"/>
        <w:rPr>
          <w:sz w:val="24"/>
          <w:szCs w:val="24"/>
        </w:rPr>
      </w:pPr>
      <w:r>
        <w:rPr>
          <w:rFonts w:hint="eastAsia"/>
          <w:sz w:val="24"/>
          <w:szCs w:val="24"/>
        </w:rPr>
        <w:t>认购份额的计算保留到小数点后</w:t>
      </w:r>
      <w:r>
        <w:rPr>
          <w:rFonts w:hint="eastAsia"/>
          <w:sz w:val="24"/>
          <w:szCs w:val="24"/>
        </w:rPr>
        <w:t>2</w:t>
      </w:r>
      <w:r>
        <w:rPr>
          <w:rFonts w:hint="eastAsia"/>
          <w:sz w:val="24"/>
          <w:szCs w:val="24"/>
        </w:rPr>
        <w:t>位，小数点</w:t>
      </w:r>
      <w:r>
        <w:rPr>
          <w:rFonts w:hint="eastAsia"/>
          <w:sz w:val="24"/>
          <w:szCs w:val="24"/>
        </w:rPr>
        <w:t>2</w:t>
      </w:r>
      <w:r>
        <w:rPr>
          <w:rFonts w:hint="eastAsia"/>
          <w:sz w:val="24"/>
          <w:szCs w:val="24"/>
        </w:rPr>
        <w:t>位以后的部分四舍五入，由此误差产生的收益或损失由基金财产承担。</w:t>
      </w:r>
    </w:p>
    <w:p w14:paraId="2CACA994" w14:textId="77777777" w:rsidR="001932F7" w:rsidRDefault="00E87C32">
      <w:pPr>
        <w:adjustRightInd w:val="0"/>
        <w:snapToGrid w:val="0"/>
        <w:spacing w:line="360" w:lineRule="auto"/>
        <w:ind w:firstLineChars="200" w:firstLine="480"/>
        <w:rPr>
          <w:sz w:val="24"/>
          <w:szCs w:val="24"/>
        </w:rPr>
      </w:pPr>
      <w:r>
        <w:rPr>
          <w:rFonts w:hint="eastAsia"/>
          <w:sz w:val="24"/>
          <w:szCs w:val="24"/>
        </w:rPr>
        <w:t>例一：某投资者通过直销机构认购本基金</w:t>
      </w:r>
      <w:r>
        <w:rPr>
          <w:rFonts w:hint="eastAsia"/>
          <w:sz w:val="24"/>
          <w:szCs w:val="24"/>
        </w:rPr>
        <w:t>100,000.00</w:t>
      </w:r>
      <w:r>
        <w:rPr>
          <w:rFonts w:hint="eastAsia"/>
          <w:sz w:val="24"/>
          <w:szCs w:val="24"/>
        </w:rPr>
        <w:t>元，且该认购申请被全额确认，假定该笔认购金额产生的利息为</w:t>
      </w:r>
      <w:r>
        <w:rPr>
          <w:rFonts w:hint="eastAsia"/>
          <w:sz w:val="24"/>
          <w:szCs w:val="24"/>
        </w:rPr>
        <w:t>10.00</w:t>
      </w:r>
      <w:r>
        <w:rPr>
          <w:rFonts w:hint="eastAsia"/>
          <w:sz w:val="24"/>
          <w:szCs w:val="24"/>
        </w:rPr>
        <w:t>元，认购费率为</w:t>
      </w:r>
      <w:r>
        <w:rPr>
          <w:rFonts w:hint="eastAsia"/>
          <w:sz w:val="24"/>
          <w:szCs w:val="24"/>
        </w:rPr>
        <w:t>0</w:t>
      </w:r>
      <w:r>
        <w:rPr>
          <w:rFonts w:hint="eastAsia"/>
          <w:sz w:val="24"/>
          <w:szCs w:val="24"/>
        </w:rPr>
        <w:t>，则可认购基金份额为：</w:t>
      </w:r>
    </w:p>
    <w:p w14:paraId="76F2706C" w14:textId="77777777" w:rsidR="001932F7" w:rsidRDefault="00E87C32">
      <w:pPr>
        <w:adjustRightInd w:val="0"/>
        <w:snapToGrid w:val="0"/>
        <w:spacing w:line="360" w:lineRule="auto"/>
        <w:ind w:firstLineChars="200" w:firstLine="480"/>
        <w:rPr>
          <w:sz w:val="24"/>
          <w:szCs w:val="24"/>
        </w:rPr>
      </w:pPr>
      <w:r>
        <w:rPr>
          <w:rFonts w:hint="eastAsia"/>
          <w:sz w:val="24"/>
          <w:szCs w:val="24"/>
        </w:rPr>
        <w:t>认购总金额</w:t>
      </w:r>
      <w:r>
        <w:rPr>
          <w:rFonts w:hint="eastAsia"/>
          <w:sz w:val="24"/>
          <w:szCs w:val="24"/>
        </w:rPr>
        <w:t>=100,000.00</w:t>
      </w:r>
      <w:r>
        <w:rPr>
          <w:rFonts w:hint="eastAsia"/>
          <w:sz w:val="24"/>
          <w:szCs w:val="24"/>
        </w:rPr>
        <w:t>元</w:t>
      </w:r>
    </w:p>
    <w:p w14:paraId="4DCFE162" w14:textId="77777777" w:rsidR="001932F7" w:rsidRDefault="00E87C32">
      <w:pPr>
        <w:adjustRightInd w:val="0"/>
        <w:snapToGrid w:val="0"/>
        <w:spacing w:line="360" w:lineRule="auto"/>
        <w:ind w:firstLineChars="200" w:firstLine="480"/>
        <w:rPr>
          <w:sz w:val="24"/>
          <w:szCs w:val="24"/>
        </w:rPr>
      </w:pPr>
      <w:r>
        <w:rPr>
          <w:rFonts w:hint="eastAsia"/>
          <w:sz w:val="24"/>
          <w:szCs w:val="24"/>
        </w:rPr>
        <w:t>净认购金额＝</w:t>
      </w:r>
      <w:r>
        <w:rPr>
          <w:rFonts w:hint="eastAsia"/>
          <w:sz w:val="24"/>
          <w:szCs w:val="24"/>
        </w:rPr>
        <w:t>100,000.00/</w:t>
      </w:r>
      <w:r>
        <w:rPr>
          <w:rFonts w:hint="eastAsia"/>
          <w:sz w:val="24"/>
          <w:szCs w:val="24"/>
        </w:rPr>
        <w:t>（</w:t>
      </w:r>
      <w:r>
        <w:rPr>
          <w:rFonts w:hint="eastAsia"/>
          <w:sz w:val="24"/>
          <w:szCs w:val="24"/>
        </w:rPr>
        <w:t>1</w:t>
      </w:r>
      <w:r>
        <w:rPr>
          <w:rFonts w:hint="eastAsia"/>
          <w:sz w:val="24"/>
          <w:szCs w:val="24"/>
        </w:rPr>
        <w:t>＋</w:t>
      </w:r>
      <w:r>
        <w:rPr>
          <w:rFonts w:hint="eastAsia"/>
          <w:sz w:val="24"/>
          <w:szCs w:val="24"/>
        </w:rPr>
        <w:t>0</w:t>
      </w:r>
      <w:r>
        <w:rPr>
          <w:rFonts w:hint="eastAsia"/>
          <w:sz w:val="24"/>
          <w:szCs w:val="24"/>
        </w:rPr>
        <w:t>）＝</w:t>
      </w:r>
      <w:r>
        <w:rPr>
          <w:rFonts w:hint="eastAsia"/>
          <w:sz w:val="24"/>
          <w:szCs w:val="24"/>
        </w:rPr>
        <w:t>100,000.00</w:t>
      </w:r>
      <w:r>
        <w:rPr>
          <w:rFonts w:hint="eastAsia"/>
          <w:sz w:val="24"/>
          <w:szCs w:val="24"/>
        </w:rPr>
        <w:t>元</w:t>
      </w:r>
    </w:p>
    <w:p w14:paraId="3B065A13" w14:textId="77777777" w:rsidR="001932F7" w:rsidRDefault="00E87C32">
      <w:pPr>
        <w:adjustRightInd w:val="0"/>
        <w:snapToGrid w:val="0"/>
        <w:spacing w:line="360" w:lineRule="auto"/>
        <w:ind w:firstLineChars="200" w:firstLine="480"/>
        <w:rPr>
          <w:sz w:val="24"/>
          <w:szCs w:val="24"/>
        </w:rPr>
      </w:pPr>
      <w:r>
        <w:rPr>
          <w:rFonts w:hint="eastAsia"/>
          <w:sz w:val="24"/>
          <w:szCs w:val="24"/>
        </w:rPr>
        <w:t>认购费用＝</w:t>
      </w:r>
      <w:r>
        <w:rPr>
          <w:rFonts w:hint="eastAsia"/>
          <w:sz w:val="24"/>
          <w:szCs w:val="24"/>
        </w:rPr>
        <w:t>100,000.00-100,000.00=0.00</w:t>
      </w:r>
      <w:r>
        <w:rPr>
          <w:rFonts w:hint="eastAsia"/>
          <w:sz w:val="24"/>
          <w:szCs w:val="24"/>
        </w:rPr>
        <w:t>元</w:t>
      </w:r>
    </w:p>
    <w:p w14:paraId="7DBA4CD6" w14:textId="77777777" w:rsidR="001932F7" w:rsidRDefault="00E87C32">
      <w:pPr>
        <w:adjustRightInd w:val="0"/>
        <w:snapToGrid w:val="0"/>
        <w:spacing w:line="360" w:lineRule="auto"/>
        <w:ind w:firstLineChars="200" w:firstLine="480"/>
        <w:rPr>
          <w:sz w:val="24"/>
          <w:szCs w:val="24"/>
        </w:rPr>
      </w:pPr>
      <w:r>
        <w:rPr>
          <w:rFonts w:hint="eastAsia"/>
          <w:sz w:val="24"/>
          <w:szCs w:val="24"/>
        </w:rPr>
        <w:t>认购份额＝</w:t>
      </w:r>
      <w:r>
        <w:rPr>
          <w:rFonts w:hint="eastAsia"/>
          <w:sz w:val="24"/>
          <w:szCs w:val="24"/>
        </w:rPr>
        <w:t>100,000.00/1.00</w:t>
      </w:r>
      <w:r>
        <w:rPr>
          <w:rFonts w:hint="eastAsia"/>
          <w:sz w:val="24"/>
          <w:szCs w:val="24"/>
        </w:rPr>
        <w:t>＋</w:t>
      </w:r>
      <w:r>
        <w:rPr>
          <w:rFonts w:hint="eastAsia"/>
          <w:sz w:val="24"/>
          <w:szCs w:val="24"/>
        </w:rPr>
        <w:t>10.00/1.00</w:t>
      </w:r>
      <w:r>
        <w:rPr>
          <w:rFonts w:hint="eastAsia"/>
          <w:sz w:val="24"/>
          <w:szCs w:val="24"/>
        </w:rPr>
        <w:t>＝</w:t>
      </w:r>
      <w:r>
        <w:rPr>
          <w:rFonts w:hint="eastAsia"/>
          <w:sz w:val="24"/>
          <w:szCs w:val="24"/>
        </w:rPr>
        <w:t>100,010.00</w:t>
      </w:r>
      <w:r>
        <w:rPr>
          <w:rFonts w:hint="eastAsia"/>
          <w:sz w:val="24"/>
          <w:szCs w:val="24"/>
        </w:rPr>
        <w:t>份</w:t>
      </w:r>
    </w:p>
    <w:p w14:paraId="6F22A7F3" w14:textId="77777777" w:rsidR="001932F7" w:rsidRDefault="00E87C32">
      <w:pPr>
        <w:adjustRightInd w:val="0"/>
        <w:snapToGrid w:val="0"/>
        <w:spacing w:line="360" w:lineRule="auto"/>
        <w:ind w:firstLineChars="200" w:firstLine="480"/>
        <w:rPr>
          <w:sz w:val="24"/>
          <w:szCs w:val="24"/>
        </w:rPr>
      </w:pPr>
      <w:r>
        <w:rPr>
          <w:rFonts w:hint="eastAsia"/>
          <w:sz w:val="24"/>
          <w:szCs w:val="24"/>
        </w:rPr>
        <w:t>即：若该投资者通过直销机构认购本基金</w:t>
      </w:r>
      <w:r>
        <w:rPr>
          <w:rFonts w:hint="eastAsia"/>
          <w:sz w:val="24"/>
          <w:szCs w:val="24"/>
        </w:rPr>
        <w:t>100,000.00</w:t>
      </w:r>
      <w:r>
        <w:rPr>
          <w:rFonts w:hint="eastAsia"/>
          <w:sz w:val="24"/>
          <w:szCs w:val="24"/>
        </w:rPr>
        <w:t>元，且该认购申请被全额确认，假定该笔认购金额产生的利息为</w:t>
      </w:r>
      <w:r>
        <w:rPr>
          <w:rFonts w:hint="eastAsia"/>
          <w:sz w:val="24"/>
          <w:szCs w:val="24"/>
        </w:rPr>
        <w:t>10.00</w:t>
      </w:r>
      <w:r>
        <w:rPr>
          <w:rFonts w:hint="eastAsia"/>
          <w:sz w:val="24"/>
          <w:szCs w:val="24"/>
        </w:rPr>
        <w:t>元，则可得到</w:t>
      </w:r>
      <w:r>
        <w:rPr>
          <w:rFonts w:hint="eastAsia"/>
          <w:sz w:val="24"/>
          <w:szCs w:val="24"/>
        </w:rPr>
        <w:t>100,010.00</w:t>
      </w:r>
      <w:r>
        <w:rPr>
          <w:rFonts w:hint="eastAsia"/>
          <w:sz w:val="24"/>
          <w:szCs w:val="24"/>
        </w:rPr>
        <w:t>份基金份额。</w:t>
      </w:r>
    </w:p>
    <w:p w14:paraId="1F91F902" w14:textId="77777777" w:rsidR="001932F7" w:rsidRDefault="00E87C32">
      <w:pPr>
        <w:adjustRightInd w:val="0"/>
        <w:snapToGrid w:val="0"/>
        <w:spacing w:line="360" w:lineRule="auto"/>
        <w:ind w:firstLineChars="200" w:firstLine="480"/>
        <w:rPr>
          <w:sz w:val="24"/>
          <w:szCs w:val="24"/>
        </w:rPr>
      </w:pPr>
      <w:r>
        <w:rPr>
          <w:rFonts w:hint="eastAsia"/>
          <w:sz w:val="24"/>
          <w:szCs w:val="24"/>
        </w:rPr>
        <w:t>例二：某投资者通过其他销售机构认购本基金</w:t>
      </w:r>
      <w:r>
        <w:rPr>
          <w:rFonts w:hint="eastAsia"/>
          <w:sz w:val="24"/>
          <w:szCs w:val="24"/>
        </w:rPr>
        <w:t>100,000.00</w:t>
      </w:r>
      <w:r>
        <w:rPr>
          <w:rFonts w:hint="eastAsia"/>
          <w:sz w:val="24"/>
          <w:szCs w:val="24"/>
        </w:rPr>
        <w:t>元，且该认购申请</w:t>
      </w:r>
      <w:r>
        <w:rPr>
          <w:rFonts w:hint="eastAsia"/>
          <w:sz w:val="24"/>
          <w:szCs w:val="24"/>
        </w:rPr>
        <w:lastRenderedPageBreak/>
        <w:t>被全额确认，假定该笔认购金额产生的利息为</w:t>
      </w:r>
      <w:r>
        <w:rPr>
          <w:rFonts w:hint="eastAsia"/>
          <w:sz w:val="24"/>
          <w:szCs w:val="24"/>
        </w:rPr>
        <w:t>10.00</w:t>
      </w:r>
      <w:r>
        <w:rPr>
          <w:rFonts w:hint="eastAsia"/>
          <w:sz w:val="24"/>
          <w:szCs w:val="24"/>
        </w:rPr>
        <w:t>元，认购费率为</w:t>
      </w:r>
      <w:r>
        <w:rPr>
          <w:rFonts w:hint="eastAsia"/>
          <w:sz w:val="24"/>
          <w:szCs w:val="24"/>
        </w:rPr>
        <w:t>0.7%</w:t>
      </w:r>
      <w:r>
        <w:rPr>
          <w:rFonts w:hint="eastAsia"/>
          <w:sz w:val="24"/>
          <w:szCs w:val="24"/>
        </w:rPr>
        <w:t>，则可认购基金份额为：</w:t>
      </w:r>
    </w:p>
    <w:p w14:paraId="3E0A9293" w14:textId="77777777" w:rsidR="001932F7" w:rsidRDefault="00E87C32">
      <w:pPr>
        <w:adjustRightInd w:val="0"/>
        <w:snapToGrid w:val="0"/>
        <w:spacing w:line="360" w:lineRule="auto"/>
        <w:ind w:firstLineChars="200" w:firstLine="480"/>
        <w:rPr>
          <w:sz w:val="24"/>
          <w:szCs w:val="24"/>
        </w:rPr>
      </w:pPr>
      <w:r>
        <w:rPr>
          <w:rFonts w:hint="eastAsia"/>
          <w:sz w:val="24"/>
          <w:szCs w:val="24"/>
        </w:rPr>
        <w:t>认购总金额</w:t>
      </w:r>
      <w:r>
        <w:rPr>
          <w:rFonts w:hint="eastAsia"/>
          <w:sz w:val="24"/>
          <w:szCs w:val="24"/>
        </w:rPr>
        <w:t>=100,000.00</w:t>
      </w:r>
      <w:r>
        <w:rPr>
          <w:rFonts w:hint="eastAsia"/>
          <w:sz w:val="24"/>
          <w:szCs w:val="24"/>
        </w:rPr>
        <w:t>元</w:t>
      </w:r>
    </w:p>
    <w:p w14:paraId="36A5EADE" w14:textId="77777777" w:rsidR="001932F7" w:rsidRDefault="00E87C32">
      <w:pPr>
        <w:adjustRightInd w:val="0"/>
        <w:snapToGrid w:val="0"/>
        <w:spacing w:line="360" w:lineRule="auto"/>
        <w:ind w:firstLineChars="200" w:firstLine="480"/>
        <w:rPr>
          <w:sz w:val="24"/>
          <w:szCs w:val="24"/>
        </w:rPr>
      </w:pPr>
      <w:r>
        <w:rPr>
          <w:rFonts w:hint="eastAsia"/>
          <w:sz w:val="24"/>
          <w:szCs w:val="24"/>
        </w:rPr>
        <w:t>净认购金额＝</w:t>
      </w:r>
      <w:r>
        <w:rPr>
          <w:rFonts w:hint="eastAsia"/>
          <w:sz w:val="24"/>
          <w:szCs w:val="24"/>
        </w:rPr>
        <w:t>100,000.00/</w:t>
      </w:r>
      <w:r>
        <w:rPr>
          <w:rFonts w:hint="eastAsia"/>
          <w:sz w:val="24"/>
          <w:szCs w:val="24"/>
        </w:rPr>
        <w:t>（</w:t>
      </w:r>
      <w:r>
        <w:rPr>
          <w:rFonts w:hint="eastAsia"/>
          <w:sz w:val="24"/>
          <w:szCs w:val="24"/>
        </w:rPr>
        <w:t>1</w:t>
      </w:r>
      <w:r>
        <w:rPr>
          <w:rFonts w:hint="eastAsia"/>
          <w:sz w:val="24"/>
          <w:szCs w:val="24"/>
        </w:rPr>
        <w:t>＋</w:t>
      </w:r>
      <w:r>
        <w:rPr>
          <w:rFonts w:hint="eastAsia"/>
          <w:sz w:val="24"/>
          <w:szCs w:val="24"/>
        </w:rPr>
        <w:t>0.7%</w:t>
      </w:r>
      <w:r>
        <w:rPr>
          <w:rFonts w:hint="eastAsia"/>
          <w:sz w:val="24"/>
          <w:szCs w:val="24"/>
        </w:rPr>
        <w:t>）＝</w:t>
      </w:r>
      <w:r>
        <w:rPr>
          <w:rFonts w:hint="eastAsia"/>
          <w:sz w:val="24"/>
          <w:szCs w:val="24"/>
        </w:rPr>
        <w:t>99,304.87</w:t>
      </w:r>
      <w:r>
        <w:rPr>
          <w:rFonts w:hint="eastAsia"/>
          <w:sz w:val="24"/>
          <w:szCs w:val="24"/>
        </w:rPr>
        <w:t>元</w:t>
      </w:r>
    </w:p>
    <w:p w14:paraId="16301BD8" w14:textId="77777777" w:rsidR="001932F7" w:rsidRDefault="00E87C32">
      <w:pPr>
        <w:adjustRightInd w:val="0"/>
        <w:snapToGrid w:val="0"/>
        <w:spacing w:line="360" w:lineRule="auto"/>
        <w:ind w:firstLineChars="200" w:firstLine="480"/>
        <w:rPr>
          <w:sz w:val="24"/>
          <w:szCs w:val="24"/>
        </w:rPr>
      </w:pPr>
      <w:r>
        <w:rPr>
          <w:rFonts w:hint="eastAsia"/>
          <w:sz w:val="24"/>
          <w:szCs w:val="24"/>
        </w:rPr>
        <w:t>认购费用＝</w:t>
      </w:r>
      <w:r>
        <w:rPr>
          <w:rFonts w:hint="eastAsia"/>
          <w:sz w:val="24"/>
          <w:szCs w:val="24"/>
        </w:rPr>
        <w:t>100,000.00-99,304.87</w:t>
      </w:r>
      <w:r>
        <w:rPr>
          <w:rFonts w:hint="eastAsia"/>
          <w:sz w:val="24"/>
          <w:szCs w:val="24"/>
        </w:rPr>
        <w:t>＝</w:t>
      </w:r>
      <w:r>
        <w:rPr>
          <w:rFonts w:hint="eastAsia"/>
          <w:sz w:val="24"/>
          <w:szCs w:val="24"/>
        </w:rPr>
        <w:t>695.13</w:t>
      </w:r>
      <w:r>
        <w:rPr>
          <w:rFonts w:hint="eastAsia"/>
          <w:sz w:val="24"/>
          <w:szCs w:val="24"/>
        </w:rPr>
        <w:t>元</w:t>
      </w:r>
    </w:p>
    <w:p w14:paraId="4EA8F51A" w14:textId="77777777" w:rsidR="001932F7" w:rsidRDefault="00E87C32">
      <w:pPr>
        <w:adjustRightInd w:val="0"/>
        <w:snapToGrid w:val="0"/>
        <w:spacing w:line="360" w:lineRule="auto"/>
        <w:ind w:firstLineChars="200" w:firstLine="480"/>
        <w:rPr>
          <w:sz w:val="24"/>
          <w:szCs w:val="24"/>
        </w:rPr>
      </w:pPr>
      <w:r>
        <w:rPr>
          <w:rFonts w:hint="eastAsia"/>
          <w:sz w:val="24"/>
          <w:szCs w:val="24"/>
        </w:rPr>
        <w:t>认购份额＝</w:t>
      </w:r>
      <w:r>
        <w:rPr>
          <w:rFonts w:hint="eastAsia"/>
          <w:sz w:val="24"/>
          <w:szCs w:val="24"/>
        </w:rPr>
        <w:t>99,304.87/1.00</w:t>
      </w:r>
      <w:r>
        <w:rPr>
          <w:rFonts w:hint="eastAsia"/>
          <w:sz w:val="24"/>
          <w:szCs w:val="24"/>
        </w:rPr>
        <w:t>＋</w:t>
      </w:r>
      <w:r>
        <w:rPr>
          <w:rFonts w:hint="eastAsia"/>
          <w:sz w:val="24"/>
          <w:szCs w:val="24"/>
        </w:rPr>
        <w:t>10.00/1.00</w:t>
      </w:r>
      <w:r>
        <w:rPr>
          <w:rFonts w:hint="eastAsia"/>
          <w:sz w:val="24"/>
          <w:szCs w:val="24"/>
        </w:rPr>
        <w:t>＝</w:t>
      </w:r>
      <w:r>
        <w:rPr>
          <w:rFonts w:hint="eastAsia"/>
          <w:sz w:val="24"/>
          <w:szCs w:val="24"/>
        </w:rPr>
        <w:t>99,314.87</w:t>
      </w:r>
      <w:r>
        <w:rPr>
          <w:rFonts w:hint="eastAsia"/>
          <w:sz w:val="24"/>
          <w:szCs w:val="24"/>
        </w:rPr>
        <w:t>份</w:t>
      </w:r>
    </w:p>
    <w:p w14:paraId="1977753C" w14:textId="45D87C88" w:rsidR="001932F7" w:rsidRDefault="00E87C32">
      <w:pPr>
        <w:adjustRightInd w:val="0"/>
        <w:snapToGrid w:val="0"/>
        <w:spacing w:line="360" w:lineRule="auto"/>
        <w:ind w:firstLineChars="200" w:firstLine="480"/>
        <w:rPr>
          <w:sz w:val="24"/>
        </w:rPr>
      </w:pPr>
      <w:r>
        <w:rPr>
          <w:rFonts w:hint="eastAsia"/>
          <w:sz w:val="24"/>
          <w:szCs w:val="24"/>
        </w:rPr>
        <w:t>即：若该投资者通过其他销售机构认购本基金</w:t>
      </w:r>
      <w:r>
        <w:rPr>
          <w:rFonts w:hint="eastAsia"/>
          <w:sz w:val="24"/>
          <w:szCs w:val="24"/>
        </w:rPr>
        <w:t>100,000.00</w:t>
      </w:r>
      <w:r>
        <w:rPr>
          <w:rFonts w:hint="eastAsia"/>
          <w:sz w:val="24"/>
          <w:szCs w:val="24"/>
        </w:rPr>
        <w:t>元，且该认购申请被全额确认，假定该笔认购金额产生的利息为</w:t>
      </w:r>
      <w:r>
        <w:rPr>
          <w:rFonts w:hint="eastAsia"/>
          <w:sz w:val="24"/>
          <w:szCs w:val="24"/>
        </w:rPr>
        <w:t>10.00</w:t>
      </w:r>
      <w:r>
        <w:rPr>
          <w:rFonts w:hint="eastAsia"/>
          <w:sz w:val="24"/>
          <w:szCs w:val="24"/>
        </w:rPr>
        <w:t>元，则投资</w:t>
      </w:r>
      <w:r>
        <w:rPr>
          <w:rFonts w:hint="eastAsia"/>
          <w:sz w:val="24"/>
          <w:szCs w:val="24"/>
        </w:rPr>
        <w:t>100,000</w:t>
      </w:r>
      <w:r>
        <w:rPr>
          <w:rFonts w:hint="eastAsia"/>
          <w:sz w:val="24"/>
          <w:szCs w:val="24"/>
        </w:rPr>
        <w:t>元本金可得到</w:t>
      </w:r>
      <w:r>
        <w:rPr>
          <w:rFonts w:hint="eastAsia"/>
          <w:sz w:val="24"/>
          <w:szCs w:val="24"/>
        </w:rPr>
        <w:t>99,314.87</w:t>
      </w:r>
      <w:r>
        <w:rPr>
          <w:rFonts w:hint="eastAsia"/>
          <w:sz w:val="24"/>
          <w:szCs w:val="24"/>
        </w:rPr>
        <w:t>份基金份额。</w:t>
      </w:r>
    </w:p>
    <w:p w14:paraId="16D93EDD" w14:textId="77777777" w:rsidR="001932F7" w:rsidRDefault="00E87C32">
      <w:pPr>
        <w:keepNext/>
        <w:keepLines/>
        <w:adjustRightInd w:val="0"/>
        <w:snapToGrid w:val="0"/>
        <w:spacing w:before="240" w:afterLines="50" w:after="156" w:line="360" w:lineRule="auto"/>
        <w:jc w:val="center"/>
        <w:outlineLvl w:val="0"/>
        <w:rPr>
          <w:b/>
          <w:sz w:val="24"/>
        </w:rPr>
      </w:pPr>
      <w:r>
        <w:rPr>
          <w:rFonts w:ascii="宋体" w:hAnsi="宋体" w:hint="eastAsia"/>
          <w:b/>
          <w:sz w:val="24"/>
        </w:rPr>
        <w:t>二</w:t>
      </w:r>
      <w:r>
        <w:rPr>
          <w:rFonts w:hint="eastAsia"/>
          <w:b/>
          <w:sz w:val="24"/>
        </w:rPr>
        <w:t>、募集方式及相关规定</w:t>
      </w:r>
    </w:p>
    <w:p w14:paraId="274D6360" w14:textId="77777777" w:rsidR="001932F7" w:rsidRDefault="00E87C32">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5EEA3177" w14:textId="77777777" w:rsidR="001932F7" w:rsidRDefault="00E87C32">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59788908" w14:textId="77777777" w:rsidR="001932F7" w:rsidRDefault="00E87C32">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002DD9D7" w14:textId="77777777" w:rsidR="001932F7" w:rsidRDefault="00E87C32">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14:paraId="7A0AD017" w14:textId="77777777" w:rsidR="001932F7" w:rsidRDefault="00E87C32">
      <w:pPr>
        <w:adjustRightInd w:val="0"/>
        <w:snapToGrid w:val="0"/>
        <w:spacing w:line="360" w:lineRule="auto"/>
        <w:ind w:firstLineChars="200" w:firstLine="480"/>
        <w:rPr>
          <w:rFonts w:hAnsi="宋体"/>
          <w:kern w:val="0"/>
          <w:sz w:val="24"/>
        </w:rPr>
      </w:pPr>
      <w:r>
        <w:rPr>
          <w:kern w:val="0"/>
          <w:sz w:val="24"/>
        </w:rPr>
        <w:t>5</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0BDDEB09" w14:textId="77777777" w:rsidR="001932F7" w:rsidRDefault="00E87C32">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、发起资金提供方认购本基金的总金额不少于</w:t>
      </w:r>
      <w:r>
        <w:rPr>
          <w:rFonts w:hAnsi="宋体" w:hint="eastAsia"/>
          <w:kern w:val="0"/>
          <w:sz w:val="24"/>
        </w:rPr>
        <w:t>1000</w:t>
      </w:r>
      <w:r>
        <w:rPr>
          <w:rFonts w:hAnsi="宋体" w:hint="eastAsia"/>
          <w:kern w:val="0"/>
          <w:sz w:val="24"/>
        </w:rPr>
        <w:t>万元人民币，且持有期限自基金合同生效之日起不少于</w:t>
      </w:r>
      <w:r>
        <w:rPr>
          <w:rFonts w:hAnsi="宋体" w:hint="eastAsia"/>
          <w:kern w:val="0"/>
          <w:sz w:val="24"/>
        </w:rPr>
        <w:t>3</w:t>
      </w:r>
      <w:r>
        <w:rPr>
          <w:rFonts w:hAnsi="宋体" w:hint="eastAsia"/>
          <w:kern w:val="0"/>
          <w:sz w:val="24"/>
        </w:rPr>
        <w:t>年，法律法规和监管机构另有规定的除外。</w:t>
      </w:r>
    </w:p>
    <w:p w14:paraId="5B8E70B0" w14:textId="77777777" w:rsidR="001932F7" w:rsidRDefault="001932F7">
      <w:pPr>
        <w:adjustRightInd w:val="0"/>
        <w:snapToGrid w:val="0"/>
        <w:spacing w:line="360" w:lineRule="auto"/>
        <w:ind w:firstLineChars="200" w:firstLine="480"/>
        <w:rPr>
          <w:rFonts w:hAnsi="宋体"/>
          <w:kern w:val="0"/>
          <w:sz w:val="24"/>
        </w:rPr>
      </w:pPr>
    </w:p>
    <w:p w14:paraId="02860787" w14:textId="77777777" w:rsidR="001932F7" w:rsidRDefault="00E87C32">
      <w:pPr>
        <w:keepNext/>
        <w:keepLines/>
        <w:adjustRightInd w:val="0"/>
        <w:snapToGrid w:val="0"/>
        <w:spacing w:before="240" w:afterLines="50" w:after="156" w:line="360" w:lineRule="auto"/>
        <w:jc w:val="center"/>
        <w:outlineLvl w:val="0"/>
        <w:rPr>
          <w:b/>
          <w:sz w:val="24"/>
        </w:rPr>
      </w:pPr>
      <w:r>
        <w:rPr>
          <w:rFonts w:hint="eastAsia"/>
          <w:b/>
          <w:sz w:val="24"/>
        </w:rPr>
        <w:t>三、个人投资者的开户与认购程序</w:t>
      </w:r>
    </w:p>
    <w:p w14:paraId="6ADB759F"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（一）直销机构</w:t>
      </w:r>
    </w:p>
    <w:p w14:paraId="003C3BB8" w14:textId="77777777" w:rsidR="001932F7" w:rsidRDefault="00E87C32">
      <w:pPr>
        <w:adjustRightInd w:val="0"/>
        <w:snapToGrid w:val="0"/>
        <w:spacing w:line="360" w:lineRule="auto"/>
        <w:ind w:firstLineChars="200" w:firstLine="482"/>
        <w:rPr>
          <w:rFonts w:hAnsi="宋体"/>
          <w:b/>
          <w:sz w:val="24"/>
        </w:rPr>
      </w:pPr>
      <w:r>
        <w:rPr>
          <w:rFonts w:hAnsi="宋体"/>
          <w:b/>
          <w:sz w:val="24"/>
        </w:rPr>
        <w:lastRenderedPageBreak/>
        <w:t>1</w:t>
      </w:r>
      <w:r>
        <w:rPr>
          <w:rFonts w:hAnsi="宋体" w:hint="eastAsia"/>
          <w:b/>
          <w:sz w:val="24"/>
        </w:rPr>
        <w:t>、直销柜台</w:t>
      </w:r>
    </w:p>
    <w:p w14:paraId="21CBBC11" w14:textId="77777777" w:rsidR="001932F7" w:rsidRDefault="00E87C32">
      <w:pPr>
        <w:adjustRightInd w:val="0"/>
        <w:snapToGrid w:val="0"/>
        <w:spacing w:line="360" w:lineRule="auto"/>
        <w:ind w:firstLineChars="200" w:firstLine="480"/>
        <w:rPr>
          <w:rFonts w:hAnsi="宋体"/>
          <w:sz w:val="24"/>
        </w:rPr>
      </w:pPr>
      <w:r>
        <w:rPr>
          <w:rFonts w:hAnsi="宋体" w:hint="eastAsia"/>
          <w:sz w:val="24"/>
        </w:rPr>
        <w:t>如果个人投资者首次认购金额在</w:t>
      </w:r>
      <w:r>
        <w:rPr>
          <w:rFonts w:hAnsi="宋体"/>
          <w:sz w:val="24"/>
        </w:rPr>
        <w:t>100</w:t>
      </w:r>
      <w:r>
        <w:rPr>
          <w:rFonts w:hAnsi="宋体" w:hint="eastAsia"/>
          <w:sz w:val="24"/>
        </w:rPr>
        <w:t>万元（含</w:t>
      </w:r>
      <w:r>
        <w:rPr>
          <w:rFonts w:hAnsi="宋体"/>
          <w:sz w:val="24"/>
        </w:rPr>
        <w:t>100</w:t>
      </w:r>
      <w:r>
        <w:rPr>
          <w:rFonts w:hAnsi="宋体" w:hint="eastAsia"/>
          <w:sz w:val="24"/>
        </w:rPr>
        <w:t>万元）以上，可以选择到本公司直销柜台办理认购。</w:t>
      </w:r>
    </w:p>
    <w:p w14:paraId="1FFA90D3" w14:textId="77777777" w:rsidR="001932F7" w:rsidRDefault="00E87C32">
      <w:pPr>
        <w:adjustRightInd w:val="0"/>
        <w:snapToGrid w:val="0"/>
        <w:spacing w:line="360" w:lineRule="auto"/>
        <w:ind w:firstLineChars="200" w:firstLine="480"/>
        <w:rPr>
          <w:rFonts w:hAnsi="宋体"/>
          <w:sz w:val="24"/>
        </w:rPr>
      </w:pPr>
      <w:r>
        <w:rPr>
          <w:rFonts w:hAnsi="宋体" w:hint="eastAsia"/>
          <w:sz w:val="24"/>
        </w:rPr>
        <w:t>（</w:t>
      </w:r>
      <w:r>
        <w:rPr>
          <w:rFonts w:hAnsi="宋体"/>
          <w:sz w:val="24"/>
        </w:rPr>
        <w:t>1</w:t>
      </w:r>
      <w:r>
        <w:rPr>
          <w:rFonts w:hAnsi="宋体" w:hint="eastAsia"/>
          <w:sz w:val="24"/>
        </w:rPr>
        <w:t>）业务办理时间：基金募集期每日的</w:t>
      </w:r>
      <w:r>
        <w:rPr>
          <w:rFonts w:hAnsi="宋体"/>
          <w:sz w:val="24"/>
        </w:rPr>
        <w:t>9:00-16:00</w:t>
      </w:r>
      <w:r>
        <w:rPr>
          <w:rFonts w:hAnsi="宋体" w:hint="eastAsia"/>
          <w:sz w:val="24"/>
        </w:rPr>
        <w:t>（周六、周日及法定节假日不受理）。</w:t>
      </w:r>
    </w:p>
    <w:p w14:paraId="6A92BCCD" w14:textId="77777777" w:rsidR="001932F7" w:rsidRDefault="00E87C32">
      <w:pPr>
        <w:adjustRightInd w:val="0"/>
        <w:snapToGrid w:val="0"/>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）个人投资者办理开户和认购申请需本人亲自到直销网点并提供下列资料：</w:t>
      </w:r>
    </w:p>
    <w:p w14:paraId="1A61EF9F" w14:textId="77777777" w:rsidR="001932F7" w:rsidRDefault="00E87C32">
      <w:pPr>
        <w:adjustRightInd w:val="0"/>
        <w:snapToGrid w:val="0"/>
        <w:spacing w:line="360" w:lineRule="auto"/>
        <w:ind w:firstLineChars="200" w:firstLine="480"/>
        <w:rPr>
          <w:rFonts w:hAnsi="宋体"/>
          <w:sz w:val="24"/>
        </w:rPr>
      </w:pPr>
      <w:r>
        <w:rPr>
          <w:rFonts w:hAnsi="宋体"/>
          <w:sz w:val="24"/>
        </w:rPr>
        <w:t>1</w:t>
      </w:r>
      <w:r>
        <w:rPr>
          <w:rFonts w:hAnsi="宋体" w:hint="eastAsia"/>
          <w:sz w:val="24"/>
        </w:rPr>
        <w:t>）基金</w:t>
      </w:r>
      <w:r>
        <w:rPr>
          <w:rFonts w:hAnsi="宋体"/>
          <w:sz w:val="24"/>
        </w:rPr>
        <w:t>投资者风险测评问卷</w:t>
      </w:r>
      <w:r>
        <w:rPr>
          <w:rFonts w:hAnsi="宋体" w:hint="eastAsia"/>
          <w:sz w:val="24"/>
        </w:rPr>
        <w:t>（</w:t>
      </w:r>
      <w:r>
        <w:rPr>
          <w:rFonts w:hAnsi="宋体"/>
          <w:sz w:val="24"/>
        </w:rPr>
        <w:t>个人）</w:t>
      </w:r>
      <w:r>
        <w:rPr>
          <w:rFonts w:hAnsi="宋体" w:hint="eastAsia"/>
          <w:sz w:val="24"/>
        </w:rPr>
        <w:t>；</w:t>
      </w:r>
    </w:p>
    <w:p w14:paraId="3A3276DC" w14:textId="77777777" w:rsidR="001932F7" w:rsidRDefault="00E87C32">
      <w:pPr>
        <w:adjustRightInd w:val="0"/>
        <w:snapToGrid w:val="0"/>
        <w:spacing w:line="360" w:lineRule="auto"/>
        <w:ind w:firstLineChars="200" w:firstLine="480"/>
        <w:rPr>
          <w:rFonts w:hAnsi="宋体"/>
          <w:sz w:val="24"/>
        </w:rPr>
      </w:pPr>
      <w:r>
        <w:rPr>
          <w:rFonts w:hAnsi="宋体"/>
          <w:sz w:val="24"/>
        </w:rPr>
        <w:t>2</w:t>
      </w:r>
      <w:r>
        <w:rPr>
          <w:rFonts w:hAnsi="宋体" w:hint="eastAsia"/>
          <w:sz w:val="24"/>
        </w:rPr>
        <w:t>）证券投资基金投资人权益须知；</w:t>
      </w:r>
    </w:p>
    <w:p w14:paraId="3D06B66E" w14:textId="77777777" w:rsidR="001932F7" w:rsidRDefault="00E87C32">
      <w:pPr>
        <w:adjustRightInd w:val="0"/>
        <w:snapToGrid w:val="0"/>
        <w:spacing w:line="360" w:lineRule="auto"/>
        <w:ind w:firstLineChars="200" w:firstLine="480"/>
        <w:rPr>
          <w:rFonts w:hAnsi="宋体"/>
          <w:sz w:val="24"/>
        </w:rPr>
      </w:pPr>
      <w:r>
        <w:rPr>
          <w:rFonts w:hAnsi="宋体"/>
          <w:sz w:val="24"/>
        </w:rPr>
        <w:t>3</w:t>
      </w:r>
      <w:r>
        <w:rPr>
          <w:rFonts w:hAnsi="宋体" w:hint="eastAsia"/>
          <w:sz w:val="24"/>
        </w:rPr>
        <w:t>）上海</w:t>
      </w:r>
      <w:r>
        <w:rPr>
          <w:rFonts w:hAnsi="宋体"/>
          <w:sz w:val="24"/>
        </w:rPr>
        <w:t>A</w:t>
      </w:r>
      <w:r>
        <w:rPr>
          <w:rFonts w:hAnsi="宋体" w:hint="eastAsia"/>
          <w:sz w:val="24"/>
        </w:rPr>
        <w:t>股股东代码卡或证券投资基金账户代码卡复印件（如有）；</w:t>
      </w:r>
    </w:p>
    <w:p w14:paraId="45917200" w14:textId="77777777" w:rsidR="001932F7" w:rsidRDefault="00E87C32">
      <w:pPr>
        <w:adjustRightInd w:val="0"/>
        <w:snapToGrid w:val="0"/>
        <w:spacing w:line="360" w:lineRule="auto"/>
        <w:ind w:firstLineChars="200" w:firstLine="480"/>
        <w:rPr>
          <w:rFonts w:hAnsi="宋体"/>
          <w:sz w:val="24"/>
        </w:rPr>
      </w:pPr>
      <w:r>
        <w:rPr>
          <w:rFonts w:hAnsi="宋体"/>
          <w:sz w:val="24"/>
        </w:rPr>
        <w:t>4</w:t>
      </w:r>
      <w:r>
        <w:rPr>
          <w:rFonts w:hAnsi="宋体" w:hint="eastAsia"/>
          <w:sz w:val="24"/>
        </w:rPr>
        <w:t>）有效身份证件的复印件正反面；</w:t>
      </w:r>
    </w:p>
    <w:p w14:paraId="77CF543F" w14:textId="77777777" w:rsidR="001932F7" w:rsidRDefault="00E87C32">
      <w:pPr>
        <w:adjustRightInd w:val="0"/>
        <w:snapToGrid w:val="0"/>
        <w:spacing w:line="360" w:lineRule="auto"/>
        <w:ind w:firstLineChars="200" w:firstLine="480"/>
        <w:rPr>
          <w:rFonts w:hAnsi="宋体"/>
          <w:sz w:val="24"/>
        </w:rPr>
      </w:pPr>
      <w:r>
        <w:rPr>
          <w:rFonts w:hAnsi="宋体"/>
          <w:sz w:val="24"/>
        </w:rPr>
        <w:t>5</w:t>
      </w:r>
      <w:r>
        <w:rPr>
          <w:rFonts w:hAnsi="宋体" w:hint="eastAsia"/>
          <w:sz w:val="24"/>
        </w:rPr>
        <w:t>）同名的银行卡复印件（银行卡复印件需要正反面签字，反面签名栏需有签字）；</w:t>
      </w:r>
    </w:p>
    <w:p w14:paraId="67DFE474" w14:textId="77777777" w:rsidR="001932F7" w:rsidRDefault="00E87C32">
      <w:pPr>
        <w:adjustRightInd w:val="0"/>
        <w:snapToGrid w:val="0"/>
        <w:spacing w:line="360" w:lineRule="auto"/>
        <w:ind w:firstLineChars="200" w:firstLine="480"/>
        <w:rPr>
          <w:rFonts w:hAnsi="宋体"/>
          <w:sz w:val="24"/>
        </w:rPr>
      </w:pPr>
      <w:r>
        <w:rPr>
          <w:rFonts w:hAnsi="宋体"/>
          <w:sz w:val="24"/>
        </w:rPr>
        <w:t>6</w:t>
      </w:r>
      <w:r>
        <w:rPr>
          <w:rFonts w:hAnsi="宋体" w:hint="eastAsia"/>
          <w:sz w:val="24"/>
        </w:rPr>
        <w:t>）填妥的《开放式基金账户业务申请表》两份；</w:t>
      </w:r>
    </w:p>
    <w:p w14:paraId="134C21D1" w14:textId="77777777" w:rsidR="001932F7" w:rsidRDefault="00E87C32">
      <w:pPr>
        <w:adjustRightInd w:val="0"/>
        <w:snapToGrid w:val="0"/>
        <w:spacing w:line="360" w:lineRule="auto"/>
        <w:ind w:firstLineChars="200" w:firstLine="480"/>
        <w:rPr>
          <w:rFonts w:hAnsi="宋体"/>
          <w:sz w:val="24"/>
        </w:rPr>
      </w:pPr>
      <w:r>
        <w:rPr>
          <w:rFonts w:hAnsi="宋体"/>
          <w:sz w:val="24"/>
        </w:rPr>
        <w:t>7</w:t>
      </w:r>
      <w:r>
        <w:rPr>
          <w:rFonts w:hAnsi="宋体" w:hint="eastAsia"/>
          <w:sz w:val="24"/>
        </w:rPr>
        <w:t>）填妥的《传真委托协议书》两份（如需开通）；</w:t>
      </w:r>
    </w:p>
    <w:p w14:paraId="6ABA0313" w14:textId="77777777" w:rsidR="001932F7" w:rsidRDefault="00E87C32">
      <w:pPr>
        <w:adjustRightInd w:val="0"/>
        <w:snapToGrid w:val="0"/>
        <w:spacing w:line="360" w:lineRule="auto"/>
        <w:ind w:firstLineChars="200" w:firstLine="480"/>
        <w:rPr>
          <w:rFonts w:hAnsi="宋体"/>
          <w:sz w:val="24"/>
        </w:rPr>
      </w:pPr>
      <w:r>
        <w:rPr>
          <w:rFonts w:hAnsi="宋体"/>
          <w:sz w:val="24"/>
        </w:rPr>
        <w:t>8</w:t>
      </w:r>
      <w:r>
        <w:rPr>
          <w:rFonts w:hAnsi="宋体" w:hint="eastAsia"/>
          <w:sz w:val="24"/>
        </w:rPr>
        <w:t>）填妥的《开放式基金电话交易协议书》两份（如需开通）；</w:t>
      </w:r>
    </w:p>
    <w:p w14:paraId="7D14D9EC" w14:textId="77777777" w:rsidR="001932F7" w:rsidRDefault="00E87C32">
      <w:pPr>
        <w:adjustRightInd w:val="0"/>
        <w:snapToGrid w:val="0"/>
        <w:spacing w:line="360" w:lineRule="auto"/>
        <w:ind w:firstLineChars="200" w:firstLine="480"/>
        <w:rPr>
          <w:rFonts w:hAnsi="宋体"/>
          <w:sz w:val="24"/>
        </w:rPr>
      </w:pPr>
      <w:r>
        <w:rPr>
          <w:rFonts w:hAnsi="宋体"/>
          <w:sz w:val="24"/>
        </w:rPr>
        <w:t>9</w:t>
      </w:r>
      <w:r>
        <w:rPr>
          <w:rFonts w:hAnsi="宋体" w:hint="eastAsia"/>
          <w:sz w:val="24"/>
        </w:rPr>
        <w:t>）填妥</w:t>
      </w:r>
      <w:r>
        <w:rPr>
          <w:rFonts w:hAnsi="宋体"/>
          <w:sz w:val="24"/>
        </w:rPr>
        <w:t>的《</w:t>
      </w:r>
      <w:r>
        <w:rPr>
          <w:rFonts w:hAnsi="宋体" w:hint="eastAsia"/>
          <w:sz w:val="24"/>
        </w:rPr>
        <w:t>CRS</w:t>
      </w:r>
      <w:r>
        <w:rPr>
          <w:rFonts w:hAnsi="宋体" w:hint="eastAsia"/>
          <w:sz w:val="24"/>
        </w:rPr>
        <w:t>个人税收</w:t>
      </w:r>
      <w:r>
        <w:rPr>
          <w:rFonts w:hAnsi="宋体"/>
          <w:sz w:val="24"/>
        </w:rPr>
        <w:t>居民身份声明文件》</w:t>
      </w:r>
      <w:r>
        <w:rPr>
          <w:rFonts w:hAnsi="宋体" w:hint="eastAsia"/>
          <w:sz w:val="24"/>
        </w:rPr>
        <w:t>；</w:t>
      </w:r>
    </w:p>
    <w:p w14:paraId="23F933C3" w14:textId="77777777" w:rsidR="001932F7" w:rsidRDefault="00E87C32">
      <w:pPr>
        <w:adjustRightInd w:val="0"/>
        <w:snapToGrid w:val="0"/>
        <w:spacing w:line="360" w:lineRule="auto"/>
        <w:ind w:firstLineChars="200" w:firstLine="480"/>
        <w:rPr>
          <w:rFonts w:hAnsi="宋体"/>
          <w:sz w:val="24"/>
        </w:rPr>
      </w:pPr>
      <w:r>
        <w:rPr>
          <w:rFonts w:hAnsi="宋体"/>
          <w:sz w:val="24"/>
        </w:rPr>
        <w:t>10</w:t>
      </w:r>
      <w:r>
        <w:rPr>
          <w:rFonts w:hAnsi="宋体" w:hint="eastAsia"/>
          <w:sz w:val="24"/>
        </w:rPr>
        <w:t>）填妥</w:t>
      </w:r>
      <w:r>
        <w:rPr>
          <w:rFonts w:hAnsi="宋体"/>
          <w:sz w:val="24"/>
        </w:rPr>
        <w:t>的《</w:t>
      </w:r>
      <w:r>
        <w:rPr>
          <w:rFonts w:hAnsi="宋体" w:hint="eastAsia"/>
          <w:sz w:val="24"/>
        </w:rPr>
        <w:t>受益人</w:t>
      </w:r>
      <w:r>
        <w:rPr>
          <w:rFonts w:hAnsi="宋体"/>
          <w:sz w:val="24"/>
        </w:rPr>
        <w:t>非美国个人身份声明</w:t>
      </w:r>
      <w:r>
        <w:rPr>
          <w:rFonts w:hAnsi="宋体" w:hint="eastAsia"/>
          <w:sz w:val="24"/>
        </w:rPr>
        <w:t>》；</w:t>
      </w:r>
    </w:p>
    <w:p w14:paraId="2A439197" w14:textId="77777777" w:rsidR="001932F7" w:rsidRDefault="00E87C32">
      <w:pPr>
        <w:adjustRightInd w:val="0"/>
        <w:snapToGrid w:val="0"/>
        <w:spacing w:line="360" w:lineRule="auto"/>
        <w:ind w:firstLineChars="200" w:firstLine="480"/>
        <w:rPr>
          <w:rFonts w:hAnsi="宋体"/>
          <w:sz w:val="24"/>
        </w:rPr>
      </w:pPr>
      <w:r>
        <w:rPr>
          <w:rFonts w:hAnsi="宋体"/>
          <w:sz w:val="24"/>
        </w:rPr>
        <w:t>11</w:t>
      </w:r>
      <w:r>
        <w:rPr>
          <w:rFonts w:hAnsi="宋体" w:hint="eastAsia"/>
          <w:sz w:val="24"/>
        </w:rPr>
        <w:t>）如非本人亲自办理，则还须提供代理人身份证件原件及复印件（签名）和本人的授权委托书；</w:t>
      </w:r>
    </w:p>
    <w:p w14:paraId="7D3507D9" w14:textId="77777777" w:rsidR="001932F7" w:rsidRDefault="00E87C32">
      <w:pPr>
        <w:adjustRightInd w:val="0"/>
        <w:snapToGrid w:val="0"/>
        <w:spacing w:line="360" w:lineRule="auto"/>
        <w:ind w:firstLineChars="200" w:firstLine="480"/>
        <w:rPr>
          <w:rFonts w:hAnsi="宋体"/>
          <w:sz w:val="24"/>
        </w:rPr>
      </w:pPr>
      <w:r>
        <w:rPr>
          <w:rFonts w:hAnsi="宋体"/>
          <w:sz w:val="24"/>
        </w:rPr>
        <w:t>12</w:t>
      </w:r>
      <w:r>
        <w:rPr>
          <w:rFonts w:hAnsi="宋体" w:hint="eastAsia"/>
          <w:sz w:val="24"/>
        </w:rPr>
        <w:t>）以上表格复印有效，但需客户本人亲笔签名。</w:t>
      </w:r>
    </w:p>
    <w:p w14:paraId="767B004C" w14:textId="77777777" w:rsidR="001932F7" w:rsidRDefault="00E87C32">
      <w:pPr>
        <w:adjustRightInd w:val="0"/>
        <w:snapToGrid w:val="0"/>
        <w:spacing w:line="360" w:lineRule="auto"/>
        <w:ind w:firstLineChars="200" w:firstLine="480"/>
        <w:rPr>
          <w:rFonts w:hAnsi="宋体"/>
          <w:sz w:val="24"/>
        </w:rPr>
      </w:pPr>
      <w:r>
        <w:rPr>
          <w:rFonts w:hAnsi="宋体" w:hint="eastAsia"/>
          <w:sz w:val="24"/>
        </w:rPr>
        <w:t>（</w:t>
      </w:r>
      <w:r>
        <w:rPr>
          <w:rFonts w:hAnsi="宋体"/>
          <w:sz w:val="24"/>
        </w:rPr>
        <w:t>3</w:t>
      </w:r>
      <w:r>
        <w:rPr>
          <w:rFonts w:hAnsi="宋体" w:hint="eastAsia"/>
          <w:sz w:val="24"/>
        </w:rPr>
        <w:t>）认购资金的划拨程序：</w:t>
      </w:r>
    </w:p>
    <w:p w14:paraId="67C7562C" w14:textId="77777777" w:rsidR="001932F7" w:rsidRDefault="00E87C32">
      <w:pPr>
        <w:adjustRightInd w:val="0"/>
        <w:snapToGrid w:val="0"/>
        <w:spacing w:line="360" w:lineRule="auto"/>
        <w:ind w:firstLineChars="200" w:firstLine="480"/>
        <w:rPr>
          <w:rFonts w:hAnsi="宋体"/>
          <w:sz w:val="24"/>
        </w:rPr>
      </w:pPr>
      <w:r>
        <w:rPr>
          <w:rFonts w:hAnsi="宋体"/>
          <w:sz w:val="24"/>
        </w:rPr>
        <w:t>1</w:t>
      </w:r>
      <w:r>
        <w:rPr>
          <w:rFonts w:hAnsi="宋体" w:hint="eastAsia"/>
          <w:sz w:val="24"/>
        </w:rPr>
        <w:t>）个人投资者开户后，在办理认购手续前，应将足额资金通过银行系统汇入本公司指定的下列银行账户，并确保交易日下午</w:t>
      </w:r>
      <w:r>
        <w:rPr>
          <w:rFonts w:hAnsi="宋体"/>
          <w:sz w:val="24"/>
        </w:rPr>
        <w:t>16:00</w:t>
      </w:r>
      <w:r>
        <w:rPr>
          <w:rFonts w:hAnsi="宋体" w:hint="eastAsia"/>
          <w:sz w:val="24"/>
        </w:rPr>
        <w:t>之前到账：</w:t>
      </w:r>
    </w:p>
    <w:p w14:paraId="6541CBD8"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283612F5" w14:textId="77777777" w:rsidR="001932F7" w:rsidRDefault="00E87C32">
      <w:pPr>
        <w:adjustRightInd w:val="0"/>
        <w:snapToGrid w:val="0"/>
        <w:spacing w:line="360" w:lineRule="auto"/>
        <w:ind w:firstLineChars="200" w:firstLine="480"/>
        <w:rPr>
          <w:rFonts w:hAnsi="宋体"/>
          <w:sz w:val="24"/>
        </w:rPr>
      </w:pPr>
      <w:r>
        <w:rPr>
          <w:rFonts w:hAnsi="宋体" w:hint="eastAsia"/>
          <w:sz w:val="24"/>
        </w:rPr>
        <w:t>开户行：交通银行股份有限公司上海市分行交银大厦支行</w:t>
      </w:r>
    </w:p>
    <w:p w14:paraId="3D8213A6" w14:textId="77777777" w:rsidR="001932F7" w:rsidRDefault="00E87C32">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310066577018150012847</w:t>
      </w:r>
    </w:p>
    <w:p w14:paraId="4238AE8E"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或者：</w:t>
      </w:r>
    </w:p>
    <w:p w14:paraId="138D62F8"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321A6E5B" w14:textId="77777777" w:rsidR="001932F7" w:rsidRDefault="00E87C32">
      <w:pPr>
        <w:adjustRightInd w:val="0"/>
        <w:snapToGrid w:val="0"/>
        <w:spacing w:line="360" w:lineRule="auto"/>
        <w:ind w:firstLineChars="200" w:firstLine="480"/>
        <w:rPr>
          <w:rFonts w:hAnsi="宋体"/>
          <w:sz w:val="24"/>
        </w:rPr>
      </w:pPr>
      <w:r>
        <w:rPr>
          <w:rFonts w:hAnsi="宋体" w:hint="eastAsia"/>
          <w:sz w:val="24"/>
        </w:rPr>
        <w:lastRenderedPageBreak/>
        <w:t>开户行：中国工商银行股份有限公司上海市分行营业部</w:t>
      </w:r>
    </w:p>
    <w:p w14:paraId="3B085D9E" w14:textId="77777777" w:rsidR="001932F7" w:rsidRDefault="00E87C32">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1001202919025740042</w:t>
      </w:r>
    </w:p>
    <w:p w14:paraId="4AFC57F4"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或者：</w:t>
      </w:r>
    </w:p>
    <w:p w14:paraId="4DC71883" w14:textId="77777777" w:rsidR="001932F7" w:rsidRDefault="00E87C3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6A043081" w14:textId="77777777" w:rsidR="001932F7" w:rsidRDefault="00E87C32">
      <w:pPr>
        <w:adjustRightInd w:val="0"/>
        <w:snapToGrid w:val="0"/>
        <w:spacing w:line="360" w:lineRule="auto"/>
        <w:ind w:firstLineChars="200" w:firstLine="480"/>
        <w:rPr>
          <w:rFonts w:hAnsi="宋体"/>
          <w:sz w:val="24"/>
        </w:rPr>
      </w:pPr>
      <w:r>
        <w:rPr>
          <w:rFonts w:hAnsi="宋体" w:hint="eastAsia"/>
          <w:sz w:val="24"/>
        </w:rPr>
        <w:t>开户行：中国建设银行股份有限公司上海浦东分行</w:t>
      </w:r>
    </w:p>
    <w:p w14:paraId="3DC5B9AD"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31001520313050007558</w:t>
      </w:r>
    </w:p>
    <w:p w14:paraId="65710281" w14:textId="77777777" w:rsidR="001932F7" w:rsidRDefault="00E87C32">
      <w:pPr>
        <w:adjustRightInd w:val="0"/>
        <w:snapToGrid w:val="0"/>
        <w:spacing w:line="360" w:lineRule="auto"/>
        <w:ind w:firstLineChars="200" w:firstLine="480"/>
        <w:rPr>
          <w:sz w:val="24"/>
        </w:rPr>
      </w:pPr>
      <w:r>
        <w:rPr>
          <w:rFonts w:hint="eastAsia"/>
          <w:sz w:val="24"/>
        </w:rPr>
        <w:t>或者：</w:t>
      </w:r>
    </w:p>
    <w:p w14:paraId="3B79F4D7" w14:textId="77777777" w:rsidR="001932F7" w:rsidRDefault="00E87C32">
      <w:pPr>
        <w:adjustRightInd w:val="0"/>
        <w:snapToGrid w:val="0"/>
        <w:spacing w:line="360" w:lineRule="auto"/>
        <w:ind w:firstLineChars="200" w:firstLine="480"/>
        <w:rPr>
          <w:sz w:val="24"/>
        </w:rPr>
      </w:pPr>
      <w:r>
        <w:rPr>
          <w:rFonts w:hint="eastAsia"/>
          <w:sz w:val="24"/>
        </w:rPr>
        <w:t>户名：交银施罗德基金管理有限公司直销专户</w:t>
      </w:r>
    </w:p>
    <w:p w14:paraId="50B2BE1C" w14:textId="77777777" w:rsidR="001932F7" w:rsidRDefault="00E87C32">
      <w:pPr>
        <w:adjustRightInd w:val="0"/>
        <w:snapToGrid w:val="0"/>
        <w:spacing w:line="360" w:lineRule="auto"/>
        <w:ind w:firstLineChars="200" w:firstLine="480"/>
        <w:rPr>
          <w:sz w:val="24"/>
        </w:rPr>
      </w:pPr>
      <w:r>
        <w:rPr>
          <w:rFonts w:hint="eastAsia"/>
          <w:sz w:val="24"/>
        </w:rPr>
        <w:t>开户行：中国农业银行股份有限公司上海卢湾支行</w:t>
      </w:r>
    </w:p>
    <w:p w14:paraId="7434287D"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03492300040004421</w:t>
      </w:r>
    </w:p>
    <w:p w14:paraId="100227F8" w14:textId="77777777" w:rsidR="001932F7" w:rsidRDefault="00E87C32">
      <w:pPr>
        <w:adjustRightInd w:val="0"/>
        <w:snapToGrid w:val="0"/>
        <w:spacing w:line="360" w:lineRule="auto"/>
        <w:ind w:firstLineChars="200" w:firstLine="480"/>
        <w:rPr>
          <w:sz w:val="24"/>
        </w:rPr>
      </w:pPr>
      <w:r>
        <w:rPr>
          <w:sz w:val="24"/>
        </w:rPr>
        <w:t>2</w:t>
      </w:r>
      <w:r>
        <w:rPr>
          <w:rFonts w:hint="eastAsia"/>
          <w:sz w:val="24"/>
        </w:rPr>
        <w:t>）汇款时，投资者必须注意以下事项：</w:t>
      </w:r>
    </w:p>
    <w:p w14:paraId="3DC3FF94" w14:textId="77777777" w:rsidR="001932F7" w:rsidRDefault="00E87C32">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2330AA3B" w14:textId="1D2E503D" w:rsidR="001932F7" w:rsidRDefault="00E87C32">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Ansi="宋体" w:hint="eastAsia"/>
          <w:sz w:val="24"/>
        </w:rPr>
        <w:t>交银智远量化选股股票发起</w:t>
      </w:r>
      <w:r>
        <w:rPr>
          <w:sz w:val="24"/>
        </w:rPr>
        <w:t>”</w:t>
      </w:r>
      <w:r>
        <w:rPr>
          <w:rFonts w:hint="eastAsia"/>
          <w:sz w:val="24"/>
        </w:rPr>
        <w:t>；</w:t>
      </w:r>
    </w:p>
    <w:p w14:paraId="1CFF6EA1" w14:textId="77777777" w:rsidR="001932F7" w:rsidRDefault="00E87C32">
      <w:pPr>
        <w:adjustRightInd w:val="0"/>
        <w:snapToGrid w:val="0"/>
        <w:spacing w:line="360" w:lineRule="auto"/>
        <w:ind w:firstLineChars="200" w:firstLine="48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0E43DE20" w14:textId="77777777" w:rsidR="001932F7" w:rsidRDefault="00E87C32">
      <w:pPr>
        <w:adjustRightInd w:val="0"/>
        <w:snapToGrid w:val="0"/>
        <w:spacing w:line="360" w:lineRule="auto"/>
        <w:ind w:firstLineChars="200" w:firstLine="482"/>
        <w:rPr>
          <w:rFonts w:hAnsi="宋体"/>
          <w:b/>
          <w:sz w:val="24"/>
        </w:rPr>
      </w:pPr>
      <w:r>
        <w:rPr>
          <w:rFonts w:hAnsi="宋体"/>
          <w:b/>
          <w:sz w:val="24"/>
        </w:rPr>
        <w:t>2</w:t>
      </w:r>
      <w:r>
        <w:rPr>
          <w:rFonts w:hAnsi="宋体" w:hint="eastAsia"/>
          <w:b/>
          <w:sz w:val="24"/>
        </w:rPr>
        <w:t>、网上直销交易平台</w:t>
      </w:r>
    </w:p>
    <w:p w14:paraId="5CAD179D" w14:textId="77777777" w:rsidR="001932F7" w:rsidRDefault="00E87C32">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14:paraId="776FBF65"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（二）各销售银行</w:t>
      </w:r>
    </w:p>
    <w:p w14:paraId="150E6BF9" w14:textId="77777777" w:rsidR="001932F7" w:rsidRDefault="00E87C3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6550E0AF"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（三）各销售券商</w:t>
      </w:r>
    </w:p>
    <w:p w14:paraId="6AC88060" w14:textId="77777777" w:rsidR="001932F7" w:rsidRDefault="00E87C3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28F1C4CF"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5E17FC42" w14:textId="77777777" w:rsidR="001932F7" w:rsidRDefault="00E87C32">
      <w:pPr>
        <w:pStyle w:val="a0"/>
        <w:adjustRightInd w:val="0"/>
        <w:snapToGrid w:val="0"/>
      </w:pPr>
      <w:r>
        <w:rPr>
          <w:rFonts w:hint="eastAsia"/>
        </w:rPr>
        <w:t>各独立基金销售机构开户和认购的相关程序以该机构相关规定为准。</w:t>
      </w:r>
    </w:p>
    <w:p w14:paraId="59355F9E" w14:textId="77777777" w:rsidR="001932F7" w:rsidRDefault="00E87C32">
      <w:pPr>
        <w:keepNext/>
        <w:keepLines/>
        <w:adjustRightInd w:val="0"/>
        <w:snapToGrid w:val="0"/>
        <w:spacing w:before="240" w:afterLines="50" w:after="156" w:line="360" w:lineRule="auto"/>
        <w:jc w:val="center"/>
        <w:outlineLvl w:val="0"/>
        <w:rPr>
          <w:b/>
          <w:sz w:val="24"/>
        </w:rPr>
      </w:pPr>
      <w:r>
        <w:rPr>
          <w:rFonts w:hint="eastAsia"/>
          <w:b/>
          <w:sz w:val="24"/>
        </w:rPr>
        <w:lastRenderedPageBreak/>
        <w:t>四、机构投资者的开户与认购程序</w:t>
      </w:r>
    </w:p>
    <w:p w14:paraId="6FA222F6"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（一）直销柜台</w:t>
      </w:r>
    </w:p>
    <w:p w14:paraId="3A242D28" w14:textId="77777777" w:rsidR="001932F7" w:rsidRDefault="00E87C32">
      <w:pPr>
        <w:adjustRightInd w:val="0"/>
        <w:snapToGrid w:val="0"/>
        <w:spacing w:line="360" w:lineRule="auto"/>
        <w:ind w:firstLineChars="200" w:firstLine="48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18E51FB1" w14:textId="77777777" w:rsidR="001932F7" w:rsidRDefault="00E87C32">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28FD79B5" w14:textId="77777777" w:rsidR="001932F7" w:rsidRDefault="00E87C32">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、一般机构投资者办理开户和认购申请时，应由指定经办人赴直销网点或寄送、传真并提供下列资料：</w:t>
      </w:r>
    </w:p>
    <w:p w14:paraId="1F32D545" w14:textId="77777777" w:rsidR="001932F7" w:rsidRDefault="00E87C32">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14:paraId="7C2C7A99" w14:textId="77777777" w:rsidR="001932F7" w:rsidRDefault="00E87C32">
      <w:pPr>
        <w:adjustRightInd w:val="0"/>
        <w:snapToGrid w:val="0"/>
        <w:spacing w:line="360" w:lineRule="auto"/>
        <w:ind w:firstLineChars="200" w:firstLine="480"/>
        <w:rPr>
          <w:sz w:val="24"/>
        </w:rPr>
      </w:pPr>
      <w:r>
        <w:rPr>
          <w:rFonts w:hint="eastAsia"/>
          <w:sz w:val="24"/>
        </w:rPr>
        <w:t>2</w:t>
      </w:r>
      <w:r>
        <w:rPr>
          <w:rFonts w:hint="eastAsia"/>
          <w:sz w:val="24"/>
        </w:rPr>
        <w:t>）加盖公章、经办人签字的《证券投资基金投资人权益须知》；</w:t>
      </w:r>
    </w:p>
    <w:p w14:paraId="51684B2C" w14:textId="77777777" w:rsidR="001932F7" w:rsidRDefault="00E87C32">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14:paraId="2918C01C" w14:textId="77777777" w:rsidR="001932F7" w:rsidRDefault="00E87C32">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358EC5F1" w14:textId="77777777" w:rsidR="001932F7" w:rsidRDefault="00E87C32">
      <w:pPr>
        <w:adjustRightInd w:val="0"/>
        <w:snapToGrid w:val="0"/>
        <w:spacing w:line="360" w:lineRule="auto"/>
        <w:ind w:firstLineChars="200" w:firstLine="480"/>
        <w:rPr>
          <w:sz w:val="24"/>
        </w:rPr>
      </w:pPr>
      <w:r>
        <w:rPr>
          <w:rFonts w:hint="eastAsia"/>
          <w:sz w:val="24"/>
        </w:rPr>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14:paraId="414C8B3D" w14:textId="77777777" w:rsidR="001932F7" w:rsidRDefault="00E87C32">
      <w:pPr>
        <w:adjustRightInd w:val="0"/>
        <w:snapToGrid w:val="0"/>
        <w:spacing w:line="360" w:lineRule="auto"/>
        <w:ind w:firstLineChars="200" w:firstLine="480"/>
        <w:rPr>
          <w:sz w:val="24"/>
        </w:rPr>
      </w:pPr>
      <w:r>
        <w:rPr>
          <w:rFonts w:hint="eastAsia"/>
          <w:sz w:val="24"/>
        </w:rPr>
        <w:t>6</w:t>
      </w:r>
      <w:r>
        <w:rPr>
          <w:rFonts w:hint="eastAsia"/>
          <w:sz w:val="24"/>
        </w:rPr>
        <w:t>）加盖公章、法人章、经办人签字的《机构客户纳税身份声明文件》；</w:t>
      </w:r>
    </w:p>
    <w:p w14:paraId="30867116" w14:textId="77777777" w:rsidR="001932F7" w:rsidRDefault="00E87C32">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14:paraId="30AD2F3C" w14:textId="77777777" w:rsidR="001932F7" w:rsidRDefault="00E87C32">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14:paraId="7EF9ED41" w14:textId="77777777" w:rsidR="001932F7" w:rsidRDefault="00E87C32">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）印鉴卡一式两份（一份机构留存，一份本直销柜台留存，预留印鉴盖章人的盖公章证件需要提供）；</w:t>
      </w:r>
    </w:p>
    <w:p w14:paraId="550FDC5C" w14:textId="77777777" w:rsidR="001932F7" w:rsidRDefault="00E87C32">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5C85981A" w14:textId="77777777" w:rsidR="001932F7" w:rsidRDefault="00E87C32">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w:t>
      </w:r>
      <w:r>
        <w:rPr>
          <w:rFonts w:hint="eastAsia"/>
          <w:sz w:val="24"/>
        </w:rPr>
        <w:lastRenderedPageBreak/>
        <w:t>两份；</w:t>
      </w:r>
    </w:p>
    <w:p w14:paraId="0C28FFC1" w14:textId="77777777" w:rsidR="001932F7" w:rsidRDefault="00E87C32">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14:paraId="1BE84E94" w14:textId="77777777" w:rsidR="001932F7" w:rsidRDefault="00E87C32">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14:paraId="3A1B57D6" w14:textId="77777777" w:rsidR="001932F7" w:rsidRDefault="00E87C32">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14:paraId="46057EF0" w14:textId="77777777" w:rsidR="001932F7" w:rsidRDefault="00E87C32">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）加盖公章的受益所有人信息登记表，并更具表单填写内容提供相关人员加盖公章的身份证正反面复印件及说明文件</w:t>
      </w:r>
    </w:p>
    <w:p w14:paraId="5BE3A0FE" w14:textId="77777777" w:rsidR="001932F7" w:rsidRDefault="00E87C32">
      <w:pPr>
        <w:adjustRightInd w:val="0"/>
        <w:snapToGrid w:val="0"/>
        <w:spacing w:line="360" w:lineRule="auto"/>
        <w:ind w:firstLineChars="200" w:firstLine="48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46A40804" w14:textId="77777777" w:rsidR="001932F7" w:rsidRDefault="00E87C32">
      <w:pPr>
        <w:adjustRightInd w:val="0"/>
        <w:snapToGrid w:val="0"/>
        <w:spacing w:line="360" w:lineRule="auto"/>
        <w:ind w:leftChars="200" w:left="42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1DD44FD5" w14:textId="77777777" w:rsidR="001932F7" w:rsidRDefault="00E87C32">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750751B4" w14:textId="77777777" w:rsidR="001932F7" w:rsidRDefault="00E87C32">
      <w:pPr>
        <w:adjustRightInd w:val="0"/>
        <w:snapToGrid w:val="0"/>
        <w:spacing w:line="360" w:lineRule="auto"/>
        <w:ind w:firstLineChars="200" w:firstLine="480"/>
        <w:rPr>
          <w:sz w:val="24"/>
        </w:rPr>
      </w:pPr>
      <w:r>
        <w:rPr>
          <w:rFonts w:hint="eastAsia"/>
          <w:sz w:val="24"/>
        </w:rPr>
        <w:t>户名：交银施罗德基金管理有限公司直销专户</w:t>
      </w:r>
    </w:p>
    <w:p w14:paraId="34D6507D" w14:textId="77777777" w:rsidR="001932F7" w:rsidRDefault="00E87C32">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1CDAAD0B"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310066577018150012847</w:t>
      </w:r>
    </w:p>
    <w:p w14:paraId="0C2D4C7A" w14:textId="77777777" w:rsidR="001932F7" w:rsidRDefault="00E87C32">
      <w:pPr>
        <w:adjustRightInd w:val="0"/>
        <w:snapToGrid w:val="0"/>
        <w:spacing w:line="360" w:lineRule="auto"/>
        <w:ind w:firstLineChars="200" w:firstLine="480"/>
        <w:rPr>
          <w:sz w:val="24"/>
        </w:rPr>
      </w:pPr>
      <w:r>
        <w:rPr>
          <w:rFonts w:hint="eastAsia"/>
          <w:sz w:val="24"/>
        </w:rPr>
        <w:t>或者：</w:t>
      </w:r>
    </w:p>
    <w:p w14:paraId="40DB90C1" w14:textId="77777777" w:rsidR="001932F7" w:rsidRDefault="00E87C32">
      <w:pPr>
        <w:adjustRightInd w:val="0"/>
        <w:snapToGrid w:val="0"/>
        <w:spacing w:line="360" w:lineRule="auto"/>
        <w:ind w:firstLineChars="200" w:firstLine="480"/>
        <w:rPr>
          <w:sz w:val="24"/>
        </w:rPr>
      </w:pPr>
      <w:r>
        <w:rPr>
          <w:rFonts w:hint="eastAsia"/>
          <w:sz w:val="24"/>
        </w:rPr>
        <w:t>户名：交银施罗德基金管理有限公司直销专户</w:t>
      </w:r>
    </w:p>
    <w:p w14:paraId="424D0AF0" w14:textId="77777777" w:rsidR="001932F7" w:rsidRDefault="00E87C32">
      <w:pPr>
        <w:adjustRightInd w:val="0"/>
        <w:snapToGrid w:val="0"/>
        <w:spacing w:line="360" w:lineRule="auto"/>
        <w:ind w:firstLineChars="200" w:firstLine="480"/>
        <w:rPr>
          <w:sz w:val="24"/>
        </w:rPr>
      </w:pPr>
      <w:r>
        <w:rPr>
          <w:rFonts w:hint="eastAsia"/>
          <w:sz w:val="24"/>
        </w:rPr>
        <w:t>开户行：中国工商银行股份有限公司上海市分行营业部</w:t>
      </w:r>
    </w:p>
    <w:p w14:paraId="20A97653"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1001202919025740042</w:t>
      </w:r>
    </w:p>
    <w:p w14:paraId="202D1F87" w14:textId="77777777" w:rsidR="001932F7" w:rsidRDefault="00E87C32">
      <w:pPr>
        <w:adjustRightInd w:val="0"/>
        <w:snapToGrid w:val="0"/>
        <w:spacing w:line="360" w:lineRule="auto"/>
        <w:ind w:firstLineChars="200" w:firstLine="480"/>
        <w:rPr>
          <w:sz w:val="24"/>
        </w:rPr>
      </w:pPr>
      <w:r>
        <w:rPr>
          <w:rFonts w:hint="eastAsia"/>
          <w:sz w:val="24"/>
        </w:rPr>
        <w:t>或者：</w:t>
      </w:r>
    </w:p>
    <w:p w14:paraId="7E1F3B8E" w14:textId="77777777" w:rsidR="001932F7" w:rsidRDefault="00E87C32">
      <w:pPr>
        <w:adjustRightInd w:val="0"/>
        <w:snapToGrid w:val="0"/>
        <w:spacing w:line="360" w:lineRule="auto"/>
        <w:ind w:firstLineChars="200" w:firstLine="480"/>
        <w:rPr>
          <w:sz w:val="24"/>
        </w:rPr>
      </w:pPr>
      <w:r>
        <w:rPr>
          <w:rFonts w:hint="eastAsia"/>
          <w:sz w:val="24"/>
        </w:rPr>
        <w:t>户名：交银施罗德基金管理有限公司直销专户</w:t>
      </w:r>
    </w:p>
    <w:p w14:paraId="0F3CBBA9" w14:textId="77777777" w:rsidR="001932F7" w:rsidRDefault="00E87C32">
      <w:pPr>
        <w:adjustRightInd w:val="0"/>
        <w:snapToGrid w:val="0"/>
        <w:spacing w:line="360" w:lineRule="auto"/>
        <w:ind w:firstLineChars="200" w:firstLine="480"/>
        <w:rPr>
          <w:sz w:val="24"/>
        </w:rPr>
      </w:pPr>
      <w:r>
        <w:rPr>
          <w:rFonts w:hint="eastAsia"/>
          <w:sz w:val="24"/>
        </w:rPr>
        <w:t>开户行：中国建设银行股份有限公司上海浦东分行</w:t>
      </w:r>
    </w:p>
    <w:p w14:paraId="27F80CA6"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31001520313050007558</w:t>
      </w:r>
    </w:p>
    <w:p w14:paraId="720A165E" w14:textId="77777777" w:rsidR="001932F7" w:rsidRDefault="00E87C32">
      <w:pPr>
        <w:adjustRightInd w:val="0"/>
        <w:snapToGrid w:val="0"/>
        <w:spacing w:line="360" w:lineRule="auto"/>
        <w:ind w:firstLineChars="200" w:firstLine="480"/>
        <w:rPr>
          <w:sz w:val="24"/>
        </w:rPr>
      </w:pPr>
      <w:r>
        <w:rPr>
          <w:rFonts w:hint="eastAsia"/>
          <w:sz w:val="24"/>
        </w:rPr>
        <w:t>或者：</w:t>
      </w:r>
    </w:p>
    <w:p w14:paraId="0808FABB" w14:textId="77777777" w:rsidR="001932F7" w:rsidRDefault="00E87C32">
      <w:pPr>
        <w:adjustRightInd w:val="0"/>
        <w:snapToGrid w:val="0"/>
        <w:spacing w:line="360" w:lineRule="auto"/>
        <w:ind w:firstLineChars="200" w:firstLine="480"/>
        <w:rPr>
          <w:sz w:val="24"/>
        </w:rPr>
      </w:pPr>
      <w:r>
        <w:rPr>
          <w:rFonts w:hint="eastAsia"/>
          <w:sz w:val="24"/>
        </w:rPr>
        <w:t>户名：交银施罗德基金管理有限公司直销专户</w:t>
      </w:r>
    </w:p>
    <w:p w14:paraId="5B877EAC" w14:textId="77777777" w:rsidR="001932F7" w:rsidRDefault="00E87C32">
      <w:pPr>
        <w:adjustRightInd w:val="0"/>
        <w:snapToGrid w:val="0"/>
        <w:spacing w:line="360" w:lineRule="auto"/>
        <w:ind w:firstLineChars="200" w:firstLine="480"/>
        <w:rPr>
          <w:sz w:val="24"/>
        </w:rPr>
      </w:pPr>
      <w:r>
        <w:rPr>
          <w:rFonts w:hint="eastAsia"/>
          <w:sz w:val="24"/>
        </w:rPr>
        <w:t>开户行：中国农业银行股份有限公司上海卢湾支行</w:t>
      </w:r>
    </w:p>
    <w:p w14:paraId="781362CC" w14:textId="77777777" w:rsidR="001932F7" w:rsidRDefault="00E87C32">
      <w:pPr>
        <w:adjustRightInd w:val="0"/>
        <w:snapToGrid w:val="0"/>
        <w:spacing w:line="360" w:lineRule="auto"/>
        <w:ind w:firstLineChars="200" w:firstLine="480"/>
        <w:rPr>
          <w:sz w:val="24"/>
        </w:rPr>
      </w:pPr>
      <w:r>
        <w:rPr>
          <w:rFonts w:hint="eastAsia"/>
          <w:sz w:val="24"/>
        </w:rPr>
        <w:t>账号：</w:t>
      </w:r>
      <w:r>
        <w:rPr>
          <w:sz w:val="24"/>
        </w:rPr>
        <w:t>03492300040004421</w:t>
      </w:r>
    </w:p>
    <w:p w14:paraId="1AC235E8" w14:textId="77777777" w:rsidR="001932F7" w:rsidRDefault="00E87C32">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14:paraId="279ABA42" w14:textId="77777777" w:rsidR="001932F7" w:rsidRDefault="00E87C32">
      <w:pPr>
        <w:adjustRightInd w:val="0"/>
        <w:snapToGrid w:val="0"/>
        <w:spacing w:line="360" w:lineRule="auto"/>
        <w:ind w:firstLineChars="200" w:firstLine="480"/>
        <w:rPr>
          <w:sz w:val="24"/>
        </w:rPr>
      </w:pPr>
      <w:r>
        <w:rPr>
          <w:rFonts w:hAnsi="宋体"/>
          <w:sz w:val="24"/>
        </w:rPr>
        <w:lastRenderedPageBreak/>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75E8398F" w14:textId="14C8FE0B" w:rsidR="001932F7" w:rsidRDefault="00E87C32">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Ansi="宋体" w:hint="eastAsia"/>
          <w:sz w:val="24"/>
        </w:rPr>
        <w:t>交银智远量化选股股票发起</w:t>
      </w:r>
      <w:r>
        <w:rPr>
          <w:sz w:val="24"/>
        </w:rPr>
        <w:t>”</w:t>
      </w:r>
      <w:r>
        <w:rPr>
          <w:rFonts w:hint="eastAsia"/>
          <w:sz w:val="24"/>
        </w:rPr>
        <w:t>；</w:t>
      </w:r>
    </w:p>
    <w:p w14:paraId="68F51D01" w14:textId="77777777" w:rsidR="001932F7" w:rsidRDefault="00E87C32">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1E66AB86"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（二）各销售银行</w:t>
      </w:r>
    </w:p>
    <w:p w14:paraId="63CEE654" w14:textId="77777777" w:rsidR="001932F7" w:rsidRDefault="00E87C3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13671CA1"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（三）各销售券商</w:t>
      </w:r>
    </w:p>
    <w:p w14:paraId="75C2067B" w14:textId="77777777" w:rsidR="001932F7" w:rsidRDefault="00E87C3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2F7F8D27"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4B56DD5F" w14:textId="77777777" w:rsidR="001932F7" w:rsidRDefault="00E87C32">
      <w:pPr>
        <w:pStyle w:val="a0"/>
        <w:adjustRightInd w:val="0"/>
        <w:snapToGrid w:val="0"/>
      </w:pPr>
      <w:r>
        <w:rPr>
          <w:rFonts w:hint="eastAsia"/>
        </w:rPr>
        <w:t>各独立基金销售机构开户和认购的相关程序以该机构相关规定为准。</w:t>
      </w:r>
    </w:p>
    <w:p w14:paraId="5E7754EF" w14:textId="77777777" w:rsidR="001932F7" w:rsidRDefault="00E87C32">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23024358" w14:textId="77777777" w:rsidR="001932F7" w:rsidRDefault="00E87C32">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28DE5DBD" w14:textId="77777777" w:rsidR="001932F7" w:rsidRDefault="00E87C32">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14:paraId="75BEDC2C" w14:textId="77777777" w:rsidR="001932F7" w:rsidRDefault="00E87C32">
      <w:pPr>
        <w:keepNext/>
        <w:keepLines/>
        <w:adjustRightInd w:val="0"/>
        <w:snapToGrid w:val="0"/>
        <w:spacing w:before="240" w:afterLines="50" w:after="156" w:line="360" w:lineRule="auto"/>
        <w:jc w:val="center"/>
        <w:outlineLvl w:val="0"/>
        <w:rPr>
          <w:b/>
          <w:sz w:val="24"/>
        </w:rPr>
      </w:pPr>
      <w:r>
        <w:rPr>
          <w:rFonts w:hint="eastAsia"/>
          <w:b/>
          <w:sz w:val="24"/>
        </w:rPr>
        <w:t>六、退款</w:t>
      </w:r>
    </w:p>
    <w:p w14:paraId="36116CE3" w14:textId="77777777" w:rsidR="001932F7" w:rsidRDefault="00E87C32">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558AFF54" w14:textId="77777777" w:rsidR="001932F7" w:rsidRDefault="00E87C32">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50722290" w14:textId="77777777" w:rsidR="001932F7" w:rsidRDefault="00E87C32">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14:paraId="45A4E17A" w14:textId="77777777" w:rsidR="001932F7" w:rsidRDefault="00E87C32">
      <w:pPr>
        <w:adjustRightInd w:val="0"/>
        <w:snapToGrid w:val="0"/>
        <w:spacing w:line="360" w:lineRule="auto"/>
        <w:ind w:firstLineChars="200" w:firstLine="480"/>
        <w:rPr>
          <w:sz w:val="24"/>
        </w:rPr>
      </w:pPr>
      <w:r>
        <w:rPr>
          <w:rFonts w:hint="eastAsia"/>
          <w:sz w:val="24"/>
        </w:rPr>
        <w:t>本基金募集期满，达到合同规定的条件，基金合同方可生效。</w:t>
      </w:r>
    </w:p>
    <w:p w14:paraId="616AE620" w14:textId="77777777" w:rsidR="001932F7" w:rsidRDefault="00E87C32">
      <w:pPr>
        <w:adjustRightInd w:val="0"/>
        <w:snapToGrid w:val="0"/>
        <w:spacing w:line="360" w:lineRule="auto"/>
        <w:ind w:firstLineChars="200" w:firstLine="480"/>
        <w:rPr>
          <w:sz w:val="24"/>
        </w:rPr>
      </w:pPr>
      <w:r>
        <w:rPr>
          <w:sz w:val="24"/>
        </w:rPr>
        <w:lastRenderedPageBreak/>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5D0B4D8A" w14:textId="6678F4AF" w:rsidR="001932F7" w:rsidRDefault="00E87C32">
      <w:pPr>
        <w:adjustRightInd w:val="0"/>
        <w:snapToGrid w:val="0"/>
        <w:spacing w:line="360" w:lineRule="auto"/>
        <w:ind w:firstLineChars="200" w:firstLine="480"/>
        <w:rPr>
          <w:sz w:val="24"/>
        </w:rPr>
      </w:pPr>
      <w:r>
        <w:rPr>
          <w:sz w:val="24"/>
        </w:rPr>
        <w:t>2</w:t>
      </w:r>
      <w:r>
        <w:rPr>
          <w:rFonts w:hint="eastAsia"/>
          <w:sz w:val="24"/>
        </w:rPr>
        <w:t>、本基金自基金份额发售之日起</w:t>
      </w:r>
      <w:r>
        <w:rPr>
          <w:sz w:val="24"/>
        </w:rPr>
        <w:t>3</w:t>
      </w:r>
      <w:r>
        <w:rPr>
          <w:rFonts w:hint="eastAsia"/>
          <w:sz w:val="24"/>
        </w:rPr>
        <w:t>个月内，</w:t>
      </w:r>
      <w:r>
        <w:rPr>
          <w:rFonts w:hint="eastAsia"/>
          <w:bCs/>
          <w:sz w:val="24"/>
        </w:rPr>
        <w:t>在发起资金提供方使用发起资金认购本基金的金额不少于</w:t>
      </w:r>
      <w:r>
        <w:rPr>
          <w:rFonts w:hint="eastAsia"/>
          <w:bCs/>
          <w:sz w:val="24"/>
        </w:rPr>
        <w:t>1000</w:t>
      </w:r>
      <w:r>
        <w:rPr>
          <w:rFonts w:hint="eastAsia"/>
          <w:bCs/>
          <w:sz w:val="24"/>
        </w:rPr>
        <w:t>万元人民币且承诺其认购的基金份额持有期限自基金合同生效之日起不少于</w:t>
      </w:r>
      <w:r>
        <w:rPr>
          <w:rFonts w:hint="eastAsia"/>
          <w:bCs/>
          <w:sz w:val="24"/>
        </w:rPr>
        <w:t>3</w:t>
      </w:r>
      <w:r>
        <w:rPr>
          <w:rFonts w:hint="eastAsia"/>
          <w:bCs/>
          <w:sz w:val="24"/>
        </w:rPr>
        <w:t>年的条件下</w:t>
      </w:r>
      <w:r>
        <w:rPr>
          <w:rFonts w:hint="eastAsia"/>
          <w:sz w:val="24"/>
        </w:rPr>
        <w:t>，基金募集期届满或基金管理人依据法律法规及招募说明书可以决定停止基金发售，并在</w:t>
      </w:r>
      <w:r>
        <w:rPr>
          <w:sz w:val="24"/>
        </w:rPr>
        <w:t>10</w:t>
      </w:r>
      <w:r>
        <w:rPr>
          <w:rFonts w:hint="eastAsia"/>
          <w:sz w:val="24"/>
        </w:rPr>
        <w:t>日内聘请法定验资机构验资，验资报告需对发起资金提供方及其持有份额进行专门说明，基金管理人自收到验资报告之日起</w:t>
      </w:r>
      <w:r>
        <w:rPr>
          <w:sz w:val="24"/>
        </w:rPr>
        <w:t>10</w:t>
      </w:r>
      <w:r>
        <w:rPr>
          <w:rFonts w:hint="eastAsia"/>
          <w:sz w:val="24"/>
        </w:rPr>
        <w:t>日内，向中国证监会办理基金备案手续。自中国证监会书面确认之日起，基金备案手续办理完毕，基金合同生效。</w:t>
      </w:r>
    </w:p>
    <w:p w14:paraId="15AA80E6" w14:textId="77777777" w:rsidR="001932F7" w:rsidRDefault="00E87C32">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14:paraId="491FC242" w14:textId="77777777" w:rsidR="001932F7" w:rsidRDefault="00E87C32">
      <w:pPr>
        <w:keepNext/>
        <w:keepLines/>
        <w:adjustRightInd w:val="0"/>
        <w:snapToGrid w:val="0"/>
        <w:spacing w:beforeLines="100" w:before="312" w:afterLines="50" w:after="156" w:line="360" w:lineRule="auto"/>
        <w:jc w:val="center"/>
        <w:outlineLvl w:val="0"/>
        <w:rPr>
          <w:b/>
          <w:sz w:val="24"/>
        </w:rPr>
      </w:pPr>
      <w:r>
        <w:rPr>
          <w:rFonts w:hint="eastAsia"/>
          <w:b/>
          <w:sz w:val="24"/>
        </w:rPr>
        <w:t>八、基金合同生效前的费用处理</w:t>
      </w:r>
    </w:p>
    <w:p w14:paraId="626C3B7C" w14:textId="77777777" w:rsidR="001932F7" w:rsidRDefault="00E87C32">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6D32F842" w14:textId="77777777" w:rsidR="001932F7" w:rsidRDefault="00E87C32">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14:paraId="576AF19D"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（一）基金管理人</w:t>
      </w:r>
    </w:p>
    <w:p w14:paraId="3CC3F4C5" w14:textId="77777777" w:rsidR="001932F7" w:rsidRDefault="00E87C32">
      <w:pPr>
        <w:adjustRightInd w:val="0"/>
        <w:snapToGrid w:val="0"/>
        <w:spacing w:line="360" w:lineRule="auto"/>
        <w:ind w:firstLineChars="200" w:firstLine="480"/>
        <w:rPr>
          <w:sz w:val="24"/>
        </w:rPr>
      </w:pPr>
      <w:r>
        <w:rPr>
          <w:rFonts w:hint="eastAsia"/>
          <w:sz w:val="24"/>
        </w:rPr>
        <w:t>名称：交银施罗德基金管理有限公司</w:t>
      </w:r>
    </w:p>
    <w:p w14:paraId="4491F026" w14:textId="77777777" w:rsidR="001932F7" w:rsidRDefault="00E87C32">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2DB6BFB1" w14:textId="77777777" w:rsidR="001932F7" w:rsidRDefault="00E87C32">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56E4B3A1" w14:textId="77777777" w:rsidR="001932F7" w:rsidRDefault="00E87C32">
      <w:pPr>
        <w:adjustRightInd w:val="0"/>
        <w:snapToGrid w:val="0"/>
        <w:spacing w:line="360" w:lineRule="auto"/>
        <w:ind w:firstLineChars="200" w:firstLine="480"/>
        <w:rPr>
          <w:sz w:val="24"/>
        </w:rPr>
      </w:pPr>
      <w:r>
        <w:rPr>
          <w:rFonts w:hint="eastAsia"/>
          <w:sz w:val="24"/>
        </w:rPr>
        <w:t>邮政编码：</w:t>
      </w:r>
      <w:r>
        <w:rPr>
          <w:sz w:val="24"/>
        </w:rPr>
        <w:t>200120</w:t>
      </w:r>
    </w:p>
    <w:p w14:paraId="1ECC0886" w14:textId="77777777" w:rsidR="001932F7" w:rsidRDefault="00E87C32">
      <w:pPr>
        <w:adjustRightInd w:val="0"/>
        <w:snapToGrid w:val="0"/>
        <w:spacing w:line="360" w:lineRule="auto"/>
        <w:ind w:firstLineChars="200" w:firstLine="480"/>
        <w:rPr>
          <w:sz w:val="24"/>
        </w:rPr>
      </w:pPr>
      <w:r>
        <w:rPr>
          <w:rFonts w:hint="eastAsia"/>
          <w:sz w:val="24"/>
        </w:rPr>
        <w:t>法定代表人：张宏良</w:t>
      </w:r>
    </w:p>
    <w:p w14:paraId="146FB8C6" w14:textId="77777777" w:rsidR="001932F7" w:rsidRDefault="00E87C32">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1D105155" w14:textId="77777777" w:rsidR="001932F7" w:rsidRDefault="00E87C32">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160CF5B6" w14:textId="77777777" w:rsidR="001932F7" w:rsidRDefault="00E87C32">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0A3AF3B4" w14:textId="77777777" w:rsidR="001932F7" w:rsidRDefault="00E87C32">
      <w:pPr>
        <w:adjustRightInd w:val="0"/>
        <w:snapToGrid w:val="0"/>
        <w:spacing w:line="360" w:lineRule="auto"/>
        <w:ind w:firstLineChars="200" w:firstLine="480"/>
        <w:rPr>
          <w:sz w:val="24"/>
        </w:rPr>
      </w:pPr>
      <w:r>
        <w:rPr>
          <w:rFonts w:hint="eastAsia"/>
          <w:sz w:val="24"/>
        </w:rPr>
        <w:lastRenderedPageBreak/>
        <w:t>联系人：何佳妮</w:t>
      </w:r>
    </w:p>
    <w:p w14:paraId="12A3F6CB"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（二）基金托管人</w:t>
      </w:r>
    </w:p>
    <w:p w14:paraId="373F7847" w14:textId="77777777" w:rsidR="001932F7" w:rsidRDefault="00E87C32">
      <w:pPr>
        <w:adjustRightInd w:val="0"/>
        <w:snapToGrid w:val="0"/>
        <w:spacing w:line="360" w:lineRule="auto"/>
        <w:ind w:firstLineChars="200" w:firstLine="480"/>
        <w:rPr>
          <w:bCs/>
          <w:sz w:val="24"/>
        </w:rPr>
      </w:pPr>
      <w:r>
        <w:rPr>
          <w:rFonts w:hint="eastAsia"/>
          <w:bCs/>
          <w:sz w:val="24"/>
        </w:rPr>
        <w:t>名称：中国银行股份有限公司</w:t>
      </w:r>
    </w:p>
    <w:p w14:paraId="18F60DEB" w14:textId="77777777" w:rsidR="001932F7" w:rsidRDefault="00E87C32">
      <w:pPr>
        <w:adjustRightInd w:val="0"/>
        <w:snapToGrid w:val="0"/>
        <w:spacing w:line="360" w:lineRule="auto"/>
        <w:ind w:firstLineChars="200" w:firstLine="480"/>
        <w:rPr>
          <w:bCs/>
          <w:sz w:val="24"/>
        </w:rPr>
      </w:pPr>
      <w:r>
        <w:rPr>
          <w:rFonts w:hint="eastAsia"/>
          <w:bCs/>
          <w:sz w:val="24"/>
        </w:rPr>
        <w:t>住所及办公地址：北京市西城区复兴门内大街</w:t>
      </w:r>
      <w:r>
        <w:rPr>
          <w:rFonts w:hint="eastAsia"/>
          <w:bCs/>
          <w:sz w:val="24"/>
        </w:rPr>
        <w:t>1</w:t>
      </w:r>
      <w:r>
        <w:rPr>
          <w:rFonts w:hint="eastAsia"/>
          <w:bCs/>
          <w:sz w:val="24"/>
        </w:rPr>
        <w:t>号</w:t>
      </w:r>
    </w:p>
    <w:p w14:paraId="3280A6D8" w14:textId="77777777" w:rsidR="001932F7" w:rsidRDefault="00E87C32">
      <w:pPr>
        <w:adjustRightInd w:val="0"/>
        <w:snapToGrid w:val="0"/>
        <w:spacing w:line="360" w:lineRule="auto"/>
        <w:ind w:firstLineChars="200" w:firstLine="480"/>
        <w:rPr>
          <w:bCs/>
          <w:sz w:val="24"/>
        </w:rPr>
      </w:pPr>
      <w:r>
        <w:rPr>
          <w:rFonts w:hint="eastAsia"/>
          <w:bCs/>
          <w:sz w:val="24"/>
        </w:rPr>
        <w:t>首次注册登记日期：</w:t>
      </w:r>
      <w:r>
        <w:rPr>
          <w:bCs/>
          <w:sz w:val="24"/>
        </w:rPr>
        <w:t>1983</w:t>
      </w:r>
      <w:r>
        <w:rPr>
          <w:rFonts w:hint="eastAsia"/>
          <w:bCs/>
          <w:sz w:val="24"/>
        </w:rPr>
        <w:t>年</w:t>
      </w:r>
      <w:r>
        <w:rPr>
          <w:bCs/>
          <w:sz w:val="24"/>
        </w:rPr>
        <w:t>10</w:t>
      </w:r>
      <w:r>
        <w:rPr>
          <w:rFonts w:hint="eastAsia"/>
          <w:bCs/>
          <w:sz w:val="24"/>
        </w:rPr>
        <w:t>月</w:t>
      </w:r>
      <w:r>
        <w:rPr>
          <w:bCs/>
          <w:sz w:val="24"/>
        </w:rPr>
        <w:t>31</w:t>
      </w:r>
      <w:r>
        <w:rPr>
          <w:rFonts w:hint="eastAsia"/>
          <w:bCs/>
          <w:sz w:val="24"/>
        </w:rPr>
        <w:t>日</w:t>
      </w:r>
    </w:p>
    <w:p w14:paraId="0C8D8856" w14:textId="77777777" w:rsidR="001932F7" w:rsidRDefault="00E87C32">
      <w:pPr>
        <w:adjustRightInd w:val="0"/>
        <w:snapToGrid w:val="0"/>
        <w:spacing w:line="360" w:lineRule="auto"/>
        <w:ind w:firstLineChars="200" w:firstLine="480"/>
        <w:rPr>
          <w:bCs/>
          <w:sz w:val="24"/>
        </w:rPr>
      </w:pPr>
      <w:r>
        <w:rPr>
          <w:rFonts w:hint="eastAsia"/>
          <w:bCs/>
          <w:sz w:val="24"/>
        </w:rPr>
        <w:t>注册资本：人民币叁仟贰佰贰拾贰亿壹仟贰佰肆拾壹万壹仟捌佰壹拾肆元整</w:t>
      </w:r>
    </w:p>
    <w:p w14:paraId="2CB3F2E1" w14:textId="77777777" w:rsidR="001932F7" w:rsidRDefault="00E87C32">
      <w:pPr>
        <w:adjustRightInd w:val="0"/>
        <w:snapToGrid w:val="0"/>
        <w:spacing w:line="360" w:lineRule="auto"/>
        <w:ind w:firstLineChars="200" w:firstLine="480"/>
        <w:rPr>
          <w:bCs/>
          <w:sz w:val="24"/>
        </w:rPr>
      </w:pPr>
      <w:r>
        <w:rPr>
          <w:rFonts w:hint="eastAsia"/>
          <w:bCs/>
          <w:sz w:val="24"/>
        </w:rPr>
        <w:t>法定代表人：葛海蛟</w:t>
      </w:r>
    </w:p>
    <w:p w14:paraId="0E797EF4" w14:textId="77777777" w:rsidR="001932F7" w:rsidRDefault="00E87C32">
      <w:pPr>
        <w:adjustRightInd w:val="0"/>
        <w:snapToGrid w:val="0"/>
        <w:spacing w:line="360" w:lineRule="auto"/>
        <w:ind w:firstLineChars="200" w:firstLine="480"/>
        <w:rPr>
          <w:bCs/>
          <w:sz w:val="24"/>
        </w:rPr>
      </w:pPr>
      <w:r>
        <w:rPr>
          <w:rFonts w:hint="eastAsia"/>
          <w:bCs/>
          <w:sz w:val="24"/>
        </w:rPr>
        <w:t>基金托管业务批准文号：中国证监会证监基字【</w:t>
      </w:r>
      <w:r>
        <w:rPr>
          <w:bCs/>
          <w:sz w:val="24"/>
        </w:rPr>
        <w:t>1998</w:t>
      </w:r>
      <w:r>
        <w:rPr>
          <w:rFonts w:hint="eastAsia"/>
          <w:bCs/>
          <w:sz w:val="24"/>
        </w:rPr>
        <w:t>】</w:t>
      </w:r>
      <w:r>
        <w:rPr>
          <w:bCs/>
          <w:sz w:val="24"/>
        </w:rPr>
        <w:t xml:space="preserve">24 </w:t>
      </w:r>
      <w:r>
        <w:rPr>
          <w:rFonts w:hint="eastAsia"/>
          <w:bCs/>
          <w:sz w:val="24"/>
        </w:rPr>
        <w:t>号</w:t>
      </w:r>
    </w:p>
    <w:p w14:paraId="6608089E" w14:textId="77777777" w:rsidR="001932F7" w:rsidRDefault="00E87C32">
      <w:pPr>
        <w:adjustRightInd w:val="0"/>
        <w:snapToGrid w:val="0"/>
        <w:spacing w:line="360" w:lineRule="auto"/>
        <w:ind w:firstLineChars="200" w:firstLine="480"/>
        <w:rPr>
          <w:bCs/>
          <w:sz w:val="24"/>
        </w:rPr>
      </w:pPr>
      <w:r>
        <w:rPr>
          <w:rFonts w:hint="eastAsia"/>
          <w:bCs/>
          <w:sz w:val="24"/>
        </w:rPr>
        <w:t>托管部门信息披露联系人：许俊</w:t>
      </w:r>
    </w:p>
    <w:p w14:paraId="5D3F7528" w14:textId="77777777" w:rsidR="001932F7" w:rsidRDefault="00E87C32">
      <w:pPr>
        <w:adjustRightInd w:val="0"/>
        <w:snapToGrid w:val="0"/>
        <w:spacing w:line="360" w:lineRule="auto"/>
        <w:ind w:firstLineChars="200" w:firstLine="480"/>
        <w:rPr>
          <w:bCs/>
          <w:sz w:val="24"/>
        </w:rPr>
      </w:pPr>
      <w:r>
        <w:rPr>
          <w:rFonts w:hint="eastAsia"/>
          <w:bCs/>
          <w:sz w:val="24"/>
        </w:rPr>
        <w:t>传真：（</w:t>
      </w:r>
      <w:r>
        <w:rPr>
          <w:bCs/>
          <w:sz w:val="24"/>
        </w:rPr>
        <w:t>010</w:t>
      </w:r>
      <w:r>
        <w:rPr>
          <w:rFonts w:hint="eastAsia"/>
          <w:bCs/>
          <w:sz w:val="24"/>
        </w:rPr>
        <w:t>）</w:t>
      </w:r>
      <w:r>
        <w:rPr>
          <w:bCs/>
          <w:sz w:val="24"/>
        </w:rPr>
        <w:t>66594942</w:t>
      </w:r>
    </w:p>
    <w:p w14:paraId="667E5E9D" w14:textId="77777777" w:rsidR="001932F7" w:rsidRDefault="00E87C32">
      <w:pPr>
        <w:adjustRightInd w:val="0"/>
        <w:snapToGrid w:val="0"/>
        <w:spacing w:line="360" w:lineRule="auto"/>
        <w:ind w:firstLineChars="200" w:firstLine="480"/>
        <w:rPr>
          <w:bCs/>
          <w:sz w:val="24"/>
        </w:rPr>
      </w:pPr>
      <w:r>
        <w:rPr>
          <w:rFonts w:hint="eastAsia"/>
          <w:bCs/>
          <w:sz w:val="24"/>
        </w:rPr>
        <w:t>中国银行客服电话：</w:t>
      </w:r>
      <w:r>
        <w:rPr>
          <w:bCs/>
          <w:sz w:val="24"/>
        </w:rPr>
        <w:t>95566</w:t>
      </w:r>
    </w:p>
    <w:p w14:paraId="3E48FB23" w14:textId="77777777" w:rsidR="001932F7" w:rsidRDefault="00E87C32">
      <w:pPr>
        <w:adjustRightInd w:val="0"/>
        <w:snapToGrid w:val="0"/>
        <w:spacing w:line="360" w:lineRule="auto"/>
        <w:ind w:firstLineChars="200" w:firstLine="482"/>
        <w:rPr>
          <w:rFonts w:hAnsi="宋体"/>
          <w:b/>
          <w:sz w:val="24"/>
        </w:rPr>
      </w:pPr>
      <w:r>
        <w:rPr>
          <w:rFonts w:hAnsi="宋体" w:hint="eastAsia"/>
          <w:b/>
          <w:sz w:val="24"/>
        </w:rPr>
        <w:t>（三）销售机构</w:t>
      </w:r>
    </w:p>
    <w:p w14:paraId="10D73DAB" w14:textId="77777777" w:rsidR="001932F7" w:rsidRDefault="00E87C32">
      <w:pPr>
        <w:widowControl/>
        <w:adjustRightInd w:val="0"/>
        <w:snapToGrid w:val="0"/>
        <w:spacing w:line="360" w:lineRule="auto"/>
        <w:ind w:firstLineChars="200" w:firstLine="480"/>
        <w:rPr>
          <w:kern w:val="0"/>
          <w:sz w:val="24"/>
        </w:rPr>
      </w:pPr>
      <w:r>
        <w:rPr>
          <w:kern w:val="0"/>
          <w:sz w:val="24"/>
        </w:rPr>
        <w:t>1</w:t>
      </w:r>
      <w:r>
        <w:rPr>
          <w:rFonts w:hint="eastAsia"/>
          <w:kern w:val="0"/>
          <w:sz w:val="24"/>
        </w:rPr>
        <w:t>、直销机构</w:t>
      </w:r>
    </w:p>
    <w:p w14:paraId="2C657555"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4B52F7CC"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48F9369C"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1BB0CEEC"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68FEFBD0" w14:textId="77777777" w:rsidR="001932F7" w:rsidRDefault="00E87C32">
      <w:pPr>
        <w:adjustRightInd w:val="0"/>
        <w:snapToGrid w:val="0"/>
        <w:spacing w:line="360" w:lineRule="auto"/>
        <w:ind w:firstLineChars="200" w:firstLine="480"/>
        <w:rPr>
          <w:sz w:val="24"/>
        </w:rPr>
      </w:pPr>
      <w:r>
        <w:rPr>
          <w:rFonts w:hint="eastAsia"/>
          <w:kern w:val="0"/>
          <w:sz w:val="24"/>
        </w:rPr>
        <w:t>法定代表人：</w:t>
      </w:r>
      <w:r>
        <w:rPr>
          <w:rFonts w:hint="eastAsia"/>
          <w:sz w:val="24"/>
        </w:rPr>
        <w:t>张宏良</w:t>
      </w:r>
    </w:p>
    <w:p w14:paraId="190F50BA"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7B98B434"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2C46176B"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联系人：傅鲸</w:t>
      </w:r>
    </w:p>
    <w:p w14:paraId="17FD2656"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65B46923" w14:textId="77777777" w:rsidR="001932F7" w:rsidRDefault="00E87C32">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14:paraId="553250E2"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f5"/>
          <w:color w:val="auto"/>
          <w:sz w:val="24"/>
          <w:szCs w:val="24"/>
          <w:u w:val="none"/>
        </w:rPr>
        <w:t>www.fund001.com</w:t>
      </w:r>
      <w:r>
        <w:rPr>
          <w:rFonts w:hint="eastAsia"/>
          <w:kern w:val="0"/>
          <w:sz w:val="24"/>
        </w:rPr>
        <w:t>。</w:t>
      </w:r>
    </w:p>
    <w:p w14:paraId="0655E0E5" w14:textId="77777777" w:rsidR="001932F7" w:rsidRDefault="00E87C32">
      <w:pPr>
        <w:widowControl/>
        <w:adjustRightInd w:val="0"/>
        <w:snapToGrid w:val="0"/>
        <w:spacing w:line="360" w:lineRule="auto"/>
        <w:ind w:firstLineChars="200" w:firstLine="480"/>
        <w:rPr>
          <w:kern w:val="0"/>
          <w:sz w:val="24"/>
        </w:rPr>
      </w:pPr>
      <w:r>
        <w:rPr>
          <w:kern w:val="0"/>
          <w:sz w:val="24"/>
        </w:rPr>
        <w:t>2</w:t>
      </w:r>
      <w:r>
        <w:rPr>
          <w:rFonts w:hint="eastAsia"/>
          <w:kern w:val="0"/>
          <w:sz w:val="24"/>
        </w:rPr>
        <w:t>、除基金管理人之外的其他销售机构</w:t>
      </w:r>
      <w:r>
        <w:rPr>
          <w:rFonts w:hint="eastAsia"/>
          <w:kern w:val="0"/>
          <w:sz w:val="24"/>
        </w:rPr>
        <w:tab/>
      </w:r>
      <w:bookmarkStart w:id="5" w:name="_GoBack"/>
      <w:bookmarkEnd w:id="5"/>
    </w:p>
    <w:p w14:paraId="14D69259" w14:textId="25D37B26" w:rsidR="0074601D" w:rsidRPr="0074601D" w:rsidRDefault="00E87C32" w:rsidP="0074601D">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w:t>
      </w:r>
      <w:r w:rsidR="0074601D" w:rsidRPr="0074601D">
        <w:rPr>
          <w:rFonts w:hint="eastAsia"/>
          <w:kern w:val="0"/>
          <w:sz w:val="24"/>
        </w:rPr>
        <w:t>上海利得基金销售有限公司</w:t>
      </w:r>
    </w:p>
    <w:p w14:paraId="06B92485" w14:textId="0F065B09"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住所：上海浦东新区峨山路</w:t>
      </w:r>
      <w:r w:rsidRPr="0074601D">
        <w:rPr>
          <w:rFonts w:hint="eastAsia"/>
          <w:kern w:val="0"/>
          <w:sz w:val="24"/>
        </w:rPr>
        <w:t>91</w:t>
      </w:r>
      <w:r w:rsidRPr="0074601D">
        <w:rPr>
          <w:rFonts w:hint="eastAsia"/>
          <w:kern w:val="0"/>
          <w:sz w:val="24"/>
        </w:rPr>
        <w:t>弄</w:t>
      </w:r>
      <w:r w:rsidRPr="0074601D">
        <w:rPr>
          <w:rFonts w:hint="eastAsia"/>
          <w:kern w:val="0"/>
          <w:sz w:val="24"/>
        </w:rPr>
        <w:t>61</w:t>
      </w:r>
      <w:r w:rsidRPr="0074601D">
        <w:rPr>
          <w:rFonts w:hint="eastAsia"/>
          <w:kern w:val="0"/>
          <w:sz w:val="24"/>
        </w:rPr>
        <w:t>号陆家嘴软件园</w:t>
      </w:r>
      <w:r w:rsidRPr="0074601D">
        <w:rPr>
          <w:rFonts w:hint="eastAsia"/>
          <w:kern w:val="0"/>
          <w:sz w:val="24"/>
        </w:rPr>
        <w:t>10</w:t>
      </w:r>
      <w:r w:rsidRPr="0074601D">
        <w:rPr>
          <w:rFonts w:hint="eastAsia"/>
          <w:kern w:val="0"/>
          <w:sz w:val="24"/>
        </w:rPr>
        <w:t>号楼</w:t>
      </w:r>
      <w:r w:rsidRPr="0074601D">
        <w:rPr>
          <w:rFonts w:hint="eastAsia"/>
          <w:kern w:val="0"/>
          <w:sz w:val="24"/>
        </w:rPr>
        <w:t>12</w:t>
      </w:r>
      <w:r w:rsidRPr="0074601D">
        <w:rPr>
          <w:rFonts w:hint="eastAsia"/>
          <w:kern w:val="0"/>
          <w:sz w:val="24"/>
        </w:rPr>
        <w:t>楼</w:t>
      </w:r>
    </w:p>
    <w:p w14:paraId="07BAC109" w14:textId="77777777"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办公地址：上海市虹口区东大名路</w:t>
      </w:r>
      <w:r w:rsidRPr="0074601D">
        <w:rPr>
          <w:rFonts w:hint="eastAsia"/>
          <w:kern w:val="0"/>
          <w:sz w:val="24"/>
        </w:rPr>
        <w:t>1098</w:t>
      </w:r>
      <w:r w:rsidRPr="0074601D">
        <w:rPr>
          <w:rFonts w:hint="eastAsia"/>
          <w:kern w:val="0"/>
          <w:sz w:val="24"/>
        </w:rPr>
        <w:t>号浦江国际金融广场</w:t>
      </w:r>
      <w:r w:rsidRPr="0074601D">
        <w:rPr>
          <w:rFonts w:hint="eastAsia"/>
          <w:kern w:val="0"/>
          <w:sz w:val="24"/>
        </w:rPr>
        <w:t>53</w:t>
      </w:r>
      <w:r w:rsidRPr="0074601D">
        <w:rPr>
          <w:rFonts w:hint="eastAsia"/>
          <w:kern w:val="0"/>
          <w:sz w:val="24"/>
        </w:rPr>
        <w:t>层</w:t>
      </w:r>
    </w:p>
    <w:p w14:paraId="228C2B05" w14:textId="77777777"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lastRenderedPageBreak/>
        <w:t>法定代表人：李兴春</w:t>
      </w:r>
    </w:p>
    <w:p w14:paraId="765B33DB" w14:textId="77777777"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电话：</w:t>
      </w:r>
      <w:r w:rsidRPr="0074601D">
        <w:rPr>
          <w:rFonts w:hint="eastAsia"/>
          <w:kern w:val="0"/>
          <w:sz w:val="24"/>
        </w:rPr>
        <w:t>021-50583533</w:t>
      </w:r>
    </w:p>
    <w:p w14:paraId="23E15EFB" w14:textId="77777777"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传真：</w:t>
      </w:r>
      <w:r w:rsidRPr="0074601D">
        <w:rPr>
          <w:rFonts w:hint="eastAsia"/>
          <w:kern w:val="0"/>
          <w:sz w:val="24"/>
        </w:rPr>
        <w:t>021-50583633</w:t>
      </w:r>
    </w:p>
    <w:p w14:paraId="180597EE" w14:textId="01DF1A1A"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联系人：伍豪</w:t>
      </w:r>
    </w:p>
    <w:p w14:paraId="29A249A6" w14:textId="77777777" w:rsidR="0074601D" w:rsidRP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客服电话：</w:t>
      </w:r>
      <w:r w:rsidRPr="0074601D">
        <w:rPr>
          <w:rFonts w:hint="eastAsia"/>
          <w:kern w:val="0"/>
          <w:sz w:val="24"/>
        </w:rPr>
        <w:t>400-032-5885</w:t>
      </w:r>
    </w:p>
    <w:p w14:paraId="64560871" w14:textId="29FA2EF8" w:rsidR="0074601D" w:rsidRDefault="0074601D" w:rsidP="0074601D">
      <w:pPr>
        <w:widowControl/>
        <w:adjustRightInd w:val="0"/>
        <w:snapToGrid w:val="0"/>
        <w:spacing w:line="360" w:lineRule="auto"/>
        <w:ind w:firstLineChars="200" w:firstLine="480"/>
        <w:rPr>
          <w:kern w:val="0"/>
          <w:sz w:val="24"/>
        </w:rPr>
      </w:pPr>
      <w:r w:rsidRPr="0074601D">
        <w:rPr>
          <w:rFonts w:hint="eastAsia"/>
          <w:kern w:val="0"/>
          <w:sz w:val="24"/>
        </w:rPr>
        <w:t>网址：</w:t>
      </w:r>
      <w:hyperlink r:id="rId10" w:history="1">
        <w:r w:rsidRPr="00E57554">
          <w:rPr>
            <w:rStyle w:val="aff5"/>
            <w:rFonts w:hint="eastAsia"/>
            <w:kern w:val="0"/>
            <w:sz w:val="24"/>
          </w:rPr>
          <w:t>www.leadfund.com.cn</w:t>
        </w:r>
      </w:hyperlink>
    </w:p>
    <w:p w14:paraId="641CA9AE" w14:textId="77777777" w:rsidR="001932F7" w:rsidRDefault="00E87C32" w:rsidP="0074601D">
      <w:pPr>
        <w:widowControl/>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基金管理人可根据有关法律法规的要求，选择其它符合要求的机构销售本基金，</w:t>
      </w:r>
      <w:r>
        <w:rPr>
          <w:rFonts w:hAnsi="宋体" w:hint="eastAsia"/>
          <w:kern w:val="0"/>
          <w:sz w:val="24"/>
        </w:rPr>
        <w:t>并在基金管理人网站公示</w:t>
      </w:r>
      <w:r>
        <w:rPr>
          <w:rFonts w:hAnsi="宋体"/>
          <w:kern w:val="0"/>
          <w:sz w:val="24"/>
        </w:rPr>
        <w:t>。</w:t>
      </w:r>
    </w:p>
    <w:p w14:paraId="3AA6648F" w14:textId="77777777" w:rsidR="001932F7" w:rsidRDefault="00E87C32">
      <w:pPr>
        <w:widowControl/>
        <w:adjustRightInd w:val="0"/>
        <w:snapToGrid w:val="0"/>
        <w:spacing w:line="360" w:lineRule="auto"/>
        <w:ind w:firstLineChars="200" w:firstLine="482"/>
        <w:rPr>
          <w:b/>
          <w:kern w:val="0"/>
          <w:sz w:val="24"/>
        </w:rPr>
      </w:pPr>
      <w:r>
        <w:rPr>
          <w:rFonts w:hint="eastAsia"/>
          <w:b/>
          <w:kern w:val="0"/>
          <w:sz w:val="24"/>
        </w:rPr>
        <w:t>（四）登记机构</w:t>
      </w:r>
    </w:p>
    <w:p w14:paraId="1C6C8E74"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0BA1BD14"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rFonts w:hint="eastAsia"/>
          <w:kern w:val="0"/>
          <w:sz w:val="24"/>
        </w:rPr>
        <w:t>188</w:t>
      </w:r>
      <w:r>
        <w:rPr>
          <w:rFonts w:hint="eastAsia"/>
          <w:kern w:val="0"/>
          <w:sz w:val="24"/>
        </w:rPr>
        <w:t>号交通银行大楼二层（裙）</w:t>
      </w:r>
    </w:p>
    <w:p w14:paraId="56DF5FF0"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办公地址：上海市浦东新区世纪大道</w:t>
      </w:r>
      <w:r>
        <w:rPr>
          <w:rFonts w:hint="eastAsia"/>
          <w:kern w:val="0"/>
          <w:sz w:val="24"/>
        </w:rPr>
        <w:t>8</w:t>
      </w:r>
      <w:r>
        <w:rPr>
          <w:rFonts w:hint="eastAsia"/>
          <w:kern w:val="0"/>
          <w:sz w:val="24"/>
        </w:rPr>
        <w:t>号国金中心二期</w:t>
      </w:r>
      <w:r>
        <w:rPr>
          <w:rFonts w:hint="eastAsia"/>
          <w:kern w:val="0"/>
          <w:sz w:val="24"/>
        </w:rPr>
        <w:t>21-22</w:t>
      </w:r>
      <w:r>
        <w:rPr>
          <w:rFonts w:hint="eastAsia"/>
          <w:kern w:val="0"/>
          <w:sz w:val="24"/>
        </w:rPr>
        <w:t>楼</w:t>
      </w:r>
    </w:p>
    <w:p w14:paraId="52705274"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法定代表人：张宏良</w:t>
      </w:r>
    </w:p>
    <w:p w14:paraId="3A1804EE"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021</w:t>
      </w:r>
      <w:r>
        <w:rPr>
          <w:rFonts w:hint="eastAsia"/>
          <w:kern w:val="0"/>
          <w:sz w:val="24"/>
        </w:rPr>
        <w:t>）</w:t>
      </w:r>
      <w:r>
        <w:rPr>
          <w:rFonts w:hint="eastAsia"/>
          <w:kern w:val="0"/>
          <w:sz w:val="24"/>
        </w:rPr>
        <w:t>61055461</w:t>
      </w:r>
    </w:p>
    <w:p w14:paraId="468201AA" w14:textId="77777777" w:rsidR="001932F7" w:rsidRDefault="00E87C32">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021</w:t>
      </w:r>
      <w:r>
        <w:rPr>
          <w:rFonts w:hint="eastAsia"/>
          <w:kern w:val="0"/>
          <w:sz w:val="24"/>
        </w:rPr>
        <w:t>）</w:t>
      </w:r>
      <w:r>
        <w:rPr>
          <w:rFonts w:hint="eastAsia"/>
          <w:kern w:val="0"/>
          <w:sz w:val="24"/>
        </w:rPr>
        <w:t>61055064</w:t>
      </w:r>
    </w:p>
    <w:p w14:paraId="0486C37C" w14:textId="77777777" w:rsidR="001932F7" w:rsidRDefault="00E87C32">
      <w:pPr>
        <w:adjustRightInd w:val="0"/>
        <w:snapToGrid w:val="0"/>
        <w:spacing w:line="360" w:lineRule="auto"/>
        <w:ind w:firstLineChars="200" w:firstLine="480"/>
        <w:rPr>
          <w:kern w:val="0"/>
          <w:sz w:val="24"/>
        </w:rPr>
      </w:pPr>
      <w:r>
        <w:rPr>
          <w:rFonts w:hint="eastAsia"/>
          <w:kern w:val="0"/>
          <w:sz w:val="24"/>
        </w:rPr>
        <w:t>联系人：陈方强</w:t>
      </w:r>
    </w:p>
    <w:p w14:paraId="41060EAA" w14:textId="77777777" w:rsidR="001932F7" w:rsidRDefault="00E87C32">
      <w:pPr>
        <w:widowControl/>
        <w:adjustRightInd w:val="0"/>
        <w:snapToGrid w:val="0"/>
        <w:spacing w:line="360" w:lineRule="auto"/>
        <w:ind w:firstLineChars="200" w:firstLine="482"/>
        <w:rPr>
          <w:b/>
          <w:kern w:val="0"/>
          <w:sz w:val="24"/>
        </w:rPr>
      </w:pPr>
      <w:r>
        <w:rPr>
          <w:rFonts w:hint="eastAsia"/>
          <w:b/>
          <w:kern w:val="0"/>
          <w:sz w:val="24"/>
        </w:rPr>
        <w:t>（五）律师事务所和经办律师</w:t>
      </w:r>
    </w:p>
    <w:p w14:paraId="206D6674" w14:textId="77777777" w:rsidR="001932F7" w:rsidRDefault="00E87C32">
      <w:pPr>
        <w:adjustRightInd w:val="0"/>
        <w:snapToGrid w:val="0"/>
        <w:spacing w:line="360" w:lineRule="auto"/>
        <w:ind w:firstLineChars="200" w:firstLine="480"/>
        <w:rPr>
          <w:kern w:val="0"/>
          <w:sz w:val="24"/>
        </w:rPr>
      </w:pPr>
      <w:r>
        <w:rPr>
          <w:rFonts w:hint="eastAsia"/>
          <w:kern w:val="0"/>
          <w:sz w:val="24"/>
        </w:rPr>
        <w:t>名称：上海市通力律师事务所</w:t>
      </w:r>
    </w:p>
    <w:p w14:paraId="200029B0" w14:textId="77777777" w:rsidR="001932F7" w:rsidRDefault="00E87C32">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414C0B98" w14:textId="77777777" w:rsidR="001932F7" w:rsidRDefault="00E87C32">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14:paraId="1D65AB13" w14:textId="77777777" w:rsidR="001932F7" w:rsidRDefault="00E87C32">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6060BE1C" w14:textId="77777777" w:rsidR="001932F7" w:rsidRDefault="00E87C32">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7A6A1993" w14:textId="77777777" w:rsidR="001932F7" w:rsidRDefault="00E87C32">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536421B3" w14:textId="77777777" w:rsidR="001932F7" w:rsidRDefault="00E87C32">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14:paraId="436DAF43" w14:textId="77777777" w:rsidR="001932F7" w:rsidRDefault="00E87C32">
      <w:pPr>
        <w:adjustRightInd w:val="0"/>
        <w:snapToGrid w:val="0"/>
        <w:spacing w:line="360" w:lineRule="auto"/>
        <w:ind w:firstLineChars="200" w:firstLine="480"/>
        <w:rPr>
          <w:rFonts w:hAnsi="宋体"/>
          <w:kern w:val="0"/>
          <w:sz w:val="24"/>
        </w:rPr>
      </w:pPr>
      <w:bookmarkStart w:id="6" w:name="OLE_LINK4"/>
      <w:bookmarkStart w:id="7" w:name="OLE_LINK3"/>
      <w:r>
        <w:rPr>
          <w:rFonts w:hint="eastAsia"/>
          <w:kern w:val="0"/>
          <w:sz w:val="24"/>
        </w:rPr>
        <w:t>经办律师</w:t>
      </w:r>
      <w:bookmarkEnd w:id="6"/>
      <w:bookmarkEnd w:id="7"/>
      <w:r>
        <w:rPr>
          <w:rFonts w:hint="eastAsia"/>
          <w:kern w:val="0"/>
          <w:sz w:val="24"/>
        </w:rPr>
        <w:t>：</w:t>
      </w:r>
      <w:r>
        <w:rPr>
          <w:rFonts w:hAnsi="宋体" w:hint="eastAsia"/>
          <w:kern w:val="0"/>
          <w:sz w:val="24"/>
        </w:rPr>
        <w:t>丁媛、李晓露</w:t>
      </w:r>
    </w:p>
    <w:p w14:paraId="61E97202" w14:textId="77777777" w:rsidR="001932F7" w:rsidRDefault="00E87C32">
      <w:pPr>
        <w:widowControl/>
        <w:adjustRightInd w:val="0"/>
        <w:snapToGrid w:val="0"/>
        <w:spacing w:line="360" w:lineRule="auto"/>
        <w:ind w:firstLineChars="200" w:firstLine="482"/>
        <w:rPr>
          <w:b/>
          <w:kern w:val="0"/>
          <w:sz w:val="24"/>
        </w:rPr>
      </w:pPr>
      <w:r>
        <w:rPr>
          <w:rFonts w:hint="eastAsia"/>
          <w:b/>
          <w:kern w:val="0"/>
          <w:sz w:val="24"/>
        </w:rPr>
        <w:t>（六）会计师事务所和经办注册会计师</w:t>
      </w:r>
    </w:p>
    <w:p w14:paraId="53C79A4E"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名称：毕马威华振会计师事务所</w:t>
      </w:r>
      <w:r>
        <w:rPr>
          <w:rFonts w:hAnsi="宋体" w:hint="eastAsia"/>
          <w:kern w:val="0"/>
          <w:sz w:val="24"/>
        </w:rPr>
        <w:t>(</w:t>
      </w:r>
      <w:r>
        <w:rPr>
          <w:rFonts w:hAnsi="宋体" w:hint="eastAsia"/>
          <w:kern w:val="0"/>
          <w:sz w:val="24"/>
        </w:rPr>
        <w:t>特殊普通合伙</w:t>
      </w:r>
      <w:r>
        <w:rPr>
          <w:rFonts w:hAnsi="宋体" w:hint="eastAsia"/>
          <w:kern w:val="0"/>
          <w:sz w:val="24"/>
        </w:rPr>
        <w:t>)</w:t>
      </w:r>
    </w:p>
    <w:p w14:paraId="2B778B89" w14:textId="24FD716C"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住所：北京市东城区东长安街</w:t>
      </w:r>
      <w:r>
        <w:rPr>
          <w:rFonts w:hAnsi="宋体" w:hint="eastAsia"/>
          <w:kern w:val="0"/>
          <w:sz w:val="24"/>
        </w:rPr>
        <w:t>1</w:t>
      </w:r>
      <w:r>
        <w:rPr>
          <w:rFonts w:hAnsi="宋体" w:hint="eastAsia"/>
          <w:kern w:val="0"/>
          <w:sz w:val="24"/>
        </w:rPr>
        <w:t>号东方广场</w:t>
      </w:r>
      <w:r>
        <w:rPr>
          <w:rFonts w:hAnsi="宋体" w:hint="eastAsia"/>
          <w:kern w:val="0"/>
          <w:sz w:val="24"/>
        </w:rPr>
        <w:t>2</w:t>
      </w:r>
      <w:r>
        <w:rPr>
          <w:rFonts w:hAnsi="宋体" w:hint="eastAsia"/>
          <w:kern w:val="0"/>
          <w:sz w:val="24"/>
        </w:rPr>
        <w:t>座办公楼</w:t>
      </w:r>
      <w:r>
        <w:rPr>
          <w:rFonts w:hAnsi="宋体" w:hint="eastAsia"/>
          <w:kern w:val="0"/>
          <w:sz w:val="24"/>
        </w:rPr>
        <w:t>8</w:t>
      </w:r>
      <w:r>
        <w:rPr>
          <w:rFonts w:hAnsi="宋体" w:hint="eastAsia"/>
          <w:kern w:val="0"/>
          <w:sz w:val="24"/>
        </w:rPr>
        <w:t>层</w:t>
      </w:r>
    </w:p>
    <w:p w14:paraId="2430E182"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办公地址：中国上海南京西路</w:t>
      </w:r>
      <w:r>
        <w:rPr>
          <w:rFonts w:hAnsi="宋体" w:hint="eastAsia"/>
          <w:kern w:val="0"/>
          <w:sz w:val="24"/>
        </w:rPr>
        <w:t>1266</w:t>
      </w:r>
      <w:r>
        <w:rPr>
          <w:rFonts w:hAnsi="宋体" w:hint="eastAsia"/>
          <w:kern w:val="0"/>
          <w:sz w:val="24"/>
        </w:rPr>
        <w:t>号恒隆广场</w:t>
      </w:r>
      <w:r>
        <w:rPr>
          <w:rFonts w:hAnsi="宋体" w:hint="eastAsia"/>
          <w:kern w:val="0"/>
          <w:sz w:val="24"/>
        </w:rPr>
        <w:t>2</w:t>
      </w:r>
      <w:r>
        <w:rPr>
          <w:rFonts w:hAnsi="宋体" w:hint="eastAsia"/>
          <w:kern w:val="0"/>
          <w:sz w:val="24"/>
        </w:rPr>
        <w:t>期</w:t>
      </w:r>
      <w:r>
        <w:rPr>
          <w:rFonts w:hAnsi="宋体" w:hint="eastAsia"/>
          <w:kern w:val="0"/>
          <w:sz w:val="24"/>
        </w:rPr>
        <w:t>25</w:t>
      </w:r>
      <w:r>
        <w:rPr>
          <w:rFonts w:hAnsi="宋体" w:hint="eastAsia"/>
          <w:kern w:val="0"/>
          <w:sz w:val="24"/>
        </w:rPr>
        <w:t>楼</w:t>
      </w:r>
    </w:p>
    <w:p w14:paraId="024810CC"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执行事务合伙人：邹俊</w:t>
      </w:r>
    </w:p>
    <w:p w14:paraId="21B90A0C"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电话：</w:t>
      </w:r>
      <w:r>
        <w:rPr>
          <w:rFonts w:hAnsi="宋体" w:hint="eastAsia"/>
          <w:kern w:val="0"/>
          <w:sz w:val="24"/>
        </w:rPr>
        <w:t>+86 (21) 2212 2888</w:t>
      </w:r>
    </w:p>
    <w:p w14:paraId="52C34115"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传真：</w:t>
      </w:r>
      <w:r>
        <w:rPr>
          <w:rFonts w:hAnsi="宋体" w:hint="eastAsia"/>
          <w:kern w:val="0"/>
          <w:sz w:val="24"/>
        </w:rPr>
        <w:t>+86 (21) 6288 1889</w:t>
      </w:r>
    </w:p>
    <w:p w14:paraId="27A4A17D"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联系人：侯雯</w:t>
      </w:r>
    </w:p>
    <w:p w14:paraId="71D41099" w14:textId="77777777" w:rsidR="001932F7" w:rsidRDefault="00E87C32">
      <w:pPr>
        <w:widowControl/>
        <w:adjustRightInd w:val="0"/>
        <w:snapToGrid w:val="0"/>
        <w:spacing w:line="360" w:lineRule="auto"/>
        <w:ind w:firstLineChars="200" w:firstLine="480"/>
        <w:rPr>
          <w:rFonts w:hAnsi="宋体"/>
          <w:kern w:val="0"/>
          <w:sz w:val="24"/>
        </w:rPr>
      </w:pPr>
      <w:r>
        <w:rPr>
          <w:rFonts w:hAnsi="宋体" w:hint="eastAsia"/>
          <w:kern w:val="0"/>
          <w:sz w:val="24"/>
        </w:rPr>
        <w:t>经办注册会计师：王国蓓、侯雯</w:t>
      </w:r>
    </w:p>
    <w:p w14:paraId="59B43170" w14:textId="77777777" w:rsidR="001932F7" w:rsidRDefault="001932F7">
      <w:pPr>
        <w:widowControl/>
        <w:adjustRightInd w:val="0"/>
        <w:snapToGrid w:val="0"/>
        <w:spacing w:line="360" w:lineRule="auto"/>
        <w:ind w:firstLineChars="200" w:firstLine="480"/>
        <w:rPr>
          <w:kern w:val="0"/>
          <w:sz w:val="24"/>
        </w:rPr>
      </w:pPr>
    </w:p>
    <w:p w14:paraId="70D96BDA" w14:textId="77777777" w:rsidR="001932F7" w:rsidRDefault="001932F7">
      <w:pPr>
        <w:widowControl/>
        <w:adjustRightInd w:val="0"/>
        <w:snapToGrid w:val="0"/>
        <w:spacing w:line="360" w:lineRule="auto"/>
        <w:ind w:firstLineChars="200" w:firstLine="480"/>
        <w:rPr>
          <w:rFonts w:hAnsi="宋体"/>
          <w:kern w:val="0"/>
          <w:sz w:val="24"/>
        </w:rPr>
      </w:pPr>
    </w:p>
    <w:p w14:paraId="600B860D" w14:textId="77777777" w:rsidR="001932F7" w:rsidRDefault="00E87C32">
      <w:pPr>
        <w:widowControl/>
        <w:adjustRightInd w:val="0"/>
        <w:snapToGrid w:val="0"/>
        <w:spacing w:line="360" w:lineRule="auto"/>
        <w:ind w:firstLineChars="200" w:firstLine="480"/>
        <w:jc w:val="right"/>
        <w:rPr>
          <w:kern w:val="0"/>
          <w:sz w:val="24"/>
        </w:rPr>
      </w:pPr>
      <w:r>
        <w:rPr>
          <w:kern w:val="0"/>
          <w:sz w:val="24"/>
        </w:rPr>
        <w:t>交银施罗德基金管理有限公司</w:t>
      </w:r>
    </w:p>
    <w:p w14:paraId="3522844E" w14:textId="2145A213" w:rsidR="001932F7" w:rsidRDefault="00E87C32">
      <w:pPr>
        <w:widowControl/>
        <w:adjustRightInd w:val="0"/>
        <w:snapToGrid w:val="0"/>
        <w:spacing w:line="360" w:lineRule="auto"/>
        <w:ind w:firstLineChars="200" w:firstLine="480"/>
        <w:jc w:val="right"/>
        <w:rPr>
          <w:kern w:val="0"/>
          <w:sz w:val="24"/>
        </w:rPr>
      </w:pPr>
      <w:r>
        <w:rPr>
          <w:rFonts w:hint="eastAsia"/>
          <w:kern w:val="0"/>
          <w:sz w:val="24"/>
        </w:rPr>
        <w:t>二〇二六年</w:t>
      </w:r>
      <w:r w:rsidR="0054688D">
        <w:rPr>
          <w:rFonts w:hint="eastAsia"/>
          <w:kern w:val="0"/>
          <w:sz w:val="24"/>
        </w:rPr>
        <w:t>四</w:t>
      </w:r>
      <w:r>
        <w:rPr>
          <w:rFonts w:hint="eastAsia"/>
          <w:kern w:val="0"/>
          <w:sz w:val="24"/>
        </w:rPr>
        <w:t>月</w:t>
      </w:r>
      <w:r w:rsidR="0054688D">
        <w:rPr>
          <w:rFonts w:hint="eastAsia"/>
          <w:kern w:val="0"/>
          <w:sz w:val="24"/>
        </w:rPr>
        <w:t>二十九</w:t>
      </w:r>
      <w:r>
        <w:rPr>
          <w:rFonts w:hint="eastAsia"/>
          <w:kern w:val="0"/>
          <w:sz w:val="24"/>
        </w:rPr>
        <w:t>日</w:t>
      </w:r>
    </w:p>
    <w:sectPr w:rsidR="001932F7">
      <w:headerReference w:type="default" r:id="rId11"/>
      <w:footerReference w:type="default" r:id="rId12"/>
      <w:pgSz w:w="11906" w:h="16838"/>
      <w:pgMar w:top="177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FAC9" w14:textId="77777777" w:rsidR="00A6329C" w:rsidRDefault="00A6329C">
      <w:r>
        <w:separator/>
      </w:r>
    </w:p>
  </w:endnote>
  <w:endnote w:type="continuationSeparator" w:id="0">
    <w:p w14:paraId="75FBF081" w14:textId="77777777" w:rsidR="00A6329C" w:rsidRDefault="00A6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3299" w14:textId="5E74F6BD" w:rsidR="001932F7" w:rsidRDefault="00E87C32">
    <w:pPr>
      <w:pStyle w:val="af3"/>
      <w:jc w:val="center"/>
    </w:pPr>
    <w:r>
      <w:fldChar w:fldCharType="begin"/>
    </w:r>
    <w:r>
      <w:instrText xml:space="preserve"> PAGE   \* MERGEFORMAT </w:instrText>
    </w:r>
    <w:r>
      <w:fldChar w:fldCharType="separate"/>
    </w:r>
    <w:r w:rsidR="00321A98" w:rsidRPr="00321A98">
      <w:rPr>
        <w:noProof/>
        <w:lang w:val="zh-CN"/>
      </w:rPr>
      <w:t>18</w:t>
    </w:r>
    <w:r>
      <w:rPr>
        <w:lang w:val="zh-CN"/>
      </w:rPr>
      <w:fldChar w:fldCharType="end"/>
    </w:r>
  </w:p>
  <w:p w14:paraId="1867EF53" w14:textId="77777777" w:rsidR="001932F7" w:rsidRDefault="001932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5A05" w14:textId="77777777" w:rsidR="00A6329C" w:rsidRDefault="00A6329C">
      <w:r>
        <w:separator/>
      </w:r>
    </w:p>
  </w:footnote>
  <w:footnote w:type="continuationSeparator" w:id="0">
    <w:p w14:paraId="4EA5662A" w14:textId="77777777" w:rsidR="00A6329C" w:rsidRDefault="00A6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93B3" w14:textId="07676D33" w:rsidR="001932F7" w:rsidRDefault="001932F7">
    <w:pPr>
      <w:pStyle w:val="af5"/>
      <w:pBdr>
        <w:bottom w:val="none" w:sz="0" w:space="0" w:color="auto"/>
      </w:pBdr>
      <w:tabs>
        <w:tab w:val="right" w:pos="8280"/>
      </w:tabs>
      <w:spacing w:line="160" w:lineRule="exact"/>
      <w:jc w:val="right"/>
    </w:pPr>
  </w:p>
  <w:p w14:paraId="50230E19" w14:textId="35BC798B" w:rsidR="001932F7" w:rsidRDefault="00E87C32">
    <w:pPr>
      <w:pStyle w:val="af5"/>
      <w:pBdr>
        <w:bottom w:val="none" w:sz="0" w:space="0" w:color="auto"/>
      </w:pBdr>
      <w:tabs>
        <w:tab w:val="right" w:pos="8280"/>
      </w:tabs>
      <w:jc w:val="right"/>
      <w:rPr>
        <w:rFonts w:ascii="宋体"/>
      </w:rPr>
    </w:pPr>
    <w:r>
      <w:rPr>
        <w:rFonts w:cs="宋体" w:hint="eastAsia"/>
      </w:rPr>
      <w:t>交银施罗德智远量化选股股票型发起式证券投资基金基金份额发售公告</w: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077B4"/>
    <w:rsid w:val="00011AC2"/>
    <w:rsid w:val="00012CCB"/>
    <w:rsid w:val="000134AD"/>
    <w:rsid w:val="000135DE"/>
    <w:rsid w:val="00014946"/>
    <w:rsid w:val="00015066"/>
    <w:rsid w:val="000163D3"/>
    <w:rsid w:val="00016AB7"/>
    <w:rsid w:val="000171BB"/>
    <w:rsid w:val="0001786B"/>
    <w:rsid w:val="00020471"/>
    <w:rsid w:val="00020878"/>
    <w:rsid w:val="00021B9C"/>
    <w:rsid w:val="0002209F"/>
    <w:rsid w:val="0002239D"/>
    <w:rsid w:val="00023652"/>
    <w:rsid w:val="0002385C"/>
    <w:rsid w:val="0002478D"/>
    <w:rsid w:val="000266A3"/>
    <w:rsid w:val="00026D4F"/>
    <w:rsid w:val="00027021"/>
    <w:rsid w:val="00027B7D"/>
    <w:rsid w:val="00030C4F"/>
    <w:rsid w:val="00031F47"/>
    <w:rsid w:val="00032473"/>
    <w:rsid w:val="00032A54"/>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A7320"/>
    <w:rsid w:val="000B003C"/>
    <w:rsid w:val="000B140E"/>
    <w:rsid w:val="000B1756"/>
    <w:rsid w:val="000B1CA1"/>
    <w:rsid w:val="000B68BD"/>
    <w:rsid w:val="000B7E82"/>
    <w:rsid w:val="000B7F7F"/>
    <w:rsid w:val="000C182F"/>
    <w:rsid w:val="000C1BAB"/>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45F"/>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25A0"/>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2B1"/>
    <w:rsid w:val="00186442"/>
    <w:rsid w:val="001872C5"/>
    <w:rsid w:val="00187894"/>
    <w:rsid w:val="00187DDD"/>
    <w:rsid w:val="00192C18"/>
    <w:rsid w:val="001932F7"/>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409B"/>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3FA9"/>
    <w:rsid w:val="001D41BE"/>
    <w:rsid w:val="001D4281"/>
    <w:rsid w:val="001D45E2"/>
    <w:rsid w:val="001D5D14"/>
    <w:rsid w:val="001D6DA9"/>
    <w:rsid w:val="001D6F06"/>
    <w:rsid w:val="001E0C86"/>
    <w:rsid w:val="001E0D64"/>
    <w:rsid w:val="001E14DB"/>
    <w:rsid w:val="001E2465"/>
    <w:rsid w:val="001E31E0"/>
    <w:rsid w:val="001E5848"/>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5D1D"/>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18E"/>
    <w:rsid w:val="003008D1"/>
    <w:rsid w:val="003015B3"/>
    <w:rsid w:val="00302846"/>
    <w:rsid w:val="0030318F"/>
    <w:rsid w:val="003052FF"/>
    <w:rsid w:val="00307B3E"/>
    <w:rsid w:val="00311CD6"/>
    <w:rsid w:val="0031207D"/>
    <w:rsid w:val="00315C7C"/>
    <w:rsid w:val="00315E2F"/>
    <w:rsid w:val="00316F0B"/>
    <w:rsid w:val="003209D9"/>
    <w:rsid w:val="003219EC"/>
    <w:rsid w:val="00321A98"/>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1DA"/>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2598"/>
    <w:rsid w:val="0040330D"/>
    <w:rsid w:val="00403B8C"/>
    <w:rsid w:val="00404021"/>
    <w:rsid w:val="00405AE7"/>
    <w:rsid w:val="00405BDD"/>
    <w:rsid w:val="00406A38"/>
    <w:rsid w:val="004074CF"/>
    <w:rsid w:val="00407CEC"/>
    <w:rsid w:val="00410BAD"/>
    <w:rsid w:val="00411DE6"/>
    <w:rsid w:val="00412881"/>
    <w:rsid w:val="00412EF8"/>
    <w:rsid w:val="00413269"/>
    <w:rsid w:val="00413FEB"/>
    <w:rsid w:val="00414F88"/>
    <w:rsid w:val="00415FA5"/>
    <w:rsid w:val="0041671D"/>
    <w:rsid w:val="004171A5"/>
    <w:rsid w:val="00417F8D"/>
    <w:rsid w:val="004209FA"/>
    <w:rsid w:val="00422634"/>
    <w:rsid w:val="00422BC7"/>
    <w:rsid w:val="004239AD"/>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3AC7"/>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D62"/>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36DA"/>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688D"/>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3281"/>
    <w:rsid w:val="00584501"/>
    <w:rsid w:val="00584793"/>
    <w:rsid w:val="00584846"/>
    <w:rsid w:val="00584A2E"/>
    <w:rsid w:val="005865FF"/>
    <w:rsid w:val="005910B0"/>
    <w:rsid w:val="00591704"/>
    <w:rsid w:val="00591ADC"/>
    <w:rsid w:val="00591BAE"/>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4FC6"/>
    <w:rsid w:val="005B6022"/>
    <w:rsid w:val="005B67AB"/>
    <w:rsid w:val="005B6E95"/>
    <w:rsid w:val="005B757B"/>
    <w:rsid w:val="005B7AA8"/>
    <w:rsid w:val="005C1754"/>
    <w:rsid w:val="005C19F7"/>
    <w:rsid w:val="005C1DB3"/>
    <w:rsid w:val="005C38B1"/>
    <w:rsid w:val="005C3DB8"/>
    <w:rsid w:val="005C4265"/>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0DD2"/>
    <w:rsid w:val="00645C61"/>
    <w:rsid w:val="006464C9"/>
    <w:rsid w:val="006464F0"/>
    <w:rsid w:val="00646EF5"/>
    <w:rsid w:val="00647274"/>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3D2E"/>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01D"/>
    <w:rsid w:val="00746A86"/>
    <w:rsid w:val="007478B4"/>
    <w:rsid w:val="00750140"/>
    <w:rsid w:val="0075167B"/>
    <w:rsid w:val="00752CA1"/>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09"/>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67AC4"/>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B7"/>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7D5"/>
    <w:rsid w:val="009B38AD"/>
    <w:rsid w:val="009B3E2A"/>
    <w:rsid w:val="009B4FFD"/>
    <w:rsid w:val="009B65A7"/>
    <w:rsid w:val="009B6FE3"/>
    <w:rsid w:val="009B7805"/>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29C"/>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B740A"/>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4E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49B9"/>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0DD5"/>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68E"/>
    <w:rsid w:val="00C74C82"/>
    <w:rsid w:val="00C75935"/>
    <w:rsid w:val="00C75FC7"/>
    <w:rsid w:val="00C75FF9"/>
    <w:rsid w:val="00C77D21"/>
    <w:rsid w:val="00C81775"/>
    <w:rsid w:val="00C81CE1"/>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71B"/>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B0"/>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695"/>
    <w:rsid w:val="00D82B15"/>
    <w:rsid w:val="00D83D2A"/>
    <w:rsid w:val="00D84D5A"/>
    <w:rsid w:val="00D852B6"/>
    <w:rsid w:val="00D85B22"/>
    <w:rsid w:val="00D860F8"/>
    <w:rsid w:val="00D868B7"/>
    <w:rsid w:val="00D87DF6"/>
    <w:rsid w:val="00D90652"/>
    <w:rsid w:val="00D90BA0"/>
    <w:rsid w:val="00D918F6"/>
    <w:rsid w:val="00D93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2DD5"/>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3DF"/>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87C32"/>
    <w:rsid w:val="00E90974"/>
    <w:rsid w:val="00E90A8D"/>
    <w:rsid w:val="00E90FB4"/>
    <w:rsid w:val="00E915A4"/>
    <w:rsid w:val="00E91A62"/>
    <w:rsid w:val="00E91F44"/>
    <w:rsid w:val="00E925D1"/>
    <w:rsid w:val="00E928E2"/>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597F"/>
    <w:rsid w:val="00EA6460"/>
    <w:rsid w:val="00EA6724"/>
    <w:rsid w:val="00EA6E10"/>
    <w:rsid w:val="00EA70B2"/>
    <w:rsid w:val="00EA7369"/>
    <w:rsid w:val="00EA7D47"/>
    <w:rsid w:val="00EB0A05"/>
    <w:rsid w:val="00EB188D"/>
    <w:rsid w:val="00EB19AC"/>
    <w:rsid w:val="00EB1D9B"/>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6A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6F0"/>
    <w:rsid w:val="00F419F0"/>
    <w:rsid w:val="00F41EBD"/>
    <w:rsid w:val="00F42247"/>
    <w:rsid w:val="00F43E98"/>
    <w:rsid w:val="00F4441B"/>
    <w:rsid w:val="00F45785"/>
    <w:rsid w:val="00F464D7"/>
    <w:rsid w:val="00F465D7"/>
    <w:rsid w:val="00F474C1"/>
    <w:rsid w:val="00F47EA7"/>
    <w:rsid w:val="00F504C3"/>
    <w:rsid w:val="00F51A1C"/>
    <w:rsid w:val="00F534B1"/>
    <w:rsid w:val="00F53EB9"/>
    <w:rsid w:val="00F54FCF"/>
    <w:rsid w:val="00F552A9"/>
    <w:rsid w:val="00F55BB5"/>
    <w:rsid w:val="00F55FC2"/>
    <w:rsid w:val="00F56404"/>
    <w:rsid w:val="00F570AD"/>
    <w:rsid w:val="00F573F5"/>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112E"/>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4B74"/>
    <w:rsid w:val="00FA50DB"/>
    <w:rsid w:val="00FA5343"/>
    <w:rsid w:val="00FA5913"/>
    <w:rsid w:val="00FA5E48"/>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B5E6D66"/>
    <w:rsid w:val="0D625A4D"/>
    <w:rsid w:val="0D882FD6"/>
    <w:rsid w:val="10310B80"/>
    <w:rsid w:val="11033725"/>
    <w:rsid w:val="1398420B"/>
    <w:rsid w:val="17EC06F9"/>
    <w:rsid w:val="1B5D7AF7"/>
    <w:rsid w:val="1D3F64EC"/>
    <w:rsid w:val="1F563E08"/>
    <w:rsid w:val="202661BC"/>
    <w:rsid w:val="22341357"/>
    <w:rsid w:val="22BF7243"/>
    <w:rsid w:val="289B2774"/>
    <w:rsid w:val="2CD92868"/>
    <w:rsid w:val="302F1E11"/>
    <w:rsid w:val="3086056D"/>
    <w:rsid w:val="314236C1"/>
    <w:rsid w:val="318E4F2A"/>
    <w:rsid w:val="32CC59A1"/>
    <w:rsid w:val="36DB109D"/>
    <w:rsid w:val="3A0B05CB"/>
    <w:rsid w:val="3FDD6FAB"/>
    <w:rsid w:val="410F0621"/>
    <w:rsid w:val="412B19D8"/>
    <w:rsid w:val="43AF57C2"/>
    <w:rsid w:val="47E7549B"/>
    <w:rsid w:val="49201522"/>
    <w:rsid w:val="49517544"/>
    <w:rsid w:val="4C3D2738"/>
    <w:rsid w:val="4C5D1379"/>
    <w:rsid w:val="4D667C64"/>
    <w:rsid w:val="4E734CA6"/>
    <w:rsid w:val="4FE43E11"/>
    <w:rsid w:val="4FE9035F"/>
    <w:rsid w:val="53BD34C7"/>
    <w:rsid w:val="55007146"/>
    <w:rsid w:val="551E0609"/>
    <w:rsid w:val="556B00DB"/>
    <w:rsid w:val="56D969DC"/>
    <w:rsid w:val="579F1B62"/>
    <w:rsid w:val="5986658F"/>
    <w:rsid w:val="5A1A21C5"/>
    <w:rsid w:val="5C26165C"/>
    <w:rsid w:val="5DEB6C03"/>
    <w:rsid w:val="61694015"/>
    <w:rsid w:val="639E0296"/>
    <w:rsid w:val="68FE4067"/>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A04CC0"/>
  <w15:docId w15:val="{D3337626-8174-4D58-A42E-76BBBDA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styleId="affd">
    <w:name w:val="Revision"/>
    <w:hidden/>
    <w:uiPriority w:val="99"/>
    <w:semiHidden/>
    <w:rsid w:val="0054688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eadfund.com.cn" TargetMode="External"/><Relationship Id="rId4" Type="http://schemas.openxmlformats.org/officeDocument/2006/relationships/styles" Target="styles.xml"/><Relationship Id="rId9" Type="http://schemas.openxmlformats.org/officeDocument/2006/relationships/hyperlink" Target="http://www.fund001.com&#65292;www.bocomschrode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6F38B-5523-45C1-BE98-F8E47D4B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18</Pages>
  <Words>1872</Words>
  <Characters>10674</Characters>
  <Application>Microsoft Office Word</Application>
  <DocSecurity>0</DocSecurity>
  <Lines>88</Lines>
  <Paragraphs>25</Paragraphs>
  <ScaleCrop>false</ScaleCrop>
  <Company>Microsoft</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张婕茹</cp:lastModifiedBy>
  <cp:revision>181</cp:revision>
  <cp:lastPrinted>2007-06-27T06:13:00Z</cp:lastPrinted>
  <dcterms:created xsi:type="dcterms:W3CDTF">2021-11-08T01:58:00Z</dcterms:created>
  <dcterms:modified xsi:type="dcterms:W3CDTF">2026-04-28T06:25:00Z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