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0F19D00" w14:textId="77777777" w:rsidR="00791BDD" w:rsidRDefault="00791BDD">
      <w:pPr>
        <w:spacing w:line="360" w:lineRule="auto"/>
        <w:rPr>
          <w:sz w:val="32"/>
        </w:rPr>
      </w:pPr>
    </w:p>
    <w:p w14:paraId="3020EEC2" w14:textId="77777777" w:rsidR="00791BDD" w:rsidRDefault="00791BDD">
      <w:pPr>
        <w:spacing w:line="360" w:lineRule="auto"/>
        <w:rPr>
          <w:sz w:val="32"/>
        </w:rPr>
      </w:pPr>
    </w:p>
    <w:p w14:paraId="7A744637" w14:textId="77777777" w:rsidR="00791BDD" w:rsidRDefault="00791BDD">
      <w:pPr>
        <w:spacing w:line="360" w:lineRule="auto"/>
        <w:rPr>
          <w:sz w:val="32"/>
        </w:rPr>
      </w:pPr>
    </w:p>
    <w:p w14:paraId="59B69F98" w14:textId="77777777" w:rsidR="00791BDD" w:rsidRDefault="00791BDD">
      <w:pPr>
        <w:spacing w:line="360" w:lineRule="auto"/>
        <w:jc w:val="center"/>
        <w:rPr>
          <w:sz w:val="32"/>
        </w:rPr>
      </w:pPr>
    </w:p>
    <w:p w14:paraId="4E156E8C" w14:textId="77777777" w:rsidR="00791BDD" w:rsidRDefault="00791BDD">
      <w:pPr>
        <w:spacing w:line="360" w:lineRule="auto"/>
        <w:jc w:val="center"/>
        <w:rPr>
          <w:b/>
          <w:sz w:val="32"/>
        </w:rPr>
      </w:pPr>
    </w:p>
    <w:p w14:paraId="273ED304" w14:textId="77777777" w:rsidR="00791BDD" w:rsidRDefault="00791BDD">
      <w:pPr>
        <w:spacing w:line="360" w:lineRule="auto"/>
        <w:jc w:val="center"/>
        <w:rPr>
          <w:b/>
          <w:sz w:val="32"/>
        </w:rPr>
      </w:pPr>
    </w:p>
    <w:p w14:paraId="30321858" w14:textId="77777777" w:rsidR="00791BDD" w:rsidRDefault="00791BDD">
      <w:pPr>
        <w:spacing w:line="360" w:lineRule="auto"/>
        <w:rPr>
          <w:b/>
          <w:sz w:val="44"/>
        </w:rPr>
      </w:pPr>
    </w:p>
    <w:p w14:paraId="0CDCC449" w14:textId="77777777" w:rsidR="00791BDD" w:rsidRDefault="00B75151">
      <w:pPr>
        <w:adjustRightInd w:val="0"/>
        <w:snapToGrid w:val="0"/>
        <w:spacing w:line="360" w:lineRule="auto"/>
        <w:jc w:val="center"/>
        <w:rPr>
          <w:rFonts w:hAnsi="宋体"/>
          <w:b/>
          <w:sz w:val="44"/>
        </w:rPr>
      </w:pPr>
      <w:r>
        <w:rPr>
          <w:rFonts w:hAnsi="宋体"/>
          <w:b/>
          <w:sz w:val="44"/>
        </w:rPr>
        <w:t>交银施罗德智远量化选股股票型发起式</w:t>
      </w:r>
    </w:p>
    <w:p w14:paraId="0C62CF9B" w14:textId="77777777" w:rsidR="00791BDD" w:rsidRDefault="00B75151">
      <w:pPr>
        <w:adjustRightInd w:val="0"/>
        <w:snapToGrid w:val="0"/>
        <w:spacing w:line="360" w:lineRule="auto"/>
        <w:jc w:val="center"/>
        <w:rPr>
          <w:rFonts w:hAnsi="宋体"/>
          <w:b/>
          <w:sz w:val="44"/>
        </w:rPr>
      </w:pPr>
      <w:r>
        <w:rPr>
          <w:rFonts w:hAnsi="宋体"/>
          <w:b/>
          <w:sz w:val="44"/>
        </w:rPr>
        <w:t>证券投资基金</w:t>
      </w:r>
    </w:p>
    <w:p w14:paraId="45C331CB" w14:textId="77777777" w:rsidR="00791BDD" w:rsidRDefault="00B75151">
      <w:pPr>
        <w:adjustRightInd w:val="0"/>
        <w:snapToGrid w:val="0"/>
        <w:spacing w:line="360" w:lineRule="auto"/>
        <w:jc w:val="center"/>
        <w:rPr>
          <w:b/>
          <w:sz w:val="28"/>
        </w:rPr>
      </w:pPr>
      <w:r>
        <w:rPr>
          <w:rFonts w:hAnsi="宋体"/>
          <w:b/>
          <w:sz w:val="44"/>
        </w:rPr>
        <w:t>招募说明书</w:t>
      </w:r>
    </w:p>
    <w:p w14:paraId="6C5A1355" w14:textId="77777777" w:rsidR="00791BDD" w:rsidRDefault="00791BDD">
      <w:pPr>
        <w:spacing w:line="360" w:lineRule="auto"/>
        <w:rPr>
          <w:b/>
          <w:sz w:val="28"/>
        </w:rPr>
      </w:pPr>
    </w:p>
    <w:p w14:paraId="56A494DF" w14:textId="77777777" w:rsidR="00791BDD" w:rsidRDefault="00791BDD">
      <w:pPr>
        <w:spacing w:line="360" w:lineRule="auto"/>
        <w:rPr>
          <w:b/>
          <w:sz w:val="28"/>
        </w:rPr>
      </w:pPr>
    </w:p>
    <w:p w14:paraId="02F0058F" w14:textId="77777777" w:rsidR="00791BDD" w:rsidRDefault="00791BDD">
      <w:pPr>
        <w:spacing w:line="360" w:lineRule="auto"/>
        <w:rPr>
          <w:b/>
          <w:sz w:val="28"/>
        </w:rPr>
      </w:pPr>
    </w:p>
    <w:p w14:paraId="4D11EA8F" w14:textId="77777777" w:rsidR="00791BDD" w:rsidRDefault="00791BDD">
      <w:pPr>
        <w:spacing w:line="360" w:lineRule="auto"/>
        <w:rPr>
          <w:b/>
          <w:sz w:val="28"/>
        </w:rPr>
      </w:pPr>
    </w:p>
    <w:p w14:paraId="43603EDA" w14:textId="77777777" w:rsidR="00791BDD" w:rsidRDefault="00B75151">
      <w:pPr>
        <w:spacing w:line="360" w:lineRule="auto"/>
        <w:ind w:leftChars="942" w:left="1978"/>
        <w:rPr>
          <w:b/>
          <w:sz w:val="28"/>
        </w:rPr>
      </w:pPr>
      <w:r>
        <w:rPr>
          <w:rFonts w:hAnsi="宋体"/>
          <w:b/>
          <w:sz w:val="28"/>
        </w:rPr>
        <w:t>基金管理人：交银施罗德基金管理有限公司</w:t>
      </w:r>
    </w:p>
    <w:p w14:paraId="5E5805F0" w14:textId="77777777" w:rsidR="00791BDD" w:rsidRDefault="00B75151">
      <w:pPr>
        <w:spacing w:line="360" w:lineRule="auto"/>
        <w:ind w:leftChars="942" w:left="1978"/>
        <w:rPr>
          <w:b/>
          <w:sz w:val="28"/>
        </w:rPr>
      </w:pPr>
      <w:r>
        <w:rPr>
          <w:rFonts w:hAnsi="宋体"/>
          <w:b/>
          <w:sz w:val="28"/>
        </w:rPr>
        <w:t>基金托管人：</w:t>
      </w:r>
      <w:r>
        <w:rPr>
          <w:rFonts w:hAnsi="宋体" w:hint="eastAsia"/>
          <w:b/>
          <w:sz w:val="28"/>
        </w:rPr>
        <w:t>中国银行</w:t>
      </w:r>
      <w:r>
        <w:rPr>
          <w:rFonts w:hAnsi="宋体"/>
          <w:b/>
          <w:sz w:val="28"/>
        </w:rPr>
        <w:t>股份有限公司</w:t>
      </w:r>
    </w:p>
    <w:p w14:paraId="71E8B2BC" w14:textId="77777777" w:rsidR="00791BDD" w:rsidRDefault="00791BDD">
      <w:pPr>
        <w:widowControl/>
        <w:spacing w:line="360" w:lineRule="auto"/>
        <w:ind w:firstLineChars="200" w:firstLine="420"/>
        <w:rPr>
          <w:rFonts w:ascii="宋体" w:hAnsi="宋体"/>
          <w:kern w:val="0"/>
        </w:rPr>
      </w:pPr>
    </w:p>
    <w:p w14:paraId="071DBB61" w14:textId="77777777" w:rsidR="00791BDD" w:rsidRDefault="00791BDD">
      <w:pPr>
        <w:widowControl/>
        <w:spacing w:line="360" w:lineRule="auto"/>
        <w:ind w:firstLineChars="200" w:firstLine="420"/>
        <w:rPr>
          <w:rFonts w:ascii="宋体" w:hAnsi="宋体"/>
          <w:kern w:val="0"/>
        </w:rPr>
      </w:pPr>
    </w:p>
    <w:p w14:paraId="1AAA2D11" w14:textId="77777777" w:rsidR="00791BDD" w:rsidRDefault="00B75151">
      <w:pPr>
        <w:autoSpaceDE w:val="0"/>
        <w:autoSpaceDN w:val="0"/>
        <w:spacing w:line="360" w:lineRule="auto"/>
        <w:ind w:left="2996" w:hanging="2996"/>
        <w:jc w:val="center"/>
        <w:textAlignment w:val="bottom"/>
        <w:rPr>
          <w:rFonts w:hAnsi="宋体"/>
          <w:b/>
          <w:sz w:val="28"/>
        </w:rPr>
      </w:pPr>
      <w:r>
        <w:rPr>
          <w:rFonts w:hAnsi="宋体"/>
          <w:b/>
          <w:sz w:val="28"/>
        </w:rPr>
        <w:t>二〇二</w:t>
      </w:r>
      <w:r>
        <w:rPr>
          <w:rFonts w:hAnsi="宋体" w:hint="eastAsia"/>
          <w:b/>
          <w:sz w:val="28"/>
        </w:rPr>
        <w:t>六</w:t>
      </w:r>
      <w:r>
        <w:rPr>
          <w:rFonts w:hAnsi="宋体"/>
          <w:b/>
          <w:sz w:val="28"/>
        </w:rPr>
        <w:t>年</w:t>
      </w:r>
      <w:r>
        <w:rPr>
          <w:rFonts w:hAnsi="宋体" w:hint="eastAsia"/>
          <w:b/>
          <w:sz w:val="28"/>
        </w:rPr>
        <w:t>四</w:t>
      </w:r>
      <w:r>
        <w:rPr>
          <w:rFonts w:hAnsi="宋体"/>
          <w:b/>
          <w:sz w:val="28"/>
        </w:rPr>
        <w:t>月</w:t>
      </w:r>
    </w:p>
    <w:p w14:paraId="0D8F9AD4" w14:textId="77777777" w:rsidR="00791BDD" w:rsidRDefault="00791BDD">
      <w:pPr>
        <w:autoSpaceDE w:val="0"/>
        <w:autoSpaceDN w:val="0"/>
        <w:spacing w:line="360" w:lineRule="auto"/>
        <w:ind w:left="2996" w:hanging="2996"/>
        <w:jc w:val="center"/>
        <w:textAlignment w:val="bottom"/>
        <w:rPr>
          <w:b/>
          <w:sz w:val="24"/>
        </w:rPr>
      </w:pPr>
    </w:p>
    <w:p w14:paraId="59336C97" w14:textId="77777777" w:rsidR="00791BDD" w:rsidRDefault="00791BDD">
      <w:pPr>
        <w:widowControl/>
        <w:spacing w:line="360" w:lineRule="auto"/>
        <w:jc w:val="left"/>
        <w:rPr>
          <w:kern w:val="0"/>
        </w:rPr>
      </w:pPr>
    </w:p>
    <w:p w14:paraId="24D9B1D3" w14:textId="77777777" w:rsidR="00791BDD" w:rsidRDefault="00791BDD">
      <w:pPr>
        <w:widowControl/>
        <w:spacing w:line="360" w:lineRule="auto"/>
        <w:jc w:val="center"/>
        <w:rPr>
          <w:rFonts w:ascii="宋体" w:hAnsi="宋体"/>
          <w:b/>
          <w:kern w:val="0"/>
          <w:sz w:val="30"/>
        </w:rPr>
      </w:pPr>
    </w:p>
    <w:p w14:paraId="4E87C4BE" w14:textId="77777777" w:rsidR="00791BDD" w:rsidRDefault="00B75151">
      <w:pPr>
        <w:widowControl/>
        <w:spacing w:line="360" w:lineRule="auto"/>
        <w:jc w:val="center"/>
        <w:rPr>
          <w:rFonts w:ascii="宋体" w:hAnsi="宋体"/>
          <w:b/>
          <w:kern w:val="0"/>
          <w:sz w:val="30"/>
        </w:rPr>
      </w:pPr>
      <w:bookmarkStart w:id="0" w:name="_GoBack"/>
      <w:bookmarkEnd w:id="0"/>
      <w:r>
        <w:rPr>
          <w:rFonts w:ascii="宋体" w:hAnsi="宋体" w:hint="eastAsia"/>
          <w:b/>
          <w:kern w:val="0"/>
          <w:sz w:val="30"/>
        </w:rPr>
        <w:lastRenderedPageBreak/>
        <w:t>【</w:t>
      </w:r>
      <w:r>
        <w:rPr>
          <w:rFonts w:ascii="宋体" w:hAnsi="宋体"/>
          <w:b/>
          <w:kern w:val="0"/>
          <w:sz w:val="30"/>
        </w:rPr>
        <w:t>重要提示】</w:t>
      </w:r>
    </w:p>
    <w:p w14:paraId="499385BD" w14:textId="77777777" w:rsidR="00791BDD" w:rsidRDefault="00B75151">
      <w:pPr>
        <w:widowControl/>
        <w:adjustRightInd w:val="0"/>
        <w:snapToGrid w:val="0"/>
        <w:spacing w:line="360" w:lineRule="auto"/>
        <w:ind w:firstLineChars="200" w:firstLine="480"/>
        <w:rPr>
          <w:kern w:val="0"/>
          <w:sz w:val="24"/>
        </w:rPr>
      </w:pPr>
      <w:r>
        <w:rPr>
          <w:kern w:val="0"/>
          <w:sz w:val="24"/>
        </w:rPr>
        <w:t>交银施罗德智远量化选股股票型发起式证券投资基金（以下简称</w:t>
      </w:r>
      <w:r>
        <w:rPr>
          <w:rFonts w:ascii="宋体" w:hAnsi="宋体"/>
          <w:kern w:val="0"/>
          <w:sz w:val="24"/>
        </w:rPr>
        <w:t>“本基金”</w:t>
      </w:r>
      <w:r>
        <w:rPr>
          <w:rFonts w:hAnsi="宋体"/>
          <w:kern w:val="0"/>
          <w:sz w:val="24"/>
        </w:rPr>
        <w:t>）经</w:t>
      </w:r>
      <w:r>
        <w:rPr>
          <w:kern w:val="0"/>
          <w:sz w:val="24"/>
        </w:rPr>
        <w:t>2026</w:t>
      </w:r>
      <w:r>
        <w:rPr>
          <w:rFonts w:hAnsi="宋体"/>
          <w:kern w:val="0"/>
          <w:sz w:val="24"/>
        </w:rPr>
        <w:t>年</w:t>
      </w:r>
      <w:r>
        <w:rPr>
          <w:rFonts w:hAnsi="宋体"/>
          <w:kern w:val="0"/>
          <w:sz w:val="24"/>
        </w:rPr>
        <w:t>4</w:t>
      </w:r>
      <w:r>
        <w:rPr>
          <w:rFonts w:hAnsi="宋体"/>
          <w:kern w:val="0"/>
          <w:sz w:val="24"/>
        </w:rPr>
        <w:t>月</w:t>
      </w:r>
      <w:r>
        <w:rPr>
          <w:rFonts w:hAnsi="宋体"/>
          <w:kern w:val="0"/>
          <w:sz w:val="24"/>
        </w:rPr>
        <w:t>1</w:t>
      </w:r>
      <w:r>
        <w:rPr>
          <w:rFonts w:hAnsi="宋体"/>
          <w:kern w:val="0"/>
          <w:sz w:val="24"/>
        </w:rPr>
        <w:t>日中国证券监督管理委员会（以下简称</w:t>
      </w:r>
      <w:r>
        <w:rPr>
          <w:rFonts w:ascii="宋体" w:hAnsi="宋体"/>
          <w:kern w:val="0"/>
          <w:sz w:val="24"/>
        </w:rPr>
        <w:t>“中国证监会”</w:t>
      </w:r>
      <w:r>
        <w:rPr>
          <w:rFonts w:hAnsi="宋体"/>
          <w:kern w:val="0"/>
          <w:sz w:val="24"/>
        </w:rPr>
        <w:t>）证监许可【</w:t>
      </w:r>
      <w:r>
        <w:rPr>
          <w:kern w:val="0"/>
          <w:sz w:val="24"/>
        </w:rPr>
        <w:t>20</w:t>
      </w:r>
      <w:r>
        <w:rPr>
          <w:rFonts w:hint="eastAsia"/>
          <w:kern w:val="0"/>
          <w:sz w:val="24"/>
        </w:rPr>
        <w:t>2</w:t>
      </w:r>
      <w:r>
        <w:rPr>
          <w:kern w:val="0"/>
          <w:sz w:val="24"/>
        </w:rPr>
        <w:t>6</w:t>
      </w:r>
      <w:r>
        <w:rPr>
          <w:rFonts w:hAnsi="宋体"/>
          <w:kern w:val="0"/>
          <w:sz w:val="24"/>
        </w:rPr>
        <w:t>】</w:t>
      </w:r>
      <w:r>
        <w:rPr>
          <w:rFonts w:hAnsi="宋体"/>
          <w:kern w:val="0"/>
          <w:sz w:val="24"/>
        </w:rPr>
        <w:t>687</w:t>
      </w:r>
      <w:r>
        <w:rPr>
          <w:rFonts w:hAnsi="宋体"/>
          <w:kern w:val="0"/>
          <w:sz w:val="24"/>
        </w:rPr>
        <w:t>号文</w:t>
      </w:r>
      <w:r>
        <w:rPr>
          <w:rFonts w:hAnsi="宋体" w:hint="eastAsia"/>
          <w:kern w:val="0"/>
          <w:sz w:val="24"/>
        </w:rPr>
        <w:t>准予</w:t>
      </w:r>
      <w:r>
        <w:rPr>
          <w:rFonts w:hAnsi="宋体"/>
          <w:kern w:val="0"/>
          <w:sz w:val="24"/>
        </w:rPr>
        <w:t>募集</w:t>
      </w:r>
      <w:r>
        <w:rPr>
          <w:rFonts w:hAnsi="宋体" w:hint="eastAsia"/>
          <w:kern w:val="0"/>
          <w:sz w:val="24"/>
        </w:rPr>
        <w:t>注册</w:t>
      </w:r>
      <w:r>
        <w:rPr>
          <w:rFonts w:hAnsi="宋体"/>
          <w:kern w:val="0"/>
          <w:sz w:val="24"/>
        </w:rPr>
        <w:t>。</w:t>
      </w:r>
    </w:p>
    <w:p w14:paraId="3B7E7FE6" w14:textId="77777777" w:rsidR="00791BDD" w:rsidRDefault="00B75151">
      <w:pPr>
        <w:widowControl/>
        <w:adjustRightInd w:val="0"/>
        <w:snapToGrid w:val="0"/>
        <w:spacing w:line="360" w:lineRule="auto"/>
        <w:ind w:firstLineChars="200" w:firstLine="480"/>
        <w:rPr>
          <w:kern w:val="0"/>
          <w:sz w:val="24"/>
        </w:rPr>
      </w:pPr>
      <w:r>
        <w:rPr>
          <w:kern w:val="0"/>
          <w:sz w:val="24"/>
        </w:rPr>
        <w:t>基金管理人保证招募说明书的内容真实、准确、完整。本招募说明书经中国证监会</w:t>
      </w:r>
      <w:r>
        <w:rPr>
          <w:rFonts w:hint="eastAsia"/>
          <w:kern w:val="0"/>
          <w:sz w:val="24"/>
        </w:rPr>
        <w:t>注册</w:t>
      </w:r>
      <w:r>
        <w:rPr>
          <w:kern w:val="0"/>
          <w:sz w:val="24"/>
        </w:rPr>
        <w:t>，但中国证监会对本基金募集的</w:t>
      </w:r>
      <w:r>
        <w:rPr>
          <w:rFonts w:hint="eastAsia"/>
          <w:kern w:val="0"/>
          <w:sz w:val="24"/>
        </w:rPr>
        <w:t>注册</w:t>
      </w:r>
      <w:r>
        <w:rPr>
          <w:kern w:val="0"/>
          <w:sz w:val="24"/>
        </w:rPr>
        <w:t>，并不表明其对本基金的投资价值和</w:t>
      </w:r>
      <w:r>
        <w:rPr>
          <w:rFonts w:hint="eastAsia"/>
          <w:kern w:val="0"/>
          <w:sz w:val="24"/>
        </w:rPr>
        <w:t>市场前景</w:t>
      </w:r>
      <w:r>
        <w:rPr>
          <w:kern w:val="0"/>
          <w:sz w:val="24"/>
        </w:rPr>
        <w:t>作出实质性判断或保证，也不表明投资于本基金没有风险。</w:t>
      </w:r>
    </w:p>
    <w:p w14:paraId="7EFD6508" w14:textId="77777777" w:rsidR="00791BDD" w:rsidRDefault="00B75151">
      <w:pPr>
        <w:widowControl/>
        <w:adjustRightInd w:val="0"/>
        <w:snapToGrid w:val="0"/>
        <w:spacing w:line="360" w:lineRule="auto"/>
        <w:ind w:firstLineChars="200" w:firstLine="480"/>
        <w:rPr>
          <w:kern w:val="0"/>
          <w:sz w:val="24"/>
        </w:rPr>
      </w:pPr>
      <w:r>
        <w:rPr>
          <w:kern w:val="0"/>
          <w:sz w:val="24"/>
        </w:rPr>
        <w:t>基金管理人依照恪尽职守、诚实信用、谨慎勤勉的原则管理和运用基金财产，但不保证投资本基金一定盈利，也不保证基金份额持有人的最低收益；因基金价格可升可跌，亦不保证基金份额持有人能全数取回其原本投资。</w:t>
      </w:r>
    </w:p>
    <w:p w14:paraId="5A19D2E0" w14:textId="77777777" w:rsidR="00791BDD" w:rsidRDefault="00B75151">
      <w:pPr>
        <w:widowControl/>
        <w:adjustRightInd w:val="0"/>
        <w:snapToGrid w:val="0"/>
        <w:spacing w:line="360" w:lineRule="auto"/>
        <w:ind w:firstLineChars="200" w:firstLine="480"/>
        <w:rPr>
          <w:kern w:val="0"/>
          <w:sz w:val="24"/>
        </w:rPr>
      </w:pPr>
      <w:r>
        <w:rPr>
          <w:kern w:val="0"/>
          <w:sz w:val="24"/>
        </w:rPr>
        <w:t>本基金投资于证券市场，基金净值会因为证券市场波动等因素产生波动。投资人在投资本基金前，需全面认识本基金产品的风险收益特征和产品特性，充分考虑自身的风险承受能力，理性判断市场，对投资本基金的意愿、时机、数量等投资行为作出独立决策。投资人根据所持有</w:t>
      </w:r>
      <w:r>
        <w:rPr>
          <w:rFonts w:hint="eastAsia"/>
          <w:kern w:val="0"/>
          <w:sz w:val="24"/>
        </w:rPr>
        <w:t>基金</w:t>
      </w:r>
      <w:r>
        <w:rPr>
          <w:kern w:val="0"/>
          <w:sz w:val="24"/>
        </w:rPr>
        <w:t>份额享受基金的收益，但同时也需承担相应的投资风险。投资本基金可能遇到的风险包括：</w:t>
      </w:r>
      <w:r>
        <w:rPr>
          <w:rFonts w:ascii="宋体" w:hAnsi="宋体"/>
          <w:kern w:val="0"/>
          <w:sz w:val="24"/>
        </w:rPr>
        <w:t>因受到经济因素、政治因素、投资心理和交易制度等各种因素的影响而引起的</w:t>
      </w:r>
      <w:r>
        <w:rPr>
          <w:rFonts w:ascii="宋体" w:hAnsi="宋体" w:hint="eastAsia"/>
          <w:kern w:val="0"/>
          <w:sz w:val="24"/>
        </w:rPr>
        <w:t>市场风险；基金管理人在基金管理运作过程中产生的基金管理风险；流动性风险（包括实施</w:t>
      </w:r>
      <w:r>
        <w:rPr>
          <w:rFonts w:ascii="宋体" w:hAnsi="宋体"/>
          <w:kern w:val="0"/>
          <w:sz w:val="24"/>
        </w:rPr>
        <w:t>侧袋机制时的特定风险）</w:t>
      </w:r>
      <w:r>
        <w:rPr>
          <w:rFonts w:ascii="宋体" w:hAnsi="宋体" w:hint="eastAsia"/>
          <w:kern w:val="0"/>
          <w:sz w:val="24"/>
        </w:rPr>
        <w:t>；信用风险；本基金的特有风险；本基金法律文件风险收益特征表述与销售机构基金风险评价可能不一致的风险；投资本基金的其他风险等等</w:t>
      </w:r>
      <w:r>
        <w:rPr>
          <w:kern w:val="0"/>
          <w:sz w:val="24"/>
        </w:rPr>
        <w:t>。</w:t>
      </w:r>
    </w:p>
    <w:p w14:paraId="2BBBB5AA" w14:textId="77777777" w:rsidR="00791BDD" w:rsidRDefault="00B75151">
      <w:pPr>
        <w:widowControl/>
        <w:adjustRightInd w:val="0"/>
        <w:snapToGrid w:val="0"/>
        <w:spacing w:line="360" w:lineRule="auto"/>
        <w:ind w:firstLineChars="200" w:firstLine="480"/>
        <w:rPr>
          <w:kern w:val="0"/>
          <w:sz w:val="24"/>
        </w:rPr>
      </w:pPr>
      <w:r>
        <w:rPr>
          <w:rFonts w:hint="eastAsia"/>
          <w:kern w:val="0"/>
          <w:sz w:val="24"/>
        </w:rPr>
        <w:t>本基金是一只股票型基金，其预期风险和预期收益理论上高于混合型基金、债券型基金和货币市场基金。</w:t>
      </w:r>
    </w:p>
    <w:p w14:paraId="5B350FE0" w14:textId="77777777" w:rsidR="00791BDD" w:rsidRDefault="00B75151">
      <w:pPr>
        <w:widowControl/>
        <w:adjustRightInd w:val="0"/>
        <w:snapToGrid w:val="0"/>
        <w:spacing w:line="360" w:lineRule="auto"/>
        <w:ind w:firstLineChars="200" w:firstLine="480"/>
        <w:rPr>
          <w:rFonts w:hAnsi="宋体"/>
          <w:sz w:val="24"/>
        </w:rPr>
      </w:pPr>
      <w:r>
        <w:rPr>
          <w:rFonts w:hAnsi="宋体" w:hint="eastAsia"/>
          <w:sz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w:t>
      </w:r>
    </w:p>
    <w:p w14:paraId="1DAEEB67" w14:textId="77777777" w:rsidR="00791BDD" w:rsidRDefault="00B75151">
      <w:pPr>
        <w:widowControl/>
        <w:adjustRightInd w:val="0"/>
        <w:snapToGrid w:val="0"/>
        <w:spacing w:line="360" w:lineRule="auto"/>
        <w:ind w:firstLineChars="200" w:firstLine="480"/>
        <w:rPr>
          <w:rFonts w:hAnsi="宋体"/>
          <w:sz w:val="24"/>
        </w:rPr>
      </w:pPr>
      <w:r>
        <w:rPr>
          <w:rFonts w:hAnsi="宋体" w:hint="eastAsia"/>
          <w:sz w:val="24"/>
        </w:rPr>
        <w:t>本基金可投资资产支持证券，资产支持证券具有一定的价格波动风险、流动性风险、信用风险等风险，基金管理人将本着谨慎和控制风险的原则进行资产支持证</w:t>
      </w:r>
      <w:r>
        <w:rPr>
          <w:rFonts w:hAnsi="宋体" w:hint="eastAsia"/>
          <w:sz w:val="24"/>
        </w:rPr>
        <w:lastRenderedPageBreak/>
        <w:t>券投资，请基金份额持有人关注包括投资资产支持证券可能导致的基金净值波动在内的各项风险。</w:t>
      </w:r>
    </w:p>
    <w:p w14:paraId="5A899EE4" w14:textId="77777777" w:rsidR="00791BDD" w:rsidRDefault="00B75151">
      <w:pPr>
        <w:widowControl/>
        <w:adjustRightInd w:val="0"/>
        <w:snapToGrid w:val="0"/>
        <w:spacing w:line="360" w:lineRule="auto"/>
        <w:ind w:firstLineChars="200" w:firstLine="480"/>
        <w:rPr>
          <w:rFonts w:hAnsi="宋体"/>
          <w:sz w:val="24"/>
        </w:rPr>
      </w:pPr>
      <w:r>
        <w:rPr>
          <w:rFonts w:hAnsi="宋体" w:hint="eastAsia"/>
          <w:sz w:val="24"/>
        </w:rPr>
        <w:t>本基金若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14:paraId="6CA16DD0" w14:textId="77777777" w:rsidR="00791BDD" w:rsidRDefault="00B75151">
      <w:pPr>
        <w:widowControl/>
        <w:adjustRightInd w:val="0"/>
        <w:snapToGrid w:val="0"/>
        <w:spacing w:line="360" w:lineRule="auto"/>
        <w:ind w:firstLineChars="200" w:firstLine="480"/>
        <w:rPr>
          <w:rFonts w:hAnsi="宋体"/>
          <w:sz w:val="24"/>
        </w:rPr>
      </w:pPr>
      <w:r>
        <w:rPr>
          <w:rFonts w:hAnsi="宋体" w:hint="eastAsia"/>
          <w:sz w:val="24"/>
        </w:rPr>
        <w:t>本基金</w:t>
      </w:r>
      <w:r>
        <w:rPr>
          <w:rFonts w:hint="eastAsia"/>
          <w:bCs/>
          <w:sz w:val="24"/>
        </w:rPr>
        <w:t>可</w:t>
      </w:r>
      <w:r>
        <w:rPr>
          <w:rFonts w:hAnsi="宋体" w:hint="eastAsia"/>
          <w:sz w:val="24"/>
        </w:rPr>
        <w:t>投资内地与香港股票市场交易互联互通机制允许买卖的规定范围内的香港联合交易所有限公司（以下简称“香港联合交易所”）上市的股票（以下简称“港股通标的股票”），会面临港股通机制下因投资环境、投资标的、市场制度以及交易规则等差异带来的特有风险，包括但不限于港股市场股价波动较大的风险（港股市场实行</w:t>
      </w:r>
      <w:r>
        <w:rPr>
          <w:rFonts w:hAnsi="宋体" w:hint="eastAsia"/>
          <w:sz w:val="24"/>
        </w:rPr>
        <w:t>T+0</w:t>
      </w:r>
      <w:r>
        <w:rPr>
          <w:rFonts w:hAnsi="宋体" w:hint="eastAsia"/>
          <w:sz w:val="24"/>
        </w:rPr>
        <w:t>回转交易，且对个股不设涨跌幅限制，港股股价可能表现出比</w:t>
      </w:r>
      <w:r>
        <w:rPr>
          <w:rFonts w:hAnsi="宋体" w:hint="eastAsia"/>
          <w:sz w:val="24"/>
        </w:rPr>
        <w:t>A</w:t>
      </w:r>
      <w:r>
        <w:rPr>
          <w:rFonts w:hAnsi="宋体" w:hint="eastAsia"/>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具体风险请查阅本基金招募说明书“风险揭示”章节的具体内容。</w:t>
      </w:r>
    </w:p>
    <w:p w14:paraId="07FEAE5D" w14:textId="77777777" w:rsidR="00791BDD" w:rsidRDefault="00B75151">
      <w:pPr>
        <w:widowControl/>
        <w:adjustRightInd w:val="0"/>
        <w:snapToGrid w:val="0"/>
        <w:spacing w:line="360" w:lineRule="auto"/>
        <w:ind w:firstLineChars="200" w:firstLine="480"/>
        <w:rPr>
          <w:rFonts w:hAnsi="宋体"/>
          <w:sz w:val="24"/>
        </w:rPr>
      </w:pPr>
      <w:r>
        <w:rPr>
          <w:rFonts w:hAnsi="宋体" w:hint="eastAsia"/>
          <w:sz w:val="24"/>
        </w:rPr>
        <w:t>本基金可根据投资策略需要或不同配置地市场环境的变化，选择将部分基金资产投资于港股通标的股票或选择不将基金资产投资于港股通标的股票，基金资产并非必然投资港股通标的股票。</w:t>
      </w:r>
    </w:p>
    <w:p w14:paraId="5073EB8B" w14:textId="77777777" w:rsidR="00791BDD" w:rsidRDefault="00B75151">
      <w:pPr>
        <w:widowControl/>
        <w:adjustRightInd w:val="0"/>
        <w:snapToGrid w:val="0"/>
        <w:spacing w:line="360" w:lineRule="auto"/>
        <w:ind w:firstLineChars="200" w:firstLine="480"/>
        <w:rPr>
          <w:kern w:val="0"/>
          <w:sz w:val="24"/>
        </w:rPr>
      </w:pPr>
      <w:r>
        <w:rPr>
          <w:rFonts w:hint="eastAsia"/>
          <w:kern w:val="0"/>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具体风险烦请查阅本招募说明书“风险揭示”章节内容。</w:t>
      </w:r>
    </w:p>
    <w:p w14:paraId="0A201176" w14:textId="77777777" w:rsidR="00791BDD" w:rsidRDefault="00B75151">
      <w:pPr>
        <w:widowControl/>
        <w:adjustRightInd w:val="0"/>
        <w:snapToGrid w:val="0"/>
        <w:spacing w:line="360" w:lineRule="auto"/>
        <w:ind w:firstLineChars="200" w:firstLine="480"/>
        <w:rPr>
          <w:kern w:val="0"/>
          <w:sz w:val="24"/>
        </w:rPr>
      </w:pPr>
      <w:r>
        <w:rPr>
          <w:rFonts w:hint="eastAsia"/>
          <w:kern w:val="0"/>
          <w:sz w:val="24"/>
        </w:rPr>
        <w:t>本基金可根据投资策略需要或市场环境的变化，选择将部分基金资产投资于存托凭证或选择不将基金资产投资于存托凭证，基金资产并非必然投资存托凭证。</w:t>
      </w:r>
    </w:p>
    <w:p w14:paraId="0B4A86CE" w14:textId="77777777" w:rsidR="00791BDD" w:rsidRDefault="00B75151">
      <w:pPr>
        <w:widowControl/>
        <w:adjustRightInd w:val="0"/>
        <w:snapToGrid w:val="0"/>
        <w:spacing w:line="360" w:lineRule="auto"/>
        <w:ind w:firstLineChars="200" w:firstLine="480"/>
        <w:rPr>
          <w:rFonts w:hAnsi="宋体"/>
          <w:bCs/>
          <w:sz w:val="24"/>
        </w:rPr>
      </w:pPr>
      <w:r>
        <w:rPr>
          <w:rFonts w:hAnsi="宋体" w:hint="eastAsia"/>
          <w:bCs/>
          <w:sz w:val="24"/>
        </w:rPr>
        <w:t>本基金可投资科创板股票，会面临科创板机制下因投资标的、市场制度以及交易规则等差异带来的特有风险，包括但不限于市场风险、流动性风险、退市风险、系统性风险、政策风险等。具体风险请查阅本基金招募说明书“风险揭示”章节的具体内容。</w:t>
      </w:r>
    </w:p>
    <w:p w14:paraId="45224362" w14:textId="77777777" w:rsidR="00791BDD" w:rsidRDefault="00B75151">
      <w:pPr>
        <w:widowControl/>
        <w:adjustRightInd w:val="0"/>
        <w:snapToGrid w:val="0"/>
        <w:spacing w:line="360" w:lineRule="auto"/>
        <w:ind w:firstLineChars="200" w:firstLine="480"/>
        <w:rPr>
          <w:rFonts w:hAnsi="宋体"/>
          <w:bCs/>
          <w:sz w:val="24"/>
        </w:rPr>
      </w:pPr>
      <w:r>
        <w:rPr>
          <w:rFonts w:hAnsi="宋体" w:hint="eastAsia"/>
          <w:bCs/>
          <w:sz w:val="24"/>
        </w:rPr>
        <w:lastRenderedPageBreak/>
        <w:t>本基金可根据投资策略需要或市场环境的变化，选择将部分基金资产投资于科创板股票或选择不将基金资产投资于科创板股票，基金资产并非必然投资于科创板股票。</w:t>
      </w:r>
    </w:p>
    <w:p w14:paraId="4E7FE96E" w14:textId="77777777" w:rsidR="00791BDD" w:rsidRDefault="00B75151">
      <w:pPr>
        <w:widowControl/>
        <w:adjustRightInd w:val="0"/>
        <w:snapToGrid w:val="0"/>
        <w:spacing w:line="360" w:lineRule="auto"/>
        <w:ind w:firstLineChars="200" w:firstLine="480"/>
        <w:rPr>
          <w:rFonts w:hAnsi="宋体"/>
          <w:bCs/>
          <w:sz w:val="24"/>
        </w:rPr>
      </w:pPr>
      <w:r>
        <w:rPr>
          <w:rFonts w:hint="eastAsia"/>
          <w:bCs/>
          <w:sz w:val="24"/>
        </w:rPr>
        <w:t>本基金采用量化模型构建投资组合，量化模型仅是选股模型，并不基于量化模型进行高频交易。</w:t>
      </w:r>
      <w:r>
        <w:rPr>
          <w:rFonts w:ascii="宋体" w:hAnsi="宋体" w:cs="宋体"/>
          <w:sz w:val="24"/>
          <w:szCs w:val="24"/>
        </w:rPr>
        <w:t>本基金采用量化投资策略，存在源数据错误或数据处理错误等数据风险。此外，定量方法的缺陷在一定程度上也会影响本基金的表现，市场环境的变化可能导致遵循量化模型构建的投资组合在一定程度上无法达到预期的投资效果。</w:t>
      </w:r>
    </w:p>
    <w:p w14:paraId="1C2B1135" w14:textId="77777777" w:rsidR="00791BDD" w:rsidRDefault="00B75151">
      <w:pPr>
        <w:widowControl/>
        <w:adjustRightInd w:val="0"/>
        <w:snapToGrid w:val="0"/>
        <w:spacing w:line="360" w:lineRule="auto"/>
        <w:ind w:firstLineChars="200" w:firstLine="480"/>
        <w:rPr>
          <w:kern w:val="0"/>
          <w:sz w:val="24"/>
        </w:rPr>
      </w:pPr>
      <w:r>
        <w:rPr>
          <w:rFonts w:hint="eastAsia"/>
          <w:kern w:val="0"/>
          <w:sz w:val="24"/>
        </w:rPr>
        <w:t>本基金为发起式基金，《基金合同》生效之日起三年后的对应日，若基金资产净值低于</w:t>
      </w:r>
      <w:r>
        <w:rPr>
          <w:rFonts w:hint="eastAsia"/>
          <w:kern w:val="0"/>
          <w:sz w:val="24"/>
        </w:rPr>
        <w:t>2</w:t>
      </w:r>
      <w:r>
        <w:rPr>
          <w:rFonts w:hint="eastAsia"/>
          <w:kern w:val="0"/>
          <w:sz w:val="24"/>
        </w:rPr>
        <w:t>亿元，基金合同自动终止，且不得通过召开基金份额持有人大会的方式延续《基金合同》期限。因此，投资人可能面临基金合同自动终止的不确定性风险。</w:t>
      </w:r>
    </w:p>
    <w:p w14:paraId="3B3FD57A" w14:textId="77777777" w:rsidR="00791BDD" w:rsidRDefault="00B75151">
      <w:pPr>
        <w:widowControl/>
        <w:adjustRightInd w:val="0"/>
        <w:snapToGrid w:val="0"/>
        <w:spacing w:line="360" w:lineRule="auto"/>
        <w:ind w:firstLineChars="200" w:firstLine="480"/>
        <w:rPr>
          <w:kern w:val="0"/>
          <w:sz w:val="24"/>
        </w:rPr>
      </w:pPr>
      <w:r>
        <w:rPr>
          <w:kern w:val="0"/>
          <w:sz w:val="24"/>
        </w:rPr>
        <w:t>投资有风险，投资人在投资本基金前应认真阅读本基金的招募说明书、基金合同</w:t>
      </w:r>
      <w:r>
        <w:rPr>
          <w:rFonts w:hint="eastAsia"/>
          <w:kern w:val="0"/>
          <w:sz w:val="24"/>
        </w:rPr>
        <w:t>、</w:t>
      </w:r>
      <w:r>
        <w:rPr>
          <w:kern w:val="0"/>
          <w:sz w:val="24"/>
        </w:rPr>
        <w:t>基金产品资料概要等信息披露文件</w:t>
      </w:r>
      <w:r>
        <w:rPr>
          <w:rFonts w:hint="eastAsia"/>
          <w:kern w:val="0"/>
          <w:sz w:val="24"/>
        </w:rPr>
        <w:t>，自主判断基金的投资价值，自主作出投资决策，自行承担投资风险</w:t>
      </w:r>
      <w:r>
        <w:rPr>
          <w:kern w:val="0"/>
          <w:sz w:val="24"/>
        </w:rPr>
        <w:t>。基金的过往业绩并不代表未来表现。基金管理人管理的其他基金的业绩并不构成对本基金业绩表现的保证。</w:t>
      </w:r>
      <w:r>
        <w:rPr>
          <w:rFonts w:hint="eastAsia"/>
          <w:kern w:val="0"/>
          <w:sz w:val="24"/>
        </w:rPr>
        <w:t>基金管理人提醒投资者基金投资的“买者自负”原则，在投资者作出投资决策后，基金运营状况与基金净值变化引致的投资风险，由投资者自行负责。</w:t>
      </w:r>
    </w:p>
    <w:p w14:paraId="1AED7E24" w14:textId="77777777" w:rsidR="00791BDD" w:rsidRDefault="00B75151">
      <w:pPr>
        <w:widowControl/>
        <w:adjustRightInd w:val="0"/>
        <w:snapToGrid w:val="0"/>
        <w:spacing w:line="360" w:lineRule="auto"/>
        <w:ind w:firstLineChars="200" w:firstLine="480"/>
        <w:rPr>
          <w:rFonts w:ascii="宋体" w:hAnsi="宋体"/>
          <w:kern w:val="0"/>
          <w:sz w:val="24"/>
        </w:rPr>
      </w:pPr>
      <w:r>
        <w:rPr>
          <w:rFonts w:ascii="宋体" w:hAnsi="宋体" w:hint="eastAsia"/>
          <w:kern w:val="0"/>
          <w:sz w:val="24"/>
        </w:rPr>
        <w:t>本基金单一投资者（基金管理人、基金管理人高级管理人员或基金经理等人员作为发起资金提供方除外）持有基金份额数不得超过基金份额总数的50%，但在基金运作过程中因基金份额赎回等情形导致被动超过前述50%比例的除外。</w:t>
      </w:r>
    </w:p>
    <w:p w14:paraId="240CF63C" w14:textId="77777777" w:rsidR="00791BDD" w:rsidRDefault="00B75151">
      <w:pPr>
        <w:widowControl/>
        <w:adjustRightInd w:val="0"/>
        <w:snapToGrid w:val="0"/>
        <w:spacing w:line="360" w:lineRule="auto"/>
        <w:ind w:firstLineChars="200" w:firstLine="480"/>
        <w:rPr>
          <w:rFonts w:ascii="宋体" w:hAnsi="宋体"/>
          <w:kern w:val="0"/>
          <w:sz w:val="24"/>
        </w:rPr>
      </w:pPr>
      <w:r>
        <w:rPr>
          <w:rFonts w:ascii="宋体" w:hAnsi="宋体" w:hint="eastAsia"/>
          <w:kern w:val="0"/>
          <w:sz w:val="24"/>
        </w:rPr>
        <w:t>当本基金持有特定资产且存在或潜在大额赎回申请时，基金管理人履行相应程序后，可以启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14:paraId="204F1665" w14:textId="77777777" w:rsidR="00791BDD" w:rsidRDefault="00791BDD">
      <w:pPr>
        <w:widowControl/>
        <w:adjustRightInd w:val="0"/>
        <w:snapToGrid w:val="0"/>
        <w:spacing w:line="360" w:lineRule="auto"/>
        <w:ind w:firstLineChars="200" w:firstLine="480"/>
        <w:rPr>
          <w:rFonts w:ascii="宋体" w:hAnsi="宋体"/>
          <w:kern w:val="0"/>
          <w:sz w:val="24"/>
        </w:rPr>
      </w:pPr>
    </w:p>
    <w:p w14:paraId="151AD5D2" w14:textId="77777777" w:rsidR="00791BDD" w:rsidRDefault="00B75151">
      <w:pPr>
        <w:widowControl/>
        <w:adjustRightInd w:val="0"/>
        <w:snapToGrid w:val="0"/>
        <w:spacing w:line="360" w:lineRule="auto"/>
        <w:jc w:val="center"/>
        <w:rPr>
          <w:sz w:val="24"/>
          <w:szCs w:val="18"/>
        </w:rPr>
      </w:pPr>
      <w:r>
        <w:rPr>
          <w:rFonts w:ascii="宋体" w:hAnsi="宋体"/>
          <w:kern w:val="0"/>
          <w:sz w:val="30"/>
        </w:rPr>
        <w:br w:type="page"/>
      </w:r>
      <w:r>
        <w:rPr>
          <w:rFonts w:ascii="宋体" w:hAnsi="宋体"/>
          <w:b/>
          <w:kern w:val="0"/>
          <w:sz w:val="30"/>
        </w:rPr>
        <w:lastRenderedPageBreak/>
        <w:t>目录</w:t>
      </w:r>
    </w:p>
    <w:bookmarkStart w:id="1" w:name="_Toc109537379"/>
    <w:p w14:paraId="41898473" w14:textId="77777777" w:rsidR="00791BDD" w:rsidRDefault="00B75151">
      <w:pPr>
        <w:pStyle w:val="10"/>
        <w:adjustRightInd w:val="0"/>
        <w:snapToGrid w:val="0"/>
        <w:rPr>
          <w:rStyle w:val="af7"/>
          <w:rFonts w:ascii="宋体"/>
          <w:b/>
          <w:kern w:val="0"/>
        </w:rPr>
      </w:pPr>
      <w:r>
        <w:rPr>
          <w:rFonts w:ascii="宋体" w:eastAsia="宋体"/>
          <w:kern w:val="0"/>
          <w:szCs w:val="24"/>
        </w:rPr>
        <w:fldChar w:fldCharType="begin"/>
      </w:r>
      <w:r>
        <w:rPr>
          <w:rFonts w:ascii="宋体" w:eastAsia="宋体"/>
          <w:kern w:val="0"/>
          <w:szCs w:val="24"/>
        </w:rPr>
        <w:instrText xml:space="preserve"> TOC \o "1-1" \h \z \u </w:instrText>
      </w:r>
      <w:r>
        <w:rPr>
          <w:rFonts w:ascii="宋体" w:eastAsia="宋体"/>
          <w:kern w:val="0"/>
          <w:szCs w:val="24"/>
        </w:rPr>
        <w:fldChar w:fldCharType="separate"/>
      </w:r>
      <w:hyperlink w:anchor="_Toc48122002" w:history="1">
        <w:r>
          <w:rPr>
            <w:rStyle w:val="af7"/>
            <w:rFonts w:ascii="宋体"/>
            <w:b/>
            <w:kern w:val="0"/>
          </w:rPr>
          <w:t>一、绪言</w:t>
        </w:r>
        <w:r>
          <w:rPr>
            <w:rStyle w:val="af7"/>
            <w:rFonts w:ascii="宋体"/>
            <w:b/>
            <w:kern w:val="0"/>
          </w:rPr>
          <w:tab/>
        </w:r>
        <w:r>
          <w:rPr>
            <w:rStyle w:val="af7"/>
            <w:rFonts w:ascii="宋体"/>
            <w:b/>
            <w:kern w:val="0"/>
          </w:rPr>
          <w:fldChar w:fldCharType="begin"/>
        </w:r>
        <w:r>
          <w:rPr>
            <w:rStyle w:val="af7"/>
            <w:rFonts w:ascii="宋体"/>
            <w:b/>
            <w:kern w:val="0"/>
          </w:rPr>
          <w:instrText xml:space="preserve"> PAGEREF _Toc48122002 \h </w:instrText>
        </w:r>
        <w:r>
          <w:rPr>
            <w:rStyle w:val="af7"/>
            <w:rFonts w:ascii="宋体"/>
            <w:b/>
            <w:kern w:val="0"/>
          </w:rPr>
        </w:r>
        <w:r>
          <w:rPr>
            <w:rStyle w:val="af7"/>
            <w:rFonts w:ascii="宋体"/>
            <w:b/>
            <w:kern w:val="0"/>
          </w:rPr>
          <w:fldChar w:fldCharType="separate"/>
        </w:r>
        <w:r>
          <w:rPr>
            <w:rStyle w:val="af7"/>
            <w:rFonts w:ascii="宋体"/>
            <w:b/>
            <w:kern w:val="0"/>
          </w:rPr>
          <w:t>6</w:t>
        </w:r>
        <w:r>
          <w:rPr>
            <w:rStyle w:val="af7"/>
            <w:rFonts w:ascii="宋体"/>
            <w:b/>
            <w:kern w:val="0"/>
          </w:rPr>
          <w:fldChar w:fldCharType="end"/>
        </w:r>
      </w:hyperlink>
    </w:p>
    <w:p w14:paraId="53AAFB3B" w14:textId="77777777" w:rsidR="00791BDD" w:rsidRDefault="002B4315">
      <w:pPr>
        <w:pStyle w:val="10"/>
        <w:adjustRightInd w:val="0"/>
        <w:snapToGrid w:val="0"/>
        <w:rPr>
          <w:rStyle w:val="af7"/>
          <w:rFonts w:ascii="宋体"/>
          <w:b/>
          <w:kern w:val="0"/>
        </w:rPr>
      </w:pPr>
      <w:hyperlink w:anchor="_Toc48122003" w:history="1">
        <w:r w:rsidR="00B75151">
          <w:rPr>
            <w:rStyle w:val="af7"/>
            <w:rFonts w:ascii="宋体"/>
            <w:b/>
            <w:kern w:val="0"/>
          </w:rPr>
          <w:t>二、释义</w:t>
        </w:r>
        <w:r w:rsidR="00B75151">
          <w:rPr>
            <w:rStyle w:val="af7"/>
            <w:rFonts w:ascii="宋体"/>
            <w:b/>
            <w:kern w:val="0"/>
          </w:rPr>
          <w:tab/>
        </w:r>
        <w:r w:rsidR="00B75151">
          <w:rPr>
            <w:rStyle w:val="af7"/>
            <w:rFonts w:ascii="宋体"/>
            <w:b/>
            <w:kern w:val="0"/>
          </w:rPr>
          <w:fldChar w:fldCharType="begin"/>
        </w:r>
        <w:r w:rsidR="00B75151">
          <w:rPr>
            <w:rStyle w:val="af7"/>
            <w:rFonts w:ascii="宋体"/>
            <w:b/>
            <w:kern w:val="0"/>
          </w:rPr>
          <w:instrText xml:space="preserve"> PAGEREF _Toc48122003 \h </w:instrText>
        </w:r>
        <w:r w:rsidR="00B75151">
          <w:rPr>
            <w:rStyle w:val="af7"/>
            <w:rFonts w:ascii="宋体"/>
            <w:b/>
            <w:kern w:val="0"/>
          </w:rPr>
        </w:r>
        <w:r w:rsidR="00B75151">
          <w:rPr>
            <w:rStyle w:val="af7"/>
            <w:rFonts w:ascii="宋体"/>
            <w:b/>
            <w:kern w:val="0"/>
          </w:rPr>
          <w:fldChar w:fldCharType="separate"/>
        </w:r>
        <w:r w:rsidR="00B75151">
          <w:rPr>
            <w:rStyle w:val="af7"/>
            <w:rFonts w:ascii="宋体"/>
            <w:b/>
            <w:kern w:val="0"/>
          </w:rPr>
          <w:t>7</w:t>
        </w:r>
        <w:r w:rsidR="00B75151">
          <w:rPr>
            <w:rStyle w:val="af7"/>
            <w:rFonts w:ascii="宋体"/>
            <w:b/>
            <w:kern w:val="0"/>
          </w:rPr>
          <w:fldChar w:fldCharType="end"/>
        </w:r>
      </w:hyperlink>
    </w:p>
    <w:p w14:paraId="6174DCE6" w14:textId="77777777" w:rsidR="00791BDD" w:rsidRDefault="002B4315">
      <w:pPr>
        <w:pStyle w:val="10"/>
        <w:adjustRightInd w:val="0"/>
        <w:snapToGrid w:val="0"/>
        <w:rPr>
          <w:rFonts w:asciiTheme="minorHAnsi" w:eastAsiaTheme="minorEastAsia" w:hAnsiTheme="minorHAnsi" w:cstheme="minorBidi"/>
          <w:sz w:val="21"/>
          <w:szCs w:val="22"/>
        </w:rPr>
      </w:pPr>
      <w:hyperlink w:anchor="_Toc48122004" w:history="1">
        <w:r w:rsidR="00B75151">
          <w:rPr>
            <w:rStyle w:val="af7"/>
            <w:rFonts w:ascii="宋体"/>
            <w:b/>
            <w:kern w:val="0"/>
          </w:rPr>
          <w:t>三、基金管理人</w:t>
        </w:r>
        <w:r w:rsidR="00B75151">
          <w:rPr>
            <w:rStyle w:val="af7"/>
            <w:rFonts w:ascii="宋体"/>
            <w:b/>
            <w:kern w:val="0"/>
          </w:rPr>
          <w:tab/>
        </w:r>
        <w:r w:rsidR="00B75151">
          <w:rPr>
            <w:rStyle w:val="af7"/>
            <w:rFonts w:ascii="宋体"/>
            <w:b/>
            <w:kern w:val="0"/>
          </w:rPr>
          <w:fldChar w:fldCharType="begin"/>
        </w:r>
        <w:r w:rsidR="00B75151">
          <w:rPr>
            <w:rStyle w:val="af7"/>
            <w:rFonts w:ascii="宋体"/>
            <w:b/>
            <w:kern w:val="0"/>
          </w:rPr>
          <w:instrText xml:space="preserve"> PAGEREF _Toc48122004 \h </w:instrText>
        </w:r>
        <w:r w:rsidR="00B75151">
          <w:rPr>
            <w:rStyle w:val="af7"/>
            <w:rFonts w:ascii="宋体"/>
            <w:b/>
            <w:kern w:val="0"/>
          </w:rPr>
        </w:r>
        <w:r w:rsidR="00B75151">
          <w:rPr>
            <w:rStyle w:val="af7"/>
            <w:rFonts w:ascii="宋体"/>
            <w:b/>
            <w:kern w:val="0"/>
          </w:rPr>
          <w:fldChar w:fldCharType="separate"/>
        </w:r>
        <w:r w:rsidR="00B75151">
          <w:rPr>
            <w:rStyle w:val="af7"/>
            <w:rFonts w:ascii="宋体"/>
            <w:b/>
            <w:kern w:val="0"/>
          </w:rPr>
          <w:t>12</w:t>
        </w:r>
        <w:r w:rsidR="00B75151">
          <w:rPr>
            <w:rStyle w:val="af7"/>
            <w:rFonts w:ascii="宋体"/>
            <w:b/>
            <w:kern w:val="0"/>
          </w:rPr>
          <w:fldChar w:fldCharType="end"/>
        </w:r>
      </w:hyperlink>
    </w:p>
    <w:p w14:paraId="5B4B54EB" w14:textId="77777777" w:rsidR="00791BDD" w:rsidRDefault="002B4315">
      <w:pPr>
        <w:pStyle w:val="10"/>
        <w:adjustRightInd w:val="0"/>
        <w:snapToGrid w:val="0"/>
        <w:rPr>
          <w:rFonts w:asciiTheme="minorHAnsi" w:eastAsiaTheme="minorEastAsia" w:hAnsiTheme="minorHAnsi" w:cstheme="minorBidi"/>
          <w:sz w:val="21"/>
          <w:szCs w:val="22"/>
        </w:rPr>
      </w:pPr>
      <w:hyperlink w:anchor="_Toc48122005" w:history="1">
        <w:r w:rsidR="00B75151">
          <w:rPr>
            <w:rStyle w:val="af7"/>
            <w:rFonts w:ascii="宋体"/>
            <w:b/>
            <w:kern w:val="0"/>
          </w:rPr>
          <w:t>四、基金托管人</w:t>
        </w:r>
        <w:r w:rsidR="00B75151">
          <w:rPr>
            <w:rStyle w:val="af7"/>
            <w:rFonts w:ascii="宋体" w:eastAsia="宋体" w:hAnsi="Times New Roman"/>
            <w:b/>
            <w:kern w:val="0"/>
          </w:rPr>
          <w:tab/>
        </w:r>
        <w:r w:rsidR="00B75151">
          <w:rPr>
            <w:rStyle w:val="af7"/>
            <w:rFonts w:ascii="宋体" w:eastAsia="宋体" w:hAnsi="Times New Roman"/>
            <w:b/>
            <w:kern w:val="0"/>
          </w:rPr>
          <w:fldChar w:fldCharType="begin"/>
        </w:r>
        <w:r w:rsidR="00B75151">
          <w:rPr>
            <w:rStyle w:val="af7"/>
            <w:rFonts w:ascii="宋体" w:eastAsia="宋体" w:hAnsi="Times New Roman"/>
            <w:b/>
            <w:kern w:val="0"/>
          </w:rPr>
          <w:instrText xml:space="preserve"> PAGEREF _Toc48122005 \h </w:instrText>
        </w:r>
        <w:r w:rsidR="00B75151">
          <w:rPr>
            <w:rStyle w:val="af7"/>
            <w:rFonts w:ascii="宋体" w:eastAsia="宋体" w:hAnsi="Times New Roman"/>
            <w:b/>
            <w:kern w:val="0"/>
          </w:rPr>
        </w:r>
        <w:r w:rsidR="00B75151">
          <w:rPr>
            <w:rStyle w:val="af7"/>
            <w:rFonts w:ascii="宋体" w:eastAsia="宋体" w:hAnsi="Times New Roman"/>
            <w:b/>
            <w:kern w:val="0"/>
          </w:rPr>
          <w:fldChar w:fldCharType="separate"/>
        </w:r>
        <w:r w:rsidR="00B75151">
          <w:rPr>
            <w:rStyle w:val="af7"/>
            <w:rFonts w:ascii="宋体" w:eastAsia="宋体" w:hAnsi="Times New Roman"/>
            <w:b/>
            <w:kern w:val="0"/>
          </w:rPr>
          <w:t>20</w:t>
        </w:r>
        <w:r w:rsidR="00B75151">
          <w:rPr>
            <w:rStyle w:val="af7"/>
            <w:rFonts w:ascii="宋体" w:eastAsia="宋体" w:hAnsi="Times New Roman"/>
            <w:b/>
            <w:kern w:val="0"/>
          </w:rPr>
          <w:fldChar w:fldCharType="end"/>
        </w:r>
      </w:hyperlink>
    </w:p>
    <w:p w14:paraId="7405B4C1" w14:textId="77777777" w:rsidR="00791BDD" w:rsidRDefault="002B4315">
      <w:pPr>
        <w:pStyle w:val="10"/>
        <w:adjustRightInd w:val="0"/>
        <w:snapToGrid w:val="0"/>
        <w:rPr>
          <w:rFonts w:asciiTheme="minorHAnsi" w:eastAsiaTheme="minorEastAsia" w:hAnsiTheme="minorHAnsi" w:cstheme="minorBidi"/>
          <w:sz w:val="21"/>
          <w:szCs w:val="22"/>
        </w:rPr>
      </w:pPr>
      <w:hyperlink w:anchor="_Toc48122006" w:history="1">
        <w:r w:rsidR="00B75151">
          <w:rPr>
            <w:rStyle w:val="af7"/>
            <w:rFonts w:ascii="宋体"/>
            <w:b/>
            <w:kern w:val="0"/>
          </w:rPr>
          <w:t>五、相关服务机构</w:t>
        </w:r>
        <w:r w:rsidR="00B75151">
          <w:rPr>
            <w:rStyle w:val="af7"/>
            <w:rFonts w:ascii="宋体" w:eastAsia="宋体" w:hAnsi="Times New Roman"/>
            <w:b/>
            <w:kern w:val="0"/>
          </w:rPr>
          <w:tab/>
        </w:r>
        <w:r w:rsidR="00B75151">
          <w:rPr>
            <w:rStyle w:val="af7"/>
            <w:rFonts w:ascii="宋体" w:eastAsia="宋体" w:hAnsi="Times New Roman"/>
            <w:b/>
            <w:kern w:val="0"/>
          </w:rPr>
          <w:fldChar w:fldCharType="begin"/>
        </w:r>
        <w:r w:rsidR="00B75151">
          <w:rPr>
            <w:rStyle w:val="af7"/>
            <w:rFonts w:ascii="宋体" w:eastAsia="宋体" w:hAnsi="Times New Roman"/>
            <w:b/>
            <w:kern w:val="0"/>
          </w:rPr>
          <w:instrText xml:space="preserve"> PAGEREF _Toc48122006 \h </w:instrText>
        </w:r>
        <w:r w:rsidR="00B75151">
          <w:rPr>
            <w:rStyle w:val="af7"/>
            <w:rFonts w:ascii="宋体" w:eastAsia="宋体" w:hAnsi="Times New Roman"/>
            <w:b/>
            <w:kern w:val="0"/>
          </w:rPr>
        </w:r>
        <w:r w:rsidR="00B75151">
          <w:rPr>
            <w:rStyle w:val="af7"/>
            <w:rFonts w:ascii="宋体" w:eastAsia="宋体" w:hAnsi="Times New Roman"/>
            <w:b/>
            <w:kern w:val="0"/>
          </w:rPr>
          <w:fldChar w:fldCharType="separate"/>
        </w:r>
        <w:r w:rsidR="00B75151">
          <w:rPr>
            <w:rStyle w:val="af7"/>
            <w:rFonts w:ascii="宋体" w:eastAsia="宋体" w:hAnsi="Times New Roman"/>
            <w:b/>
            <w:kern w:val="0"/>
          </w:rPr>
          <w:t>22</w:t>
        </w:r>
        <w:r w:rsidR="00B75151">
          <w:rPr>
            <w:rStyle w:val="af7"/>
            <w:rFonts w:ascii="宋体" w:eastAsia="宋体" w:hAnsi="Times New Roman"/>
            <w:b/>
            <w:kern w:val="0"/>
          </w:rPr>
          <w:fldChar w:fldCharType="end"/>
        </w:r>
      </w:hyperlink>
    </w:p>
    <w:p w14:paraId="19F433D8" w14:textId="77777777" w:rsidR="00791BDD" w:rsidRDefault="002B4315">
      <w:pPr>
        <w:pStyle w:val="10"/>
        <w:adjustRightInd w:val="0"/>
        <w:snapToGrid w:val="0"/>
        <w:rPr>
          <w:rFonts w:asciiTheme="minorHAnsi" w:eastAsiaTheme="minorEastAsia" w:hAnsiTheme="minorHAnsi" w:cstheme="minorBidi"/>
          <w:sz w:val="21"/>
          <w:szCs w:val="22"/>
        </w:rPr>
      </w:pPr>
      <w:hyperlink w:anchor="_Toc48122007" w:history="1">
        <w:r w:rsidR="00B75151">
          <w:rPr>
            <w:rStyle w:val="af7"/>
            <w:rFonts w:ascii="宋体"/>
            <w:b/>
            <w:kern w:val="0"/>
          </w:rPr>
          <w:t>六、基金的募集</w:t>
        </w:r>
        <w:r w:rsidR="00B75151">
          <w:rPr>
            <w:rStyle w:val="af7"/>
            <w:rFonts w:ascii="宋体" w:eastAsia="宋体" w:hAnsi="Times New Roman"/>
            <w:b/>
            <w:kern w:val="0"/>
          </w:rPr>
          <w:tab/>
        </w:r>
        <w:r w:rsidR="00B75151">
          <w:rPr>
            <w:rStyle w:val="af7"/>
            <w:rFonts w:ascii="宋体" w:eastAsia="宋体" w:hAnsi="Times New Roman"/>
            <w:b/>
            <w:kern w:val="0"/>
          </w:rPr>
          <w:fldChar w:fldCharType="begin"/>
        </w:r>
        <w:r w:rsidR="00B75151">
          <w:rPr>
            <w:rStyle w:val="af7"/>
            <w:rFonts w:ascii="宋体" w:eastAsia="宋体" w:hAnsi="Times New Roman"/>
            <w:b/>
            <w:kern w:val="0"/>
          </w:rPr>
          <w:instrText xml:space="preserve"> PAGEREF _Toc48122007 \h </w:instrText>
        </w:r>
        <w:r w:rsidR="00B75151">
          <w:rPr>
            <w:rStyle w:val="af7"/>
            <w:rFonts w:ascii="宋体" w:eastAsia="宋体" w:hAnsi="Times New Roman"/>
            <w:b/>
            <w:kern w:val="0"/>
          </w:rPr>
        </w:r>
        <w:r w:rsidR="00B75151">
          <w:rPr>
            <w:rStyle w:val="af7"/>
            <w:rFonts w:ascii="宋体" w:eastAsia="宋体" w:hAnsi="Times New Roman"/>
            <w:b/>
            <w:kern w:val="0"/>
          </w:rPr>
          <w:fldChar w:fldCharType="separate"/>
        </w:r>
        <w:r w:rsidR="00B75151">
          <w:rPr>
            <w:rStyle w:val="af7"/>
            <w:rFonts w:ascii="宋体" w:eastAsia="宋体" w:hAnsi="Times New Roman"/>
            <w:b/>
            <w:kern w:val="0"/>
          </w:rPr>
          <w:t>25</w:t>
        </w:r>
        <w:r w:rsidR="00B75151">
          <w:rPr>
            <w:rStyle w:val="af7"/>
            <w:rFonts w:ascii="宋体" w:eastAsia="宋体" w:hAnsi="Times New Roman"/>
            <w:b/>
            <w:kern w:val="0"/>
          </w:rPr>
          <w:fldChar w:fldCharType="end"/>
        </w:r>
      </w:hyperlink>
    </w:p>
    <w:p w14:paraId="4875B651" w14:textId="77777777" w:rsidR="00791BDD" w:rsidRDefault="002B4315">
      <w:pPr>
        <w:pStyle w:val="10"/>
        <w:adjustRightInd w:val="0"/>
        <w:snapToGrid w:val="0"/>
        <w:rPr>
          <w:rFonts w:asciiTheme="minorHAnsi" w:eastAsiaTheme="minorEastAsia" w:hAnsiTheme="minorHAnsi" w:cstheme="minorBidi"/>
          <w:sz w:val="21"/>
          <w:szCs w:val="22"/>
        </w:rPr>
      </w:pPr>
      <w:hyperlink w:anchor="_Toc48122008" w:history="1">
        <w:r w:rsidR="00B75151">
          <w:rPr>
            <w:rStyle w:val="af7"/>
            <w:rFonts w:ascii="宋体"/>
            <w:b/>
            <w:kern w:val="0"/>
          </w:rPr>
          <w:t>七、基金合同的生效</w:t>
        </w:r>
        <w:r w:rsidR="00B75151">
          <w:rPr>
            <w:rStyle w:val="af7"/>
            <w:rFonts w:ascii="宋体" w:eastAsia="宋体" w:hAnsi="Times New Roman"/>
            <w:b/>
            <w:kern w:val="0"/>
          </w:rPr>
          <w:tab/>
        </w:r>
        <w:r w:rsidR="00B75151">
          <w:rPr>
            <w:rStyle w:val="af7"/>
            <w:rFonts w:ascii="宋体" w:eastAsia="宋体" w:hAnsi="Times New Roman"/>
            <w:b/>
            <w:kern w:val="0"/>
          </w:rPr>
          <w:fldChar w:fldCharType="begin"/>
        </w:r>
        <w:r w:rsidR="00B75151">
          <w:rPr>
            <w:rStyle w:val="af7"/>
            <w:rFonts w:ascii="宋体" w:eastAsia="宋体" w:hAnsi="Times New Roman"/>
            <w:b/>
            <w:kern w:val="0"/>
          </w:rPr>
          <w:instrText xml:space="preserve"> PAGEREF _Toc48122008 \h </w:instrText>
        </w:r>
        <w:r w:rsidR="00B75151">
          <w:rPr>
            <w:rStyle w:val="af7"/>
            <w:rFonts w:ascii="宋体" w:eastAsia="宋体" w:hAnsi="Times New Roman"/>
            <w:b/>
            <w:kern w:val="0"/>
          </w:rPr>
        </w:r>
        <w:r w:rsidR="00B75151">
          <w:rPr>
            <w:rStyle w:val="af7"/>
            <w:rFonts w:ascii="宋体" w:eastAsia="宋体" w:hAnsi="Times New Roman"/>
            <w:b/>
            <w:kern w:val="0"/>
          </w:rPr>
          <w:fldChar w:fldCharType="separate"/>
        </w:r>
        <w:r w:rsidR="00B75151">
          <w:rPr>
            <w:rStyle w:val="af7"/>
            <w:rFonts w:ascii="宋体" w:eastAsia="宋体" w:hAnsi="Times New Roman"/>
            <w:b/>
            <w:kern w:val="0"/>
          </w:rPr>
          <w:t>30</w:t>
        </w:r>
        <w:r w:rsidR="00B75151">
          <w:rPr>
            <w:rStyle w:val="af7"/>
            <w:rFonts w:ascii="宋体" w:eastAsia="宋体" w:hAnsi="Times New Roman"/>
            <w:b/>
            <w:kern w:val="0"/>
          </w:rPr>
          <w:fldChar w:fldCharType="end"/>
        </w:r>
      </w:hyperlink>
    </w:p>
    <w:p w14:paraId="66E01AE3" w14:textId="77777777" w:rsidR="00791BDD" w:rsidRDefault="002B4315">
      <w:pPr>
        <w:pStyle w:val="10"/>
        <w:adjustRightInd w:val="0"/>
        <w:snapToGrid w:val="0"/>
        <w:rPr>
          <w:rFonts w:asciiTheme="minorHAnsi" w:eastAsiaTheme="minorEastAsia" w:hAnsiTheme="minorHAnsi" w:cstheme="minorBidi"/>
          <w:sz w:val="21"/>
          <w:szCs w:val="22"/>
        </w:rPr>
      </w:pPr>
      <w:hyperlink w:anchor="_Toc48122009" w:history="1">
        <w:r w:rsidR="00B75151">
          <w:rPr>
            <w:rStyle w:val="af7"/>
            <w:rFonts w:ascii="宋体"/>
            <w:b/>
            <w:kern w:val="0"/>
          </w:rPr>
          <w:t>八、基金份额的申购与赎回</w:t>
        </w:r>
        <w:r w:rsidR="00B75151">
          <w:rPr>
            <w:rStyle w:val="af7"/>
            <w:rFonts w:ascii="宋体" w:eastAsia="宋体" w:hAnsi="Times New Roman"/>
            <w:b/>
            <w:kern w:val="0"/>
          </w:rPr>
          <w:tab/>
        </w:r>
        <w:r w:rsidR="00B75151">
          <w:rPr>
            <w:rStyle w:val="af7"/>
            <w:rFonts w:ascii="宋体" w:eastAsia="宋体" w:hAnsi="Times New Roman"/>
            <w:b/>
            <w:kern w:val="0"/>
          </w:rPr>
          <w:fldChar w:fldCharType="begin"/>
        </w:r>
        <w:r w:rsidR="00B75151">
          <w:rPr>
            <w:rStyle w:val="af7"/>
            <w:rFonts w:ascii="宋体" w:eastAsia="宋体" w:hAnsi="Times New Roman"/>
            <w:b/>
            <w:kern w:val="0"/>
          </w:rPr>
          <w:instrText xml:space="preserve"> PAGEREF _Toc48122009 \h </w:instrText>
        </w:r>
        <w:r w:rsidR="00B75151">
          <w:rPr>
            <w:rStyle w:val="af7"/>
            <w:rFonts w:ascii="宋体" w:eastAsia="宋体" w:hAnsi="Times New Roman"/>
            <w:b/>
            <w:kern w:val="0"/>
          </w:rPr>
        </w:r>
        <w:r w:rsidR="00B75151">
          <w:rPr>
            <w:rStyle w:val="af7"/>
            <w:rFonts w:ascii="宋体" w:eastAsia="宋体" w:hAnsi="Times New Roman"/>
            <w:b/>
            <w:kern w:val="0"/>
          </w:rPr>
          <w:fldChar w:fldCharType="separate"/>
        </w:r>
        <w:r w:rsidR="00B75151">
          <w:rPr>
            <w:rStyle w:val="af7"/>
            <w:rFonts w:ascii="宋体" w:eastAsia="宋体" w:hAnsi="Times New Roman"/>
            <w:b/>
            <w:kern w:val="0"/>
          </w:rPr>
          <w:t>32</w:t>
        </w:r>
        <w:r w:rsidR="00B75151">
          <w:rPr>
            <w:rStyle w:val="af7"/>
            <w:rFonts w:ascii="宋体" w:eastAsia="宋体" w:hAnsi="Times New Roman"/>
            <w:b/>
            <w:kern w:val="0"/>
          </w:rPr>
          <w:fldChar w:fldCharType="end"/>
        </w:r>
      </w:hyperlink>
    </w:p>
    <w:p w14:paraId="3E747206" w14:textId="77777777" w:rsidR="00791BDD" w:rsidRDefault="002B4315">
      <w:pPr>
        <w:pStyle w:val="10"/>
        <w:adjustRightInd w:val="0"/>
        <w:snapToGrid w:val="0"/>
        <w:rPr>
          <w:rFonts w:asciiTheme="minorHAnsi" w:eastAsiaTheme="minorEastAsia" w:hAnsiTheme="minorHAnsi" w:cstheme="minorBidi"/>
          <w:sz w:val="21"/>
          <w:szCs w:val="22"/>
        </w:rPr>
      </w:pPr>
      <w:hyperlink w:anchor="_Toc48122010" w:history="1">
        <w:r w:rsidR="00B75151">
          <w:rPr>
            <w:rStyle w:val="af7"/>
            <w:rFonts w:ascii="宋体"/>
            <w:b/>
            <w:kern w:val="0"/>
          </w:rPr>
          <w:t>九、基金的投资</w:t>
        </w:r>
        <w:r w:rsidR="00B75151">
          <w:rPr>
            <w:rStyle w:val="af7"/>
            <w:rFonts w:ascii="宋体" w:eastAsia="宋体" w:hAnsi="Times New Roman"/>
            <w:b/>
            <w:kern w:val="0"/>
          </w:rPr>
          <w:tab/>
        </w:r>
        <w:r w:rsidR="00B75151">
          <w:rPr>
            <w:rStyle w:val="af7"/>
            <w:rFonts w:ascii="宋体" w:eastAsia="宋体" w:hAnsi="Times New Roman"/>
            <w:b/>
            <w:kern w:val="0"/>
          </w:rPr>
          <w:fldChar w:fldCharType="begin"/>
        </w:r>
        <w:r w:rsidR="00B75151">
          <w:rPr>
            <w:rStyle w:val="af7"/>
            <w:rFonts w:ascii="宋体" w:eastAsia="宋体" w:hAnsi="Times New Roman"/>
            <w:b/>
            <w:kern w:val="0"/>
          </w:rPr>
          <w:instrText xml:space="preserve"> PAGEREF _Toc48122010 \h </w:instrText>
        </w:r>
        <w:r w:rsidR="00B75151">
          <w:rPr>
            <w:rStyle w:val="af7"/>
            <w:rFonts w:ascii="宋体" w:eastAsia="宋体" w:hAnsi="Times New Roman"/>
            <w:b/>
            <w:kern w:val="0"/>
          </w:rPr>
        </w:r>
        <w:r w:rsidR="00B75151">
          <w:rPr>
            <w:rStyle w:val="af7"/>
            <w:rFonts w:ascii="宋体" w:eastAsia="宋体" w:hAnsi="Times New Roman"/>
            <w:b/>
            <w:kern w:val="0"/>
          </w:rPr>
          <w:fldChar w:fldCharType="separate"/>
        </w:r>
        <w:r w:rsidR="00B75151">
          <w:rPr>
            <w:rStyle w:val="af7"/>
            <w:rFonts w:ascii="宋体" w:eastAsia="宋体" w:hAnsi="Times New Roman"/>
            <w:b/>
            <w:kern w:val="0"/>
          </w:rPr>
          <w:t>45</w:t>
        </w:r>
        <w:r w:rsidR="00B75151">
          <w:rPr>
            <w:rStyle w:val="af7"/>
            <w:rFonts w:ascii="宋体" w:eastAsia="宋体" w:hAnsi="Times New Roman"/>
            <w:b/>
            <w:kern w:val="0"/>
          </w:rPr>
          <w:fldChar w:fldCharType="end"/>
        </w:r>
      </w:hyperlink>
    </w:p>
    <w:p w14:paraId="144717D0" w14:textId="77777777" w:rsidR="00791BDD" w:rsidRDefault="002B4315">
      <w:pPr>
        <w:pStyle w:val="10"/>
        <w:adjustRightInd w:val="0"/>
        <w:snapToGrid w:val="0"/>
        <w:rPr>
          <w:rFonts w:asciiTheme="minorHAnsi" w:eastAsiaTheme="minorEastAsia" w:hAnsiTheme="minorHAnsi" w:cstheme="minorBidi"/>
          <w:sz w:val="21"/>
          <w:szCs w:val="22"/>
        </w:rPr>
      </w:pPr>
      <w:hyperlink w:anchor="_Toc48122011" w:history="1">
        <w:r w:rsidR="00B75151">
          <w:rPr>
            <w:rStyle w:val="af7"/>
            <w:rFonts w:ascii="宋体"/>
            <w:b/>
            <w:kern w:val="0"/>
          </w:rPr>
          <w:t>十、基金的财产</w:t>
        </w:r>
        <w:r w:rsidR="00B75151">
          <w:rPr>
            <w:rStyle w:val="af7"/>
            <w:rFonts w:ascii="宋体" w:eastAsia="宋体" w:hAnsi="Times New Roman"/>
            <w:b/>
            <w:kern w:val="0"/>
          </w:rPr>
          <w:tab/>
        </w:r>
        <w:r w:rsidR="00B75151">
          <w:rPr>
            <w:rStyle w:val="af7"/>
            <w:rFonts w:ascii="宋体" w:eastAsia="宋体" w:hAnsi="Times New Roman"/>
            <w:b/>
            <w:kern w:val="0"/>
          </w:rPr>
          <w:fldChar w:fldCharType="begin"/>
        </w:r>
        <w:r w:rsidR="00B75151">
          <w:rPr>
            <w:rStyle w:val="af7"/>
            <w:rFonts w:ascii="宋体" w:eastAsia="宋体" w:hAnsi="Times New Roman"/>
            <w:b/>
            <w:kern w:val="0"/>
          </w:rPr>
          <w:instrText xml:space="preserve"> PAGEREF _Toc48122011 \h </w:instrText>
        </w:r>
        <w:r w:rsidR="00B75151">
          <w:rPr>
            <w:rStyle w:val="af7"/>
            <w:rFonts w:ascii="宋体" w:eastAsia="宋体" w:hAnsi="Times New Roman"/>
            <w:b/>
            <w:kern w:val="0"/>
          </w:rPr>
        </w:r>
        <w:r w:rsidR="00B75151">
          <w:rPr>
            <w:rStyle w:val="af7"/>
            <w:rFonts w:ascii="宋体" w:eastAsia="宋体" w:hAnsi="Times New Roman"/>
            <w:b/>
            <w:kern w:val="0"/>
          </w:rPr>
          <w:fldChar w:fldCharType="separate"/>
        </w:r>
        <w:r w:rsidR="00B75151">
          <w:rPr>
            <w:rStyle w:val="af7"/>
            <w:rFonts w:ascii="宋体" w:eastAsia="宋体" w:hAnsi="Times New Roman"/>
            <w:b/>
            <w:kern w:val="0"/>
          </w:rPr>
          <w:t>53</w:t>
        </w:r>
        <w:r w:rsidR="00B75151">
          <w:rPr>
            <w:rStyle w:val="af7"/>
            <w:rFonts w:ascii="宋体" w:eastAsia="宋体" w:hAnsi="Times New Roman"/>
            <w:b/>
            <w:kern w:val="0"/>
          </w:rPr>
          <w:fldChar w:fldCharType="end"/>
        </w:r>
      </w:hyperlink>
    </w:p>
    <w:p w14:paraId="066952EB" w14:textId="77777777" w:rsidR="00791BDD" w:rsidRDefault="002B4315">
      <w:pPr>
        <w:pStyle w:val="10"/>
        <w:adjustRightInd w:val="0"/>
        <w:snapToGrid w:val="0"/>
        <w:rPr>
          <w:rFonts w:asciiTheme="minorHAnsi" w:eastAsiaTheme="minorEastAsia" w:hAnsiTheme="minorHAnsi" w:cstheme="minorBidi"/>
          <w:sz w:val="21"/>
          <w:szCs w:val="22"/>
        </w:rPr>
      </w:pPr>
      <w:hyperlink w:anchor="_Toc48122012" w:history="1">
        <w:r w:rsidR="00B75151">
          <w:rPr>
            <w:rStyle w:val="af7"/>
            <w:rFonts w:ascii="宋体"/>
            <w:b/>
            <w:kern w:val="0"/>
          </w:rPr>
          <w:t>十一、基金资产的估值</w:t>
        </w:r>
        <w:r w:rsidR="00B75151">
          <w:rPr>
            <w:rStyle w:val="af7"/>
            <w:rFonts w:ascii="宋体" w:eastAsia="宋体" w:hAnsi="Times New Roman"/>
            <w:b/>
            <w:kern w:val="0"/>
          </w:rPr>
          <w:tab/>
        </w:r>
        <w:r w:rsidR="00B75151">
          <w:rPr>
            <w:rStyle w:val="af7"/>
            <w:rFonts w:ascii="宋体" w:eastAsia="宋体" w:hAnsi="Times New Roman"/>
            <w:b/>
            <w:kern w:val="0"/>
          </w:rPr>
          <w:fldChar w:fldCharType="begin"/>
        </w:r>
        <w:r w:rsidR="00B75151">
          <w:rPr>
            <w:rStyle w:val="af7"/>
            <w:rFonts w:ascii="宋体" w:eastAsia="宋体" w:hAnsi="Times New Roman"/>
            <w:b/>
            <w:kern w:val="0"/>
          </w:rPr>
          <w:instrText xml:space="preserve"> PAGEREF _Toc48122012 \h </w:instrText>
        </w:r>
        <w:r w:rsidR="00B75151">
          <w:rPr>
            <w:rStyle w:val="af7"/>
            <w:rFonts w:ascii="宋体" w:eastAsia="宋体" w:hAnsi="Times New Roman"/>
            <w:b/>
            <w:kern w:val="0"/>
          </w:rPr>
        </w:r>
        <w:r w:rsidR="00B75151">
          <w:rPr>
            <w:rStyle w:val="af7"/>
            <w:rFonts w:ascii="宋体" w:eastAsia="宋体" w:hAnsi="Times New Roman"/>
            <w:b/>
            <w:kern w:val="0"/>
          </w:rPr>
          <w:fldChar w:fldCharType="separate"/>
        </w:r>
        <w:r w:rsidR="00B75151">
          <w:rPr>
            <w:rStyle w:val="af7"/>
            <w:rFonts w:ascii="宋体" w:eastAsia="宋体" w:hAnsi="Times New Roman"/>
            <w:b/>
            <w:kern w:val="0"/>
          </w:rPr>
          <w:t>54</w:t>
        </w:r>
        <w:r w:rsidR="00B75151">
          <w:rPr>
            <w:rStyle w:val="af7"/>
            <w:rFonts w:ascii="宋体" w:eastAsia="宋体" w:hAnsi="Times New Roman"/>
            <w:b/>
            <w:kern w:val="0"/>
          </w:rPr>
          <w:fldChar w:fldCharType="end"/>
        </w:r>
      </w:hyperlink>
    </w:p>
    <w:p w14:paraId="119EB85F" w14:textId="77777777" w:rsidR="00791BDD" w:rsidRDefault="002B4315">
      <w:pPr>
        <w:pStyle w:val="10"/>
        <w:adjustRightInd w:val="0"/>
        <w:snapToGrid w:val="0"/>
        <w:rPr>
          <w:rFonts w:asciiTheme="minorHAnsi" w:eastAsiaTheme="minorEastAsia" w:hAnsiTheme="minorHAnsi" w:cstheme="minorBidi"/>
          <w:sz w:val="21"/>
          <w:szCs w:val="22"/>
        </w:rPr>
      </w:pPr>
      <w:hyperlink w:anchor="_Toc48122013" w:history="1">
        <w:r w:rsidR="00B75151">
          <w:rPr>
            <w:rStyle w:val="af7"/>
            <w:rFonts w:ascii="宋体"/>
            <w:b/>
            <w:kern w:val="0"/>
          </w:rPr>
          <w:t>十二、基金收益与分配</w:t>
        </w:r>
        <w:r w:rsidR="00B75151">
          <w:rPr>
            <w:rStyle w:val="af7"/>
            <w:rFonts w:ascii="宋体" w:eastAsia="宋体" w:hAnsi="Times New Roman"/>
            <w:b/>
            <w:kern w:val="0"/>
          </w:rPr>
          <w:tab/>
        </w:r>
        <w:r w:rsidR="00B75151">
          <w:rPr>
            <w:rStyle w:val="af7"/>
            <w:rFonts w:ascii="宋体" w:eastAsia="宋体" w:hAnsi="Times New Roman"/>
            <w:b/>
            <w:kern w:val="0"/>
          </w:rPr>
          <w:fldChar w:fldCharType="begin"/>
        </w:r>
        <w:r w:rsidR="00B75151">
          <w:rPr>
            <w:rStyle w:val="af7"/>
            <w:rFonts w:ascii="宋体" w:eastAsia="宋体" w:hAnsi="Times New Roman"/>
            <w:b/>
            <w:kern w:val="0"/>
          </w:rPr>
          <w:instrText xml:space="preserve"> PAGEREF _Toc48122013 \h </w:instrText>
        </w:r>
        <w:r w:rsidR="00B75151">
          <w:rPr>
            <w:rStyle w:val="af7"/>
            <w:rFonts w:ascii="宋体" w:eastAsia="宋体" w:hAnsi="Times New Roman"/>
            <w:b/>
            <w:kern w:val="0"/>
          </w:rPr>
        </w:r>
        <w:r w:rsidR="00B75151">
          <w:rPr>
            <w:rStyle w:val="af7"/>
            <w:rFonts w:ascii="宋体" w:eastAsia="宋体" w:hAnsi="Times New Roman"/>
            <w:b/>
            <w:kern w:val="0"/>
          </w:rPr>
          <w:fldChar w:fldCharType="separate"/>
        </w:r>
        <w:r w:rsidR="00B75151">
          <w:rPr>
            <w:rStyle w:val="af7"/>
            <w:rFonts w:ascii="宋体" w:eastAsia="宋体" w:hAnsi="Times New Roman"/>
            <w:b/>
            <w:kern w:val="0"/>
          </w:rPr>
          <w:t>61</w:t>
        </w:r>
        <w:r w:rsidR="00B75151">
          <w:rPr>
            <w:rStyle w:val="af7"/>
            <w:rFonts w:ascii="宋体" w:eastAsia="宋体" w:hAnsi="Times New Roman"/>
            <w:b/>
            <w:kern w:val="0"/>
          </w:rPr>
          <w:fldChar w:fldCharType="end"/>
        </w:r>
      </w:hyperlink>
    </w:p>
    <w:p w14:paraId="1113D46E" w14:textId="77777777" w:rsidR="00791BDD" w:rsidRDefault="002B4315">
      <w:pPr>
        <w:pStyle w:val="10"/>
        <w:adjustRightInd w:val="0"/>
        <w:snapToGrid w:val="0"/>
        <w:rPr>
          <w:rFonts w:asciiTheme="minorHAnsi" w:eastAsiaTheme="minorEastAsia" w:hAnsiTheme="minorHAnsi" w:cstheme="minorBidi"/>
          <w:sz w:val="21"/>
          <w:szCs w:val="22"/>
        </w:rPr>
      </w:pPr>
      <w:hyperlink w:anchor="_Toc48122014" w:history="1">
        <w:r w:rsidR="00B75151">
          <w:rPr>
            <w:rStyle w:val="af7"/>
            <w:rFonts w:ascii="宋体"/>
            <w:b/>
            <w:kern w:val="0"/>
          </w:rPr>
          <w:t>十三、基金的费用与税收</w:t>
        </w:r>
        <w:r w:rsidR="00B75151">
          <w:rPr>
            <w:rStyle w:val="af7"/>
            <w:rFonts w:ascii="宋体" w:eastAsia="宋体" w:hAnsi="Times New Roman"/>
            <w:b/>
            <w:kern w:val="0"/>
          </w:rPr>
          <w:tab/>
        </w:r>
        <w:r w:rsidR="00B75151">
          <w:rPr>
            <w:rStyle w:val="af7"/>
            <w:rFonts w:ascii="宋体" w:eastAsia="宋体" w:hAnsi="Times New Roman"/>
            <w:b/>
            <w:kern w:val="0"/>
          </w:rPr>
          <w:fldChar w:fldCharType="begin"/>
        </w:r>
        <w:r w:rsidR="00B75151">
          <w:rPr>
            <w:rStyle w:val="af7"/>
            <w:rFonts w:ascii="宋体" w:eastAsia="宋体" w:hAnsi="Times New Roman"/>
            <w:b/>
            <w:kern w:val="0"/>
          </w:rPr>
          <w:instrText xml:space="preserve"> PAGEREF _Toc48122014 \h </w:instrText>
        </w:r>
        <w:r w:rsidR="00B75151">
          <w:rPr>
            <w:rStyle w:val="af7"/>
            <w:rFonts w:ascii="宋体" w:eastAsia="宋体" w:hAnsi="Times New Roman"/>
            <w:b/>
            <w:kern w:val="0"/>
          </w:rPr>
        </w:r>
        <w:r w:rsidR="00B75151">
          <w:rPr>
            <w:rStyle w:val="af7"/>
            <w:rFonts w:ascii="宋体" w:eastAsia="宋体" w:hAnsi="Times New Roman"/>
            <w:b/>
            <w:kern w:val="0"/>
          </w:rPr>
          <w:fldChar w:fldCharType="separate"/>
        </w:r>
        <w:r w:rsidR="00B75151">
          <w:rPr>
            <w:rStyle w:val="af7"/>
            <w:rFonts w:ascii="宋体" w:eastAsia="宋体" w:hAnsi="Times New Roman"/>
            <w:b/>
            <w:kern w:val="0"/>
          </w:rPr>
          <w:t>63</w:t>
        </w:r>
        <w:r w:rsidR="00B75151">
          <w:rPr>
            <w:rStyle w:val="af7"/>
            <w:rFonts w:ascii="宋体" w:eastAsia="宋体" w:hAnsi="Times New Roman"/>
            <w:b/>
            <w:kern w:val="0"/>
          </w:rPr>
          <w:fldChar w:fldCharType="end"/>
        </w:r>
      </w:hyperlink>
    </w:p>
    <w:p w14:paraId="40C9311D" w14:textId="77777777" w:rsidR="00791BDD" w:rsidRDefault="002B4315">
      <w:pPr>
        <w:pStyle w:val="10"/>
        <w:adjustRightInd w:val="0"/>
        <w:snapToGrid w:val="0"/>
        <w:rPr>
          <w:rFonts w:asciiTheme="minorHAnsi" w:eastAsiaTheme="minorEastAsia" w:hAnsiTheme="minorHAnsi" w:cstheme="minorBidi"/>
          <w:sz w:val="21"/>
          <w:szCs w:val="22"/>
        </w:rPr>
      </w:pPr>
      <w:hyperlink w:anchor="_Toc48122015" w:history="1">
        <w:r w:rsidR="00B75151">
          <w:rPr>
            <w:rStyle w:val="af7"/>
            <w:rFonts w:ascii="宋体"/>
            <w:b/>
            <w:kern w:val="0"/>
          </w:rPr>
          <w:t>十四、基金的会计与审计</w:t>
        </w:r>
        <w:r w:rsidR="00B75151">
          <w:rPr>
            <w:rStyle w:val="af7"/>
            <w:rFonts w:ascii="宋体" w:eastAsia="宋体" w:hAnsi="Times New Roman"/>
            <w:b/>
            <w:kern w:val="0"/>
          </w:rPr>
          <w:tab/>
        </w:r>
        <w:r w:rsidR="00B75151">
          <w:rPr>
            <w:rStyle w:val="af7"/>
            <w:rFonts w:ascii="宋体" w:eastAsia="宋体" w:hAnsi="Times New Roman"/>
            <w:b/>
            <w:kern w:val="0"/>
          </w:rPr>
          <w:fldChar w:fldCharType="begin"/>
        </w:r>
        <w:r w:rsidR="00B75151">
          <w:rPr>
            <w:rStyle w:val="af7"/>
            <w:rFonts w:ascii="宋体" w:eastAsia="宋体" w:hAnsi="Times New Roman"/>
            <w:b/>
            <w:kern w:val="0"/>
          </w:rPr>
          <w:instrText xml:space="preserve"> PAGEREF _Toc48122015 \h </w:instrText>
        </w:r>
        <w:r w:rsidR="00B75151">
          <w:rPr>
            <w:rStyle w:val="af7"/>
            <w:rFonts w:ascii="宋体" w:eastAsia="宋体" w:hAnsi="Times New Roman"/>
            <w:b/>
            <w:kern w:val="0"/>
          </w:rPr>
        </w:r>
        <w:r w:rsidR="00B75151">
          <w:rPr>
            <w:rStyle w:val="af7"/>
            <w:rFonts w:ascii="宋体" w:eastAsia="宋体" w:hAnsi="Times New Roman"/>
            <w:b/>
            <w:kern w:val="0"/>
          </w:rPr>
          <w:fldChar w:fldCharType="separate"/>
        </w:r>
        <w:r w:rsidR="00B75151">
          <w:rPr>
            <w:rStyle w:val="af7"/>
            <w:rFonts w:ascii="宋体" w:eastAsia="宋体" w:hAnsi="Times New Roman"/>
            <w:b/>
            <w:kern w:val="0"/>
          </w:rPr>
          <w:t>66</w:t>
        </w:r>
        <w:r w:rsidR="00B75151">
          <w:rPr>
            <w:rStyle w:val="af7"/>
            <w:rFonts w:ascii="宋体" w:eastAsia="宋体" w:hAnsi="Times New Roman"/>
            <w:b/>
            <w:kern w:val="0"/>
          </w:rPr>
          <w:fldChar w:fldCharType="end"/>
        </w:r>
      </w:hyperlink>
    </w:p>
    <w:p w14:paraId="016E055F" w14:textId="77777777" w:rsidR="00791BDD" w:rsidRDefault="002B4315">
      <w:pPr>
        <w:pStyle w:val="10"/>
        <w:adjustRightInd w:val="0"/>
        <w:snapToGrid w:val="0"/>
        <w:rPr>
          <w:rFonts w:asciiTheme="minorHAnsi" w:eastAsiaTheme="minorEastAsia" w:hAnsiTheme="minorHAnsi" w:cstheme="minorBidi"/>
          <w:sz w:val="21"/>
          <w:szCs w:val="22"/>
        </w:rPr>
      </w:pPr>
      <w:hyperlink w:anchor="_Toc48122016" w:history="1">
        <w:r w:rsidR="00B75151">
          <w:rPr>
            <w:rStyle w:val="af7"/>
            <w:rFonts w:ascii="宋体"/>
            <w:b/>
            <w:kern w:val="0"/>
          </w:rPr>
          <w:t>十五、基金的信息披露</w:t>
        </w:r>
        <w:r w:rsidR="00B75151">
          <w:rPr>
            <w:rStyle w:val="af7"/>
            <w:rFonts w:ascii="宋体" w:eastAsia="宋体" w:hAnsi="Times New Roman"/>
            <w:b/>
            <w:kern w:val="0"/>
          </w:rPr>
          <w:tab/>
        </w:r>
        <w:r w:rsidR="00B75151">
          <w:rPr>
            <w:rStyle w:val="af7"/>
            <w:rFonts w:ascii="宋体" w:eastAsia="宋体" w:hAnsi="Times New Roman"/>
            <w:b/>
            <w:kern w:val="0"/>
          </w:rPr>
          <w:fldChar w:fldCharType="begin"/>
        </w:r>
        <w:r w:rsidR="00B75151">
          <w:rPr>
            <w:rStyle w:val="af7"/>
            <w:rFonts w:ascii="宋体" w:eastAsia="宋体" w:hAnsi="Times New Roman"/>
            <w:b/>
            <w:kern w:val="0"/>
          </w:rPr>
          <w:instrText xml:space="preserve"> PAGEREF _Toc48122016 \h </w:instrText>
        </w:r>
        <w:r w:rsidR="00B75151">
          <w:rPr>
            <w:rStyle w:val="af7"/>
            <w:rFonts w:ascii="宋体" w:eastAsia="宋体" w:hAnsi="Times New Roman"/>
            <w:b/>
            <w:kern w:val="0"/>
          </w:rPr>
        </w:r>
        <w:r w:rsidR="00B75151">
          <w:rPr>
            <w:rStyle w:val="af7"/>
            <w:rFonts w:ascii="宋体" w:eastAsia="宋体" w:hAnsi="Times New Roman"/>
            <w:b/>
            <w:kern w:val="0"/>
          </w:rPr>
          <w:fldChar w:fldCharType="separate"/>
        </w:r>
        <w:r w:rsidR="00B75151">
          <w:rPr>
            <w:rStyle w:val="af7"/>
            <w:rFonts w:ascii="宋体" w:eastAsia="宋体" w:hAnsi="Times New Roman"/>
            <w:b/>
            <w:kern w:val="0"/>
          </w:rPr>
          <w:t>67</w:t>
        </w:r>
        <w:r w:rsidR="00B75151">
          <w:rPr>
            <w:rStyle w:val="af7"/>
            <w:rFonts w:ascii="宋体" w:eastAsia="宋体" w:hAnsi="Times New Roman"/>
            <w:b/>
            <w:kern w:val="0"/>
          </w:rPr>
          <w:fldChar w:fldCharType="end"/>
        </w:r>
      </w:hyperlink>
    </w:p>
    <w:p w14:paraId="74D0CD33" w14:textId="77777777" w:rsidR="00791BDD" w:rsidRDefault="002B4315">
      <w:pPr>
        <w:pStyle w:val="10"/>
        <w:adjustRightInd w:val="0"/>
        <w:snapToGrid w:val="0"/>
        <w:rPr>
          <w:rFonts w:asciiTheme="minorHAnsi" w:eastAsiaTheme="minorEastAsia" w:hAnsiTheme="minorHAnsi" w:cstheme="minorBidi"/>
          <w:sz w:val="21"/>
          <w:szCs w:val="22"/>
        </w:rPr>
      </w:pPr>
      <w:hyperlink w:anchor="_Toc48122017" w:history="1">
        <w:r w:rsidR="00B75151">
          <w:rPr>
            <w:rStyle w:val="af7"/>
            <w:rFonts w:ascii="宋体"/>
            <w:b/>
            <w:kern w:val="0"/>
          </w:rPr>
          <w:t>十六、侧袋机制</w:t>
        </w:r>
        <w:r w:rsidR="00B75151">
          <w:rPr>
            <w:rStyle w:val="af7"/>
            <w:rFonts w:ascii="宋体" w:eastAsia="宋体" w:hAnsi="Times New Roman"/>
            <w:b/>
            <w:kern w:val="0"/>
          </w:rPr>
          <w:tab/>
        </w:r>
        <w:r w:rsidR="00B75151">
          <w:rPr>
            <w:rStyle w:val="af7"/>
            <w:rFonts w:ascii="宋体" w:eastAsia="宋体" w:hAnsi="Times New Roman"/>
            <w:b/>
            <w:kern w:val="0"/>
          </w:rPr>
          <w:fldChar w:fldCharType="begin"/>
        </w:r>
        <w:r w:rsidR="00B75151">
          <w:rPr>
            <w:rStyle w:val="af7"/>
            <w:rFonts w:ascii="宋体" w:eastAsia="宋体" w:hAnsi="Times New Roman"/>
            <w:b/>
            <w:kern w:val="0"/>
          </w:rPr>
          <w:instrText xml:space="preserve"> PAGEREF _Toc48122017 \h </w:instrText>
        </w:r>
        <w:r w:rsidR="00B75151">
          <w:rPr>
            <w:rStyle w:val="af7"/>
            <w:rFonts w:ascii="宋体" w:eastAsia="宋体" w:hAnsi="Times New Roman"/>
            <w:b/>
            <w:kern w:val="0"/>
          </w:rPr>
        </w:r>
        <w:r w:rsidR="00B75151">
          <w:rPr>
            <w:rStyle w:val="af7"/>
            <w:rFonts w:ascii="宋体" w:eastAsia="宋体" w:hAnsi="Times New Roman"/>
            <w:b/>
            <w:kern w:val="0"/>
          </w:rPr>
          <w:fldChar w:fldCharType="separate"/>
        </w:r>
        <w:r w:rsidR="00B75151">
          <w:rPr>
            <w:rStyle w:val="af7"/>
            <w:rFonts w:ascii="宋体" w:eastAsia="宋体" w:hAnsi="Times New Roman"/>
            <w:b/>
            <w:kern w:val="0"/>
          </w:rPr>
          <w:t>74</w:t>
        </w:r>
        <w:r w:rsidR="00B75151">
          <w:rPr>
            <w:rStyle w:val="af7"/>
            <w:rFonts w:ascii="宋体" w:eastAsia="宋体" w:hAnsi="Times New Roman"/>
            <w:b/>
            <w:kern w:val="0"/>
          </w:rPr>
          <w:fldChar w:fldCharType="end"/>
        </w:r>
      </w:hyperlink>
    </w:p>
    <w:p w14:paraId="095D0682" w14:textId="77777777" w:rsidR="00791BDD" w:rsidRDefault="002B4315">
      <w:pPr>
        <w:pStyle w:val="10"/>
        <w:adjustRightInd w:val="0"/>
        <w:snapToGrid w:val="0"/>
        <w:rPr>
          <w:rFonts w:asciiTheme="minorHAnsi" w:eastAsiaTheme="minorEastAsia" w:hAnsiTheme="minorHAnsi" w:cstheme="minorBidi"/>
          <w:sz w:val="21"/>
          <w:szCs w:val="22"/>
        </w:rPr>
      </w:pPr>
      <w:hyperlink w:anchor="_Toc48122018" w:history="1">
        <w:r w:rsidR="00B75151">
          <w:rPr>
            <w:rStyle w:val="af7"/>
            <w:rFonts w:ascii="宋体"/>
            <w:b/>
            <w:kern w:val="0"/>
          </w:rPr>
          <w:t>十七、风险揭示</w:t>
        </w:r>
        <w:r w:rsidR="00B75151">
          <w:rPr>
            <w:rStyle w:val="af7"/>
            <w:rFonts w:ascii="宋体" w:eastAsia="宋体" w:hAnsi="Times New Roman"/>
            <w:b/>
            <w:kern w:val="0"/>
          </w:rPr>
          <w:tab/>
        </w:r>
        <w:r w:rsidR="00B75151">
          <w:rPr>
            <w:rStyle w:val="af7"/>
            <w:rFonts w:ascii="宋体" w:eastAsia="宋体" w:hAnsi="Times New Roman"/>
            <w:b/>
            <w:kern w:val="0"/>
          </w:rPr>
          <w:fldChar w:fldCharType="begin"/>
        </w:r>
        <w:r w:rsidR="00B75151">
          <w:rPr>
            <w:rStyle w:val="af7"/>
            <w:rFonts w:ascii="宋体" w:eastAsia="宋体" w:hAnsi="Times New Roman"/>
            <w:b/>
            <w:kern w:val="0"/>
          </w:rPr>
          <w:instrText xml:space="preserve"> PAGEREF _Toc48122018 \h </w:instrText>
        </w:r>
        <w:r w:rsidR="00B75151">
          <w:rPr>
            <w:rStyle w:val="af7"/>
            <w:rFonts w:ascii="宋体" w:eastAsia="宋体" w:hAnsi="Times New Roman"/>
            <w:b/>
            <w:kern w:val="0"/>
          </w:rPr>
        </w:r>
        <w:r w:rsidR="00B75151">
          <w:rPr>
            <w:rStyle w:val="af7"/>
            <w:rFonts w:ascii="宋体" w:eastAsia="宋体" w:hAnsi="Times New Roman"/>
            <w:b/>
            <w:kern w:val="0"/>
          </w:rPr>
          <w:fldChar w:fldCharType="separate"/>
        </w:r>
        <w:r w:rsidR="00B75151">
          <w:rPr>
            <w:rStyle w:val="af7"/>
            <w:rFonts w:ascii="宋体" w:eastAsia="宋体" w:hAnsi="Times New Roman"/>
            <w:b/>
            <w:kern w:val="0"/>
          </w:rPr>
          <w:t>77</w:t>
        </w:r>
        <w:r w:rsidR="00B75151">
          <w:rPr>
            <w:rStyle w:val="af7"/>
            <w:rFonts w:ascii="宋体" w:eastAsia="宋体" w:hAnsi="Times New Roman"/>
            <w:b/>
            <w:kern w:val="0"/>
          </w:rPr>
          <w:fldChar w:fldCharType="end"/>
        </w:r>
      </w:hyperlink>
    </w:p>
    <w:p w14:paraId="50CF544F" w14:textId="77777777" w:rsidR="00791BDD" w:rsidRDefault="002B4315">
      <w:pPr>
        <w:pStyle w:val="10"/>
        <w:adjustRightInd w:val="0"/>
        <w:snapToGrid w:val="0"/>
        <w:rPr>
          <w:rFonts w:asciiTheme="minorHAnsi" w:eastAsiaTheme="minorEastAsia" w:hAnsiTheme="minorHAnsi" w:cstheme="minorBidi"/>
          <w:sz w:val="21"/>
          <w:szCs w:val="22"/>
        </w:rPr>
      </w:pPr>
      <w:hyperlink w:anchor="_Toc48122019" w:history="1">
        <w:r w:rsidR="00B75151">
          <w:rPr>
            <w:rStyle w:val="af7"/>
            <w:b/>
            <w:kern w:val="0"/>
          </w:rPr>
          <w:t>十八、基金合同的变更、终止与基金财产的清算</w:t>
        </w:r>
        <w:r w:rsidR="00B75151">
          <w:rPr>
            <w:rStyle w:val="af7"/>
            <w:rFonts w:ascii="宋体" w:eastAsia="宋体" w:hAnsi="Times New Roman"/>
            <w:b/>
            <w:kern w:val="0"/>
          </w:rPr>
          <w:tab/>
        </w:r>
        <w:r w:rsidR="00B75151">
          <w:rPr>
            <w:rStyle w:val="af7"/>
            <w:rFonts w:ascii="宋体" w:eastAsia="宋体" w:hAnsi="Times New Roman"/>
            <w:b/>
            <w:kern w:val="0"/>
          </w:rPr>
          <w:fldChar w:fldCharType="begin"/>
        </w:r>
        <w:r w:rsidR="00B75151">
          <w:rPr>
            <w:rStyle w:val="af7"/>
            <w:rFonts w:ascii="宋体" w:eastAsia="宋体" w:hAnsi="Times New Roman"/>
            <w:b/>
            <w:kern w:val="0"/>
          </w:rPr>
          <w:instrText xml:space="preserve"> PAGEREF _Toc48122019 \h </w:instrText>
        </w:r>
        <w:r w:rsidR="00B75151">
          <w:rPr>
            <w:rStyle w:val="af7"/>
            <w:rFonts w:ascii="宋体" w:eastAsia="宋体" w:hAnsi="Times New Roman"/>
            <w:b/>
            <w:kern w:val="0"/>
          </w:rPr>
        </w:r>
        <w:r w:rsidR="00B75151">
          <w:rPr>
            <w:rStyle w:val="af7"/>
            <w:rFonts w:ascii="宋体" w:eastAsia="宋体" w:hAnsi="Times New Roman"/>
            <w:b/>
            <w:kern w:val="0"/>
          </w:rPr>
          <w:fldChar w:fldCharType="separate"/>
        </w:r>
        <w:r w:rsidR="00B75151">
          <w:rPr>
            <w:rStyle w:val="af7"/>
            <w:rFonts w:ascii="宋体" w:eastAsia="宋体" w:hAnsi="Times New Roman"/>
            <w:b/>
            <w:kern w:val="0"/>
          </w:rPr>
          <w:t>88</w:t>
        </w:r>
        <w:r w:rsidR="00B75151">
          <w:rPr>
            <w:rStyle w:val="af7"/>
            <w:rFonts w:ascii="宋体" w:eastAsia="宋体" w:hAnsi="Times New Roman"/>
            <w:b/>
            <w:kern w:val="0"/>
          </w:rPr>
          <w:fldChar w:fldCharType="end"/>
        </w:r>
      </w:hyperlink>
    </w:p>
    <w:p w14:paraId="3CE2458C" w14:textId="77777777" w:rsidR="00791BDD" w:rsidRDefault="002B4315">
      <w:pPr>
        <w:pStyle w:val="10"/>
        <w:adjustRightInd w:val="0"/>
        <w:snapToGrid w:val="0"/>
        <w:rPr>
          <w:rFonts w:asciiTheme="minorHAnsi" w:eastAsiaTheme="minorEastAsia" w:hAnsiTheme="minorHAnsi" w:cstheme="minorBidi"/>
          <w:sz w:val="21"/>
          <w:szCs w:val="22"/>
        </w:rPr>
      </w:pPr>
      <w:hyperlink w:anchor="_Toc48122020" w:history="1">
        <w:r w:rsidR="00B75151">
          <w:rPr>
            <w:rStyle w:val="af7"/>
            <w:rFonts w:ascii="宋体"/>
            <w:b/>
            <w:kern w:val="0"/>
          </w:rPr>
          <w:t>十九、基金合同内容摘要</w:t>
        </w:r>
        <w:r w:rsidR="00B75151">
          <w:rPr>
            <w:rStyle w:val="af7"/>
            <w:rFonts w:ascii="宋体" w:eastAsia="宋体" w:hAnsi="Times New Roman"/>
            <w:b/>
            <w:kern w:val="0"/>
          </w:rPr>
          <w:tab/>
        </w:r>
        <w:r w:rsidR="00B75151">
          <w:rPr>
            <w:rStyle w:val="af7"/>
            <w:rFonts w:ascii="宋体" w:eastAsia="宋体" w:hAnsi="Times New Roman"/>
            <w:b/>
            <w:kern w:val="0"/>
          </w:rPr>
          <w:fldChar w:fldCharType="begin"/>
        </w:r>
        <w:r w:rsidR="00B75151">
          <w:rPr>
            <w:rStyle w:val="af7"/>
            <w:rFonts w:ascii="宋体" w:eastAsia="宋体" w:hAnsi="Times New Roman"/>
            <w:b/>
            <w:kern w:val="0"/>
          </w:rPr>
          <w:instrText xml:space="preserve"> PAGEREF _Toc48122020 \h </w:instrText>
        </w:r>
        <w:r w:rsidR="00B75151">
          <w:rPr>
            <w:rStyle w:val="af7"/>
            <w:rFonts w:ascii="宋体" w:eastAsia="宋体" w:hAnsi="Times New Roman"/>
            <w:b/>
            <w:kern w:val="0"/>
          </w:rPr>
        </w:r>
        <w:r w:rsidR="00B75151">
          <w:rPr>
            <w:rStyle w:val="af7"/>
            <w:rFonts w:ascii="宋体" w:eastAsia="宋体" w:hAnsi="Times New Roman"/>
            <w:b/>
            <w:kern w:val="0"/>
          </w:rPr>
          <w:fldChar w:fldCharType="separate"/>
        </w:r>
        <w:r w:rsidR="00B75151">
          <w:rPr>
            <w:rStyle w:val="af7"/>
            <w:rFonts w:ascii="宋体" w:eastAsia="宋体" w:hAnsi="Times New Roman"/>
            <w:b/>
            <w:kern w:val="0"/>
          </w:rPr>
          <w:t>90</w:t>
        </w:r>
        <w:r w:rsidR="00B75151">
          <w:rPr>
            <w:rStyle w:val="af7"/>
            <w:rFonts w:ascii="宋体" w:eastAsia="宋体" w:hAnsi="Times New Roman"/>
            <w:b/>
            <w:kern w:val="0"/>
          </w:rPr>
          <w:fldChar w:fldCharType="end"/>
        </w:r>
      </w:hyperlink>
    </w:p>
    <w:p w14:paraId="4F92E672" w14:textId="77777777" w:rsidR="00791BDD" w:rsidRDefault="002B4315">
      <w:pPr>
        <w:pStyle w:val="10"/>
        <w:adjustRightInd w:val="0"/>
        <w:snapToGrid w:val="0"/>
        <w:rPr>
          <w:rFonts w:asciiTheme="minorHAnsi" w:eastAsiaTheme="minorEastAsia" w:hAnsiTheme="minorHAnsi" w:cstheme="minorBidi"/>
          <w:sz w:val="21"/>
          <w:szCs w:val="22"/>
        </w:rPr>
      </w:pPr>
      <w:hyperlink w:anchor="_Toc48122021" w:history="1">
        <w:r w:rsidR="00B75151">
          <w:rPr>
            <w:rStyle w:val="af7"/>
            <w:rFonts w:ascii="宋体"/>
            <w:b/>
            <w:kern w:val="0"/>
          </w:rPr>
          <w:t>二十、托管协议的内容摘要</w:t>
        </w:r>
        <w:r w:rsidR="00B75151">
          <w:rPr>
            <w:rStyle w:val="af7"/>
            <w:rFonts w:ascii="宋体" w:eastAsia="宋体" w:hAnsi="Times New Roman"/>
            <w:b/>
            <w:kern w:val="0"/>
          </w:rPr>
          <w:tab/>
        </w:r>
        <w:r w:rsidR="00B75151">
          <w:rPr>
            <w:rStyle w:val="af7"/>
            <w:rFonts w:ascii="宋体" w:eastAsia="宋体" w:hAnsi="Times New Roman"/>
            <w:b/>
            <w:kern w:val="0"/>
          </w:rPr>
          <w:fldChar w:fldCharType="begin"/>
        </w:r>
        <w:r w:rsidR="00B75151">
          <w:rPr>
            <w:rStyle w:val="af7"/>
            <w:rFonts w:ascii="宋体" w:eastAsia="宋体" w:hAnsi="Times New Roman"/>
            <w:b/>
            <w:kern w:val="0"/>
          </w:rPr>
          <w:instrText xml:space="preserve"> PAGEREF _Toc48122021 \h </w:instrText>
        </w:r>
        <w:r w:rsidR="00B75151">
          <w:rPr>
            <w:rStyle w:val="af7"/>
            <w:rFonts w:ascii="宋体" w:eastAsia="宋体" w:hAnsi="Times New Roman"/>
            <w:b/>
            <w:kern w:val="0"/>
          </w:rPr>
        </w:r>
        <w:r w:rsidR="00B75151">
          <w:rPr>
            <w:rStyle w:val="af7"/>
            <w:rFonts w:ascii="宋体" w:eastAsia="宋体" w:hAnsi="Times New Roman"/>
            <w:b/>
            <w:kern w:val="0"/>
          </w:rPr>
          <w:fldChar w:fldCharType="separate"/>
        </w:r>
        <w:r w:rsidR="00B75151">
          <w:rPr>
            <w:rStyle w:val="af7"/>
            <w:rFonts w:ascii="宋体" w:eastAsia="宋体" w:hAnsi="Times New Roman"/>
            <w:b/>
            <w:kern w:val="0"/>
          </w:rPr>
          <w:t>108</w:t>
        </w:r>
        <w:r w:rsidR="00B75151">
          <w:rPr>
            <w:rStyle w:val="af7"/>
            <w:rFonts w:ascii="宋体" w:eastAsia="宋体" w:hAnsi="Times New Roman"/>
            <w:b/>
            <w:kern w:val="0"/>
          </w:rPr>
          <w:fldChar w:fldCharType="end"/>
        </w:r>
      </w:hyperlink>
    </w:p>
    <w:p w14:paraId="519F9468" w14:textId="77777777" w:rsidR="00791BDD" w:rsidRDefault="002B4315">
      <w:pPr>
        <w:pStyle w:val="10"/>
        <w:adjustRightInd w:val="0"/>
        <w:snapToGrid w:val="0"/>
        <w:rPr>
          <w:rFonts w:asciiTheme="minorHAnsi" w:eastAsiaTheme="minorEastAsia" w:hAnsiTheme="minorHAnsi" w:cstheme="minorBidi"/>
          <w:sz w:val="21"/>
          <w:szCs w:val="22"/>
        </w:rPr>
      </w:pPr>
      <w:hyperlink w:anchor="_Toc48122022" w:history="1">
        <w:r w:rsidR="00B75151">
          <w:rPr>
            <w:rStyle w:val="af7"/>
            <w:rFonts w:ascii="宋体"/>
            <w:b/>
            <w:kern w:val="0"/>
          </w:rPr>
          <w:t>二十一、对基金份额持有人的服务</w:t>
        </w:r>
        <w:r w:rsidR="00B75151">
          <w:rPr>
            <w:rStyle w:val="af7"/>
            <w:rFonts w:ascii="宋体" w:eastAsia="宋体" w:hAnsi="Times New Roman"/>
            <w:b/>
            <w:kern w:val="0"/>
          </w:rPr>
          <w:tab/>
        </w:r>
        <w:r w:rsidR="00B75151">
          <w:rPr>
            <w:rStyle w:val="af7"/>
            <w:rFonts w:ascii="宋体" w:eastAsia="宋体" w:hAnsi="Times New Roman"/>
            <w:b/>
            <w:kern w:val="0"/>
          </w:rPr>
          <w:fldChar w:fldCharType="begin"/>
        </w:r>
        <w:r w:rsidR="00B75151">
          <w:rPr>
            <w:rStyle w:val="af7"/>
            <w:rFonts w:ascii="宋体" w:eastAsia="宋体" w:hAnsi="Times New Roman"/>
            <w:b/>
            <w:kern w:val="0"/>
          </w:rPr>
          <w:instrText xml:space="preserve"> PAGEREF _Toc48122022 \h </w:instrText>
        </w:r>
        <w:r w:rsidR="00B75151">
          <w:rPr>
            <w:rStyle w:val="af7"/>
            <w:rFonts w:ascii="宋体" w:eastAsia="宋体" w:hAnsi="Times New Roman"/>
            <w:b/>
            <w:kern w:val="0"/>
          </w:rPr>
        </w:r>
        <w:r w:rsidR="00B75151">
          <w:rPr>
            <w:rStyle w:val="af7"/>
            <w:rFonts w:ascii="宋体" w:eastAsia="宋体" w:hAnsi="Times New Roman"/>
            <w:b/>
            <w:kern w:val="0"/>
          </w:rPr>
          <w:fldChar w:fldCharType="separate"/>
        </w:r>
        <w:r w:rsidR="00B75151">
          <w:rPr>
            <w:rStyle w:val="af7"/>
            <w:rFonts w:ascii="宋体" w:eastAsia="宋体" w:hAnsi="Times New Roman"/>
            <w:b/>
            <w:kern w:val="0"/>
          </w:rPr>
          <w:t>120</w:t>
        </w:r>
        <w:r w:rsidR="00B75151">
          <w:rPr>
            <w:rStyle w:val="af7"/>
            <w:rFonts w:ascii="宋体" w:eastAsia="宋体" w:hAnsi="Times New Roman"/>
            <w:b/>
            <w:kern w:val="0"/>
          </w:rPr>
          <w:fldChar w:fldCharType="end"/>
        </w:r>
      </w:hyperlink>
    </w:p>
    <w:p w14:paraId="720D3052" w14:textId="77777777" w:rsidR="00791BDD" w:rsidRDefault="002B4315">
      <w:pPr>
        <w:pStyle w:val="10"/>
        <w:adjustRightInd w:val="0"/>
        <w:snapToGrid w:val="0"/>
        <w:rPr>
          <w:rFonts w:asciiTheme="minorHAnsi" w:eastAsiaTheme="minorEastAsia" w:hAnsiTheme="minorHAnsi" w:cstheme="minorBidi"/>
          <w:sz w:val="21"/>
          <w:szCs w:val="22"/>
        </w:rPr>
      </w:pPr>
      <w:hyperlink w:anchor="_Toc48122023" w:history="1">
        <w:r w:rsidR="00B75151">
          <w:rPr>
            <w:rStyle w:val="af7"/>
            <w:rFonts w:ascii="宋体"/>
            <w:b/>
            <w:kern w:val="0"/>
          </w:rPr>
          <w:t>二十二、其他应披露事项</w:t>
        </w:r>
        <w:r w:rsidR="00B75151">
          <w:rPr>
            <w:rStyle w:val="af7"/>
            <w:rFonts w:ascii="宋体" w:eastAsia="宋体" w:hAnsi="Times New Roman"/>
            <w:b/>
            <w:kern w:val="0"/>
          </w:rPr>
          <w:tab/>
        </w:r>
        <w:r w:rsidR="00B75151">
          <w:rPr>
            <w:rStyle w:val="af7"/>
            <w:rFonts w:ascii="宋体" w:eastAsia="宋体" w:hAnsi="Times New Roman"/>
            <w:b/>
            <w:kern w:val="0"/>
          </w:rPr>
          <w:fldChar w:fldCharType="begin"/>
        </w:r>
        <w:r w:rsidR="00B75151">
          <w:rPr>
            <w:rStyle w:val="af7"/>
            <w:rFonts w:ascii="宋体" w:eastAsia="宋体" w:hAnsi="Times New Roman"/>
            <w:b/>
            <w:kern w:val="0"/>
          </w:rPr>
          <w:instrText xml:space="preserve"> PAGEREF _Toc48122023 \h </w:instrText>
        </w:r>
        <w:r w:rsidR="00B75151">
          <w:rPr>
            <w:rStyle w:val="af7"/>
            <w:rFonts w:ascii="宋体" w:eastAsia="宋体" w:hAnsi="Times New Roman"/>
            <w:b/>
            <w:kern w:val="0"/>
          </w:rPr>
        </w:r>
        <w:r w:rsidR="00B75151">
          <w:rPr>
            <w:rStyle w:val="af7"/>
            <w:rFonts w:ascii="宋体" w:eastAsia="宋体" w:hAnsi="Times New Roman"/>
            <w:b/>
            <w:kern w:val="0"/>
          </w:rPr>
          <w:fldChar w:fldCharType="separate"/>
        </w:r>
        <w:r w:rsidR="00B75151">
          <w:rPr>
            <w:rStyle w:val="af7"/>
            <w:rFonts w:ascii="宋体" w:eastAsia="宋体" w:hAnsi="Times New Roman"/>
            <w:b/>
            <w:kern w:val="0"/>
          </w:rPr>
          <w:t>122</w:t>
        </w:r>
        <w:r w:rsidR="00B75151">
          <w:rPr>
            <w:rStyle w:val="af7"/>
            <w:rFonts w:ascii="宋体" w:eastAsia="宋体" w:hAnsi="Times New Roman"/>
            <w:b/>
            <w:kern w:val="0"/>
          </w:rPr>
          <w:fldChar w:fldCharType="end"/>
        </w:r>
      </w:hyperlink>
    </w:p>
    <w:p w14:paraId="7F03B21F" w14:textId="77777777" w:rsidR="00791BDD" w:rsidRDefault="002B4315">
      <w:pPr>
        <w:pStyle w:val="10"/>
        <w:adjustRightInd w:val="0"/>
        <w:snapToGrid w:val="0"/>
        <w:rPr>
          <w:rFonts w:asciiTheme="minorHAnsi" w:eastAsiaTheme="minorEastAsia" w:hAnsiTheme="minorHAnsi" w:cstheme="minorBidi"/>
          <w:sz w:val="21"/>
          <w:szCs w:val="22"/>
        </w:rPr>
      </w:pPr>
      <w:hyperlink w:anchor="_Toc48122024" w:history="1">
        <w:r w:rsidR="00B75151">
          <w:rPr>
            <w:rStyle w:val="af7"/>
            <w:rFonts w:ascii="宋体"/>
            <w:b/>
            <w:kern w:val="0"/>
          </w:rPr>
          <w:t>二十三、招募说明书的存放及查阅方式</w:t>
        </w:r>
        <w:r w:rsidR="00B75151">
          <w:rPr>
            <w:rStyle w:val="af7"/>
            <w:rFonts w:ascii="宋体" w:eastAsia="宋体" w:hAnsi="Times New Roman"/>
            <w:b/>
            <w:kern w:val="0"/>
          </w:rPr>
          <w:tab/>
        </w:r>
        <w:r w:rsidR="00B75151">
          <w:rPr>
            <w:rStyle w:val="af7"/>
            <w:rFonts w:ascii="宋体" w:eastAsia="宋体" w:hAnsi="Times New Roman"/>
            <w:b/>
            <w:kern w:val="0"/>
          </w:rPr>
          <w:fldChar w:fldCharType="begin"/>
        </w:r>
        <w:r w:rsidR="00B75151">
          <w:rPr>
            <w:rStyle w:val="af7"/>
            <w:rFonts w:ascii="宋体" w:eastAsia="宋体" w:hAnsi="Times New Roman"/>
            <w:b/>
            <w:kern w:val="0"/>
          </w:rPr>
          <w:instrText xml:space="preserve"> PAGEREF _Toc48122024 \h </w:instrText>
        </w:r>
        <w:r w:rsidR="00B75151">
          <w:rPr>
            <w:rStyle w:val="af7"/>
            <w:rFonts w:ascii="宋体" w:eastAsia="宋体" w:hAnsi="Times New Roman"/>
            <w:b/>
            <w:kern w:val="0"/>
          </w:rPr>
        </w:r>
        <w:r w:rsidR="00B75151">
          <w:rPr>
            <w:rStyle w:val="af7"/>
            <w:rFonts w:ascii="宋体" w:eastAsia="宋体" w:hAnsi="Times New Roman"/>
            <w:b/>
            <w:kern w:val="0"/>
          </w:rPr>
          <w:fldChar w:fldCharType="separate"/>
        </w:r>
        <w:r w:rsidR="00B75151">
          <w:rPr>
            <w:rStyle w:val="af7"/>
            <w:rFonts w:ascii="宋体" w:eastAsia="宋体" w:hAnsi="Times New Roman"/>
            <w:b/>
            <w:kern w:val="0"/>
          </w:rPr>
          <w:t>123</w:t>
        </w:r>
        <w:r w:rsidR="00B75151">
          <w:rPr>
            <w:rStyle w:val="af7"/>
            <w:rFonts w:ascii="宋体" w:eastAsia="宋体" w:hAnsi="Times New Roman"/>
            <w:b/>
            <w:kern w:val="0"/>
          </w:rPr>
          <w:fldChar w:fldCharType="end"/>
        </w:r>
      </w:hyperlink>
    </w:p>
    <w:p w14:paraId="4BD544AD" w14:textId="77777777" w:rsidR="00791BDD" w:rsidRDefault="002B4315">
      <w:pPr>
        <w:pStyle w:val="10"/>
        <w:adjustRightInd w:val="0"/>
        <w:snapToGrid w:val="0"/>
        <w:rPr>
          <w:rFonts w:asciiTheme="minorHAnsi" w:eastAsiaTheme="minorEastAsia" w:hAnsiTheme="minorHAnsi" w:cstheme="minorBidi"/>
          <w:sz w:val="21"/>
          <w:szCs w:val="22"/>
        </w:rPr>
      </w:pPr>
      <w:hyperlink w:anchor="_Toc48122025" w:history="1">
        <w:r w:rsidR="00B75151">
          <w:rPr>
            <w:rStyle w:val="af7"/>
            <w:rFonts w:ascii="宋体"/>
            <w:b/>
            <w:kern w:val="0"/>
          </w:rPr>
          <w:t>二十四、备查文件</w:t>
        </w:r>
        <w:r w:rsidR="00B75151">
          <w:rPr>
            <w:rStyle w:val="af7"/>
            <w:rFonts w:ascii="宋体" w:eastAsia="宋体" w:hAnsi="Times New Roman"/>
            <w:b/>
            <w:kern w:val="0"/>
          </w:rPr>
          <w:tab/>
        </w:r>
        <w:r w:rsidR="00B75151">
          <w:rPr>
            <w:rStyle w:val="af7"/>
            <w:rFonts w:ascii="宋体" w:eastAsia="宋体" w:hAnsi="Times New Roman"/>
            <w:b/>
            <w:kern w:val="0"/>
          </w:rPr>
          <w:fldChar w:fldCharType="begin"/>
        </w:r>
        <w:r w:rsidR="00B75151">
          <w:rPr>
            <w:rStyle w:val="af7"/>
            <w:rFonts w:ascii="宋体" w:eastAsia="宋体" w:hAnsi="Times New Roman"/>
            <w:b/>
            <w:kern w:val="0"/>
          </w:rPr>
          <w:instrText xml:space="preserve"> PAGEREF _Toc48122025 \h </w:instrText>
        </w:r>
        <w:r w:rsidR="00B75151">
          <w:rPr>
            <w:rStyle w:val="af7"/>
            <w:rFonts w:ascii="宋体" w:eastAsia="宋体" w:hAnsi="Times New Roman"/>
            <w:b/>
            <w:kern w:val="0"/>
          </w:rPr>
        </w:r>
        <w:r w:rsidR="00B75151">
          <w:rPr>
            <w:rStyle w:val="af7"/>
            <w:rFonts w:ascii="宋体" w:eastAsia="宋体" w:hAnsi="Times New Roman"/>
            <w:b/>
            <w:kern w:val="0"/>
          </w:rPr>
          <w:fldChar w:fldCharType="separate"/>
        </w:r>
        <w:r w:rsidR="00B75151">
          <w:rPr>
            <w:rStyle w:val="af7"/>
            <w:rFonts w:ascii="宋体" w:eastAsia="宋体" w:hAnsi="Times New Roman"/>
            <w:b/>
            <w:kern w:val="0"/>
          </w:rPr>
          <w:t>124</w:t>
        </w:r>
        <w:r w:rsidR="00B75151">
          <w:rPr>
            <w:rStyle w:val="af7"/>
            <w:rFonts w:ascii="宋体" w:eastAsia="宋体" w:hAnsi="Times New Roman"/>
            <w:b/>
            <w:kern w:val="0"/>
          </w:rPr>
          <w:fldChar w:fldCharType="end"/>
        </w:r>
      </w:hyperlink>
    </w:p>
    <w:p w14:paraId="4FB86C99" w14:textId="77777777" w:rsidR="00791BDD" w:rsidRDefault="00B75151">
      <w:pPr>
        <w:adjustRightInd w:val="0"/>
        <w:snapToGrid w:val="0"/>
      </w:pPr>
      <w:r>
        <w:fldChar w:fldCharType="end"/>
      </w:r>
    </w:p>
    <w:p w14:paraId="712B1BEC" w14:textId="77777777" w:rsidR="00791BDD" w:rsidRDefault="00B75151">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kern w:val="0"/>
          <w:sz w:val="24"/>
        </w:rPr>
        <w:br w:type="page"/>
      </w:r>
      <w:bookmarkStart w:id="2" w:name="_Toc48122002"/>
      <w:r>
        <w:rPr>
          <w:rFonts w:ascii="宋体" w:hAnsi="宋体" w:hint="eastAsia"/>
          <w:b/>
          <w:kern w:val="0"/>
          <w:sz w:val="30"/>
        </w:rPr>
        <w:lastRenderedPageBreak/>
        <w:t>一、绪言</w:t>
      </w:r>
      <w:bookmarkEnd w:id="1"/>
      <w:bookmarkEnd w:id="2"/>
    </w:p>
    <w:p w14:paraId="1DDB0D9E" w14:textId="77777777" w:rsidR="00791BDD" w:rsidRDefault="00B75151">
      <w:pPr>
        <w:widowControl/>
        <w:adjustRightInd w:val="0"/>
        <w:snapToGrid w:val="0"/>
        <w:spacing w:line="360" w:lineRule="auto"/>
        <w:ind w:firstLineChars="200" w:firstLine="480"/>
        <w:rPr>
          <w:kern w:val="0"/>
          <w:sz w:val="24"/>
        </w:rPr>
      </w:pPr>
      <w:r>
        <w:rPr>
          <w:rFonts w:ascii="宋体" w:hAnsi="宋体"/>
          <w:kern w:val="0"/>
          <w:sz w:val="24"/>
        </w:rPr>
        <w:t>《交银施罗德智远量化选股股票型发起式证券投资基金招募说明书》（以下简称“本招募说明书”）依据《中华人民共和国证券投资基金法》</w:t>
      </w:r>
      <w:r>
        <w:rPr>
          <w:rFonts w:ascii="宋体" w:hAnsi="宋体" w:hint="eastAsia"/>
          <w:kern w:val="0"/>
          <w:sz w:val="24"/>
        </w:rPr>
        <w:t>（以下简称“《基金法》”）</w:t>
      </w:r>
      <w:r>
        <w:rPr>
          <w:rFonts w:ascii="宋体" w:hAnsi="宋体"/>
          <w:kern w:val="0"/>
          <w:sz w:val="24"/>
        </w:rPr>
        <w:t>、《</w:t>
      </w:r>
      <w:r>
        <w:rPr>
          <w:rFonts w:ascii="宋体" w:hAnsi="宋体" w:hint="eastAsia"/>
          <w:kern w:val="0"/>
          <w:sz w:val="24"/>
        </w:rPr>
        <w:t>公开募集</w:t>
      </w:r>
      <w:r>
        <w:rPr>
          <w:rFonts w:ascii="宋体" w:hAnsi="宋体"/>
          <w:kern w:val="0"/>
          <w:sz w:val="24"/>
        </w:rPr>
        <w:t>证券投资基金运作管理办法》</w:t>
      </w:r>
      <w:r>
        <w:rPr>
          <w:rFonts w:ascii="宋体" w:hAnsi="宋体" w:hint="eastAsia"/>
          <w:kern w:val="0"/>
          <w:sz w:val="24"/>
        </w:rPr>
        <w:t>（以下简称“《运作办法》”）</w:t>
      </w:r>
      <w:r>
        <w:rPr>
          <w:rFonts w:ascii="宋体" w:hAnsi="宋体"/>
          <w:kern w:val="0"/>
          <w:sz w:val="24"/>
        </w:rPr>
        <w:t>、《公开募集证券投资基金销售机构监督管理办法》</w:t>
      </w:r>
      <w:r>
        <w:rPr>
          <w:rFonts w:ascii="宋体" w:hAnsi="宋体" w:hint="eastAsia"/>
          <w:kern w:val="0"/>
          <w:sz w:val="24"/>
        </w:rPr>
        <w:t>（以下简称“《销售办法》”）</w:t>
      </w:r>
      <w:r>
        <w:rPr>
          <w:rFonts w:ascii="宋体" w:hAnsi="宋体"/>
          <w:kern w:val="0"/>
          <w:sz w:val="24"/>
        </w:rPr>
        <w:t>、《</w:t>
      </w:r>
      <w:r>
        <w:rPr>
          <w:rFonts w:ascii="宋体" w:hAnsi="宋体" w:hint="eastAsia"/>
          <w:kern w:val="0"/>
          <w:sz w:val="24"/>
        </w:rPr>
        <w:t>公开募集</w:t>
      </w:r>
      <w:r>
        <w:rPr>
          <w:rFonts w:ascii="宋体" w:hAnsi="宋体"/>
          <w:kern w:val="0"/>
          <w:sz w:val="24"/>
        </w:rPr>
        <w:t>证券投资基金信息披露管理办法》</w:t>
      </w:r>
      <w:r>
        <w:rPr>
          <w:rFonts w:ascii="宋体" w:hAnsi="宋体" w:hint="eastAsia"/>
          <w:kern w:val="0"/>
          <w:sz w:val="24"/>
        </w:rPr>
        <w:t>（以下简称“《信息披露办法》”）、《公开募集开放式证券投资基金流动性风险管理规定》（以下简称“《流动性</w:t>
      </w:r>
      <w:r>
        <w:rPr>
          <w:rFonts w:hAnsi="宋体" w:hint="eastAsia"/>
          <w:kern w:val="0"/>
          <w:sz w:val="24"/>
        </w:rPr>
        <w:t>风险管理</w:t>
      </w:r>
      <w:r>
        <w:rPr>
          <w:rFonts w:ascii="宋体" w:hAnsi="宋体" w:hint="eastAsia"/>
          <w:kern w:val="0"/>
          <w:sz w:val="24"/>
        </w:rPr>
        <w:t>规定》”）</w:t>
      </w:r>
      <w:r>
        <w:rPr>
          <w:rFonts w:ascii="宋体" w:hAnsi="宋体"/>
          <w:kern w:val="0"/>
          <w:sz w:val="24"/>
        </w:rPr>
        <w:t>和其他相关法律法规的规定以及《交银施罗德智远量化选股股票型发起式证券投资基金基金合同》（以下简称“基金合同”</w:t>
      </w:r>
      <w:r>
        <w:rPr>
          <w:rFonts w:ascii="宋体" w:hAnsi="宋体" w:hint="eastAsia"/>
          <w:kern w:val="0"/>
          <w:sz w:val="24"/>
        </w:rPr>
        <w:t>或“《基金合同》”</w:t>
      </w:r>
      <w:r>
        <w:rPr>
          <w:rFonts w:ascii="宋体" w:hAnsi="宋体"/>
          <w:kern w:val="0"/>
          <w:sz w:val="24"/>
        </w:rPr>
        <w:t>）</w:t>
      </w:r>
      <w:r>
        <w:rPr>
          <w:rFonts w:hAnsi="宋体"/>
          <w:kern w:val="0"/>
          <w:sz w:val="24"/>
        </w:rPr>
        <w:t>编写。</w:t>
      </w:r>
    </w:p>
    <w:p w14:paraId="77A63AFD" w14:textId="77777777" w:rsidR="00791BDD" w:rsidRDefault="00B75151">
      <w:pPr>
        <w:widowControl/>
        <w:adjustRightInd w:val="0"/>
        <w:snapToGrid w:val="0"/>
        <w:spacing w:line="360" w:lineRule="auto"/>
        <w:ind w:firstLineChars="200" w:firstLine="480"/>
        <w:rPr>
          <w:kern w:val="0"/>
          <w:sz w:val="24"/>
        </w:rPr>
      </w:pPr>
      <w:r>
        <w:rPr>
          <w:rFonts w:hAnsi="宋体"/>
          <w:kern w:val="0"/>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Pr>
          <w:rFonts w:ascii="宋体" w:hAnsi="宋体" w:hint="eastAsia"/>
          <w:kern w:val="0"/>
          <w:sz w:val="24"/>
        </w:rPr>
        <w:t>，</w:t>
      </w:r>
      <w:r>
        <w:rPr>
          <w:rFonts w:hAnsi="宋体"/>
          <w:kern w:val="0"/>
          <w:sz w:val="24"/>
        </w:rPr>
        <w:t>或对本招募说明书作任何解释或者说明。</w:t>
      </w:r>
    </w:p>
    <w:p w14:paraId="3F31FEE3" w14:textId="77777777" w:rsidR="00791BDD" w:rsidRDefault="00B75151">
      <w:pPr>
        <w:widowControl/>
        <w:adjustRightInd w:val="0"/>
        <w:snapToGrid w:val="0"/>
        <w:spacing w:line="360" w:lineRule="auto"/>
        <w:ind w:firstLineChars="200" w:firstLine="480"/>
        <w:rPr>
          <w:rFonts w:ascii="宋体" w:hAnsi="宋体"/>
          <w:b/>
          <w:kern w:val="0"/>
          <w:sz w:val="24"/>
        </w:rPr>
      </w:pPr>
      <w:r>
        <w:rPr>
          <w:rFonts w:hAnsi="宋体"/>
          <w:kern w:val="0"/>
          <w:sz w:val="24"/>
        </w:rPr>
        <w:t>本招募说明书根据本基金的基金合同编写，并经中国证监会</w:t>
      </w:r>
      <w:r>
        <w:rPr>
          <w:rFonts w:hAnsi="宋体" w:hint="eastAsia"/>
          <w:kern w:val="0"/>
          <w:sz w:val="24"/>
        </w:rPr>
        <w:t>注册</w:t>
      </w:r>
      <w:r>
        <w:rPr>
          <w:rFonts w:hAnsi="宋体"/>
          <w:kern w:val="0"/>
          <w:sz w:val="24"/>
        </w:rPr>
        <w:t>。基金合同是约定基金</w:t>
      </w:r>
      <w:r>
        <w:rPr>
          <w:rFonts w:hAnsi="宋体" w:hint="eastAsia"/>
          <w:kern w:val="0"/>
          <w:sz w:val="24"/>
        </w:rPr>
        <w:t>合同</w:t>
      </w:r>
      <w:r>
        <w:rPr>
          <w:rFonts w:hAnsi="宋体"/>
          <w:kern w:val="0"/>
          <w:sz w:val="24"/>
        </w:rPr>
        <w:t>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7C0C116B" w14:textId="77777777" w:rsidR="00791BDD" w:rsidRDefault="00B75151">
      <w:pPr>
        <w:widowControl/>
        <w:adjustRightInd w:val="0"/>
        <w:snapToGrid w:val="0"/>
        <w:spacing w:beforeLines="50" w:before="143" w:afterLines="50" w:after="143" w:line="360" w:lineRule="auto"/>
        <w:jc w:val="center"/>
        <w:outlineLvl w:val="0"/>
        <w:rPr>
          <w:rFonts w:ascii="宋体" w:hAnsi="宋体"/>
          <w:b/>
          <w:kern w:val="0"/>
          <w:sz w:val="30"/>
        </w:rPr>
      </w:pPr>
      <w:bookmarkStart w:id="3" w:name="_Toc109537380"/>
      <w:r>
        <w:rPr>
          <w:rFonts w:ascii="宋体" w:hAnsi="宋体"/>
          <w:b/>
          <w:kern w:val="0"/>
          <w:sz w:val="30"/>
        </w:rPr>
        <w:br w:type="page"/>
      </w:r>
      <w:bookmarkStart w:id="4" w:name="_Toc48122003"/>
      <w:r>
        <w:rPr>
          <w:rFonts w:ascii="宋体" w:hAnsi="宋体" w:hint="eastAsia"/>
          <w:b/>
          <w:kern w:val="0"/>
          <w:sz w:val="30"/>
        </w:rPr>
        <w:lastRenderedPageBreak/>
        <w:t>二、释义</w:t>
      </w:r>
      <w:bookmarkEnd w:id="3"/>
      <w:bookmarkEnd w:id="4"/>
    </w:p>
    <w:p w14:paraId="76053698" w14:textId="77777777" w:rsidR="00791BDD" w:rsidRDefault="00B75151">
      <w:pPr>
        <w:adjustRightInd w:val="0"/>
        <w:snapToGrid w:val="0"/>
        <w:spacing w:line="360" w:lineRule="auto"/>
        <w:ind w:firstLineChars="200" w:firstLine="480"/>
        <w:rPr>
          <w:spacing w:val="8"/>
          <w:sz w:val="24"/>
        </w:rPr>
      </w:pPr>
      <w:r>
        <w:rPr>
          <w:rFonts w:hAnsi="宋体"/>
          <w:sz w:val="24"/>
        </w:rPr>
        <w:t>在本招募说明书中，除非文意另有所指，下列词语或简称具有如下含义：</w:t>
      </w:r>
    </w:p>
    <w:p w14:paraId="410C67D2" w14:textId="77777777" w:rsidR="00791BDD" w:rsidRDefault="00B75151">
      <w:pPr>
        <w:adjustRightInd w:val="0"/>
        <w:snapToGrid w:val="0"/>
        <w:spacing w:line="360" w:lineRule="auto"/>
        <w:ind w:firstLineChars="200" w:firstLine="480"/>
        <w:rPr>
          <w:bCs/>
          <w:sz w:val="24"/>
        </w:rPr>
      </w:pPr>
      <w:bookmarkStart w:id="5" w:name="_Hlk49340113"/>
      <w:r>
        <w:rPr>
          <w:rFonts w:hint="eastAsia"/>
          <w:bCs/>
          <w:sz w:val="24"/>
        </w:rPr>
        <w:t>1</w:t>
      </w:r>
      <w:r>
        <w:rPr>
          <w:rFonts w:hint="eastAsia"/>
          <w:bCs/>
          <w:sz w:val="24"/>
        </w:rPr>
        <w:t>、基金或本基金：指交银施罗德智远量化选股股票型发起式证券投资基金</w:t>
      </w:r>
    </w:p>
    <w:p w14:paraId="13F7ADD9" w14:textId="77777777" w:rsidR="00791BDD" w:rsidRDefault="00B75151">
      <w:pPr>
        <w:adjustRightInd w:val="0"/>
        <w:snapToGrid w:val="0"/>
        <w:spacing w:line="360" w:lineRule="auto"/>
        <w:ind w:firstLineChars="200" w:firstLine="480"/>
        <w:rPr>
          <w:bCs/>
          <w:sz w:val="24"/>
        </w:rPr>
      </w:pPr>
      <w:r>
        <w:rPr>
          <w:rFonts w:hint="eastAsia"/>
          <w:bCs/>
          <w:sz w:val="24"/>
        </w:rPr>
        <w:t>2</w:t>
      </w:r>
      <w:r>
        <w:rPr>
          <w:rFonts w:hint="eastAsia"/>
          <w:bCs/>
          <w:sz w:val="24"/>
        </w:rPr>
        <w:t>、基金管理人：指交银施罗德基金管理有限公司</w:t>
      </w:r>
    </w:p>
    <w:p w14:paraId="1FD5070B" w14:textId="77777777" w:rsidR="00791BDD" w:rsidRDefault="00B75151">
      <w:pPr>
        <w:adjustRightInd w:val="0"/>
        <w:snapToGrid w:val="0"/>
        <w:spacing w:line="360" w:lineRule="auto"/>
        <w:ind w:firstLineChars="200" w:firstLine="480"/>
        <w:rPr>
          <w:bCs/>
          <w:sz w:val="24"/>
        </w:rPr>
      </w:pPr>
      <w:r>
        <w:rPr>
          <w:rFonts w:hint="eastAsia"/>
          <w:bCs/>
          <w:sz w:val="24"/>
        </w:rPr>
        <w:t>3</w:t>
      </w:r>
      <w:r>
        <w:rPr>
          <w:rFonts w:hint="eastAsia"/>
          <w:bCs/>
          <w:sz w:val="24"/>
        </w:rPr>
        <w:t>、基金托管人：指中国银行股份有限公司</w:t>
      </w:r>
    </w:p>
    <w:p w14:paraId="4A7C0717" w14:textId="77777777" w:rsidR="00791BDD" w:rsidRDefault="00B75151">
      <w:pPr>
        <w:adjustRightInd w:val="0"/>
        <w:snapToGrid w:val="0"/>
        <w:spacing w:line="360" w:lineRule="auto"/>
        <w:ind w:firstLineChars="200" w:firstLine="480"/>
        <w:rPr>
          <w:bCs/>
          <w:sz w:val="24"/>
        </w:rPr>
      </w:pPr>
      <w:r>
        <w:rPr>
          <w:rFonts w:hint="eastAsia"/>
          <w:bCs/>
          <w:sz w:val="24"/>
        </w:rPr>
        <w:t>4</w:t>
      </w:r>
      <w:r>
        <w:rPr>
          <w:rFonts w:hint="eastAsia"/>
          <w:bCs/>
          <w:sz w:val="24"/>
        </w:rPr>
        <w:t>、基金合同、《基金合同》：指《交银施罗德智远量化选股股票型发起式证券投资基金基金合同》及对基金合同的任何有效修订和补充</w:t>
      </w:r>
    </w:p>
    <w:p w14:paraId="1328CBE2" w14:textId="77777777" w:rsidR="00791BDD" w:rsidRDefault="00B75151">
      <w:pPr>
        <w:adjustRightInd w:val="0"/>
        <w:snapToGrid w:val="0"/>
        <w:spacing w:line="360" w:lineRule="auto"/>
        <w:ind w:firstLineChars="200" w:firstLine="480"/>
        <w:rPr>
          <w:bCs/>
          <w:sz w:val="24"/>
        </w:rPr>
      </w:pPr>
      <w:r>
        <w:rPr>
          <w:rFonts w:hint="eastAsia"/>
          <w:bCs/>
          <w:sz w:val="24"/>
        </w:rPr>
        <w:t>5</w:t>
      </w:r>
      <w:r>
        <w:rPr>
          <w:rFonts w:hint="eastAsia"/>
          <w:bCs/>
          <w:sz w:val="24"/>
        </w:rPr>
        <w:t>、托管协议：指基金管理人与基金托管人就本基金签订之《交银施罗德智远量化选股股票型发起式证券投资基金托管协议》及对该托管协议的任何有效修订和补充</w:t>
      </w:r>
    </w:p>
    <w:p w14:paraId="1F225E5E" w14:textId="77777777" w:rsidR="00791BDD" w:rsidRDefault="00B75151">
      <w:pPr>
        <w:adjustRightInd w:val="0"/>
        <w:snapToGrid w:val="0"/>
        <w:spacing w:line="360" w:lineRule="auto"/>
        <w:ind w:firstLineChars="200" w:firstLine="480"/>
        <w:rPr>
          <w:bCs/>
          <w:sz w:val="24"/>
        </w:rPr>
      </w:pPr>
      <w:r>
        <w:rPr>
          <w:rFonts w:hint="eastAsia"/>
          <w:bCs/>
          <w:sz w:val="24"/>
        </w:rPr>
        <w:t>6</w:t>
      </w:r>
      <w:r>
        <w:rPr>
          <w:rFonts w:hint="eastAsia"/>
          <w:bCs/>
          <w:sz w:val="24"/>
        </w:rPr>
        <w:t>、招募说明书、《招募说明书》或本招募说明书：指《交银施罗德智远量化选股股票型发起式证券投资基金招募说明书》及其更新</w:t>
      </w:r>
    </w:p>
    <w:p w14:paraId="048AF7A5" w14:textId="77777777" w:rsidR="00791BDD" w:rsidRDefault="00B75151">
      <w:pPr>
        <w:adjustRightInd w:val="0"/>
        <w:snapToGrid w:val="0"/>
        <w:spacing w:line="360" w:lineRule="auto"/>
        <w:ind w:firstLineChars="200" w:firstLine="480"/>
        <w:rPr>
          <w:bCs/>
          <w:sz w:val="24"/>
        </w:rPr>
      </w:pPr>
      <w:r>
        <w:rPr>
          <w:rFonts w:hint="eastAsia"/>
          <w:bCs/>
          <w:sz w:val="24"/>
        </w:rPr>
        <w:t>7</w:t>
      </w:r>
      <w:r>
        <w:rPr>
          <w:rFonts w:hint="eastAsia"/>
          <w:bCs/>
          <w:sz w:val="24"/>
        </w:rPr>
        <w:t>、基金产品资料概要：指《交银施罗德智远量化选股股票型发起式证券投资基金基金产品资料概要》及其更新</w:t>
      </w:r>
    </w:p>
    <w:p w14:paraId="624B30F5" w14:textId="77777777" w:rsidR="00791BDD" w:rsidRDefault="00B75151">
      <w:pPr>
        <w:adjustRightInd w:val="0"/>
        <w:snapToGrid w:val="0"/>
        <w:spacing w:line="360" w:lineRule="auto"/>
        <w:ind w:firstLineChars="200" w:firstLine="480"/>
        <w:rPr>
          <w:bCs/>
          <w:sz w:val="24"/>
        </w:rPr>
      </w:pPr>
      <w:r>
        <w:rPr>
          <w:rFonts w:hint="eastAsia"/>
          <w:bCs/>
          <w:sz w:val="24"/>
        </w:rPr>
        <w:t>8</w:t>
      </w:r>
      <w:r>
        <w:rPr>
          <w:rFonts w:hint="eastAsia"/>
          <w:bCs/>
          <w:sz w:val="24"/>
        </w:rPr>
        <w:t>、基金份额发售公告：指《交银施罗德智远量化选股股票型发起式证券投资基金基金份额发售公告》</w:t>
      </w:r>
    </w:p>
    <w:p w14:paraId="79A213CC" w14:textId="77777777" w:rsidR="00791BDD" w:rsidRDefault="00B75151">
      <w:pPr>
        <w:adjustRightInd w:val="0"/>
        <w:snapToGrid w:val="0"/>
        <w:spacing w:line="360" w:lineRule="auto"/>
        <w:ind w:firstLineChars="200" w:firstLine="480"/>
        <w:rPr>
          <w:bCs/>
          <w:sz w:val="24"/>
        </w:rPr>
      </w:pPr>
      <w:r>
        <w:rPr>
          <w:bCs/>
          <w:sz w:val="24"/>
        </w:rPr>
        <w:t>9</w:t>
      </w:r>
      <w:r>
        <w:rPr>
          <w:rFonts w:hint="eastAsia"/>
          <w:bCs/>
          <w:sz w:val="24"/>
        </w:rPr>
        <w:t>、法律法规：指中国现行有效并公布实施的法律、行政法规、规范性文件、司法解释、行政规章以及其他对基金合同当事人有约束力的决定、决议、通知等</w:t>
      </w:r>
    </w:p>
    <w:p w14:paraId="59DE6F6B" w14:textId="77777777" w:rsidR="00791BDD" w:rsidRDefault="00B75151">
      <w:pPr>
        <w:adjustRightInd w:val="0"/>
        <w:snapToGrid w:val="0"/>
        <w:spacing w:line="360" w:lineRule="auto"/>
        <w:ind w:firstLineChars="200" w:firstLine="480"/>
        <w:rPr>
          <w:bCs/>
          <w:sz w:val="24"/>
        </w:rPr>
      </w:pPr>
      <w:r>
        <w:rPr>
          <w:bCs/>
          <w:sz w:val="24"/>
        </w:rPr>
        <w:t>10</w:t>
      </w:r>
      <w:r>
        <w:rPr>
          <w:rFonts w:hint="eastAsia"/>
          <w:bCs/>
          <w:sz w:val="24"/>
        </w:rPr>
        <w:t>、《基金法》：指《中华人民共和国证券投资基金法》及颁布机关对其不时做出的修订</w:t>
      </w:r>
    </w:p>
    <w:p w14:paraId="456554E1" w14:textId="77777777" w:rsidR="00791BDD" w:rsidRDefault="00B75151">
      <w:pPr>
        <w:adjustRightInd w:val="0"/>
        <w:snapToGrid w:val="0"/>
        <w:spacing w:line="360" w:lineRule="auto"/>
        <w:ind w:firstLineChars="200" w:firstLine="480"/>
        <w:rPr>
          <w:bCs/>
          <w:sz w:val="24"/>
        </w:rPr>
      </w:pPr>
      <w:r>
        <w:rPr>
          <w:rFonts w:hint="eastAsia"/>
          <w:bCs/>
          <w:sz w:val="24"/>
        </w:rPr>
        <w:t>1</w:t>
      </w:r>
      <w:r>
        <w:rPr>
          <w:bCs/>
          <w:sz w:val="24"/>
        </w:rPr>
        <w:t>1</w:t>
      </w:r>
      <w:r>
        <w:rPr>
          <w:rFonts w:hint="eastAsia"/>
          <w:bCs/>
          <w:sz w:val="24"/>
        </w:rPr>
        <w:t>、《销售办法》：指《公开募集证券投资基金销售机构监督管理办法》及颁布机关对其不时做出的修订</w:t>
      </w:r>
    </w:p>
    <w:p w14:paraId="5B7622FD" w14:textId="77777777" w:rsidR="00791BDD" w:rsidRDefault="00B75151">
      <w:pPr>
        <w:adjustRightInd w:val="0"/>
        <w:snapToGrid w:val="0"/>
        <w:spacing w:line="360" w:lineRule="auto"/>
        <w:ind w:firstLineChars="200" w:firstLine="480"/>
        <w:rPr>
          <w:bCs/>
          <w:sz w:val="24"/>
        </w:rPr>
      </w:pPr>
      <w:r>
        <w:rPr>
          <w:rFonts w:hint="eastAsia"/>
          <w:bCs/>
          <w:sz w:val="24"/>
        </w:rPr>
        <w:t>1</w:t>
      </w:r>
      <w:r>
        <w:rPr>
          <w:bCs/>
          <w:sz w:val="24"/>
        </w:rPr>
        <w:t>2</w:t>
      </w:r>
      <w:r>
        <w:rPr>
          <w:rFonts w:hint="eastAsia"/>
          <w:bCs/>
          <w:sz w:val="24"/>
        </w:rPr>
        <w:t>、《信息披露办法》：指《公开募集证券投资基金信息披露管理办法》及颁布机关对其不时做出的修订</w:t>
      </w:r>
    </w:p>
    <w:p w14:paraId="5E292949" w14:textId="77777777" w:rsidR="00791BDD" w:rsidRDefault="00B75151">
      <w:pPr>
        <w:adjustRightInd w:val="0"/>
        <w:snapToGrid w:val="0"/>
        <w:spacing w:line="360" w:lineRule="auto"/>
        <w:ind w:firstLineChars="200" w:firstLine="480"/>
        <w:rPr>
          <w:bCs/>
          <w:sz w:val="24"/>
        </w:rPr>
      </w:pPr>
      <w:r>
        <w:rPr>
          <w:rFonts w:hint="eastAsia"/>
          <w:bCs/>
          <w:sz w:val="24"/>
        </w:rPr>
        <w:t>1</w:t>
      </w:r>
      <w:r>
        <w:rPr>
          <w:bCs/>
          <w:sz w:val="24"/>
        </w:rPr>
        <w:t>3</w:t>
      </w:r>
      <w:r>
        <w:rPr>
          <w:rFonts w:hint="eastAsia"/>
          <w:bCs/>
          <w:sz w:val="24"/>
        </w:rPr>
        <w:t>、《运作办法》：指《公开募集证券投资基金运作管理办法》及颁布机关对其不时做出的修订</w:t>
      </w:r>
    </w:p>
    <w:p w14:paraId="6C21CC81" w14:textId="77777777" w:rsidR="00791BDD" w:rsidRDefault="00B75151">
      <w:pPr>
        <w:adjustRightInd w:val="0"/>
        <w:snapToGrid w:val="0"/>
        <w:spacing w:line="360" w:lineRule="auto"/>
        <w:ind w:firstLineChars="200" w:firstLine="480"/>
        <w:rPr>
          <w:bCs/>
          <w:sz w:val="24"/>
        </w:rPr>
      </w:pPr>
      <w:r>
        <w:rPr>
          <w:rFonts w:hint="eastAsia"/>
          <w:bCs/>
          <w:sz w:val="24"/>
        </w:rPr>
        <w:t>1</w:t>
      </w:r>
      <w:r>
        <w:rPr>
          <w:bCs/>
          <w:sz w:val="24"/>
        </w:rPr>
        <w:t>4</w:t>
      </w:r>
      <w:r>
        <w:rPr>
          <w:rFonts w:hint="eastAsia"/>
          <w:bCs/>
          <w:sz w:val="24"/>
        </w:rPr>
        <w:t>、《流动性风险管理规定》：指《公开募集开放式证券投资基金流动性风险</w:t>
      </w:r>
      <w:r>
        <w:rPr>
          <w:rFonts w:hint="eastAsia"/>
          <w:bCs/>
          <w:sz w:val="24"/>
        </w:rPr>
        <w:lastRenderedPageBreak/>
        <w:t>管理规定》及颁布机关对其不时做出的修订</w:t>
      </w:r>
    </w:p>
    <w:p w14:paraId="67AF5BC9" w14:textId="77777777" w:rsidR="00791BDD" w:rsidRDefault="00B75151">
      <w:pPr>
        <w:adjustRightInd w:val="0"/>
        <w:snapToGrid w:val="0"/>
        <w:spacing w:line="360" w:lineRule="auto"/>
        <w:ind w:firstLineChars="200" w:firstLine="480"/>
        <w:rPr>
          <w:bCs/>
          <w:sz w:val="24"/>
        </w:rPr>
      </w:pPr>
      <w:r>
        <w:rPr>
          <w:rFonts w:hint="eastAsia"/>
          <w:bCs/>
          <w:sz w:val="24"/>
        </w:rPr>
        <w:t>1</w:t>
      </w:r>
      <w:r>
        <w:rPr>
          <w:bCs/>
          <w:sz w:val="24"/>
        </w:rPr>
        <w:t>5</w:t>
      </w:r>
      <w:r>
        <w:rPr>
          <w:rFonts w:hint="eastAsia"/>
          <w:bCs/>
          <w:sz w:val="24"/>
        </w:rPr>
        <w:t>、中国证监会：指中国证券监督管理委员会</w:t>
      </w:r>
    </w:p>
    <w:p w14:paraId="4D610FA7" w14:textId="77777777" w:rsidR="00791BDD" w:rsidRDefault="00B75151">
      <w:pPr>
        <w:adjustRightInd w:val="0"/>
        <w:snapToGrid w:val="0"/>
        <w:spacing w:line="360" w:lineRule="auto"/>
        <w:ind w:firstLineChars="200" w:firstLine="480"/>
        <w:rPr>
          <w:bCs/>
          <w:sz w:val="24"/>
        </w:rPr>
      </w:pPr>
      <w:r>
        <w:rPr>
          <w:rFonts w:hint="eastAsia"/>
          <w:bCs/>
          <w:sz w:val="24"/>
        </w:rPr>
        <w:t>1</w:t>
      </w:r>
      <w:r>
        <w:rPr>
          <w:bCs/>
          <w:sz w:val="24"/>
        </w:rPr>
        <w:t>6</w:t>
      </w:r>
      <w:r>
        <w:rPr>
          <w:rFonts w:hint="eastAsia"/>
          <w:bCs/>
          <w:sz w:val="24"/>
        </w:rPr>
        <w:t>、银行业监督管理机构：指中国人民银行和</w:t>
      </w:r>
      <w:r>
        <w:rPr>
          <w:rFonts w:hint="eastAsia"/>
          <w:bCs/>
          <w:sz w:val="24"/>
        </w:rPr>
        <w:t>/</w:t>
      </w:r>
      <w:r>
        <w:rPr>
          <w:rFonts w:hint="eastAsia"/>
          <w:bCs/>
          <w:sz w:val="24"/>
        </w:rPr>
        <w:t>或国家金融监督管理总局</w:t>
      </w:r>
    </w:p>
    <w:p w14:paraId="1FA24725" w14:textId="77777777" w:rsidR="00791BDD" w:rsidRDefault="00B75151">
      <w:pPr>
        <w:adjustRightInd w:val="0"/>
        <w:snapToGrid w:val="0"/>
        <w:spacing w:line="360" w:lineRule="auto"/>
        <w:ind w:firstLineChars="200" w:firstLine="480"/>
        <w:rPr>
          <w:bCs/>
          <w:sz w:val="24"/>
        </w:rPr>
      </w:pPr>
      <w:r>
        <w:rPr>
          <w:rFonts w:hint="eastAsia"/>
          <w:bCs/>
          <w:sz w:val="24"/>
        </w:rPr>
        <w:t>1</w:t>
      </w:r>
      <w:r>
        <w:rPr>
          <w:bCs/>
          <w:sz w:val="24"/>
        </w:rPr>
        <w:t>7</w:t>
      </w:r>
      <w:r>
        <w:rPr>
          <w:rFonts w:hint="eastAsia"/>
          <w:bCs/>
          <w:sz w:val="24"/>
        </w:rPr>
        <w:t>、基金合同当事人：指受基金合同约束，根据基金合同享有权利并承担义务的法律主体，包括基金管理人、基金托管人和基金份额持有人</w:t>
      </w:r>
    </w:p>
    <w:p w14:paraId="2F90293D" w14:textId="77777777" w:rsidR="00791BDD" w:rsidRDefault="00B75151">
      <w:pPr>
        <w:adjustRightInd w:val="0"/>
        <w:snapToGrid w:val="0"/>
        <w:spacing w:line="360" w:lineRule="auto"/>
        <w:ind w:firstLineChars="200" w:firstLine="480"/>
        <w:rPr>
          <w:bCs/>
          <w:sz w:val="24"/>
        </w:rPr>
      </w:pPr>
      <w:r>
        <w:rPr>
          <w:rFonts w:hint="eastAsia"/>
          <w:bCs/>
          <w:sz w:val="24"/>
        </w:rPr>
        <w:t>1</w:t>
      </w:r>
      <w:r>
        <w:rPr>
          <w:bCs/>
          <w:sz w:val="24"/>
        </w:rPr>
        <w:t>8</w:t>
      </w:r>
      <w:r>
        <w:rPr>
          <w:rFonts w:hint="eastAsia"/>
          <w:bCs/>
          <w:sz w:val="24"/>
        </w:rPr>
        <w:t>、个人投资者：指依据有关法律法规规定可投资于证券投资基金的自然人</w:t>
      </w:r>
    </w:p>
    <w:p w14:paraId="488AD7FC" w14:textId="77777777" w:rsidR="00791BDD" w:rsidRDefault="00B75151">
      <w:pPr>
        <w:adjustRightInd w:val="0"/>
        <w:snapToGrid w:val="0"/>
        <w:spacing w:line="360" w:lineRule="auto"/>
        <w:ind w:firstLineChars="200" w:firstLine="480"/>
        <w:rPr>
          <w:bCs/>
          <w:sz w:val="24"/>
        </w:rPr>
      </w:pPr>
      <w:r>
        <w:rPr>
          <w:rFonts w:hint="eastAsia"/>
          <w:bCs/>
          <w:sz w:val="24"/>
        </w:rPr>
        <w:t>1</w:t>
      </w:r>
      <w:r>
        <w:rPr>
          <w:bCs/>
          <w:sz w:val="24"/>
        </w:rPr>
        <w:t>9</w:t>
      </w:r>
      <w:r>
        <w:rPr>
          <w:rFonts w:hint="eastAsia"/>
          <w:bCs/>
          <w:sz w:val="24"/>
        </w:rPr>
        <w:t>、机构投资者：指依法可以投资证券投资基金的、在中华人民共和国境内合法登记并存续或经有关政府部门批准设立并存续的企业法人、事业法人、社会团体或其他组织</w:t>
      </w:r>
    </w:p>
    <w:p w14:paraId="118CBBB0" w14:textId="77777777" w:rsidR="00791BDD" w:rsidRDefault="00B75151">
      <w:pPr>
        <w:adjustRightInd w:val="0"/>
        <w:snapToGrid w:val="0"/>
        <w:spacing w:line="360" w:lineRule="auto"/>
        <w:ind w:firstLineChars="200" w:firstLine="480"/>
        <w:rPr>
          <w:bCs/>
          <w:sz w:val="24"/>
        </w:rPr>
      </w:pPr>
      <w:r>
        <w:rPr>
          <w:bCs/>
          <w:sz w:val="24"/>
        </w:rPr>
        <w:t>20</w:t>
      </w:r>
      <w:r>
        <w:rPr>
          <w:rFonts w:hint="eastAsia"/>
          <w:bCs/>
          <w:sz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5F08F9F2" w14:textId="77777777" w:rsidR="00791BDD" w:rsidRDefault="00B75151">
      <w:pPr>
        <w:adjustRightInd w:val="0"/>
        <w:snapToGrid w:val="0"/>
        <w:spacing w:line="360" w:lineRule="auto"/>
        <w:ind w:firstLineChars="200" w:firstLine="480"/>
        <w:rPr>
          <w:bCs/>
          <w:sz w:val="24"/>
        </w:rPr>
      </w:pPr>
      <w:r>
        <w:rPr>
          <w:rFonts w:hint="eastAsia"/>
          <w:bCs/>
          <w:sz w:val="24"/>
        </w:rPr>
        <w:t>2</w:t>
      </w:r>
      <w:r>
        <w:rPr>
          <w:bCs/>
          <w:sz w:val="24"/>
        </w:rPr>
        <w:t>1</w:t>
      </w:r>
      <w:r>
        <w:rPr>
          <w:rFonts w:hint="eastAsia"/>
          <w:bCs/>
          <w:sz w:val="24"/>
        </w:rPr>
        <w:t>、投资人、投资者：指个人投资者、机构投资者、合格境外投资者、发起资金提供方以及法律法规或中国证监会允许购买证券投资基金的其他投资人的合称</w:t>
      </w:r>
    </w:p>
    <w:p w14:paraId="76699CCA" w14:textId="77777777" w:rsidR="00791BDD" w:rsidRDefault="00B75151">
      <w:pPr>
        <w:adjustRightInd w:val="0"/>
        <w:snapToGrid w:val="0"/>
        <w:spacing w:line="360" w:lineRule="auto"/>
        <w:ind w:firstLineChars="200" w:firstLine="480"/>
        <w:rPr>
          <w:bCs/>
          <w:sz w:val="24"/>
        </w:rPr>
      </w:pPr>
      <w:r>
        <w:rPr>
          <w:bCs/>
          <w:sz w:val="24"/>
        </w:rPr>
        <w:t>22</w:t>
      </w:r>
      <w:r>
        <w:rPr>
          <w:rFonts w:hint="eastAsia"/>
          <w:bCs/>
          <w:sz w:val="24"/>
        </w:rPr>
        <w:t>、基金份额持有人：指依基金合同和招募说明书合法取得基金份额的投资人</w:t>
      </w:r>
    </w:p>
    <w:p w14:paraId="4CB0F674" w14:textId="77777777" w:rsidR="00791BDD" w:rsidRDefault="00B75151">
      <w:pPr>
        <w:adjustRightInd w:val="0"/>
        <w:snapToGrid w:val="0"/>
        <w:spacing w:line="360" w:lineRule="auto"/>
        <w:ind w:firstLineChars="200" w:firstLine="480"/>
        <w:rPr>
          <w:bCs/>
          <w:sz w:val="24"/>
        </w:rPr>
      </w:pPr>
      <w:r>
        <w:rPr>
          <w:bCs/>
          <w:sz w:val="24"/>
        </w:rPr>
        <w:t>23</w:t>
      </w:r>
      <w:r>
        <w:rPr>
          <w:rFonts w:hint="eastAsia"/>
          <w:bCs/>
          <w:sz w:val="24"/>
        </w:rPr>
        <w:t>、基金销售业务：指基金管理人或销售机构宣传推介基金，发售基金份额，办理基金份额的申购、赎回、转换、转托管及定期定额投资等业务</w:t>
      </w:r>
    </w:p>
    <w:p w14:paraId="3BEBB0C2" w14:textId="77777777" w:rsidR="00791BDD" w:rsidRDefault="00B75151">
      <w:pPr>
        <w:adjustRightInd w:val="0"/>
        <w:snapToGrid w:val="0"/>
        <w:spacing w:line="360" w:lineRule="auto"/>
        <w:ind w:firstLineChars="200" w:firstLine="480"/>
        <w:rPr>
          <w:bCs/>
          <w:sz w:val="24"/>
        </w:rPr>
      </w:pPr>
      <w:r>
        <w:rPr>
          <w:bCs/>
          <w:sz w:val="24"/>
        </w:rPr>
        <w:t>24</w:t>
      </w:r>
      <w:r>
        <w:rPr>
          <w:rFonts w:hint="eastAsia"/>
          <w:bCs/>
          <w:sz w:val="24"/>
        </w:rPr>
        <w:t>、销售机构：指交银施罗德基金管理有限公司以及符合《销售办法》和中国证监会规定的其他条件，取得基金销售业务资格并与基金管理人签订了基金销售服务协议，办理基金销售业务的机构</w:t>
      </w:r>
    </w:p>
    <w:p w14:paraId="5BE8DC8A" w14:textId="77777777" w:rsidR="00791BDD" w:rsidRDefault="00B75151">
      <w:pPr>
        <w:adjustRightInd w:val="0"/>
        <w:snapToGrid w:val="0"/>
        <w:spacing w:line="360" w:lineRule="auto"/>
        <w:ind w:firstLineChars="200" w:firstLine="480"/>
        <w:rPr>
          <w:bCs/>
          <w:sz w:val="24"/>
        </w:rPr>
      </w:pPr>
      <w:r>
        <w:rPr>
          <w:bCs/>
          <w:sz w:val="24"/>
        </w:rPr>
        <w:t>25</w:t>
      </w:r>
      <w:r>
        <w:rPr>
          <w:rFonts w:hint="eastAsia"/>
          <w:bCs/>
          <w:sz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0F6180B7" w14:textId="77777777" w:rsidR="00791BDD" w:rsidRDefault="00B75151">
      <w:pPr>
        <w:adjustRightInd w:val="0"/>
        <w:snapToGrid w:val="0"/>
        <w:spacing w:line="360" w:lineRule="auto"/>
        <w:ind w:firstLineChars="200" w:firstLine="480"/>
        <w:rPr>
          <w:bCs/>
          <w:sz w:val="24"/>
        </w:rPr>
      </w:pPr>
      <w:r>
        <w:rPr>
          <w:bCs/>
          <w:sz w:val="24"/>
        </w:rPr>
        <w:t>26</w:t>
      </w:r>
      <w:r>
        <w:rPr>
          <w:rFonts w:hint="eastAsia"/>
          <w:bCs/>
          <w:sz w:val="24"/>
        </w:rPr>
        <w:t>、登记机构：指办理登记业务的机构。基金的登记机构为交银施罗德基金管理有限公司或接受交银施罗德基金管理有限公司委托代为办理登记业务的机构</w:t>
      </w:r>
    </w:p>
    <w:p w14:paraId="2A939325" w14:textId="77777777" w:rsidR="00791BDD" w:rsidRDefault="00B75151">
      <w:pPr>
        <w:adjustRightInd w:val="0"/>
        <w:snapToGrid w:val="0"/>
        <w:spacing w:line="360" w:lineRule="auto"/>
        <w:ind w:firstLineChars="200" w:firstLine="480"/>
        <w:rPr>
          <w:bCs/>
          <w:sz w:val="24"/>
        </w:rPr>
      </w:pPr>
      <w:r>
        <w:rPr>
          <w:bCs/>
          <w:sz w:val="24"/>
        </w:rPr>
        <w:t>27</w:t>
      </w:r>
      <w:r>
        <w:rPr>
          <w:rFonts w:hint="eastAsia"/>
          <w:bCs/>
          <w:sz w:val="24"/>
        </w:rPr>
        <w:t>、基金账户：指登记机构为投资人开立的、记录其持有的、基金管理人所管理的基金份额余额及其变动情况的账户</w:t>
      </w:r>
    </w:p>
    <w:p w14:paraId="7A80C1CA" w14:textId="77777777" w:rsidR="00791BDD" w:rsidRDefault="00B75151">
      <w:pPr>
        <w:adjustRightInd w:val="0"/>
        <w:snapToGrid w:val="0"/>
        <w:spacing w:line="360" w:lineRule="auto"/>
        <w:ind w:firstLineChars="200" w:firstLine="480"/>
        <w:rPr>
          <w:bCs/>
          <w:sz w:val="24"/>
        </w:rPr>
      </w:pPr>
      <w:r>
        <w:rPr>
          <w:bCs/>
          <w:sz w:val="24"/>
        </w:rPr>
        <w:lastRenderedPageBreak/>
        <w:t>28</w:t>
      </w:r>
      <w:r>
        <w:rPr>
          <w:rFonts w:hint="eastAsia"/>
          <w:bCs/>
          <w:sz w:val="24"/>
        </w:rPr>
        <w:t>、基金交易账户：指销售机构为投资人开立的、记录投资人通过该销售机构办理认购、申购、赎回、转换及转托管等业务而引起的基金份额变动及结余情况的账户</w:t>
      </w:r>
    </w:p>
    <w:p w14:paraId="389749EF" w14:textId="77777777" w:rsidR="00791BDD" w:rsidRDefault="00B75151">
      <w:pPr>
        <w:adjustRightInd w:val="0"/>
        <w:snapToGrid w:val="0"/>
        <w:spacing w:line="360" w:lineRule="auto"/>
        <w:ind w:firstLineChars="200" w:firstLine="480"/>
        <w:rPr>
          <w:bCs/>
          <w:sz w:val="24"/>
        </w:rPr>
      </w:pPr>
      <w:r>
        <w:rPr>
          <w:bCs/>
          <w:sz w:val="24"/>
        </w:rPr>
        <w:t>29</w:t>
      </w:r>
      <w:r>
        <w:rPr>
          <w:rFonts w:hint="eastAsia"/>
          <w:bCs/>
          <w:sz w:val="24"/>
        </w:rPr>
        <w:t>、基金合同生效日：指基金募集达到法律法规规定及基金合同规定的条件，基金管理人向中国证监会办理基金备案手续完毕，并获得中国证监会书面确认的日期</w:t>
      </w:r>
    </w:p>
    <w:p w14:paraId="1EFC30DD" w14:textId="77777777" w:rsidR="00791BDD" w:rsidRDefault="00B75151">
      <w:pPr>
        <w:adjustRightInd w:val="0"/>
        <w:snapToGrid w:val="0"/>
        <w:spacing w:line="360" w:lineRule="auto"/>
        <w:ind w:firstLineChars="200" w:firstLine="480"/>
        <w:rPr>
          <w:bCs/>
          <w:sz w:val="24"/>
        </w:rPr>
      </w:pPr>
      <w:r>
        <w:rPr>
          <w:bCs/>
          <w:sz w:val="24"/>
        </w:rPr>
        <w:t>30</w:t>
      </w:r>
      <w:r>
        <w:rPr>
          <w:rFonts w:hint="eastAsia"/>
          <w:bCs/>
          <w:sz w:val="24"/>
        </w:rPr>
        <w:t>、基金合同终止日：指基金合同规定的基金合同终止事由出现后，基金财产清算完毕，清算结果报中国证监会备案并予以公告的日期</w:t>
      </w:r>
    </w:p>
    <w:p w14:paraId="4BEB5C5C" w14:textId="77777777" w:rsidR="00791BDD" w:rsidRDefault="00B75151">
      <w:pPr>
        <w:adjustRightInd w:val="0"/>
        <w:snapToGrid w:val="0"/>
        <w:spacing w:line="360" w:lineRule="auto"/>
        <w:ind w:firstLineChars="200" w:firstLine="480"/>
        <w:rPr>
          <w:bCs/>
          <w:sz w:val="24"/>
        </w:rPr>
      </w:pPr>
      <w:r>
        <w:rPr>
          <w:bCs/>
          <w:sz w:val="24"/>
        </w:rPr>
        <w:t>31</w:t>
      </w:r>
      <w:r>
        <w:rPr>
          <w:rFonts w:hint="eastAsia"/>
          <w:bCs/>
          <w:sz w:val="24"/>
        </w:rPr>
        <w:t>、基金募集期：指自基金份额发售之日起至发售结束之日止的期间，最长不得超过</w:t>
      </w:r>
      <w:r>
        <w:rPr>
          <w:rFonts w:hint="eastAsia"/>
          <w:bCs/>
          <w:sz w:val="24"/>
        </w:rPr>
        <w:t>3</w:t>
      </w:r>
      <w:r>
        <w:rPr>
          <w:rFonts w:hint="eastAsia"/>
          <w:bCs/>
          <w:sz w:val="24"/>
        </w:rPr>
        <w:t>个月</w:t>
      </w:r>
    </w:p>
    <w:p w14:paraId="1F43199A" w14:textId="77777777" w:rsidR="00791BDD" w:rsidRDefault="00B75151">
      <w:pPr>
        <w:adjustRightInd w:val="0"/>
        <w:snapToGrid w:val="0"/>
        <w:spacing w:line="360" w:lineRule="auto"/>
        <w:ind w:firstLineChars="200" w:firstLine="480"/>
        <w:rPr>
          <w:bCs/>
          <w:sz w:val="24"/>
        </w:rPr>
      </w:pPr>
      <w:r>
        <w:rPr>
          <w:bCs/>
          <w:sz w:val="24"/>
        </w:rPr>
        <w:t>32</w:t>
      </w:r>
      <w:r>
        <w:rPr>
          <w:rFonts w:hint="eastAsia"/>
          <w:bCs/>
          <w:sz w:val="24"/>
        </w:rPr>
        <w:t>、存续期：指基金合同生效至终止之间的不定期期限</w:t>
      </w:r>
    </w:p>
    <w:p w14:paraId="6C39FD2A" w14:textId="77777777" w:rsidR="00791BDD" w:rsidRDefault="00B75151">
      <w:pPr>
        <w:adjustRightInd w:val="0"/>
        <w:snapToGrid w:val="0"/>
        <w:spacing w:line="360" w:lineRule="auto"/>
        <w:ind w:firstLineChars="200" w:firstLine="480"/>
        <w:rPr>
          <w:bCs/>
          <w:sz w:val="24"/>
        </w:rPr>
      </w:pPr>
      <w:r>
        <w:rPr>
          <w:bCs/>
          <w:sz w:val="24"/>
        </w:rPr>
        <w:t>33</w:t>
      </w:r>
      <w:r>
        <w:rPr>
          <w:rFonts w:hint="eastAsia"/>
          <w:bCs/>
          <w:sz w:val="24"/>
        </w:rPr>
        <w:t>、工作日：指上海证券交易所、深圳证券交易所的正常交易日</w:t>
      </w:r>
    </w:p>
    <w:p w14:paraId="07B21465" w14:textId="77777777" w:rsidR="00791BDD" w:rsidRDefault="00B75151">
      <w:pPr>
        <w:adjustRightInd w:val="0"/>
        <w:snapToGrid w:val="0"/>
        <w:spacing w:line="360" w:lineRule="auto"/>
        <w:ind w:firstLineChars="200" w:firstLine="480"/>
        <w:rPr>
          <w:bCs/>
          <w:sz w:val="24"/>
        </w:rPr>
      </w:pPr>
      <w:r>
        <w:rPr>
          <w:bCs/>
          <w:sz w:val="24"/>
        </w:rPr>
        <w:t>34</w:t>
      </w:r>
      <w:r>
        <w:rPr>
          <w:rFonts w:hint="eastAsia"/>
          <w:bCs/>
          <w:sz w:val="24"/>
        </w:rPr>
        <w:t>、</w:t>
      </w:r>
      <w:r>
        <w:rPr>
          <w:rFonts w:hint="eastAsia"/>
          <w:bCs/>
          <w:sz w:val="24"/>
        </w:rPr>
        <w:t>T</w:t>
      </w:r>
      <w:r>
        <w:rPr>
          <w:rFonts w:hint="eastAsia"/>
          <w:bCs/>
          <w:sz w:val="24"/>
        </w:rPr>
        <w:t>日：指销售机构在规定时间受理投资人申购、赎回或其他业务申请的开放日</w:t>
      </w:r>
    </w:p>
    <w:p w14:paraId="55C51BF7" w14:textId="77777777" w:rsidR="00791BDD" w:rsidRDefault="00B75151">
      <w:pPr>
        <w:adjustRightInd w:val="0"/>
        <w:snapToGrid w:val="0"/>
        <w:spacing w:line="360" w:lineRule="auto"/>
        <w:ind w:firstLineChars="200" w:firstLine="480"/>
        <w:rPr>
          <w:bCs/>
          <w:sz w:val="24"/>
        </w:rPr>
      </w:pPr>
      <w:r>
        <w:rPr>
          <w:bCs/>
          <w:sz w:val="24"/>
        </w:rPr>
        <w:t>35</w:t>
      </w:r>
      <w:r>
        <w:rPr>
          <w:rFonts w:hint="eastAsia"/>
          <w:bCs/>
          <w:sz w:val="24"/>
        </w:rPr>
        <w:t>、</w:t>
      </w:r>
      <w:r>
        <w:rPr>
          <w:rFonts w:hint="eastAsia"/>
          <w:bCs/>
          <w:sz w:val="24"/>
        </w:rPr>
        <w:t>T+n</w:t>
      </w:r>
      <w:r>
        <w:rPr>
          <w:rFonts w:hint="eastAsia"/>
          <w:bCs/>
          <w:sz w:val="24"/>
        </w:rPr>
        <w:t>日：指自</w:t>
      </w:r>
      <w:r>
        <w:rPr>
          <w:rFonts w:hint="eastAsia"/>
          <w:bCs/>
          <w:sz w:val="24"/>
        </w:rPr>
        <w:t>T</w:t>
      </w:r>
      <w:r>
        <w:rPr>
          <w:rFonts w:hint="eastAsia"/>
          <w:bCs/>
          <w:sz w:val="24"/>
        </w:rPr>
        <w:t>日起第</w:t>
      </w:r>
      <w:r>
        <w:rPr>
          <w:rFonts w:hint="eastAsia"/>
          <w:bCs/>
          <w:sz w:val="24"/>
        </w:rPr>
        <w:t>n</w:t>
      </w:r>
      <w:r>
        <w:rPr>
          <w:rFonts w:hint="eastAsia"/>
          <w:bCs/>
          <w:sz w:val="24"/>
        </w:rPr>
        <w:t>个工作日（不包含</w:t>
      </w:r>
      <w:r>
        <w:rPr>
          <w:rFonts w:hint="eastAsia"/>
          <w:bCs/>
          <w:sz w:val="24"/>
        </w:rPr>
        <w:t>T</w:t>
      </w:r>
      <w:r>
        <w:rPr>
          <w:rFonts w:hint="eastAsia"/>
          <w:bCs/>
          <w:sz w:val="24"/>
        </w:rPr>
        <w:t>日）</w:t>
      </w:r>
    </w:p>
    <w:p w14:paraId="05CEB231" w14:textId="77777777" w:rsidR="00791BDD" w:rsidRDefault="00B75151">
      <w:pPr>
        <w:adjustRightInd w:val="0"/>
        <w:snapToGrid w:val="0"/>
        <w:spacing w:line="360" w:lineRule="auto"/>
        <w:ind w:firstLineChars="200" w:firstLine="480"/>
        <w:rPr>
          <w:bCs/>
          <w:sz w:val="24"/>
        </w:rPr>
      </w:pPr>
      <w:r>
        <w:rPr>
          <w:bCs/>
          <w:sz w:val="24"/>
        </w:rPr>
        <w:t>36</w:t>
      </w:r>
      <w:r>
        <w:rPr>
          <w:rFonts w:hint="eastAsia"/>
          <w:bCs/>
          <w:sz w:val="24"/>
        </w:rPr>
        <w:t>、开放日：指为投资人办理基金份额申购、赎回或其他业务的工作日（若该工作日为非港股通交易日，则本基金可不开放）</w:t>
      </w:r>
    </w:p>
    <w:p w14:paraId="6596C502" w14:textId="77777777" w:rsidR="00791BDD" w:rsidRDefault="00B75151">
      <w:pPr>
        <w:adjustRightInd w:val="0"/>
        <w:snapToGrid w:val="0"/>
        <w:spacing w:line="360" w:lineRule="auto"/>
        <w:ind w:firstLineChars="200" w:firstLine="480"/>
        <w:rPr>
          <w:bCs/>
          <w:sz w:val="24"/>
        </w:rPr>
      </w:pPr>
      <w:r>
        <w:rPr>
          <w:bCs/>
          <w:sz w:val="24"/>
        </w:rPr>
        <w:t>37</w:t>
      </w:r>
      <w:r>
        <w:rPr>
          <w:rFonts w:hint="eastAsia"/>
          <w:bCs/>
          <w:sz w:val="24"/>
        </w:rPr>
        <w:t>、开放时间：指开放日基金接受申购、赎回或其他交易的时间段</w:t>
      </w:r>
    </w:p>
    <w:p w14:paraId="6410DB4E" w14:textId="77777777" w:rsidR="00791BDD" w:rsidRDefault="00B75151">
      <w:pPr>
        <w:adjustRightInd w:val="0"/>
        <w:snapToGrid w:val="0"/>
        <w:spacing w:line="360" w:lineRule="auto"/>
        <w:ind w:firstLineChars="200" w:firstLine="480"/>
        <w:rPr>
          <w:bCs/>
          <w:sz w:val="24"/>
        </w:rPr>
      </w:pPr>
      <w:r>
        <w:rPr>
          <w:bCs/>
          <w:sz w:val="24"/>
        </w:rPr>
        <w:t>38</w:t>
      </w:r>
      <w:r>
        <w:rPr>
          <w:rFonts w:hint="eastAsia"/>
          <w:bCs/>
          <w:sz w:val="24"/>
        </w:rPr>
        <w:t>、《业务规则》：指《交银施罗德基金管理有限公司开放式基金业务规则》，是规范基金管理人所管理的开放式证券投资基金登记方面的业务规则，由基金管理人和投资人共同遵守</w:t>
      </w:r>
    </w:p>
    <w:p w14:paraId="75BA29A8" w14:textId="77777777" w:rsidR="00791BDD" w:rsidRDefault="00B75151">
      <w:pPr>
        <w:adjustRightInd w:val="0"/>
        <w:snapToGrid w:val="0"/>
        <w:spacing w:line="360" w:lineRule="auto"/>
        <w:ind w:firstLineChars="200" w:firstLine="480"/>
        <w:rPr>
          <w:bCs/>
          <w:sz w:val="24"/>
        </w:rPr>
      </w:pPr>
      <w:r>
        <w:rPr>
          <w:bCs/>
          <w:sz w:val="24"/>
        </w:rPr>
        <w:t>39</w:t>
      </w:r>
      <w:r>
        <w:rPr>
          <w:rFonts w:hint="eastAsia"/>
          <w:bCs/>
          <w:sz w:val="24"/>
        </w:rPr>
        <w:t>、认购：指在基金募集期内，投资人根据基金合同和招募说明书的规定申请购买基金份额的行为</w:t>
      </w:r>
    </w:p>
    <w:p w14:paraId="01DD0892" w14:textId="77777777" w:rsidR="00791BDD" w:rsidRDefault="00B75151">
      <w:pPr>
        <w:adjustRightInd w:val="0"/>
        <w:snapToGrid w:val="0"/>
        <w:spacing w:line="360" w:lineRule="auto"/>
        <w:ind w:firstLineChars="200" w:firstLine="480"/>
        <w:rPr>
          <w:bCs/>
          <w:sz w:val="24"/>
        </w:rPr>
      </w:pPr>
      <w:r>
        <w:rPr>
          <w:bCs/>
          <w:sz w:val="24"/>
        </w:rPr>
        <w:t>40</w:t>
      </w:r>
      <w:r>
        <w:rPr>
          <w:rFonts w:hint="eastAsia"/>
          <w:bCs/>
          <w:sz w:val="24"/>
        </w:rPr>
        <w:t>、申购：指基金合同生效后，投资人根据基金合同和招募说明书的规定申请购买基金份额的行为</w:t>
      </w:r>
    </w:p>
    <w:p w14:paraId="179E8A4E" w14:textId="77777777" w:rsidR="00791BDD" w:rsidRDefault="00B75151">
      <w:pPr>
        <w:adjustRightInd w:val="0"/>
        <w:snapToGrid w:val="0"/>
        <w:spacing w:line="360" w:lineRule="auto"/>
        <w:ind w:firstLineChars="200" w:firstLine="480"/>
        <w:rPr>
          <w:bCs/>
          <w:sz w:val="24"/>
        </w:rPr>
      </w:pPr>
      <w:r>
        <w:rPr>
          <w:bCs/>
          <w:sz w:val="24"/>
        </w:rPr>
        <w:t>41</w:t>
      </w:r>
      <w:r>
        <w:rPr>
          <w:rFonts w:hint="eastAsia"/>
          <w:bCs/>
          <w:sz w:val="24"/>
        </w:rPr>
        <w:t>、赎回：指基金合同生效后，基金份额持有人按基金合同和招募说明书规定的条件要求将基金份额兑换为现金的行为</w:t>
      </w:r>
    </w:p>
    <w:p w14:paraId="382C8DD5" w14:textId="77777777" w:rsidR="00791BDD" w:rsidRDefault="00B75151">
      <w:pPr>
        <w:adjustRightInd w:val="0"/>
        <w:snapToGrid w:val="0"/>
        <w:spacing w:line="360" w:lineRule="auto"/>
        <w:ind w:firstLineChars="200" w:firstLine="480"/>
        <w:rPr>
          <w:bCs/>
          <w:sz w:val="24"/>
        </w:rPr>
      </w:pPr>
      <w:r>
        <w:rPr>
          <w:bCs/>
          <w:sz w:val="24"/>
        </w:rPr>
        <w:t>42</w:t>
      </w:r>
      <w:r>
        <w:rPr>
          <w:rFonts w:hint="eastAsia"/>
          <w:bCs/>
          <w:sz w:val="24"/>
        </w:rPr>
        <w:t>、基金转换：指基金份额持有人按照基金合同和基金管理人届时有效公告规</w:t>
      </w:r>
      <w:r>
        <w:rPr>
          <w:rFonts w:hint="eastAsia"/>
          <w:bCs/>
          <w:sz w:val="24"/>
        </w:rPr>
        <w:lastRenderedPageBreak/>
        <w:t>定的条件，申请将其持有基金管理人管理的、</w:t>
      </w:r>
      <w:r>
        <w:rPr>
          <w:bCs/>
          <w:sz w:val="24"/>
        </w:rPr>
        <w:t>某一基金的基金份额转换为</w:t>
      </w:r>
      <w:r>
        <w:rPr>
          <w:rFonts w:hint="eastAsia"/>
          <w:bCs/>
          <w:sz w:val="24"/>
        </w:rPr>
        <w:t>该基金其他份额（如有）或</w:t>
      </w:r>
      <w:r>
        <w:rPr>
          <w:bCs/>
          <w:sz w:val="24"/>
        </w:rPr>
        <w:t>基金管理人管理的其他基金基金份额的行为</w:t>
      </w:r>
    </w:p>
    <w:p w14:paraId="2049F767" w14:textId="77777777" w:rsidR="00791BDD" w:rsidRDefault="00B75151">
      <w:pPr>
        <w:adjustRightInd w:val="0"/>
        <w:snapToGrid w:val="0"/>
        <w:spacing w:line="360" w:lineRule="auto"/>
        <w:ind w:firstLineChars="200" w:firstLine="480"/>
        <w:rPr>
          <w:bCs/>
          <w:sz w:val="24"/>
        </w:rPr>
      </w:pPr>
      <w:r>
        <w:rPr>
          <w:bCs/>
          <w:sz w:val="24"/>
        </w:rPr>
        <w:t>43</w:t>
      </w:r>
      <w:r>
        <w:rPr>
          <w:rFonts w:hint="eastAsia"/>
          <w:bCs/>
          <w:sz w:val="24"/>
        </w:rPr>
        <w:t>、转托管：指基金份额持有人在本基金的不同销售机构之间实施的变更所持基金份额销售机构的操作</w:t>
      </w:r>
    </w:p>
    <w:p w14:paraId="50A4E7C9" w14:textId="77777777" w:rsidR="00791BDD" w:rsidRDefault="00B75151">
      <w:pPr>
        <w:adjustRightInd w:val="0"/>
        <w:snapToGrid w:val="0"/>
        <w:spacing w:line="360" w:lineRule="auto"/>
        <w:ind w:firstLineChars="200" w:firstLine="480"/>
        <w:rPr>
          <w:bCs/>
          <w:sz w:val="24"/>
        </w:rPr>
      </w:pPr>
      <w:r>
        <w:rPr>
          <w:bCs/>
          <w:sz w:val="24"/>
        </w:rPr>
        <w:t>44</w:t>
      </w:r>
      <w:r>
        <w:rPr>
          <w:rFonts w:hint="eastAsia"/>
          <w:bCs/>
          <w:sz w:val="24"/>
        </w:rPr>
        <w:t>、定期定额投资计划：指投资人通过有关销售机构提出申请，约定每期申购日、扣款金额及扣款方式，由指定的销售机构在投资人指定银行账户内自动完成扣款并于每期约定的申购日受理基金申购申请的一种投资方式</w:t>
      </w:r>
    </w:p>
    <w:p w14:paraId="615CDACA" w14:textId="77777777" w:rsidR="00791BDD" w:rsidRDefault="00B75151">
      <w:pPr>
        <w:adjustRightInd w:val="0"/>
        <w:snapToGrid w:val="0"/>
        <w:spacing w:line="360" w:lineRule="auto"/>
        <w:ind w:firstLineChars="200" w:firstLine="480"/>
        <w:rPr>
          <w:bCs/>
          <w:sz w:val="24"/>
        </w:rPr>
      </w:pPr>
      <w:r>
        <w:rPr>
          <w:bCs/>
          <w:sz w:val="24"/>
        </w:rPr>
        <w:t>45</w:t>
      </w:r>
      <w:r>
        <w:rPr>
          <w:rFonts w:hint="eastAsia"/>
          <w:bCs/>
          <w:sz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Pr>
          <w:rFonts w:hint="eastAsia"/>
          <w:bCs/>
          <w:sz w:val="24"/>
        </w:rPr>
        <w:t>10%</w:t>
      </w:r>
      <w:r>
        <w:rPr>
          <w:rFonts w:hint="eastAsia"/>
          <w:bCs/>
          <w:sz w:val="24"/>
        </w:rPr>
        <w:t>的情形</w:t>
      </w:r>
    </w:p>
    <w:p w14:paraId="4242703E" w14:textId="77777777" w:rsidR="00791BDD" w:rsidRDefault="00B75151">
      <w:pPr>
        <w:adjustRightInd w:val="0"/>
        <w:snapToGrid w:val="0"/>
        <w:spacing w:line="360" w:lineRule="auto"/>
        <w:ind w:firstLineChars="200" w:firstLine="480"/>
        <w:rPr>
          <w:bCs/>
          <w:sz w:val="24"/>
        </w:rPr>
      </w:pPr>
      <w:r>
        <w:rPr>
          <w:bCs/>
          <w:sz w:val="24"/>
        </w:rPr>
        <w:t>46</w:t>
      </w:r>
      <w:r>
        <w:rPr>
          <w:rFonts w:hint="eastAsia"/>
          <w:bCs/>
          <w:sz w:val="24"/>
        </w:rPr>
        <w:t>、元：指人民币元</w:t>
      </w:r>
    </w:p>
    <w:p w14:paraId="09D8D3D7" w14:textId="77777777" w:rsidR="00791BDD" w:rsidRDefault="00B75151">
      <w:pPr>
        <w:adjustRightInd w:val="0"/>
        <w:snapToGrid w:val="0"/>
        <w:spacing w:line="360" w:lineRule="auto"/>
        <w:ind w:firstLineChars="200" w:firstLine="480"/>
        <w:rPr>
          <w:bCs/>
          <w:sz w:val="24"/>
        </w:rPr>
      </w:pPr>
      <w:r>
        <w:rPr>
          <w:bCs/>
          <w:sz w:val="24"/>
        </w:rPr>
        <w:t>47</w:t>
      </w:r>
      <w:r>
        <w:rPr>
          <w:rFonts w:hint="eastAsia"/>
          <w:bCs/>
          <w:sz w:val="24"/>
        </w:rPr>
        <w:t>、基金收益：指基金投资所得红利、股息、债券利息、买卖证券价差、银行存款利息、已实现的其他合法收入及因运用基金财产带来的成本和费用的节约</w:t>
      </w:r>
    </w:p>
    <w:p w14:paraId="5E43A65C" w14:textId="77777777" w:rsidR="00791BDD" w:rsidRDefault="00B75151">
      <w:pPr>
        <w:adjustRightInd w:val="0"/>
        <w:snapToGrid w:val="0"/>
        <w:spacing w:line="360" w:lineRule="auto"/>
        <w:ind w:firstLineChars="200" w:firstLine="480"/>
        <w:rPr>
          <w:bCs/>
          <w:sz w:val="24"/>
        </w:rPr>
      </w:pPr>
      <w:r>
        <w:rPr>
          <w:bCs/>
          <w:sz w:val="24"/>
        </w:rPr>
        <w:t>48</w:t>
      </w:r>
      <w:r>
        <w:rPr>
          <w:rFonts w:hint="eastAsia"/>
          <w:bCs/>
          <w:sz w:val="24"/>
        </w:rPr>
        <w:t>、基金资产总值：指基金拥有的各类有价证券、股指期货合约、银行存款本息、基金应收款项及其他资产的价值总和</w:t>
      </w:r>
    </w:p>
    <w:p w14:paraId="64520DA8" w14:textId="77777777" w:rsidR="00791BDD" w:rsidRDefault="00B75151">
      <w:pPr>
        <w:adjustRightInd w:val="0"/>
        <w:snapToGrid w:val="0"/>
        <w:spacing w:line="360" w:lineRule="auto"/>
        <w:ind w:firstLineChars="200" w:firstLine="480"/>
        <w:rPr>
          <w:bCs/>
          <w:sz w:val="24"/>
        </w:rPr>
      </w:pPr>
      <w:r>
        <w:rPr>
          <w:bCs/>
          <w:sz w:val="24"/>
        </w:rPr>
        <w:t>49</w:t>
      </w:r>
      <w:r>
        <w:rPr>
          <w:rFonts w:hint="eastAsia"/>
          <w:bCs/>
          <w:sz w:val="24"/>
        </w:rPr>
        <w:t>、基金资产净值：指基金资产总值减去基金负债后的价值</w:t>
      </w:r>
    </w:p>
    <w:p w14:paraId="3AE2D7FF" w14:textId="77777777" w:rsidR="00791BDD" w:rsidRDefault="00B75151">
      <w:pPr>
        <w:adjustRightInd w:val="0"/>
        <w:snapToGrid w:val="0"/>
        <w:spacing w:line="360" w:lineRule="auto"/>
        <w:ind w:firstLineChars="200" w:firstLine="480"/>
        <w:rPr>
          <w:bCs/>
          <w:sz w:val="24"/>
        </w:rPr>
      </w:pPr>
      <w:r>
        <w:rPr>
          <w:bCs/>
          <w:sz w:val="24"/>
        </w:rPr>
        <w:t>50</w:t>
      </w:r>
      <w:r>
        <w:rPr>
          <w:rFonts w:hint="eastAsia"/>
          <w:bCs/>
          <w:sz w:val="24"/>
        </w:rPr>
        <w:t>、基金份额净值：指计算日基金资产净值除以计算日基金份额总数</w:t>
      </w:r>
    </w:p>
    <w:p w14:paraId="2B85360B" w14:textId="77777777" w:rsidR="00791BDD" w:rsidRDefault="00B75151">
      <w:pPr>
        <w:adjustRightInd w:val="0"/>
        <w:snapToGrid w:val="0"/>
        <w:spacing w:line="360" w:lineRule="auto"/>
        <w:ind w:firstLineChars="200" w:firstLine="480"/>
        <w:rPr>
          <w:bCs/>
          <w:sz w:val="24"/>
        </w:rPr>
      </w:pPr>
      <w:r>
        <w:rPr>
          <w:bCs/>
          <w:sz w:val="24"/>
        </w:rPr>
        <w:t>51</w:t>
      </w:r>
      <w:r>
        <w:rPr>
          <w:rFonts w:hint="eastAsia"/>
          <w:bCs/>
          <w:sz w:val="24"/>
        </w:rPr>
        <w:t>、基金资产估值：指计算评估基金资产和负债的价值，以确定基金资产净值和基金份额净值的过程</w:t>
      </w:r>
    </w:p>
    <w:p w14:paraId="307706C2" w14:textId="77777777" w:rsidR="00791BDD" w:rsidRDefault="00B75151">
      <w:pPr>
        <w:adjustRightInd w:val="0"/>
        <w:snapToGrid w:val="0"/>
        <w:spacing w:line="360" w:lineRule="auto"/>
        <w:ind w:firstLineChars="200" w:firstLine="480"/>
        <w:rPr>
          <w:bCs/>
          <w:sz w:val="24"/>
        </w:rPr>
      </w:pPr>
      <w:r>
        <w:rPr>
          <w:bCs/>
          <w:sz w:val="24"/>
        </w:rPr>
        <w:t>52</w:t>
      </w:r>
      <w:r>
        <w:rPr>
          <w:rFonts w:hint="eastAsia"/>
          <w:bCs/>
          <w:sz w:val="24"/>
        </w:rPr>
        <w:t>、港股通标的股票：指内地投资者委托内地证券公司，经由内地证券交易所在香港设立的证券交易服务公司，向香港联合交易所进行申报，买卖规定范围内的香港联合交易所上市的股票</w:t>
      </w:r>
    </w:p>
    <w:p w14:paraId="614B143F" w14:textId="77777777" w:rsidR="00791BDD" w:rsidRDefault="00B75151">
      <w:pPr>
        <w:adjustRightInd w:val="0"/>
        <w:snapToGrid w:val="0"/>
        <w:spacing w:line="360" w:lineRule="auto"/>
        <w:ind w:firstLineChars="200" w:firstLine="480"/>
        <w:rPr>
          <w:bCs/>
          <w:sz w:val="24"/>
        </w:rPr>
      </w:pPr>
      <w:r>
        <w:rPr>
          <w:bCs/>
          <w:sz w:val="24"/>
        </w:rPr>
        <w:t>53</w:t>
      </w:r>
      <w:r>
        <w:rPr>
          <w:rFonts w:hint="eastAsia"/>
          <w:bCs/>
          <w:sz w:val="24"/>
        </w:rPr>
        <w:t>、发起式基金：指符合《运作办法》和中国证监会规定的相关条件而募集、运作，由基金管理人、基金管理人股东、基金管理人高级管理人员或基金经理（指基金管理人员工中依法具有基金经理资格者，包括但不限于本基金的基金经理，下同）等人员承诺认购一定金额并持有一定期限的证券投资基金</w:t>
      </w:r>
    </w:p>
    <w:p w14:paraId="18549193" w14:textId="77777777" w:rsidR="00791BDD" w:rsidRDefault="00B75151">
      <w:pPr>
        <w:adjustRightInd w:val="0"/>
        <w:snapToGrid w:val="0"/>
        <w:spacing w:line="360" w:lineRule="auto"/>
        <w:ind w:firstLineChars="200" w:firstLine="480"/>
        <w:rPr>
          <w:bCs/>
          <w:sz w:val="24"/>
        </w:rPr>
      </w:pPr>
      <w:r>
        <w:rPr>
          <w:rFonts w:hint="eastAsia"/>
          <w:bCs/>
          <w:sz w:val="24"/>
        </w:rPr>
        <w:t>54</w:t>
      </w:r>
      <w:r>
        <w:rPr>
          <w:rFonts w:hint="eastAsia"/>
          <w:bCs/>
          <w:sz w:val="24"/>
        </w:rPr>
        <w:t>、发起资金：指基金管理人的股东资金、基金管理人固有资金、基金管理人高级管理人员或基金经理等人员参与认购的资金。发起资金认购本基金的金额不低</w:t>
      </w:r>
      <w:r>
        <w:rPr>
          <w:rFonts w:hint="eastAsia"/>
          <w:bCs/>
          <w:sz w:val="24"/>
        </w:rPr>
        <w:lastRenderedPageBreak/>
        <w:t>于</w:t>
      </w:r>
      <w:r>
        <w:rPr>
          <w:rFonts w:hint="eastAsia"/>
          <w:bCs/>
          <w:sz w:val="24"/>
        </w:rPr>
        <w:t>1000</w:t>
      </w:r>
      <w:r>
        <w:rPr>
          <w:rFonts w:hint="eastAsia"/>
          <w:bCs/>
          <w:sz w:val="24"/>
        </w:rPr>
        <w:t>万元人民币，且发起资金认购的基金份额持有期限自基金合同生效日起不低于三年</w:t>
      </w:r>
    </w:p>
    <w:p w14:paraId="7F618253" w14:textId="77777777" w:rsidR="00791BDD" w:rsidRDefault="00B75151">
      <w:pPr>
        <w:adjustRightInd w:val="0"/>
        <w:snapToGrid w:val="0"/>
        <w:spacing w:line="360" w:lineRule="auto"/>
        <w:ind w:firstLineChars="200" w:firstLine="480"/>
        <w:rPr>
          <w:bCs/>
          <w:sz w:val="24"/>
        </w:rPr>
      </w:pPr>
      <w:r>
        <w:rPr>
          <w:rFonts w:hint="eastAsia"/>
          <w:bCs/>
          <w:sz w:val="24"/>
        </w:rPr>
        <w:t>55</w:t>
      </w:r>
      <w:r>
        <w:rPr>
          <w:rFonts w:hint="eastAsia"/>
          <w:bCs/>
          <w:sz w:val="24"/>
        </w:rPr>
        <w:t>、发起资金提供方：指以发起资金认购本基金且承诺以发起资金认购的基金份额持有期限自基金合同生效之日起不少于三年的基金管理人股东、基金管理人、基金管理人高级管理人员或基金经理等人员</w:t>
      </w:r>
    </w:p>
    <w:p w14:paraId="5AD1A6C2" w14:textId="77777777" w:rsidR="00791BDD" w:rsidRDefault="00B75151">
      <w:pPr>
        <w:adjustRightInd w:val="0"/>
        <w:snapToGrid w:val="0"/>
        <w:spacing w:line="360" w:lineRule="auto"/>
        <w:ind w:firstLineChars="200" w:firstLine="480"/>
        <w:rPr>
          <w:bCs/>
          <w:sz w:val="24"/>
        </w:rPr>
      </w:pPr>
      <w:r>
        <w:rPr>
          <w:rFonts w:hint="eastAsia"/>
          <w:bCs/>
          <w:sz w:val="24"/>
        </w:rPr>
        <w:t>56</w:t>
      </w:r>
      <w:r>
        <w:rPr>
          <w:rFonts w:hint="eastAsia"/>
          <w:bCs/>
          <w:sz w:val="24"/>
        </w:rPr>
        <w:t>、规定媒介：指符合中国证监会规定条件的用以进行信息披露的全国性报刊及《信息披露办法》规定的互联网网站（包括基金管理人网站、基金托管人网站、中国证监会基金电子披露网站）等媒介</w:t>
      </w:r>
    </w:p>
    <w:p w14:paraId="37F73D04" w14:textId="77777777" w:rsidR="00791BDD" w:rsidRDefault="00B75151">
      <w:pPr>
        <w:adjustRightInd w:val="0"/>
        <w:snapToGrid w:val="0"/>
        <w:spacing w:line="360" w:lineRule="auto"/>
        <w:ind w:firstLineChars="200" w:firstLine="480"/>
        <w:rPr>
          <w:bCs/>
          <w:sz w:val="24"/>
        </w:rPr>
      </w:pPr>
      <w:r>
        <w:rPr>
          <w:bCs/>
          <w:sz w:val="24"/>
        </w:rPr>
        <w:t>57</w:t>
      </w:r>
      <w:r>
        <w:rPr>
          <w:rFonts w:hint="eastAsia"/>
          <w:bCs/>
          <w:sz w:val="24"/>
        </w:rPr>
        <w:t>、流动性受限资产：指由于法律法规、监管、合同或操作障碍等原因无法以合理价格予以变现的资产，包括但不限于到期日在</w:t>
      </w:r>
      <w:r>
        <w:rPr>
          <w:rFonts w:hint="eastAsia"/>
          <w:bCs/>
          <w:sz w:val="24"/>
        </w:rPr>
        <w:t>10</w:t>
      </w:r>
      <w:r>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22EC8272" w14:textId="77777777" w:rsidR="00791BDD" w:rsidRDefault="00B75151">
      <w:pPr>
        <w:adjustRightInd w:val="0"/>
        <w:snapToGrid w:val="0"/>
        <w:spacing w:line="360" w:lineRule="auto"/>
        <w:ind w:firstLineChars="200" w:firstLine="480"/>
        <w:rPr>
          <w:bCs/>
          <w:sz w:val="24"/>
        </w:rPr>
      </w:pPr>
      <w:r>
        <w:rPr>
          <w:bCs/>
          <w:sz w:val="24"/>
        </w:rPr>
        <w:t>58</w:t>
      </w:r>
      <w:r>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66550789" w14:textId="77777777" w:rsidR="00791BDD" w:rsidRDefault="00B75151">
      <w:pPr>
        <w:adjustRightInd w:val="0"/>
        <w:snapToGrid w:val="0"/>
        <w:spacing w:line="360" w:lineRule="auto"/>
        <w:ind w:firstLineChars="200" w:firstLine="480"/>
        <w:rPr>
          <w:bCs/>
          <w:sz w:val="24"/>
        </w:rPr>
      </w:pPr>
      <w:r>
        <w:rPr>
          <w:bCs/>
          <w:sz w:val="24"/>
        </w:rPr>
        <w:t>59</w:t>
      </w:r>
      <w:r>
        <w:rPr>
          <w:rFonts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670EEE7B" w14:textId="77777777" w:rsidR="00791BDD" w:rsidRDefault="00B75151">
      <w:pPr>
        <w:adjustRightInd w:val="0"/>
        <w:snapToGrid w:val="0"/>
        <w:spacing w:line="360" w:lineRule="auto"/>
        <w:ind w:firstLineChars="200" w:firstLine="480"/>
        <w:rPr>
          <w:bCs/>
          <w:sz w:val="24"/>
        </w:rPr>
      </w:pPr>
      <w:r>
        <w:rPr>
          <w:bCs/>
          <w:sz w:val="24"/>
        </w:rPr>
        <w:t>60</w:t>
      </w:r>
      <w:r>
        <w:rPr>
          <w:rFonts w:hint="eastAsia"/>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42DFCB1C" w14:textId="77777777" w:rsidR="00791BDD" w:rsidRDefault="00B75151">
      <w:pPr>
        <w:adjustRightInd w:val="0"/>
        <w:snapToGrid w:val="0"/>
        <w:spacing w:line="360" w:lineRule="auto"/>
        <w:ind w:firstLineChars="200" w:firstLine="480"/>
        <w:rPr>
          <w:rFonts w:ascii="宋体" w:hAnsi="宋体"/>
          <w:sz w:val="24"/>
        </w:rPr>
      </w:pPr>
      <w:r>
        <w:rPr>
          <w:bCs/>
          <w:sz w:val="24"/>
        </w:rPr>
        <w:t>61</w:t>
      </w:r>
      <w:r>
        <w:rPr>
          <w:rFonts w:hint="eastAsia"/>
          <w:bCs/>
          <w:sz w:val="24"/>
        </w:rPr>
        <w:t>、不可抗力：指基金合同当事人不能预见、不能避免且不能克服的客观事件</w:t>
      </w:r>
      <w:bookmarkEnd w:id="5"/>
    </w:p>
    <w:p w14:paraId="1E7FD6A1" w14:textId="77777777" w:rsidR="00791BDD" w:rsidRDefault="00B75151">
      <w:pPr>
        <w:spacing w:line="360" w:lineRule="auto"/>
        <w:jc w:val="center"/>
        <w:outlineLvl w:val="0"/>
        <w:rPr>
          <w:rFonts w:ascii="宋体" w:hAnsi="宋体"/>
          <w:b/>
          <w:kern w:val="0"/>
          <w:sz w:val="30"/>
        </w:rPr>
      </w:pPr>
      <w:bookmarkStart w:id="6" w:name="_Hlt81034163"/>
      <w:bookmarkStart w:id="7" w:name="_Hlt80961854"/>
      <w:bookmarkStart w:id="8" w:name="_Toc109537381"/>
      <w:bookmarkEnd w:id="6"/>
      <w:bookmarkEnd w:id="7"/>
      <w:r>
        <w:rPr>
          <w:rFonts w:ascii="宋体" w:hAnsi="宋体"/>
          <w:b/>
          <w:kern w:val="0"/>
          <w:sz w:val="30"/>
        </w:rPr>
        <w:br w:type="page"/>
      </w:r>
      <w:bookmarkStart w:id="9" w:name="_Toc48122004"/>
      <w:bookmarkStart w:id="10" w:name="_Hlk126159981"/>
      <w:r>
        <w:rPr>
          <w:rFonts w:ascii="宋体" w:hAnsi="宋体" w:hint="eastAsia"/>
          <w:b/>
          <w:kern w:val="0"/>
          <w:sz w:val="30"/>
        </w:rPr>
        <w:lastRenderedPageBreak/>
        <w:t>三、基金管理人</w:t>
      </w:r>
      <w:bookmarkEnd w:id="8"/>
      <w:bookmarkEnd w:id="9"/>
    </w:p>
    <w:p w14:paraId="29598FB8" w14:textId="77777777" w:rsidR="00791BDD" w:rsidRDefault="00B75151">
      <w:pPr>
        <w:widowControl/>
        <w:adjustRightInd w:val="0"/>
        <w:snapToGrid w:val="0"/>
        <w:spacing w:line="360" w:lineRule="auto"/>
        <w:ind w:firstLineChars="200" w:firstLine="482"/>
        <w:outlineLvl w:val="1"/>
        <w:rPr>
          <w:rFonts w:hAnsi="宋体"/>
          <w:b/>
          <w:kern w:val="0"/>
          <w:sz w:val="24"/>
        </w:rPr>
      </w:pPr>
      <w:r>
        <w:rPr>
          <w:rFonts w:hAnsi="宋体"/>
          <w:b/>
          <w:kern w:val="0"/>
          <w:sz w:val="24"/>
        </w:rPr>
        <w:t>（一）基金管理人概况</w:t>
      </w:r>
    </w:p>
    <w:p w14:paraId="6BEB4648" w14:textId="77777777" w:rsidR="00791BDD" w:rsidRDefault="00B75151">
      <w:pPr>
        <w:widowControl/>
        <w:adjustRightInd w:val="0"/>
        <w:snapToGrid w:val="0"/>
        <w:spacing w:line="360" w:lineRule="auto"/>
        <w:ind w:firstLineChars="200" w:firstLine="480"/>
        <w:rPr>
          <w:kern w:val="0"/>
          <w:sz w:val="24"/>
        </w:rPr>
      </w:pPr>
      <w:r>
        <w:rPr>
          <w:rFonts w:hAnsi="宋体"/>
          <w:kern w:val="0"/>
          <w:sz w:val="24"/>
        </w:rPr>
        <w:t>名称：交银施罗德基金管理有限公司</w:t>
      </w:r>
    </w:p>
    <w:p w14:paraId="3BF41A17" w14:textId="77777777" w:rsidR="00791BDD" w:rsidRDefault="00B75151">
      <w:pPr>
        <w:widowControl/>
        <w:adjustRightInd w:val="0"/>
        <w:snapToGrid w:val="0"/>
        <w:spacing w:line="360" w:lineRule="auto"/>
        <w:ind w:firstLineChars="200" w:firstLine="480"/>
        <w:rPr>
          <w:kern w:val="0"/>
          <w:sz w:val="24"/>
        </w:rPr>
      </w:pPr>
      <w:r>
        <w:rPr>
          <w:rFonts w:hAnsi="宋体"/>
          <w:kern w:val="0"/>
          <w:sz w:val="24"/>
        </w:rPr>
        <w:t>住所：</w:t>
      </w:r>
      <w:r>
        <w:rPr>
          <w:rFonts w:hAnsi="宋体" w:hint="eastAsia"/>
          <w:kern w:val="0"/>
          <w:sz w:val="24"/>
        </w:rPr>
        <w:t>中国</w:t>
      </w:r>
      <w:r>
        <w:rPr>
          <w:rFonts w:hAnsi="宋体"/>
          <w:kern w:val="0"/>
          <w:sz w:val="24"/>
        </w:rPr>
        <w:t>（</w:t>
      </w:r>
      <w:r>
        <w:rPr>
          <w:rFonts w:hAnsi="宋体" w:hint="eastAsia"/>
          <w:kern w:val="0"/>
          <w:sz w:val="24"/>
        </w:rPr>
        <w:t>上海）自由</w:t>
      </w:r>
      <w:r>
        <w:rPr>
          <w:rFonts w:hAnsi="宋体"/>
          <w:kern w:val="0"/>
          <w:sz w:val="24"/>
        </w:rPr>
        <w:t>贸易试验区银城中路</w:t>
      </w:r>
      <w:r>
        <w:rPr>
          <w:kern w:val="0"/>
          <w:sz w:val="24"/>
        </w:rPr>
        <w:t>188</w:t>
      </w:r>
      <w:r>
        <w:rPr>
          <w:rFonts w:hAnsi="宋体"/>
          <w:kern w:val="0"/>
          <w:sz w:val="24"/>
        </w:rPr>
        <w:t>号交通银行大楼二层（裙）</w:t>
      </w:r>
    </w:p>
    <w:p w14:paraId="1E99A76B" w14:textId="77777777" w:rsidR="00791BDD" w:rsidRDefault="00B75151">
      <w:pPr>
        <w:widowControl/>
        <w:adjustRightInd w:val="0"/>
        <w:snapToGrid w:val="0"/>
        <w:spacing w:line="360" w:lineRule="auto"/>
        <w:ind w:firstLineChars="200" w:firstLine="480"/>
        <w:rPr>
          <w:kern w:val="0"/>
          <w:sz w:val="24"/>
        </w:rPr>
      </w:pPr>
      <w:r>
        <w:rPr>
          <w:rFonts w:hAnsi="宋体"/>
          <w:kern w:val="0"/>
          <w:sz w:val="24"/>
        </w:rPr>
        <w:t>办公地址：</w:t>
      </w:r>
      <w:r>
        <w:rPr>
          <w:rFonts w:ascii="宋体" w:hAnsi="宋体" w:cs="宋体" w:hint="eastAsia"/>
          <w:kern w:val="0"/>
          <w:sz w:val="24"/>
        </w:rPr>
        <w:t>上海市浦东</w:t>
      </w:r>
      <w:r>
        <w:rPr>
          <w:rFonts w:ascii="宋体" w:hAnsi="宋体" w:cs="宋体"/>
          <w:kern w:val="0"/>
          <w:sz w:val="24"/>
        </w:rPr>
        <w:t>新区</w:t>
      </w:r>
      <w:r>
        <w:rPr>
          <w:rFonts w:ascii="宋体" w:hAnsi="宋体" w:cs="宋体" w:hint="eastAsia"/>
          <w:kern w:val="0"/>
          <w:sz w:val="24"/>
        </w:rPr>
        <w:t>世纪大道8号国金中心二期21-22楼</w:t>
      </w:r>
    </w:p>
    <w:p w14:paraId="07B87D28" w14:textId="77777777" w:rsidR="00791BDD" w:rsidRDefault="00B75151">
      <w:pPr>
        <w:widowControl/>
        <w:adjustRightInd w:val="0"/>
        <w:snapToGrid w:val="0"/>
        <w:spacing w:line="360" w:lineRule="auto"/>
        <w:ind w:firstLineChars="200" w:firstLine="480"/>
        <w:rPr>
          <w:kern w:val="0"/>
          <w:sz w:val="24"/>
        </w:rPr>
      </w:pPr>
      <w:r>
        <w:rPr>
          <w:rFonts w:hAnsi="宋体"/>
          <w:sz w:val="24"/>
        </w:rPr>
        <w:t>邮政编码：</w:t>
      </w:r>
      <w:r>
        <w:rPr>
          <w:sz w:val="24"/>
        </w:rPr>
        <w:t>200120</w:t>
      </w:r>
    </w:p>
    <w:p w14:paraId="4BA60D5F" w14:textId="77777777" w:rsidR="00791BDD" w:rsidRDefault="00B75151">
      <w:pPr>
        <w:widowControl/>
        <w:adjustRightInd w:val="0"/>
        <w:snapToGrid w:val="0"/>
        <w:spacing w:line="360" w:lineRule="auto"/>
        <w:ind w:firstLineChars="200" w:firstLine="480"/>
        <w:rPr>
          <w:rFonts w:hAnsi="宋体"/>
          <w:kern w:val="0"/>
          <w:sz w:val="24"/>
        </w:rPr>
      </w:pPr>
      <w:r>
        <w:rPr>
          <w:rFonts w:hAnsi="宋体"/>
          <w:kern w:val="0"/>
          <w:sz w:val="24"/>
        </w:rPr>
        <w:t>法定代表人：</w:t>
      </w:r>
      <w:r>
        <w:rPr>
          <w:rFonts w:hAnsi="宋体" w:hint="eastAsia"/>
          <w:kern w:val="0"/>
          <w:sz w:val="24"/>
        </w:rPr>
        <w:t>张宏良</w:t>
      </w:r>
    </w:p>
    <w:p w14:paraId="3C5BC4F0" w14:textId="77777777" w:rsidR="00791BDD" w:rsidRDefault="00B75151">
      <w:pPr>
        <w:widowControl/>
        <w:adjustRightInd w:val="0"/>
        <w:snapToGrid w:val="0"/>
        <w:spacing w:line="360" w:lineRule="auto"/>
        <w:ind w:firstLineChars="200" w:firstLine="480"/>
        <w:rPr>
          <w:kern w:val="0"/>
          <w:sz w:val="24"/>
        </w:rPr>
      </w:pPr>
      <w:r>
        <w:rPr>
          <w:rFonts w:hAnsi="宋体"/>
          <w:kern w:val="0"/>
          <w:sz w:val="24"/>
        </w:rPr>
        <w:t>成立时间：</w:t>
      </w:r>
      <w:r>
        <w:rPr>
          <w:kern w:val="0"/>
          <w:sz w:val="24"/>
        </w:rPr>
        <w:t>2005</w:t>
      </w:r>
      <w:r>
        <w:rPr>
          <w:rFonts w:hAnsi="宋体"/>
          <w:kern w:val="0"/>
          <w:sz w:val="24"/>
        </w:rPr>
        <w:t>年</w:t>
      </w:r>
      <w:r>
        <w:rPr>
          <w:kern w:val="0"/>
          <w:sz w:val="24"/>
        </w:rPr>
        <w:t>8</w:t>
      </w:r>
      <w:r>
        <w:rPr>
          <w:rFonts w:hAnsi="宋体"/>
          <w:kern w:val="0"/>
          <w:sz w:val="24"/>
        </w:rPr>
        <w:t>月</w:t>
      </w:r>
      <w:r>
        <w:rPr>
          <w:kern w:val="0"/>
          <w:sz w:val="24"/>
        </w:rPr>
        <w:t>4</w:t>
      </w:r>
      <w:r>
        <w:rPr>
          <w:rFonts w:hAnsi="宋体"/>
          <w:kern w:val="0"/>
          <w:sz w:val="24"/>
        </w:rPr>
        <w:t>日</w:t>
      </w:r>
    </w:p>
    <w:p w14:paraId="279EF358" w14:textId="77777777" w:rsidR="00791BDD" w:rsidRDefault="00B75151">
      <w:pPr>
        <w:widowControl/>
        <w:adjustRightInd w:val="0"/>
        <w:snapToGrid w:val="0"/>
        <w:spacing w:line="360" w:lineRule="auto"/>
        <w:ind w:firstLineChars="200" w:firstLine="480"/>
        <w:rPr>
          <w:kern w:val="0"/>
          <w:sz w:val="24"/>
        </w:rPr>
      </w:pPr>
      <w:r>
        <w:rPr>
          <w:rFonts w:hAnsi="宋体"/>
          <w:kern w:val="0"/>
          <w:sz w:val="24"/>
        </w:rPr>
        <w:t>注册资本：</w:t>
      </w:r>
      <w:r>
        <w:rPr>
          <w:kern w:val="0"/>
          <w:sz w:val="24"/>
        </w:rPr>
        <w:t>2</w:t>
      </w:r>
      <w:r>
        <w:rPr>
          <w:rFonts w:hAnsi="宋体"/>
          <w:kern w:val="0"/>
          <w:sz w:val="24"/>
        </w:rPr>
        <w:t>亿元人民币</w:t>
      </w:r>
    </w:p>
    <w:p w14:paraId="17EA4DBD" w14:textId="77777777" w:rsidR="00791BDD" w:rsidRDefault="00B75151">
      <w:pPr>
        <w:widowControl/>
        <w:adjustRightInd w:val="0"/>
        <w:snapToGrid w:val="0"/>
        <w:spacing w:line="360" w:lineRule="auto"/>
        <w:ind w:firstLineChars="200" w:firstLine="480"/>
        <w:rPr>
          <w:kern w:val="0"/>
          <w:sz w:val="24"/>
        </w:rPr>
      </w:pPr>
      <w:r>
        <w:rPr>
          <w:rFonts w:hAnsi="宋体"/>
          <w:kern w:val="0"/>
          <w:sz w:val="24"/>
        </w:rPr>
        <w:t>存续期间：持续经营</w:t>
      </w:r>
    </w:p>
    <w:p w14:paraId="12B50C2D" w14:textId="77777777" w:rsidR="00791BDD" w:rsidRDefault="00B75151">
      <w:pPr>
        <w:widowControl/>
        <w:adjustRightInd w:val="0"/>
        <w:snapToGrid w:val="0"/>
        <w:spacing w:line="360" w:lineRule="auto"/>
        <w:ind w:firstLineChars="200" w:firstLine="480"/>
        <w:rPr>
          <w:kern w:val="0"/>
          <w:sz w:val="24"/>
        </w:rPr>
      </w:pPr>
      <w:r>
        <w:rPr>
          <w:rFonts w:hAnsi="宋体"/>
          <w:kern w:val="0"/>
          <w:sz w:val="24"/>
        </w:rPr>
        <w:t>联系人：</w:t>
      </w:r>
      <w:r>
        <w:rPr>
          <w:rFonts w:hAnsi="宋体" w:hint="eastAsia"/>
          <w:kern w:val="0"/>
          <w:sz w:val="24"/>
        </w:rPr>
        <w:t>何佳妮</w:t>
      </w:r>
    </w:p>
    <w:p w14:paraId="46A0DCE2" w14:textId="77777777" w:rsidR="00791BDD" w:rsidRDefault="00B75151">
      <w:pPr>
        <w:widowControl/>
        <w:adjustRightInd w:val="0"/>
        <w:snapToGrid w:val="0"/>
        <w:spacing w:line="360" w:lineRule="auto"/>
        <w:ind w:firstLineChars="200" w:firstLine="480"/>
        <w:rPr>
          <w:kern w:val="0"/>
          <w:sz w:val="24"/>
        </w:rPr>
      </w:pPr>
      <w:r>
        <w:rPr>
          <w:rFonts w:hAnsi="宋体"/>
          <w:kern w:val="0"/>
          <w:sz w:val="24"/>
        </w:rPr>
        <w:t>电话：</w:t>
      </w:r>
      <w:r>
        <w:rPr>
          <w:rFonts w:hAnsi="宋体" w:hint="eastAsia"/>
          <w:kern w:val="0"/>
          <w:sz w:val="24"/>
        </w:rPr>
        <w:t>（</w:t>
      </w:r>
      <w:r>
        <w:rPr>
          <w:kern w:val="0"/>
          <w:sz w:val="24"/>
        </w:rPr>
        <w:t>021</w:t>
      </w:r>
      <w:r>
        <w:rPr>
          <w:rFonts w:hint="eastAsia"/>
          <w:kern w:val="0"/>
          <w:sz w:val="24"/>
        </w:rPr>
        <w:t>）</w:t>
      </w:r>
      <w:r>
        <w:rPr>
          <w:kern w:val="0"/>
          <w:sz w:val="24"/>
        </w:rPr>
        <w:t>61055050</w:t>
      </w:r>
    </w:p>
    <w:p w14:paraId="2446AF55" w14:textId="77777777" w:rsidR="00791BDD" w:rsidRDefault="00B75151">
      <w:pPr>
        <w:widowControl/>
        <w:adjustRightInd w:val="0"/>
        <w:snapToGrid w:val="0"/>
        <w:spacing w:line="360" w:lineRule="auto"/>
        <w:ind w:firstLineChars="200" w:firstLine="480"/>
        <w:rPr>
          <w:kern w:val="0"/>
          <w:sz w:val="24"/>
        </w:rPr>
      </w:pPr>
      <w:r>
        <w:rPr>
          <w:rFonts w:hAnsi="宋体"/>
          <w:kern w:val="0"/>
          <w:sz w:val="24"/>
        </w:rPr>
        <w:t>传真：</w:t>
      </w:r>
      <w:r>
        <w:rPr>
          <w:rFonts w:hAnsi="宋体" w:hint="eastAsia"/>
          <w:kern w:val="0"/>
          <w:sz w:val="24"/>
        </w:rPr>
        <w:t>（</w:t>
      </w:r>
      <w:r>
        <w:rPr>
          <w:kern w:val="0"/>
          <w:sz w:val="24"/>
        </w:rPr>
        <w:t>021</w:t>
      </w:r>
      <w:r>
        <w:rPr>
          <w:rFonts w:hint="eastAsia"/>
          <w:kern w:val="0"/>
          <w:sz w:val="24"/>
        </w:rPr>
        <w:t>）</w:t>
      </w:r>
      <w:r>
        <w:rPr>
          <w:kern w:val="0"/>
          <w:sz w:val="24"/>
        </w:rPr>
        <w:t>61055034</w:t>
      </w:r>
    </w:p>
    <w:p w14:paraId="46C11291" w14:textId="77777777" w:rsidR="00791BDD" w:rsidRDefault="00B75151">
      <w:pPr>
        <w:widowControl/>
        <w:adjustRightInd w:val="0"/>
        <w:snapToGrid w:val="0"/>
        <w:spacing w:line="360" w:lineRule="auto"/>
        <w:ind w:firstLineChars="200" w:firstLine="480"/>
        <w:rPr>
          <w:kern w:val="0"/>
          <w:sz w:val="24"/>
        </w:rPr>
      </w:pPr>
      <w:r>
        <w:rPr>
          <w:rFonts w:hAnsi="宋体"/>
          <w:kern w:val="0"/>
          <w:sz w:val="24"/>
        </w:rPr>
        <w:t>交银施罗德基金管理有限公司（以下简称</w:t>
      </w:r>
      <w:r>
        <w:rPr>
          <w:rFonts w:hint="eastAsia"/>
          <w:kern w:val="0"/>
          <w:sz w:val="24"/>
        </w:rPr>
        <w:t>“</w:t>
      </w:r>
      <w:r>
        <w:rPr>
          <w:rFonts w:hAnsi="宋体"/>
          <w:kern w:val="0"/>
          <w:sz w:val="24"/>
        </w:rPr>
        <w:t>公司</w:t>
      </w:r>
      <w:r>
        <w:rPr>
          <w:rFonts w:hint="eastAsia"/>
          <w:kern w:val="0"/>
          <w:sz w:val="24"/>
        </w:rPr>
        <w:t>”</w:t>
      </w:r>
      <w:r>
        <w:rPr>
          <w:rFonts w:hAnsi="宋体"/>
          <w:kern w:val="0"/>
          <w:sz w:val="24"/>
        </w:rPr>
        <w:t>）经中国证监会证监基金字</w:t>
      </w:r>
      <w:r>
        <w:rPr>
          <w:kern w:val="0"/>
          <w:sz w:val="24"/>
        </w:rPr>
        <w:t>[2005]128</w:t>
      </w:r>
      <w:r>
        <w:rPr>
          <w:rFonts w:hAnsi="宋体"/>
          <w:kern w:val="0"/>
          <w:sz w:val="24"/>
        </w:rPr>
        <w:t>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0"/>
        <w:gridCol w:w="3060"/>
      </w:tblGrid>
      <w:tr w:rsidR="00791BDD" w14:paraId="2815FD8A" w14:textId="77777777">
        <w:trPr>
          <w:trHeight w:val="402"/>
        </w:trPr>
        <w:tc>
          <w:tcPr>
            <w:tcW w:w="5400" w:type="dxa"/>
          </w:tcPr>
          <w:p w14:paraId="77F21179" w14:textId="77777777" w:rsidR="00791BDD" w:rsidRDefault="00B75151">
            <w:pPr>
              <w:widowControl/>
              <w:jc w:val="center"/>
              <w:rPr>
                <w:kern w:val="0"/>
                <w:sz w:val="24"/>
              </w:rPr>
            </w:pPr>
            <w:r>
              <w:rPr>
                <w:rFonts w:hAnsi="宋体"/>
                <w:kern w:val="0"/>
                <w:sz w:val="24"/>
              </w:rPr>
              <w:t>股东名称</w:t>
            </w:r>
          </w:p>
        </w:tc>
        <w:tc>
          <w:tcPr>
            <w:tcW w:w="3060" w:type="dxa"/>
          </w:tcPr>
          <w:p w14:paraId="1C955621" w14:textId="77777777" w:rsidR="00791BDD" w:rsidRDefault="00B75151">
            <w:pPr>
              <w:widowControl/>
              <w:jc w:val="center"/>
              <w:rPr>
                <w:kern w:val="0"/>
                <w:sz w:val="24"/>
              </w:rPr>
            </w:pPr>
            <w:r>
              <w:rPr>
                <w:rFonts w:hAnsi="宋体"/>
                <w:kern w:val="0"/>
                <w:sz w:val="24"/>
              </w:rPr>
              <w:t>股权比例</w:t>
            </w:r>
          </w:p>
        </w:tc>
      </w:tr>
      <w:tr w:rsidR="00791BDD" w14:paraId="4321AB90" w14:textId="77777777">
        <w:trPr>
          <w:trHeight w:val="950"/>
        </w:trPr>
        <w:tc>
          <w:tcPr>
            <w:tcW w:w="5400" w:type="dxa"/>
          </w:tcPr>
          <w:p w14:paraId="6EAC70E5" w14:textId="77777777" w:rsidR="00791BDD" w:rsidRDefault="00B75151">
            <w:pPr>
              <w:widowControl/>
              <w:rPr>
                <w:kern w:val="0"/>
                <w:sz w:val="24"/>
              </w:rPr>
            </w:pPr>
            <w:r>
              <w:rPr>
                <w:rFonts w:hAnsi="宋体"/>
                <w:kern w:val="0"/>
                <w:sz w:val="24"/>
              </w:rPr>
              <w:t>交通银行股份有限公司（以下使用全称或其简称</w:t>
            </w:r>
            <w:r>
              <w:rPr>
                <w:kern w:val="0"/>
                <w:sz w:val="24"/>
              </w:rPr>
              <w:t>“</w:t>
            </w:r>
            <w:r>
              <w:rPr>
                <w:rFonts w:hAnsi="宋体"/>
                <w:kern w:val="0"/>
                <w:sz w:val="24"/>
              </w:rPr>
              <w:t>交通银行</w:t>
            </w:r>
            <w:r>
              <w:rPr>
                <w:kern w:val="0"/>
                <w:sz w:val="24"/>
              </w:rPr>
              <w:t>”</w:t>
            </w:r>
            <w:r>
              <w:rPr>
                <w:rFonts w:hAnsi="宋体"/>
                <w:kern w:val="0"/>
                <w:sz w:val="24"/>
              </w:rPr>
              <w:t>）</w:t>
            </w:r>
          </w:p>
        </w:tc>
        <w:tc>
          <w:tcPr>
            <w:tcW w:w="3060" w:type="dxa"/>
            <w:vAlign w:val="center"/>
          </w:tcPr>
          <w:p w14:paraId="6873F242" w14:textId="77777777" w:rsidR="00791BDD" w:rsidRDefault="00B75151">
            <w:pPr>
              <w:widowControl/>
              <w:jc w:val="center"/>
              <w:rPr>
                <w:kern w:val="0"/>
                <w:sz w:val="24"/>
              </w:rPr>
            </w:pPr>
            <w:r>
              <w:rPr>
                <w:kern w:val="0"/>
                <w:sz w:val="24"/>
              </w:rPr>
              <w:t>65%</w:t>
            </w:r>
          </w:p>
        </w:tc>
      </w:tr>
      <w:tr w:rsidR="00791BDD" w14:paraId="331B74E6" w14:textId="77777777">
        <w:tc>
          <w:tcPr>
            <w:tcW w:w="5400" w:type="dxa"/>
          </w:tcPr>
          <w:p w14:paraId="7DBF8821" w14:textId="77777777" w:rsidR="00791BDD" w:rsidRDefault="00B75151">
            <w:pPr>
              <w:widowControl/>
              <w:rPr>
                <w:kern w:val="0"/>
                <w:sz w:val="24"/>
              </w:rPr>
            </w:pPr>
            <w:r>
              <w:rPr>
                <w:rFonts w:hAnsi="宋体"/>
                <w:kern w:val="0"/>
                <w:sz w:val="24"/>
              </w:rPr>
              <w:t>施罗德投资管理有限公司</w:t>
            </w:r>
          </w:p>
        </w:tc>
        <w:tc>
          <w:tcPr>
            <w:tcW w:w="3060" w:type="dxa"/>
            <w:vAlign w:val="center"/>
          </w:tcPr>
          <w:p w14:paraId="37D64B81" w14:textId="77777777" w:rsidR="00791BDD" w:rsidRDefault="00B75151">
            <w:pPr>
              <w:widowControl/>
              <w:jc w:val="center"/>
              <w:rPr>
                <w:kern w:val="0"/>
                <w:sz w:val="24"/>
              </w:rPr>
            </w:pPr>
            <w:r>
              <w:rPr>
                <w:kern w:val="0"/>
                <w:sz w:val="24"/>
              </w:rPr>
              <w:t>30%</w:t>
            </w:r>
          </w:p>
        </w:tc>
      </w:tr>
      <w:tr w:rsidR="00791BDD" w14:paraId="5B651394" w14:textId="77777777">
        <w:trPr>
          <w:trHeight w:val="58"/>
        </w:trPr>
        <w:tc>
          <w:tcPr>
            <w:tcW w:w="5400" w:type="dxa"/>
          </w:tcPr>
          <w:p w14:paraId="3F6057A6" w14:textId="77777777" w:rsidR="00791BDD" w:rsidRDefault="00B75151">
            <w:pPr>
              <w:widowControl/>
              <w:rPr>
                <w:kern w:val="0"/>
                <w:sz w:val="24"/>
              </w:rPr>
            </w:pPr>
            <w:r>
              <w:rPr>
                <w:rFonts w:hAnsi="宋体"/>
                <w:kern w:val="0"/>
                <w:sz w:val="24"/>
              </w:rPr>
              <w:t>中国国际海运集装箱（集团）股份有限公司</w:t>
            </w:r>
          </w:p>
        </w:tc>
        <w:tc>
          <w:tcPr>
            <w:tcW w:w="3060" w:type="dxa"/>
            <w:vAlign w:val="center"/>
          </w:tcPr>
          <w:p w14:paraId="6E0F48B4" w14:textId="77777777" w:rsidR="00791BDD" w:rsidRDefault="00B75151">
            <w:pPr>
              <w:widowControl/>
              <w:jc w:val="center"/>
              <w:rPr>
                <w:kern w:val="0"/>
                <w:sz w:val="24"/>
              </w:rPr>
            </w:pPr>
            <w:r>
              <w:rPr>
                <w:kern w:val="0"/>
                <w:sz w:val="24"/>
              </w:rPr>
              <w:t>5%</w:t>
            </w:r>
          </w:p>
        </w:tc>
      </w:tr>
    </w:tbl>
    <w:p w14:paraId="4FAD0E13" w14:textId="77777777" w:rsidR="00791BDD" w:rsidRDefault="00791BDD">
      <w:pPr>
        <w:adjustRightInd w:val="0"/>
        <w:snapToGrid w:val="0"/>
        <w:spacing w:line="360" w:lineRule="auto"/>
        <w:ind w:firstLineChars="200" w:firstLine="480"/>
        <w:rPr>
          <w:rFonts w:hAnsi="宋体"/>
          <w:kern w:val="0"/>
          <w:sz w:val="24"/>
        </w:rPr>
      </w:pPr>
    </w:p>
    <w:p w14:paraId="3D01CBAA" w14:textId="77777777" w:rsidR="00791BDD" w:rsidRDefault="00B75151">
      <w:pPr>
        <w:widowControl/>
        <w:adjustRightInd w:val="0"/>
        <w:snapToGrid w:val="0"/>
        <w:spacing w:line="360" w:lineRule="auto"/>
        <w:ind w:firstLineChars="200" w:firstLine="482"/>
        <w:outlineLvl w:val="1"/>
        <w:rPr>
          <w:rFonts w:hAnsi="宋体"/>
          <w:b/>
          <w:kern w:val="0"/>
          <w:sz w:val="24"/>
        </w:rPr>
      </w:pPr>
      <w:r>
        <w:rPr>
          <w:rFonts w:hAnsi="宋体"/>
          <w:b/>
          <w:kern w:val="0"/>
          <w:sz w:val="24"/>
        </w:rPr>
        <w:t>（二）主要成员情况</w:t>
      </w:r>
    </w:p>
    <w:p w14:paraId="08EF0DA8" w14:textId="77777777" w:rsidR="00791BDD" w:rsidRDefault="00B75151">
      <w:pPr>
        <w:widowControl/>
        <w:adjustRightInd w:val="0"/>
        <w:snapToGrid w:val="0"/>
        <w:spacing w:line="360" w:lineRule="auto"/>
        <w:ind w:firstLineChars="200" w:firstLine="480"/>
        <w:outlineLvl w:val="2"/>
        <w:rPr>
          <w:kern w:val="0"/>
          <w:sz w:val="24"/>
        </w:rPr>
      </w:pPr>
      <w:r>
        <w:rPr>
          <w:rFonts w:hint="eastAsia"/>
          <w:kern w:val="0"/>
          <w:sz w:val="24"/>
        </w:rPr>
        <w:t>1</w:t>
      </w:r>
      <w:r>
        <w:rPr>
          <w:rFonts w:hint="eastAsia"/>
          <w:kern w:val="0"/>
          <w:sz w:val="24"/>
        </w:rPr>
        <w:t>、基金管理人董事会成员</w:t>
      </w:r>
    </w:p>
    <w:p w14:paraId="55EB91CA" w14:textId="77777777" w:rsidR="00242ABA" w:rsidRPr="00242ABA" w:rsidRDefault="00242ABA" w:rsidP="00242ABA">
      <w:pPr>
        <w:widowControl/>
        <w:adjustRightInd w:val="0"/>
        <w:snapToGrid w:val="0"/>
        <w:spacing w:line="360" w:lineRule="auto"/>
        <w:ind w:firstLineChars="200" w:firstLine="480"/>
        <w:outlineLvl w:val="2"/>
        <w:rPr>
          <w:kern w:val="0"/>
          <w:sz w:val="24"/>
        </w:rPr>
      </w:pPr>
      <w:r w:rsidRPr="00242ABA">
        <w:rPr>
          <w:rFonts w:hint="eastAsia"/>
          <w:kern w:val="0"/>
          <w:sz w:val="24"/>
        </w:rPr>
        <w:t>张宏良先生，董事长，硕士，高级经济师。历任中国太平洋人寿保险公司乌鲁木齐分公司、河南（郑州）分公司、上海分公司党委书记、总经理，交银人寿保险</w:t>
      </w:r>
      <w:r w:rsidRPr="00242ABA">
        <w:rPr>
          <w:rFonts w:hint="eastAsia"/>
          <w:kern w:val="0"/>
          <w:sz w:val="24"/>
        </w:rPr>
        <w:lastRenderedPageBreak/>
        <w:t>有限公司党委书记、董事长、总裁，兼任交银康联资产管理有限公司董事长，交银理财有限责任公司党委书记、董事长。</w:t>
      </w:r>
    </w:p>
    <w:p w14:paraId="4944CF38" w14:textId="77777777" w:rsidR="00242ABA" w:rsidRPr="00242ABA" w:rsidRDefault="00242ABA" w:rsidP="00242ABA">
      <w:pPr>
        <w:widowControl/>
        <w:adjustRightInd w:val="0"/>
        <w:snapToGrid w:val="0"/>
        <w:spacing w:line="360" w:lineRule="auto"/>
        <w:ind w:firstLineChars="200" w:firstLine="480"/>
        <w:outlineLvl w:val="2"/>
        <w:rPr>
          <w:kern w:val="0"/>
          <w:sz w:val="24"/>
        </w:rPr>
      </w:pPr>
      <w:r w:rsidRPr="00242ABA">
        <w:rPr>
          <w:rFonts w:hint="eastAsia"/>
          <w:kern w:val="0"/>
          <w:sz w:val="24"/>
        </w:rPr>
        <w:t>袁庆伟女士，董事，总经理，硕士。历任交通银行乌鲁木齐分行财务会计处副处长、会计结算部高级经理，交通银行总行资产托管业务中心（资产托管部）副总裁、总裁，交通银行总行金融机构部总经理、资产管理业务中心总裁等职务。</w:t>
      </w:r>
    </w:p>
    <w:p w14:paraId="6FCE7334" w14:textId="77777777" w:rsidR="00242ABA" w:rsidRPr="00242ABA" w:rsidRDefault="00242ABA" w:rsidP="00242ABA">
      <w:pPr>
        <w:widowControl/>
        <w:adjustRightInd w:val="0"/>
        <w:snapToGrid w:val="0"/>
        <w:spacing w:line="360" w:lineRule="auto"/>
        <w:ind w:firstLineChars="200" w:firstLine="480"/>
        <w:outlineLvl w:val="2"/>
        <w:rPr>
          <w:kern w:val="0"/>
          <w:sz w:val="24"/>
        </w:rPr>
      </w:pPr>
      <w:r w:rsidRPr="00242ABA">
        <w:rPr>
          <w:rFonts w:hint="eastAsia"/>
          <w:kern w:val="0"/>
          <w:sz w:val="24"/>
        </w:rPr>
        <w:t>夏华龙先生，董事，博士，现任交通银行选派子公司股权董事，历任交通银行总行托管部基金业务部内控综合处副处长、资产委托高级经理、保险及养老金高级经理、资产托管部副总经理，交银施罗德基金管理有限公司党委委员、副总经理、首席信息官，交通银行总行养老金融部总经理。</w:t>
      </w:r>
    </w:p>
    <w:p w14:paraId="5E268641" w14:textId="77777777" w:rsidR="00242ABA" w:rsidRPr="00242ABA" w:rsidRDefault="00242ABA" w:rsidP="00242ABA">
      <w:pPr>
        <w:widowControl/>
        <w:adjustRightInd w:val="0"/>
        <w:snapToGrid w:val="0"/>
        <w:spacing w:line="360" w:lineRule="auto"/>
        <w:ind w:firstLineChars="200" w:firstLine="480"/>
        <w:outlineLvl w:val="2"/>
        <w:rPr>
          <w:kern w:val="0"/>
          <w:sz w:val="24"/>
        </w:rPr>
      </w:pPr>
      <w:r w:rsidRPr="00242ABA">
        <w:rPr>
          <w:rFonts w:hint="eastAsia"/>
          <w:kern w:val="0"/>
          <w:sz w:val="24"/>
        </w:rPr>
        <w:t>Karine Szenberg</w:t>
      </w:r>
      <w:r w:rsidRPr="00242ABA">
        <w:rPr>
          <w:rFonts w:hint="eastAsia"/>
          <w:kern w:val="0"/>
          <w:sz w:val="24"/>
        </w:rPr>
        <w:t>女士，董事，硕士。现任施罗德投资集团执行副主席、集团执行委员会成员和施罗德投资管理（瑞士）股份有限公司董事会主席。历任施罗德投资法国主管、欧洲主管、全球产品和营销主管等。</w:t>
      </w:r>
    </w:p>
    <w:p w14:paraId="06F948E7" w14:textId="77777777" w:rsidR="00242ABA" w:rsidRPr="00242ABA" w:rsidRDefault="00242ABA" w:rsidP="00242ABA">
      <w:pPr>
        <w:widowControl/>
        <w:adjustRightInd w:val="0"/>
        <w:snapToGrid w:val="0"/>
        <w:spacing w:line="360" w:lineRule="auto"/>
        <w:ind w:firstLineChars="200" w:firstLine="480"/>
        <w:outlineLvl w:val="2"/>
        <w:rPr>
          <w:kern w:val="0"/>
          <w:sz w:val="24"/>
        </w:rPr>
      </w:pPr>
      <w:r w:rsidRPr="00242ABA">
        <w:rPr>
          <w:rFonts w:hint="eastAsia"/>
          <w:kern w:val="0"/>
          <w:sz w:val="24"/>
        </w:rPr>
        <w:t>章骏翔先生，副董事长，硕士，美国特许金融分析师</w:t>
      </w:r>
      <w:r w:rsidRPr="00242ABA">
        <w:rPr>
          <w:rFonts w:hint="eastAsia"/>
          <w:kern w:val="0"/>
          <w:sz w:val="24"/>
        </w:rPr>
        <w:t>(CFA)</w:t>
      </w:r>
      <w:r w:rsidRPr="00242ABA">
        <w:rPr>
          <w:rFonts w:hint="eastAsia"/>
          <w:kern w:val="0"/>
          <w:sz w:val="24"/>
        </w:rPr>
        <w:t>持证人。现任施罗德投资管理（香港）有限公司亚洲投资风险主管。历任渣打银行（香港）交易风险监控，华宝兴业基金风险管理部总经理，法国安盛投资管理（香港）有限公司亚洲风险经理等。</w:t>
      </w:r>
    </w:p>
    <w:p w14:paraId="246E7EDE" w14:textId="77777777" w:rsidR="00242ABA" w:rsidRPr="00242ABA" w:rsidRDefault="00242ABA" w:rsidP="00242ABA">
      <w:pPr>
        <w:widowControl/>
        <w:adjustRightInd w:val="0"/>
        <w:snapToGrid w:val="0"/>
        <w:spacing w:line="360" w:lineRule="auto"/>
        <w:ind w:firstLineChars="200" w:firstLine="480"/>
        <w:outlineLvl w:val="2"/>
        <w:rPr>
          <w:kern w:val="0"/>
          <w:sz w:val="24"/>
        </w:rPr>
      </w:pPr>
      <w:r w:rsidRPr="00242ABA">
        <w:rPr>
          <w:rFonts w:hint="eastAsia"/>
          <w:kern w:val="0"/>
          <w:sz w:val="24"/>
        </w:rPr>
        <w:t>单锋先生，独立董事，博士。现任南京大学法学教授职务。历任南京大学法学院助教、讲师、副教授。</w:t>
      </w:r>
    </w:p>
    <w:p w14:paraId="3E05BFEC" w14:textId="77777777" w:rsidR="00242ABA" w:rsidRPr="00242ABA" w:rsidRDefault="00242ABA" w:rsidP="00242ABA">
      <w:pPr>
        <w:widowControl/>
        <w:adjustRightInd w:val="0"/>
        <w:snapToGrid w:val="0"/>
        <w:spacing w:line="360" w:lineRule="auto"/>
        <w:ind w:firstLineChars="200" w:firstLine="480"/>
        <w:outlineLvl w:val="2"/>
        <w:rPr>
          <w:kern w:val="0"/>
          <w:sz w:val="24"/>
        </w:rPr>
      </w:pPr>
      <w:r w:rsidRPr="00242ABA">
        <w:rPr>
          <w:rFonts w:hint="eastAsia"/>
          <w:kern w:val="0"/>
          <w:sz w:val="24"/>
        </w:rPr>
        <w:t>刘凤元先生，独立董事，博士。现任华东政法大学国际金融法律学院教授，资本市场研究中心主任，兼任多家香港和大陆上市公司（非证券基金经营机构）独立董事。</w:t>
      </w:r>
    </w:p>
    <w:p w14:paraId="7DA0A031" w14:textId="77777777" w:rsidR="00242ABA" w:rsidRPr="00242ABA" w:rsidRDefault="00242ABA" w:rsidP="00242ABA">
      <w:pPr>
        <w:widowControl/>
        <w:adjustRightInd w:val="0"/>
        <w:snapToGrid w:val="0"/>
        <w:spacing w:line="360" w:lineRule="auto"/>
        <w:ind w:firstLineChars="200" w:firstLine="480"/>
        <w:outlineLvl w:val="2"/>
        <w:rPr>
          <w:kern w:val="0"/>
          <w:sz w:val="24"/>
        </w:rPr>
      </w:pPr>
      <w:r w:rsidRPr="00242ABA">
        <w:rPr>
          <w:rFonts w:hint="eastAsia"/>
          <w:kern w:val="0"/>
          <w:sz w:val="24"/>
        </w:rPr>
        <w:t>宋若坤女士，独立董事，学士。英格兰及威尔士特许会计师协会和香港会计师公会特许会计师。历任毕马威会计师事务所香港分所审计部副经理，摩根资产管理（香港）亚太区资产管理合规主管等。</w:t>
      </w:r>
    </w:p>
    <w:p w14:paraId="162E6161" w14:textId="77777777" w:rsidR="00242ABA" w:rsidRPr="00242ABA" w:rsidRDefault="00242ABA" w:rsidP="00242ABA">
      <w:pPr>
        <w:widowControl/>
        <w:adjustRightInd w:val="0"/>
        <w:snapToGrid w:val="0"/>
        <w:spacing w:line="360" w:lineRule="auto"/>
        <w:ind w:firstLineChars="200" w:firstLine="480"/>
        <w:outlineLvl w:val="2"/>
        <w:rPr>
          <w:kern w:val="0"/>
          <w:sz w:val="24"/>
        </w:rPr>
      </w:pPr>
      <w:r w:rsidRPr="00242ABA">
        <w:rPr>
          <w:rFonts w:hint="eastAsia"/>
          <w:kern w:val="0"/>
          <w:sz w:val="24"/>
        </w:rPr>
        <w:t>2</w:t>
      </w:r>
      <w:r w:rsidRPr="00242ABA">
        <w:rPr>
          <w:rFonts w:hint="eastAsia"/>
          <w:kern w:val="0"/>
          <w:sz w:val="24"/>
        </w:rPr>
        <w:t>、基金管理人高级管理人员</w:t>
      </w:r>
    </w:p>
    <w:p w14:paraId="0C5A772C" w14:textId="77777777" w:rsidR="00242ABA" w:rsidRPr="00242ABA" w:rsidRDefault="00242ABA" w:rsidP="00242ABA">
      <w:pPr>
        <w:widowControl/>
        <w:adjustRightInd w:val="0"/>
        <w:snapToGrid w:val="0"/>
        <w:spacing w:line="360" w:lineRule="auto"/>
        <w:ind w:firstLineChars="200" w:firstLine="480"/>
        <w:outlineLvl w:val="2"/>
        <w:rPr>
          <w:kern w:val="0"/>
          <w:sz w:val="24"/>
        </w:rPr>
      </w:pPr>
      <w:r w:rsidRPr="00242ABA">
        <w:rPr>
          <w:rFonts w:hint="eastAsia"/>
          <w:kern w:val="0"/>
          <w:sz w:val="24"/>
        </w:rPr>
        <w:t>袁庆伟女士，总经理。简历同上。</w:t>
      </w:r>
    </w:p>
    <w:p w14:paraId="059A778E" w14:textId="77777777" w:rsidR="00242ABA" w:rsidRPr="00242ABA" w:rsidRDefault="00242ABA" w:rsidP="00242ABA">
      <w:pPr>
        <w:widowControl/>
        <w:adjustRightInd w:val="0"/>
        <w:snapToGrid w:val="0"/>
        <w:spacing w:line="360" w:lineRule="auto"/>
        <w:ind w:firstLineChars="200" w:firstLine="480"/>
        <w:outlineLvl w:val="2"/>
        <w:rPr>
          <w:kern w:val="0"/>
          <w:sz w:val="24"/>
        </w:rPr>
      </w:pPr>
      <w:r w:rsidRPr="00242ABA">
        <w:rPr>
          <w:rFonts w:hint="eastAsia"/>
          <w:kern w:val="0"/>
          <w:sz w:val="24"/>
        </w:rPr>
        <w:t>佘川女士，督察长，硕士，兼任交银施罗德资产管理有限公司董事。历任华泰证券有限责任公司综合发展部高级经理、投资银行部项目经理，银河基金管理有限</w:t>
      </w:r>
      <w:r w:rsidRPr="00242ABA">
        <w:rPr>
          <w:rFonts w:hint="eastAsia"/>
          <w:kern w:val="0"/>
          <w:sz w:val="24"/>
        </w:rPr>
        <w:lastRenderedPageBreak/>
        <w:t>公司监察部总监，交银施罗德基金管理有限公司监察稽核部总经理、监察风控副总监、投资运营总监。</w:t>
      </w:r>
    </w:p>
    <w:p w14:paraId="11E92847" w14:textId="77777777" w:rsidR="00242ABA" w:rsidRPr="00242ABA" w:rsidRDefault="00242ABA" w:rsidP="00242ABA">
      <w:pPr>
        <w:widowControl/>
        <w:adjustRightInd w:val="0"/>
        <w:snapToGrid w:val="0"/>
        <w:spacing w:line="360" w:lineRule="auto"/>
        <w:ind w:firstLineChars="200" w:firstLine="480"/>
        <w:outlineLvl w:val="2"/>
        <w:rPr>
          <w:kern w:val="0"/>
          <w:sz w:val="24"/>
        </w:rPr>
      </w:pPr>
      <w:r w:rsidRPr="00242ABA">
        <w:rPr>
          <w:rFonts w:hint="eastAsia"/>
          <w:kern w:val="0"/>
          <w:sz w:val="24"/>
        </w:rPr>
        <w:t>马俊先生，副总经理，硕士。历任交通银行总行投资管理部高级投资分析、副高级经理，交银施罗德基金管理有限公司总裁办公室总经理、研究部副总经理、研究总监、综合管理部总经理。</w:t>
      </w:r>
    </w:p>
    <w:p w14:paraId="38BAED48" w14:textId="77777777" w:rsidR="00242ABA" w:rsidRDefault="00242ABA">
      <w:pPr>
        <w:widowControl/>
        <w:adjustRightInd w:val="0"/>
        <w:snapToGrid w:val="0"/>
        <w:spacing w:line="360" w:lineRule="auto"/>
        <w:ind w:firstLineChars="200" w:firstLine="480"/>
        <w:outlineLvl w:val="2"/>
        <w:rPr>
          <w:kern w:val="0"/>
          <w:sz w:val="24"/>
        </w:rPr>
      </w:pPr>
      <w:r w:rsidRPr="00242ABA">
        <w:rPr>
          <w:rFonts w:hint="eastAsia"/>
          <w:kern w:val="0"/>
          <w:sz w:val="24"/>
        </w:rPr>
        <w:t>周云康先生，首席信息官，硕士。历任交通银行柳州分行电脑中心科员、软件开发科长、副经理、经理；交通银行总行信息技术部（电脑部）主管、副处长；交通银行总行软件开发中心副高级经理、高级经理；交通银行总行金融科技部高级经理；交通银行总行营运与渠道部副总经理。</w:t>
      </w:r>
    </w:p>
    <w:p w14:paraId="335C762B" w14:textId="77777777" w:rsidR="00791BDD" w:rsidRDefault="00B75151">
      <w:pPr>
        <w:widowControl/>
        <w:adjustRightInd w:val="0"/>
        <w:snapToGrid w:val="0"/>
        <w:spacing w:line="360" w:lineRule="auto"/>
        <w:ind w:firstLineChars="200" w:firstLine="480"/>
        <w:outlineLvl w:val="2"/>
        <w:rPr>
          <w:kern w:val="0"/>
          <w:sz w:val="24"/>
        </w:rPr>
      </w:pPr>
      <w:r>
        <w:rPr>
          <w:kern w:val="0"/>
          <w:sz w:val="24"/>
        </w:rPr>
        <w:t>3</w:t>
      </w:r>
      <w:r>
        <w:rPr>
          <w:rFonts w:hAnsi="宋体"/>
          <w:kern w:val="0"/>
          <w:sz w:val="24"/>
        </w:rPr>
        <w:t>、本基金基金经理</w:t>
      </w:r>
    </w:p>
    <w:p w14:paraId="7D2E2975" w14:textId="77777777" w:rsidR="00791BDD" w:rsidRDefault="00B75151">
      <w:pPr>
        <w:autoSpaceDE w:val="0"/>
        <w:autoSpaceDN w:val="0"/>
        <w:adjustRightInd w:val="0"/>
        <w:snapToGrid w:val="0"/>
        <w:spacing w:line="360" w:lineRule="auto"/>
        <w:ind w:firstLineChars="200" w:firstLine="480"/>
        <w:jc w:val="left"/>
        <w:rPr>
          <w:sz w:val="24"/>
        </w:rPr>
      </w:pPr>
      <w:r>
        <w:rPr>
          <w:rFonts w:hint="eastAsia"/>
          <w:sz w:val="24"/>
        </w:rPr>
        <w:t>蔡铮先生</w:t>
      </w:r>
      <w:r>
        <w:rPr>
          <w:rFonts w:hint="eastAsia"/>
          <w:sz w:val="24"/>
        </w:rPr>
        <w:t>:</w:t>
      </w:r>
      <w:r>
        <w:rPr>
          <w:rFonts w:hint="eastAsia"/>
          <w:sz w:val="24"/>
        </w:rPr>
        <w:t>基金经理。复旦大学电子工程硕士，</w:t>
      </w:r>
      <w:r>
        <w:rPr>
          <w:rFonts w:hint="eastAsia"/>
          <w:sz w:val="24"/>
        </w:rPr>
        <w:t>1</w:t>
      </w:r>
      <w:r>
        <w:rPr>
          <w:sz w:val="24"/>
        </w:rPr>
        <w:t>7</w:t>
      </w:r>
      <w:r>
        <w:rPr>
          <w:rFonts w:hint="eastAsia"/>
          <w:sz w:val="24"/>
        </w:rPr>
        <w:t>年证券投资行业从业经验。</w:t>
      </w:r>
      <w:r>
        <w:rPr>
          <w:rFonts w:hint="eastAsia"/>
          <w:sz w:val="24"/>
        </w:rPr>
        <w:t>2007</w:t>
      </w:r>
      <w:r>
        <w:rPr>
          <w:rFonts w:hint="eastAsia"/>
          <w:sz w:val="24"/>
        </w:rPr>
        <w:t>年起在瑞士银行香港分行工作。</w:t>
      </w:r>
      <w:r>
        <w:rPr>
          <w:rFonts w:hint="eastAsia"/>
          <w:sz w:val="24"/>
        </w:rPr>
        <w:t>2009</w:t>
      </w:r>
      <w:r>
        <w:rPr>
          <w:rFonts w:hint="eastAsia"/>
          <w:sz w:val="24"/>
        </w:rPr>
        <w:t>年加入交银施罗德基金管理有限公司，曾任投资研究部数量分析师、基金经理助理、量化投资部助理总经理、量化投资部副总经理、量化投资副总监兼多元资产管理副总监，现任量化投资部量化投资副总监、基金经理。曾任上证</w:t>
      </w:r>
      <w:r>
        <w:rPr>
          <w:rFonts w:hint="eastAsia"/>
          <w:sz w:val="24"/>
        </w:rPr>
        <w:t>180</w:t>
      </w:r>
      <w:r>
        <w:rPr>
          <w:rFonts w:hint="eastAsia"/>
          <w:sz w:val="24"/>
        </w:rPr>
        <w:t>公司治理交易型开放式指数证券投资基金</w:t>
      </w:r>
      <w:r>
        <w:rPr>
          <w:rFonts w:hint="eastAsia"/>
          <w:sz w:val="24"/>
        </w:rPr>
        <w:t>(2012</w:t>
      </w:r>
      <w:r>
        <w:rPr>
          <w:rFonts w:hint="eastAsia"/>
          <w:sz w:val="24"/>
        </w:rPr>
        <w:t>年</w:t>
      </w:r>
      <w:r>
        <w:rPr>
          <w:rFonts w:hint="eastAsia"/>
          <w:sz w:val="24"/>
        </w:rPr>
        <w:t>12</w:t>
      </w:r>
      <w:r>
        <w:rPr>
          <w:rFonts w:hint="eastAsia"/>
          <w:sz w:val="24"/>
        </w:rPr>
        <w:t>月</w:t>
      </w:r>
      <w:r>
        <w:rPr>
          <w:rFonts w:hint="eastAsia"/>
          <w:sz w:val="24"/>
        </w:rPr>
        <w:t>27</w:t>
      </w:r>
      <w:r>
        <w:rPr>
          <w:rFonts w:hint="eastAsia"/>
          <w:sz w:val="24"/>
        </w:rPr>
        <w:t>日至</w:t>
      </w:r>
      <w:r>
        <w:rPr>
          <w:rFonts w:hint="eastAsia"/>
          <w:sz w:val="24"/>
        </w:rPr>
        <w:t>2021</w:t>
      </w:r>
      <w:r>
        <w:rPr>
          <w:rFonts w:hint="eastAsia"/>
          <w:sz w:val="24"/>
        </w:rPr>
        <w:t>年</w:t>
      </w:r>
      <w:r>
        <w:rPr>
          <w:rFonts w:hint="eastAsia"/>
          <w:sz w:val="24"/>
        </w:rPr>
        <w:t>04</w:t>
      </w:r>
      <w:r>
        <w:rPr>
          <w:rFonts w:hint="eastAsia"/>
          <w:sz w:val="24"/>
        </w:rPr>
        <w:t>月</w:t>
      </w:r>
      <w:r>
        <w:rPr>
          <w:rFonts w:hint="eastAsia"/>
          <w:sz w:val="24"/>
        </w:rPr>
        <w:t>30</w:t>
      </w:r>
      <w:r>
        <w:rPr>
          <w:rFonts w:hint="eastAsia"/>
          <w:sz w:val="24"/>
        </w:rPr>
        <w:t>日</w:t>
      </w:r>
      <w:r>
        <w:rPr>
          <w:rFonts w:hint="eastAsia"/>
          <w:sz w:val="24"/>
        </w:rPr>
        <w:t>)</w:t>
      </w:r>
      <w:r>
        <w:rPr>
          <w:rFonts w:hint="eastAsia"/>
          <w:sz w:val="24"/>
        </w:rPr>
        <w:t>、深证</w:t>
      </w:r>
      <w:r>
        <w:rPr>
          <w:rFonts w:hint="eastAsia"/>
          <w:sz w:val="24"/>
        </w:rPr>
        <w:t>300</w:t>
      </w:r>
      <w:r>
        <w:rPr>
          <w:rFonts w:hint="eastAsia"/>
          <w:sz w:val="24"/>
        </w:rPr>
        <w:t>价值交易型开放式指数证券投资基金</w:t>
      </w:r>
      <w:r>
        <w:rPr>
          <w:rFonts w:hint="eastAsia"/>
          <w:sz w:val="24"/>
        </w:rPr>
        <w:t>(2012</w:t>
      </w:r>
      <w:r>
        <w:rPr>
          <w:rFonts w:hint="eastAsia"/>
          <w:sz w:val="24"/>
        </w:rPr>
        <w:t>年</w:t>
      </w:r>
      <w:r>
        <w:rPr>
          <w:rFonts w:hint="eastAsia"/>
          <w:sz w:val="24"/>
        </w:rPr>
        <w:t>12</w:t>
      </w:r>
      <w:r>
        <w:rPr>
          <w:rFonts w:hint="eastAsia"/>
          <w:sz w:val="24"/>
        </w:rPr>
        <w:t>月</w:t>
      </w:r>
      <w:r>
        <w:rPr>
          <w:rFonts w:hint="eastAsia"/>
          <w:sz w:val="24"/>
        </w:rPr>
        <w:t>27</w:t>
      </w:r>
      <w:r>
        <w:rPr>
          <w:rFonts w:hint="eastAsia"/>
          <w:sz w:val="24"/>
        </w:rPr>
        <w:t>日至</w:t>
      </w:r>
      <w:r>
        <w:rPr>
          <w:rFonts w:hint="eastAsia"/>
          <w:sz w:val="24"/>
        </w:rPr>
        <w:t>2021</w:t>
      </w:r>
      <w:r>
        <w:rPr>
          <w:rFonts w:hint="eastAsia"/>
          <w:sz w:val="24"/>
        </w:rPr>
        <w:t>年</w:t>
      </w:r>
      <w:r>
        <w:rPr>
          <w:rFonts w:hint="eastAsia"/>
          <w:sz w:val="24"/>
        </w:rPr>
        <w:t>04</w:t>
      </w:r>
      <w:r>
        <w:rPr>
          <w:rFonts w:hint="eastAsia"/>
          <w:sz w:val="24"/>
        </w:rPr>
        <w:t>月</w:t>
      </w:r>
      <w:r>
        <w:rPr>
          <w:rFonts w:hint="eastAsia"/>
          <w:sz w:val="24"/>
        </w:rPr>
        <w:t>30</w:t>
      </w:r>
      <w:r>
        <w:rPr>
          <w:rFonts w:hint="eastAsia"/>
          <w:sz w:val="24"/>
        </w:rPr>
        <w:t>日</w:t>
      </w:r>
      <w:r>
        <w:rPr>
          <w:rFonts w:hint="eastAsia"/>
          <w:sz w:val="24"/>
        </w:rPr>
        <w:t>)</w:t>
      </w:r>
      <w:r>
        <w:rPr>
          <w:rFonts w:hint="eastAsia"/>
          <w:sz w:val="24"/>
        </w:rPr>
        <w:t>、交银施罗德深证</w:t>
      </w:r>
      <w:r>
        <w:rPr>
          <w:rFonts w:hint="eastAsia"/>
          <w:sz w:val="24"/>
        </w:rPr>
        <w:t>300</w:t>
      </w:r>
      <w:r>
        <w:rPr>
          <w:rFonts w:hint="eastAsia"/>
          <w:sz w:val="24"/>
        </w:rPr>
        <w:t>价值交易型开放式指数证券投资基金联接基金</w:t>
      </w:r>
      <w:r>
        <w:rPr>
          <w:rFonts w:hint="eastAsia"/>
          <w:sz w:val="24"/>
        </w:rPr>
        <w:t>(2012</w:t>
      </w:r>
      <w:r>
        <w:rPr>
          <w:rFonts w:hint="eastAsia"/>
          <w:sz w:val="24"/>
        </w:rPr>
        <w:t>年</w:t>
      </w:r>
      <w:r>
        <w:rPr>
          <w:rFonts w:hint="eastAsia"/>
          <w:sz w:val="24"/>
        </w:rPr>
        <w:t>12</w:t>
      </w:r>
      <w:r>
        <w:rPr>
          <w:rFonts w:hint="eastAsia"/>
          <w:sz w:val="24"/>
        </w:rPr>
        <w:t>月</w:t>
      </w:r>
      <w:r>
        <w:rPr>
          <w:rFonts w:hint="eastAsia"/>
          <w:sz w:val="24"/>
        </w:rPr>
        <w:t>27</w:t>
      </w:r>
      <w:r>
        <w:rPr>
          <w:rFonts w:hint="eastAsia"/>
          <w:sz w:val="24"/>
        </w:rPr>
        <w:t>日至</w:t>
      </w:r>
      <w:r>
        <w:rPr>
          <w:rFonts w:hint="eastAsia"/>
          <w:sz w:val="24"/>
        </w:rPr>
        <w:t>2021</w:t>
      </w:r>
      <w:r>
        <w:rPr>
          <w:rFonts w:hint="eastAsia"/>
          <w:sz w:val="24"/>
        </w:rPr>
        <w:t>年</w:t>
      </w:r>
      <w:r>
        <w:rPr>
          <w:rFonts w:hint="eastAsia"/>
          <w:sz w:val="24"/>
        </w:rPr>
        <w:t>04</w:t>
      </w:r>
      <w:r>
        <w:rPr>
          <w:rFonts w:hint="eastAsia"/>
          <w:sz w:val="24"/>
        </w:rPr>
        <w:t>月</w:t>
      </w:r>
      <w:r>
        <w:rPr>
          <w:rFonts w:hint="eastAsia"/>
          <w:sz w:val="24"/>
        </w:rPr>
        <w:t>30</w:t>
      </w:r>
      <w:r>
        <w:rPr>
          <w:rFonts w:hint="eastAsia"/>
          <w:sz w:val="24"/>
        </w:rPr>
        <w:t>日</w:t>
      </w:r>
      <w:r>
        <w:rPr>
          <w:rFonts w:hint="eastAsia"/>
          <w:sz w:val="24"/>
        </w:rPr>
        <w:t>)</w:t>
      </w:r>
      <w:r>
        <w:rPr>
          <w:rFonts w:hint="eastAsia"/>
          <w:sz w:val="24"/>
        </w:rPr>
        <w:t>、交银施罗德沪深</w:t>
      </w:r>
      <w:r>
        <w:rPr>
          <w:rFonts w:hint="eastAsia"/>
          <w:sz w:val="24"/>
        </w:rPr>
        <w:t>300</w:t>
      </w:r>
      <w:r>
        <w:rPr>
          <w:rFonts w:hint="eastAsia"/>
          <w:sz w:val="24"/>
        </w:rPr>
        <w:t>行业分层等权重指数证券投资基金</w:t>
      </w:r>
      <w:r>
        <w:rPr>
          <w:rFonts w:hint="eastAsia"/>
          <w:sz w:val="24"/>
        </w:rPr>
        <w:t>(2012</w:t>
      </w:r>
      <w:r>
        <w:rPr>
          <w:rFonts w:hint="eastAsia"/>
          <w:sz w:val="24"/>
        </w:rPr>
        <w:t>年</w:t>
      </w:r>
      <w:r>
        <w:rPr>
          <w:rFonts w:hint="eastAsia"/>
          <w:sz w:val="24"/>
        </w:rPr>
        <w:t>12</w:t>
      </w:r>
      <w:r>
        <w:rPr>
          <w:rFonts w:hint="eastAsia"/>
          <w:sz w:val="24"/>
        </w:rPr>
        <w:t>月</w:t>
      </w:r>
      <w:r>
        <w:rPr>
          <w:rFonts w:hint="eastAsia"/>
          <w:sz w:val="24"/>
        </w:rPr>
        <w:t>27</w:t>
      </w:r>
      <w:r>
        <w:rPr>
          <w:rFonts w:hint="eastAsia"/>
          <w:sz w:val="24"/>
        </w:rPr>
        <w:t>日至</w:t>
      </w:r>
      <w:r>
        <w:rPr>
          <w:rFonts w:hint="eastAsia"/>
          <w:sz w:val="24"/>
        </w:rPr>
        <w:t>2015</w:t>
      </w:r>
      <w:r>
        <w:rPr>
          <w:rFonts w:hint="eastAsia"/>
          <w:sz w:val="24"/>
        </w:rPr>
        <w:t>年</w:t>
      </w:r>
      <w:r>
        <w:rPr>
          <w:rFonts w:hint="eastAsia"/>
          <w:sz w:val="24"/>
        </w:rPr>
        <w:t>06</w:t>
      </w:r>
      <w:r>
        <w:rPr>
          <w:rFonts w:hint="eastAsia"/>
          <w:sz w:val="24"/>
        </w:rPr>
        <w:t>月</w:t>
      </w:r>
      <w:r>
        <w:rPr>
          <w:rFonts w:hint="eastAsia"/>
          <w:sz w:val="24"/>
        </w:rPr>
        <w:t>30</w:t>
      </w:r>
      <w:r>
        <w:rPr>
          <w:rFonts w:hint="eastAsia"/>
          <w:sz w:val="24"/>
        </w:rPr>
        <w:t>日</w:t>
      </w:r>
      <w:r>
        <w:rPr>
          <w:rFonts w:hint="eastAsia"/>
          <w:sz w:val="24"/>
        </w:rPr>
        <w:t>)</w:t>
      </w:r>
      <w:r>
        <w:rPr>
          <w:rFonts w:hint="eastAsia"/>
          <w:sz w:val="24"/>
        </w:rPr>
        <w:t>、交银施罗德消费新驱动股票型证券投资基金</w:t>
      </w:r>
      <w:r>
        <w:rPr>
          <w:rFonts w:hint="eastAsia"/>
          <w:sz w:val="24"/>
        </w:rPr>
        <w:t>(2012</w:t>
      </w:r>
      <w:r>
        <w:rPr>
          <w:rFonts w:hint="eastAsia"/>
          <w:sz w:val="24"/>
        </w:rPr>
        <w:t>年</w:t>
      </w:r>
      <w:r>
        <w:rPr>
          <w:rFonts w:hint="eastAsia"/>
          <w:sz w:val="24"/>
        </w:rPr>
        <w:t>12</w:t>
      </w:r>
      <w:r>
        <w:rPr>
          <w:rFonts w:hint="eastAsia"/>
          <w:sz w:val="24"/>
        </w:rPr>
        <w:t>月</w:t>
      </w:r>
      <w:r>
        <w:rPr>
          <w:rFonts w:hint="eastAsia"/>
          <w:sz w:val="24"/>
        </w:rPr>
        <w:t>27</w:t>
      </w:r>
      <w:r>
        <w:rPr>
          <w:rFonts w:hint="eastAsia"/>
          <w:sz w:val="24"/>
        </w:rPr>
        <w:t>日至</w:t>
      </w:r>
      <w:r>
        <w:rPr>
          <w:rFonts w:hint="eastAsia"/>
          <w:sz w:val="24"/>
        </w:rPr>
        <w:t>2015</w:t>
      </w:r>
      <w:r>
        <w:rPr>
          <w:rFonts w:hint="eastAsia"/>
          <w:sz w:val="24"/>
        </w:rPr>
        <w:t>年</w:t>
      </w:r>
      <w:r>
        <w:rPr>
          <w:rFonts w:hint="eastAsia"/>
          <w:sz w:val="24"/>
        </w:rPr>
        <w:t>06</w:t>
      </w:r>
      <w:r>
        <w:rPr>
          <w:rFonts w:hint="eastAsia"/>
          <w:sz w:val="24"/>
        </w:rPr>
        <w:t>月</w:t>
      </w:r>
      <w:r>
        <w:rPr>
          <w:rFonts w:hint="eastAsia"/>
          <w:sz w:val="24"/>
        </w:rPr>
        <w:t>30</w:t>
      </w:r>
      <w:r>
        <w:rPr>
          <w:rFonts w:hint="eastAsia"/>
          <w:sz w:val="24"/>
        </w:rPr>
        <w:t>日</w:t>
      </w:r>
      <w:r>
        <w:rPr>
          <w:rFonts w:hint="eastAsia"/>
          <w:sz w:val="24"/>
        </w:rPr>
        <w:t>)</w:t>
      </w:r>
      <w:r>
        <w:rPr>
          <w:rFonts w:hint="eastAsia"/>
          <w:sz w:val="24"/>
        </w:rPr>
        <w:t>、交银施罗德上证</w:t>
      </w:r>
      <w:r>
        <w:rPr>
          <w:rFonts w:hint="eastAsia"/>
          <w:sz w:val="24"/>
        </w:rPr>
        <w:t>180</w:t>
      </w:r>
      <w:r>
        <w:rPr>
          <w:rFonts w:hint="eastAsia"/>
          <w:sz w:val="24"/>
        </w:rPr>
        <w:t>公司治理交易型开放式指数证券投资基金联接基金</w:t>
      </w:r>
      <w:r>
        <w:rPr>
          <w:rFonts w:hint="eastAsia"/>
          <w:sz w:val="24"/>
        </w:rPr>
        <w:t>(2012</w:t>
      </w:r>
      <w:r>
        <w:rPr>
          <w:rFonts w:hint="eastAsia"/>
          <w:sz w:val="24"/>
        </w:rPr>
        <w:t>年</w:t>
      </w:r>
      <w:r>
        <w:rPr>
          <w:rFonts w:hint="eastAsia"/>
          <w:sz w:val="24"/>
        </w:rPr>
        <w:t>12</w:t>
      </w:r>
      <w:r>
        <w:rPr>
          <w:rFonts w:hint="eastAsia"/>
          <w:sz w:val="24"/>
        </w:rPr>
        <w:t>月</w:t>
      </w:r>
      <w:r>
        <w:rPr>
          <w:rFonts w:hint="eastAsia"/>
          <w:sz w:val="24"/>
        </w:rPr>
        <w:t>27</w:t>
      </w:r>
      <w:r>
        <w:rPr>
          <w:rFonts w:hint="eastAsia"/>
          <w:sz w:val="24"/>
        </w:rPr>
        <w:t>日至</w:t>
      </w:r>
      <w:r>
        <w:rPr>
          <w:rFonts w:hint="eastAsia"/>
          <w:sz w:val="24"/>
        </w:rPr>
        <w:t>2021</w:t>
      </w:r>
      <w:r>
        <w:rPr>
          <w:rFonts w:hint="eastAsia"/>
          <w:sz w:val="24"/>
        </w:rPr>
        <w:t>年</w:t>
      </w:r>
      <w:r>
        <w:rPr>
          <w:rFonts w:hint="eastAsia"/>
          <w:sz w:val="24"/>
        </w:rPr>
        <w:t>04</w:t>
      </w:r>
      <w:r>
        <w:rPr>
          <w:rFonts w:hint="eastAsia"/>
          <w:sz w:val="24"/>
        </w:rPr>
        <w:t>月</w:t>
      </w:r>
      <w:r>
        <w:rPr>
          <w:rFonts w:hint="eastAsia"/>
          <w:sz w:val="24"/>
        </w:rPr>
        <w:t>30</w:t>
      </w:r>
      <w:r>
        <w:rPr>
          <w:rFonts w:hint="eastAsia"/>
          <w:sz w:val="24"/>
        </w:rPr>
        <w:t>日</w:t>
      </w:r>
      <w:r>
        <w:rPr>
          <w:rFonts w:hint="eastAsia"/>
          <w:sz w:val="24"/>
        </w:rPr>
        <w:t>)</w:t>
      </w:r>
      <w:r>
        <w:rPr>
          <w:rFonts w:hint="eastAsia"/>
          <w:sz w:val="24"/>
        </w:rPr>
        <w:t>、交银施罗德国证新能源指数证券投资基金（</w:t>
      </w:r>
      <w:r>
        <w:rPr>
          <w:rFonts w:hint="eastAsia"/>
          <w:sz w:val="24"/>
        </w:rPr>
        <w:t>LOF</w:t>
      </w:r>
      <w:r>
        <w:rPr>
          <w:rFonts w:hint="eastAsia"/>
          <w:sz w:val="24"/>
        </w:rPr>
        <w:t>）</w:t>
      </w:r>
      <w:r>
        <w:rPr>
          <w:rFonts w:hint="eastAsia"/>
          <w:sz w:val="24"/>
        </w:rPr>
        <w:t>(2015</w:t>
      </w:r>
      <w:r>
        <w:rPr>
          <w:rFonts w:hint="eastAsia"/>
          <w:sz w:val="24"/>
        </w:rPr>
        <w:t>年</w:t>
      </w:r>
      <w:r>
        <w:rPr>
          <w:rFonts w:hint="eastAsia"/>
          <w:sz w:val="24"/>
        </w:rPr>
        <w:t>03</w:t>
      </w:r>
      <w:r>
        <w:rPr>
          <w:rFonts w:hint="eastAsia"/>
          <w:sz w:val="24"/>
        </w:rPr>
        <w:t>月</w:t>
      </w:r>
      <w:r>
        <w:rPr>
          <w:rFonts w:hint="eastAsia"/>
          <w:sz w:val="24"/>
        </w:rPr>
        <w:t>26</w:t>
      </w:r>
      <w:r>
        <w:rPr>
          <w:rFonts w:hint="eastAsia"/>
          <w:sz w:val="24"/>
        </w:rPr>
        <w:t>日至</w:t>
      </w:r>
      <w:r>
        <w:rPr>
          <w:rFonts w:hint="eastAsia"/>
          <w:sz w:val="24"/>
        </w:rPr>
        <w:t>2021</w:t>
      </w:r>
      <w:r>
        <w:rPr>
          <w:rFonts w:hint="eastAsia"/>
          <w:sz w:val="24"/>
        </w:rPr>
        <w:t>年</w:t>
      </w:r>
      <w:r>
        <w:rPr>
          <w:rFonts w:hint="eastAsia"/>
          <w:sz w:val="24"/>
        </w:rPr>
        <w:t>04</w:t>
      </w:r>
      <w:r>
        <w:rPr>
          <w:rFonts w:hint="eastAsia"/>
          <w:sz w:val="24"/>
        </w:rPr>
        <w:t>月</w:t>
      </w:r>
      <w:r>
        <w:rPr>
          <w:rFonts w:hint="eastAsia"/>
          <w:sz w:val="24"/>
        </w:rPr>
        <w:t>30</w:t>
      </w:r>
      <w:r>
        <w:rPr>
          <w:rFonts w:hint="eastAsia"/>
          <w:sz w:val="24"/>
        </w:rPr>
        <w:t>日</w:t>
      </w:r>
      <w:r>
        <w:rPr>
          <w:rFonts w:hint="eastAsia"/>
          <w:sz w:val="24"/>
        </w:rPr>
        <w:t>)</w:t>
      </w:r>
      <w:r>
        <w:rPr>
          <w:rFonts w:hint="eastAsia"/>
          <w:sz w:val="24"/>
        </w:rPr>
        <w:t>、交银施罗德全球自然资源证券投资基金</w:t>
      </w:r>
      <w:r>
        <w:rPr>
          <w:rFonts w:hint="eastAsia"/>
          <w:sz w:val="24"/>
        </w:rPr>
        <w:t>(2015</w:t>
      </w:r>
      <w:r>
        <w:rPr>
          <w:rFonts w:hint="eastAsia"/>
          <w:sz w:val="24"/>
        </w:rPr>
        <w:t>年</w:t>
      </w:r>
      <w:r>
        <w:rPr>
          <w:rFonts w:hint="eastAsia"/>
          <w:sz w:val="24"/>
        </w:rPr>
        <w:t>04</w:t>
      </w:r>
      <w:r>
        <w:rPr>
          <w:rFonts w:hint="eastAsia"/>
          <w:sz w:val="24"/>
        </w:rPr>
        <w:t>月</w:t>
      </w:r>
      <w:r>
        <w:rPr>
          <w:rFonts w:hint="eastAsia"/>
          <w:sz w:val="24"/>
        </w:rPr>
        <w:t>22</w:t>
      </w:r>
      <w:r>
        <w:rPr>
          <w:rFonts w:hint="eastAsia"/>
          <w:sz w:val="24"/>
        </w:rPr>
        <w:t>日至</w:t>
      </w:r>
      <w:r>
        <w:rPr>
          <w:rFonts w:hint="eastAsia"/>
          <w:sz w:val="24"/>
        </w:rPr>
        <w:t>2017</w:t>
      </w:r>
      <w:r>
        <w:rPr>
          <w:rFonts w:hint="eastAsia"/>
          <w:sz w:val="24"/>
        </w:rPr>
        <w:t>年</w:t>
      </w:r>
      <w:r>
        <w:rPr>
          <w:rFonts w:hint="eastAsia"/>
          <w:sz w:val="24"/>
        </w:rPr>
        <w:t>03</w:t>
      </w:r>
      <w:r>
        <w:rPr>
          <w:rFonts w:hint="eastAsia"/>
          <w:sz w:val="24"/>
        </w:rPr>
        <w:t>月</w:t>
      </w:r>
      <w:r>
        <w:rPr>
          <w:rFonts w:hint="eastAsia"/>
          <w:sz w:val="24"/>
        </w:rPr>
        <w:t>24</w:t>
      </w:r>
      <w:r>
        <w:rPr>
          <w:rFonts w:hint="eastAsia"/>
          <w:sz w:val="24"/>
        </w:rPr>
        <w:t>日</w:t>
      </w:r>
      <w:r>
        <w:rPr>
          <w:rFonts w:hint="eastAsia"/>
          <w:sz w:val="24"/>
        </w:rPr>
        <w:t>)</w:t>
      </w:r>
      <w:r>
        <w:rPr>
          <w:rFonts w:hint="eastAsia"/>
          <w:sz w:val="24"/>
        </w:rPr>
        <w:t>、交银施罗德环球精选价值证券投资基金</w:t>
      </w:r>
      <w:r>
        <w:rPr>
          <w:rFonts w:hint="eastAsia"/>
          <w:sz w:val="24"/>
        </w:rPr>
        <w:t>(2015</w:t>
      </w:r>
      <w:r>
        <w:rPr>
          <w:rFonts w:hint="eastAsia"/>
          <w:sz w:val="24"/>
        </w:rPr>
        <w:t>年</w:t>
      </w:r>
      <w:r>
        <w:rPr>
          <w:rFonts w:hint="eastAsia"/>
          <w:sz w:val="24"/>
        </w:rPr>
        <w:t>04</w:t>
      </w:r>
      <w:r>
        <w:rPr>
          <w:rFonts w:hint="eastAsia"/>
          <w:sz w:val="24"/>
        </w:rPr>
        <w:t>月</w:t>
      </w:r>
      <w:r>
        <w:rPr>
          <w:rFonts w:hint="eastAsia"/>
          <w:sz w:val="24"/>
        </w:rPr>
        <w:t>22</w:t>
      </w:r>
      <w:r>
        <w:rPr>
          <w:rFonts w:hint="eastAsia"/>
          <w:sz w:val="24"/>
        </w:rPr>
        <w:t>日至</w:t>
      </w:r>
      <w:r>
        <w:rPr>
          <w:rFonts w:hint="eastAsia"/>
          <w:sz w:val="24"/>
        </w:rPr>
        <w:t>2017</w:t>
      </w:r>
      <w:r>
        <w:rPr>
          <w:rFonts w:hint="eastAsia"/>
          <w:sz w:val="24"/>
        </w:rPr>
        <w:t>年</w:t>
      </w:r>
      <w:r>
        <w:rPr>
          <w:rFonts w:hint="eastAsia"/>
          <w:sz w:val="24"/>
        </w:rPr>
        <w:t>03</w:t>
      </w:r>
      <w:r>
        <w:rPr>
          <w:rFonts w:hint="eastAsia"/>
          <w:sz w:val="24"/>
        </w:rPr>
        <w:t>月</w:t>
      </w:r>
      <w:r>
        <w:rPr>
          <w:rFonts w:hint="eastAsia"/>
          <w:sz w:val="24"/>
        </w:rPr>
        <w:t>24</w:t>
      </w:r>
      <w:r>
        <w:rPr>
          <w:rFonts w:hint="eastAsia"/>
          <w:sz w:val="24"/>
        </w:rPr>
        <w:t>日</w:t>
      </w:r>
      <w:r>
        <w:rPr>
          <w:rFonts w:hint="eastAsia"/>
          <w:sz w:val="24"/>
        </w:rPr>
        <w:t>)</w:t>
      </w:r>
      <w:r>
        <w:rPr>
          <w:rFonts w:hint="eastAsia"/>
          <w:sz w:val="24"/>
        </w:rPr>
        <w:t>、交银施罗德中证海外中国互联网指数型证券投资基金</w:t>
      </w:r>
      <w:r>
        <w:rPr>
          <w:rFonts w:hint="eastAsia"/>
          <w:sz w:val="24"/>
        </w:rPr>
        <w:t>(LOF)(2015</w:t>
      </w:r>
      <w:r>
        <w:rPr>
          <w:rFonts w:hint="eastAsia"/>
          <w:sz w:val="24"/>
        </w:rPr>
        <w:t>年</w:t>
      </w:r>
      <w:r>
        <w:rPr>
          <w:rFonts w:hint="eastAsia"/>
          <w:sz w:val="24"/>
        </w:rPr>
        <w:t>05</w:t>
      </w:r>
      <w:r>
        <w:rPr>
          <w:rFonts w:hint="eastAsia"/>
          <w:sz w:val="24"/>
        </w:rPr>
        <w:t>月</w:t>
      </w:r>
      <w:r>
        <w:rPr>
          <w:rFonts w:hint="eastAsia"/>
          <w:sz w:val="24"/>
        </w:rPr>
        <w:t>27</w:t>
      </w:r>
      <w:r>
        <w:rPr>
          <w:rFonts w:hint="eastAsia"/>
          <w:sz w:val="24"/>
        </w:rPr>
        <w:t>日至</w:t>
      </w:r>
      <w:r>
        <w:rPr>
          <w:rFonts w:hint="eastAsia"/>
          <w:sz w:val="24"/>
        </w:rPr>
        <w:t>2021</w:t>
      </w:r>
      <w:r>
        <w:rPr>
          <w:rFonts w:hint="eastAsia"/>
          <w:sz w:val="24"/>
        </w:rPr>
        <w:t>年</w:t>
      </w:r>
      <w:r>
        <w:rPr>
          <w:rFonts w:hint="eastAsia"/>
          <w:sz w:val="24"/>
        </w:rPr>
        <w:t>04</w:t>
      </w:r>
      <w:r>
        <w:rPr>
          <w:rFonts w:hint="eastAsia"/>
          <w:sz w:val="24"/>
        </w:rPr>
        <w:t>月</w:t>
      </w:r>
      <w:r>
        <w:rPr>
          <w:rFonts w:hint="eastAsia"/>
          <w:sz w:val="24"/>
        </w:rPr>
        <w:t>30</w:t>
      </w:r>
      <w:r>
        <w:rPr>
          <w:rFonts w:hint="eastAsia"/>
          <w:sz w:val="24"/>
        </w:rPr>
        <w:t>日</w:t>
      </w:r>
      <w:r>
        <w:rPr>
          <w:rFonts w:hint="eastAsia"/>
          <w:sz w:val="24"/>
        </w:rPr>
        <w:t>)</w:t>
      </w:r>
      <w:r>
        <w:rPr>
          <w:rFonts w:hint="eastAsia"/>
          <w:sz w:val="24"/>
        </w:rPr>
        <w:t>、交银施罗德中证互联网金融指数分级证券投资基金</w:t>
      </w:r>
      <w:r>
        <w:rPr>
          <w:rFonts w:hint="eastAsia"/>
          <w:sz w:val="24"/>
        </w:rPr>
        <w:t>(2015</w:t>
      </w:r>
      <w:r>
        <w:rPr>
          <w:rFonts w:hint="eastAsia"/>
          <w:sz w:val="24"/>
        </w:rPr>
        <w:t>年</w:t>
      </w:r>
      <w:r>
        <w:rPr>
          <w:rFonts w:hint="eastAsia"/>
          <w:sz w:val="24"/>
        </w:rPr>
        <w:t>06</w:t>
      </w:r>
      <w:r>
        <w:rPr>
          <w:rFonts w:hint="eastAsia"/>
          <w:sz w:val="24"/>
        </w:rPr>
        <w:t>月</w:t>
      </w:r>
      <w:r>
        <w:rPr>
          <w:rFonts w:hint="eastAsia"/>
          <w:sz w:val="24"/>
        </w:rPr>
        <w:t>26</w:t>
      </w:r>
      <w:r>
        <w:rPr>
          <w:rFonts w:hint="eastAsia"/>
          <w:sz w:val="24"/>
        </w:rPr>
        <w:t>日至</w:t>
      </w:r>
      <w:r>
        <w:rPr>
          <w:rFonts w:hint="eastAsia"/>
          <w:sz w:val="24"/>
        </w:rPr>
        <w:t>2020</w:t>
      </w:r>
      <w:r>
        <w:rPr>
          <w:rFonts w:hint="eastAsia"/>
          <w:sz w:val="24"/>
        </w:rPr>
        <w:t>年</w:t>
      </w:r>
      <w:r>
        <w:rPr>
          <w:rFonts w:hint="eastAsia"/>
          <w:sz w:val="24"/>
        </w:rPr>
        <w:t>11</w:t>
      </w:r>
      <w:r>
        <w:rPr>
          <w:rFonts w:hint="eastAsia"/>
          <w:sz w:val="24"/>
        </w:rPr>
        <w:t>月</w:t>
      </w:r>
      <w:r>
        <w:rPr>
          <w:rFonts w:hint="eastAsia"/>
          <w:sz w:val="24"/>
        </w:rPr>
        <w:t>25</w:t>
      </w:r>
      <w:r>
        <w:rPr>
          <w:rFonts w:hint="eastAsia"/>
          <w:sz w:val="24"/>
        </w:rPr>
        <w:t>日</w:t>
      </w:r>
      <w:r>
        <w:rPr>
          <w:rFonts w:hint="eastAsia"/>
          <w:sz w:val="24"/>
        </w:rPr>
        <w:t>)</w:t>
      </w:r>
      <w:r>
        <w:rPr>
          <w:rFonts w:hint="eastAsia"/>
          <w:sz w:val="24"/>
        </w:rPr>
        <w:t>、交银施罗德中证环境治理指数分级证券投资基金</w:t>
      </w:r>
      <w:r>
        <w:rPr>
          <w:rFonts w:hint="eastAsia"/>
          <w:sz w:val="24"/>
        </w:rPr>
        <w:t>(2015</w:t>
      </w:r>
      <w:r>
        <w:rPr>
          <w:rFonts w:hint="eastAsia"/>
          <w:sz w:val="24"/>
        </w:rPr>
        <w:t>年</w:t>
      </w:r>
      <w:r>
        <w:rPr>
          <w:rFonts w:hint="eastAsia"/>
          <w:sz w:val="24"/>
        </w:rPr>
        <w:t>08</w:t>
      </w:r>
      <w:r>
        <w:rPr>
          <w:rFonts w:hint="eastAsia"/>
          <w:sz w:val="24"/>
        </w:rPr>
        <w:t>月</w:t>
      </w:r>
      <w:r>
        <w:rPr>
          <w:rFonts w:hint="eastAsia"/>
          <w:sz w:val="24"/>
        </w:rPr>
        <w:t>13</w:t>
      </w:r>
      <w:r>
        <w:rPr>
          <w:rFonts w:hint="eastAsia"/>
          <w:sz w:val="24"/>
        </w:rPr>
        <w:t>日至</w:t>
      </w:r>
      <w:r>
        <w:rPr>
          <w:rFonts w:hint="eastAsia"/>
          <w:sz w:val="24"/>
        </w:rPr>
        <w:t>2016</w:t>
      </w:r>
      <w:r>
        <w:rPr>
          <w:rFonts w:hint="eastAsia"/>
          <w:sz w:val="24"/>
        </w:rPr>
        <w:t>年</w:t>
      </w:r>
      <w:r>
        <w:rPr>
          <w:rFonts w:hint="eastAsia"/>
          <w:sz w:val="24"/>
        </w:rPr>
        <w:t>07</w:t>
      </w:r>
      <w:r>
        <w:rPr>
          <w:rFonts w:hint="eastAsia"/>
          <w:sz w:val="24"/>
        </w:rPr>
        <w:t>月</w:t>
      </w:r>
      <w:r>
        <w:rPr>
          <w:rFonts w:hint="eastAsia"/>
          <w:sz w:val="24"/>
        </w:rPr>
        <w:t>18</w:t>
      </w:r>
      <w:r>
        <w:rPr>
          <w:rFonts w:hint="eastAsia"/>
          <w:sz w:val="24"/>
        </w:rPr>
        <w:t>日</w:t>
      </w:r>
      <w:r>
        <w:rPr>
          <w:rFonts w:hint="eastAsia"/>
          <w:sz w:val="24"/>
        </w:rPr>
        <w:t>)</w:t>
      </w:r>
      <w:r>
        <w:rPr>
          <w:rFonts w:hint="eastAsia"/>
          <w:sz w:val="24"/>
        </w:rPr>
        <w:t>、交银施罗德中证环境治理指数型证券投资基金</w:t>
      </w:r>
      <w:r>
        <w:rPr>
          <w:rFonts w:hint="eastAsia"/>
          <w:sz w:val="24"/>
        </w:rPr>
        <w:lastRenderedPageBreak/>
        <w:t>(LOF)(2016</w:t>
      </w:r>
      <w:r>
        <w:rPr>
          <w:rFonts w:hint="eastAsia"/>
          <w:sz w:val="24"/>
        </w:rPr>
        <w:t>年</w:t>
      </w:r>
      <w:r>
        <w:rPr>
          <w:rFonts w:hint="eastAsia"/>
          <w:sz w:val="24"/>
        </w:rPr>
        <w:t>07</w:t>
      </w:r>
      <w:r>
        <w:rPr>
          <w:rFonts w:hint="eastAsia"/>
          <w:sz w:val="24"/>
        </w:rPr>
        <w:t>月</w:t>
      </w:r>
      <w:r>
        <w:rPr>
          <w:rFonts w:hint="eastAsia"/>
          <w:sz w:val="24"/>
        </w:rPr>
        <w:t>19</w:t>
      </w:r>
      <w:r>
        <w:rPr>
          <w:rFonts w:hint="eastAsia"/>
          <w:sz w:val="24"/>
        </w:rPr>
        <w:t>日至</w:t>
      </w:r>
      <w:r>
        <w:rPr>
          <w:rFonts w:hint="eastAsia"/>
          <w:sz w:val="24"/>
        </w:rPr>
        <w:t>2021</w:t>
      </w:r>
      <w:r>
        <w:rPr>
          <w:rFonts w:hint="eastAsia"/>
          <w:sz w:val="24"/>
        </w:rPr>
        <w:t>年</w:t>
      </w:r>
      <w:r>
        <w:rPr>
          <w:rFonts w:hint="eastAsia"/>
          <w:sz w:val="24"/>
        </w:rPr>
        <w:t>04</w:t>
      </w:r>
      <w:r>
        <w:rPr>
          <w:rFonts w:hint="eastAsia"/>
          <w:sz w:val="24"/>
        </w:rPr>
        <w:t>月</w:t>
      </w:r>
      <w:r>
        <w:rPr>
          <w:rFonts w:hint="eastAsia"/>
          <w:sz w:val="24"/>
        </w:rPr>
        <w:t>30</w:t>
      </w:r>
      <w:r>
        <w:rPr>
          <w:rFonts w:hint="eastAsia"/>
          <w:sz w:val="24"/>
        </w:rPr>
        <w:t>日</w:t>
      </w:r>
      <w:r>
        <w:rPr>
          <w:rFonts w:hint="eastAsia"/>
          <w:sz w:val="24"/>
        </w:rPr>
        <w:t>)</w:t>
      </w:r>
      <w:r>
        <w:rPr>
          <w:rFonts w:hint="eastAsia"/>
          <w:sz w:val="24"/>
        </w:rPr>
        <w:t>、交银施罗德致远量化智投策略定期开放混合型证券投资基金</w:t>
      </w:r>
      <w:r>
        <w:rPr>
          <w:rFonts w:hint="eastAsia"/>
          <w:sz w:val="24"/>
        </w:rPr>
        <w:t>(2018</w:t>
      </w:r>
      <w:r>
        <w:rPr>
          <w:rFonts w:hint="eastAsia"/>
          <w:sz w:val="24"/>
        </w:rPr>
        <w:t>年</w:t>
      </w:r>
      <w:r>
        <w:rPr>
          <w:rFonts w:hint="eastAsia"/>
          <w:sz w:val="24"/>
        </w:rPr>
        <w:t>05</w:t>
      </w:r>
      <w:r>
        <w:rPr>
          <w:rFonts w:hint="eastAsia"/>
          <w:sz w:val="24"/>
        </w:rPr>
        <w:t>月</w:t>
      </w:r>
      <w:r>
        <w:rPr>
          <w:rFonts w:hint="eastAsia"/>
          <w:sz w:val="24"/>
        </w:rPr>
        <w:t>18</w:t>
      </w:r>
      <w:r>
        <w:rPr>
          <w:rFonts w:hint="eastAsia"/>
          <w:sz w:val="24"/>
        </w:rPr>
        <w:t>日至</w:t>
      </w:r>
      <w:r>
        <w:rPr>
          <w:rFonts w:hint="eastAsia"/>
          <w:sz w:val="24"/>
        </w:rPr>
        <w:t>2020</w:t>
      </w:r>
      <w:r>
        <w:rPr>
          <w:rFonts w:hint="eastAsia"/>
          <w:sz w:val="24"/>
        </w:rPr>
        <w:t>年</w:t>
      </w:r>
      <w:r>
        <w:rPr>
          <w:rFonts w:hint="eastAsia"/>
          <w:sz w:val="24"/>
        </w:rPr>
        <w:t>07</w:t>
      </w:r>
      <w:r>
        <w:rPr>
          <w:rFonts w:hint="eastAsia"/>
          <w:sz w:val="24"/>
        </w:rPr>
        <w:t>月</w:t>
      </w:r>
      <w:r>
        <w:rPr>
          <w:rFonts w:hint="eastAsia"/>
          <w:sz w:val="24"/>
        </w:rPr>
        <w:t>17</w:t>
      </w:r>
      <w:r>
        <w:rPr>
          <w:rFonts w:hint="eastAsia"/>
          <w:sz w:val="24"/>
        </w:rPr>
        <w:t>日</w:t>
      </w:r>
      <w:r>
        <w:rPr>
          <w:rFonts w:hint="eastAsia"/>
          <w:sz w:val="24"/>
        </w:rPr>
        <w:t>)</w:t>
      </w:r>
      <w:r>
        <w:rPr>
          <w:rFonts w:hint="eastAsia"/>
          <w:sz w:val="24"/>
        </w:rPr>
        <w:t>、交银施罗德创业板</w:t>
      </w:r>
      <w:r>
        <w:rPr>
          <w:rFonts w:hint="eastAsia"/>
          <w:sz w:val="24"/>
        </w:rPr>
        <w:t>50</w:t>
      </w:r>
      <w:r>
        <w:rPr>
          <w:rFonts w:hint="eastAsia"/>
          <w:sz w:val="24"/>
        </w:rPr>
        <w:t>指数型证券投资基金</w:t>
      </w:r>
      <w:r>
        <w:rPr>
          <w:rFonts w:hint="eastAsia"/>
          <w:sz w:val="24"/>
        </w:rPr>
        <w:t>(2019</w:t>
      </w:r>
      <w:r>
        <w:rPr>
          <w:rFonts w:hint="eastAsia"/>
          <w:sz w:val="24"/>
        </w:rPr>
        <w:t>年</w:t>
      </w:r>
      <w:r>
        <w:rPr>
          <w:rFonts w:hint="eastAsia"/>
          <w:sz w:val="24"/>
        </w:rPr>
        <w:t>11</w:t>
      </w:r>
      <w:r>
        <w:rPr>
          <w:rFonts w:hint="eastAsia"/>
          <w:sz w:val="24"/>
        </w:rPr>
        <w:t>月</w:t>
      </w:r>
      <w:r>
        <w:rPr>
          <w:rFonts w:hint="eastAsia"/>
          <w:sz w:val="24"/>
        </w:rPr>
        <w:t>20</w:t>
      </w:r>
      <w:r>
        <w:rPr>
          <w:rFonts w:hint="eastAsia"/>
          <w:sz w:val="24"/>
        </w:rPr>
        <w:t>日至</w:t>
      </w:r>
      <w:r>
        <w:rPr>
          <w:rFonts w:hint="eastAsia"/>
          <w:sz w:val="24"/>
        </w:rPr>
        <w:t>2021</w:t>
      </w:r>
      <w:r>
        <w:rPr>
          <w:rFonts w:hint="eastAsia"/>
          <w:sz w:val="24"/>
        </w:rPr>
        <w:t>年</w:t>
      </w:r>
      <w:r>
        <w:rPr>
          <w:rFonts w:hint="eastAsia"/>
          <w:sz w:val="24"/>
        </w:rPr>
        <w:t>04</w:t>
      </w:r>
      <w:r>
        <w:rPr>
          <w:rFonts w:hint="eastAsia"/>
          <w:sz w:val="24"/>
        </w:rPr>
        <w:t>月</w:t>
      </w:r>
      <w:r>
        <w:rPr>
          <w:rFonts w:hint="eastAsia"/>
          <w:sz w:val="24"/>
        </w:rPr>
        <w:t>30</w:t>
      </w:r>
      <w:r>
        <w:rPr>
          <w:rFonts w:hint="eastAsia"/>
          <w:sz w:val="24"/>
        </w:rPr>
        <w:t>日</w:t>
      </w:r>
      <w:r>
        <w:rPr>
          <w:rFonts w:hint="eastAsia"/>
          <w:sz w:val="24"/>
        </w:rPr>
        <w:t>)</w:t>
      </w:r>
      <w:r>
        <w:rPr>
          <w:rFonts w:hint="eastAsia"/>
          <w:sz w:val="24"/>
        </w:rPr>
        <w:t>、交银施罗德养老目标日期</w:t>
      </w:r>
      <w:r>
        <w:rPr>
          <w:rFonts w:hint="eastAsia"/>
          <w:sz w:val="24"/>
        </w:rPr>
        <w:t>2035</w:t>
      </w:r>
      <w:r>
        <w:rPr>
          <w:rFonts w:hint="eastAsia"/>
          <w:sz w:val="24"/>
        </w:rPr>
        <w:t>三年持有期混合型基金中基金（</w:t>
      </w:r>
      <w:r>
        <w:rPr>
          <w:rFonts w:hint="eastAsia"/>
          <w:sz w:val="24"/>
        </w:rPr>
        <w:t>FOF</w:t>
      </w:r>
      <w:r>
        <w:rPr>
          <w:rFonts w:hint="eastAsia"/>
          <w:sz w:val="24"/>
        </w:rPr>
        <w:t>）</w:t>
      </w:r>
      <w:r>
        <w:rPr>
          <w:rFonts w:hint="eastAsia"/>
          <w:sz w:val="24"/>
        </w:rPr>
        <w:t>(2021</w:t>
      </w:r>
      <w:r>
        <w:rPr>
          <w:rFonts w:hint="eastAsia"/>
          <w:sz w:val="24"/>
        </w:rPr>
        <w:t>年</w:t>
      </w:r>
      <w:r>
        <w:rPr>
          <w:rFonts w:hint="eastAsia"/>
          <w:sz w:val="24"/>
        </w:rPr>
        <w:t>04</w:t>
      </w:r>
      <w:r>
        <w:rPr>
          <w:rFonts w:hint="eastAsia"/>
          <w:sz w:val="24"/>
        </w:rPr>
        <w:t>月</w:t>
      </w:r>
      <w:r>
        <w:rPr>
          <w:rFonts w:hint="eastAsia"/>
          <w:sz w:val="24"/>
        </w:rPr>
        <w:t>30</w:t>
      </w:r>
      <w:r>
        <w:rPr>
          <w:rFonts w:hint="eastAsia"/>
          <w:sz w:val="24"/>
        </w:rPr>
        <w:t>日至</w:t>
      </w:r>
      <w:r>
        <w:rPr>
          <w:rFonts w:hint="eastAsia"/>
          <w:sz w:val="24"/>
        </w:rPr>
        <w:t>2025</w:t>
      </w:r>
      <w:r>
        <w:rPr>
          <w:rFonts w:hint="eastAsia"/>
          <w:sz w:val="24"/>
        </w:rPr>
        <w:t>年</w:t>
      </w:r>
      <w:r>
        <w:rPr>
          <w:rFonts w:hint="eastAsia"/>
          <w:sz w:val="24"/>
        </w:rPr>
        <w:t>01</w:t>
      </w:r>
      <w:r>
        <w:rPr>
          <w:rFonts w:hint="eastAsia"/>
          <w:sz w:val="24"/>
        </w:rPr>
        <w:t>月</w:t>
      </w:r>
      <w:r>
        <w:rPr>
          <w:rFonts w:hint="eastAsia"/>
          <w:sz w:val="24"/>
        </w:rPr>
        <w:t>22</w:t>
      </w:r>
      <w:r>
        <w:rPr>
          <w:rFonts w:hint="eastAsia"/>
          <w:sz w:val="24"/>
        </w:rPr>
        <w:t>日</w:t>
      </w:r>
      <w:r>
        <w:rPr>
          <w:rFonts w:hint="eastAsia"/>
          <w:sz w:val="24"/>
        </w:rPr>
        <w:t>)</w:t>
      </w:r>
      <w:r>
        <w:rPr>
          <w:rFonts w:hint="eastAsia"/>
          <w:sz w:val="24"/>
        </w:rPr>
        <w:t>、交银施罗德安享稳健养老目标一年持有期混合型基金中基金（</w:t>
      </w:r>
      <w:r>
        <w:rPr>
          <w:rFonts w:hint="eastAsia"/>
          <w:sz w:val="24"/>
        </w:rPr>
        <w:t>FOF</w:t>
      </w:r>
      <w:r>
        <w:rPr>
          <w:rFonts w:hint="eastAsia"/>
          <w:sz w:val="24"/>
        </w:rPr>
        <w:t>）</w:t>
      </w:r>
      <w:r>
        <w:rPr>
          <w:rFonts w:hint="eastAsia"/>
          <w:sz w:val="24"/>
        </w:rPr>
        <w:t>(2021</w:t>
      </w:r>
      <w:r>
        <w:rPr>
          <w:rFonts w:hint="eastAsia"/>
          <w:sz w:val="24"/>
        </w:rPr>
        <w:t>年</w:t>
      </w:r>
      <w:r>
        <w:rPr>
          <w:rFonts w:hint="eastAsia"/>
          <w:sz w:val="24"/>
        </w:rPr>
        <w:t>04</w:t>
      </w:r>
      <w:r>
        <w:rPr>
          <w:rFonts w:hint="eastAsia"/>
          <w:sz w:val="24"/>
        </w:rPr>
        <w:t>月</w:t>
      </w:r>
      <w:r>
        <w:rPr>
          <w:rFonts w:hint="eastAsia"/>
          <w:sz w:val="24"/>
        </w:rPr>
        <w:t>30</w:t>
      </w:r>
      <w:r>
        <w:rPr>
          <w:rFonts w:hint="eastAsia"/>
          <w:sz w:val="24"/>
        </w:rPr>
        <w:t>日至</w:t>
      </w:r>
      <w:r>
        <w:rPr>
          <w:rFonts w:hint="eastAsia"/>
          <w:sz w:val="24"/>
        </w:rPr>
        <w:t>2025</w:t>
      </w:r>
      <w:r>
        <w:rPr>
          <w:rFonts w:hint="eastAsia"/>
          <w:sz w:val="24"/>
        </w:rPr>
        <w:t>年</w:t>
      </w:r>
      <w:r>
        <w:rPr>
          <w:rFonts w:hint="eastAsia"/>
          <w:sz w:val="24"/>
        </w:rPr>
        <w:t>01</w:t>
      </w:r>
      <w:r>
        <w:rPr>
          <w:rFonts w:hint="eastAsia"/>
          <w:sz w:val="24"/>
        </w:rPr>
        <w:t>月</w:t>
      </w:r>
      <w:r>
        <w:rPr>
          <w:rFonts w:hint="eastAsia"/>
          <w:sz w:val="24"/>
        </w:rPr>
        <w:t>22</w:t>
      </w:r>
      <w:r>
        <w:rPr>
          <w:rFonts w:hint="eastAsia"/>
          <w:sz w:val="24"/>
        </w:rPr>
        <w:t>日</w:t>
      </w:r>
      <w:r>
        <w:rPr>
          <w:rFonts w:hint="eastAsia"/>
          <w:sz w:val="24"/>
        </w:rPr>
        <w:t>)</w:t>
      </w:r>
      <w:r>
        <w:rPr>
          <w:rFonts w:hint="eastAsia"/>
          <w:sz w:val="24"/>
        </w:rPr>
        <w:t>的基金经理。现任上证</w:t>
      </w:r>
      <w:r>
        <w:rPr>
          <w:rFonts w:hint="eastAsia"/>
          <w:sz w:val="24"/>
        </w:rPr>
        <w:t>180</w:t>
      </w:r>
      <w:r>
        <w:rPr>
          <w:rFonts w:hint="eastAsia"/>
          <w:sz w:val="24"/>
        </w:rPr>
        <w:t>公司治理交易型开放式指数证券投资基金</w:t>
      </w:r>
      <w:r>
        <w:rPr>
          <w:rFonts w:hint="eastAsia"/>
          <w:sz w:val="24"/>
        </w:rPr>
        <w:t>(2025</w:t>
      </w:r>
      <w:r>
        <w:rPr>
          <w:rFonts w:hint="eastAsia"/>
          <w:sz w:val="24"/>
        </w:rPr>
        <w:t>年</w:t>
      </w:r>
      <w:r>
        <w:rPr>
          <w:rFonts w:hint="eastAsia"/>
          <w:sz w:val="24"/>
        </w:rPr>
        <w:t>02</w:t>
      </w:r>
      <w:r>
        <w:rPr>
          <w:rFonts w:hint="eastAsia"/>
          <w:sz w:val="24"/>
        </w:rPr>
        <w:t>月</w:t>
      </w:r>
      <w:r>
        <w:rPr>
          <w:rFonts w:hint="eastAsia"/>
          <w:sz w:val="24"/>
        </w:rPr>
        <w:t>27</w:t>
      </w:r>
      <w:r>
        <w:rPr>
          <w:rFonts w:hint="eastAsia"/>
          <w:sz w:val="24"/>
        </w:rPr>
        <w:t>日至今</w:t>
      </w:r>
      <w:r>
        <w:rPr>
          <w:rFonts w:hint="eastAsia"/>
          <w:sz w:val="24"/>
        </w:rPr>
        <w:t>)</w:t>
      </w:r>
      <w:r>
        <w:rPr>
          <w:rFonts w:hint="eastAsia"/>
          <w:sz w:val="24"/>
        </w:rPr>
        <w:t>、交银施罗德中证海外中国互联网指数型证券投资基金</w:t>
      </w:r>
      <w:r>
        <w:rPr>
          <w:rFonts w:hint="eastAsia"/>
          <w:sz w:val="24"/>
        </w:rPr>
        <w:t>(LOF)(2025</w:t>
      </w:r>
      <w:r>
        <w:rPr>
          <w:rFonts w:hint="eastAsia"/>
          <w:sz w:val="24"/>
        </w:rPr>
        <w:t>年</w:t>
      </w:r>
      <w:r>
        <w:rPr>
          <w:rFonts w:hint="eastAsia"/>
          <w:sz w:val="24"/>
        </w:rPr>
        <w:t>02</w:t>
      </w:r>
      <w:r>
        <w:rPr>
          <w:rFonts w:hint="eastAsia"/>
          <w:sz w:val="24"/>
        </w:rPr>
        <w:t>月</w:t>
      </w:r>
      <w:r>
        <w:rPr>
          <w:rFonts w:hint="eastAsia"/>
          <w:sz w:val="24"/>
        </w:rPr>
        <w:t>27</w:t>
      </w:r>
      <w:r>
        <w:rPr>
          <w:rFonts w:hint="eastAsia"/>
          <w:sz w:val="24"/>
        </w:rPr>
        <w:t>日至今</w:t>
      </w:r>
      <w:r>
        <w:rPr>
          <w:rFonts w:hint="eastAsia"/>
          <w:sz w:val="24"/>
        </w:rPr>
        <w:t>)</w:t>
      </w:r>
      <w:r>
        <w:rPr>
          <w:rFonts w:hint="eastAsia"/>
          <w:sz w:val="24"/>
        </w:rPr>
        <w:t>、交银施罗德上证</w:t>
      </w:r>
      <w:r>
        <w:rPr>
          <w:rFonts w:hint="eastAsia"/>
          <w:sz w:val="24"/>
        </w:rPr>
        <w:t>180</w:t>
      </w:r>
      <w:r>
        <w:rPr>
          <w:rFonts w:hint="eastAsia"/>
          <w:sz w:val="24"/>
        </w:rPr>
        <w:t>公司治理交易型开放式指数证券投资基金联接基金</w:t>
      </w:r>
      <w:r>
        <w:rPr>
          <w:rFonts w:hint="eastAsia"/>
          <w:sz w:val="24"/>
        </w:rPr>
        <w:t>(2025</w:t>
      </w:r>
      <w:r>
        <w:rPr>
          <w:rFonts w:hint="eastAsia"/>
          <w:sz w:val="24"/>
        </w:rPr>
        <w:t>年</w:t>
      </w:r>
      <w:r>
        <w:rPr>
          <w:rFonts w:hint="eastAsia"/>
          <w:sz w:val="24"/>
        </w:rPr>
        <w:t>02</w:t>
      </w:r>
      <w:r>
        <w:rPr>
          <w:rFonts w:hint="eastAsia"/>
          <w:sz w:val="24"/>
        </w:rPr>
        <w:t>月</w:t>
      </w:r>
      <w:r>
        <w:rPr>
          <w:rFonts w:hint="eastAsia"/>
          <w:sz w:val="24"/>
        </w:rPr>
        <w:t>27</w:t>
      </w:r>
      <w:r>
        <w:rPr>
          <w:rFonts w:hint="eastAsia"/>
          <w:sz w:val="24"/>
        </w:rPr>
        <w:t>日至今</w:t>
      </w:r>
      <w:r>
        <w:rPr>
          <w:rFonts w:hint="eastAsia"/>
          <w:sz w:val="24"/>
        </w:rPr>
        <w:t>)</w:t>
      </w:r>
      <w:r>
        <w:rPr>
          <w:rFonts w:hint="eastAsia"/>
          <w:sz w:val="24"/>
        </w:rPr>
        <w:t>、交银施罗德中证红利低波动</w:t>
      </w:r>
      <w:r>
        <w:rPr>
          <w:rFonts w:hint="eastAsia"/>
          <w:sz w:val="24"/>
        </w:rPr>
        <w:t>100</w:t>
      </w:r>
      <w:r>
        <w:rPr>
          <w:rFonts w:hint="eastAsia"/>
          <w:sz w:val="24"/>
        </w:rPr>
        <w:t>指数型证券投资基金</w:t>
      </w:r>
      <w:r>
        <w:rPr>
          <w:rFonts w:hint="eastAsia"/>
          <w:sz w:val="24"/>
        </w:rPr>
        <w:t>(2025</w:t>
      </w:r>
      <w:r>
        <w:rPr>
          <w:rFonts w:hint="eastAsia"/>
          <w:sz w:val="24"/>
        </w:rPr>
        <w:t>年</w:t>
      </w:r>
      <w:r>
        <w:rPr>
          <w:rFonts w:hint="eastAsia"/>
          <w:sz w:val="24"/>
        </w:rPr>
        <w:t>02</w:t>
      </w:r>
      <w:r>
        <w:rPr>
          <w:rFonts w:hint="eastAsia"/>
          <w:sz w:val="24"/>
        </w:rPr>
        <w:t>月</w:t>
      </w:r>
      <w:r>
        <w:rPr>
          <w:rFonts w:hint="eastAsia"/>
          <w:sz w:val="24"/>
        </w:rPr>
        <w:t>27</w:t>
      </w:r>
      <w:r>
        <w:rPr>
          <w:rFonts w:hint="eastAsia"/>
          <w:sz w:val="24"/>
        </w:rPr>
        <w:t>日至今</w:t>
      </w:r>
      <w:r>
        <w:rPr>
          <w:rFonts w:hint="eastAsia"/>
          <w:sz w:val="24"/>
        </w:rPr>
        <w:t>)</w:t>
      </w:r>
      <w:r>
        <w:rPr>
          <w:rFonts w:hint="eastAsia"/>
          <w:sz w:val="24"/>
        </w:rPr>
        <w:t>、交银施罗德创业板</w:t>
      </w:r>
      <w:r>
        <w:rPr>
          <w:rFonts w:hint="eastAsia"/>
          <w:sz w:val="24"/>
        </w:rPr>
        <w:t>50</w:t>
      </w:r>
      <w:r>
        <w:rPr>
          <w:rFonts w:hint="eastAsia"/>
          <w:sz w:val="24"/>
        </w:rPr>
        <w:t>指数型证券投资基金</w:t>
      </w:r>
      <w:r>
        <w:rPr>
          <w:rFonts w:hint="eastAsia"/>
          <w:sz w:val="24"/>
        </w:rPr>
        <w:t>(2025</w:t>
      </w:r>
      <w:r>
        <w:rPr>
          <w:rFonts w:hint="eastAsia"/>
          <w:sz w:val="24"/>
        </w:rPr>
        <w:t>年</w:t>
      </w:r>
      <w:r>
        <w:rPr>
          <w:rFonts w:hint="eastAsia"/>
          <w:sz w:val="24"/>
        </w:rPr>
        <w:t>02</w:t>
      </w:r>
      <w:r>
        <w:rPr>
          <w:rFonts w:hint="eastAsia"/>
          <w:sz w:val="24"/>
        </w:rPr>
        <w:t>月</w:t>
      </w:r>
      <w:r>
        <w:rPr>
          <w:rFonts w:hint="eastAsia"/>
          <w:sz w:val="24"/>
        </w:rPr>
        <w:t>27</w:t>
      </w:r>
      <w:r>
        <w:rPr>
          <w:rFonts w:hint="eastAsia"/>
          <w:sz w:val="24"/>
        </w:rPr>
        <w:t>日至今</w:t>
      </w:r>
      <w:r>
        <w:rPr>
          <w:rFonts w:hint="eastAsia"/>
          <w:sz w:val="24"/>
        </w:rPr>
        <w:t>)</w:t>
      </w:r>
      <w:r>
        <w:rPr>
          <w:rFonts w:hint="eastAsia"/>
          <w:sz w:val="24"/>
        </w:rPr>
        <w:t>、交银施罗德中证智选沪深港科技</w:t>
      </w:r>
      <w:r>
        <w:rPr>
          <w:rFonts w:hint="eastAsia"/>
          <w:sz w:val="24"/>
        </w:rPr>
        <w:t>50</w:t>
      </w:r>
      <w:r>
        <w:rPr>
          <w:rFonts w:hint="eastAsia"/>
          <w:sz w:val="24"/>
        </w:rPr>
        <w:t>交易型开放式指数证券投资基金</w:t>
      </w:r>
      <w:r>
        <w:rPr>
          <w:rFonts w:hint="eastAsia"/>
          <w:sz w:val="24"/>
        </w:rPr>
        <w:t>(2025</w:t>
      </w:r>
      <w:r>
        <w:rPr>
          <w:rFonts w:hint="eastAsia"/>
          <w:sz w:val="24"/>
        </w:rPr>
        <w:t>年</w:t>
      </w:r>
      <w:r>
        <w:rPr>
          <w:rFonts w:hint="eastAsia"/>
          <w:sz w:val="24"/>
        </w:rPr>
        <w:t>12</w:t>
      </w:r>
      <w:r>
        <w:rPr>
          <w:rFonts w:hint="eastAsia"/>
          <w:sz w:val="24"/>
        </w:rPr>
        <w:t>月</w:t>
      </w:r>
      <w:r>
        <w:rPr>
          <w:rFonts w:hint="eastAsia"/>
          <w:sz w:val="24"/>
        </w:rPr>
        <w:t>10</w:t>
      </w:r>
      <w:r>
        <w:rPr>
          <w:rFonts w:hint="eastAsia"/>
          <w:sz w:val="24"/>
        </w:rPr>
        <w:t>日至今</w:t>
      </w:r>
      <w:r>
        <w:rPr>
          <w:rFonts w:hint="eastAsia"/>
          <w:sz w:val="24"/>
        </w:rPr>
        <w:t>)</w:t>
      </w:r>
      <w:r>
        <w:rPr>
          <w:rFonts w:hint="eastAsia"/>
        </w:rPr>
        <w:t xml:space="preserve"> </w:t>
      </w:r>
      <w:r>
        <w:rPr>
          <w:rFonts w:hint="eastAsia"/>
          <w:sz w:val="24"/>
        </w:rPr>
        <w:t>、交银施罗德环球精选价值证券投资基金（</w:t>
      </w:r>
      <w:r>
        <w:rPr>
          <w:rFonts w:hint="eastAsia"/>
          <w:sz w:val="24"/>
        </w:rPr>
        <w:t>2026</w:t>
      </w:r>
      <w:r>
        <w:rPr>
          <w:rFonts w:hint="eastAsia"/>
          <w:sz w:val="24"/>
        </w:rPr>
        <w:t>年</w:t>
      </w:r>
      <w:r>
        <w:rPr>
          <w:rFonts w:hint="eastAsia"/>
          <w:sz w:val="24"/>
        </w:rPr>
        <w:t>01</w:t>
      </w:r>
      <w:r>
        <w:rPr>
          <w:rFonts w:hint="eastAsia"/>
          <w:sz w:val="24"/>
        </w:rPr>
        <w:t>月</w:t>
      </w:r>
      <w:r>
        <w:rPr>
          <w:rFonts w:hint="eastAsia"/>
          <w:sz w:val="24"/>
        </w:rPr>
        <w:t>22</w:t>
      </w:r>
      <w:r>
        <w:rPr>
          <w:rFonts w:hint="eastAsia"/>
          <w:sz w:val="24"/>
        </w:rPr>
        <w:t>日至今）的基金经理。</w:t>
      </w:r>
    </w:p>
    <w:p w14:paraId="6EF96589" w14:textId="77777777" w:rsidR="00791BDD" w:rsidRDefault="00B75151">
      <w:pPr>
        <w:adjustRightInd w:val="0"/>
        <w:snapToGrid w:val="0"/>
        <w:spacing w:line="360" w:lineRule="auto"/>
        <w:ind w:firstLineChars="200" w:firstLine="480"/>
        <w:outlineLvl w:val="2"/>
        <w:rPr>
          <w:rFonts w:hAnsi="宋体"/>
          <w:kern w:val="0"/>
          <w:sz w:val="24"/>
        </w:rPr>
      </w:pPr>
      <w:r>
        <w:rPr>
          <w:rFonts w:hAnsi="宋体"/>
          <w:kern w:val="0"/>
          <w:sz w:val="24"/>
        </w:rPr>
        <w:t>4</w:t>
      </w:r>
      <w:r>
        <w:rPr>
          <w:rFonts w:hAnsi="宋体"/>
          <w:kern w:val="0"/>
          <w:sz w:val="24"/>
        </w:rPr>
        <w:t>、投资决策委员会成员</w:t>
      </w:r>
    </w:p>
    <w:p w14:paraId="70B938AB" w14:textId="77777777" w:rsidR="00791BDD" w:rsidRDefault="00B75151">
      <w:pPr>
        <w:widowControl/>
        <w:adjustRightInd w:val="0"/>
        <w:snapToGrid w:val="0"/>
        <w:spacing w:line="360" w:lineRule="auto"/>
        <w:ind w:firstLineChars="200" w:firstLine="480"/>
        <w:rPr>
          <w:kern w:val="0"/>
          <w:sz w:val="24"/>
        </w:rPr>
      </w:pPr>
      <w:r>
        <w:rPr>
          <w:rFonts w:hint="eastAsia"/>
          <w:kern w:val="0"/>
          <w:sz w:val="24"/>
        </w:rPr>
        <w:t>委员：袁庆伟（总经理）</w:t>
      </w:r>
    </w:p>
    <w:p w14:paraId="0CBFFAB9" w14:textId="77777777" w:rsidR="00791BDD" w:rsidRDefault="00B75151">
      <w:pPr>
        <w:widowControl/>
        <w:adjustRightInd w:val="0"/>
        <w:snapToGrid w:val="0"/>
        <w:spacing w:line="360" w:lineRule="auto"/>
        <w:ind w:firstLineChars="450" w:firstLine="1080"/>
        <w:rPr>
          <w:kern w:val="0"/>
          <w:sz w:val="24"/>
        </w:rPr>
      </w:pPr>
      <w:r>
        <w:rPr>
          <w:rFonts w:hint="eastAsia"/>
          <w:kern w:val="0"/>
          <w:sz w:val="24"/>
        </w:rPr>
        <w:t>马俊（副总经理）</w:t>
      </w:r>
    </w:p>
    <w:p w14:paraId="3C0255C3" w14:textId="77777777" w:rsidR="00791BDD" w:rsidRDefault="00B75151">
      <w:pPr>
        <w:widowControl/>
        <w:adjustRightInd w:val="0"/>
        <w:snapToGrid w:val="0"/>
        <w:spacing w:line="360" w:lineRule="auto"/>
        <w:ind w:firstLineChars="450" w:firstLine="1080"/>
        <w:rPr>
          <w:kern w:val="0"/>
          <w:sz w:val="24"/>
        </w:rPr>
      </w:pPr>
      <w:r>
        <w:rPr>
          <w:rFonts w:hint="eastAsia"/>
          <w:kern w:val="0"/>
          <w:sz w:val="24"/>
        </w:rPr>
        <w:t>于海颖（</w:t>
      </w:r>
      <w:r>
        <w:rPr>
          <w:rFonts w:ascii="宋体" w:hAnsi="宋体"/>
          <w:sz w:val="24"/>
        </w:rPr>
        <w:t>混合资产投资总监</w:t>
      </w:r>
      <w:r>
        <w:rPr>
          <w:rFonts w:hint="eastAsia"/>
          <w:kern w:val="0"/>
          <w:sz w:val="24"/>
        </w:rPr>
        <w:t>、基金经理）</w:t>
      </w:r>
    </w:p>
    <w:p w14:paraId="40A0E96A" w14:textId="77777777" w:rsidR="00791BDD" w:rsidRDefault="00B75151">
      <w:pPr>
        <w:widowControl/>
        <w:adjustRightInd w:val="0"/>
        <w:snapToGrid w:val="0"/>
        <w:spacing w:line="360" w:lineRule="auto"/>
        <w:ind w:firstLineChars="450" w:firstLine="1080"/>
        <w:rPr>
          <w:kern w:val="0"/>
          <w:sz w:val="24"/>
        </w:rPr>
      </w:pPr>
      <w:r>
        <w:rPr>
          <w:rFonts w:hint="eastAsia"/>
          <w:kern w:val="0"/>
          <w:sz w:val="24"/>
        </w:rPr>
        <w:t>王崇</w:t>
      </w:r>
      <w:r>
        <w:rPr>
          <w:kern w:val="0"/>
          <w:sz w:val="24"/>
        </w:rPr>
        <w:t>（</w:t>
      </w:r>
      <w:r>
        <w:rPr>
          <w:rFonts w:hint="eastAsia"/>
          <w:kern w:val="0"/>
          <w:sz w:val="24"/>
        </w:rPr>
        <w:t>权益投资副总监、权益部一级</w:t>
      </w:r>
      <w:r>
        <w:rPr>
          <w:kern w:val="0"/>
          <w:sz w:val="24"/>
        </w:rPr>
        <w:t>专家、</w:t>
      </w:r>
      <w:r>
        <w:rPr>
          <w:rFonts w:hint="eastAsia"/>
          <w:kern w:val="0"/>
          <w:sz w:val="24"/>
        </w:rPr>
        <w:t>基金经理</w:t>
      </w:r>
      <w:r>
        <w:rPr>
          <w:kern w:val="0"/>
          <w:sz w:val="24"/>
        </w:rPr>
        <w:t>）</w:t>
      </w:r>
    </w:p>
    <w:p w14:paraId="78275D99" w14:textId="77777777" w:rsidR="00791BDD" w:rsidRDefault="00B75151">
      <w:pPr>
        <w:widowControl/>
        <w:adjustRightInd w:val="0"/>
        <w:snapToGrid w:val="0"/>
        <w:spacing w:line="360" w:lineRule="auto"/>
        <w:ind w:firstLineChars="450" w:firstLine="1080"/>
        <w:rPr>
          <w:kern w:val="0"/>
          <w:sz w:val="24"/>
        </w:rPr>
      </w:pPr>
      <w:r>
        <w:rPr>
          <w:rFonts w:ascii="宋体" w:hAnsi="宋体"/>
          <w:sz w:val="24"/>
        </w:rPr>
        <w:t>马韬（研究总监）</w:t>
      </w:r>
    </w:p>
    <w:p w14:paraId="193EAB79" w14:textId="77777777" w:rsidR="00791BDD" w:rsidRDefault="00B75151">
      <w:pPr>
        <w:autoSpaceDE w:val="0"/>
        <w:autoSpaceDN w:val="0"/>
        <w:adjustRightInd w:val="0"/>
        <w:snapToGrid w:val="0"/>
        <w:spacing w:line="360" w:lineRule="auto"/>
        <w:ind w:left="600" w:firstLineChars="200" w:firstLine="480"/>
        <w:jc w:val="left"/>
        <w:rPr>
          <w:szCs w:val="24"/>
        </w:rPr>
      </w:pPr>
      <w:r>
        <w:rPr>
          <w:sz w:val="24"/>
        </w:rPr>
        <w:t>上述人员之间不存在近亲属关系。</w:t>
      </w:r>
    </w:p>
    <w:p w14:paraId="14450239" w14:textId="77777777" w:rsidR="00791BDD" w:rsidRDefault="00B75151">
      <w:pPr>
        <w:widowControl/>
        <w:adjustRightInd w:val="0"/>
        <w:snapToGrid w:val="0"/>
        <w:spacing w:line="360" w:lineRule="auto"/>
        <w:ind w:firstLineChars="200" w:firstLine="482"/>
        <w:outlineLvl w:val="1"/>
        <w:rPr>
          <w:b/>
          <w:kern w:val="0"/>
          <w:sz w:val="24"/>
        </w:rPr>
      </w:pPr>
      <w:r>
        <w:rPr>
          <w:rFonts w:hAnsi="宋体"/>
          <w:b/>
          <w:kern w:val="0"/>
          <w:sz w:val="24"/>
        </w:rPr>
        <w:t>（三）基金管理人的职责</w:t>
      </w:r>
    </w:p>
    <w:p w14:paraId="36730033" w14:textId="77777777" w:rsidR="00791BDD" w:rsidRDefault="00B75151">
      <w:pPr>
        <w:adjustRightInd w:val="0"/>
        <w:snapToGrid w:val="0"/>
        <w:spacing w:line="360" w:lineRule="auto"/>
        <w:ind w:firstLineChars="200" w:firstLine="480"/>
        <w:rPr>
          <w:sz w:val="24"/>
          <w:szCs w:val="24"/>
        </w:rPr>
      </w:pPr>
      <w:r>
        <w:rPr>
          <w:sz w:val="24"/>
          <w:szCs w:val="24"/>
        </w:rPr>
        <w:t>1</w:t>
      </w:r>
      <w:r>
        <w:rPr>
          <w:sz w:val="24"/>
          <w:szCs w:val="24"/>
        </w:rPr>
        <w:t>、依法募集资金，办理或者委托经中国证监会认定的其他机构办理基金份额的发售、申购、赎回和登记事宜；</w:t>
      </w:r>
    </w:p>
    <w:p w14:paraId="74DB86E8" w14:textId="77777777" w:rsidR="00791BDD" w:rsidRDefault="00B75151">
      <w:pPr>
        <w:adjustRightInd w:val="0"/>
        <w:snapToGrid w:val="0"/>
        <w:spacing w:line="360" w:lineRule="auto"/>
        <w:ind w:firstLineChars="200" w:firstLine="480"/>
        <w:rPr>
          <w:sz w:val="24"/>
          <w:szCs w:val="24"/>
        </w:rPr>
      </w:pPr>
      <w:r>
        <w:rPr>
          <w:sz w:val="24"/>
          <w:szCs w:val="24"/>
        </w:rPr>
        <w:t>2</w:t>
      </w:r>
      <w:r>
        <w:rPr>
          <w:sz w:val="24"/>
          <w:szCs w:val="24"/>
        </w:rPr>
        <w:t>、办理基金备案手续；</w:t>
      </w:r>
    </w:p>
    <w:p w14:paraId="24D35F14" w14:textId="77777777" w:rsidR="00791BDD" w:rsidRDefault="00B75151">
      <w:pPr>
        <w:adjustRightInd w:val="0"/>
        <w:snapToGrid w:val="0"/>
        <w:spacing w:line="360" w:lineRule="auto"/>
        <w:ind w:firstLineChars="200" w:firstLine="480"/>
        <w:rPr>
          <w:sz w:val="24"/>
          <w:szCs w:val="24"/>
        </w:rPr>
      </w:pPr>
      <w:r>
        <w:rPr>
          <w:sz w:val="24"/>
          <w:szCs w:val="24"/>
        </w:rPr>
        <w:t>3</w:t>
      </w:r>
      <w:r>
        <w:rPr>
          <w:sz w:val="24"/>
          <w:szCs w:val="24"/>
        </w:rPr>
        <w:t>、对所管理的不同基金财产分别管理、分别记账，进行证券投资；</w:t>
      </w:r>
    </w:p>
    <w:p w14:paraId="5BF35236" w14:textId="77777777" w:rsidR="00791BDD" w:rsidRDefault="00B75151">
      <w:pPr>
        <w:adjustRightInd w:val="0"/>
        <w:snapToGrid w:val="0"/>
        <w:spacing w:line="360" w:lineRule="auto"/>
        <w:ind w:firstLineChars="200" w:firstLine="480"/>
        <w:rPr>
          <w:sz w:val="24"/>
          <w:szCs w:val="24"/>
        </w:rPr>
      </w:pPr>
      <w:r>
        <w:rPr>
          <w:sz w:val="24"/>
          <w:szCs w:val="24"/>
        </w:rPr>
        <w:t>4</w:t>
      </w:r>
      <w:r>
        <w:rPr>
          <w:sz w:val="24"/>
          <w:szCs w:val="24"/>
        </w:rPr>
        <w:t>、按照基金合同的约定确定基金收益分配方案，及时向基金份额持有人分配收益；</w:t>
      </w:r>
    </w:p>
    <w:p w14:paraId="20A5DA8E" w14:textId="77777777" w:rsidR="00791BDD" w:rsidRDefault="00B75151">
      <w:pPr>
        <w:adjustRightInd w:val="0"/>
        <w:snapToGrid w:val="0"/>
        <w:spacing w:line="360" w:lineRule="auto"/>
        <w:ind w:firstLineChars="200" w:firstLine="480"/>
        <w:rPr>
          <w:sz w:val="24"/>
          <w:szCs w:val="24"/>
        </w:rPr>
      </w:pPr>
      <w:r>
        <w:rPr>
          <w:sz w:val="24"/>
          <w:szCs w:val="24"/>
        </w:rPr>
        <w:t>5</w:t>
      </w:r>
      <w:r>
        <w:rPr>
          <w:sz w:val="24"/>
          <w:szCs w:val="24"/>
        </w:rPr>
        <w:t>、进行基金会计核算并编制基金财务会计报告；</w:t>
      </w:r>
    </w:p>
    <w:p w14:paraId="15BE3382" w14:textId="77777777" w:rsidR="00791BDD" w:rsidRDefault="00B75151">
      <w:pPr>
        <w:adjustRightInd w:val="0"/>
        <w:snapToGrid w:val="0"/>
        <w:spacing w:line="360" w:lineRule="auto"/>
        <w:ind w:firstLineChars="200" w:firstLine="480"/>
        <w:rPr>
          <w:sz w:val="24"/>
          <w:szCs w:val="24"/>
        </w:rPr>
      </w:pPr>
      <w:r>
        <w:rPr>
          <w:sz w:val="24"/>
          <w:szCs w:val="24"/>
        </w:rPr>
        <w:lastRenderedPageBreak/>
        <w:t>6</w:t>
      </w:r>
      <w:r>
        <w:rPr>
          <w:sz w:val="24"/>
          <w:szCs w:val="24"/>
        </w:rPr>
        <w:t>、编制季度</w:t>
      </w:r>
      <w:r>
        <w:rPr>
          <w:rFonts w:hint="eastAsia"/>
          <w:sz w:val="24"/>
          <w:szCs w:val="24"/>
        </w:rPr>
        <w:t>报告</w:t>
      </w:r>
      <w:r>
        <w:rPr>
          <w:sz w:val="24"/>
          <w:szCs w:val="24"/>
        </w:rPr>
        <w:t>、</w:t>
      </w:r>
      <w:r>
        <w:rPr>
          <w:rFonts w:hint="eastAsia"/>
          <w:sz w:val="24"/>
          <w:szCs w:val="24"/>
        </w:rPr>
        <w:t>中期</w:t>
      </w:r>
      <w:r>
        <w:rPr>
          <w:sz w:val="24"/>
          <w:szCs w:val="24"/>
        </w:rPr>
        <w:t>报告和年度报告；</w:t>
      </w:r>
    </w:p>
    <w:p w14:paraId="3CCAC55D" w14:textId="77777777" w:rsidR="00791BDD" w:rsidRDefault="00B75151">
      <w:pPr>
        <w:adjustRightInd w:val="0"/>
        <w:snapToGrid w:val="0"/>
        <w:spacing w:line="360" w:lineRule="auto"/>
        <w:ind w:firstLineChars="200" w:firstLine="480"/>
        <w:rPr>
          <w:sz w:val="24"/>
          <w:szCs w:val="24"/>
        </w:rPr>
      </w:pPr>
      <w:r>
        <w:rPr>
          <w:sz w:val="24"/>
          <w:szCs w:val="24"/>
        </w:rPr>
        <w:t>7</w:t>
      </w:r>
      <w:r>
        <w:rPr>
          <w:sz w:val="24"/>
          <w:szCs w:val="24"/>
        </w:rPr>
        <w:t>、计算并公告基金</w:t>
      </w:r>
      <w:r>
        <w:rPr>
          <w:rFonts w:hint="eastAsia"/>
          <w:bCs/>
          <w:sz w:val="24"/>
        </w:rPr>
        <w:t>净值信息</w:t>
      </w:r>
      <w:r>
        <w:rPr>
          <w:sz w:val="24"/>
          <w:szCs w:val="24"/>
        </w:rPr>
        <w:t>，确定基金份额申购、赎回价格；</w:t>
      </w:r>
    </w:p>
    <w:p w14:paraId="4A025108" w14:textId="77777777" w:rsidR="00791BDD" w:rsidRDefault="00B75151">
      <w:pPr>
        <w:adjustRightInd w:val="0"/>
        <w:snapToGrid w:val="0"/>
        <w:spacing w:line="360" w:lineRule="auto"/>
        <w:ind w:firstLineChars="200" w:firstLine="480"/>
        <w:rPr>
          <w:sz w:val="24"/>
          <w:szCs w:val="24"/>
        </w:rPr>
      </w:pPr>
      <w:r>
        <w:rPr>
          <w:sz w:val="24"/>
          <w:szCs w:val="24"/>
        </w:rPr>
        <w:t>8</w:t>
      </w:r>
      <w:r>
        <w:rPr>
          <w:sz w:val="24"/>
          <w:szCs w:val="24"/>
        </w:rPr>
        <w:t>、办理与基金财产管理业务活动有关的信息披露事项；</w:t>
      </w:r>
    </w:p>
    <w:p w14:paraId="55EB8E59" w14:textId="77777777" w:rsidR="00791BDD" w:rsidRDefault="00B75151">
      <w:pPr>
        <w:adjustRightInd w:val="0"/>
        <w:snapToGrid w:val="0"/>
        <w:spacing w:line="360" w:lineRule="auto"/>
        <w:ind w:firstLineChars="200" w:firstLine="480"/>
        <w:rPr>
          <w:sz w:val="24"/>
          <w:szCs w:val="24"/>
        </w:rPr>
      </w:pPr>
      <w:r>
        <w:rPr>
          <w:sz w:val="24"/>
          <w:szCs w:val="24"/>
        </w:rPr>
        <w:t>9</w:t>
      </w:r>
      <w:r>
        <w:rPr>
          <w:sz w:val="24"/>
          <w:szCs w:val="24"/>
        </w:rPr>
        <w:t>、按照规定召集基金份额持有人大会；</w:t>
      </w:r>
    </w:p>
    <w:p w14:paraId="48C0E27E" w14:textId="77777777" w:rsidR="00791BDD" w:rsidRDefault="00B75151">
      <w:pPr>
        <w:adjustRightInd w:val="0"/>
        <w:snapToGrid w:val="0"/>
        <w:spacing w:line="360" w:lineRule="auto"/>
        <w:ind w:firstLineChars="200" w:firstLine="480"/>
        <w:rPr>
          <w:sz w:val="24"/>
          <w:szCs w:val="24"/>
        </w:rPr>
      </w:pPr>
      <w:r>
        <w:rPr>
          <w:sz w:val="24"/>
          <w:szCs w:val="24"/>
        </w:rPr>
        <w:t>10</w:t>
      </w:r>
      <w:r>
        <w:rPr>
          <w:sz w:val="24"/>
          <w:szCs w:val="24"/>
        </w:rPr>
        <w:t>、保存基金财产管理业务活动的记录、账册、报表和其他相关资料；</w:t>
      </w:r>
    </w:p>
    <w:p w14:paraId="2ABDE6C6" w14:textId="77777777" w:rsidR="00791BDD" w:rsidRDefault="00B75151">
      <w:pPr>
        <w:adjustRightInd w:val="0"/>
        <w:snapToGrid w:val="0"/>
        <w:spacing w:line="360" w:lineRule="auto"/>
        <w:ind w:firstLineChars="200" w:firstLine="480"/>
        <w:rPr>
          <w:sz w:val="24"/>
          <w:szCs w:val="24"/>
        </w:rPr>
      </w:pPr>
      <w:r>
        <w:rPr>
          <w:sz w:val="24"/>
          <w:szCs w:val="24"/>
        </w:rPr>
        <w:t>11</w:t>
      </w:r>
      <w:r>
        <w:rPr>
          <w:sz w:val="24"/>
          <w:szCs w:val="24"/>
        </w:rPr>
        <w:t>、以基金管理人名义，代表基金份额持有人利益行使诉讼权利或者实施其他法律行为；</w:t>
      </w:r>
    </w:p>
    <w:p w14:paraId="524AFC17" w14:textId="77777777" w:rsidR="00791BDD" w:rsidRDefault="00B75151">
      <w:pPr>
        <w:adjustRightInd w:val="0"/>
        <w:snapToGrid w:val="0"/>
        <w:spacing w:line="360" w:lineRule="auto"/>
        <w:ind w:firstLineChars="200" w:firstLine="480"/>
        <w:rPr>
          <w:sz w:val="24"/>
          <w:szCs w:val="24"/>
        </w:rPr>
      </w:pPr>
      <w:r>
        <w:rPr>
          <w:sz w:val="24"/>
          <w:szCs w:val="24"/>
        </w:rPr>
        <w:t>12</w:t>
      </w:r>
      <w:r>
        <w:rPr>
          <w:sz w:val="24"/>
          <w:szCs w:val="24"/>
        </w:rPr>
        <w:t>、有关法律法规和中国证监会规定的其他职责。</w:t>
      </w:r>
    </w:p>
    <w:p w14:paraId="21B5E71B" w14:textId="77777777" w:rsidR="00791BDD" w:rsidRDefault="00B75151">
      <w:pPr>
        <w:widowControl/>
        <w:adjustRightInd w:val="0"/>
        <w:snapToGrid w:val="0"/>
        <w:spacing w:line="360" w:lineRule="auto"/>
        <w:ind w:firstLineChars="200" w:firstLine="482"/>
        <w:jc w:val="left"/>
        <w:outlineLvl w:val="1"/>
        <w:rPr>
          <w:b/>
          <w:kern w:val="0"/>
          <w:sz w:val="24"/>
        </w:rPr>
      </w:pPr>
      <w:r>
        <w:rPr>
          <w:rFonts w:hAnsi="宋体"/>
          <w:b/>
          <w:kern w:val="0"/>
          <w:sz w:val="24"/>
        </w:rPr>
        <w:t>（四）基金管理人的承诺</w:t>
      </w:r>
    </w:p>
    <w:p w14:paraId="5A6FCE19" w14:textId="77777777" w:rsidR="00791BDD" w:rsidRDefault="00B75151">
      <w:pPr>
        <w:adjustRightInd w:val="0"/>
        <w:snapToGrid w:val="0"/>
        <w:spacing w:line="360" w:lineRule="auto"/>
        <w:ind w:firstLineChars="200" w:firstLine="480"/>
        <w:rPr>
          <w:sz w:val="24"/>
          <w:szCs w:val="24"/>
        </w:rPr>
      </w:pPr>
      <w:r>
        <w:rPr>
          <w:sz w:val="24"/>
          <w:szCs w:val="24"/>
        </w:rPr>
        <w:t>1</w:t>
      </w:r>
      <w:r>
        <w:rPr>
          <w:sz w:val="24"/>
          <w:szCs w:val="24"/>
        </w:rPr>
        <w:t>、基金管理人承诺不从事违反《中华人民共和国证券法》的行为，并承诺建立健全内部控制制度，采取有效措施，防止违反《中华人民共和国证券法》行为的发生；</w:t>
      </w:r>
    </w:p>
    <w:p w14:paraId="0E428661" w14:textId="77777777" w:rsidR="00791BDD" w:rsidRDefault="00B75151">
      <w:pPr>
        <w:adjustRightInd w:val="0"/>
        <w:snapToGrid w:val="0"/>
        <w:spacing w:line="360" w:lineRule="auto"/>
        <w:ind w:firstLineChars="200" w:firstLine="480"/>
        <w:rPr>
          <w:sz w:val="24"/>
          <w:szCs w:val="24"/>
        </w:rPr>
      </w:pPr>
      <w:r>
        <w:rPr>
          <w:sz w:val="24"/>
          <w:szCs w:val="24"/>
        </w:rPr>
        <w:t>2</w:t>
      </w:r>
      <w:r>
        <w:rPr>
          <w:sz w:val="24"/>
          <w:szCs w:val="24"/>
        </w:rPr>
        <w:t>、基金管理人承诺不从事违反《基金法》的行为，并承诺建立健全内部风险控制制度，采取有效措施，防止下列行为的发生：</w:t>
      </w:r>
    </w:p>
    <w:p w14:paraId="2929DCEE" w14:textId="77777777" w:rsidR="00791BDD" w:rsidRDefault="00B75151">
      <w:pPr>
        <w:adjustRightInd w:val="0"/>
        <w:snapToGrid w:val="0"/>
        <w:spacing w:line="360" w:lineRule="auto"/>
        <w:ind w:firstLineChars="200" w:firstLine="480"/>
        <w:rPr>
          <w:sz w:val="24"/>
          <w:szCs w:val="24"/>
        </w:rPr>
      </w:pPr>
      <w:r>
        <w:rPr>
          <w:sz w:val="24"/>
          <w:szCs w:val="24"/>
        </w:rPr>
        <w:t>（</w:t>
      </w:r>
      <w:r>
        <w:rPr>
          <w:sz w:val="24"/>
          <w:szCs w:val="24"/>
        </w:rPr>
        <w:t>1</w:t>
      </w:r>
      <w:r>
        <w:rPr>
          <w:sz w:val="24"/>
          <w:szCs w:val="24"/>
        </w:rPr>
        <w:t>）将基金管理人固有财产或者他人财产混同于基金财产从事证券投资；</w:t>
      </w:r>
    </w:p>
    <w:p w14:paraId="460D57F3" w14:textId="77777777" w:rsidR="00791BDD" w:rsidRDefault="00B75151">
      <w:pPr>
        <w:adjustRightInd w:val="0"/>
        <w:snapToGrid w:val="0"/>
        <w:spacing w:line="360" w:lineRule="auto"/>
        <w:ind w:firstLineChars="200" w:firstLine="480"/>
        <w:rPr>
          <w:sz w:val="24"/>
          <w:szCs w:val="24"/>
        </w:rPr>
      </w:pPr>
      <w:r>
        <w:rPr>
          <w:sz w:val="24"/>
          <w:szCs w:val="24"/>
        </w:rPr>
        <w:t>（</w:t>
      </w:r>
      <w:r>
        <w:rPr>
          <w:sz w:val="24"/>
          <w:szCs w:val="24"/>
        </w:rPr>
        <w:t>2</w:t>
      </w:r>
      <w:r>
        <w:rPr>
          <w:sz w:val="24"/>
          <w:szCs w:val="24"/>
        </w:rPr>
        <w:t>）不公平地对待管理的不同基金财产；</w:t>
      </w:r>
    </w:p>
    <w:p w14:paraId="08F3D5AE" w14:textId="77777777" w:rsidR="00791BDD" w:rsidRDefault="00B75151">
      <w:pPr>
        <w:adjustRightInd w:val="0"/>
        <w:snapToGrid w:val="0"/>
        <w:spacing w:line="360" w:lineRule="auto"/>
        <w:ind w:firstLineChars="200" w:firstLine="480"/>
        <w:rPr>
          <w:sz w:val="24"/>
          <w:szCs w:val="24"/>
        </w:rPr>
      </w:pPr>
      <w:r>
        <w:rPr>
          <w:sz w:val="24"/>
          <w:szCs w:val="24"/>
        </w:rPr>
        <w:t>（</w:t>
      </w:r>
      <w:r>
        <w:rPr>
          <w:sz w:val="24"/>
          <w:szCs w:val="24"/>
        </w:rPr>
        <w:t>3</w:t>
      </w:r>
      <w:r>
        <w:rPr>
          <w:sz w:val="24"/>
          <w:szCs w:val="24"/>
        </w:rPr>
        <w:t>）利用基金财产为基金份额持有人以外的第三人牟取利益；</w:t>
      </w:r>
    </w:p>
    <w:p w14:paraId="0D5923DE" w14:textId="77777777" w:rsidR="00791BDD" w:rsidRDefault="00B75151">
      <w:pPr>
        <w:adjustRightInd w:val="0"/>
        <w:snapToGrid w:val="0"/>
        <w:spacing w:line="360" w:lineRule="auto"/>
        <w:ind w:firstLineChars="200" w:firstLine="480"/>
        <w:rPr>
          <w:sz w:val="24"/>
          <w:szCs w:val="24"/>
        </w:rPr>
      </w:pPr>
      <w:r>
        <w:rPr>
          <w:sz w:val="24"/>
          <w:szCs w:val="24"/>
        </w:rPr>
        <w:t>（</w:t>
      </w:r>
      <w:r>
        <w:rPr>
          <w:sz w:val="24"/>
          <w:szCs w:val="24"/>
        </w:rPr>
        <w:t>4</w:t>
      </w:r>
      <w:r>
        <w:rPr>
          <w:sz w:val="24"/>
          <w:szCs w:val="24"/>
        </w:rPr>
        <w:t>）向基金份额持有人违规承诺收益或者承担损失；</w:t>
      </w:r>
    </w:p>
    <w:p w14:paraId="2FC1C335" w14:textId="77777777" w:rsidR="00791BDD" w:rsidRDefault="00B75151">
      <w:pPr>
        <w:adjustRightInd w:val="0"/>
        <w:snapToGrid w:val="0"/>
        <w:spacing w:line="360" w:lineRule="auto"/>
        <w:ind w:firstLineChars="200" w:firstLine="480"/>
        <w:rPr>
          <w:sz w:val="24"/>
          <w:szCs w:val="24"/>
        </w:rPr>
      </w:pPr>
      <w:r>
        <w:rPr>
          <w:rFonts w:hint="eastAsia"/>
          <w:sz w:val="24"/>
          <w:szCs w:val="24"/>
        </w:rPr>
        <w:t>（</w:t>
      </w:r>
      <w:r>
        <w:rPr>
          <w:sz w:val="24"/>
          <w:szCs w:val="24"/>
        </w:rPr>
        <w:t>5</w:t>
      </w:r>
      <w:r>
        <w:rPr>
          <w:rFonts w:hint="eastAsia"/>
          <w:sz w:val="24"/>
          <w:szCs w:val="24"/>
        </w:rPr>
        <w:t>）侵占、挪用基金财产；</w:t>
      </w:r>
    </w:p>
    <w:p w14:paraId="376A8DA3" w14:textId="77777777" w:rsidR="00791BDD" w:rsidRDefault="00B75151">
      <w:pPr>
        <w:adjustRightInd w:val="0"/>
        <w:snapToGrid w:val="0"/>
        <w:spacing w:line="360" w:lineRule="auto"/>
        <w:ind w:firstLineChars="200" w:firstLine="480"/>
        <w:rPr>
          <w:sz w:val="24"/>
          <w:szCs w:val="24"/>
        </w:rPr>
      </w:pPr>
      <w:r>
        <w:rPr>
          <w:sz w:val="24"/>
          <w:szCs w:val="24"/>
        </w:rPr>
        <w:t>（</w:t>
      </w:r>
      <w:r>
        <w:rPr>
          <w:sz w:val="24"/>
          <w:szCs w:val="24"/>
        </w:rPr>
        <w:t>6</w:t>
      </w:r>
      <w:r>
        <w:rPr>
          <w:sz w:val="24"/>
          <w:szCs w:val="24"/>
        </w:rPr>
        <w:t>）法律</w:t>
      </w:r>
      <w:r>
        <w:rPr>
          <w:rFonts w:hint="eastAsia"/>
          <w:sz w:val="24"/>
          <w:szCs w:val="24"/>
        </w:rPr>
        <w:t>、行政</w:t>
      </w:r>
      <w:r>
        <w:rPr>
          <w:sz w:val="24"/>
          <w:szCs w:val="24"/>
        </w:rPr>
        <w:t>法规</w:t>
      </w:r>
      <w:r>
        <w:rPr>
          <w:rFonts w:hint="eastAsia"/>
          <w:sz w:val="24"/>
          <w:szCs w:val="24"/>
        </w:rPr>
        <w:t>和</w:t>
      </w:r>
      <w:r>
        <w:rPr>
          <w:sz w:val="24"/>
          <w:szCs w:val="24"/>
        </w:rPr>
        <w:t>中国证监会禁止的其他行为。</w:t>
      </w:r>
    </w:p>
    <w:p w14:paraId="0DC887B3" w14:textId="77777777" w:rsidR="00791BDD" w:rsidRDefault="00B75151">
      <w:pPr>
        <w:adjustRightInd w:val="0"/>
        <w:snapToGrid w:val="0"/>
        <w:spacing w:line="360" w:lineRule="auto"/>
        <w:ind w:firstLineChars="200" w:firstLine="480"/>
        <w:rPr>
          <w:sz w:val="24"/>
          <w:szCs w:val="24"/>
        </w:rPr>
      </w:pPr>
      <w:r>
        <w:rPr>
          <w:sz w:val="24"/>
          <w:szCs w:val="24"/>
        </w:rPr>
        <w:t>3</w:t>
      </w:r>
      <w:r>
        <w:rPr>
          <w:sz w:val="24"/>
          <w:szCs w:val="24"/>
        </w:rPr>
        <w:t>、基金管理人承诺严格遵守基金合同，并承诺建立健全内部控制制度，采取有效措施，防止违反基金合同行为的发生；</w:t>
      </w:r>
    </w:p>
    <w:p w14:paraId="610A9D91" w14:textId="77777777" w:rsidR="00791BDD" w:rsidRDefault="00B75151">
      <w:pPr>
        <w:adjustRightInd w:val="0"/>
        <w:snapToGrid w:val="0"/>
        <w:spacing w:line="360" w:lineRule="auto"/>
        <w:ind w:firstLineChars="200" w:firstLine="480"/>
        <w:rPr>
          <w:sz w:val="24"/>
          <w:szCs w:val="24"/>
        </w:rPr>
      </w:pPr>
      <w:r>
        <w:rPr>
          <w:sz w:val="24"/>
          <w:szCs w:val="24"/>
        </w:rPr>
        <w:t>4</w:t>
      </w:r>
      <w:r>
        <w:rPr>
          <w:sz w:val="24"/>
          <w:szCs w:val="24"/>
        </w:rPr>
        <w:t>、基金管理人承诺加强人员管理，强化职业操守，督促和约束员工遵守国家有关法律法规及行业规范，诚实信用、勤勉尽责；</w:t>
      </w:r>
    </w:p>
    <w:p w14:paraId="6F4B9EB6" w14:textId="77777777" w:rsidR="00791BDD" w:rsidRDefault="00B75151">
      <w:pPr>
        <w:adjustRightInd w:val="0"/>
        <w:snapToGrid w:val="0"/>
        <w:spacing w:line="360" w:lineRule="auto"/>
        <w:ind w:firstLineChars="200" w:firstLine="480"/>
        <w:rPr>
          <w:sz w:val="24"/>
          <w:szCs w:val="24"/>
        </w:rPr>
      </w:pPr>
      <w:r>
        <w:rPr>
          <w:sz w:val="24"/>
          <w:szCs w:val="24"/>
        </w:rPr>
        <w:t>5</w:t>
      </w:r>
      <w:r>
        <w:rPr>
          <w:sz w:val="24"/>
          <w:szCs w:val="24"/>
        </w:rPr>
        <w:t>、基金管理人承诺不从事其他法规规定禁止从事的行为。</w:t>
      </w:r>
    </w:p>
    <w:p w14:paraId="4314A08E" w14:textId="77777777" w:rsidR="00791BDD" w:rsidRDefault="00B75151">
      <w:pPr>
        <w:widowControl/>
        <w:adjustRightInd w:val="0"/>
        <w:snapToGrid w:val="0"/>
        <w:spacing w:line="360" w:lineRule="auto"/>
        <w:ind w:firstLineChars="200" w:firstLine="482"/>
        <w:jc w:val="left"/>
        <w:outlineLvl w:val="1"/>
        <w:rPr>
          <w:b/>
          <w:kern w:val="0"/>
          <w:sz w:val="24"/>
        </w:rPr>
      </w:pPr>
      <w:r>
        <w:rPr>
          <w:rFonts w:hAnsi="宋体"/>
          <w:b/>
          <w:kern w:val="0"/>
          <w:sz w:val="24"/>
        </w:rPr>
        <w:t>（五）基金经理承诺</w:t>
      </w:r>
    </w:p>
    <w:p w14:paraId="09604BEB" w14:textId="77777777" w:rsidR="00791BDD" w:rsidRDefault="00B75151">
      <w:pPr>
        <w:adjustRightInd w:val="0"/>
        <w:snapToGrid w:val="0"/>
        <w:spacing w:line="360" w:lineRule="auto"/>
        <w:ind w:firstLineChars="200" w:firstLine="480"/>
        <w:rPr>
          <w:sz w:val="24"/>
          <w:szCs w:val="24"/>
        </w:rPr>
      </w:pPr>
      <w:r>
        <w:rPr>
          <w:sz w:val="24"/>
          <w:szCs w:val="24"/>
        </w:rPr>
        <w:t>1</w:t>
      </w:r>
      <w:r>
        <w:rPr>
          <w:sz w:val="24"/>
          <w:szCs w:val="24"/>
        </w:rPr>
        <w:t>、依照有关法律法规和基金合同的规定，本着谨慎的原则为基金份额持有人谋取最大利益；</w:t>
      </w:r>
    </w:p>
    <w:p w14:paraId="4E4D322A" w14:textId="77777777" w:rsidR="00791BDD" w:rsidRDefault="00B75151">
      <w:pPr>
        <w:adjustRightInd w:val="0"/>
        <w:snapToGrid w:val="0"/>
        <w:spacing w:line="360" w:lineRule="auto"/>
        <w:ind w:firstLineChars="200" w:firstLine="480"/>
        <w:rPr>
          <w:sz w:val="24"/>
          <w:szCs w:val="24"/>
        </w:rPr>
      </w:pPr>
      <w:r>
        <w:rPr>
          <w:sz w:val="24"/>
          <w:szCs w:val="24"/>
        </w:rPr>
        <w:lastRenderedPageBreak/>
        <w:t>2</w:t>
      </w:r>
      <w:r>
        <w:rPr>
          <w:sz w:val="24"/>
          <w:szCs w:val="24"/>
        </w:rPr>
        <w:t>、不利用职务之便为自己、受雇人或任何第三者谋取利益；</w:t>
      </w:r>
    </w:p>
    <w:p w14:paraId="028A4D27" w14:textId="77777777" w:rsidR="00791BDD" w:rsidRDefault="00B75151">
      <w:pPr>
        <w:widowControl/>
        <w:adjustRightInd w:val="0"/>
        <w:snapToGrid w:val="0"/>
        <w:spacing w:line="360" w:lineRule="auto"/>
        <w:ind w:firstLineChars="200" w:firstLine="480"/>
        <w:rPr>
          <w:sz w:val="24"/>
          <w:szCs w:val="24"/>
        </w:rPr>
      </w:pPr>
      <w:r>
        <w:rPr>
          <w:sz w:val="24"/>
          <w:szCs w:val="24"/>
        </w:rPr>
        <w:t>3</w:t>
      </w:r>
      <w:r>
        <w:rPr>
          <w:sz w:val="24"/>
          <w:szCs w:val="24"/>
        </w:rPr>
        <w:t>、不泄露在任职期间知悉的有关证券、基金的商业秘密，尚未依法公开的基金投资内容、基金投资计划等信息，或利用该信息从事或者明示、暗示他人从事相关的交易活动；</w:t>
      </w:r>
    </w:p>
    <w:p w14:paraId="0EBE871F" w14:textId="77777777" w:rsidR="00791BDD" w:rsidRDefault="00B75151">
      <w:pPr>
        <w:widowControl/>
        <w:adjustRightInd w:val="0"/>
        <w:snapToGrid w:val="0"/>
        <w:spacing w:line="360" w:lineRule="auto"/>
        <w:ind w:firstLineChars="200" w:firstLine="480"/>
        <w:rPr>
          <w:kern w:val="0"/>
          <w:sz w:val="24"/>
          <w:szCs w:val="24"/>
        </w:rPr>
      </w:pPr>
      <w:r>
        <w:rPr>
          <w:sz w:val="24"/>
          <w:szCs w:val="24"/>
        </w:rPr>
        <w:t>4</w:t>
      </w:r>
      <w:r>
        <w:rPr>
          <w:sz w:val="24"/>
          <w:szCs w:val="24"/>
        </w:rPr>
        <w:t>、不以任何形式为其他组织或个人进行证券交易。</w:t>
      </w:r>
    </w:p>
    <w:p w14:paraId="3E525B59" w14:textId="77777777" w:rsidR="00791BDD" w:rsidRDefault="00B75151">
      <w:pPr>
        <w:widowControl/>
        <w:adjustRightInd w:val="0"/>
        <w:snapToGrid w:val="0"/>
        <w:spacing w:line="360" w:lineRule="auto"/>
        <w:ind w:firstLineChars="200" w:firstLine="482"/>
        <w:outlineLvl w:val="1"/>
        <w:rPr>
          <w:b/>
          <w:kern w:val="0"/>
          <w:sz w:val="24"/>
        </w:rPr>
      </w:pPr>
      <w:r>
        <w:rPr>
          <w:rFonts w:hAnsi="宋体"/>
          <w:b/>
          <w:kern w:val="0"/>
          <w:sz w:val="24"/>
        </w:rPr>
        <w:t>（六）基金管理人的内部控制制度</w:t>
      </w:r>
    </w:p>
    <w:p w14:paraId="788740D1" w14:textId="77777777" w:rsidR="00791BDD" w:rsidRDefault="00B75151">
      <w:pPr>
        <w:widowControl/>
        <w:adjustRightInd w:val="0"/>
        <w:snapToGrid w:val="0"/>
        <w:spacing w:line="360" w:lineRule="auto"/>
        <w:ind w:firstLineChars="200" w:firstLine="480"/>
        <w:outlineLvl w:val="2"/>
        <w:rPr>
          <w:kern w:val="0"/>
          <w:sz w:val="24"/>
          <w:szCs w:val="24"/>
        </w:rPr>
      </w:pPr>
      <w:r>
        <w:rPr>
          <w:rFonts w:hint="eastAsia"/>
          <w:kern w:val="0"/>
          <w:sz w:val="24"/>
          <w:szCs w:val="24"/>
        </w:rPr>
        <w:t>1</w:t>
      </w:r>
      <w:r>
        <w:rPr>
          <w:rFonts w:hint="eastAsia"/>
          <w:kern w:val="0"/>
          <w:sz w:val="24"/>
          <w:szCs w:val="24"/>
        </w:rPr>
        <w:t>、内部控制的原则</w:t>
      </w:r>
    </w:p>
    <w:p w14:paraId="77CE89CF" w14:textId="77777777" w:rsidR="00791BDD" w:rsidRDefault="00B75151">
      <w:pPr>
        <w:widowControl/>
        <w:adjustRightInd w:val="0"/>
        <w:snapToGrid w:val="0"/>
        <w:spacing w:line="360" w:lineRule="auto"/>
        <w:ind w:firstLineChars="200" w:firstLine="480"/>
        <w:outlineLvl w:val="2"/>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）健全性原则</w:t>
      </w:r>
    </w:p>
    <w:p w14:paraId="4989BC04" w14:textId="77777777" w:rsidR="00791BDD" w:rsidRDefault="00B75151">
      <w:pPr>
        <w:widowControl/>
        <w:adjustRightInd w:val="0"/>
        <w:snapToGrid w:val="0"/>
        <w:spacing w:line="360" w:lineRule="auto"/>
        <w:ind w:firstLineChars="200" w:firstLine="480"/>
        <w:outlineLvl w:val="2"/>
        <w:rPr>
          <w:kern w:val="0"/>
          <w:sz w:val="24"/>
          <w:szCs w:val="24"/>
        </w:rPr>
      </w:pPr>
      <w:r>
        <w:rPr>
          <w:rFonts w:hint="eastAsia"/>
          <w:kern w:val="0"/>
          <w:sz w:val="24"/>
          <w:szCs w:val="24"/>
        </w:rPr>
        <w:t>内部控制应当包括公司的各项业务、各个部门或机构和各级人员，并涵盖到决策、执行、监督、反馈等各个环节。</w:t>
      </w:r>
    </w:p>
    <w:p w14:paraId="43FEBBFF" w14:textId="77777777" w:rsidR="00791BDD" w:rsidRDefault="00B75151">
      <w:pPr>
        <w:widowControl/>
        <w:adjustRightInd w:val="0"/>
        <w:snapToGrid w:val="0"/>
        <w:spacing w:line="360" w:lineRule="auto"/>
        <w:ind w:firstLineChars="200" w:firstLine="480"/>
        <w:outlineLvl w:val="2"/>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）有效性原则</w:t>
      </w:r>
    </w:p>
    <w:p w14:paraId="1E7EF79C" w14:textId="77777777" w:rsidR="00791BDD" w:rsidRDefault="00B75151">
      <w:pPr>
        <w:widowControl/>
        <w:adjustRightInd w:val="0"/>
        <w:snapToGrid w:val="0"/>
        <w:spacing w:line="360" w:lineRule="auto"/>
        <w:ind w:firstLineChars="200" w:firstLine="480"/>
        <w:outlineLvl w:val="2"/>
        <w:rPr>
          <w:kern w:val="0"/>
          <w:sz w:val="24"/>
          <w:szCs w:val="24"/>
        </w:rPr>
      </w:pPr>
      <w:r>
        <w:rPr>
          <w:rFonts w:hint="eastAsia"/>
          <w:kern w:val="0"/>
          <w:sz w:val="24"/>
          <w:szCs w:val="24"/>
        </w:rPr>
        <w:t>通过科学的内控手段和方法，建立合理的内控程序，维护内控制度的有效执行。</w:t>
      </w:r>
    </w:p>
    <w:p w14:paraId="07EDEA93" w14:textId="77777777" w:rsidR="00791BDD" w:rsidRDefault="00B75151">
      <w:pPr>
        <w:widowControl/>
        <w:adjustRightInd w:val="0"/>
        <w:snapToGrid w:val="0"/>
        <w:spacing w:line="360" w:lineRule="auto"/>
        <w:ind w:firstLineChars="200" w:firstLine="480"/>
        <w:outlineLvl w:val="2"/>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）独立性原则</w:t>
      </w:r>
    </w:p>
    <w:p w14:paraId="4D4CC725" w14:textId="77777777" w:rsidR="00791BDD" w:rsidRDefault="00B75151">
      <w:pPr>
        <w:widowControl/>
        <w:adjustRightInd w:val="0"/>
        <w:snapToGrid w:val="0"/>
        <w:spacing w:line="360" w:lineRule="auto"/>
        <w:ind w:firstLineChars="200" w:firstLine="480"/>
        <w:outlineLvl w:val="2"/>
        <w:rPr>
          <w:kern w:val="0"/>
          <w:sz w:val="24"/>
          <w:szCs w:val="24"/>
        </w:rPr>
      </w:pPr>
      <w:r>
        <w:rPr>
          <w:rFonts w:hint="eastAsia"/>
          <w:kern w:val="0"/>
          <w:sz w:val="24"/>
          <w:szCs w:val="24"/>
        </w:rPr>
        <w:t>公司各机构、部门和岗位职责应当保持相对独立，除非法律法规另有规定，公司基金资产、自有资产、其他资产的运作应当分离。</w:t>
      </w:r>
    </w:p>
    <w:p w14:paraId="1580A3B2" w14:textId="77777777" w:rsidR="00791BDD" w:rsidRDefault="00B75151">
      <w:pPr>
        <w:widowControl/>
        <w:adjustRightInd w:val="0"/>
        <w:snapToGrid w:val="0"/>
        <w:spacing w:line="360" w:lineRule="auto"/>
        <w:ind w:firstLineChars="200" w:firstLine="480"/>
        <w:outlineLvl w:val="2"/>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）相互制约原则</w:t>
      </w:r>
    </w:p>
    <w:p w14:paraId="0314A18F" w14:textId="77777777" w:rsidR="00791BDD" w:rsidRDefault="00B75151">
      <w:pPr>
        <w:widowControl/>
        <w:adjustRightInd w:val="0"/>
        <w:snapToGrid w:val="0"/>
        <w:spacing w:line="360" w:lineRule="auto"/>
        <w:ind w:firstLineChars="200" w:firstLine="480"/>
        <w:outlineLvl w:val="2"/>
        <w:rPr>
          <w:kern w:val="0"/>
          <w:sz w:val="24"/>
          <w:szCs w:val="24"/>
        </w:rPr>
      </w:pPr>
      <w:r>
        <w:rPr>
          <w:rFonts w:hint="eastAsia"/>
          <w:kern w:val="0"/>
          <w:sz w:val="24"/>
          <w:szCs w:val="24"/>
        </w:rPr>
        <w:t>公司内部部门和岗位的设置应当体现权责分明、相互制衡。</w:t>
      </w:r>
    </w:p>
    <w:p w14:paraId="49869FC6" w14:textId="77777777" w:rsidR="00791BDD" w:rsidRDefault="00B75151">
      <w:pPr>
        <w:widowControl/>
        <w:adjustRightInd w:val="0"/>
        <w:snapToGrid w:val="0"/>
        <w:spacing w:line="360" w:lineRule="auto"/>
        <w:ind w:firstLineChars="200" w:firstLine="480"/>
        <w:outlineLvl w:val="2"/>
        <w:rPr>
          <w:kern w:val="0"/>
          <w:sz w:val="24"/>
          <w:szCs w:val="24"/>
        </w:rPr>
      </w:pPr>
      <w:r>
        <w:rPr>
          <w:rFonts w:hint="eastAsia"/>
          <w:kern w:val="0"/>
          <w:sz w:val="24"/>
          <w:szCs w:val="24"/>
        </w:rPr>
        <w:t>（</w:t>
      </w:r>
      <w:r>
        <w:rPr>
          <w:rFonts w:hint="eastAsia"/>
          <w:kern w:val="0"/>
          <w:sz w:val="24"/>
          <w:szCs w:val="24"/>
        </w:rPr>
        <w:t>5</w:t>
      </w:r>
      <w:r>
        <w:rPr>
          <w:rFonts w:hint="eastAsia"/>
          <w:kern w:val="0"/>
          <w:sz w:val="24"/>
          <w:szCs w:val="24"/>
        </w:rPr>
        <w:t>）成本效益原则</w:t>
      </w:r>
    </w:p>
    <w:p w14:paraId="4CAC4AF2" w14:textId="77777777" w:rsidR="00791BDD" w:rsidRDefault="00B75151">
      <w:pPr>
        <w:widowControl/>
        <w:adjustRightInd w:val="0"/>
        <w:snapToGrid w:val="0"/>
        <w:spacing w:line="360" w:lineRule="auto"/>
        <w:ind w:firstLineChars="200" w:firstLine="480"/>
        <w:outlineLvl w:val="2"/>
        <w:rPr>
          <w:kern w:val="0"/>
          <w:sz w:val="24"/>
          <w:szCs w:val="24"/>
        </w:rPr>
      </w:pPr>
      <w:r>
        <w:rPr>
          <w:rFonts w:hint="eastAsia"/>
          <w:kern w:val="0"/>
          <w:sz w:val="24"/>
          <w:szCs w:val="24"/>
        </w:rPr>
        <w:t>公司运用科学化的经营管理方法降低运作成本，提高经济效益，力争以合理的控制成本达到最佳的内部控制效果。</w:t>
      </w:r>
    </w:p>
    <w:p w14:paraId="08C3F27F" w14:textId="77777777" w:rsidR="00791BDD" w:rsidRDefault="00B75151">
      <w:pPr>
        <w:widowControl/>
        <w:adjustRightInd w:val="0"/>
        <w:snapToGrid w:val="0"/>
        <w:spacing w:line="360" w:lineRule="auto"/>
        <w:ind w:firstLineChars="200" w:firstLine="480"/>
        <w:outlineLvl w:val="2"/>
        <w:rPr>
          <w:kern w:val="0"/>
          <w:sz w:val="24"/>
          <w:szCs w:val="24"/>
        </w:rPr>
      </w:pPr>
      <w:r>
        <w:rPr>
          <w:rFonts w:hint="eastAsia"/>
          <w:kern w:val="0"/>
          <w:sz w:val="24"/>
          <w:szCs w:val="24"/>
        </w:rPr>
        <w:t>2</w:t>
      </w:r>
      <w:r>
        <w:rPr>
          <w:rFonts w:hint="eastAsia"/>
          <w:kern w:val="0"/>
          <w:sz w:val="24"/>
          <w:szCs w:val="24"/>
        </w:rPr>
        <w:t>、风险管理和内部风险控制体系结构</w:t>
      </w:r>
    </w:p>
    <w:p w14:paraId="603A97AD" w14:textId="77777777" w:rsidR="00791BDD" w:rsidRDefault="00B75151">
      <w:pPr>
        <w:widowControl/>
        <w:adjustRightInd w:val="0"/>
        <w:snapToGrid w:val="0"/>
        <w:spacing w:line="360" w:lineRule="auto"/>
        <w:ind w:firstLineChars="200" w:firstLine="480"/>
        <w:outlineLvl w:val="2"/>
        <w:rPr>
          <w:kern w:val="0"/>
          <w:sz w:val="24"/>
          <w:szCs w:val="24"/>
        </w:rPr>
      </w:pPr>
      <w:r>
        <w:rPr>
          <w:rFonts w:hint="eastAsia"/>
          <w:kern w:val="0"/>
          <w:sz w:val="24"/>
          <w:szCs w:val="24"/>
        </w:rPr>
        <w:t>公司的风险管理体系结构是一个分工明确、相互牵制的组织结构，由董事会对风险管理负最终责任，各个业务部门负责本部门的风险评估和监控，风险管理部负责监察公司的风险管理措施的执行。具体而言，包括如下组成部分：</w:t>
      </w:r>
    </w:p>
    <w:p w14:paraId="42D9A1C3" w14:textId="77777777" w:rsidR="00791BDD" w:rsidRDefault="00B75151">
      <w:pPr>
        <w:widowControl/>
        <w:adjustRightInd w:val="0"/>
        <w:snapToGrid w:val="0"/>
        <w:spacing w:line="360" w:lineRule="auto"/>
        <w:ind w:firstLineChars="200" w:firstLine="480"/>
        <w:outlineLvl w:val="2"/>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）董事会</w:t>
      </w:r>
    </w:p>
    <w:p w14:paraId="321F8E7B" w14:textId="77777777" w:rsidR="00791BDD" w:rsidRDefault="00B75151">
      <w:pPr>
        <w:widowControl/>
        <w:adjustRightInd w:val="0"/>
        <w:snapToGrid w:val="0"/>
        <w:spacing w:line="360" w:lineRule="auto"/>
        <w:ind w:firstLineChars="200" w:firstLine="480"/>
        <w:outlineLvl w:val="2"/>
        <w:rPr>
          <w:kern w:val="0"/>
          <w:sz w:val="24"/>
          <w:szCs w:val="24"/>
        </w:rPr>
      </w:pPr>
      <w:r>
        <w:rPr>
          <w:rFonts w:hint="eastAsia"/>
          <w:kern w:val="0"/>
          <w:sz w:val="24"/>
          <w:szCs w:val="24"/>
        </w:rPr>
        <w:t>负责制定公司风险偏好（含风险容忍度）、风险管理和内部控制政策，审议并通过与公司内部风险管理和合规有关的重大事项。</w:t>
      </w:r>
    </w:p>
    <w:p w14:paraId="7FA9D9F3" w14:textId="77777777" w:rsidR="00791BDD" w:rsidRDefault="00B75151">
      <w:pPr>
        <w:widowControl/>
        <w:adjustRightInd w:val="0"/>
        <w:snapToGrid w:val="0"/>
        <w:spacing w:line="360" w:lineRule="auto"/>
        <w:ind w:firstLineChars="200" w:firstLine="480"/>
        <w:outlineLvl w:val="2"/>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）合规风险及审计委员会</w:t>
      </w:r>
    </w:p>
    <w:p w14:paraId="321B343E" w14:textId="77777777" w:rsidR="00791BDD" w:rsidRDefault="00B75151">
      <w:pPr>
        <w:widowControl/>
        <w:adjustRightInd w:val="0"/>
        <w:snapToGrid w:val="0"/>
        <w:spacing w:line="360" w:lineRule="auto"/>
        <w:ind w:firstLineChars="200" w:firstLine="480"/>
        <w:outlineLvl w:val="2"/>
        <w:rPr>
          <w:kern w:val="0"/>
          <w:sz w:val="24"/>
          <w:szCs w:val="24"/>
        </w:rPr>
      </w:pPr>
      <w:r>
        <w:rPr>
          <w:rFonts w:hint="eastAsia"/>
          <w:kern w:val="0"/>
          <w:sz w:val="24"/>
          <w:szCs w:val="24"/>
        </w:rPr>
        <w:lastRenderedPageBreak/>
        <w:t>作为董事会下的专业委员会之一，负责对公司在经营管理和基金业务运作的合法性、合规性和风险状况进行检查和评估，对公司监察稽核制度的有效性进行评价，监督检查公司财务状况，审计公司的财务报表，评估公司的财务表现，保证公司的财务运作符合法律的要求和通行的会计标准。</w:t>
      </w:r>
    </w:p>
    <w:p w14:paraId="58AFF6D4" w14:textId="77777777" w:rsidR="00791BDD" w:rsidRDefault="00B75151">
      <w:pPr>
        <w:widowControl/>
        <w:adjustRightInd w:val="0"/>
        <w:snapToGrid w:val="0"/>
        <w:spacing w:line="360" w:lineRule="auto"/>
        <w:ind w:firstLineChars="200" w:firstLine="480"/>
        <w:outlineLvl w:val="2"/>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）风险控制委员会</w:t>
      </w:r>
    </w:p>
    <w:p w14:paraId="719D07B7" w14:textId="77777777" w:rsidR="00791BDD" w:rsidRDefault="00B75151">
      <w:pPr>
        <w:widowControl/>
        <w:adjustRightInd w:val="0"/>
        <w:snapToGrid w:val="0"/>
        <w:spacing w:line="360" w:lineRule="auto"/>
        <w:ind w:firstLineChars="200" w:firstLine="480"/>
        <w:outlineLvl w:val="2"/>
        <w:rPr>
          <w:kern w:val="0"/>
          <w:sz w:val="24"/>
          <w:szCs w:val="24"/>
        </w:rPr>
      </w:pPr>
      <w:r>
        <w:rPr>
          <w:rFonts w:hint="eastAsia"/>
          <w:kern w:val="0"/>
          <w:sz w:val="24"/>
          <w:szCs w:val="24"/>
        </w:rPr>
        <w:t>作为总经理下设的专业委员会之一，风险控制委员会负责评估与公司战略发展和经营运作相关的主要风险；评估公司各方面运行状况是否合规有序，审查有无存在与公司业务有关的重大风险；审议或听取由公司制度规定的需要向风险控制委员会报告的其他情形等。</w:t>
      </w:r>
    </w:p>
    <w:p w14:paraId="303DFC7B" w14:textId="77777777" w:rsidR="00791BDD" w:rsidRDefault="00B75151">
      <w:pPr>
        <w:widowControl/>
        <w:adjustRightInd w:val="0"/>
        <w:snapToGrid w:val="0"/>
        <w:spacing w:line="360" w:lineRule="auto"/>
        <w:ind w:firstLineChars="200" w:firstLine="480"/>
        <w:outlineLvl w:val="2"/>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）督察长</w:t>
      </w:r>
    </w:p>
    <w:p w14:paraId="550BBE0B" w14:textId="77777777" w:rsidR="00791BDD" w:rsidRDefault="00B75151">
      <w:pPr>
        <w:widowControl/>
        <w:adjustRightInd w:val="0"/>
        <w:snapToGrid w:val="0"/>
        <w:spacing w:line="360" w:lineRule="auto"/>
        <w:ind w:firstLineChars="200" w:firstLine="480"/>
        <w:outlineLvl w:val="2"/>
        <w:rPr>
          <w:kern w:val="0"/>
          <w:sz w:val="24"/>
          <w:szCs w:val="24"/>
        </w:rPr>
      </w:pPr>
      <w:r>
        <w:rPr>
          <w:rFonts w:hint="eastAsia"/>
          <w:kern w:val="0"/>
          <w:sz w:val="24"/>
          <w:szCs w:val="24"/>
        </w:rPr>
        <w:t>独立行使督察权利；直接对董事会负责；就内部控制制度和执行情况独立地履行检查、评价、报告、建议职能；定期和不定期地向董事会报告公司内部控制执行情况。</w:t>
      </w:r>
    </w:p>
    <w:p w14:paraId="3E869126" w14:textId="77777777" w:rsidR="00791BDD" w:rsidRDefault="00B75151">
      <w:pPr>
        <w:widowControl/>
        <w:adjustRightInd w:val="0"/>
        <w:snapToGrid w:val="0"/>
        <w:spacing w:line="360" w:lineRule="auto"/>
        <w:ind w:firstLineChars="200" w:firstLine="480"/>
        <w:outlineLvl w:val="2"/>
        <w:rPr>
          <w:kern w:val="0"/>
          <w:sz w:val="24"/>
          <w:szCs w:val="24"/>
        </w:rPr>
      </w:pPr>
      <w:r>
        <w:rPr>
          <w:rFonts w:hint="eastAsia"/>
          <w:kern w:val="0"/>
          <w:sz w:val="24"/>
          <w:szCs w:val="24"/>
        </w:rPr>
        <w:t>（</w:t>
      </w:r>
      <w:r>
        <w:rPr>
          <w:rFonts w:hint="eastAsia"/>
          <w:kern w:val="0"/>
          <w:sz w:val="24"/>
          <w:szCs w:val="24"/>
        </w:rPr>
        <w:t>5</w:t>
      </w:r>
      <w:r>
        <w:rPr>
          <w:rFonts w:hint="eastAsia"/>
          <w:kern w:val="0"/>
          <w:sz w:val="24"/>
          <w:szCs w:val="24"/>
        </w:rPr>
        <w:t>）风险管理部</w:t>
      </w:r>
    </w:p>
    <w:p w14:paraId="4B7B40E3" w14:textId="77777777" w:rsidR="00791BDD" w:rsidRDefault="00B75151">
      <w:pPr>
        <w:widowControl/>
        <w:adjustRightInd w:val="0"/>
        <w:snapToGrid w:val="0"/>
        <w:spacing w:line="360" w:lineRule="auto"/>
        <w:ind w:firstLineChars="200" w:firstLine="480"/>
        <w:outlineLvl w:val="2"/>
        <w:rPr>
          <w:kern w:val="0"/>
          <w:sz w:val="24"/>
          <w:szCs w:val="24"/>
        </w:rPr>
      </w:pPr>
      <w:r>
        <w:rPr>
          <w:rFonts w:hint="eastAsia"/>
          <w:kern w:val="0"/>
          <w:sz w:val="24"/>
          <w:szCs w:val="24"/>
        </w:rPr>
        <w:t>风险管理部负责制定公司风险管理政策和防范及控制措施，汇总公司业务所有的风险信息，独立识别、评估各类风险，提出风险控制建议，使公司在一种风险管理和控制的环境中实现业务目标。</w:t>
      </w:r>
    </w:p>
    <w:p w14:paraId="52751563" w14:textId="77777777" w:rsidR="00791BDD" w:rsidRDefault="00B75151">
      <w:pPr>
        <w:widowControl/>
        <w:adjustRightInd w:val="0"/>
        <w:snapToGrid w:val="0"/>
        <w:spacing w:line="360" w:lineRule="auto"/>
        <w:ind w:firstLineChars="200" w:firstLine="480"/>
        <w:outlineLvl w:val="2"/>
        <w:rPr>
          <w:kern w:val="0"/>
          <w:sz w:val="24"/>
          <w:szCs w:val="24"/>
        </w:rPr>
      </w:pPr>
      <w:r>
        <w:rPr>
          <w:rFonts w:hint="eastAsia"/>
          <w:kern w:val="0"/>
          <w:sz w:val="24"/>
          <w:szCs w:val="24"/>
        </w:rPr>
        <w:t>（</w:t>
      </w:r>
      <w:r>
        <w:rPr>
          <w:rFonts w:hint="eastAsia"/>
          <w:kern w:val="0"/>
          <w:sz w:val="24"/>
          <w:szCs w:val="24"/>
        </w:rPr>
        <w:t>6</w:t>
      </w:r>
      <w:r>
        <w:rPr>
          <w:rFonts w:hint="eastAsia"/>
          <w:kern w:val="0"/>
          <w:sz w:val="24"/>
          <w:szCs w:val="24"/>
        </w:rPr>
        <w:t>）审计部</w:t>
      </w:r>
    </w:p>
    <w:p w14:paraId="70C25765" w14:textId="77777777" w:rsidR="00791BDD" w:rsidRDefault="00B75151">
      <w:pPr>
        <w:widowControl/>
        <w:adjustRightInd w:val="0"/>
        <w:snapToGrid w:val="0"/>
        <w:spacing w:line="360" w:lineRule="auto"/>
        <w:ind w:firstLineChars="200" w:firstLine="480"/>
        <w:outlineLvl w:val="2"/>
        <w:rPr>
          <w:kern w:val="0"/>
          <w:sz w:val="24"/>
          <w:szCs w:val="24"/>
        </w:rPr>
      </w:pPr>
      <w:r>
        <w:rPr>
          <w:rFonts w:hint="eastAsia"/>
          <w:kern w:val="0"/>
          <w:sz w:val="24"/>
          <w:szCs w:val="24"/>
        </w:rPr>
        <w:t>审计部负责按照公司要求，根据国家法律法规及行业规范，结合公司战略发展及管理目标，对公司内部控制体系的适当性及运行的效果和效率进行独立评价，协助促进公司风险管理、控制和治理过程的完善，实现合规经营目标。</w:t>
      </w:r>
    </w:p>
    <w:p w14:paraId="6A9FB520" w14:textId="77777777" w:rsidR="00791BDD" w:rsidRDefault="00B75151">
      <w:pPr>
        <w:widowControl/>
        <w:adjustRightInd w:val="0"/>
        <w:snapToGrid w:val="0"/>
        <w:spacing w:line="360" w:lineRule="auto"/>
        <w:ind w:firstLineChars="200" w:firstLine="480"/>
        <w:outlineLvl w:val="2"/>
        <w:rPr>
          <w:kern w:val="0"/>
          <w:sz w:val="24"/>
          <w:szCs w:val="24"/>
        </w:rPr>
      </w:pPr>
      <w:r>
        <w:rPr>
          <w:rFonts w:hint="eastAsia"/>
          <w:kern w:val="0"/>
          <w:sz w:val="24"/>
          <w:szCs w:val="24"/>
        </w:rPr>
        <w:t>（</w:t>
      </w:r>
      <w:r>
        <w:rPr>
          <w:rFonts w:hint="eastAsia"/>
          <w:kern w:val="0"/>
          <w:sz w:val="24"/>
          <w:szCs w:val="24"/>
        </w:rPr>
        <w:t>7</w:t>
      </w:r>
      <w:r>
        <w:rPr>
          <w:rFonts w:hint="eastAsia"/>
          <w:kern w:val="0"/>
          <w:sz w:val="24"/>
          <w:szCs w:val="24"/>
        </w:rPr>
        <w:t>）内控合规及法律事务部</w:t>
      </w:r>
    </w:p>
    <w:p w14:paraId="0BF47B26" w14:textId="77777777" w:rsidR="00791BDD" w:rsidRDefault="00B75151">
      <w:pPr>
        <w:widowControl/>
        <w:adjustRightInd w:val="0"/>
        <w:snapToGrid w:val="0"/>
        <w:spacing w:line="360" w:lineRule="auto"/>
        <w:ind w:firstLineChars="200" w:firstLine="480"/>
        <w:outlineLvl w:val="2"/>
        <w:rPr>
          <w:kern w:val="0"/>
          <w:sz w:val="24"/>
          <w:szCs w:val="24"/>
        </w:rPr>
      </w:pPr>
      <w:r>
        <w:rPr>
          <w:rFonts w:hint="eastAsia"/>
          <w:kern w:val="0"/>
          <w:sz w:val="24"/>
          <w:szCs w:val="24"/>
        </w:rPr>
        <w:t>内控合规及法律事务部负责公司的法律、内控合规事务及协调实施信息披露事务，依法维护公司合法权益，评估并处理公司运营中发生的法律、内控合规及信息披露相关问题，及时向公司管理层及全体员工传达法规及监管要求。</w:t>
      </w:r>
    </w:p>
    <w:p w14:paraId="3D251135" w14:textId="77777777" w:rsidR="00791BDD" w:rsidRDefault="00B75151">
      <w:pPr>
        <w:widowControl/>
        <w:adjustRightInd w:val="0"/>
        <w:snapToGrid w:val="0"/>
        <w:spacing w:line="360" w:lineRule="auto"/>
        <w:ind w:firstLineChars="200" w:firstLine="480"/>
        <w:outlineLvl w:val="2"/>
        <w:rPr>
          <w:kern w:val="0"/>
          <w:sz w:val="24"/>
          <w:szCs w:val="24"/>
        </w:rPr>
      </w:pPr>
      <w:r>
        <w:rPr>
          <w:rFonts w:hint="eastAsia"/>
          <w:kern w:val="0"/>
          <w:sz w:val="24"/>
          <w:szCs w:val="24"/>
        </w:rPr>
        <w:t>（</w:t>
      </w:r>
      <w:r>
        <w:rPr>
          <w:rFonts w:hint="eastAsia"/>
          <w:kern w:val="0"/>
          <w:sz w:val="24"/>
          <w:szCs w:val="24"/>
        </w:rPr>
        <w:t>8</w:t>
      </w:r>
      <w:r>
        <w:rPr>
          <w:rFonts w:hint="eastAsia"/>
          <w:kern w:val="0"/>
          <w:sz w:val="24"/>
          <w:szCs w:val="24"/>
        </w:rPr>
        <w:t>）业务部门</w:t>
      </w:r>
    </w:p>
    <w:p w14:paraId="52120521" w14:textId="77777777" w:rsidR="00791BDD" w:rsidRDefault="00B75151">
      <w:pPr>
        <w:widowControl/>
        <w:adjustRightInd w:val="0"/>
        <w:snapToGrid w:val="0"/>
        <w:spacing w:line="360" w:lineRule="auto"/>
        <w:ind w:firstLineChars="200" w:firstLine="480"/>
        <w:outlineLvl w:val="2"/>
        <w:rPr>
          <w:kern w:val="0"/>
          <w:sz w:val="24"/>
          <w:szCs w:val="24"/>
        </w:rPr>
      </w:pPr>
      <w:r>
        <w:rPr>
          <w:rFonts w:hint="eastAsia"/>
          <w:kern w:val="0"/>
          <w:sz w:val="24"/>
          <w:szCs w:val="24"/>
        </w:rPr>
        <w:lastRenderedPageBreak/>
        <w:t>风险管理是每一个业务部门首要的责任。部门负责人对本部门的风险负全部责任，负责履行公司的风险管理程序，负责本部门的风险管理系统的开发、执行和维护，用于识别、监控和降低风险。</w:t>
      </w:r>
    </w:p>
    <w:p w14:paraId="185BABE4" w14:textId="77777777" w:rsidR="00791BDD" w:rsidRDefault="00B75151">
      <w:pPr>
        <w:widowControl/>
        <w:adjustRightInd w:val="0"/>
        <w:snapToGrid w:val="0"/>
        <w:spacing w:line="360" w:lineRule="auto"/>
        <w:ind w:firstLineChars="200" w:firstLine="480"/>
        <w:outlineLvl w:val="2"/>
        <w:rPr>
          <w:kern w:val="0"/>
          <w:sz w:val="24"/>
          <w:szCs w:val="24"/>
        </w:rPr>
      </w:pPr>
      <w:r>
        <w:rPr>
          <w:rFonts w:hint="eastAsia"/>
          <w:kern w:val="0"/>
          <w:sz w:val="24"/>
          <w:szCs w:val="24"/>
        </w:rPr>
        <w:t>3</w:t>
      </w:r>
      <w:r>
        <w:rPr>
          <w:rFonts w:hint="eastAsia"/>
          <w:kern w:val="0"/>
          <w:sz w:val="24"/>
          <w:szCs w:val="24"/>
        </w:rPr>
        <w:t>、风险管理和内部风险控制的措施</w:t>
      </w:r>
    </w:p>
    <w:p w14:paraId="0FDE08B2" w14:textId="77777777" w:rsidR="00791BDD" w:rsidRDefault="00B75151">
      <w:pPr>
        <w:widowControl/>
        <w:adjustRightInd w:val="0"/>
        <w:snapToGrid w:val="0"/>
        <w:spacing w:line="360" w:lineRule="auto"/>
        <w:ind w:firstLineChars="200" w:firstLine="480"/>
        <w:outlineLvl w:val="2"/>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）建立内控体系，完善内控制度</w:t>
      </w:r>
    </w:p>
    <w:p w14:paraId="54005759" w14:textId="77777777" w:rsidR="00791BDD" w:rsidRDefault="00B75151">
      <w:pPr>
        <w:widowControl/>
        <w:adjustRightInd w:val="0"/>
        <w:snapToGrid w:val="0"/>
        <w:spacing w:line="360" w:lineRule="auto"/>
        <w:ind w:firstLineChars="200" w:firstLine="480"/>
        <w:outlineLvl w:val="2"/>
        <w:rPr>
          <w:kern w:val="0"/>
          <w:sz w:val="24"/>
          <w:szCs w:val="24"/>
        </w:rPr>
      </w:pPr>
      <w:r>
        <w:rPr>
          <w:rFonts w:hint="eastAsia"/>
          <w:kern w:val="0"/>
          <w:sz w:val="24"/>
          <w:szCs w:val="24"/>
        </w:rPr>
        <w:t>公司建立、健全了内控体系，通过高管人员关于内控的明确分工，确保各项业务活动有恰当的组织和授权，确保监察活动独立，并得到高管人员的支持，同时置备操作手册，并定期更新。</w:t>
      </w:r>
    </w:p>
    <w:p w14:paraId="2C23E480" w14:textId="77777777" w:rsidR="00791BDD" w:rsidRDefault="00B75151">
      <w:pPr>
        <w:widowControl/>
        <w:adjustRightInd w:val="0"/>
        <w:snapToGrid w:val="0"/>
        <w:spacing w:line="360" w:lineRule="auto"/>
        <w:ind w:firstLineChars="200" w:firstLine="480"/>
        <w:outlineLvl w:val="2"/>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）建立相互分离、相互制衡的内控机制</w:t>
      </w:r>
    </w:p>
    <w:p w14:paraId="7801BCF1" w14:textId="77777777" w:rsidR="00791BDD" w:rsidRDefault="00B75151">
      <w:pPr>
        <w:widowControl/>
        <w:adjustRightInd w:val="0"/>
        <w:snapToGrid w:val="0"/>
        <w:spacing w:line="360" w:lineRule="auto"/>
        <w:ind w:firstLineChars="200" w:firstLine="480"/>
        <w:outlineLvl w:val="2"/>
        <w:rPr>
          <w:kern w:val="0"/>
          <w:sz w:val="24"/>
          <w:szCs w:val="24"/>
        </w:rPr>
      </w:pPr>
      <w:r>
        <w:rPr>
          <w:rFonts w:hint="eastAsia"/>
          <w:kern w:val="0"/>
          <w:sz w:val="24"/>
          <w:szCs w:val="24"/>
        </w:rPr>
        <w:t>建立、健全了各项制度，做到基金经理分开，投资决策分开，基金交易集中，形成不同部门、不同岗位之间的制衡机制，从制度上减少和防范风险。</w:t>
      </w:r>
    </w:p>
    <w:p w14:paraId="75BA5D76" w14:textId="77777777" w:rsidR="00791BDD" w:rsidRDefault="00B75151">
      <w:pPr>
        <w:widowControl/>
        <w:adjustRightInd w:val="0"/>
        <w:snapToGrid w:val="0"/>
        <w:spacing w:line="360" w:lineRule="auto"/>
        <w:ind w:firstLineChars="200" w:firstLine="480"/>
        <w:outlineLvl w:val="2"/>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）建立、健全岗位责任制</w:t>
      </w:r>
    </w:p>
    <w:p w14:paraId="09A07813" w14:textId="77777777" w:rsidR="00791BDD" w:rsidRDefault="00B75151">
      <w:pPr>
        <w:widowControl/>
        <w:adjustRightInd w:val="0"/>
        <w:snapToGrid w:val="0"/>
        <w:spacing w:line="360" w:lineRule="auto"/>
        <w:ind w:firstLineChars="200" w:firstLine="480"/>
        <w:outlineLvl w:val="2"/>
        <w:rPr>
          <w:kern w:val="0"/>
          <w:sz w:val="24"/>
          <w:szCs w:val="24"/>
        </w:rPr>
      </w:pPr>
      <w:r>
        <w:rPr>
          <w:rFonts w:hint="eastAsia"/>
          <w:kern w:val="0"/>
          <w:sz w:val="24"/>
          <w:szCs w:val="24"/>
        </w:rPr>
        <w:t>建立、健全了岗位责任制，使每个员工都明确自己的任务、职责，并及时将各自工作领域中的风险隐患上报，以防范和减少风险。</w:t>
      </w:r>
    </w:p>
    <w:p w14:paraId="6C2B1C49" w14:textId="77777777" w:rsidR="00791BDD" w:rsidRDefault="00B75151">
      <w:pPr>
        <w:widowControl/>
        <w:adjustRightInd w:val="0"/>
        <w:snapToGrid w:val="0"/>
        <w:spacing w:line="360" w:lineRule="auto"/>
        <w:ind w:firstLineChars="200" w:firstLine="480"/>
        <w:outlineLvl w:val="2"/>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）建立风险分类、识别、评估、报告、提示程序</w:t>
      </w:r>
    </w:p>
    <w:p w14:paraId="4CE8FCE0" w14:textId="77777777" w:rsidR="00791BDD" w:rsidRDefault="00B75151">
      <w:pPr>
        <w:widowControl/>
        <w:adjustRightInd w:val="0"/>
        <w:snapToGrid w:val="0"/>
        <w:spacing w:line="360" w:lineRule="auto"/>
        <w:ind w:firstLineChars="200" w:firstLine="480"/>
        <w:outlineLvl w:val="2"/>
        <w:rPr>
          <w:kern w:val="0"/>
          <w:sz w:val="24"/>
          <w:szCs w:val="24"/>
        </w:rPr>
      </w:pPr>
      <w:r>
        <w:rPr>
          <w:rFonts w:hint="eastAsia"/>
          <w:kern w:val="0"/>
          <w:sz w:val="24"/>
          <w:szCs w:val="24"/>
        </w:rPr>
        <w:t>建立了风险评估机制，通过适合的程序，确认和评估与公司运作有关的风险；公司建立了自下而上的风险报告程序，对风险隐患进行层层汇报，使各个层次的人员及时掌握风险状况，从而以最快速度作出决策。</w:t>
      </w:r>
    </w:p>
    <w:p w14:paraId="213A0DFF" w14:textId="77777777" w:rsidR="00791BDD" w:rsidRDefault="00B75151">
      <w:pPr>
        <w:widowControl/>
        <w:adjustRightInd w:val="0"/>
        <w:snapToGrid w:val="0"/>
        <w:spacing w:line="360" w:lineRule="auto"/>
        <w:ind w:firstLineChars="200" w:firstLine="480"/>
        <w:outlineLvl w:val="2"/>
        <w:rPr>
          <w:kern w:val="0"/>
          <w:sz w:val="24"/>
          <w:szCs w:val="24"/>
        </w:rPr>
      </w:pPr>
      <w:r>
        <w:rPr>
          <w:rFonts w:hint="eastAsia"/>
          <w:kern w:val="0"/>
          <w:sz w:val="24"/>
          <w:szCs w:val="24"/>
        </w:rPr>
        <w:t>（</w:t>
      </w:r>
      <w:r>
        <w:rPr>
          <w:rFonts w:hint="eastAsia"/>
          <w:kern w:val="0"/>
          <w:sz w:val="24"/>
          <w:szCs w:val="24"/>
        </w:rPr>
        <w:t>5</w:t>
      </w:r>
      <w:r>
        <w:rPr>
          <w:rFonts w:hint="eastAsia"/>
          <w:kern w:val="0"/>
          <w:sz w:val="24"/>
          <w:szCs w:val="24"/>
        </w:rPr>
        <w:t>）建立有效的内部监控系统</w:t>
      </w:r>
    </w:p>
    <w:p w14:paraId="4B37A356" w14:textId="77777777" w:rsidR="00791BDD" w:rsidRDefault="00B75151">
      <w:pPr>
        <w:widowControl/>
        <w:adjustRightInd w:val="0"/>
        <w:snapToGrid w:val="0"/>
        <w:spacing w:line="360" w:lineRule="auto"/>
        <w:ind w:firstLineChars="200" w:firstLine="480"/>
        <w:outlineLvl w:val="2"/>
        <w:rPr>
          <w:kern w:val="0"/>
          <w:sz w:val="24"/>
          <w:szCs w:val="24"/>
        </w:rPr>
      </w:pPr>
      <w:r>
        <w:rPr>
          <w:rFonts w:hint="eastAsia"/>
          <w:kern w:val="0"/>
          <w:sz w:val="24"/>
          <w:szCs w:val="24"/>
        </w:rPr>
        <w:t>建立了足够、有效的内部监控系统，对可能出现的各种风险进行全面和实时的监控。</w:t>
      </w:r>
    </w:p>
    <w:p w14:paraId="308200D2" w14:textId="77777777" w:rsidR="00791BDD" w:rsidRDefault="00B75151">
      <w:pPr>
        <w:widowControl/>
        <w:adjustRightInd w:val="0"/>
        <w:snapToGrid w:val="0"/>
        <w:spacing w:line="360" w:lineRule="auto"/>
        <w:ind w:firstLineChars="200" w:firstLine="480"/>
        <w:outlineLvl w:val="2"/>
        <w:rPr>
          <w:kern w:val="0"/>
          <w:sz w:val="24"/>
          <w:szCs w:val="24"/>
        </w:rPr>
      </w:pPr>
      <w:r>
        <w:rPr>
          <w:rFonts w:hint="eastAsia"/>
          <w:kern w:val="0"/>
          <w:sz w:val="24"/>
          <w:szCs w:val="24"/>
        </w:rPr>
        <w:t>（</w:t>
      </w:r>
      <w:r>
        <w:rPr>
          <w:rFonts w:hint="eastAsia"/>
          <w:kern w:val="0"/>
          <w:sz w:val="24"/>
          <w:szCs w:val="24"/>
        </w:rPr>
        <w:t>6</w:t>
      </w:r>
      <w:r>
        <w:rPr>
          <w:rFonts w:hint="eastAsia"/>
          <w:kern w:val="0"/>
          <w:sz w:val="24"/>
          <w:szCs w:val="24"/>
        </w:rPr>
        <w:t>）使用数量化的风险管理手段</w:t>
      </w:r>
    </w:p>
    <w:p w14:paraId="06664552" w14:textId="77777777" w:rsidR="00791BDD" w:rsidRDefault="00B75151">
      <w:pPr>
        <w:widowControl/>
        <w:adjustRightInd w:val="0"/>
        <w:snapToGrid w:val="0"/>
        <w:spacing w:line="360" w:lineRule="auto"/>
        <w:ind w:firstLineChars="200" w:firstLine="480"/>
        <w:outlineLvl w:val="2"/>
        <w:rPr>
          <w:kern w:val="0"/>
          <w:sz w:val="24"/>
          <w:szCs w:val="24"/>
        </w:rPr>
      </w:pPr>
      <w:r>
        <w:rPr>
          <w:rFonts w:hint="eastAsia"/>
          <w:kern w:val="0"/>
          <w:sz w:val="24"/>
          <w:szCs w:val="24"/>
        </w:rPr>
        <w:t>采取数量化、技术化的风险控制手段，建立数量化的风险管理模型，用以提示指数趋势、行业及个股的风险，以便公司及时采取有效的措施，对风险进行分散、控制和规避，尽可能地减少损失。</w:t>
      </w:r>
    </w:p>
    <w:p w14:paraId="1C7E03C7" w14:textId="77777777" w:rsidR="00791BDD" w:rsidRDefault="00B75151">
      <w:pPr>
        <w:widowControl/>
        <w:adjustRightInd w:val="0"/>
        <w:snapToGrid w:val="0"/>
        <w:spacing w:line="360" w:lineRule="auto"/>
        <w:ind w:firstLineChars="200" w:firstLine="480"/>
        <w:outlineLvl w:val="2"/>
        <w:rPr>
          <w:kern w:val="0"/>
          <w:sz w:val="24"/>
          <w:szCs w:val="24"/>
        </w:rPr>
      </w:pPr>
      <w:r>
        <w:rPr>
          <w:rFonts w:hint="eastAsia"/>
          <w:kern w:val="0"/>
          <w:sz w:val="24"/>
          <w:szCs w:val="24"/>
        </w:rPr>
        <w:t>（</w:t>
      </w:r>
      <w:r>
        <w:rPr>
          <w:rFonts w:hint="eastAsia"/>
          <w:kern w:val="0"/>
          <w:sz w:val="24"/>
          <w:szCs w:val="24"/>
        </w:rPr>
        <w:t>7</w:t>
      </w:r>
      <w:r>
        <w:rPr>
          <w:rFonts w:hint="eastAsia"/>
          <w:kern w:val="0"/>
          <w:sz w:val="24"/>
          <w:szCs w:val="24"/>
        </w:rPr>
        <w:t>）提供足够的培训</w:t>
      </w:r>
    </w:p>
    <w:p w14:paraId="2963AA7B" w14:textId="77777777" w:rsidR="00791BDD" w:rsidRDefault="00B75151">
      <w:pPr>
        <w:widowControl/>
        <w:adjustRightInd w:val="0"/>
        <w:snapToGrid w:val="0"/>
        <w:spacing w:line="360" w:lineRule="auto"/>
        <w:ind w:firstLineChars="200" w:firstLine="480"/>
        <w:outlineLvl w:val="2"/>
        <w:rPr>
          <w:kern w:val="0"/>
          <w:sz w:val="24"/>
          <w:szCs w:val="24"/>
        </w:rPr>
      </w:pPr>
      <w:r>
        <w:rPr>
          <w:rFonts w:hint="eastAsia"/>
          <w:kern w:val="0"/>
          <w:sz w:val="24"/>
          <w:szCs w:val="24"/>
        </w:rPr>
        <w:t>制定了完整的培训计划，为所有员工提供足够和适当的培训，使员工明确其职责所在，控制风险。</w:t>
      </w:r>
      <w:bookmarkStart w:id="11" w:name="_Toc109537382"/>
    </w:p>
    <w:p w14:paraId="6F900B92" w14:textId="77777777" w:rsidR="00791BDD" w:rsidRDefault="00B75151">
      <w:pPr>
        <w:spacing w:line="360" w:lineRule="auto"/>
        <w:jc w:val="center"/>
        <w:outlineLvl w:val="0"/>
        <w:rPr>
          <w:rFonts w:ascii="宋体" w:hAnsi="宋体"/>
          <w:b/>
          <w:kern w:val="0"/>
          <w:sz w:val="30"/>
        </w:rPr>
      </w:pPr>
      <w:r>
        <w:rPr>
          <w:rFonts w:ascii="宋体" w:hAnsi="宋体"/>
          <w:sz w:val="30"/>
        </w:rPr>
        <w:br w:type="page"/>
      </w:r>
      <w:bookmarkStart w:id="12" w:name="_Toc48122005"/>
      <w:bookmarkStart w:id="13" w:name="_Hlk126160221"/>
      <w:bookmarkStart w:id="14" w:name="_Hlk212632962"/>
      <w:bookmarkEnd w:id="10"/>
      <w:r>
        <w:rPr>
          <w:rFonts w:ascii="宋体" w:hAnsi="宋体" w:hint="eastAsia"/>
          <w:b/>
          <w:kern w:val="0"/>
          <w:sz w:val="30"/>
        </w:rPr>
        <w:lastRenderedPageBreak/>
        <w:t>四、基金托管人</w:t>
      </w:r>
      <w:bookmarkEnd w:id="11"/>
      <w:bookmarkEnd w:id="12"/>
    </w:p>
    <w:p w14:paraId="0418C68C" w14:textId="77777777" w:rsidR="00791BDD" w:rsidRDefault="00B75151">
      <w:pPr>
        <w:adjustRightInd w:val="0"/>
        <w:snapToGrid w:val="0"/>
        <w:spacing w:line="360" w:lineRule="auto"/>
        <w:ind w:firstLineChars="200" w:firstLine="482"/>
        <w:outlineLvl w:val="1"/>
        <w:rPr>
          <w:b/>
          <w:color w:val="000000"/>
          <w:sz w:val="24"/>
          <w:szCs w:val="24"/>
        </w:rPr>
      </w:pPr>
      <w:r>
        <w:rPr>
          <w:rFonts w:hint="eastAsia"/>
          <w:b/>
          <w:color w:val="000000"/>
          <w:sz w:val="24"/>
          <w:szCs w:val="24"/>
        </w:rPr>
        <w:t>（</w:t>
      </w:r>
      <w:r>
        <w:rPr>
          <w:b/>
          <w:color w:val="000000"/>
          <w:sz w:val="24"/>
          <w:szCs w:val="24"/>
        </w:rPr>
        <w:t>一</w:t>
      </w:r>
      <w:r>
        <w:rPr>
          <w:rFonts w:hint="eastAsia"/>
          <w:b/>
          <w:color w:val="000000"/>
          <w:sz w:val="24"/>
          <w:szCs w:val="24"/>
        </w:rPr>
        <w:t>）基本</w:t>
      </w:r>
      <w:r>
        <w:rPr>
          <w:b/>
          <w:color w:val="000000"/>
          <w:sz w:val="24"/>
          <w:szCs w:val="24"/>
        </w:rPr>
        <w:t>情况</w:t>
      </w:r>
    </w:p>
    <w:p w14:paraId="4585888E" w14:textId="77777777" w:rsidR="00791BDD" w:rsidRDefault="00B75151">
      <w:pPr>
        <w:adjustRightInd w:val="0"/>
        <w:snapToGrid w:val="0"/>
        <w:spacing w:line="360" w:lineRule="auto"/>
        <w:ind w:firstLineChars="200" w:firstLine="480"/>
        <w:rPr>
          <w:bCs/>
          <w:sz w:val="24"/>
        </w:rPr>
      </w:pPr>
      <w:r>
        <w:rPr>
          <w:rFonts w:hint="eastAsia"/>
          <w:bCs/>
          <w:sz w:val="24"/>
        </w:rPr>
        <w:t>名称：中国银行股份有限公司（简称“中国银行”）</w:t>
      </w:r>
    </w:p>
    <w:p w14:paraId="2ED4830F" w14:textId="77777777" w:rsidR="00791BDD" w:rsidRDefault="00B75151">
      <w:pPr>
        <w:adjustRightInd w:val="0"/>
        <w:snapToGrid w:val="0"/>
        <w:spacing w:line="360" w:lineRule="auto"/>
        <w:ind w:firstLineChars="200" w:firstLine="480"/>
        <w:rPr>
          <w:bCs/>
          <w:sz w:val="24"/>
        </w:rPr>
      </w:pPr>
      <w:r>
        <w:rPr>
          <w:rFonts w:hint="eastAsia"/>
          <w:bCs/>
          <w:sz w:val="24"/>
        </w:rPr>
        <w:t>住所及办公地址：北京市西城区复兴门内大街</w:t>
      </w:r>
      <w:r>
        <w:rPr>
          <w:rFonts w:hint="eastAsia"/>
          <w:bCs/>
          <w:sz w:val="24"/>
        </w:rPr>
        <w:t>1</w:t>
      </w:r>
      <w:r>
        <w:rPr>
          <w:rFonts w:hint="eastAsia"/>
          <w:bCs/>
          <w:sz w:val="24"/>
        </w:rPr>
        <w:t>号</w:t>
      </w:r>
    </w:p>
    <w:p w14:paraId="29B49744" w14:textId="77777777" w:rsidR="00791BDD" w:rsidRDefault="00B75151">
      <w:pPr>
        <w:adjustRightInd w:val="0"/>
        <w:snapToGrid w:val="0"/>
        <w:spacing w:line="360" w:lineRule="auto"/>
        <w:ind w:firstLineChars="200" w:firstLine="480"/>
        <w:rPr>
          <w:bCs/>
          <w:sz w:val="24"/>
        </w:rPr>
      </w:pPr>
      <w:r>
        <w:rPr>
          <w:rFonts w:hint="eastAsia"/>
          <w:bCs/>
          <w:sz w:val="24"/>
        </w:rPr>
        <w:t>首次注册登记日期：</w:t>
      </w:r>
      <w:r>
        <w:rPr>
          <w:bCs/>
          <w:sz w:val="24"/>
        </w:rPr>
        <w:t>1983</w:t>
      </w:r>
      <w:r>
        <w:rPr>
          <w:rFonts w:hint="eastAsia"/>
          <w:bCs/>
          <w:sz w:val="24"/>
        </w:rPr>
        <w:t>年</w:t>
      </w:r>
      <w:r>
        <w:rPr>
          <w:bCs/>
          <w:sz w:val="24"/>
        </w:rPr>
        <w:t>10</w:t>
      </w:r>
      <w:r>
        <w:rPr>
          <w:rFonts w:hint="eastAsia"/>
          <w:bCs/>
          <w:sz w:val="24"/>
        </w:rPr>
        <w:t>月</w:t>
      </w:r>
      <w:r>
        <w:rPr>
          <w:bCs/>
          <w:sz w:val="24"/>
        </w:rPr>
        <w:t>31</w:t>
      </w:r>
      <w:r>
        <w:rPr>
          <w:rFonts w:hint="eastAsia"/>
          <w:bCs/>
          <w:sz w:val="24"/>
        </w:rPr>
        <w:t>日</w:t>
      </w:r>
    </w:p>
    <w:p w14:paraId="101BC3C1" w14:textId="77777777" w:rsidR="00791BDD" w:rsidRDefault="00B75151">
      <w:pPr>
        <w:adjustRightInd w:val="0"/>
        <w:snapToGrid w:val="0"/>
        <w:spacing w:line="360" w:lineRule="auto"/>
        <w:ind w:firstLineChars="200" w:firstLine="480"/>
        <w:rPr>
          <w:bCs/>
          <w:sz w:val="24"/>
        </w:rPr>
      </w:pPr>
      <w:r>
        <w:rPr>
          <w:rFonts w:hint="eastAsia"/>
          <w:bCs/>
          <w:sz w:val="24"/>
        </w:rPr>
        <w:t>注册资本：人民币叁仟贰佰贰拾贰亿壹仟贰佰肆拾壹万壹仟捌佰壹拾肆元整</w:t>
      </w:r>
    </w:p>
    <w:p w14:paraId="1431717F" w14:textId="77777777" w:rsidR="00791BDD" w:rsidRDefault="00B75151">
      <w:pPr>
        <w:adjustRightInd w:val="0"/>
        <w:snapToGrid w:val="0"/>
        <w:spacing w:line="360" w:lineRule="auto"/>
        <w:ind w:firstLineChars="200" w:firstLine="480"/>
        <w:rPr>
          <w:bCs/>
          <w:sz w:val="24"/>
        </w:rPr>
      </w:pPr>
      <w:r>
        <w:rPr>
          <w:rFonts w:hint="eastAsia"/>
          <w:bCs/>
          <w:sz w:val="24"/>
        </w:rPr>
        <w:t>法定代表人：葛海蛟</w:t>
      </w:r>
    </w:p>
    <w:p w14:paraId="47DBD952" w14:textId="77777777" w:rsidR="00791BDD" w:rsidRDefault="00B75151">
      <w:pPr>
        <w:adjustRightInd w:val="0"/>
        <w:snapToGrid w:val="0"/>
        <w:spacing w:line="360" w:lineRule="auto"/>
        <w:ind w:firstLineChars="200" w:firstLine="480"/>
        <w:rPr>
          <w:bCs/>
          <w:sz w:val="24"/>
        </w:rPr>
      </w:pPr>
      <w:r>
        <w:rPr>
          <w:rFonts w:hint="eastAsia"/>
          <w:bCs/>
          <w:sz w:val="24"/>
        </w:rPr>
        <w:t>基金托管业务批准文号：中国证监会证监基字【</w:t>
      </w:r>
      <w:r>
        <w:rPr>
          <w:bCs/>
          <w:sz w:val="24"/>
        </w:rPr>
        <w:t>1998</w:t>
      </w:r>
      <w:r>
        <w:rPr>
          <w:rFonts w:hint="eastAsia"/>
          <w:bCs/>
          <w:sz w:val="24"/>
        </w:rPr>
        <w:t>】</w:t>
      </w:r>
      <w:r>
        <w:rPr>
          <w:bCs/>
          <w:sz w:val="24"/>
        </w:rPr>
        <w:t xml:space="preserve">24 </w:t>
      </w:r>
      <w:r>
        <w:rPr>
          <w:rFonts w:hint="eastAsia"/>
          <w:bCs/>
          <w:sz w:val="24"/>
        </w:rPr>
        <w:t>号</w:t>
      </w:r>
    </w:p>
    <w:p w14:paraId="582D03DE" w14:textId="77777777" w:rsidR="00791BDD" w:rsidRDefault="00B75151">
      <w:pPr>
        <w:adjustRightInd w:val="0"/>
        <w:snapToGrid w:val="0"/>
        <w:spacing w:line="360" w:lineRule="auto"/>
        <w:ind w:firstLineChars="200" w:firstLine="480"/>
        <w:rPr>
          <w:bCs/>
          <w:sz w:val="24"/>
        </w:rPr>
      </w:pPr>
      <w:r>
        <w:rPr>
          <w:rFonts w:hint="eastAsia"/>
          <w:bCs/>
          <w:sz w:val="24"/>
        </w:rPr>
        <w:t>托管部门信息披露联系人：许俊</w:t>
      </w:r>
    </w:p>
    <w:p w14:paraId="51FA36C3" w14:textId="77777777" w:rsidR="00791BDD" w:rsidRDefault="00B75151">
      <w:pPr>
        <w:adjustRightInd w:val="0"/>
        <w:snapToGrid w:val="0"/>
        <w:spacing w:line="360" w:lineRule="auto"/>
        <w:ind w:firstLineChars="200" w:firstLine="480"/>
        <w:rPr>
          <w:bCs/>
          <w:sz w:val="24"/>
        </w:rPr>
      </w:pPr>
      <w:r>
        <w:rPr>
          <w:rFonts w:hint="eastAsia"/>
          <w:bCs/>
          <w:sz w:val="24"/>
        </w:rPr>
        <w:t>传真：（</w:t>
      </w:r>
      <w:r>
        <w:rPr>
          <w:bCs/>
          <w:sz w:val="24"/>
        </w:rPr>
        <w:t>010</w:t>
      </w:r>
      <w:r>
        <w:rPr>
          <w:rFonts w:hint="eastAsia"/>
          <w:bCs/>
          <w:sz w:val="24"/>
        </w:rPr>
        <w:t>）</w:t>
      </w:r>
      <w:r>
        <w:rPr>
          <w:bCs/>
          <w:sz w:val="24"/>
        </w:rPr>
        <w:t>66594942</w:t>
      </w:r>
    </w:p>
    <w:p w14:paraId="0713ABE3" w14:textId="77777777" w:rsidR="00791BDD" w:rsidRDefault="00B75151">
      <w:pPr>
        <w:adjustRightInd w:val="0"/>
        <w:snapToGrid w:val="0"/>
        <w:spacing w:line="360" w:lineRule="auto"/>
        <w:ind w:firstLineChars="200" w:firstLine="480"/>
        <w:rPr>
          <w:bCs/>
          <w:sz w:val="24"/>
        </w:rPr>
      </w:pPr>
      <w:r>
        <w:rPr>
          <w:rFonts w:hint="eastAsia"/>
          <w:bCs/>
          <w:sz w:val="24"/>
        </w:rPr>
        <w:t>中国银行客服电话：</w:t>
      </w:r>
      <w:r>
        <w:rPr>
          <w:bCs/>
          <w:sz w:val="24"/>
        </w:rPr>
        <w:t>95566</w:t>
      </w:r>
    </w:p>
    <w:p w14:paraId="18B5DD2A" w14:textId="77777777" w:rsidR="00791BDD" w:rsidRDefault="00B75151">
      <w:pPr>
        <w:adjustRightInd w:val="0"/>
        <w:snapToGrid w:val="0"/>
        <w:spacing w:line="360" w:lineRule="auto"/>
        <w:ind w:firstLineChars="200" w:firstLine="482"/>
        <w:outlineLvl w:val="1"/>
        <w:rPr>
          <w:b/>
          <w:sz w:val="24"/>
        </w:rPr>
      </w:pPr>
      <w:r>
        <w:rPr>
          <w:rFonts w:hint="eastAsia"/>
          <w:b/>
          <w:sz w:val="24"/>
        </w:rPr>
        <w:t>（二）基金托管部门及主要人员情况</w:t>
      </w:r>
    </w:p>
    <w:p w14:paraId="13F2427E" w14:textId="1C093A20" w:rsidR="00791BDD" w:rsidRDefault="00B75151">
      <w:pPr>
        <w:adjustRightInd w:val="0"/>
        <w:snapToGrid w:val="0"/>
        <w:spacing w:line="360" w:lineRule="auto"/>
        <w:ind w:firstLineChars="200" w:firstLine="480"/>
        <w:rPr>
          <w:sz w:val="24"/>
        </w:rPr>
      </w:pPr>
      <w:r>
        <w:rPr>
          <w:rFonts w:hint="eastAsia"/>
          <w:sz w:val="24"/>
        </w:rPr>
        <w:t>中国银行资产托管部设立于</w:t>
      </w:r>
      <w:r>
        <w:rPr>
          <w:rFonts w:hint="eastAsia"/>
          <w:sz w:val="24"/>
        </w:rPr>
        <w:t>1998</w:t>
      </w:r>
      <w:r>
        <w:rPr>
          <w:rFonts w:hint="eastAsia"/>
          <w:sz w:val="24"/>
        </w:rPr>
        <w:t>年，现有员工</w:t>
      </w:r>
      <w:r w:rsidR="00B910C7">
        <w:rPr>
          <w:rFonts w:hint="eastAsia"/>
          <w:sz w:val="24"/>
        </w:rPr>
        <w:t>1</w:t>
      </w:r>
      <w:r w:rsidR="00B910C7">
        <w:rPr>
          <w:sz w:val="24"/>
        </w:rPr>
        <w:t>3</w:t>
      </w:r>
      <w:r w:rsidR="00B910C7">
        <w:rPr>
          <w:rFonts w:hint="eastAsia"/>
          <w:sz w:val="24"/>
        </w:rPr>
        <w:t>0</w:t>
      </w:r>
      <w:r>
        <w:rPr>
          <w:rFonts w:hint="eastAsia"/>
          <w:sz w:val="24"/>
        </w:rPr>
        <w:t>余人，大部分员工具有丰富的银行、证券、基金、信托从业经验，且具有海外工作、学习或培训经历，</w:t>
      </w:r>
      <w:r>
        <w:rPr>
          <w:rFonts w:hint="eastAsia"/>
          <w:sz w:val="24"/>
        </w:rPr>
        <w:t>60</w:t>
      </w:r>
      <w:r>
        <w:rPr>
          <w:rFonts w:hint="eastAsia"/>
          <w:sz w:val="24"/>
        </w:rPr>
        <w:t>％以上的员工具有硕士以上学位或高级职称。为给客户提供专业化的托管服务，中国银行已在境内、外分行开展托管业务。</w:t>
      </w:r>
    </w:p>
    <w:p w14:paraId="4FED9205" w14:textId="77777777" w:rsidR="00791BDD" w:rsidRDefault="00B75151">
      <w:pPr>
        <w:adjustRightInd w:val="0"/>
        <w:snapToGrid w:val="0"/>
        <w:spacing w:line="360" w:lineRule="auto"/>
        <w:ind w:firstLineChars="200" w:firstLine="480"/>
        <w:rPr>
          <w:sz w:val="24"/>
        </w:rPr>
      </w:pPr>
      <w:r>
        <w:rPr>
          <w:rFonts w:hint="eastAsia"/>
          <w:sz w:val="24"/>
        </w:rPr>
        <w:t>作为国内首批开展证券投资基金托管业务的商业银行，中国银行拥有证券投资基金、基金（一对多、一对一）、社保基金、保险资金、</w:t>
      </w:r>
      <w:r>
        <w:rPr>
          <w:sz w:val="24"/>
        </w:rPr>
        <w:t>QFII</w:t>
      </w:r>
      <w:r>
        <w:rPr>
          <w:rFonts w:hint="eastAsia"/>
          <w:sz w:val="24"/>
        </w:rPr>
        <w:t>、</w:t>
      </w:r>
      <w:r>
        <w:rPr>
          <w:sz w:val="24"/>
        </w:rPr>
        <w:t>RQFII</w:t>
      </w:r>
      <w:r>
        <w:rPr>
          <w:rFonts w:hint="eastAsia"/>
          <w:sz w:val="24"/>
        </w:rPr>
        <w:t>、</w:t>
      </w:r>
      <w:r>
        <w:rPr>
          <w:sz w:val="24"/>
        </w:rPr>
        <w:t>QDII</w:t>
      </w:r>
      <w:r>
        <w:rPr>
          <w:rFonts w:hint="eastAsia"/>
          <w:sz w:val="24"/>
        </w:rPr>
        <w:t>、境外三类机构、券商资产管理计划、信托计划、企业年金、银行理财产品、股权基金、私募基金、资金托管等门类齐全、产品丰富的托管业务体系。在国内，中国银行首家开展绩效评估、风险分析等增值服务，为各类客户提供个性化的托管增值服务，是国内领先的大型中资托管银行。</w:t>
      </w:r>
    </w:p>
    <w:p w14:paraId="6807B722" w14:textId="77777777" w:rsidR="00791BDD" w:rsidRDefault="00B75151">
      <w:pPr>
        <w:adjustRightInd w:val="0"/>
        <w:snapToGrid w:val="0"/>
        <w:spacing w:line="360" w:lineRule="auto"/>
        <w:ind w:firstLineChars="200" w:firstLine="482"/>
        <w:outlineLvl w:val="1"/>
        <w:rPr>
          <w:b/>
          <w:sz w:val="24"/>
        </w:rPr>
      </w:pPr>
      <w:r>
        <w:rPr>
          <w:rFonts w:hint="eastAsia"/>
          <w:b/>
          <w:sz w:val="24"/>
        </w:rPr>
        <w:t>（三）证券投资基金托管情况</w:t>
      </w:r>
    </w:p>
    <w:p w14:paraId="3614A4A5" w14:textId="77777777" w:rsidR="007B38C4" w:rsidRDefault="00B910C7">
      <w:pPr>
        <w:adjustRightInd w:val="0"/>
        <w:snapToGrid w:val="0"/>
        <w:spacing w:line="360" w:lineRule="auto"/>
        <w:ind w:firstLineChars="200" w:firstLine="480"/>
        <w:outlineLvl w:val="1"/>
        <w:rPr>
          <w:sz w:val="24"/>
        </w:rPr>
      </w:pPr>
      <w:r w:rsidRPr="00B910C7">
        <w:rPr>
          <w:rFonts w:hint="eastAsia"/>
          <w:sz w:val="24"/>
        </w:rPr>
        <w:t>截至</w:t>
      </w:r>
      <w:r w:rsidRPr="00B910C7">
        <w:rPr>
          <w:rFonts w:hint="eastAsia"/>
          <w:sz w:val="24"/>
        </w:rPr>
        <w:t>2026</w:t>
      </w:r>
      <w:r w:rsidRPr="00B910C7">
        <w:rPr>
          <w:rFonts w:hint="eastAsia"/>
          <w:sz w:val="24"/>
        </w:rPr>
        <w:t>年</w:t>
      </w:r>
      <w:r w:rsidRPr="00B910C7">
        <w:rPr>
          <w:rFonts w:hint="eastAsia"/>
          <w:sz w:val="24"/>
        </w:rPr>
        <w:t>3</w:t>
      </w:r>
      <w:r w:rsidRPr="00B910C7">
        <w:rPr>
          <w:rFonts w:hint="eastAsia"/>
          <w:sz w:val="24"/>
        </w:rPr>
        <w:t>月</w:t>
      </w:r>
      <w:r w:rsidRPr="00B910C7">
        <w:rPr>
          <w:rFonts w:hint="eastAsia"/>
          <w:sz w:val="24"/>
        </w:rPr>
        <w:t>31</w:t>
      </w:r>
      <w:r w:rsidRPr="00B910C7">
        <w:rPr>
          <w:rFonts w:hint="eastAsia"/>
          <w:sz w:val="24"/>
        </w:rPr>
        <w:t>日，中国银行已托管</w:t>
      </w:r>
      <w:r w:rsidRPr="00B910C7">
        <w:rPr>
          <w:rFonts w:hint="eastAsia"/>
          <w:sz w:val="24"/>
        </w:rPr>
        <w:t>1219</w:t>
      </w:r>
      <w:r w:rsidRPr="00B910C7">
        <w:rPr>
          <w:rFonts w:hint="eastAsia"/>
          <w:sz w:val="24"/>
        </w:rPr>
        <w:t>只证券投资基金，其中境内基金</w:t>
      </w:r>
      <w:r w:rsidRPr="00B910C7">
        <w:rPr>
          <w:rFonts w:hint="eastAsia"/>
          <w:sz w:val="24"/>
        </w:rPr>
        <w:t>1150</w:t>
      </w:r>
      <w:r w:rsidRPr="00B910C7">
        <w:rPr>
          <w:rFonts w:hint="eastAsia"/>
          <w:sz w:val="24"/>
        </w:rPr>
        <w:t>只，</w:t>
      </w:r>
      <w:r w:rsidRPr="00B910C7">
        <w:rPr>
          <w:rFonts w:hint="eastAsia"/>
          <w:sz w:val="24"/>
        </w:rPr>
        <w:t>QDII</w:t>
      </w:r>
      <w:r w:rsidRPr="00B910C7">
        <w:rPr>
          <w:rFonts w:hint="eastAsia"/>
          <w:sz w:val="24"/>
        </w:rPr>
        <w:t>基金</w:t>
      </w:r>
      <w:r w:rsidRPr="00B910C7">
        <w:rPr>
          <w:rFonts w:hint="eastAsia"/>
          <w:sz w:val="24"/>
        </w:rPr>
        <w:t>69</w:t>
      </w:r>
      <w:r w:rsidRPr="00B910C7">
        <w:rPr>
          <w:rFonts w:hint="eastAsia"/>
          <w:sz w:val="24"/>
        </w:rPr>
        <w:t>只，覆盖了股票型、债券型、混合型、货币型、指数型、</w:t>
      </w:r>
      <w:r w:rsidRPr="00B910C7">
        <w:rPr>
          <w:rFonts w:hint="eastAsia"/>
          <w:sz w:val="24"/>
        </w:rPr>
        <w:t>FOF</w:t>
      </w:r>
      <w:r w:rsidRPr="00B910C7">
        <w:rPr>
          <w:rFonts w:hint="eastAsia"/>
          <w:sz w:val="24"/>
        </w:rPr>
        <w:t>、</w:t>
      </w:r>
      <w:r w:rsidRPr="00B910C7">
        <w:rPr>
          <w:rFonts w:hint="eastAsia"/>
          <w:sz w:val="24"/>
        </w:rPr>
        <w:t>REITs</w:t>
      </w:r>
      <w:r w:rsidRPr="00B910C7">
        <w:rPr>
          <w:rFonts w:hint="eastAsia"/>
          <w:sz w:val="24"/>
        </w:rPr>
        <w:t>等多种类型的基金，满足了不同客户多元化的投资理财需求，基金托管规模位居同业前列。</w:t>
      </w:r>
    </w:p>
    <w:p w14:paraId="09829F5B" w14:textId="77777777" w:rsidR="00791BDD" w:rsidRDefault="00B75151">
      <w:pPr>
        <w:adjustRightInd w:val="0"/>
        <w:snapToGrid w:val="0"/>
        <w:spacing w:line="360" w:lineRule="auto"/>
        <w:ind w:firstLineChars="200" w:firstLine="482"/>
        <w:outlineLvl w:val="1"/>
        <w:rPr>
          <w:b/>
          <w:sz w:val="24"/>
        </w:rPr>
      </w:pPr>
      <w:r>
        <w:rPr>
          <w:rFonts w:hint="eastAsia"/>
          <w:b/>
          <w:sz w:val="24"/>
        </w:rPr>
        <w:lastRenderedPageBreak/>
        <w:t>（四）托管业务的内部控制制度</w:t>
      </w:r>
    </w:p>
    <w:p w14:paraId="68663CF2" w14:textId="7CB4960A" w:rsidR="007B38C4" w:rsidRPr="007B38C4" w:rsidRDefault="007B38C4" w:rsidP="007B38C4">
      <w:pPr>
        <w:adjustRightInd w:val="0"/>
        <w:snapToGrid w:val="0"/>
        <w:spacing w:line="360" w:lineRule="auto"/>
        <w:ind w:firstLineChars="200" w:firstLine="480"/>
        <w:rPr>
          <w:sz w:val="24"/>
        </w:rPr>
      </w:pPr>
      <w:r w:rsidRPr="007B38C4">
        <w:rPr>
          <w:rFonts w:hint="eastAsia"/>
          <w:sz w:val="24"/>
        </w:rPr>
        <w:t>中国银行托管业务风险管理与内部控制纳入中国银行全面风险管理体系。资产托管部作为一道防线部门，承担托管业务风险控制的第一责任；风险管理部门作为第二道防线部门，承担制定风险管理制度和流程，监测和管理风险的责任，对托管业务进行指导、培训、监督检查；审计部门作为第三道防线，负责开展托管业务审计工作，发现问题，揭示风险，提出审计建议。中国银行托管业务风险控制贯穿业务各环节，通过制度建设与执行、风险与控制评估、内外部检查及审计监督等措施，持续完善托管业务全员、全面、全程的风险管理体系。</w:t>
      </w:r>
    </w:p>
    <w:p w14:paraId="65C43ECA" w14:textId="353CFCA3" w:rsidR="00791BDD" w:rsidRDefault="007B38C4" w:rsidP="007B38C4">
      <w:pPr>
        <w:adjustRightInd w:val="0"/>
        <w:snapToGrid w:val="0"/>
        <w:spacing w:line="360" w:lineRule="auto"/>
        <w:ind w:firstLineChars="200" w:firstLine="480"/>
        <w:rPr>
          <w:sz w:val="24"/>
        </w:rPr>
      </w:pPr>
      <w:r w:rsidRPr="007B38C4">
        <w:rPr>
          <w:rFonts w:hint="eastAsia"/>
          <w:sz w:val="24"/>
        </w:rPr>
        <w:t>2007</w:t>
      </w:r>
      <w:r w:rsidRPr="007B38C4">
        <w:rPr>
          <w:rFonts w:hint="eastAsia"/>
          <w:sz w:val="24"/>
        </w:rPr>
        <w:t>年起，中国银行开始聘请外部会计师事务所开展托管业务内部控制审阅工作，已连续多年获得基于</w:t>
      </w:r>
      <w:r w:rsidRPr="007B38C4">
        <w:rPr>
          <w:rFonts w:hint="eastAsia"/>
          <w:sz w:val="24"/>
        </w:rPr>
        <w:t xml:space="preserve"> </w:t>
      </w:r>
      <w:r w:rsidRPr="007B38C4">
        <w:rPr>
          <w:rFonts w:hint="eastAsia"/>
          <w:sz w:val="24"/>
        </w:rPr>
        <w:t>“</w:t>
      </w:r>
      <w:r w:rsidRPr="007B38C4">
        <w:rPr>
          <w:rFonts w:hint="eastAsia"/>
          <w:sz w:val="24"/>
        </w:rPr>
        <w:t>ISAE3402</w:t>
      </w:r>
      <w:r w:rsidRPr="007B38C4">
        <w:rPr>
          <w:rFonts w:hint="eastAsia"/>
          <w:sz w:val="24"/>
        </w:rPr>
        <w:t>”等国际主流内控审阅准则的无保留意见的内控鉴证报告。中国银行托管业务内控制度完善，内控措施严密，能够有效保证托管资产的安全。</w:t>
      </w:r>
    </w:p>
    <w:p w14:paraId="34A9CB49" w14:textId="77777777" w:rsidR="00791BDD" w:rsidRDefault="00B75151">
      <w:pPr>
        <w:adjustRightInd w:val="0"/>
        <w:snapToGrid w:val="0"/>
        <w:spacing w:line="360" w:lineRule="auto"/>
        <w:ind w:firstLineChars="200" w:firstLine="482"/>
        <w:outlineLvl w:val="1"/>
        <w:rPr>
          <w:b/>
          <w:sz w:val="24"/>
        </w:rPr>
      </w:pPr>
      <w:r>
        <w:rPr>
          <w:rFonts w:hint="eastAsia"/>
          <w:b/>
          <w:sz w:val="24"/>
        </w:rPr>
        <w:t>（五）托管人对管理人运作基金进行监督的方法和程序</w:t>
      </w:r>
    </w:p>
    <w:p w14:paraId="70E88BAE" w14:textId="77777777" w:rsidR="00791BDD" w:rsidRDefault="00B75151">
      <w:pPr>
        <w:adjustRightInd w:val="0"/>
        <w:snapToGrid w:val="0"/>
        <w:spacing w:line="360" w:lineRule="auto"/>
        <w:ind w:firstLineChars="200" w:firstLine="480"/>
        <w:rPr>
          <w:sz w:val="24"/>
        </w:rPr>
      </w:pPr>
      <w:r>
        <w:rPr>
          <w:rFonts w:hint="eastAsia"/>
          <w:sz w:val="24"/>
        </w:rPr>
        <w:t>根据《中华人民共和国证券投资基金法》、《公开募集证券投资基金运作管理办法》的相关规定，基金托管人发现基金管理人的投资指令违反法律、行政法规和其他有关规定，或者违反基金合同约定的，应当拒绝执行，及时通知基金管理人，并及时向国务院证券监督管理机构报告。基金托管人如发现基金管理人依据交易程序已经生效的投资指令违反法律、行政法规和其他有关规定，或者违反基金合同约定的</w:t>
      </w:r>
      <w:r>
        <w:rPr>
          <w:rFonts w:hint="eastAsia"/>
          <w:sz w:val="24"/>
        </w:rPr>
        <w:t>,</w:t>
      </w:r>
      <w:r>
        <w:rPr>
          <w:rFonts w:hint="eastAsia"/>
          <w:sz w:val="24"/>
        </w:rPr>
        <w:t>应当及时通知基金管理人，并及时向国务院证券监督管理机构报告。</w:t>
      </w:r>
    </w:p>
    <w:p w14:paraId="24437C16" w14:textId="77777777" w:rsidR="00791BDD" w:rsidRDefault="00791BDD">
      <w:pPr>
        <w:rPr>
          <w:sz w:val="24"/>
        </w:rPr>
      </w:pPr>
    </w:p>
    <w:p w14:paraId="4BFC24CB" w14:textId="77777777" w:rsidR="00791BDD" w:rsidRDefault="00B75151">
      <w:pPr>
        <w:widowControl/>
        <w:jc w:val="left"/>
        <w:rPr>
          <w:sz w:val="24"/>
        </w:rPr>
      </w:pPr>
      <w:r>
        <w:rPr>
          <w:sz w:val="24"/>
        </w:rPr>
        <w:br w:type="page"/>
      </w:r>
    </w:p>
    <w:p w14:paraId="231C608E" w14:textId="77777777" w:rsidR="00791BDD" w:rsidRDefault="00B75151">
      <w:pPr>
        <w:spacing w:line="360" w:lineRule="auto"/>
        <w:jc w:val="center"/>
        <w:outlineLvl w:val="0"/>
        <w:rPr>
          <w:rFonts w:ascii="宋体" w:hAnsi="宋体"/>
          <w:b/>
          <w:kern w:val="0"/>
          <w:sz w:val="30"/>
        </w:rPr>
      </w:pPr>
      <w:bookmarkStart w:id="15" w:name="_Toc109537383"/>
      <w:bookmarkStart w:id="16" w:name="_Toc48122006"/>
      <w:bookmarkEnd w:id="13"/>
      <w:r>
        <w:rPr>
          <w:rFonts w:ascii="宋体" w:hAnsi="宋体" w:hint="eastAsia"/>
          <w:b/>
          <w:kern w:val="0"/>
          <w:sz w:val="30"/>
        </w:rPr>
        <w:lastRenderedPageBreak/>
        <w:t>五、相关服务机构</w:t>
      </w:r>
      <w:bookmarkEnd w:id="15"/>
      <w:bookmarkEnd w:id="16"/>
    </w:p>
    <w:p w14:paraId="12B0F524" w14:textId="77777777" w:rsidR="00791BDD" w:rsidRDefault="00B75151">
      <w:pPr>
        <w:widowControl/>
        <w:adjustRightInd w:val="0"/>
        <w:snapToGrid w:val="0"/>
        <w:spacing w:line="360" w:lineRule="auto"/>
        <w:ind w:firstLineChars="200" w:firstLine="482"/>
        <w:outlineLvl w:val="1"/>
        <w:rPr>
          <w:b/>
          <w:kern w:val="0"/>
          <w:sz w:val="24"/>
        </w:rPr>
      </w:pPr>
      <w:r>
        <w:rPr>
          <w:rFonts w:hAnsi="宋体"/>
          <w:b/>
          <w:kern w:val="0"/>
          <w:sz w:val="24"/>
        </w:rPr>
        <w:t>（一）基金份额销售机构</w:t>
      </w:r>
    </w:p>
    <w:p w14:paraId="29B9197B" w14:textId="77777777" w:rsidR="00791BDD" w:rsidRDefault="00B75151">
      <w:pPr>
        <w:adjustRightInd w:val="0"/>
        <w:snapToGrid w:val="0"/>
        <w:spacing w:line="360" w:lineRule="auto"/>
        <w:ind w:firstLine="465"/>
        <w:outlineLvl w:val="2"/>
        <w:rPr>
          <w:rFonts w:hAnsi="宋体"/>
          <w:sz w:val="24"/>
        </w:rPr>
      </w:pPr>
      <w:r>
        <w:rPr>
          <w:rFonts w:hAnsi="宋体"/>
          <w:sz w:val="24"/>
        </w:rPr>
        <w:t>1</w:t>
      </w:r>
      <w:r>
        <w:rPr>
          <w:rFonts w:hAnsi="宋体"/>
          <w:sz w:val="24"/>
        </w:rPr>
        <w:t>、直销机构</w:t>
      </w:r>
    </w:p>
    <w:p w14:paraId="3D134E63" w14:textId="77777777" w:rsidR="00791BDD" w:rsidRDefault="00B75151">
      <w:pPr>
        <w:adjustRightInd w:val="0"/>
        <w:snapToGrid w:val="0"/>
        <w:spacing w:line="360" w:lineRule="auto"/>
        <w:ind w:firstLine="465"/>
        <w:rPr>
          <w:rFonts w:hAnsi="宋体"/>
          <w:sz w:val="24"/>
        </w:rPr>
      </w:pPr>
      <w:r>
        <w:rPr>
          <w:rFonts w:hAnsi="宋体"/>
          <w:sz w:val="24"/>
        </w:rPr>
        <w:t>本基金直销机构为</w:t>
      </w:r>
      <w:r>
        <w:rPr>
          <w:rFonts w:hAnsi="宋体" w:hint="eastAsia"/>
          <w:sz w:val="24"/>
        </w:rPr>
        <w:t>基金管理人直销柜台</w:t>
      </w:r>
      <w:r>
        <w:rPr>
          <w:rFonts w:hAnsi="宋体"/>
          <w:sz w:val="24"/>
        </w:rPr>
        <w:t>以及</w:t>
      </w:r>
      <w:r>
        <w:rPr>
          <w:rFonts w:hAnsi="宋体" w:hint="eastAsia"/>
          <w:sz w:val="24"/>
        </w:rPr>
        <w:t>基金管理人</w:t>
      </w:r>
      <w:r>
        <w:rPr>
          <w:rFonts w:hAnsi="宋体"/>
          <w:sz w:val="24"/>
        </w:rPr>
        <w:t>的网上直销交易平台</w:t>
      </w:r>
      <w:r>
        <w:rPr>
          <w:rFonts w:hAnsi="宋体" w:hint="eastAsia"/>
          <w:sz w:val="24"/>
        </w:rPr>
        <w:t>（网站</w:t>
      </w:r>
      <w:r>
        <w:rPr>
          <w:rFonts w:hAnsi="宋体"/>
          <w:sz w:val="24"/>
        </w:rPr>
        <w:t>及手机</w:t>
      </w:r>
      <w:r>
        <w:rPr>
          <w:rFonts w:hAnsi="宋体"/>
          <w:sz w:val="24"/>
        </w:rPr>
        <w:t>APP</w:t>
      </w:r>
      <w:r>
        <w:rPr>
          <w:rFonts w:hAnsi="宋体"/>
          <w:sz w:val="24"/>
        </w:rPr>
        <w:t>，下同）。</w:t>
      </w:r>
    </w:p>
    <w:p w14:paraId="28B3097A" w14:textId="77777777" w:rsidR="00791BDD" w:rsidRDefault="00B75151">
      <w:pPr>
        <w:adjustRightInd w:val="0"/>
        <w:snapToGrid w:val="0"/>
        <w:spacing w:line="360" w:lineRule="auto"/>
        <w:ind w:firstLine="465"/>
        <w:rPr>
          <w:rFonts w:hAnsi="宋体"/>
          <w:sz w:val="24"/>
        </w:rPr>
      </w:pPr>
      <w:r>
        <w:rPr>
          <w:rFonts w:hAnsi="宋体"/>
          <w:sz w:val="24"/>
        </w:rPr>
        <w:t>名称：</w:t>
      </w:r>
      <w:r>
        <w:rPr>
          <w:rFonts w:hAnsi="宋体" w:hint="eastAsia"/>
          <w:sz w:val="24"/>
        </w:rPr>
        <w:t>交银施罗德基金管理有限公司</w:t>
      </w:r>
    </w:p>
    <w:p w14:paraId="777F5B2B" w14:textId="77777777" w:rsidR="00791BDD" w:rsidRDefault="00B75151">
      <w:pPr>
        <w:adjustRightInd w:val="0"/>
        <w:snapToGrid w:val="0"/>
        <w:spacing w:line="360" w:lineRule="auto"/>
        <w:ind w:firstLine="465"/>
        <w:rPr>
          <w:rFonts w:hAnsi="宋体"/>
          <w:sz w:val="24"/>
        </w:rPr>
      </w:pPr>
      <w:r>
        <w:rPr>
          <w:rFonts w:hAnsi="宋体"/>
          <w:sz w:val="24"/>
        </w:rPr>
        <w:t>住所：</w:t>
      </w:r>
      <w:r>
        <w:rPr>
          <w:rFonts w:hAnsi="宋体" w:hint="eastAsia"/>
          <w:kern w:val="0"/>
          <w:sz w:val="24"/>
        </w:rPr>
        <w:t>中国</w:t>
      </w:r>
      <w:r>
        <w:rPr>
          <w:rFonts w:hAnsi="宋体"/>
          <w:kern w:val="0"/>
          <w:sz w:val="24"/>
        </w:rPr>
        <w:t>（</w:t>
      </w:r>
      <w:r>
        <w:rPr>
          <w:rFonts w:hAnsi="宋体" w:hint="eastAsia"/>
          <w:kern w:val="0"/>
          <w:sz w:val="24"/>
        </w:rPr>
        <w:t>上海）自由</w:t>
      </w:r>
      <w:r>
        <w:rPr>
          <w:rFonts w:hAnsi="宋体"/>
          <w:kern w:val="0"/>
          <w:sz w:val="24"/>
        </w:rPr>
        <w:t>贸易试验区</w:t>
      </w:r>
      <w:r>
        <w:rPr>
          <w:rFonts w:hAnsi="宋体" w:hint="eastAsia"/>
          <w:sz w:val="24"/>
        </w:rPr>
        <w:t>银城中路</w:t>
      </w:r>
      <w:r>
        <w:rPr>
          <w:rFonts w:hAnsi="宋体" w:hint="eastAsia"/>
          <w:sz w:val="24"/>
        </w:rPr>
        <w:t>188</w:t>
      </w:r>
      <w:r>
        <w:rPr>
          <w:rFonts w:hAnsi="宋体" w:hint="eastAsia"/>
          <w:sz w:val="24"/>
        </w:rPr>
        <w:t>号交通银行大楼二层（裙）</w:t>
      </w:r>
    </w:p>
    <w:p w14:paraId="6BD97642" w14:textId="77777777" w:rsidR="00791BDD" w:rsidRDefault="00B75151">
      <w:pPr>
        <w:adjustRightInd w:val="0"/>
        <w:snapToGrid w:val="0"/>
        <w:spacing w:line="360" w:lineRule="auto"/>
        <w:ind w:firstLine="465"/>
        <w:rPr>
          <w:rFonts w:hAnsi="宋体"/>
          <w:sz w:val="24"/>
        </w:rPr>
      </w:pPr>
      <w:r>
        <w:rPr>
          <w:rFonts w:hAnsi="宋体"/>
          <w:sz w:val="24"/>
        </w:rPr>
        <w:t>办公地址：</w:t>
      </w:r>
      <w:r>
        <w:rPr>
          <w:rFonts w:hAnsi="宋体" w:hint="eastAsia"/>
          <w:sz w:val="24"/>
        </w:rPr>
        <w:t>上海市浦东新区世纪大道</w:t>
      </w:r>
      <w:r>
        <w:rPr>
          <w:rFonts w:hAnsi="宋体" w:hint="eastAsia"/>
          <w:sz w:val="24"/>
        </w:rPr>
        <w:t>8</w:t>
      </w:r>
      <w:r>
        <w:rPr>
          <w:rFonts w:hAnsi="宋体" w:hint="eastAsia"/>
          <w:sz w:val="24"/>
        </w:rPr>
        <w:t>号国金中心二期</w:t>
      </w:r>
      <w:r>
        <w:rPr>
          <w:rFonts w:hAnsi="宋体" w:hint="eastAsia"/>
          <w:sz w:val="24"/>
        </w:rPr>
        <w:t>21-22</w:t>
      </w:r>
      <w:r>
        <w:rPr>
          <w:rFonts w:hAnsi="宋体" w:hint="eastAsia"/>
          <w:sz w:val="24"/>
        </w:rPr>
        <w:t>楼</w:t>
      </w:r>
    </w:p>
    <w:p w14:paraId="109AA2B6" w14:textId="77777777" w:rsidR="00791BDD" w:rsidRDefault="00B75151">
      <w:pPr>
        <w:adjustRightInd w:val="0"/>
        <w:snapToGrid w:val="0"/>
        <w:spacing w:line="360" w:lineRule="auto"/>
        <w:ind w:firstLine="465"/>
        <w:rPr>
          <w:rFonts w:hAnsi="宋体"/>
          <w:sz w:val="24"/>
        </w:rPr>
      </w:pPr>
      <w:r>
        <w:rPr>
          <w:rFonts w:hAnsi="宋体"/>
          <w:sz w:val="24"/>
        </w:rPr>
        <w:t>法定代表人：</w:t>
      </w:r>
      <w:r>
        <w:rPr>
          <w:rFonts w:hAnsi="宋体" w:hint="eastAsia"/>
          <w:sz w:val="24"/>
        </w:rPr>
        <w:t>张宏良</w:t>
      </w:r>
    </w:p>
    <w:p w14:paraId="1760E6C7" w14:textId="77777777" w:rsidR="00791BDD" w:rsidRDefault="00B75151">
      <w:pPr>
        <w:adjustRightInd w:val="0"/>
        <w:snapToGrid w:val="0"/>
        <w:spacing w:line="360" w:lineRule="auto"/>
        <w:ind w:firstLineChars="200" w:firstLine="480"/>
        <w:rPr>
          <w:sz w:val="24"/>
        </w:rPr>
      </w:pPr>
      <w:r>
        <w:rPr>
          <w:rFonts w:hAnsi="宋体"/>
          <w:sz w:val="24"/>
        </w:rPr>
        <w:t>成立时间：</w:t>
      </w:r>
      <w:r>
        <w:rPr>
          <w:rFonts w:hAnsi="宋体" w:hint="eastAsia"/>
          <w:sz w:val="24"/>
        </w:rPr>
        <w:t>2005</w:t>
      </w:r>
      <w:r>
        <w:rPr>
          <w:rFonts w:hAnsi="宋体" w:hint="eastAsia"/>
          <w:sz w:val="24"/>
        </w:rPr>
        <w:t>年</w:t>
      </w:r>
      <w:r>
        <w:rPr>
          <w:rFonts w:hAnsi="宋体" w:hint="eastAsia"/>
          <w:sz w:val="24"/>
        </w:rPr>
        <w:t>8</w:t>
      </w:r>
      <w:r>
        <w:rPr>
          <w:rFonts w:hAnsi="宋体" w:hint="eastAsia"/>
          <w:sz w:val="24"/>
        </w:rPr>
        <w:t>月</w:t>
      </w:r>
      <w:r>
        <w:rPr>
          <w:rFonts w:hAnsi="宋体" w:hint="eastAsia"/>
          <w:sz w:val="24"/>
        </w:rPr>
        <w:t>4</w:t>
      </w:r>
      <w:r>
        <w:rPr>
          <w:rFonts w:hAnsi="宋体" w:hint="eastAsia"/>
          <w:sz w:val="24"/>
        </w:rPr>
        <w:t>日</w:t>
      </w:r>
    </w:p>
    <w:p w14:paraId="7B821EC8" w14:textId="77777777" w:rsidR="00791BDD" w:rsidRDefault="00B75151">
      <w:pPr>
        <w:adjustRightInd w:val="0"/>
        <w:snapToGrid w:val="0"/>
        <w:spacing w:line="360" w:lineRule="auto"/>
        <w:ind w:firstLineChars="200" w:firstLine="480"/>
        <w:rPr>
          <w:sz w:val="24"/>
        </w:rPr>
      </w:pPr>
      <w:r>
        <w:rPr>
          <w:rFonts w:hAnsi="宋体"/>
          <w:sz w:val="24"/>
        </w:rPr>
        <w:t>电话：</w:t>
      </w:r>
      <w:r>
        <w:rPr>
          <w:rFonts w:hAnsi="宋体" w:hint="eastAsia"/>
          <w:sz w:val="24"/>
        </w:rPr>
        <w:t>（</w:t>
      </w:r>
      <w:r>
        <w:rPr>
          <w:rFonts w:hAnsi="宋体" w:hint="eastAsia"/>
          <w:sz w:val="24"/>
        </w:rPr>
        <w:t>021</w:t>
      </w:r>
      <w:r>
        <w:rPr>
          <w:rFonts w:hAnsi="宋体" w:hint="eastAsia"/>
          <w:sz w:val="24"/>
        </w:rPr>
        <w:t>）</w:t>
      </w:r>
      <w:r>
        <w:rPr>
          <w:rFonts w:hAnsi="宋体" w:hint="eastAsia"/>
          <w:sz w:val="24"/>
        </w:rPr>
        <w:t>6105</w:t>
      </w:r>
      <w:r>
        <w:rPr>
          <w:rFonts w:hAnsi="宋体"/>
          <w:sz w:val="24"/>
        </w:rPr>
        <w:t>5724</w:t>
      </w:r>
    </w:p>
    <w:p w14:paraId="49E3CB3A" w14:textId="77777777" w:rsidR="00791BDD" w:rsidRDefault="00B75151">
      <w:pPr>
        <w:adjustRightInd w:val="0"/>
        <w:snapToGrid w:val="0"/>
        <w:spacing w:line="360" w:lineRule="auto"/>
        <w:ind w:firstLineChars="200" w:firstLine="480"/>
        <w:rPr>
          <w:sz w:val="24"/>
        </w:rPr>
      </w:pPr>
      <w:r>
        <w:rPr>
          <w:rFonts w:hAnsi="宋体"/>
          <w:sz w:val="24"/>
        </w:rPr>
        <w:t>传真：</w:t>
      </w:r>
      <w:r>
        <w:rPr>
          <w:rFonts w:hAnsi="宋体" w:hint="eastAsia"/>
          <w:sz w:val="24"/>
        </w:rPr>
        <w:t>（</w:t>
      </w:r>
      <w:r>
        <w:rPr>
          <w:rFonts w:hAnsi="宋体" w:hint="eastAsia"/>
          <w:sz w:val="24"/>
        </w:rPr>
        <w:t>021</w:t>
      </w:r>
      <w:r>
        <w:rPr>
          <w:rFonts w:hAnsi="宋体" w:hint="eastAsia"/>
          <w:sz w:val="24"/>
        </w:rPr>
        <w:t>）</w:t>
      </w:r>
      <w:r>
        <w:rPr>
          <w:rFonts w:hAnsi="宋体" w:hint="eastAsia"/>
          <w:sz w:val="24"/>
        </w:rPr>
        <w:t>61055054</w:t>
      </w:r>
    </w:p>
    <w:p w14:paraId="42F8518D" w14:textId="77777777" w:rsidR="00791BDD" w:rsidRDefault="00B75151">
      <w:pPr>
        <w:adjustRightInd w:val="0"/>
        <w:snapToGrid w:val="0"/>
        <w:spacing w:line="360" w:lineRule="auto"/>
        <w:ind w:firstLineChars="200" w:firstLine="480"/>
        <w:rPr>
          <w:sz w:val="24"/>
        </w:rPr>
      </w:pPr>
      <w:r>
        <w:rPr>
          <w:rFonts w:hAnsi="宋体"/>
          <w:sz w:val="24"/>
        </w:rPr>
        <w:t>联系人：</w:t>
      </w:r>
      <w:r>
        <w:rPr>
          <w:rFonts w:hAnsi="宋体" w:hint="eastAsia"/>
          <w:sz w:val="24"/>
        </w:rPr>
        <w:t>傅鲸</w:t>
      </w:r>
    </w:p>
    <w:p w14:paraId="4B5D7420" w14:textId="77777777" w:rsidR="00791BDD" w:rsidRDefault="00B75151">
      <w:pPr>
        <w:adjustRightInd w:val="0"/>
        <w:snapToGrid w:val="0"/>
        <w:spacing w:line="360" w:lineRule="auto"/>
        <w:ind w:firstLineChars="200" w:firstLine="480"/>
        <w:rPr>
          <w:sz w:val="24"/>
        </w:rPr>
      </w:pPr>
      <w:r>
        <w:rPr>
          <w:rFonts w:hAnsi="宋体"/>
          <w:sz w:val="24"/>
        </w:rPr>
        <w:t>客户服务电话：</w:t>
      </w:r>
      <w:r>
        <w:rPr>
          <w:rFonts w:hAnsi="宋体" w:hint="eastAsia"/>
          <w:sz w:val="24"/>
        </w:rPr>
        <w:t>400-700-5000</w:t>
      </w:r>
      <w:r>
        <w:rPr>
          <w:rFonts w:hAnsi="宋体" w:hint="eastAsia"/>
          <w:sz w:val="24"/>
        </w:rPr>
        <w:t>（免长途话费），（</w:t>
      </w:r>
      <w:r>
        <w:rPr>
          <w:rFonts w:hAnsi="宋体" w:hint="eastAsia"/>
          <w:sz w:val="24"/>
        </w:rPr>
        <w:t>021</w:t>
      </w:r>
      <w:r>
        <w:rPr>
          <w:rFonts w:hAnsi="宋体" w:hint="eastAsia"/>
          <w:sz w:val="24"/>
        </w:rPr>
        <w:t>）</w:t>
      </w:r>
      <w:r>
        <w:rPr>
          <w:rFonts w:hAnsi="宋体" w:hint="eastAsia"/>
          <w:sz w:val="24"/>
        </w:rPr>
        <w:t>61055000</w:t>
      </w:r>
    </w:p>
    <w:p w14:paraId="5B3CCAA9" w14:textId="77777777" w:rsidR="00791BDD" w:rsidRDefault="00B75151">
      <w:pPr>
        <w:adjustRightInd w:val="0"/>
        <w:snapToGrid w:val="0"/>
        <w:spacing w:line="360" w:lineRule="auto"/>
        <w:ind w:firstLineChars="200" w:firstLine="480"/>
        <w:rPr>
          <w:rStyle w:val="af7"/>
          <w:color w:val="auto"/>
          <w:sz w:val="24"/>
          <w:u w:val="none"/>
        </w:rPr>
      </w:pPr>
      <w:r>
        <w:rPr>
          <w:rFonts w:hAnsi="宋体"/>
          <w:sz w:val="24"/>
        </w:rPr>
        <w:t>网址：</w:t>
      </w:r>
      <w:r>
        <w:rPr>
          <w:rFonts w:hAnsi="宋体" w:hint="eastAsia"/>
          <w:sz w:val="24"/>
        </w:rPr>
        <w:t>www.fund001.com</w:t>
      </w:r>
    </w:p>
    <w:p w14:paraId="4637A9D5" w14:textId="77777777" w:rsidR="00791BDD" w:rsidRDefault="00B75151">
      <w:pPr>
        <w:widowControl/>
        <w:adjustRightInd w:val="0"/>
        <w:snapToGrid w:val="0"/>
        <w:spacing w:line="360" w:lineRule="auto"/>
        <w:ind w:firstLineChars="200" w:firstLine="480"/>
        <w:rPr>
          <w:kern w:val="0"/>
          <w:sz w:val="24"/>
        </w:rPr>
      </w:pPr>
      <w:r>
        <w:rPr>
          <w:kern w:val="0"/>
          <w:sz w:val="24"/>
        </w:rPr>
        <w:t>个人投资者可以通过</w:t>
      </w:r>
      <w:r>
        <w:rPr>
          <w:rFonts w:hAnsi="宋体" w:hint="eastAsia"/>
          <w:kern w:val="0"/>
          <w:sz w:val="24"/>
          <w:szCs w:val="24"/>
        </w:rPr>
        <w:t>基金管理人</w:t>
      </w:r>
      <w:r>
        <w:rPr>
          <w:kern w:val="0"/>
          <w:sz w:val="24"/>
        </w:rPr>
        <w:t>网上直销交易平台办理开户、本基金的认购、申购、赎回等业务，具体交易细则请参阅</w:t>
      </w:r>
      <w:r>
        <w:rPr>
          <w:rFonts w:hAnsi="宋体" w:hint="eastAsia"/>
          <w:kern w:val="0"/>
          <w:sz w:val="24"/>
          <w:szCs w:val="24"/>
        </w:rPr>
        <w:t>基金管理人</w:t>
      </w:r>
      <w:r>
        <w:rPr>
          <w:kern w:val="0"/>
          <w:sz w:val="24"/>
        </w:rPr>
        <w:t>网站。</w:t>
      </w:r>
    </w:p>
    <w:p w14:paraId="607B348E" w14:textId="77777777" w:rsidR="00791BDD" w:rsidRDefault="00B75151">
      <w:pPr>
        <w:widowControl/>
        <w:adjustRightInd w:val="0"/>
        <w:snapToGrid w:val="0"/>
        <w:spacing w:line="360" w:lineRule="auto"/>
        <w:ind w:firstLineChars="200" w:firstLine="480"/>
        <w:rPr>
          <w:rStyle w:val="af7"/>
          <w:color w:val="auto"/>
          <w:kern w:val="0"/>
          <w:sz w:val="24"/>
          <w:u w:val="none"/>
        </w:rPr>
      </w:pPr>
      <w:r>
        <w:rPr>
          <w:kern w:val="0"/>
          <w:sz w:val="24"/>
        </w:rPr>
        <w:t>网上直销交易平台网址：</w:t>
      </w:r>
      <w:hyperlink r:id="rId7" w:history="1">
        <w:r>
          <w:rPr>
            <w:rStyle w:val="af7"/>
            <w:color w:val="auto"/>
            <w:sz w:val="24"/>
            <w:u w:val="none"/>
          </w:rPr>
          <w:t>www.fund001.com</w:t>
        </w:r>
      </w:hyperlink>
      <w:r>
        <w:rPr>
          <w:rStyle w:val="af7"/>
          <w:color w:val="auto"/>
          <w:sz w:val="24"/>
          <w:u w:val="none"/>
        </w:rPr>
        <w:t>。</w:t>
      </w:r>
    </w:p>
    <w:p w14:paraId="719C262A" w14:textId="77777777" w:rsidR="00791BDD" w:rsidRDefault="00B75151">
      <w:pPr>
        <w:adjustRightInd w:val="0"/>
        <w:snapToGrid w:val="0"/>
        <w:spacing w:line="360" w:lineRule="auto"/>
        <w:ind w:firstLineChars="200" w:firstLine="480"/>
        <w:outlineLvl w:val="2"/>
        <w:rPr>
          <w:sz w:val="24"/>
        </w:rPr>
      </w:pPr>
      <w:r>
        <w:rPr>
          <w:rFonts w:hint="eastAsia"/>
          <w:sz w:val="24"/>
        </w:rPr>
        <w:t>2</w:t>
      </w:r>
      <w:r>
        <w:rPr>
          <w:rFonts w:hint="eastAsia"/>
          <w:sz w:val="24"/>
        </w:rPr>
        <w:t>、除基金管理人之外的其他销售机构</w:t>
      </w:r>
    </w:p>
    <w:p w14:paraId="0BA46099" w14:textId="77777777" w:rsidR="0039755A" w:rsidRPr="0039755A" w:rsidRDefault="00B75151" w:rsidP="0039755A">
      <w:pPr>
        <w:adjustRightInd w:val="0"/>
        <w:snapToGrid w:val="0"/>
        <w:spacing w:line="360" w:lineRule="auto"/>
        <w:ind w:firstLineChars="200" w:firstLine="480"/>
        <w:rPr>
          <w:rFonts w:hAnsi="宋体"/>
          <w:sz w:val="24"/>
        </w:rPr>
      </w:pPr>
      <w:r>
        <w:rPr>
          <w:rFonts w:hAnsi="宋体" w:hint="eastAsia"/>
          <w:sz w:val="24"/>
        </w:rPr>
        <w:t>（</w:t>
      </w:r>
      <w:r>
        <w:rPr>
          <w:rFonts w:hAnsi="宋体" w:hint="eastAsia"/>
          <w:sz w:val="24"/>
        </w:rPr>
        <w:t>1</w:t>
      </w:r>
      <w:r>
        <w:rPr>
          <w:rFonts w:hAnsi="宋体" w:hint="eastAsia"/>
          <w:sz w:val="24"/>
        </w:rPr>
        <w:t>）</w:t>
      </w:r>
      <w:r w:rsidR="0039755A" w:rsidRPr="0039755A">
        <w:rPr>
          <w:rFonts w:hAnsi="宋体" w:hint="eastAsia"/>
          <w:sz w:val="24"/>
        </w:rPr>
        <w:t>上海利得基金销售有限公司</w:t>
      </w:r>
    </w:p>
    <w:p w14:paraId="3C1A7EF6" w14:textId="77777777" w:rsidR="0039755A" w:rsidRPr="0039755A" w:rsidRDefault="0039755A" w:rsidP="0039755A">
      <w:pPr>
        <w:adjustRightInd w:val="0"/>
        <w:snapToGrid w:val="0"/>
        <w:spacing w:line="360" w:lineRule="auto"/>
        <w:ind w:firstLineChars="200" w:firstLine="480"/>
        <w:rPr>
          <w:rFonts w:hAnsi="宋体"/>
          <w:sz w:val="24"/>
        </w:rPr>
      </w:pPr>
      <w:r w:rsidRPr="0039755A">
        <w:rPr>
          <w:rFonts w:hAnsi="宋体" w:hint="eastAsia"/>
          <w:sz w:val="24"/>
        </w:rPr>
        <w:t>住所：上海浦东新区峨山路</w:t>
      </w:r>
      <w:r w:rsidRPr="0039755A">
        <w:rPr>
          <w:rFonts w:hAnsi="宋体" w:hint="eastAsia"/>
          <w:sz w:val="24"/>
        </w:rPr>
        <w:t>91</w:t>
      </w:r>
      <w:r w:rsidRPr="0039755A">
        <w:rPr>
          <w:rFonts w:hAnsi="宋体" w:hint="eastAsia"/>
          <w:sz w:val="24"/>
        </w:rPr>
        <w:t>弄</w:t>
      </w:r>
      <w:r w:rsidRPr="0039755A">
        <w:rPr>
          <w:rFonts w:hAnsi="宋体" w:hint="eastAsia"/>
          <w:sz w:val="24"/>
        </w:rPr>
        <w:t>61</w:t>
      </w:r>
      <w:r w:rsidRPr="0039755A">
        <w:rPr>
          <w:rFonts w:hAnsi="宋体" w:hint="eastAsia"/>
          <w:sz w:val="24"/>
        </w:rPr>
        <w:t>号陆家嘴软件园</w:t>
      </w:r>
      <w:r w:rsidRPr="0039755A">
        <w:rPr>
          <w:rFonts w:hAnsi="宋体" w:hint="eastAsia"/>
          <w:sz w:val="24"/>
        </w:rPr>
        <w:t>10</w:t>
      </w:r>
      <w:r w:rsidRPr="0039755A">
        <w:rPr>
          <w:rFonts w:hAnsi="宋体" w:hint="eastAsia"/>
          <w:sz w:val="24"/>
        </w:rPr>
        <w:t>号楼</w:t>
      </w:r>
      <w:r w:rsidRPr="0039755A">
        <w:rPr>
          <w:rFonts w:hAnsi="宋体" w:hint="eastAsia"/>
          <w:sz w:val="24"/>
        </w:rPr>
        <w:t>12</w:t>
      </w:r>
      <w:r w:rsidRPr="0039755A">
        <w:rPr>
          <w:rFonts w:hAnsi="宋体" w:hint="eastAsia"/>
          <w:sz w:val="24"/>
        </w:rPr>
        <w:t>楼</w:t>
      </w:r>
    </w:p>
    <w:p w14:paraId="5F8571BE" w14:textId="77777777" w:rsidR="0039755A" w:rsidRPr="0039755A" w:rsidRDefault="0039755A" w:rsidP="0039755A">
      <w:pPr>
        <w:adjustRightInd w:val="0"/>
        <w:snapToGrid w:val="0"/>
        <w:spacing w:line="360" w:lineRule="auto"/>
        <w:ind w:firstLineChars="200" w:firstLine="480"/>
        <w:rPr>
          <w:rFonts w:hAnsi="宋体"/>
          <w:sz w:val="24"/>
        </w:rPr>
      </w:pPr>
      <w:r w:rsidRPr="0039755A">
        <w:rPr>
          <w:rFonts w:hAnsi="宋体" w:hint="eastAsia"/>
          <w:sz w:val="24"/>
        </w:rPr>
        <w:t>办公地址：上海市虹口区东大名路</w:t>
      </w:r>
      <w:r w:rsidRPr="0039755A">
        <w:rPr>
          <w:rFonts w:hAnsi="宋体" w:hint="eastAsia"/>
          <w:sz w:val="24"/>
        </w:rPr>
        <w:t>1098</w:t>
      </w:r>
      <w:r w:rsidRPr="0039755A">
        <w:rPr>
          <w:rFonts w:hAnsi="宋体" w:hint="eastAsia"/>
          <w:sz w:val="24"/>
        </w:rPr>
        <w:t>号浦江国际金融广场</w:t>
      </w:r>
      <w:r w:rsidRPr="0039755A">
        <w:rPr>
          <w:rFonts w:hAnsi="宋体" w:hint="eastAsia"/>
          <w:sz w:val="24"/>
        </w:rPr>
        <w:t>53</w:t>
      </w:r>
      <w:r w:rsidRPr="0039755A">
        <w:rPr>
          <w:rFonts w:hAnsi="宋体" w:hint="eastAsia"/>
          <w:sz w:val="24"/>
        </w:rPr>
        <w:t>层</w:t>
      </w:r>
    </w:p>
    <w:p w14:paraId="1D695FB7" w14:textId="77777777" w:rsidR="0039755A" w:rsidRPr="0039755A" w:rsidRDefault="0039755A" w:rsidP="0039755A">
      <w:pPr>
        <w:adjustRightInd w:val="0"/>
        <w:snapToGrid w:val="0"/>
        <w:spacing w:line="360" w:lineRule="auto"/>
        <w:ind w:firstLineChars="200" w:firstLine="480"/>
        <w:rPr>
          <w:rFonts w:hAnsi="宋体"/>
          <w:sz w:val="24"/>
        </w:rPr>
      </w:pPr>
      <w:r w:rsidRPr="0039755A">
        <w:rPr>
          <w:rFonts w:hAnsi="宋体" w:hint="eastAsia"/>
          <w:sz w:val="24"/>
        </w:rPr>
        <w:t>法定代表人：李兴春</w:t>
      </w:r>
    </w:p>
    <w:p w14:paraId="6E89B337" w14:textId="77777777" w:rsidR="0039755A" w:rsidRPr="0039755A" w:rsidRDefault="0039755A" w:rsidP="0039755A">
      <w:pPr>
        <w:adjustRightInd w:val="0"/>
        <w:snapToGrid w:val="0"/>
        <w:spacing w:line="360" w:lineRule="auto"/>
        <w:ind w:firstLineChars="200" w:firstLine="480"/>
        <w:rPr>
          <w:rFonts w:hAnsi="宋体"/>
          <w:sz w:val="24"/>
        </w:rPr>
      </w:pPr>
      <w:r w:rsidRPr="0039755A">
        <w:rPr>
          <w:rFonts w:hAnsi="宋体" w:hint="eastAsia"/>
          <w:sz w:val="24"/>
        </w:rPr>
        <w:t>电话：</w:t>
      </w:r>
      <w:r w:rsidRPr="0039755A">
        <w:rPr>
          <w:rFonts w:hAnsi="宋体" w:hint="eastAsia"/>
          <w:sz w:val="24"/>
        </w:rPr>
        <w:t>021-50583533</w:t>
      </w:r>
    </w:p>
    <w:p w14:paraId="33AD269D" w14:textId="77777777" w:rsidR="0039755A" w:rsidRPr="0039755A" w:rsidRDefault="0039755A" w:rsidP="0039755A">
      <w:pPr>
        <w:adjustRightInd w:val="0"/>
        <w:snapToGrid w:val="0"/>
        <w:spacing w:line="360" w:lineRule="auto"/>
        <w:ind w:firstLineChars="200" w:firstLine="480"/>
        <w:rPr>
          <w:rFonts w:hAnsi="宋体"/>
          <w:sz w:val="24"/>
        </w:rPr>
      </w:pPr>
      <w:r w:rsidRPr="0039755A">
        <w:rPr>
          <w:rFonts w:hAnsi="宋体" w:hint="eastAsia"/>
          <w:sz w:val="24"/>
        </w:rPr>
        <w:t>传真：</w:t>
      </w:r>
      <w:r w:rsidRPr="0039755A">
        <w:rPr>
          <w:rFonts w:hAnsi="宋体" w:hint="eastAsia"/>
          <w:sz w:val="24"/>
        </w:rPr>
        <w:t>021-50583633</w:t>
      </w:r>
    </w:p>
    <w:p w14:paraId="14AF2297" w14:textId="77777777" w:rsidR="0039755A" w:rsidRPr="0039755A" w:rsidRDefault="0039755A" w:rsidP="0039755A">
      <w:pPr>
        <w:adjustRightInd w:val="0"/>
        <w:snapToGrid w:val="0"/>
        <w:spacing w:line="360" w:lineRule="auto"/>
        <w:ind w:firstLineChars="200" w:firstLine="480"/>
        <w:rPr>
          <w:rFonts w:hAnsi="宋体"/>
          <w:sz w:val="24"/>
        </w:rPr>
      </w:pPr>
      <w:r w:rsidRPr="0039755A">
        <w:rPr>
          <w:rFonts w:hAnsi="宋体" w:hint="eastAsia"/>
          <w:sz w:val="24"/>
        </w:rPr>
        <w:t>联系人：伍豪</w:t>
      </w:r>
    </w:p>
    <w:p w14:paraId="1DCEAE42" w14:textId="77777777" w:rsidR="0039755A" w:rsidRPr="0039755A" w:rsidRDefault="0039755A" w:rsidP="0039755A">
      <w:pPr>
        <w:adjustRightInd w:val="0"/>
        <w:snapToGrid w:val="0"/>
        <w:spacing w:line="360" w:lineRule="auto"/>
        <w:ind w:firstLineChars="200" w:firstLine="480"/>
        <w:rPr>
          <w:rFonts w:hAnsi="宋体"/>
          <w:sz w:val="24"/>
        </w:rPr>
      </w:pPr>
      <w:r w:rsidRPr="0039755A">
        <w:rPr>
          <w:rFonts w:hAnsi="宋体" w:hint="eastAsia"/>
          <w:sz w:val="24"/>
        </w:rPr>
        <w:t>客服电话：</w:t>
      </w:r>
      <w:r w:rsidRPr="0039755A">
        <w:rPr>
          <w:rFonts w:hAnsi="宋体" w:hint="eastAsia"/>
          <w:sz w:val="24"/>
        </w:rPr>
        <w:t>400-032-5885</w:t>
      </w:r>
    </w:p>
    <w:p w14:paraId="1CA96803" w14:textId="436C0A19" w:rsidR="00791BDD" w:rsidRDefault="0039755A" w:rsidP="0039755A">
      <w:pPr>
        <w:adjustRightInd w:val="0"/>
        <w:snapToGrid w:val="0"/>
        <w:spacing w:line="360" w:lineRule="auto"/>
        <w:ind w:firstLineChars="200" w:firstLine="480"/>
        <w:rPr>
          <w:rFonts w:hAnsi="宋体"/>
          <w:sz w:val="24"/>
        </w:rPr>
      </w:pPr>
      <w:r w:rsidRPr="0039755A">
        <w:rPr>
          <w:rFonts w:hAnsi="宋体" w:hint="eastAsia"/>
          <w:sz w:val="24"/>
        </w:rPr>
        <w:lastRenderedPageBreak/>
        <w:t>网址：</w:t>
      </w:r>
      <w:r w:rsidRPr="0039755A">
        <w:rPr>
          <w:rFonts w:hAnsi="宋体" w:hint="eastAsia"/>
          <w:sz w:val="24"/>
        </w:rPr>
        <w:t>www.leadfund.com.cn</w:t>
      </w:r>
    </w:p>
    <w:p w14:paraId="2A07FF47" w14:textId="77777777" w:rsidR="00791BDD" w:rsidRDefault="00B75151">
      <w:pPr>
        <w:adjustRightInd w:val="0"/>
        <w:snapToGrid w:val="0"/>
        <w:spacing w:line="360" w:lineRule="auto"/>
        <w:ind w:firstLineChars="200" w:firstLine="480"/>
        <w:rPr>
          <w:rFonts w:hAnsi="宋体"/>
          <w:sz w:val="24"/>
        </w:rPr>
      </w:pPr>
      <w:r>
        <w:rPr>
          <w:rFonts w:hAnsi="宋体" w:hint="eastAsia"/>
          <w:sz w:val="24"/>
        </w:rPr>
        <w:t>基金管理人可根据有关法律法规的要求，选择其它符合要求的机构销售本基金，并在基金管理人网站公示。</w:t>
      </w:r>
    </w:p>
    <w:p w14:paraId="0FD90583" w14:textId="77777777" w:rsidR="00791BDD" w:rsidRDefault="00B75151">
      <w:pPr>
        <w:widowControl/>
        <w:adjustRightInd w:val="0"/>
        <w:snapToGrid w:val="0"/>
        <w:spacing w:line="360" w:lineRule="auto"/>
        <w:ind w:firstLineChars="200" w:firstLine="482"/>
        <w:outlineLvl w:val="1"/>
        <w:rPr>
          <w:b/>
          <w:kern w:val="0"/>
          <w:sz w:val="24"/>
        </w:rPr>
      </w:pPr>
      <w:r>
        <w:rPr>
          <w:rFonts w:hAnsi="宋体"/>
          <w:b/>
          <w:kern w:val="0"/>
          <w:sz w:val="24"/>
        </w:rPr>
        <w:t>（二）登记机构</w:t>
      </w:r>
    </w:p>
    <w:p w14:paraId="13B52758" w14:textId="77777777" w:rsidR="00791BDD" w:rsidRDefault="00B75151">
      <w:pPr>
        <w:autoSpaceDE w:val="0"/>
        <w:autoSpaceDN w:val="0"/>
        <w:adjustRightInd w:val="0"/>
        <w:snapToGrid w:val="0"/>
        <w:spacing w:line="360" w:lineRule="auto"/>
        <w:ind w:firstLineChars="200" w:firstLine="480"/>
        <w:jc w:val="left"/>
        <w:rPr>
          <w:sz w:val="24"/>
        </w:rPr>
      </w:pPr>
      <w:r>
        <w:rPr>
          <w:rFonts w:hint="eastAsia"/>
          <w:sz w:val="24"/>
        </w:rPr>
        <w:t>名称：交银施罗德基金管理有限公司</w:t>
      </w:r>
    </w:p>
    <w:p w14:paraId="27B309A7" w14:textId="77777777" w:rsidR="00791BDD" w:rsidRDefault="00B75151">
      <w:pPr>
        <w:autoSpaceDE w:val="0"/>
        <w:autoSpaceDN w:val="0"/>
        <w:adjustRightInd w:val="0"/>
        <w:snapToGrid w:val="0"/>
        <w:spacing w:line="360" w:lineRule="auto"/>
        <w:ind w:firstLineChars="200" w:firstLine="480"/>
        <w:jc w:val="left"/>
        <w:rPr>
          <w:sz w:val="24"/>
        </w:rPr>
      </w:pPr>
      <w:r>
        <w:rPr>
          <w:rFonts w:hint="eastAsia"/>
          <w:sz w:val="24"/>
        </w:rPr>
        <w:t>住所：中国（上海）自由贸易试验区银城中路</w:t>
      </w:r>
      <w:r>
        <w:rPr>
          <w:rFonts w:hint="eastAsia"/>
          <w:sz w:val="24"/>
        </w:rPr>
        <w:t>188</w:t>
      </w:r>
      <w:r>
        <w:rPr>
          <w:rFonts w:hint="eastAsia"/>
          <w:sz w:val="24"/>
        </w:rPr>
        <w:t>号交通银行大楼二层（裙）</w:t>
      </w:r>
    </w:p>
    <w:p w14:paraId="1A86055E" w14:textId="77777777" w:rsidR="00791BDD" w:rsidRDefault="00B75151">
      <w:pPr>
        <w:autoSpaceDE w:val="0"/>
        <w:autoSpaceDN w:val="0"/>
        <w:adjustRightInd w:val="0"/>
        <w:snapToGrid w:val="0"/>
        <w:spacing w:line="360" w:lineRule="auto"/>
        <w:ind w:firstLineChars="200" w:firstLine="480"/>
        <w:jc w:val="left"/>
        <w:rPr>
          <w:sz w:val="24"/>
        </w:rPr>
      </w:pPr>
      <w:r>
        <w:rPr>
          <w:rFonts w:hint="eastAsia"/>
          <w:sz w:val="24"/>
        </w:rPr>
        <w:t>办公地址：上海市浦东新区世纪大道</w:t>
      </w:r>
      <w:r>
        <w:rPr>
          <w:rFonts w:hint="eastAsia"/>
          <w:sz w:val="24"/>
        </w:rPr>
        <w:t>8</w:t>
      </w:r>
      <w:r>
        <w:rPr>
          <w:rFonts w:hint="eastAsia"/>
          <w:sz w:val="24"/>
        </w:rPr>
        <w:t>号国金中心二期</w:t>
      </w:r>
      <w:r>
        <w:rPr>
          <w:rFonts w:hint="eastAsia"/>
          <w:sz w:val="24"/>
        </w:rPr>
        <w:t>21-22</w:t>
      </w:r>
      <w:r>
        <w:rPr>
          <w:rFonts w:hint="eastAsia"/>
          <w:sz w:val="24"/>
        </w:rPr>
        <w:t>楼</w:t>
      </w:r>
    </w:p>
    <w:p w14:paraId="22889562" w14:textId="77777777" w:rsidR="00791BDD" w:rsidRDefault="00B75151">
      <w:pPr>
        <w:autoSpaceDE w:val="0"/>
        <w:autoSpaceDN w:val="0"/>
        <w:adjustRightInd w:val="0"/>
        <w:snapToGrid w:val="0"/>
        <w:spacing w:line="360" w:lineRule="auto"/>
        <w:ind w:firstLineChars="200" w:firstLine="480"/>
        <w:jc w:val="left"/>
        <w:rPr>
          <w:sz w:val="24"/>
        </w:rPr>
      </w:pPr>
      <w:r>
        <w:rPr>
          <w:rFonts w:hint="eastAsia"/>
          <w:sz w:val="24"/>
        </w:rPr>
        <w:t>法定代表人：张宏良</w:t>
      </w:r>
    </w:p>
    <w:p w14:paraId="6CD786D9" w14:textId="77777777" w:rsidR="00791BDD" w:rsidRDefault="00B75151">
      <w:pPr>
        <w:autoSpaceDE w:val="0"/>
        <w:autoSpaceDN w:val="0"/>
        <w:adjustRightInd w:val="0"/>
        <w:snapToGrid w:val="0"/>
        <w:spacing w:line="360" w:lineRule="auto"/>
        <w:ind w:firstLineChars="200" w:firstLine="480"/>
        <w:jc w:val="left"/>
        <w:rPr>
          <w:sz w:val="24"/>
        </w:rPr>
      </w:pPr>
      <w:r>
        <w:rPr>
          <w:rFonts w:hint="eastAsia"/>
          <w:sz w:val="24"/>
        </w:rPr>
        <w:t>电话：（</w:t>
      </w:r>
      <w:r>
        <w:rPr>
          <w:rFonts w:hint="eastAsia"/>
          <w:sz w:val="24"/>
        </w:rPr>
        <w:t>021</w:t>
      </w:r>
      <w:r>
        <w:rPr>
          <w:rFonts w:hint="eastAsia"/>
          <w:sz w:val="24"/>
        </w:rPr>
        <w:t>）</w:t>
      </w:r>
      <w:r>
        <w:rPr>
          <w:rFonts w:hint="eastAsia"/>
          <w:sz w:val="24"/>
        </w:rPr>
        <w:t>61055461</w:t>
      </w:r>
    </w:p>
    <w:p w14:paraId="235D2028" w14:textId="77777777" w:rsidR="00791BDD" w:rsidRDefault="00B75151">
      <w:pPr>
        <w:autoSpaceDE w:val="0"/>
        <w:autoSpaceDN w:val="0"/>
        <w:adjustRightInd w:val="0"/>
        <w:snapToGrid w:val="0"/>
        <w:spacing w:line="360" w:lineRule="auto"/>
        <w:ind w:firstLineChars="200" w:firstLine="480"/>
        <w:jc w:val="left"/>
        <w:rPr>
          <w:sz w:val="24"/>
        </w:rPr>
      </w:pPr>
      <w:r>
        <w:rPr>
          <w:rFonts w:hint="eastAsia"/>
          <w:sz w:val="24"/>
        </w:rPr>
        <w:t>传真：（</w:t>
      </w:r>
      <w:r>
        <w:rPr>
          <w:rFonts w:hint="eastAsia"/>
          <w:sz w:val="24"/>
        </w:rPr>
        <w:t>021</w:t>
      </w:r>
      <w:r>
        <w:rPr>
          <w:rFonts w:hint="eastAsia"/>
          <w:sz w:val="24"/>
        </w:rPr>
        <w:t>）</w:t>
      </w:r>
      <w:r>
        <w:rPr>
          <w:rFonts w:hint="eastAsia"/>
          <w:sz w:val="24"/>
        </w:rPr>
        <w:t>61055064</w:t>
      </w:r>
    </w:p>
    <w:p w14:paraId="46A7529B" w14:textId="77777777" w:rsidR="00791BDD" w:rsidRDefault="00B75151">
      <w:pPr>
        <w:autoSpaceDE w:val="0"/>
        <w:autoSpaceDN w:val="0"/>
        <w:adjustRightInd w:val="0"/>
        <w:snapToGrid w:val="0"/>
        <w:spacing w:line="360" w:lineRule="auto"/>
        <w:ind w:firstLineChars="200" w:firstLine="480"/>
        <w:jc w:val="left"/>
        <w:rPr>
          <w:sz w:val="24"/>
        </w:rPr>
      </w:pPr>
      <w:r>
        <w:rPr>
          <w:rFonts w:hint="eastAsia"/>
          <w:sz w:val="24"/>
        </w:rPr>
        <w:t>联系人：陈方强</w:t>
      </w:r>
    </w:p>
    <w:p w14:paraId="1C18E75E" w14:textId="77777777" w:rsidR="00791BDD" w:rsidRDefault="00B75151">
      <w:pPr>
        <w:widowControl/>
        <w:adjustRightInd w:val="0"/>
        <w:snapToGrid w:val="0"/>
        <w:spacing w:line="360" w:lineRule="auto"/>
        <w:ind w:firstLineChars="200" w:firstLine="482"/>
        <w:outlineLvl w:val="1"/>
        <w:rPr>
          <w:b/>
          <w:kern w:val="0"/>
          <w:sz w:val="24"/>
        </w:rPr>
      </w:pPr>
      <w:r>
        <w:rPr>
          <w:rFonts w:hAnsi="宋体"/>
          <w:b/>
          <w:kern w:val="0"/>
          <w:sz w:val="24"/>
        </w:rPr>
        <w:t>（三）出具法律意见书的律师事务所</w:t>
      </w:r>
    </w:p>
    <w:p w14:paraId="0270B993" w14:textId="77777777" w:rsidR="00791BDD" w:rsidRDefault="00B75151">
      <w:pPr>
        <w:widowControl/>
        <w:adjustRightInd w:val="0"/>
        <w:snapToGrid w:val="0"/>
        <w:spacing w:line="360" w:lineRule="auto"/>
        <w:ind w:firstLineChars="200" w:firstLine="480"/>
        <w:rPr>
          <w:kern w:val="0"/>
          <w:sz w:val="24"/>
        </w:rPr>
      </w:pPr>
      <w:r>
        <w:rPr>
          <w:rFonts w:hAnsi="宋体"/>
          <w:kern w:val="0"/>
          <w:sz w:val="24"/>
        </w:rPr>
        <w:t>名称：上海市通力律师事务所</w:t>
      </w:r>
    </w:p>
    <w:p w14:paraId="398BE743" w14:textId="77777777" w:rsidR="00791BDD" w:rsidRDefault="00B75151">
      <w:pPr>
        <w:widowControl/>
        <w:adjustRightInd w:val="0"/>
        <w:snapToGrid w:val="0"/>
        <w:spacing w:line="360" w:lineRule="auto"/>
        <w:ind w:firstLineChars="200" w:firstLine="480"/>
        <w:rPr>
          <w:kern w:val="0"/>
          <w:sz w:val="24"/>
        </w:rPr>
      </w:pPr>
      <w:r>
        <w:rPr>
          <w:rFonts w:hAnsi="宋体"/>
          <w:kern w:val="0"/>
          <w:sz w:val="24"/>
        </w:rPr>
        <w:t>住所：上海市银城中路</w:t>
      </w:r>
      <w:r>
        <w:rPr>
          <w:kern w:val="0"/>
          <w:sz w:val="24"/>
        </w:rPr>
        <w:t>68</w:t>
      </w:r>
      <w:r>
        <w:rPr>
          <w:rFonts w:hAnsi="宋体"/>
          <w:kern w:val="0"/>
          <w:sz w:val="24"/>
        </w:rPr>
        <w:t>号时代金融中心</w:t>
      </w:r>
      <w:r>
        <w:rPr>
          <w:kern w:val="0"/>
          <w:sz w:val="24"/>
        </w:rPr>
        <w:t>19</w:t>
      </w:r>
      <w:r>
        <w:rPr>
          <w:rFonts w:hAnsi="宋体"/>
          <w:kern w:val="0"/>
          <w:sz w:val="24"/>
        </w:rPr>
        <w:t>楼</w:t>
      </w:r>
    </w:p>
    <w:p w14:paraId="4733CB49" w14:textId="77777777" w:rsidR="00791BDD" w:rsidRDefault="00B75151">
      <w:pPr>
        <w:widowControl/>
        <w:adjustRightInd w:val="0"/>
        <w:snapToGrid w:val="0"/>
        <w:spacing w:line="360" w:lineRule="auto"/>
        <w:ind w:firstLineChars="200" w:firstLine="480"/>
        <w:rPr>
          <w:kern w:val="0"/>
          <w:sz w:val="24"/>
        </w:rPr>
      </w:pPr>
      <w:r>
        <w:rPr>
          <w:rFonts w:hAnsi="宋体"/>
          <w:kern w:val="0"/>
          <w:sz w:val="24"/>
        </w:rPr>
        <w:t>办公地址：上海市银城中路</w:t>
      </w:r>
      <w:r>
        <w:rPr>
          <w:kern w:val="0"/>
          <w:sz w:val="24"/>
        </w:rPr>
        <w:t>68</w:t>
      </w:r>
      <w:r>
        <w:rPr>
          <w:rFonts w:hAnsi="宋体"/>
          <w:kern w:val="0"/>
          <w:sz w:val="24"/>
        </w:rPr>
        <w:t>号时代金融中心</w:t>
      </w:r>
      <w:r>
        <w:rPr>
          <w:kern w:val="0"/>
          <w:sz w:val="24"/>
        </w:rPr>
        <w:t>18-20</w:t>
      </w:r>
      <w:r>
        <w:rPr>
          <w:rFonts w:hAnsi="宋体"/>
          <w:kern w:val="0"/>
          <w:sz w:val="24"/>
        </w:rPr>
        <w:t>楼</w:t>
      </w:r>
    </w:p>
    <w:p w14:paraId="290A871D" w14:textId="77777777" w:rsidR="00791BDD" w:rsidRDefault="00B75151">
      <w:pPr>
        <w:widowControl/>
        <w:adjustRightInd w:val="0"/>
        <w:snapToGrid w:val="0"/>
        <w:spacing w:line="360" w:lineRule="auto"/>
        <w:ind w:firstLineChars="200" w:firstLine="480"/>
        <w:rPr>
          <w:kern w:val="0"/>
          <w:sz w:val="24"/>
        </w:rPr>
      </w:pPr>
      <w:r>
        <w:rPr>
          <w:rFonts w:hAnsi="宋体"/>
          <w:kern w:val="0"/>
          <w:sz w:val="24"/>
        </w:rPr>
        <w:t>负责人：</w:t>
      </w:r>
      <w:r>
        <w:rPr>
          <w:rFonts w:hAnsi="宋体" w:hint="eastAsia"/>
          <w:kern w:val="0"/>
          <w:sz w:val="24"/>
        </w:rPr>
        <w:t>韩炯</w:t>
      </w:r>
    </w:p>
    <w:p w14:paraId="13EE23FA" w14:textId="77777777" w:rsidR="00791BDD" w:rsidRDefault="00B75151">
      <w:pPr>
        <w:widowControl/>
        <w:adjustRightInd w:val="0"/>
        <w:snapToGrid w:val="0"/>
        <w:spacing w:line="360" w:lineRule="auto"/>
        <w:ind w:firstLineChars="200" w:firstLine="480"/>
        <w:rPr>
          <w:kern w:val="0"/>
          <w:sz w:val="24"/>
        </w:rPr>
      </w:pPr>
      <w:r>
        <w:rPr>
          <w:rFonts w:hAnsi="宋体"/>
          <w:kern w:val="0"/>
          <w:sz w:val="24"/>
        </w:rPr>
        <w:t>电话：（</w:t>
      </w:r>
      <w:r>
        <w:rPr>
          <w:kern w:val="0"/>
          <w:sz w:val="24"/>
        </w:rPr>
        <w:t>021</w:t>
      </w:r>
      <w:r>
        <w:rPr>
          <w:rFonts w:hAnsi="宋体"/>
          <w:kern w:val="0"/>
          <w:sz w:val="24"/>
        </w:rPr>
        <w:t>）</w:t>
      </w:r>
      <w:r>
        <w:rPr>
          <w:kern w:val="0"/>
          <w:sz w:val="24"/>
        </w:rPr>
        <w:t>31358666</w:t>
      </w:r>
    </w:p>
    <w:p w14:paraId="31E6E964" w14:textId="77777777" w:rsidR="00791BDD" w:rsidRDefault="00B75151">
      <w:pPr>
        <w:widowControl/>
        <w:adjustRightInd w:val="0"/>
        <w:snapToGrid w:val="0"/>
        <w:spacing w:line="360" w:lineRule="auto"/>
        <w:ind w:firstLineChars="200" w:firstLine="480"/>
        <w:rPr>
          <w:kern w:val="0"/>
          <w:sz w:val="24"/>
        </w:rPr>
      </w:pPr>
      <w:r>
        <w:rPr>
          <w:rFonts w:hAnsi="宋体"/>
          <w:kern w:val="0"/>
          <w:sz w:val="24"/>
        </w:rPr>
        <w:t>传真：（</w:t>
      </w:r>
      <w:r>
        <w:rPr>
          <w:kern w:val="0"/>
          <w:sz w:val="24"/>
        </w:rPr>
        <w:t>021</w:t>
      </w:r>
      <w:r>
        <w:rPr>
          <w:rFonts w:hAnsi="宋体"/>
          <w:kern w:val="0"/>
          <w:sz w:val="24"/>
        </w:rPr>
        <w:t>）</w:t>
      </w:r>
      <w:r>
        <w:rPr>
          <w:kern w:val="0"/>
          <w:sz w:val="24"/>
        </w:rPr>
        <w:t>31358600</w:t>
      </w:r>
    </w:p>
    <w:p w14:paraId="02946451" w14:textId="77777777" w:rsidR="00791BDD" w:rsidRDefault="00B75151">
      <w:pPr>
        <w:widowControl/>
        <w:adjustRightInd w:val="0"/>
        <w:snapToGrid w:val="0"/>
        <w:spacing w:line="360" w:lineRule="auto"/>
        <w:ind w:firstLineChars="200" w:firstLine="480"/>
        <w:rPr>
          <w:rFonts w:hAnsi="宋体"/>
          <w:kern w:val="0"/>
          <w:sz w:val="24"/>
        </w:rPr>
      </w:pPr>
      <w:r>
        <w:rPr>
          <w:rFonts w:hAnsi="宋体" w:hint="eastAsia"/>
          <w:kern w:val="0"/>
          <w:sz w:val="24"/>
        </w:rPr>
        <w:t>联系人：丁媛</w:t>
      </w:r>
    </w:p>
    <w:p w14:paraId="11D939BE" w14:textId="77777777" w:rsidR="00791BDD" w:rsidRDefault="00B75151">
      <w:pPr>
        <w:widowControl/>
        <w:adjustRightInd w:val="0"/>
        <w:snapToGrid w:val="0"/>
        <w:spacing w:line="360" w:lineRule="auto"/>
        <w:ind w:firstLineChars="200" w:firstLine="480"/>
        <w:rPr>
          <w:rFonts w:hAnsi="宋体"/>
          <w:kern w:val="0"/>
          <w:sz w:val="24"/>
        </w:rPr>
      </w:pPr>
      <w:r>
        <w:rPr>
          <w:rFonts w:hAnsi="宋体"/>
          <w:kern w:val="0"/>
          <w:sz w:val="24"/>
        </w:rPr>
        <w:t>经办律师：</w:t>
      </w:r>
      <w:r>
        <w:rPr>
          <w:rFonts w:hAnsi="宋体" w:hint="eastAsia"/>
          <w:kern w:val="0"/>
          <w:sz w:val="24"/>
        </w:rPr>
        <w:t>丁媛、李晓露</w:t>
      </w:r>
    </w:p>
    <w:p w14:paraId="5588D7FC" w14:textId="77777777" w:rsidR="00791BDD" w:rsidRDefault="00B75151">
      <w:pPr>
        <w:widowControl/>
        <w:adjustRightInd w:val="0"/>
        <w:snapToGrid w:val="0"/>
        <w:spacing w:line="360" w:lineRule="auto"/>
        <w:ind w:firstLineChars="200" w:firstLine="482"/>
        <w:outlineLvl w:val="1"/>
        <w:rPr>
          <w:b/>
          <w:kern w:val="0"/>
          <w:sz w:val="24"/>
        </w:rPr>
      </w:pPr>
      <w:r>
        <w:rPr>
          <w:rFonts w:hAnsi="宋体"/>
          <w:b/>
          <w:kern w:val="0"/>
          <w:sz w:val="24"/>
        </w:rPr>
        <w:t>（四）审计基金财产的会计师事务所</w:t>
      </w:r>
    </w:p>
    <w:p w14:paraId="7DD2C499" w14:textId="77777777" w:rsidR="00791BDD" w:rsidRDefault="00B75151">
      <w:pPr>
        <w:widowControl/>
        <w:adjustRightInd w:val="0"/>
        <w:snapToGrid w:val="0"/>
        <w:spacing w:line="360" w:lineRule="auto"/>
        <w:ind w:firstLineChars="200" w:firstLine="480"/>
        <w:rPr>
          <w:rFonts w:hAnsi="宋体"/>
          <w:kern w:val="0"/>
          <w:sz w:val="24"/>
        </w:rPr>
      </w:pPr>
      <w:r>
        <w:rPr>
          <w:rFonts w:hAnsi="宋体" w:hint="eastAsia"/>
          <w:kern w:val="0"/>
          <w:sz w:val="24"/>
        </w:rPr>
        <w:t>名称：毕马威华振会计师事务所</w:t>
      </w:r>
      <w:r>
        <w:rPr>
          <w:rFonts w:hAnsi="宋体" w:hint="eastAsia"/>
          <w:kern w:val="0"/>
          <w:sz w:val="24"/>
        </w:rPr>
        <w:t>(</w:t>
      </w:r>
      <w:r>
        <w:rPr>
          <w:rFonts w:hAnsi="宋体" w:hint="eastAsia"/>
          <w:kern w:val="0"/>
          <w:sz w:val="24"/>
        </w:rPr>
        <w:t>特殊普通合伙</w:t>
      </w:r>
      <w:r>
        <w:rPr>
          <w:rFonts w:hAnsi="宋体" w:hint="eastAsia"/>
          <w:kern w:val="0"/>
          <w:sz w:val="24"/>
        </w:rPr>
        <w:t>)</w:t>
      </w:r>
    </w:p>
    <w:p w14:paraId="19CD0A8F" w14:textId="5E9E7A86" w:rsidR="00791BDD" w:rsidRDefault="00B75151">
      <w:pPr>
        <w:widowControl/>
        <w:adjustRightInd w:val="0"/>
        <w:snapToGrid w:val="0"/>
        <w:spacing w:line="360" w:lineRule="auto"/>
        <w:ind w:firstLineChars="200" w:firstLine="480"/>
        <w:rPr>
          <w:rFonts w:hAnsi="宋体"/>
          <w:kern w:val="0"/>
          <w:sz w:val="24"/>
        </w:rPr>
      </w:pPr>
      <w:r>
        <w:rPr>
          <w:rFonts w:hAnsi="宋体" w:hint="eastAsia"/>
          <w:kern w:val="0"/>
          <w:sz w:val="24"/>
        </w:rPr>
        <w:t>住所：北京市东城区东长安街</w:t>
      </w:r>
      <w:r>
        <w:rPr>
          <w:rFonts w:hAnsi="宋体" w:hint="eastAsia"/>
          <w:kern w:val="0"/>
          <w:sz w:val="24"/>
        </w:rPr>
        <w:t>1</w:t>
      </w:r>
      <w:r>
        <w:rPr>
          <w:rFonts w:hAnsi="宋体" w:hint="eastAsia"/>
          <w:kern w:val="0"/>
          <w:sz w:val="24"/>
        </w:rPr>
        <w:t>号东方广场</w:t>
      </w:r>
      <w:r>
        <w:rPr>
          <w:rFonts w:hAnsi="宋体" w:hint="eastAsia"/>
          <w:kern w:val="0"/>
          <w:sz w:val="24"/>
        </w:rPr>
        <w:t>2</w:t>
      </w:r>
      <w:r>
        <w:rPr>
          <w:rFonts w:hAnsi="宋体" w:hint="eastAsia"/>
          <w:kern w:val="0"/>
          <w:sz w:val="24"/>
        </w:rPr>
        <w:t>座办公楼</w:t>
      </w:r>
      <w:r>
        <w:rPr>
          <w:rFonts w:hAnsi="宋体" w:hint="eastAsia"/>
          <w:kern w:val="0"/>
          <w:sz w:val="24"/>
        </w:rPr>
        <w:t>8</w:t>
      </w:r>
      <w:r>
        <w:rPr>
          <w:rFonts w:hAnsi="宋体" w:hint="eastAsia"/>
          <w:kern w:val="0"/>
          <w:sz w:val="24"/>
        </w:rPr>
        <w:t>层</w:t>
      </w:r>
    </w:p>
    <w:p w14:paraId="6A1AD5DB" w14:textId="77777777" w:rsidR="00791BDD" w:rsidRDefault="00B75151">
      <w:pPr>
        <w:widowControl/>
        <w:adjustRightInd w:val="0"/>
        <w:snapToGrid w:val="0"/>
        <w:spacing w:line="360" w:lineRule="auto"/>
        <w:ind w:firstLineChars="200" w:firstLine="480"/>
        <w:rPr>
          <w:rFonts w:hAnsi="宋体"/>
          <w:kern w:val="0"/>
          <w:sz w:val="24"/>
        </w:rPr>
      </w:pPr>
      <w:r>
        <w:rPr>
          <w:rFonts w:hAnsi="宋体" w:hint="eastAsia"/>
          <w:kern w:val="0"/>
          <w:sz w:val="24"/>
        </w:rPr>
        <w:t>办公地址：中国上海南京西路</w:t>
      </w:r>
      <w:r>
        <w:rPr>
          <w:rFonts w:hAnsi="宋体" w:hint="eastAsia"/>
          <w:kern w:val="0"/>
          <w:sz w:val="24"/>
        </w:rPr>
        <w:t>1266</w:t>
      </w:r>
      <w:r>
        <w:rPr>
          <w:rFonts w:hAnsi="宋体" w:hint="eastAsia"/>
          <w:kern w:val="0"/>
          <w:sz w:val="24"/>
        </w:rPr>
        <w:t>号恒隆广场</w:t>
      </w:r>
      <w:r>
        <w:rPr>
          <w:rFonts w:hAnsi="宋体" w:hint="eastAsia"/>
          <w:kern w:val="0"/>
          <w:sz w:val="24"/>
        </w:rPr>
        <w:t>2</w:t>
      </w:r>
      <w:r>
        <w:rPr>
          <w:rFonts w:hAnsi="宋体" w:hint="eastAsia"/>
          <w:kern w:val="0"/>
          <w:sz w:val="24"/>
        </w:rPr>
        <w:t>期</w:t>
      </w:r>
      <w:r>
        <w:rPr>
          <w:rFonts w:hAnsi="宋体" w:hint="eastAsia"/>
          <w:kern w:val="0"/>
          <w:sz w:val="24"/>
        </w:rPr>
        <w:t>25</w:t>
      </w:r>
      <w:r>
        <w:rPr>
          <w:rFonts w:hAnsi="宋体" w:hint="eastAsia"/>
          <w:kern w:val="0"/>
          <w:sz w:val="24"/>
        </w:rPr>
        <w:t>楼</w:t>
      </w:r>
    </w:p>
    <w:p w14:paraId="228B1E75" w14:textId="77777777" w:rsidR="00791BDD" w:rsidRDefault="00B75151">
      <w:pPr>
        <w:widowControl/>
        <w:adjustRightInd w:val="0"/>
        <w:snapToGrid w:val="0"/>
        <w:spacing w:line="360" w:lineRule="auto"/>
        <w:ind w:firstLineChars="200" w:firstLine="480"/>
        <w:rPr>
          <w:rFonts w:hAnsi="宋体"/>
          <w:kern w:val="0"/>
          <w:sz w:val="24"/>
        </w:rPr>
      </w:pPr>
      <w:r>
        <w:rPr>
          <w:rFonts w:hAnsi="宋体" w:hint="eastAsia"/>
          <w:kern w:val="0"/>
          <w:sz w:val="24"/>
        </w:rPr>
        <w:t>执行事务合伙人：邹俊</w:t>
      </w:r>
    </w:p>
    <w:p w14:paraId="4E1C378F" w14:textId="77777777" w:rsidR="00791BDD" w:rsidRDefault="00B75151">
      <w:pPr>
        <w:widowControl/>
        <w:adjustRightInd w:val="0"/>
        <w:snapToGrid w:val="0"/>
        <w:spacing w:line="360" w:lineRule="auto"/>
        <w:ind w:firstLineChars="200" w:firstLine="480"/>
        <w:rPr>
          <w:rFonts w:hAnsi="宋体"/>
          <w:kern w:val="0"/>
          <w:sz w:val="24"/>
        </w:rPr>
      </w:pPr>
      <w:r>
        <w:rPr>
          <w:rFonts w:hAnsi="宋体" w:hint="eastAsia"/>
          <w:kern w:val="0"/>
          <w:sz w:val="24"/>
        </w:rPr>
        <w:t>电话：</w:t>
      </w:r>
      <w:r>
        <w:rPr>
          <w:rFonts w:hAnsi="宋体" w:hint="eastAsia"/>
          <w:kern w:val="0"/>
          <w:sz w:val="24"/>
        </w:rPr>
        <w:t>+86 (21) 2212 2888</w:t>
      </w:r>
    </w:p>
    <w:p w14:paraId="2B8C469C" w14:textId="77777777" w:rsidR="00791BDD" w:rsidRDefault="00B75151">
      <w:pPr>
        <w:widowControl/>
        <w:adjustRightInd w:val="0"/>
        <w:snapToGrid w:val="0"/>
        <w:spacing w:line="360" w:lineRule="auto"/>
        <w:ind w:firstLineChars="200" w:firstLine="480"/>
        <w:rPr>
          <w:rFonts w:hAnsi="宋体"/>
          <w:kern w:val="0"/>
          <w:sz w:val="24"/>
        </w:rPr>
      </w:pPr>
      <w:r>
        <w:rPr>
          <w:rFonts w:hAnsi="宋体" w:hint="eastAsia"/>
          <w:kern w:val="0"/>
          <w:sz w:val="24"/>
        </w:rPr>
        <w:t>传真：</w:t>
      </w:r>
      <w:r>
        <w:rPr>
          <w:rFonts w:hAnsi="宋体" w:hint="eastAsia"/>
          <w:kern w:val="0"/>
          <w:sz w:val="24"/>
        </w:rPr>
        <w:t>+86 (21) 6288 1889</w:t>
      </w:r>
    </w:p>
    <w:p w14:paraId="3F7DAA76" w14:textId="77777777" w:rsidR="00791BDD" w:rsidRDefault="00B75151">
      <w:pPr>
        <w:widowControl/>
        <w:adjustRightInd w:val="0"/>
        <w:snapToGrid w:val="0"/>
        <w:spacing w:line="360" w:lineRule="auto"/>
        <w:ind w:firstLineChars="200" w:firstLine="480"/>
        <w:rPr>
          <w:rFonts w:hAnsi="宋体"/>
          <w:kern w:val="0"/>
          <w:sz w:val="24"/>
        </w:rPr>
      </w:pPr>
      <w:r>
        <w:rPr>
          <w:rFonts w:hAnsi="宋体" w:hint="eastAsia"/>
          <w:kern w:val="0"/>
          <w:sz w:val="24"/>
        </w:rPr>
        <w:t>联系人：侯雯</w:t>
      </w:r>
    </w:p>
    <w:p w14:paraId="530137E6" w14:textId="77777777" w:rsidR="00791BDD" w:rsidRDefault="00B75151">
      <w:pPr>
        <w:widowControl/>
        <w:adjustRightInd w:val="0"/>
        <w:snapToGrid w:val="0"/>
        <w:spacing w:line="360" w:lineRule="auto"/>
        <w:ind w:firstLineChars="200" w:firstLine="480"/>
        <w:rPr>
          <w:rFonts w:hAnsi="宋体"/>
          <w:kern w:val="0"/>
          <w:sz w:val="24"/>
        </w:rPr>
      </w:pPr>
      <w:r>
        <w:rPr>
          <w:rFonts w:hAnsi="宋体" w:hint="eastAsia"/>
          <w:kern w:val="0"/>
          <w:sz w:val="24"/>
        </w:rPr>
        <w:lastRenderedPageBreak/>
        <w:t>经办注册会计师：王国蓓、侯雯</w:t>
      </w:r>
    </w:p>
    <w:p w14:paraId="70CA53E2" w14:textId="77777777" w:rsidR="00791BDD" w:rsidRDefault="00B75151">
      <w:pPr>
        <w:spacing w:line="360" w:lineRule="auto"/>
        <w:jc w:val="center"/>
        <w:outlineLvl w:val="0"/>
        <w:rPr>
          <w:rFonts w:ascii="宋体" w:hAnsi="宋体"/>
          <w:b/>
          <w:kern w:val="0"/>
          <w:sz w:val="30"/>
        </w:rPr>
      </w:pPr>
      <w:r>
        <w:rPr>
          <w:rFonts w:hAnsi="宋体"/>
          <w:kern w:val="0"/>
          <w:sz w:val="24"/>
        </w:rPr>
        <w:br w:type="page"/>
      </w:r>
      <w:bookmarkStart w:id="17" w:name="_Toc48122007"/>
      <w:bookmarkEnd w:id="14"/>
      <w:r>
        <w:rPr>
          <w:rFonts w:ascii="宋体" w:hAnsi="宋体" w:hint="eastAsia"/>
          <w:b/>
          <w:kern w:val="0"/>
          <w:sz w:val="30"/>
        </w:rPr>
        <w:lastRenderedPageBreak/>
        <w:t>六、基金的募集</w:t>
      </w:r>
      <w:bookmarkEnd w:id="17"/>
    </w:p>
    <w:p w14:paraId="1D01036F" w14:textId="77777777" w:rsidR="00791BDD" w:rsidRDefault="00B75151">
      <w:pPr>
        <w:adjustRightInd w:val="0"/>
        <w:snapToGrid w:val="0"/>
        <w:spacing w:line="360" w:lineRule="auto"/>
        <w:ind w:firstLineChars="200" w:firstLine="482"/>
        <w:outlineLvl w:val="1"/>
        <w:rPr>
          <w:b/>
          <w:sz w:val="24"/>
          <w:szCs w:val="24"/>
        </w:rPr>
      </w:pPr>
      <w:r>
        <w:rPr>
          <w:b/>
          <w:sz w:val="24"/>
          <w:szCs w:val="24"/>
        </w:rPr>
        <w:t>（一）基金募集的依据</w:t>
      </w:r>
    </w:p>
    <w:p w14:paraId="4AED7664" w14:textId="77777777" w:rsidR="00791BDD" w:rsidRDefault="00B75151">
      <w:pPr>
        <w:widowControl/>
        <w:adjustRightInd w:val="0"/>
        <w:snapToGrid w:val="0"/>
        <w:spacing w:line="360" w:lineRule="auto"/>
        <w:ind w:firstLineChars="200" w:firstLine="480"/>
        <w:rPr>
          <w:kern w:val="0"/>
          <w:sz w:val="24"/>
        </w:rPr>
      </w:pPr>
      <w:r>
        <w:rPr>
          <w:kern w:val="0"/>
          <w:sz w:val="24"/>
        </w:rPr>
        <w:t>本基金由基金管理人依照《基金法》、《运作办法》、</w:t>
      </w:r>
      <w:r>
        <w:rPr>
          <w:rFonts w:hint="eastAsia"/>
          <w:kern w:val="0"/>
          <w:sz w:val="24"/>
        </w:rPr>
        <w:t>《销售办法》、</w:t>
      </w:r>
      <w:r>
        <w:rPr>
          <w:kern w:val="0"/>
          <w:sz w:val="24"/>
        </w:rPr>
        <w:t>基金合同及其他有关规定，</w:t>
      </w:r>
      <w:r>
        <w:rPr>
          <w:rFonts w:hint="eastAsia"/>
          <w:kern w:val="0"/>
          <w:sz w:val="24"/>
        </w:rPr>
        <w:t>并经中国证监会</w:t>
      </w:r>
      <w:r>
        <w:rPr>
          <w:rFonts w:hint="eastAsia"/>
          <w:kern w:val="0"/>
          <w:sz w:val="24"/>
        </w:rPr>
        <w:t>202</w:t>
      </w:r>
      <w:r>
        <w:rPr>
          <w:kern w:val="0"/>
          <w:sz w:val="24"/>
        </w:rPr>
        <w:t>6</w:t>
      </w:r>
      <w:r>
        <w:rPr>
          <w:rFonts w:hint="eastAsia"/>
          <w:kern w:val="0"/>
          <w:sz w:val="24"/>
        </w:rPr>
        <w:t>年</w:t>
      </w:r>
      <w:r>
        <w:rPr>
          <w:kern w:val="0"/>
          <w:sz w:val="24"/>
        </w:rPr>
        <w:t>4</w:t>
      </w:r>
      <w:r>
        <w:rPr>
          <w:rFonts w:hint="eastAsia"/>
          <w:kern w:val="0"/>
          <w:sz w:val="24"/>
        </w:rPr>
        <w:t>月</w:t>
      </w:r>
      <w:r>
        <w:rPr>
          <w:kern w:val="0"/>
          <w:sz w:val="24"/>
        </w:rPr>
        <w:t>1</w:t>
      </w:r>
      <w:r>
        <w:rPr>
          <w:rFonts w:hint="eastAsia"/>
          <w:kern w:val="0"/>
          <w:sz w:val="24"/>
        </w:rPr>
        <w:t>日证监许可【</w:t>
      </w:r>
      <w:r>
        <w:rPr>
          <w:rFonts w:hint="eastAsia"/>
          <w:kern w:val="0"/>
          <w:sz w:val="24"/>
        </w:rPr>
        <w:t>202</w:t>
      </w:r>
      <w:r>
        <w:rPr>
          <w:kern w:val="0"/>
          <w:sz w:val="24"/>
        </w:rPr>
        <w:t>6</w:t>
      </w:r>
      <w:r>
        <w:rPr>
          <w:rFonts w:hint="eastAsia"/>
          <w:kern w:val="0"/>
          <w:sz w:val="24"/>
        </w:rPr>
        <w:t>】</w:t>
      </w:r>
      <w:r>
        <w:rPr>
          <w:kern w:val="0"/>
          <w:sz w:val="24"/>
        </w:rPr>
        <w:t>687</w:t>
      </w:r>
      <w:r>
        <w:rPr>
          <w:rFonts w:hint="eastAsia"/>
          <w:kern w:val="0"/>
          <w:sz w:val="24"/>
        </w:rPr>
        <w:t>号文准予募集注册。</w:t>
      </w:r>
    </w:p>
    <w:p w14:paraId="12E3B598" w14:textId="77777777" w:rsidR="00791BDD" w:rsidRDefault="00B75151">
      <w:pPr>
        <w:adjustRightInd w:val="0"/>
        <w:snapToGrid w:val="0"/>
        <w:spacing w:line="360" w:lineRule="auto"/>
        <w:ind w:firstLineChars="200" w:firstLine="482"/>
        <w:outlineLvl w:val="1"/>
        <w:rPr>
          <w:b/>
          <w:sz w:val="24"/>
          <w:szCs w:val="24"/>
        </w:rPr>
      </w:pPr>
      <w:r>
        <w:rPr>
          <w:b/>
          <w:sz w:val="24"/>
          <w:szCs w:val="24"/>
        </w:rPr>
        <w:t>（二）基金类</w:t>
      </w:r>
      <w:r>
        <w:rPr>
          <w:rFonts w:hint="eastAsia"/>
          <w:b/>
          <w:sz w:val="24"/>
          <w:szCs w:val="24"/>
        </w:rPr>
        <w:t>别</w:t>
      </w:r>
    </w:p>
    <w:p w14:paraId="44BA44D6" w14:textId="77777777" w:rsidR="00791BDD" w:rsidRDefault="00B75151">
      <w:pPr>
        <w:widowControl/>
        <w:adjustRightInd w:val="0"/>
        <w:snapToGrid w:val="0"/>
        <w:spacing w:line="360" w:lineRule="auto"/>
        <w:ind w:firstLineChars="200" w:firstLine="480"/>
        <w:rPr>
          <w:kern w:val="0"/>
          <w:sz w:val="24"/>
        </w:rPr>
      </w:pPr>
      <w:r>
        <w:rPr>
          <w:rFonts w:hint="eastAsia"/>
          <w:kern w:val="0"/>
          <w:sz w:val="24"/>
        </w:rPr>
        <w:t>股票</w:t>
      </w:r>
      <w:r>
        <w:rPr>
          <w:kern w:val="0"/>
          <w:sz w:val="24"/>
        </w:rPr>
        <w:t>型</w:t>
      </w:r>
      <w:r>
        <w:rPr>
          <w:rFonts w:hint="eastAsia"/>
          <w:kern w:val="0"/>
          <w:sz w:val="24"/>
        </w:rPr>
        <w:t>证券投资</w:t>
      </w:r>
      <w:r>
        <w:rPr>
          <w:kern w:val="0"/>
          <w:sz w:val="24"/>
        </w:rPr>
        <w:t>基金</w:t>
      </w:r>
    </w:p>
    <w:p w14:paraId="38EF9D8F" w14:textId="77777777" w:rsidR="00791BDD" w:rsidRDefault="00B75151">
      <w:pPr>
        <w:adjustRightInd w:val="0"/>
        <w:snapToGrid w:val="0"/>
        <w:spacing w:line="360" w:lineRule="auto"/>
        <w:ind w:firstLineChars="200" w:firstLine="482"/>
        <w:outlineLvl w:val="1"/>
        <w:rPr>
          <w:b/>
          <w:sz w:val="24"/>
          <w:szCs w:val="24"/>
        </w:rPr>
      </w:pPr>
      <w:r>
        <w:rPr>
          <w:b/>
          <w:sz w:val="24"/>
          <w:szCs w:val="24"/>
        </w:rPr>
        <w:t>（三）基金运作方式</w:t>
      </w:r>
    </w:p>
    <w:p w14:paraId="5B7C4C4B" w14:textId="77777777" w:rsidR="00791BDD" w:rsidRDefault="00B75151">
      <w:pPr>
        <w:adjustRightInd w:val="0"/>
        <w:snapToGrid w:val="0"/>
        <w:spacing w:line="360" w:lineRule="auto"/>
        <w:ind w:firstLineChars="200" w:firstLine="480"/>
        <w:rPr>
          <w:sz w:val="24"/>
        </w:rPr>
      </w:pPr>
      <w:r>
        <w:rPr>
          <w:sz w:val="24"/>
        </w:rPr>
        <w:t>契约型开放式</w:t>
      </w:r>
    </w:p>
    <w:p w14:paraId="4A87AED0" w14:textId="77777777" w:rsidR="00791BDD" w:rsidRDefault="00B75151">
      <w:pPr>
        <w:adjustRightInd w:val="0"/>
        <w:snapToGrid w:val="0"/>
        <w:spacing w:line="360" w:lineRule="auto"/>
        <w:ind w:firstLineChars="200" w:firstLine="482"/>
        <w:outlineLvl w:val="1"/>
        <w:rPr>
          <w:b/>
          <w:sz w:val="24"/>
          <w:szCs w:val="24"/>
        </w:rPr>
      </w:pPr>
      <w:bookmarkStart w:id="18" w:name="_Hlk49341725"/>
      <w:r>
        <w:rPr>
          <w:b/>
          <w:sz w:val="24"/>
          <w:szCs w:val="24"/>
        </w:rPr>
        <w:t>（四）基金存续期限</w:t>
      </w:r>
    </w:p>
    <w:p w14:paraId="524A4C09" w14:textId="77777777" w:rsidR="00791BDD" w:rsidRDefault="00B75151">
      <w:pPr>
        <w:adjustRightInd w:val="0"/>
        <w:snapToGrid w:val="0"/>
        <w:spacing w:line="360" w:lineRule="auto"/>
        <w:ind w:firstLineChars="200" w:firstLine="480"/>
        <w:rPr>
          <w:sz w:val="24"/>
        </w:rPr>
      </w:pPr>
      <w:r>
        <w:rPr>
          <w:sz w:val="24"/>
        </w:rPr>
        <w:t>不定期</w:t>
      </w:r>
    </w:p>
    <w:p w14:paraId="0753D362" w14:textId="77777777" w:rsidR="00791BDD" w:rsidRDefault="00B75151">
      <w:pPr>
        <w:adjustRightInd w:val="0"/>
        <w:snapToGrid w:val="0"/>
        <w:spacing w:line="360" w:lineRule="auto"/>
        <w:ind w:firstLineChars="200" w:firstLine="482"/>
        <w:outlineLvl w:val="1"/>
        <w:rPr>
          <w:b/>
          <w:bCs/>
          <w:sz w:val="24"/>
        </w:rPr>
      </w:pPr>
      <w:r>
        <w:rPr>
          <w:rFonts w:hint="eastAsia"/>
          <w:b/>
          <w:bCs/>
          <w:sz w:val="24"/>
        </w:rPr>
        <w:t>（五）基金份额类别</w:t>
      </w:r>
    </w:p>
    <w:p w14:paraId="35E10F79" w14:textId="77777777" w:rsidR="00791BDD" w:rsidRDefault="00B75151">
      <w:pPr>
        <w:adjustRightInd w:val="0"/>
        <w:snapToGrid w:val="0"/>
        <w:spacing w:line="360" w:lineRule="auto"/>
        <w:ind w:firstLineChars="200" w:firstLine="480"/>
        <w:rPr>
          <w:sz w:val="24"/>
        </w:rPr>
      </w:pPr>
      <w:r>
        <w:rPr>
          <w:rFonts w:hint="eastAsia"/>
          <w:sz w:val="24"/>
        </w:rPr>
        <w:t>在不违反法律法规、基金合同的约定以及对基金份额持有人利益无实质性不利影响的情况下，根据基金实际运作情况，经与基金托管人协商一致，基金管理人可增加或调整基金份额类别设置、对基金份额分类办法及规则进行调整并在调整实施前依照《信息披露办法》的有关规定在规定媒介上公告，而无需召开基金份额持有人大会。</w:t>
      </w:r>
    </w:p>
    <w:p w14:paraId="161B69A1" w14:textId="77777777" w:rsidR="00791BDD" w:rsidRDefault="00B75151">
      <w:pPr>
        <w:adjustRightInd w:val="0"/>
        <w:snapToGrid w:val="0"/>
        <w:spacing w:line="360" w:lineRule="auto"/>
        <w:ind w:firstLineChars="200" w:firstLine="482"/>
        <w:outlineLvl w:val="1"/>
        <w:rPr>
          <w:b/>
          <w:sz w:val="24"/>
          <w:szCs w:val="24"/>
        </w:rPr>
      </w:pPr>
      <w:r>
        <w:rPr>
          <w:b/>
          <w:sz w:val="24"/>
          <w:szCs w:val="24"/>
        </w:rPr>
        <w:t>（</w:t>
      </w:r>
      <w:r>
        <w:rPr>
          <w:rFonts w:hint="eastAsia"/>
          <w:b/>
          <w:sz w:val="24"/>
          <w:szCs w:val="24"/>
        </w:rPr>
        <w:t>六</w:t>
      </w:r>
      <w:r>
        <w:rPr>
          <w:b/>
          <w:sz w:val="24"/>
          <w:szCs w:val="24"/>
        </w:rPr>
        <w:t>）基金份额的认购</w:t>
      </w:r>
    </w:p>
    <w:p w14:paraId="34B002B5" w14:textId="77777777" w:rsidR="00791BDD" w:rsidRDefault="00B75151">
      <w:pPr>
        <w:adjustRightInd w:val="0"/>
        <w:snapToGrid w:val="0"/>
        <w:spacing w:line="360" w:lineRule="auto"/>
        <w:ind w:firstLineChars="200" w:firstLine="480"/>
        <w:rPr>
          <w:sz w:val="24"/>
        </w:rPr>
      </w:pPr>
      <w:r>
        <w:rPr>
          <w:sz w:val="24"/>
        </w:rPr>
        <w:t>基金募集期内，基金份额通过各销售机构向投资人公开发售。募集期间个人投资者可以通过</w:t>
      </w:r>
      <w:r>
        <w:rPr>
          <w:rFonts w:hint="eastAsia"/>
          <w:sz w:val="24"/>
        </w:rPr>
        <w:t>基金管理人</w:t>
      </w:r>
      <w:r>
        <w:rPr>
          <w:sz w:val="24"/>
        </w:rPr>
        <w:t>网上直销交易平台办理开户和本基金的认购业务</w:t>
      </w:r>
      <w:r>
        <w:rPr>
          <w:rFonts w:hint="eastAsia"/>
          <w:sz w:val="24"/>
        </w:rPr>
        <w:t>。</w:t>
      </w:r>
      <w:r>
        <w:rPr>
          <w:sz w:val="24"/>
        </w:rPr>
        <w:t>具体请见</w:t>
      </w:r>
      <w:r>
        <w:rPr>
          <w:bCs/>
          <w:sz w:val="24"/>
        </w:rPr>
        <w:t>基金份额发售公告以及基金管理人</w:t>
      </w:r>
      <w:r>
        <w:rPr>
          <w:rFonts w:hint="eastAsia"/>
          <w:bCs/>
          <w:sz w:val="24"/>
        </w:rPr>
        <w:t>网站。</w:t>
      </w:r>
      <w:r>
        <w:rPr>
          <w:sz w:val="24"/>
        </w:rPr>
        <w:t>除法律法规或中国证监会另有规定外，任何与基金份额发售有关的当事人不得预留和提前发售基金份额。</w:t>
      </w:r>
    </w:p>
    <w:p w14:paraId="5F649C97" w14:textId="77777777" w:rsidR="00791BDD" w:rsidRDefault="00B75151">
      <w:pPr>
        <w:adjustRightInd w:val="0"/>
        <w:snapToGrid w:val="0"/>
        <w:spacing w:line="360" w:lineRule="auto"/>
        <w:ind w:firstLineChars="200" w:firstLine="480"/>
        <w:outlineLvl w:val="2"/>
        <w:rPr>
          <w:sz w:val="24"/>
        </w:rPr>
      </w:pPr>
      <w:r>
        <w:rPr>
          <w:sz w:val="24"/>
        </w:rPr>
        <w:t>1</w:t>
      </w:r>
      <w:r>
        <w:rPr>
          <w:sz w:val="24"/>
        </w:rPr>
        <w:t>、基金份额的发售时间、方式和对象</w:t>
      </w:r>
    </w:p>
    <w:p w14:paraId="31D82798" w14:textId="4D2BFA24" w:rsidR="00791BDD" w:rsidRDefault="00B75151">
      <w:pPr>
        <w:adjustRightInd w:val="0"/>
        <w:snapToGrid w:val="0"/>
        <w:spacing w:line="360" w:lineRule="auto"/>
        <w:ind w:leftChars="50" w:left="105" w:firstLineChars="150" w:firstLine="360"/>
        <w:rPr>
          <w:sz w:val="24"/>
        </w:rPr>
      </w:pPr>
      <w:r>
        <w:rPr>
          <w:sz w:val="24"/>
        </w:rPr>
        <w:t>（</w:t>
      </w:r>
      <w:r>
        <w:rPr>
          <w:sz w:val="24"/>
        </w:rPr>
        <w:t>1</w:t>
      </w:r>
      <w:r>
        <w:rPr>
          <w:sz w:val="24"/>
        </w:rPr>
        <w:t>）募集期限：自基金份额发售之日起不超过</w:t>
      </w:r>
      <w:r>
        <w:rPr>
          <w:sz w:val="24"/>
        </w:rPr>
        <w:t>3</w:t>
      </w:r>
      <w:r>
        <w:rPr>
          <w:sz w:val="24"/>
        </w:rPr>
        <w:t>个月。</w:t>
      </w:r>
      <w:r>
        <w:rPr>
          <w:kern w:val="0"/>
          <w:sz w:val="24"/>
        </w:rPr>
        <w:t>本基金自</w:t>
      </w:r>
      <w:r>
        <w:rPr>
          <w:kern w:val="0"/>
          <w:sz w:val="24"/>
        </w:rPr>
        <w:t>202</w:t>
      </w:r>
      <w:r w:rsidR="00026FD2">
        <w:rPr>
          <w:kern w:val="0"/>
          <w:sz w:val="24"/>
        </w:rPr>
        <w:t>6</w:t>
      </w:r>
      <w:r>
        <w:rPr>
          <w:kern w:val="0"/>
          <w:sz w:val="24"/>
        </w:rPr>
        <w:t>年</w:t>
      </w:r>
      <w:r w:rsidR="00026FD2">
        <w:rPr>
          <w:kern w:val="0"/>
          <w:sz w:val="24"/>
        </w:rPr>
        <w:t>5</w:t>
      </w:r>
      <w:r>
        <w:rPr>
          <w:kern w:val="0"/>
          <w:sz w:val="24"/>
        </w:rPr>
        <w:t>月</w:t>
      </w:r>
      <w:r w:rsidR="00026FD2">
        <w:rPr>
          <w:kern w:val="0"/>
          <w:sz w:val="24"/>
        </w:rPr>
        <w:t>6</w:t>
      </w:r>
      <w:r>
        <w:rPr>
          <w:kern w:val="0"/>
          <w:sz w:val="24"/>
        </w:rPr>
        <w:t>日起至</w:t>
      </w:r>
      <w:r>
        <w:rPr>
          <w:kern w:val="0"/>
          <w:sz w:val="24"/>
        </w:rPr>
        <w:t>202</w:t>
      </w:r>
      <w:r w:rsidR="00026FD2">
        <w:rPr>
          <w:kern w:val="0"/>
          <w:sz w:val="24"/>
        </w:rPr>
        <w:t>6</w:t>
      </w:r>
      <w:r>
        <w:rPr>
          <w:kern w:val="0"/>
          <w:sz w:val="24"/>
        </w:rPr>
        <w:t>年</w:t>
      </w:r>
      <w:r w:rsidR="00026FD2">
        <w:rPr>
          <w:kern w:val="0"/>
          <w:sz w:val="24"/>
        </w:rPr>
        <w:t>5</w:t>
      </w:r>
      <w:r>
        <w:rPr>
          <w:kern w:val="0"/>
          <w:sz w:val="24"/>
        </w:rPr>
        <w:t>月</w:t>
      </w:r>
      <w:r w:rsidR="00026FD2">
        <w:rPr>
          <w:kern w:val="0"/>
          <w:sz w:val="24"/>
        </w:rPr>
        <w:t>29</w:t>
      </w:r>
      <w:r>
        <w:rPr>
          <w:kern w:val="0"/>
          <w:sz w:val="24"/>
        </w:rPr>
        <w:t>日止</w:t>
      </w:r>
      <w:r>
        <w:rPr>
          <w:sz w:val="24"/>
        </w:rPr>
        <w:t>通过销售机构公开发售（详见基金份额发售公告及</w:t>
      </w:r>
      <w:r>
        <w:rPr>
          <w:rFonts w:hint="eastAsia"/>
          <w:sz w:val="24"/>
        </w:rPr>
        <w:t>销售</w:t>
      </w:r>
      <w:r>
        <w:rPr>
          <w:sz w:val="24"/>
        </w:rPr>
        <w:t>机构相关公告）。</w:t>
      </w:r>
      <w:r>
        <w:rPr>
          <w:rFonts w:hint="eastAsia"/>
          <w:sz w:val="24"/>
        </w:rPr>
        <w:t>如果在此期间未达到本招募说明书中“七、基金合同的生效”中的“（一）基金备案的条件”的规定，基金可在募集期限内继续销售，直到达到</w:t>
      </w:r>
      <w:r>
        <w:rPr>
          <w:rFonts w:hint="eastAsia"/>
          <w:sz w:val="24"/>
        </w:rPr>
        <w:lastRenderedPageBreak/>
        <w:t>基金备案条件。基金管理人也可根据基金销售情况在募集期限内适当延长或缩短基金发售时间，并及时公告。</w:t>
      </w:r>
    </w:p>
    <w:p w14:paraId="4C73CAC9" w14:textId="77777777" w:rsidR="00791BDD" w:rsidRDefault="00B75151">
      <w:pPr>
        <w:adjustRightInd w:val="0"/>
        <w:snapToGrid w:val="0"/>
        <w:spacing w:line="360" w:lineRule="auto"/>
        <w:ind w:firstLineChars="200" w:firstLine="480"/>
      </w:pPr>
      <w:r>
        <w:rPr>
          <w:sz w:val="24"/>
        </w:rPr>
        <w:t>（</w:t>
      </w:r>
      <w:r>
        <w:rPr>
          <w:sz w:val="24"/>
        </w:rPr>
        <w:t>2</w:t>
      </w:r>
      <w:r>
        <w:rPr>
          <w:sz w:val="24"/>
        </w:rPr>
        <w:t>）销售渠道：</w:t>
      </w:r>
      <w:r>
        <w:rPr>
          <w:rFonts w:hint="eastAsia"/>
          <w:sz w:val="24"/>
        </w:rPr>
        <w:t>销售机构</w:t>
      </w:r>
      <w:r>
        <w:rPr>
          <w:sz w:val="24"/>
        </w:rPr>
        <w:t>具体名单见基金份额发售公告</w:t>
      </w:r>
      <w:r>
        <w:rPr>
          <w:rFonts w:hint="eastAsia"/>
          <w:sz w:val="24"/>
        </w:rPr>
        <w:t>以及基金管理人网站</w:t>
      </w:r>
      <w:r>
        <w:t>。</w:t>
      </w:r>
    </w:p>
    <w:p w14:paraId="11374F53" w14:textId="77777777" w:rsidR="00791BDD" w:rsidRDefault="00B75151">
      <w:pPr>
        <w:adjustRightInd w:val="0"/>
        <w:snapToGrid w:val="0"/>
        <w:spacing w:line="360" w:lineRule="auto"/>
        <w:ind w:firstLineChars="200" w:firstLine="480"/>
        <w:rPr>
          <w:sz w:val="24"/>
        </w:rPr>
      </w:pPr>
      <w:r>
        <w:rPr>
          <w:sz w:val="24"/>
        </w:rPr>
        <w:t>（</w:t>
      </w:r>
      <w:r>
        <w:rPr>
          <w:sz w:val="24"/>
        </w:rPr>
        <w:t>3</w:t>
      </w:r>
      <w:r>
        <w:rPr>
          <w:sz w:val="24"/>
        </w:rPr>
        <w:t>）销售对象：符合法律法规规定的可投资于证券投资基金的个人投资者、机构投资者</w:t>
      </w:r>
      <w:r>
        <w:rPr>
          <w:rFonts w:hint="eastAsia"/>
          <w:sz w:val="24"/>
        </w:rPr>
        <w:t>、</w:t>
      </w:r>
      <w:r>
        <w:rPr>
          <w:sz w:val="24"/>
        </w:rPr>
        <w:t>合格境外</w:t>
      </w:r>
      <w:r>
        <w:rPr>
          <w:rFonts w:hint="eastAsia"/>
          <w:sz w:val="24"/>
        </w:rPr>
        <w:t>投资者、发起资金提供方</w:t>
      </w:r>
      <w:r>
        <w:rPr>
          <w:sz w:val="24"/>
        </w:rPr>
        <w:t>以及法律法规或中国证监会允许购买证券投资基金的其他投资人。</w:t>
      </w:r>
    </w:p>
    <w:p w14:paraId="11EACF83" w14:textId="77777777" w:rsidR="00791BDD" w:rsidRDefault="00B75151">
      <w:pPr>
        <w:adjustRightInd w:val="0"/>
        <w:snapToGrid w:val="0"/>
        <w:spacing w:line="360" w:lineRule="auto"/>
        <w:ind w:firstLineChars="200" w:firstLine="480"/>
        <w:outlineLvl w:val="2"/>
        <w:rPr>
          <w:sz w:val="24"/>
        </w:rPr>
      </w:pPr>
      <w:r>
        <w:rPr>
          <w:sz w:val="24"/>
        </w:rPr>
        <w:t>2</w:t>
      </w:r>
      <w:r>
        <w:rPr>
          <w:sz w:val="24"/>
        </w:rPr>
        <w:t>、基金份额的认购和持有限制</w:t>
      </w:r>
    </w:p>
    <w:p w14:paraId="78279C71" w14:textId="77777777" w:rsidR="00791BDD" w:rsidRDefault="00B75151">
      <w:pPr>
        <w:adjustRightInd w:val="0"/>
        <w:snapToGrid w:val="0"/>
        <w:spacing w:line="360" w:lineRule="auto"/>
        <w:ind w:firstLineChars="200" w:firstLine="480"/>
        <w:rPr>
          <w:sz w:val="24"/>
        </w:rPr>
      </w:pPr>
      <w:r>
        <w:rPr>
          <w:sz w:val="24"/>
        </w:rPr>
        <w:t>（</w:t>
      </w:r>
      <w:r>
        <w:rPr>
          <w:sz w:val="24"/>
        </w:rPr>
        <w:t>1</w:t>
      </w:r>
      <w:r>
        <w:rPr>
          <w:sz w:val="24"/>
        </w:rPr>
        <w:t>）基金份额的认购采用金额认购方式。</w:t>
      </w:r>
    </w:p>
    <w:p w14:paraId="22A9A2AC" w14:textId="77777777" w:rsidR="00791BDD" w:rsidRDefault="00B75151">
      <w:pPr>
        <w:adjustRightInd w:val="0"/>
        <w:snapToGrid w:val="0"/>
        <w:spacing w:line="360" w:lineRule="auto"/>
        <w:ind w:firstLineChars="200" w:firstLine="480"/>
        <w:rPr>
          <w:sz w:val="24"/>
        </w:rPr>
      </w:pPr>
      <w:r>
        <w:rPr>
          <w:sz w:val="24"/>
        </w:rPr>
        <w:t>（</w:t>
      </w:r>
      <w:r>
        <w:rPr>
          <w:sz w:val="24"/>
        </w:rPr>
        <w:t>2</w:t>
      </w:r>
      <w:r>
        <w:rPr>
          <w:sz w:val="24"/>
        </w:rPr>
        <w:t>）投资人认购基金份额采用全额缴款的认购方式。投资人认购</w:t>
      </w:r>
      <w:r>
        <w:rPr>
          <w:rFonts w:hint="eastAsia"/>
          <w:sz w:val="24"/>
        </w:rPr>
        <w:t>时</w:t>
      </w:r>
      <w:r>
        <w:rPr>
          <w:sz w:val="24"/>
        </w:rPr>
        <w:t>，需按销售机构规定的方式备足认购的金额。</w:t>
      </w:r>
    </w:p>
    <w:p w14:paraId="60D271A1" w14:textId="77777777" w:rsidR="00791BDD" w:rsidRDefault="00B75151">
      <w:pPr>
        <w:adjustRightInd w:val="0"/>
        <w:snapToGrid w:val="0"/>
        <w:spacing w:line="360" w:lineRule="auto"/>
        <w:ind w:firstLineChars="200" w:firstLine="480"/>
        <w:rPr>
          <w:sz w:val="24"/>
        </w:rPr>
      </w:pPr>
      <w:r>
        <w:rPr>
          <w:sz w:val="24"/>
        </w:rPr>
        <w:t>（</w:t>
      </w:r>
      <w:r>
        <w:rPr>
          <w:sz w:val="24"/>
        </w:rPr>
        <w:t>3</w:t>
      </w:r>
      <w:r>
        <w:rPr>
          <w:sz w:val="24"/>
        </w:rPr>
        <w:t>）投资人在募集期内可以多次认购基金份额，认购</w:t>
      </w:r>
      <w:r>
        <w:rPr>
          <w:rFonts w:hint="eastAsia"/>
          <w:sz w:val="24"/>
        </w:rPr>
        <w:t>申请</w:t>
      </w:r>
      <w:r>
        <w:rPr>
          <w:sz w:val="24"/>
        </w:rPr>
        <w:t>一经登记机构受理不得撤销。</w:t>
      </w:r>
    </w:p>
    <w:p w14:paraId="045E22D4" w14:textId="77777777" w:rsidR="00791BDD" w:rsidRDefault="00B75151">
      <w:pPr>
        <w:adjustRightInd w:val="0"/>
        <w:snapToGrid w:val="0"/>
        <w:spacing w:line="360" w:lineRule="auto"/>
        <w:ind w:firstLineChars="200" w:firstLine="480"/>
        <w:rPr>
          <w:sz w:val="24"/>
        </w:rPr>
      </w:pPr>
      <w:r>
        <w:rPr>
          <w:sz w:val="24"/>
        </w:rPr>
        <w:t>（</w:t>
      </w:r>
      <w:r>
        <w:rPr>
          <w:sz w:val="24"/>
        </w:rPr>
        <w:t>4</w:t>
      </w:r>
      <w:r>
        <w:rPr>
          <w:sz w:val="24"/>
        </w:rPr>
        <w:t>）直销机构接受首次认购申请的最低金额为单笔</w:t>
      </w:r>
      <w:r>
        <w:rPr>
          <w:sz w:val="24"/>
        </w:rPr>
        <w:t>100</w:t>
      </w:r>
      <w:r>
        <w:rPr>
          <w:rFonts w:hint="eastAsia"/>
          <w:sz w:val="24"/>
        </w:rPr>
        <w:t>万</w:t>
      </w:r>
      <w:r>
        <w:rPr>
          <w:sz w:val="24"/>
        </w:rPr>
        <w:t>元，追加认购的最低金额为单笔</w:t>
      </w:r>
      <w:r>
        <w:rPr>
          <w:sz w:val="24"/>
        </w:rPr>
        <w:t>10</w:t>
      </w:r>
      <w:r>
        <w:rPr>
          <w:rFonts w:hint="eastAsia"/>
          <w:sz w:val="24"/>
        </w:rPr>
        <w:t>万</w:t>
      </w:r>
      <w:r>
        <w:rPr>
          <w:sz w:val="24"/>
        </w:rPr>
        <w:t>元；已在直销机构有认购或申购过本基金管理人管理的其他基金记录的投资人不受首次认购最低金额的限制。通过</w:t>
      </w:r>
      <w:r>
        <w:rPr>
          <w:rFonts w:hint="eastAsia"/>
          <w:sz w:val="24"/>
        </w:rPr>
        <w:t>基金管理人</w:t>
      </w:r>
      <w:r>
        <w:rPr>
          <w:sz w:val="24"/>
        </w:rPr>
        <w:t>网上直销交易平台办理本基金认购业务的不受直销机构最低认购金额的限制，认购最低金额为单笔</w:t>
      </w:r>
      <w:r>
        <w:rPr>
          <w:sz w:val="24"/>
        </w:rPr>
        <w:t>1</w:t>
      </w:r>
      <w:r>
        <w:rPr>
          <w:sz w:val="24"/>
        </w:rPr>
        <w:t>元。本基金直销机构单笔认购最低金额可由基金管理人酌情调整。</w:t>
      </w:r>
      <w:r>
        <w:rPr>
          <w:rFonts w:hint="eastAsia"/>
          <w:sz w:val="24"/>
        </w:rPr>
        <w:t>其他销售</w:t>
      </w:r>
      <w:r>
        <w:rPr>
          <w:sz w:val="24"/>
        </w:rPr>
        <w:t>机构接受认购申请的最低金额为单笔</w:t>
      </w:r>
      <w:r>
        <w:rPr>
          <w:sz w:val="24"/>
        </w:rPr>
        <w:t>1</w:t>
      </w:r>
      <w:r>
        <w:rPr>
          <w:sz w:val="24"/>
        </w:rPr>
        <w:t>元，如果</w:t>
      </w:r>
      <w:r>
        <w:rPr>
          <w:rFonts w:hint="eastAsia"/>
          <w:sz w:val="24"/>
        </w:rPr>
        <w:t>销售</w:t>
      </w:r>
      <w:r>
        <w:rPr>
          <w:sz w:val="24"/>
        </w:rPr>
        <w:t>机构业务规则规定的最低单笔认购金额高于</w:t>
      </w:r>
      <w:r>
        <w:rPr>
          <w:sz w:val="24"/>
        </w:rPr>
        <w:t>1</w:t>
      </w:r>
      <w:r>
        <w:rPr>
          <w:sz w:val="24"/>
        </w:rPr>
        <w:t>元，以</w:t>
      </w:r>
      <w:r>
        <w:rPr>
          <w:rFonts w:hint="eastAsia"/>
          <w:sz w:val="24"/>
        </w:rPr>
        <w:t>该销售</w:t>
      </w:r>
      <w:r>
        <w:rPr>
          <w:sz w:val="24"/>
        </w:rPr>
        <w:t>机构的规定为准。</w:t>
      </w:r>
    </w:p>
    <w:p w14:paraId="2A6AE3BA" w14:textId="77777777" w:rsidR="00791BDD" w:rsidRDefault="00B75151">
      <w:pPr>
        <w:adjustRightInd w:val="0"/>
        <w:snapToGrid w:val="0"/>
        <w:spacing w:line="360" w:lineRule="auto"/>
        <w:ind w:firstLineChars="200" w:firstLine="480"/>
        <w:rPr>
          <w:sz w:val="24"/>
        </w:rPr>
      </w:pPr>
      <w:r>
        <w:rPr>
          <w:sz w:val="24"/>
        </w:rPr>
        <w:t>（</w:t>
      </w:r>
      <w:r>
        <w:rPr>
          <w:sz w:val="24"/>
        </w:rPr>
        <w:t>5</w:t>
      </w:r>
      <w:r>
        <w:rPr>
          <w:sz w:val="24"/>
        </w:rPr>
        <w:t>）</w:t>
      </w:r>
      <w:r>
        <w:rPr>
          <w:rFonts w:hint="eastAsia"/>
          <w:sz w:val="24"/>
        </w:rPr>
        <w:t>发起资金提供方认购本基金的总金额不少于</w:t>
      </w:r>
      <w:r>
        <w:rPr>
          <w:rFonts w:hint="eastAsia"/>
          <w:sz w:val="24"/>
        </w:rPr>
        <w:t>1000</w:t>
      </w:r>
      <w:r>
        <w:rPr>
          <w:rFonts w:hint="eastAsia"/>
          <w:sz w:val="24"/>
        </w:rPr>
        <w:t>万元人民币，且持有期限自基金合同生效之日起不少于</w:t>
      </w:r>
      <w:r>
        <w:rPr>
          <w:rFonts w:hint="eastAsia"/>
          <w:sz w:val="24"/>
        </w:rPr>
        <w:t>3</w:t>
      </w:r>
      <w:r>
        <w:rPr>
          <w:rFonts w:hint="eastAsia"/>
          <w:sz w:val="24"/>
        </w:rPr>
        <w:t>年，法律法规和监管机构另有规定的除外。本基金发起资金的认购情况见基金管理人届时发布的公告。</w:t>
      </w:r>
    </w:p>
    <w:p w14:paraId="61AF1FB3" w14:textId="77777777" w:rsidR="00791BDD" w:rsidRDefault="00B75151">
      <w:pPr>
        <w:adjustRightInd w:val="0"/>
        <w:snapToGrid w:val="0"/>
        <w:spacing w:line="360" w:lineRule="auto"/>
        <w:ind w:firstLineChars="200" w:firstLine="480"/>
        <w:rPr>
          <w:sz w:val="24"/>
        </w:rPr>
      </w:pPr>
      <w:r>
        <w:rPr>
          <w:rFonts w:hint="eastAsia"/>
          <w:sz w:val="24"/>
        </w:rPr>
        <w:t>（</w:t>
      </w:r>
      <w:r>
        <w:rPr>
          <w:rFonts w:hint="eastAsia"/>
          <w:sz w:val="24"/>
        </w:rPr>
        <w:t>6</w:t>
      </w:r>
      <w:r>
        <w:rPr>
          <w:rFonts w:hint="eastAsia"/>
          <w:sz w:val="24"/>
        </w:rPr>
        <w:t>）基金管理人可以对募集期间的单个投资人的累计认购金额进行限制，具体限制和处理方法请参看相关公告。</w:t>
      </w:r>
    </w:p>
    <w:p w14:paraId="165FFAA9" w14:textId="77777777" w:rsidR="00791BDD" w:rsidRDefault="00B75151">
      <w:pPr>
        <w:adjustRightInd w:val="0"/>
        <w:snapToGrid w:val="0"/>
        <w:spacing w:line="360" w:lineRule="auto"/>
        <w:ind w:firstLineChars="200" w:firstLine="480"/>
        <w:rPr>
          <w:sz w:val="24"/>
        </w:rPr>
      </w:pPr>
      <w:r>
        <w:rPr>
          <w:rFonts w:hint="eastAsia"/>
          <w:sz w:val="24"/>
        </w:rPr>
        <w:t>（</w:t>
      </w:r>
      <w:r>
        <w:rPr>
          <w:sz w:val="24"/>
        </w:rPr>
        <w:t>7</w:t>
      </w:r>
      <w:r>
        <w:rPr>
          <w:rFonts w:hint="eastAsia"/>
          <w:sz w:val="24"/>
        </w:rPr>
        <w:t>）如本基金单个投资人累计认购的基金份额数超过基金总份额的</w:t>
      </w:r>
      <w:r>
        <w:rPr>
          <w:rFonts w:hint="eastAsia"/>
          <w:sz w:val="24"/>
        </w:rPr>
        <w:t>50%</w:t>
      </w:r>
      <w:r>
        <w:rPr>
          <w:rFonts w:hint="eastAsia"/>
          <w:sz w:val="24"/>
        </w:rPr>
        <w:t>，基金管理人可以采取比例确认等方式对该投资人的认购申请进行限制。基金管理人接受某笔或者某些认购申请有可能导致投资者变相规避前述</w:t>
      </w:r>
      <w:r>
        <w:rPr>
          <w:rFonts w:hint="eastAsia"/>
          <w:sz w:val="24"/>
        </w:rPr>
        <w:t>50%</w:t>
      </w:r>
      <w:r>
        <w:rPr>
          <w:rFonts w:hint="eastAsia"/>
          <w:sz w:val="24"/>
        </w:rPr>
        <w:t>比例要求的，基金管理人有权拒绝该等全部或者部分认购申请。投资人认购的基金份额数以基金合同生效</w:t>
      </w:r>
      <w:r>
        <w:rPr>
          <w:rFonts w:hint="eastAsia"/>
          <w:sz w:val="24"/>
        </w:rPr>
        <w:lastRenderedPageBreak/>
        <w:t>后登记机构的确认为准。基金管理人、基金管理人高级管理人员或基金经理等人员作为发起资金提供方的认购申请不受上述比例限制。</w:t>
      </w:r>
    </w:p>
    <w:p w14:paraId="7B1FD6B2" w14:textId="77777777" w:rsidR="00791BDD" w:rsidRDefault="00B75151">
      <w:pPr>
        <w:adjustRightInd w:val="0"/>
        <w:snapToGrid w:val="0"/>
        <w:spacing w:line="360" w:lineRule="auto"/>
        <w:ind w:firstLineChars="200" w:firstLine="480"/>
        <w:rPr>
          <w:sz w:val="24"/>
        </w:rPr>
      </w:pPr>
      <w:r>
        <w:rPr>
          <w:rFonts w:hint="eastAsia"/>
          <w:sz w:val="24"/>
        </w:rPr>
        <w:t>（</w:t>
      </w:r>
      <w:r>
        <w:rPr>
          <w:sz w:val="24"/>
        </w:rPr>
        <w:t>8</w:t>
      </w:r>
      <w:r>
        <w:rPr>
          <w:rFonts w:hint="eastAsia"/>
          <w:sz w:val="24"/>
        </w:rPr>
        <w:t>）</w:t>
      </w:r>
      <w:r>
        <w:rPr>
          <w:rFonts w:hint="eastAsia"/>
          <w:bCs/>
          <w:sz w:val="24"/>
        </w:rPr>
        <w:t>基金管理人可以对募集期间的本基金募集规模设置上限。募集期内超过募集规模上限时，基金管理人可以采用比例确认或其他方式进行确认，具体办法参见基金份额发售公告。</w:t>
      </w:r>
    </w:p>
    <w:p w14:paraId="0F7C5870" w14:textId="77777777" w:rsidR="00791BDD" w:rsidRDefault="00B75151">
      <w:pPr>
        <w:adjustRightInd w:val="0"/>
        <w:snapToGrid w:val="0"/>
        <w:spacing w:line="360" w:lineRule="auto"/>
        <w:ind w:firstLineChars="200" w:firstLine="480"/>
        <w:outlineLvl w:val="2"/>
        <w:rPr>
          <w:sz w:val="24"/>
        </w:rPr>
      </w:pPr>
      <w:r>
        <w:rPr>
          <w:sz w:val="24"/>
        </w:rPr>
        <w:t>3</w:t>
      </w:r>
      <w:r>
        <w:rPr>
          <w:sz w:val="24"/>
        </w:rPr>
        <w:t>、基金份额的</w:t>
      </w:r>
      <w:r>
        <w:rPr>
          <w:rFonts w:hint="eastAsia"/>
          <w:sz w:val="24"/>
        </w:rPr>
        <w:t>面值、</w:t>
      </w:r>
      <w:r>
        <w:rPr>
          <w:sz w:val="24"/>
        </w:rPr>
        <w:t>认购费用、认购价格及认购份额的计算公式</w:t>
      </w:r>
    </w:p>
    <w:p w14:paraId="30597836" w14:textId="77777777" w:rsidR="00791BDD" w:rsidRDefault="00B75151">
      <w:pPr>
        <w:adjustRightInd w:val="0"/>
        <w:snapToGrid w:val="0"/>
        <w:spacing w:line="360" w:lineRule="auto"/>
        <w:ind w:firstLineChars="200" w:firstLine="480"/>
        <w:rPr>
          <w:sz w:val="24"/>
        </w:rPr>
      </w:pPr>
      <w:r>
        <w:rPr>
          <w:sz w:val="24"/>
        </w:rPr>
        <w:t>（</w:t>
      </w:r>
      <w:r>
        <w:rPr>
          <w:sz w:val="24"/>
        </w:rPr>
        <w:t>1</w:t>
      </w:r>
      <w:r>
        <w:rPr>
          <w:sz w:val="24"/>
        </w:rPr>
        <w:t>）</w:t>
      </w:r>
      <w:r>
        <w:rPr>
          <w:rFonts w:hint="eastAsia"/>
          <w:sz w:val="24"/>
        </w:rPr>
        <w:t>面值、</w:t>
      </w:r>
      <w:r>
        <w:rPr>
          <w:sz w:val="24"/>
        </w:rPr>
        <w:t>认购价格：本基金</w:t>
      </w:r>
      <w:r>
        <w:rPr>
          <w:rFonts w:hint="eastAsia"/>
          <w:sz w:val="24"/>
        </w:rPr>
        <w:t>基金</w:t>
      </w:r>
      <w:r>
        <w:rPr>
          <w:sz w:val="24"/>
        </w:rPr>
        <w:t>份额的</w:t>
      </w:r>
      <w:r>
        <w:rPr>
          <w:rFonts w:hint="eastAsia"/>
          <w:sz w:val="24"/>
        </w:rPr>
        <w:t>初始面值、</w:t>
      </w:r>
      <w:r>
        <w:rPr>
          <w:sz w:val="24"/>
        </w:rPr>
        <w:t>认购价格为</w:t>
      </w:r>
      <w:r>
        <w:rPr>
          <w:sz w:val="24"/>
        </w:rPr>
        <w:t>1.00</w:t>
      </w:r>
      <w:r>
        <w:rPr>
          <w:sz w:val="24"/>
        </w:rPr>
        <w:t>元</w:t>
      </w:r>
      <w:r>
        <w:rPr>
          <w:sz w:val="24"/>
        </w:rPr>
        <w:t>/</w:t>
      </w:r>
      <w:r>
        <w:rPr>
          <w:sz w:val="24"/>
        </w:rPr>
        <w:t>份。</w:t>
      </w:r>
    </w:p>
    <w:p w14:paraId="736579F1" w14:textId="77777777" w:rsidR="00791BDD" w:rsidRDefault="00B75151">
      <w:pPr>
        <w:adjustRightInd w:val="0"/>
        <w:snapToGrid w:val="0"/>
        <w:spacing w:line="360" w:lineRule="auto"/>
        <w:ind w:firstLineChars="200" w:firstLine="480"/>
        <w:rPr>
          <w:sz w:val="24"/>
        </w:rPr>
      </w:pPr>
      <w:r>
        <w:rPr>
          <w:sz w:val="24"/>
        </w:rPr>
        <w:t>（</w:t>
      </w:r>
      <w:r>
        <w:rPr>
          <w:sz w:val="24"/>
        </w:rPr>
        <w:t>2</w:t>
      </w:r>
      <w:r>
        <w:rPr>
          <w:sz w:val="24"/>
        </w:rPr>
        <w:t>）认购费率</w:t>
      </w:r>
    </w:p>
    <w:p w14:paraId="170419F3" w14:textId="77777777" w:rsidR="00791BDD" w:rsidRDefault="00B75151">
      <w:pPr>
        <w:adjustRightInd w:val="0"/>
        <w:snapToGrid w:val="0"/>
        <w:spacing w:line="360" w:lineRule="auto"/>
        <w:ind w:firstLineChars="200" w:firstLine="480"/>
        <w:rPr>
          <w:sz w:val="24"/>
        </w:rPr>
      </w:pPr>
      <w:r>
        <w:rPr>
          <w:rFonts w:hint="eastAsia"/>
          <w:sz w:val="24"/>
        </w:rPr>
        <w:t>通过直销机构认购本基金不收取认购费；通过其他销售机构认购本基金的，认购费用由认购基金份额的投资人承担，募集期内投资人可以多次认购本基金，认购费用按每笔认购申请单独计算。认购费用不列入基金财产，主要用于基金的市场推广、销售等募集期间发生的各项费用。</w:t>
      </w:r>
    </w:p>
    <w:p w14:paraId="13643B73" w14:textId="77777777" w:rsidR="00791BDD" w:rsidRDefault="00B75151">
      <w:pPr>
        <w:widowControl/>
        <w:adjustRightInd w:val="0"/>
        <w:snapToGrid w:val="0"/>
        <w:spacing w:line="360" w:lineRule="auto"/>
        <w:ind w:firstLineChars="200" w:firstLine="480"/>
        <w:rPr>
          <w:kern w:val="0"/>
          <w:sz w:val="24"/>
        </w:rPr>
      </w:pPr>
      <w:r>
        <w:rPr>
          <w:rFonts w:hint="eastAsia"/>
          <w:kern w:val="0"/>
          <w:sz w:val="24"/>
        </w:rPr>
        <w:t>通过其他销售机构认购</w:t>
      </w:r>
      <w:r>
        <w:rPr>
          <w:kern w:val="0"/>
          <w:sz w:val="24"/>
        </w:rPr>
        <w:t>本基金</w:t>
      </w:r>
      <w:r>
        <w:rPr>
          <w:rFonts w:hint="eastAsia"/>
          <w:kern w:val="0"/>
          <w:sz w:val="24"/>
        </w:rPr>
        <w:t>的</w:t>
      </w:r>
      <w:r>
        <w:rPr>
          <w:kern w:val="0"/>
          <w:sz w:val="24"/>
        </w:rPr>
        <w:t>认购费率如下</w:t>
      </w:r>
      <w:r>
        <w:rPr>
          <w:rFonts w:hint="eastAsia"/>
          <w:kern w:val="0"/>
          <w:sz w:val="24"/>
        </w:rPr>
        <w:t>表</w:t>
      </w:r>
      <w:r>
        <w:rPr>
          <w:kern w:val="0"/>
          <w:sz w:val="24"/>
        </w:rPr>
        <w:t>：</w:t>
      </w:r>
    </w:p>
    <w:tbl>
      <w:tblPr>
        <w:tblW w:w="712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3528"/>
        <w:gridCol w:w="3598"/>
      </w:tblGrid>
      <w:tr w:rsidR="00791BDD" w14:paraId="5E7058E4" w14:textId="77777777">
        <w:trPr>
          <w:cantSplit/>
          <w:trHeight w:val="132"/>
          <w:jc w:val="center"/>
        </w:trPr>
        <w:tc>
          <w:tcPr>
            <w:tcW w:w="3528" w:type="dxa"/>
            <w:shd w:val="clear" w:color="auto" w:fill="FFFFFF"/>
            <w:vAlign w:val="center"/>
          </w:tcPr>
          <w:p w14:paraId="074958C9" w14:textId="77777777" w:rsidR="00791BDD" w:rsidRDefault="00B75151">
            <w:pPr>
              <w:adjustRightInd w:val="0"/>
              <w:snapToGrid w:val="0"/>
              <w:jc w:val="center"/>
              <w:rPr>
                <w:b/>
                <w:sz w:val="24"/>
              </w:rPr>
            </w:pPr>
            <w:r>
              <w:rPr>
                <w:b/>
                <w:sz w:val="24"/>
              </w:rPr>
              <w:t>认购金额（含认购费）</w:t>
            </w:r>
          </w:p>
        </w:tc>
        <w:tc>
          <w:tcPr>
            <w:tcW w:w="3598" w:type="dxa"/>
            <w:shd w:val="clear" w:color="auto" w:fill="FFFFFF"/>
            <w:vAlign w:val="center"/>
          </w:tcPr>
          <w:p w14:paraId="23DFDEBA" w14:textId="77777777" w:rsidR="00791BDD" w:rsidRDefault="00B75151">
            <w:pPr>
              <w:adjustRightInd w:val="0"/>
              <w:snapToGrid w:val="0"/>
              <w:jc w:val="center"/>
              <w:rPr>
                <w:b/>
                <w:sz w:val="24"/>
              </w:rPr>
            </w:pPr>
            <w:r>
              <w:rPr>
                <w:b/>
                <w:sz w:val="24"/>
              </w:rPr>
              <w:t>认购费率</w:t>
            </w:r>
          </w:p>
        </w:tc>
      </w:tr>
      <w:tr w:rsidR="00791BDD" w14:paraId="6984DF02" w14:textId="77777777">
        <w:trPr>
          <w:cantSplit/>
          <w:trHeight w:val="131"/>
          <w:jc w:val="center"/>
        </w:trPr>
        <w:tc>
          <w:tcPr>
            <w:tcW w:w="3528" w:type="dxa"/>
          </w:tcPr>
          <w:p w14:paraId="170EFC12" w14:textId="77777777" w:rsidR="00791BDD" w:rsidRDefault="00B75151">
            <w:pPr>
              <w:adjustRightInd w:val="0"/>
              <w:snapToGrid w:val="0"/>
              <w:rPr>
                <w:sz w:val="24"/>
              </w:rPr>
            </w:pPr>
            <w:r>
              <w:rPr>
                <w:sz w:val="24"/>
              </w:rPr>
              <w:t>100</w:t>
            </w:r>
            <w:r>
              <w:rPr>
                <w:sz w:val="24"/>
              </w:rPr>
              <w:t>万元以下</w:t>
            </w:r>
          </w:p>
        </w:tc>
        <w:tc>
          <w:tcPr>
            <w:tcW w:w="3598" w:type="dxa"/>
          </w:tcPr>
          <w:p w14:paraId="34E8FED4" w14:textId="77777777" w:rsidR="00791BDD" w:rsidRDefault="00B75151">
            <w:pPr>
              <w:adjustRightInd w:val="0"/>
              <w:snapToGrid w:val="0"/>
              <w:jc w:val="center"/>
              <w:rPr>
                <w:sz w:val="24"/>
              </w:rPr>
            </w:pPr>
            <w:r>
              <w:rPr>
                <w:sz w:val="24"/>
              </w:rPr>
              <w:t>0.7%</w:t>
            </w:r>
          </w:p>
        </w:tc>
      </w:tr>
      <w:tr w:rsidR="00791BDD" w14:paraId="1BD15C10" w14:textId="77777777">
        <w:trPr>
          <w:cantSplit/>
          <w:trHeight w:val="131"/>
          <w:jc w:val="center"/>
        </w:trPr>
        <w:tc>
          <w:tcPr>
            <w:tcW w:w="3528" w:type="dxa"/>
          </w:tcPr>
          <w:p w14:paraId="296C4152" w14:textId="77777777" w:rsidR="00791BDD" w:rsidRDefault="00B75151">
            <w:pPr>
              <w:adjustRightInd w:val="0"/>
              <w:snapToGrid w:val="0"/>
              <w:rPr>
                <w:sz w:val="24"/>
              </w:rPr>
            </w:pPr>
            <w:r>
              <w:rPr>
                <w:rFonts w:hint="eastAsia"/>
                <w:sz w:val="24"/>
              </w:rPr>
              <w:t>100</w:t>
            </w:r>
            <w:r>
              <w:rPr>
                <w:rFonts w:hint="eastAsia"/>
                <w:sz w:val="24"/>
              </w:rPr>
              <w:t>万元（含）至</w:t>
            </w:r>
            <w:r>
              <w:rPr>
                <w:sz w:val="24"/>
              </w:rPr>
              <w:t>2</w:t>
            </w:r>
            <w:r>
              <w:rPr>
                <w:rFonts w:hint="eastAsia"/>
                <w:sz w:val="24"/>
              </w:rPr>
              <w:t>00</w:t>
            </w:r>
            <w:r>
              <w:rPr>
                <w:rFonts w:hint="eastAsia"/>
                <w:sz w:val="24"/>
              </w:rPr>
              <w:t>万元</w:t>
            </w:r>
          </w:p>
        </w:tc>
        <w:tc>
          <w:tcPr>
            <w:tcW w:w="3598" w:type="dxa"/>
          </w:tcPr>
          <w:p w14:paraId="3912A85A" w14:textId="77777777" w:rsidR="00791BDD" w:rsidRDefault="00B75151">
            <w:pPr>
              <w:adjustRightInd w:val="0"/>
              <w:snapToGrid w:val="0"/>
              <w:jc w:val="center"/>
              <w:rPr>
                <w:sz w:val="24"/>
              </w:rPr>
            </w:pPr>
            <w:r>
              <w:rPr>
                <w:sz w:val="24"/>
              </w:rPr>
              <w:t>0.5%</w:t>
            </w:r>
          </w:p>
        </w:tc>
      </w:tr>
      <w:tr w:rsidR="00791BDD" w14:paraId="5D33C595" w14:textId="77777777">
        <w:trPr>
          <w:cantSplit/>
          <w:trHeight w:val="131"/>
          <w:jc w:val="center"/>
        </w:trPr>
        <w:tc>
          <w:tcPr>
            <w:tcW w:w="3528" w:type="dxa"/>
            <w:vAlign w:val="center"/>
          </w:tcPr>
          <w:p w14:paraId="49C5A3B5" w14:textId="77777777" w:rsidR="00791BDD" w:rsidRDefault="00B75151">
            <w:pPr>
              <w:adjustRightInd w:val="0"/>
              <w:snapToGrid w:val="0"/>
              <w:rPr>
                <w:sz w:val="24"/>
              </w:rPr>
            </w:pPr>
            <w:r>
              <w:rPr>
                <w:sz w:val="24"/>
              </w:rPr>
              <w:t>200</w:t>
            </w:r>
            <w:r>
              <w:rPr>
                <w:rFonts w:hint="eastAsia"/>
                <w:sz w:val="24"/>
              </w:rPr>
              <w:t>万元（含）至</w:t>
            </w:r>
            <w:r>
              <w:rPr>
                <w:sz w:val="24"/>
              </w:rPr>
              <w:t>500</w:t>
            </w:r>
            <w:r>
              <w:rPr>
                <w:rFonts w:hint="eastAsia"/>
                <w:sz w:val="24"/>
              </w:rPr>
              <w:t>万元</w:t>
            </w:r>
          </w:p>
        </w:tc>
        <w:tc>
          <w:tcPr>
            <w:tcW w:w="3598" w:type="dxa"/>
          </w:tcPr>
          <w:p w14:paraId="3E26450C" w14:textId="77777777" w:rsidR="00791BDD" w:rsidRDefault="00B75151">
            <w:pPr>
              <w:adjustRightInd w:val="0"/>
              <w:snapToGrid w:val="0"/>
              <w:jc w:val="center"/>
              <w:rPr>
                <w:sz w:val="24"/>
              </w:rPr>
            </w:pPr>
            <w:r>
              <w:rPr>
                <w:sz w:val="24"/>
              </w:rPr>
              <w:t>0.3%</w:t>
            </w:r>
          </w:p>
        </w:tc>
      </w:tr>
      <w:tr w:rsidR="00791BDD" w14:paraId="6B94CE86" w14:textId="77777777">
        <w:trPr>
          <w:cantSplit/>
          <w:trHeight w:val="131"/>
          <w:jc w:val="center"/>
        </w:trPr>
        <w:tc>
          <w:tcPr>
            <w:tcW w:w="3528" w:type="dxa"/>
          </w:tcPr>
          <w:p w14:paraId="262FD85F" w14:textId="77777777" w:rsidR="00791BDD" w:rsidRDefault="00B75151">
            <w:pPr>
              <w:adjustRightInd w:val="0"/>
              <w:snapToGrid w:val="0"/>
              <w:rPr>
                <w:sz w:val="24"/>
              </w:rPr>
            </w:pPr>
            <w:r>
              <w:rPr>
                <w:sz w:val="24"/>
              </w:rPr>
              <w:t>500</w:t>
            </w:r>
            <w:r>
              <w:rPr>
                <w:sz w:val="24"/>
              </w:rPr>
              <w:t>万元以上（含</w:t>
            </w:r>
            <w:r>
              <w:rPr>
                <w:sz w:val="24"/>
              </w:rPr>
              <w:t>500</w:t>
            </w:r>
            <w:r>
              <w:rPr>
                <w:sz w:val="24"/>
              </w:rPr>
              <w:t>万</w:t>
            </w:r>
            <w:r>
              <w:rPr>
                <w:rFonts w:hint="eastAsia"/>
                <w:sz w:val="24"/>
              </w:rPr>
              <w:t>元</w:t>
            </w:r>
            <w:r>
              <w:rPr>
                <w:sz w:val="24"/>
              </w:rPr>
              <w:t>）</w:t>
            </w:r>
          </w:p>
        </w:tc>
        <w:tc>
          <w:tcPr>
            <w:tcW w:w="3598" w:type="dxa"/>
          </w:tcPr>
          <w:p w14:paraId="148C75ED" w14:textId="77777777" w:rsidR="00791BDD" w:rsidRDefault="00B75151">
            <w:pPr>
              <w:adjustRightInd w:val="0"/>
              <w:snapToGrid w:val="0"/>
              <w:jc w:val="center"/>
              <w:rPr>
                <w:sz w:val="24"/>
              </w:rPr>
            </w:pPr>
            <w:r>
              <w:rPr>
                <w:sz w:val="24"/>
              </w:rPr>
              <w:t>每笔交易</w:t>
            </w:r>
            <w:r>
              <w:rPr>
                <w:sz w:val="24"/>
              </w:rPr>
              <w:t>1000</w:t>
            </w:r>
            <w:r>
              <w:rPr>
                <w:sz w:val="24"/>
              </w:rPr>
              <w:t>元</w:t>
            </w:r>
          </w:p>
        </w:tc>
      </w:tr>
    </w:tbl>
    <w:p w14:paraId="46C3EB2E" w14:textId="77777777" w:rsidR="00791BDD" w:rsidRDefault="00B75151">
      <w:pPr>
        <w:adjustRightInd w:val="0"/>
        <w:snapToGrid w:val="0"/>
        <w:spacing w:line="360" w:lineRule="auto"/>
        <w:ind w:firstLineChars="200" w:firstLine="480"/>
        <w:rPr>
          <w:sz w:val="24"/>
        </w:rPr>
      </w:pPr>
      <w:r>
        <w:rPr>
          <w:sz w:val="24"/>
        </w:rPr>
        <w:t>（</w:t>
      </w:r>
      <w:r>
        <w:rPr>
          <w:sz w:val="24"/>
        </w:rPr>
        <w:t>3</w:t>
      </w:r>
      <w:r>
        <w:rPr>
          <w:sz w:val="24"/>
        </w:rPr>
        <w:t>）认购份额的计算</w:t>
      </w:r>
    </w:p>
    <w:p w14:paraId="65223154" w14:textId="77777777" w:rsidR="00791BDD" w:rsidRDefault="00B75151">
      <w:pPr>
        <w:adjustRightInd w:val="0"/>
        <w:snapToGrid w:val="0"/>
        <w:spacing w:line="360" w:lineRule="auto"/>
        <w:ind w:firstLineChars="200" w:firstLine="480"/>
        <w:rPr>
          <w:sz w:val="24"/>
        </w:rPr>
      </w:pPr>
      <w:r>
        <w:rPr>
          <w:rFonts w:hint="eastAsia"/>
          <w:sz w:val="24"/>
        </w:rPr>
        <w:t>基金认购采用</w:t>
      </w:r>
      <w:r>
        <w:rPr>
          <w:sz w:val="24"/>
        </w:rPr>
        <w:t>金额</w:t>
      </w:r>
      <w:r>
        <w:rPr>
          <w:rFonts w:hint="eastAsia"/>
          <w:sz w:val="24"/>
        </w:rPr>
        <w:t>认购的方式。</w:t>
      </w:r>
    </w:p>
    <w:p w14:paraId="6BCB59C0" w14:textId="77777777" w:rsidR="00791BDD" w:rsidRDefault="00B75151">
      <w:pPr>
        <w:adjustRightInd w:val="0"/>
        <w:snapToGrid w:val="0"/>
        <w:spacing w:line="360" w:lineRule="auto"/>
        <w:ind w:firstLineChars="200" w:firstLine="480"/>
        <w:rPr>
          <w:sz w:val="24"/>
        </w:rPr>
      </w:pPr>
      <w:r>
        <w:rPr>
          <w:rFonts w:hint="eastAsia"/>
          <w:sz w:val="24"/>
        </w:rPr>
        <w:t>1</w:t>
      </w:r>
      <w:r>
        <w:rPr>
          <w:rFonts w:hint="eastAsia"/>
          <w:sz w:val="24"/>
        </w:rPr>
        <w:t>）基金份额的认购</w:t>
      </w:r>
    </w:p>
    <w:p w14:paraId="733F0CB7" w14:textId="77777777" w:rsidR="00791BDD" w:rsidRDefault="00B75151">
      <w:pPr>
        <w:adjustRightInd w:val="0"/>
        <w:snapToGrid w:val="0"/>
        <w:spacing w:line="360" w:lineRule="auto"/>
        <w:ind w:firstLineChars="200" w:firstLine="480"/>
        <w:rPr>
          <w:sz w:val="24"/>
        </w:rPr>
      </w:pPr>
      <w:r>
        <w:rPr>
          <w:rFonts w:hint="eastAsia"/>
          <w:sz w:val="24"/>
        </w:rPr>
        <w:t>基金的认购</w:t>
      </w:r>
      <w:r>
        <w:rPr>
          <w:sz w:val="24"/>
        </w:rPr>
        <w:t>金额</w:t>
      </w:r>
      <w:r>
        <w:rPr>
          <w:rFonts w:hint="eastAsia"/>
          <w:sz w:val="24"/>
        </w:rPr>
        <w:t>包括认购费用和净认购金额。计算公式为：</w:t>
      </w:r>
    </w:p>
    <w:p w14:paraId="54D7ACF5" w14:textId="77777777" w:rsidR="00791BDD" w:rsidRDefault="00B75151">
      <w:pPr>
        <w:adjustRightInd w:val="0"/>
        <w:snapToGrid w:val="0"/>
        <w:spacing w:line="360" w:lineRule="auto"/>
        <w:ind w:firstLineChars="200" w:firstLine="480"/>
        <w:rPr>
          <w:sz w:val="24"/>
        </w:rPr>
      </w:pPr>
      <w:r>
        <w:rPr>
          <w:sz w:val="24"/>
        </w:rPr>
        <w:t>认购总金额</w:t>
      </w:r>
      <w:r>
        <w:rPr>
          <w:sz w:val="24"/>
        </w:rPr>
        <w:t>=</w:t>
      </w:r>
      <w:r>
        <w:rPr>
          <w:sz w:val="24"/>
        </w:rPr>
        <w:t>申请总金额</w:t>
      </w:r>
    </w:p>
    <w:p w14:paraId="7113232B" w14:textId="77777777" w:rsidR="00791BDD" w:rsidRDefault="00B75151">
      <w:pPr>
        <w:adjustRightInd w:val="0"/>
        <w:snapToGrid w:val="0"/>
        <w:spacing w:line="360" w:lineRule="auto"/>
        <w:ind w:firstLineChars="200" w:firstLine="480"/>
        <w:rPr>
          <w:sz w:val="24"/>
        </w:rPr>
      </w:pPr>
      <w:r>
        <w:rPr>
          <w:sz w:val="24"/>
        </w:rPr>
        <w:t>净认购金额</w:t>
      </w:r>
      <w:r>
        <w:rPr>
          <w:sz w:val="24"/>
        </w:rPr>
        <w:t>=</w:t>
      </w:r>
      <w:r>
        <w:rPr>
          <w:sz w:val="24"/>
        </w:rPr>
        <w:t>认购总金额</w:t>
      </w:r>
      <w:r>
        <w:rPr>
          <w:sz w:val="24"/>
        </w:rPr>
        <w:t>/</w:t>
      </w:r>
      <w:r>
        <w:rPr>
          <w:sz w:val="24"/>
        </w:rPr>
        <w:t>（</w:t>
      </w:r>
      <w:r>
        <w:rPr>
          <w:sz w:val="24"/>
        </w:rPr>
        <w:t>1+</w:t>
      </w:r>
      <w:r>
        <w:rPr>
          <w:sz w:val="24"/>
        </w:rPr>
        <w:t>认购费率）</w:t>
      </w:r>
    </w:p>
    <w:p w14:paraId="0639259B" w14:textId="77777777" w:rsidR="00791BDD" w:rsidRDefault="00B75151">
      <w:pPr>
        <w:adjustRightInd w:val="0"/>
        <w:snapToGrid w:val="0"/>
        <w:spacing w:line="360" w:lineRule="auto"/>
        <w:ind w:firstLineChars="200" w:firstLine="480"/>
        <w:rPr>
          <w:sz w:val="24"/>
        </w:rPr>
      </w:pPr>
      <w:r>
        <w:rPr>
          <w:sz w:val="24"/>
        </w:rPr>
        <w:t>（注：</w:t>
      </w:r>
      <w:r>
        <w:rPr>
          <w:rFonts w:hint="eastAsia"/>
          <w:sz w:val="24"/>
        </w:rPr>
        <w:t>①</w:t>
      </w:r>
      <w:r>
        <w:rPr>
          <w:sz w:val="24"/>
        </w:rPr>
        <w:t>对于适用固定金额认购费用的认购，净认购金额＝认购总金额－固定认购费用金额</w:t>
      </w:r>
      <w:r>
        <w:rPr>
          <w:rFonts w:hint="eastAsia"/>
          <w:sz w:val="24"/>
        </w:rPr>
        <w:t>；②对于通过直销机构认购的，认购费率均为</w:t>
      </w:r>
      <w:r>
        <w:rPr>
          <w:rFonts w:hint="eastAsia"/>
          <w:sz w:val="24"/>
        </w:rPr>
        <w:t>0</w:t>
      </w:r>
      <w:r>
        <w:rPr>
          <w:sz w:val="24"/>
        </w:rPr>
        <w:t>）</w:t>
      </w:r>
    </w:p>
    <w:p w14:paraId="59645DE2" w14:textId="77777777" w:rsidR="00791BDD" w:rsidRDefault="00B75151">
      <w:pPr>
        <w:adjustRightInd w:val="0"/>
        <w:snapToGrid w:val="0"/>
        <w:spacing w:line="360" w:lineRule="auto"/>
        <w:ind w:firstLineChars="200" w:firstLine="480"/>
        <w:rPr>
          <w:sz w:val="24"/>
        </w:rPr>
      </w:pPr>
      <w:r>
        <w:rPr>
          <w:sz w:val="24"/>
        </w:rPr>
        <w:t>认购费用</w:t>
      </w:r>
      <w:r>
        <w:rPr>
          <w:sz w:val="24"/>
        </w:rPr>
        <w:t>=</w:t>
      </w:r>
      <w:r>
        <w:rPr>
          <w:sz w:val="24"/>
        </w:rPr>
        <w:t>认购总金额</w:t>
      </w:r>
      <w:r>
        <w:rPr>
          <w:sz w:val="24"/>
        </w:rPr>
        <w:t>-</w:t>
      </w:r>
      <w:r>
        <w:rPr>
          <w:sz w:val="24"/>
        </w:rPr>
        <w:t>净认购金额</w:t>
      </w:r>
    </w:p>
    <w:p w14:paraId="7A72983D" w14:textId="77777777" w:rsidR="00791BDD" w:rsidRDefault="00B75151">
      <w:pPr>
        <w:adjustRightInd w:val="0"/>
        <w:snapToGrid w:val="0"/>
        <w:spacing w:line="360" w:lineRule="auto"/>
        <w:ind w:firstLineChars="200" w:firstLine="480"/>
        <w:rPr>
          <w:sz w:val="24"/>
        </w:rPr>
      </w:pPr>
      <w:r>
        <w:rPr>
          <w:sz w:val="24"/>
        </w:rPr>
        <w:t>（注：对于适用固定金额认购费用的认购，认购费用＝固定认购费用金额）</w:t>
      </w:r>
    </w:p>
    <w:p w14:paraId="19476701" w14:textId="77777777" w:rsidR="00791BDD" w:rsidRDefault="00B75151">
      <w:pPr>
        <w:adjustRightInd w:val="0"/>
        <w:snapToGrid w:val="0"/>
        <w:spacing w:line="360" w:lineRule="auto"/>
        <w:ind w:firstLineChars="200" w:firstLine="480"/>
        <w:rPr>
          <w:sz w:val="24"/>
        </w:rPr>
      </w:pPr>
      <w:r>
        <w:rPr>
          <w:sz w:val="24"/>
        </w:rPr>
        <w:t>认购份额</w:t>
      </w:r>
      <w:r>
        <w:rPr>
          <w:sz w:val="24"/>
        </w:rPr>
        <w:t>=</w:t>
      </w:r>
      <w:r>
        <w:rPr>
          <w:sz w:val="24"/>
        </w:rPr>
        <w:t>净认购金额</w:t>
      </w:r>
      <w:r>
        <w:rPr>
          <w:sz w:val="24"/>
        </w:rPr>
        <w:t>/</w:t>
      </w:r>
      <w:r>
        <w:rPr>
          <w:sz w:val="24"/>
        </w:rPr>
        <w:t>基金份额初始面值</w:t>
      </w:r>
      <w:r>
        <w:rPr>
          <w:sz w:val="24"/>
        </w:rPr>
        <w:t>+</w:t>
      </w:r>
      <w:r>
        <w:rPr>
          <w:sz w:val="24"/>
        </w:rPr>
        <w:t>认购利息</w:t>
      </w:r>
      <w:r>
        <w:rPr>
          <w:sz w:val="24"/>
        </w:rPr>
        <w:t>/</w:t>
      </w:r>
      <w:r>
        <w:rPr>
          <w:sz w:val="24"/>
        </w:rPr>
        <w:t>基金份额初始面值</w:t>
      </w:r>
    </w:p>
    <w:p w14:paraId="63475B2A" w14:textId="77777777" w:rsidR="00791BDD" w:rsidRDefault="00B75151">
      <w:pPr>
        <w:adjustRightInd w:val="0"/>
        <w:snapToGrid w:val="0"/>
        <w:spacing w:line="360" w:lineRule="auto"/>
        <w:ind w:firstLineChars="200" w:firstLine="480"/>
        <w:rPr>
          <w:sz w:val="24"/>
        </w:rPr>
      </w:pPr>
      <w:r>
        <w:rPr>
          <w:sz w:val="24"/>
        </w:rPr>
        <w:lastRenderedPageBreak/>
        <w:t>认购份额的计算保留到小数点后</w:t>
      </w:r>
      <w:r>
        <w:rPr>
          <w:sz w:val="24"/>
        </w:rPr>
        <w:t>2</w:t>
      </w:r>
      <w:r>
        <w:rPr>
          <w:sz w:val="24"/>
        </w:rPr>
        <w:t>位，小数点</w:t>
      </w:r>
      <w:r>
        <w:rPr>
          <w:sz w:val="24"/>
        </w:rPr>
        <w:t>2</w:t>
      </w:r>
      <w:r>
        <w:rPr>
          <w:sz w:val="24"/>
        </w:rPr>
        <w:t>位以后的部分四舍五入，由此误差产生的收益或损失由基金财产承担。</w:t>
      </w:r>
    </w:p>
    <w:p w14:paraId="4381573D" w14:textId="77777777" w:rsidR="00791BDD" w:rsidRDefault="00B75151">
      <w:pPr>
        <w:adjustRightInd w:val="0"/>
        <w:snapToGrid w:val="0"/>
        <w:spacing w:line="360" w:lineRule="auto"/>
        <w:ind w:firstLineChars="200" w:firstLine="480"/>
        <w:rPr>
          <w:sz w:val="24"/>
        </w:rPr>
      </w:pPr>
      <w:r>
        <w:rPr>
          <w:rFonts w:hint="eastAsia"/>
          <w:sz w:val="24"/>
        </w:rPr>
        <w:t>例一：某投资者通过直销机构认购本基金</w:t>
      </w:r>
      <w:r>
        <w:rPr>
          <w:rFonts w:hint="eastAsia"/>
          <w:sz w:val="24"/>
        </w:rPr>
        <w:t>100,000.00</w:t>
      </w:r>
      <w:r>
        <w:rPr>
          <w:rFonts w:hint="eastAsia"/>
          <w:sz w:val="24"/>
        </w:rPr>
        <w:t>元，且该认购申请被全额确认，假定该笔认购金额产生的利息为</w:t>
      </w:r>
      <w:r>
        <w:rPr>
          <w:rFonts w:hint="eastAsia"/>
          <w:sz w:val="24"/>
        </w:rPr>
        <w:t>10.00</w:t>
      </w:r>
      <w:r>
        <w:rPr>
          <w:rFonts w:hint="eastAsia"/>
          <w:sz w:val="24"/>
        </w:rPr>
        <w:t>元，认购费率为</w:t>
      </w:r>
      <w:r>
        <w:rPr>
          <w:rFonts w:hint="eastAsia"/>
          <w:sz w:val="24"/>
        </w:rPr>
        <w:t>0</w:t>
      </w:r>
      <w:r>
        <w:rPr>
          <w:rFonts w:hint="eastAsia"/>
          <w:sz w:val="24"/>
        </w:rPr>
        <w:t>，则可认购基金份额为：</w:t>
      </w:r>
    </w:p>
    <w:p w14:paraId="53FC9819" w14:textId="77777777" w:rsidR="00791BDD" w:rsidRDefault="00B75151">
      <w:pPr>
        <w:adjustRightInd w:val="0"/>
        <w:snapToGrid w:val="0"/>
        <w:spacing w:line="360" w:lineRule="auto"/>
        <w:ind w:firstLineChars="200" w:firstLine="480"/>
        <w:rPr>
          <w:sz w:val="24"/>
        </w:rPr>
      </w:pPr>
      <w:r>
        <w:rPr>
          <w:rFonts w:hint="eastAsia"/>
          <w:sz w:val="24"/>
        </w:rPr>
        <w:t>认购总金额</w:t>
      </w:r>
      <w:r>
        <w:rPr>
          <w:rFonts w:hint="eastAsia"/>
          <w:sz w:val="24"/>
        </w:rPr>
        <w:t>=100,000.00</w:t>
      </w:r>
      <w:r>
        <w:rPr>
          <w:rFonts w:hint="eastAsia"/>
          <w:sz w:val="24"/>
        </w:rPr>
        <w:t>元</w:t>
      </w:r>
    </w:p>
    <w:p w14:paraId="1C63E83A" w14:textId="77777777" w:rsidR="00791BDD" w:rsidRDefault="00B75151">
      <w:pPr>
        <w:adjustRightInd w:val="0"/>
        <w:snapToGrid w:val="0"/>
        <w:spacing w:line="360" w:lineRule="auto"/>
        <w:ind w:firstLineChars="200" w:firstLine="480"/>
        <w:rPr>
          <w:sz w:val="24"/>
        </w:rPr>
      </w:pPr>
      <w:r>
        <w:rPr>
          <w:rFonts w:hint="eastAsia"/>
          <w:sz w:val="24"/>
        </w:rPr>
        <w:t>净认购金额＝</w:t>
      </w:r>
      <w:r>
        <w:rPr>
          <w:rFonts w:hint="eastAsia"/>
          <w:sz w:val="24"/>
        </w:rPr>
        <w:t>100,000.00/</w:t>
      </w:r>
      <w:r>
        <w:rPr>
          <w:rFonts w:hint="eastAsia"/>
          <w:sz w:val="24"/>
        </w:rPr>
        <w:t>（</w:t>
      </w:r>
      <w:r>
        <w:rPr>
          <w:rFonts w:hint="eastAsia"/>
          <w:sz w:val="24"/>
        </w:rPr>
        <w:t>1</w:t>
      </w:r>
      <w:r>
        <w:rPr>
          <w:rFonts w:hint="eastAsia"/>
          <w:sz w:val="24"/>
        </w:rPr>
        <w:t>＋</w:t>
      </w:r>
      <w:r>
        <w:rPr>
          <w:rFonts w:hint="eastAsia"/>
          <w:sz w:val="24"/>
        </w:rPr>
        <w:t>0</w:t>
      </w:r>
      <w:r>
        <w:rPr>
          <w:rFonts w:hint="eastAsia"/>
          <w:sz w:val="24"/>
        </w:rPr>
        <w:t>）＝</w:t>
      </w:r>
      <w:r>
        <w:rPr>
          <w:rFonts w:hint="eastAsia"/>
          <w:sz w:val="24"/>
        </w:rPr>
        <w:t>100,000.00</w:t>
      </w:r>
      <w:r>
        <w:rPr>
          <w:rFonts w:hint="eastAsia"/>
          <w:sz w:val="24"/>
        </w:rPr>
        <w:t>元</w:t>
      </w:r>
    </w:p>
    <w:p w14:paraId="3FD0B730" w14:textId="77777777" w:rsidR="00791BDD" w:rsidRDefault="00B75151">
      <w:pPr>
        <w:adjustRightInd w:val="0"/>
        <w:snapToGrid w:val="0"/>
        <w:spacing w:line="360" w:lineRule="auto"/>
        <w:ind w:firstLineChars="200" w:firstLine="480"/>
        <w:rPr>
          <w:sz w:val="24"/>
        </w:rPr>
      </w:pPr>
      <w:r>
        <w:rPr>
          <w:rFonts w:hint="eastAsia"/>
          <w:sz w:val="24"/>
        </w:rPr>
        <w:t>认购费用＝</w:t>
      </w:r>
      <w:r>
        <w:rPr>
          <w:rFonts w:hint="eastAsia"/>
          <w:sz w:val="24"/>
        </w:rPr>
        <w:t>100,000.00-100,000.00=0.00</w:t>
      </w:r>
      <w:r>
        <w:rPr>
          <w:rFonts w:hint="eastAsia"/>
          <w:sz w:val="24"/>
        </w:rPr>
        <w:t>元</w:t>
      </w:r>
    </w:p>
    <w:p w14:paraId="4510762B" w14:textId="77777777" w:rsidR="00791BDD" w:rsidRDefault="00B75151">
      <w:pPr>
        <w:adjustRightInd w:val="0"/>
        <w:snapToGrid w:val="0"/>
        <w:spacing w:line="360" w:lineRule="auto"/>
        <w:ind w:firstLineChars="200" w:firstLine="480"/>
        <w:rPr>
          <w:sz w:val="24"/>
        </w:rPr>
      </w:pPr>
      <w:r>
        <w:rPr>
          <w:rFonts w:hint="eastAsia"/>
          <w:sz w:val="24"/>
        </w:rPr>
        <w:t>认购份额＝</w:t>
      </w:r>
      <w:r>
        <w:rPr>
          <w:rFonts w:hint="eastAsia"/>
          <w:sz w:val="24"/>
        </w:rPr>
        <w:t>100,000.00/1.00</w:t>
      </w:r>
      <w:r>
        <w:rPr>
          <w:rFonts w:hint="eastAsia"/>
          <w:sz w:val="24"/>
        </w:rPr>
        <w:t>＋</w:t>
      </w:r>
      <w:r>
        <w:rPr>
          <w:rFonts w:hint="eastAsia"/>
          <w:sz w:val="24"/>
        </w:rPr>
        <w:t>10.00/1.00</w:t>
      </w:r>
      <w:r>
        <w:rPr>
          <w:rFonts w:hint="eastAsia"/>
          <w:sz w:val="24"/>
        </w:rPr>
        <w:t>＝</w:t>
      </w:r>
      <w:r>
        <w:rPr>
          <w:rFonts w:hint="eastAsia"/>
          <w:sz w:val="24"/>
        </w:rPr>
        <w:t>100,010.00</w:t>
      </w:r>
      <w:r>
        <w:rPr>
          <w:rFonts w:hint="eastAsia"/>
          <w:sz w:val="24"/>
        </w:rPr>
        <w:t>份</w:t>
      </w:r>
    </w:p>
    <w:p w14:paraId="23921F46" w14:textId="77777777" w:rsidR="00791BDD" w:rsidRDefault="00B75151">
      <w:pPr>
        <w:adjustRightInd w:val="0"/>
        <w:snapToGrid w:val="0"/>
        <w:spacing w:line="360" w:lineRule="auto"/>
        <w:ind w:firstLineChars="200" w:firstLine="480"/>
        <w:rPr>
          <w:sz w:val="24"/>
        </w:rPr>
      </w:pPr>
      <w:r>
        <w:rPr>
          <w:rFonts w:hint="eastAsia"/>
          <w:sz w:val="24"/>
        </w:rPr>
        <w:t>即：若该投资者通过直销机构认购本基金</w:t>
      </w:r>
      <w:r>
        <w:rPr>
          <w:rFonts w:hint="eastAsia"/>
          <w:sz w:val="24"/>
        </w:rPr>
        <w:t>100,000.00</w:t>
      </w:r>
      <w:r>
        <w:rPr>
          <w:rFonts w:hint="eastAsia"/>
          <w:sz w:val="24"/>
        </w:rPr>
        <w:t>元，且该认购申请被全额确认，假定该笔认购金额产生的利息为</w:t>
      </w:r>
      <w:r>
        <w:rPr>
          <w:rFonts w:hint="eastAsia"/>
          <w:sz w:val="24"/>
        </w:rPr>
        <w:t>10.00</w:t>
      </w:r>
      <w:r>
        <w:rPr>
          <w:rFonts w:hint="eastAsia"/>
          <w:sz w:val="24"/>
        </w:rPr>
        <w:t>元，则可得到</w:t>
      </w:r>
      <w:r>
        <w:rPr>
          <w:rFonts w:hint="eastAsia"/>
          <w:sz w:val="24"/>
        </w:rPr>
        <w:t>100,010.00</w:t>
      </w:r>
      <w:r>
        <w:rPr>
          <w:rFonts w:hint="eastAsia"/>
          <w:sz w:val="24"/>
        </w:rPr>
        <w:t>份基金份额。</w:t>
      </w:r>
    </w:p>
    <w:p w14:paraId="37C67721" w14:textId="77777777" w:rsidR="00791BDD" w:rsidRDefault="00B75151">
      <w:pPr>
        <w:adjustRightInd w:val="0"/>
        <w:snapToGrid w:val="0"/>
        <w:spacing w:line="360" w:lineRule="auto"/>
        <w:ind w:firstLineChars="200" w:firstLine="480"/>
        <w:rPr>
          <w:sz w:val="24"/>
        </w:rPr>
      </w:pPr>
      <w:r>
        <w:rPr>
          <w:sz w:val="24"/>
        </w:rPr>
        <w:t>例</w:t>
      </w:r>
      <w:r>
        <w:rPr>
          <w:rFonts w:hint="eastAsia"/>
          <w:sz w:val="24"/>
        </w:rPr>
        <w:t>二</w:t>
      </w:r>
      <w:r>
        <w:rPr>
          <w:sz w:val="24"/>
        </w:rPr>
        <w:t>：</w:t>
      </w:r>
      <w:r>
        <w:rPr>
          <w:rFonts w:hint="eastAsia"/>
          <w:sz w:val="24"/>
        </w:rPr>
        <w:t>某投资者通过其他销售机构认购本基金</w:t>
      </w:r>
      <w:r>
        <w:rPr>
          <w:rFonts w:hint="eastAsia"/>
          <w:sz w:val="24"/>
        </w:rPr>
        <w:t>100,000</w:t>
      </w:r>
      <w:r>
        <w:rPr>
          <w:rFonts w:hAnsi="宋体" w:hint="eastAsia"/>
          <w:sz w:val="24"/>
          <w:szCs w:val="24"/>
        </w:rPr>
        <w:t>.00</w:t>
      </w:r>
      <w:r>
        <w:rPr>
          <w:rFonts w:hint="eastAsia"/>
          <w:sz w:val="24"/>
        </w:rPr>
        <w:t>元，且该认购申请被全额确认，假定该笔认购金额产生的利息为</w:t>
      </w:r>
      <w:r>
        <w:rPr>
          <w:rFonts w:hint="eastAsia"/>
          <w:sz w:val="24"/>
        </w:rPr>
        <w:t>10.00</w:t>
      </w:r>
      <w:r>
        <w:rPr>
          <w:rFonts w:hint="eastAsia"/>
          <w:sz w:val="24"/>
        </w:rPr>
        <w:t>元，</w:t>
      </w:r>
      <w:r>
        <w:rPr>
          <w:sz w:val="24"/>
        </w:rPr>
        <w:t>认购费率为</w:t>
      </w:r>
      <w:r>
        <w:rPr>
          <w:rFonts w:hint="eastAsia"/>
          <w:sz w:val="24"/>
        </w:rPr>
        <w:t>0.</w:t>
      </w:r>
      <w:r>
        <w:rPr>
          <w:sz w:val="24"/>
        </w:rPr>
        <w:t>7%</w:t>
      </w:r>
      <w:r>
        <w:rPr>
          <w:sz w:val="24"/>
        </w:rPr>
        <w:t>，则可认购基金份额为：</w:t>
      </w:r>
    </w:p>
    <w:p w14:paraId="53D4F764" w14:textId="77777777" w:rsidR="00791BDD" w:rsidRDefault="00B75151">
      <w:pPr>
        <w:adjustRightInd w:val="0"/>
        <w:snapToGrid w:val="0"/>
        <w:spacing w:line="360" w:lineRule="auto"/>
        <w:ind w:firstLineChars="200" w:firstLine="480"/>
        <w:rPr>
          <w:sz w:val="24"/>
        </w:rPr>
      </w:pPr>
      <w:r>
        <w:rPr>
          <w:sz w:val="24"/>
        </w:rPr>
        <w:t>认购总金额</w:t>
      </w:r>
      <w:r>
        <w:rPr>
          <w:sz w:val="24"/>
        </w:rPr>
        <w:t>=100,000</w:t>
      </w:r>
      <w:r>
        <w:rPr>
          <w:rFonts w:hint="eastAsia"/>
          <w:sz w:val="24"/>
        </w:rPr>
        <w:t>.00</w:t>
      </w:r>
      <w:r>
        <w:rPr>
          <w:sz w:val="24"/>
        </w:rPr>
        <w:t>元</w:t>
      </w:r>
    </w:p>
    <w:p w14:paraId="2C239F55" w14:textId="77777777" w:rsidR="00791BDD" w:rsidRDefault="00B75151">
      <w:pPr>
        <w:adjustRightInd w:val="0"/>
        <w:snapToGrid w:val="0"/>
        <w:spacing w:line="360" w:lineRule="auto"/>
        <w:ind w:firstLineChars="200" w:firstLine="480"/>
        <w:rPr>
          <w:sz w:val="24"/>
        </w:rPr>
      </w:pPr>
      <w:r>
        <w:rPr>
          <w:rFonts w:hint="eastAsia"/>
          <w:sz w:val="24"/>
        </w:rPr>
        <w:t>净</w:t>
      </w:r>
      <w:r>
        <w:rPr>
          <w:sz w:val="24"/>
        </w:rPr>
        <w:t>认购金额＝</w:t>
      </w:r>
      <w:r>
        <w:rPr>
          <w:sz w:val="24"/>
        </w:rPr>
        <w:t>100,000</w:t>
      </w:r>
      <w:r>
        <w:rPr>
          <w:rFonts w:hint="eastAsia"/>
          <w:sz w:val="24"/>
        </w:rPr>
        <w:t>.00</w:t>
      </w:r>
      <w:r>
        <w:rPr>
          <w:sz w:val="24"/>
        </w:rPr>
        <w:t>/</w:t>
      </w:r>
      <w:r>
        <w:rPr>
          <w:sz w:val="24"/>
        </w:rPr>
        <w:t>（</w:t>
      </w:r>
      <w:r>
        <w:rPr>
          <w:sz w:val="24"/>
        </w:rPr>
        <w:t>1</w:t>
      </w:r>
      <w:r>
        <w:rPr>
          <w:sz w:val="24"/>
        </w:rPr>
        <w:t>＋</w:t>
      </w:r>
      <w:r>
        <w:rPr>
          <w:rFonts w:hint="eastAsia"/>
          <w:sz w:val="24"/>
        </w:rPr>
        <w:t>0.</w:t>
      </w:r>
      <w:r>
        <w:rPr>
          <w:sz w:val="24"/>
        </w:rPr>
        <w:t>7%</w:t>
      </w:r>
      <w:r>
        <w:rPr>
          <w:sz w:val="24"/>
        </w:rPr>
        <w:t>）＝</w:t>
      </w:r>
      <w:r>
        <w:rPr>
          <w:sz w:val="24"/>
        </w:rPr>
        <w:t>99,304.87</w:t>
      </w:r>
      <w:r>
        <w:rPr>
          <w:sz w:val="24"/>
        </w:rPr>
        <w:t>元</w:t>
      </w:r>
    </w:p>
    <w:p w14:paraId="6DA437D9" w14:textId="77777777" w:rsidR="00791BDD" w:rsidRDefault="00B75151">
      <w:pPr>
        <w:adjustRightInd w:val="0"/>
        <w:snapToGrid w:val="0"/>
        <w:spacing w:line="360" w:lineRule="auto"/>
        <w:ind w:firstLineChars="200" w:firstLine="480"/>
        <w:rPr>
          <w:sz w:val="24"/>
        </w:rPr>
      </w:pPr>
      <w:r>
        <w:rPr>
          <w:sz w:val="24"/>
        </w:rPr>
        <w:t>认购费用＝</w:t>
      </w:r>
      <w:r>
        <w:rPr>
          <w:sz w:val="24"/>
        </w:rPr>
        <w:t>100,000</w:t>
      </w:r>
      <w:r>
        <w:rPr>
          <w:rFonts w:hint="eastAsia"/>
          <w:sz w:val="24"/>
        </w:rPr>
        <w:t>.00</w:t>
      </w:r>
      <w:r>
        <w:rPr>
          <w:sz w:val="24"/>
        </w:rPr>
        <w:t>-99,304.87</w:t>
      </w:r>
      <w:r>
        <w:rPr>
          <w:sz w:val="24"/>
        </w:rPr>
        <w:t>＝</w:t>
      </w:r>
      <w:r>
        <w:rPr>
          <w:sz w:val="24"/>
        </w:rPr>
        <w:t>695.13</w:t>
      </w:r>
      <w:r>
        <w:rPr>
          <w:sz w:val="24"/>
        </w:rPr>
        <w:t>元</w:t>
      </w:r>
    </w:p>
    <w:p w14:paraId="4FFF73F8" w14:textId="77777777" w:rsidR="00791BDD" w:rsidRDefault="00B75151">
      <w:pPr>
        <w:adjustRightInd w:val="0"/>
        <w:snapToGrid w:val="0"/>
        <w:spacing w:line="360" w:lineRule="auto"/>
        <w:ind w:firstLineChars="200" w:firstLine="480"/>
        <w:rPr>
          <w:sz w:val="24"/>
        </w:rPr>
      </w:pPr>
      <w:r>
        <w:rPr>
          <w:sz w:val="24"/>
        </w:rPr>
        <w:t>认购份额＝</w:t>
      </w:r>
      <w:r>
        <w:rPr>
          <w:sz w:val="24"/>
        </w:rPr>
        <w:t>99,304.87/1.00</w:t>
      </w:r>
      <w:r>
        <w:rPr>
          <w:sz w:val="24"/>
        </w:rPr>
        <w:t>＋</w:t>
      </w:r>
      <w:r>
        <w:rPr>
          <w:sz w:val="24"/>
        </w:rPr>
        <w:t>10.00/1.00</w:t>
      </w:r>
      <w:r>
        <w:rPr>
          <w:sz w:val="24"/>
        </w:rPr>
        <w:t>＝</w:t>
      </w:r>
      <w:r>
        <w:rPr>
          <w:sz w:val="24"/>
        </w:rPr>
        <w:t>99,314.87</w:t>
      </w:r>
      <w:r>
        <w:rPr>
          <w:sz w:val="24"/>
        </w:rPr>
        <w:t>份</w:t>
      </w:r>
    </w:p>
    <w:p w14:paraId="1610DFEA" w14:textId="77777777" w:rsidR="00791BDD" w:rsidRDefault="00B75151">
      <w:pPr>
        <w:adjustRightInd w:val="0"/>
        <w:snapToGrid w:val="0"/>
        <w:spacing w:line="360" w:lineRule="auto"/>
        <w:ind w:firstLineChars="200" w:firstLine="480"/>
        <w:rPr>
          <w:sz w:val="24"/>
        </w:rPr>
      </w:pPr>
      <w:r>
        <w:rPr>
          <w:rFonts w:hint="eastAsia"/>
          <w:sz w:val="24"/>
        </w:rPr>
        <w:t>即：若该投资者通过其他销售机构认购本基金</w:t>
      </w:r>
      <w:r>
        <w:rPr>
          <w:rFonts w:hint="eastAsia"/>
          <w:sz w:val="24"/>
        </w:rPr>
        <w:t>100,000</w:t>
      </w:r>
      <w:r>
        <w:rPr>
          <w:rFonts w:hAnsi="宋体" w:hint="eastAsia"/>
          <w:sz w:val="24"/>
          <w:szCs w:val="24"/>
        </w:rPr>
        <w:t>.00</w:t>
      </w:r>
      <w:r>
        <w:rPr>
          <w:rFonts w:hint="eastAsia"/>
          <w:sz w:val="24"/>
        </w:rPr>
        <w:t>元，且该认购申请被全额确认，假定该笔认购金额产生的利息为</w:t>
      </w:r>
      <w:r>
        <w:rPr>
          <w:rFonts w:hint="eastAsia"/>
          <w:sz w:val="24"/>
        </w:rPr>
        <w:t>10.00</w:t>
      </w:r>
      <w:r>
        <w:rPr>
          <w:rFonts w:hint="eastAsia"/>
          <w:sz w:val="24"/>
        </w:rPr>
        <w:t>元，则投资</w:t>
      </w:r>
      <w:r>
        <w:rPr>
          <w:rFonts w:hint="eastAsia"/>
          <w:sz w:val="24"/>
        </w:rPr>
        <w:t>100,000</w:t>
      </w:r>
      <w:r>
        <w:rPr>
          <w:rFonts w:hint="eastAsia"/>
          <w:sz w:val="24"/>
        </w:rPr>
        <w:t>元本金可得到</w:t>
      </w:r>
      <w:r>
        <w:rPr>
          <w:sz w:val="24"/>
        </w:rPr>
        <w:t>99,314.87</w:t>
      </w:r>
      <w:r>
        <w:rPr>
          <w:rFonts w:hint="eastAsia"/>
          <w:sz w:val="24"/>
        </w:rPr>
        <w:t>份基金份额。</w:t>
      </w:r>
    </w:p>
    <w:p w14:paraId="206AE049" w14:textId="77777777" w:rsidR="00791BDD" w:rsidRDefault="00B75151">
      <w:pPr>
        <w:adjustRightInd w:val="0"/>
        <w:snapToGrid w:val="0"/>
        <w:spacing w:line="360" w:lineRule="auto"/>
        <w:ind w:firstLineChars="200" w:firstLine="480"/>
        <w:outlineLvl w:val="2"/>
        <w:rPr>
          <w:sz w:val="24"/>
        </w:rPr>
      </w:pPr>
      <w:r>
        <w:rPr>
          <w:sz w:val="24"/>
        </w:rPr>
        <w:t>4</w:t>
      </w:r>
      <w:r>
        <w:rPr>
          <w:sz w:val="24"/>
        </w:rPr>
        <w:t>、认购的程序</w:t>
      </w:r>
    </w:p>
    <w:p w14:paraId="3F2B26EA" w14:textId="77777777" w:rsidR="00791BDD" w:rsidRDefault="00B75151">
      <w:pPr>
        <w:adjustRightInd w:val="0"/>
        <w:snapToGrid w:val="0"/>
        <w:spacing w:line="360" w:lineRule="auto"/>
        <w:ind w:firstLineChars="200" w:firstLine="480"/>
        <w:rPr>
          <w:sz w:val="24"/>
        </w:rPr>
      </w:pPr>
      <w:r>
        <w:rPr>
          <w:sz w:val="24"/>
        </w:rPr>
        <w:t>（</w:t>
      </w:r>
      <w:r>
        <w:rPr>
          <w:sz w:val="24"/>
        </w:rPr>
        <w:t>1</w:t>
      </w:r>
      <w:r>
        <w:rPr>
          <w:sz w:val="24"/>
        </w:rPr>
        <w:t>）申请方式：书面申请或基金管理人公告的其他方式。</w:t>
      </w:r>
    </w:p>
    <w:p w14:paraId="7580A30A" w14:textId="77777777" w:rsidR="00791BDD" w:rsidRDefault="00B75151">
      <w:pPr>
        <w:adjustRightInd w:val="0"/>
        <w:snapToGrid w:val="0"/>
        <w:spacing w:line="360" w:lineRule="auto"/>
        <w:ind w:firstLineChars="200" w:firstLine="480"/>
        <w:rPr>
          <w:sz w:val="24"/>
        </w:rPr>
      </w:pPr>
      <w:r>
        <w:rPr>
          <w:sz w:val="24"/>
        </w:rPr>
        <w:t>（</w:t>
      </w:r>
      <w:r>
        <w:rPr>
          <w:sz w:val="24"/>
        </w:rPr>
        <w:t>2</w:t>
      </w:r>
      <w:r>
        <w:rPr>
          <w:sz w:val="24"/>
        </w:rPr>
        <w:t>）认购款项支付：投资人认购时，采用全额缴款方式。</w:t>
      </w:r>
    </w:p>
    <w:p w14:paraId="62FBB423" w14:textId="77777777" w:rsidR="00791BDD" w:rsidRDefault="00B75151">
      <w:pPr>
        <w:widowControl/>
        <w:adjustRightInd w:val="0"/>
        <w:snapToGrid w:val="0"/>
        <w:spacing w:line="360" w:lineRule="auto"/>
        <w:ind w:firstLineChars="200" w:firstLine="480"/>
        <w:outlineLvl w:val="2"/>
        <w:rPr>
          <w:sz w:val="24"/>
          <w:szCs w:val="21"/>
        </w:rPr>
      </w:pPr>
      <w:r>
        <w:rPr>
          <w:sz w:val="24"/>
          <w:szCs w:val="21"/>
        </w:rPr>
        <w:t>5</w:t>
      </w:r>
      <w:r>
        <w:rPr>
          <w:sz w:val="24"/>
          <w:szCs w:val="21"/>
        </w:rPr>
        <w:t>、认购的确认</w:t>
      </w:r>
    </w:p>
    <w:p w14:paraId="6D3A8624" w14:textId="77777777" w:rsidR="00791BDD" w:rsidRDefault="00B75151">
      <w:pPr>
        <w:widowControl/>
        <w:adjustRightInd w:val="0"/>
        <w:snapToGrid w:val="0"/>
        <w:spacing w:line="360" w:lineRule="auto"/>
        <w:ind w:firstLineChars="200" w:firstLine="480"/>
        <w:rPr>
          <w:sz w:val="24"/>
          <w:szCs w:val="21"/>
        </w:rPr>
      </w:pPr>
      <w:r>
        <w:rPr>
          <w:sz w:val="24"/>
          <w:szCs w:val="21"/>
        </w:rPr>
        <w:t>当日（</w:t>
      </w:r>
      <w:r>
        <w:rPr>
          <w:sz w:val="24"/>
          <w:szCs w:val="21"/>
        </w:rPr>
        <w:t>T</w:t>
      </w:r>
      <w:r>
        <w:rPr>
          <w:sz w:val="24"/>
          <w:szCs w:val="21"/>
        </w:rPr>
        <w:t>日）在规定时间内提交的申请，投资人通常可在</w:t>
      </w:r>
      <w:r>
        <w:rPr>
          <w:sz w:val="24"/>
          <w:szCs w:val="21"/>
        </w:rPr>
        <w:t>T+2</w:t>
      </w:r>
      <w:r>
        <w:rPr>
          <w:sz w:val="24"/>
          <w:szCs w:val="21"/>
        </w:rPr>
        <w:t>日后（包括该日）到</w:t>
      </w:r>
      <w:r>
        <w:rPr>
          <w:rFonts w:hint="eastAsia"/>
          <w:sz w:val="24"/>
          <w:szCs w:val="21"/>
        </w:rPr>
        <w:t>销售</w:t>
      </w:r>
      <w:r>
        <w:rPr>
          <w:sz w:val="24"/>
          <w:szCs w:val="21"/>
        </w:rPr>
        <w:t>网点查询交易情况。基金销售机构对</w:t>
      </w:r>
      <w:r>
        <w:rPr>
          <w:rFonts w:hint="eastAsia"/>
          <w:sz w:val="24"/>
          <w:szCs w:val="21"/>
        </w:rPr>
        <w:t>认购</w:t>
      </w:r>
      <w:r>
        <w:rPr>
          <w:sz w:val="24"/>
          <w:szCs w:val="21"/>
        </w:rPr>
        <w:t>申请的受理并不</w:t>
      </w:r>
      <w:r>
        <w:rPr>
          <w:rFonts w:hint="eastAsia"/>
          <w:sz w:val="24"/>
          <w:szCs w:val="21"/>
        </w:rPr>
        <w:t>代表该申请一定成功</w:t>
      </w:r>
      <w:r>
        <w:rPr>
          <w:sz w:val="24"/>
          <w:szCs w:val="21"/>
        </w:rPr>
        <w:t>，而仅代表销售机构确实接收到认购申请。</w:t>
      </w:r>
      <w:r>
        <w:rPr>
          <w:rFonts w:hint="eastAsia"/>
          <w:sz w:val="24"/>
          <w:szCs w:val="21"/>
        </w:rPr>
        <w:t>认购的确认以登记机构的确认结果为</w:t>
      </w:r>
      <w:r>
        <w:rPr>
          <w:rFonts w:hint="eastAsia"/>
          <w:sz w:val="24"/>
          <w:szCs w:val="21"/>
        </w:rPr>
        <w:lastRenderedPageBreak/>
        <w:t>准。对于认购申请及认购份额的确认情况</w:t>
      </w:r>
      <w:r>
        <w:rPr>
          <w:rFonts w:hAnsi="宋体"/>
          <w:sz w:val="24"/>
        </w:rPr>
        <w:t>，投资人应及时查询。</w:t>
      </w:r>
      <w:r>
        <w:rPr>
          <w:sz w:val="24"/>
          <w:szCs w:val="21"/>
        </w:rPr>
        <w:t>投资人可以在基金合同生效后到原认购网点打印认购成交确认凭证。</w:t>
      </w:r>
    </w:p>
    <w:p w14:paraId="793914B3" w14:textId="77777777" w:rsidR="00791BDD" w:rsidRDefault="00B75151">
      <w:pPr>
        <w:widowControl/>
        <w:adjustRightInd w:val="0"/>
        <w:snapToGrid w:val="0"/>
        <w:spacing w:line="360" w:lineRule="auto"/>
        <w:ind w:firstLineChars="200" w:firstLine="480"/>
        <w:rPr>
          <w:sz w:val="24"/>
          <w:szCs w:val="21"/>
        </w:rPr>
      </w:pPr>
      <w:r>
        <w:rPr>
          <w:sz w:val="24"/>
          <w:szCs w:val="21"/>
        </w:rPr>
        <w:t>投资人开户和认购所需提交的文件和办理的具体程序，请参阅基金份额发售公告。</w:t>
      </w:r>
    </w:p>
    <w:p w14:paraId="1DDC2086" w14:textId="77777777" w:rsidR="00791BDD" w:rsidRDefault="00B75151">
      <w:pPr>
        <w:widowControl/>
        <w:adjustRightInd w:val="0"/>
        <w:snapToGrid w:val="0"/>
        <w:spacing w:line="360" w:lineRule="auto"/>
        <w:ind w:firstLineChars="200" w:firstLine="480"/>
        <w:outlineLvl w:val="2"/>
        <w:rPr>
          <w:sz w:val="24"/>
          <w:szCs w:val="21"/>
        </w:rPr>
      </w:pPr>
      <w:r>
        <w:rPr>
          <w:sz w:val="24"/>
          <w:szCs w:val="21"/>
        </w:rPr>
        <w:t>6</w:t>
      </w:r>
      <w:r>
        <w:rPr>
          <w:sz w:val="24"/>
          <w:szCs w:val="21"/>
        </w:rPr>
        <w:t>、募集期利息的处理方式</w:t>
      </w:r>
    </w:p>
    <w:p w14:paraId="20D87425" w14:textId="77777777" w:rsidR="00791BDD" w:rsidRDefault="00B75151">
      <w:pPr>
        <w:widowControl/>
        <w:adjustRightInd w:val="0"/>
        <w:snapToGrid w:val="0"/>
        <w:spacing w:line="360" w:lineRule="auto"/>
        <w:ind w:firstLineChars="200" w:firstLine="480"/>
        <w:rPr>
          <w:sz w:val="24"/>
          <w:szCs w:val="21"/>
        </w:rPr>
      </w:pPr>
      <w:r>
        <w:rPr>
          <w:sz w:val="24"/>
          <w:szCs w:val="21"/>
        </w:rPr>
        <w:t>本基金基金合同生效前，投资人的有效认购款项只能存入专门账户，任何人不得动用。有效认购款项在募集期间产生的利息将折算为基金份额归基金份额持有人所有。</w:t>
      </w:r>
    </w:p>
    <w:p w14:paraId="2AEC8383" w14:textId="77777777" w:rsidR="00791BDD" w:rsidRDefault="00B75151">
      <w:pPr>
        <w:adjustRightInd w:val="0"/>
        <w:snapToGrid w:val="0"/>
        <w:spacing w:line="360" w:lineRule="auto"/>
        <w:ind w:firstLineChars="200" w:firstLine="480"/>
        <w:rPr>
          <w:sz w:val="24"/>
          <w:szCs w:val="21"/>
        </w:rPr>
      </w:pPr>
      <w:r>
        <w:rPr>
          <w:sz w:val="24"/>
          <w:szCs w:val="21"/>
        </w:rPr>
        <w:t>认购利息折算的基金份额精确到小数点后两位，小数点两位</w:t>
      </w:r>
      <w:r>
        <w:rPr>
          <w:rFonts w:hint="eastAsia"/>
          <w:sz w:val="24"/>
          <w:szCs w:val="21"/>
        </w:rPr>
        <w:t>以后的部分</w:t>
      </w:r>
      <w:r>
        <w:rPr>
          <w:sz w:val="24"/>
          <w:szCs w:val="21"/>
        </w:rPr>
        <w:t>截位，由此误差产生的收益或损失由基金财产承担，其中有效认购资金的利息及利息折算的基金份额以登记机构的记录为准</w:t>
      </w:r>
      <w:bookmarkStart w:id="19" w:name="_Hlt91264078"/>
      <w:bookmarkStart w:id="20" w:name="_Hlt90455312"/>
      <w:bookmarkStart w:id="21" w:name="_Hlt91264042"/>
      <w:bookmarkStart w:id="22" w:name="_Hlt91148053"/>
      <w:bookmarkStart w:id="23" w:name="_Hlt90801570"/>
      <w:bookmarkStart w:id="24" w:name="_Toc109537384"/>
      <w:bookmarkEnd w:id="19"/>
      <w:bookmarkEnd w:id="20"/>
      <w:bookmarkEnd w:id="21"/>
      <w:bookmarkEnd w:id="22"/>
      <w:bookmarkEnd w:id="23"/>
      <w:r>
        <w:rPr>
          <w:sz w:val="24"/>
          <w:szCs w:val="21"/>
        </w:rPr>
        <w:t>。</w:t>
      </w:r>
      <w:bookmarkEnd w:id="18"/>
    </w:p>
    <w:p w14:paraId="4E7E0AC9" w14:textId="77777777" w:rsidR="00791BDD" w:rsidRDefault="00B75151">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bookmarkStart w:id="25" w:name="_Toc48122008"/>
      <w:r>
        <w:rPr>
          <w:rFonts w:ascii="宋体" w:hAnsi="宋体" w:hint="eastAsia"/>
          <w:b/>
          <w:kern w:val="0"/>
          <w:sz w:val="30"/>
        </w:rPr>
        <w:lastRenderedPageBreak/>
        <w:t>七、基金合同的生效</w:t>
      </w:r>
      <w:bookmarkEnd w:id="25"/>
    </w:p>
    <w:p w14:paraId="5470A4D3" w14:textId="77777777" w:rsidR="00791BDD" w:rsidRDefault="00B75151">
      <w:pPr>
        <w:pStyle w:val="a0"/>
        <w:autoSpaceDE w:val="0"/>
        <w:autoSpaceDN w:val="0"/>
        <w:adjustRightInd w:val="0"/>
        <w:snapToGrid w:val="0"/>
        <w:spacing w:line="360" w:lineRule="auto"/>
        <w:ind w:firstLine="482"/>
        <w:outlineLvl w:val="1"/>
        <w:rPr>
          <w:b/>
          <w:sz w:val="24"/>
        </w:rPr>
      </w:pPr>
      <w:bookmarkStart w:id="26" w:name="_Hlt88901074"/>
      <w:bookmarkStart w:id="27" w:name="_Toc57530272"/>
      <w:bookmarkStart w:id="28" w:name="_Toc79392603"/>
      <w:bookmarkStart w:id="29" w:name="_Toc15118260"/>
      <w:bookmarkStart w:id="30" w:name="_Toc109537386"/>
      <w:bookmarkEnd w:id="24"/>
      <w:bookmarkEnd w:id="26"/>
      <w:r>
        <w:rPr>
          <w:rFonts w:hAnsi="宋体"/>
          <w:b/>
          <w:sz w:val="24"/>
        </w:rPr>
        <w:t>（一）基金备案的条件</w:t>
      </w:r>
    </w:p>
    <w:p w14:paraId="00700A66" w14:textId="77777777" w:rsidR="00791BDD" w:rsidRDefault="00B75151">
      <w:pPr>
        <w:pStyle w:val="a0"/>
        <w:autoSpaceDE w:val="0"/>
        <w:autoSpaceDN w:val="0"/>
        <w:adjustRightInd w:val="0"/>
        <w:snapToGrid w:val="0"/>
        <w:spacing w:line="360" w:lineRule="auto"/>
        <w:ind w:firstLine="480"/>
        <w:rPr>
          <w:rFonts w:hAnsi="宋体"/>
          <w:sz w:val="24"/>
        </w:rPr>
      </w:pPr>
      <w:r>
        <w:rPr>
          <w:rFonts w:hint="eastAsia"/>
          <w:bCs/>
          <w:sz w:val="24"/>
        </w:rPr>
        <w:t>本基金自基金份额发售之日起</w:t>
      </w:r>
      <w:r>
        <w:rPr>
          <w:rFonts w:hint="eastAsia"/>
          <w:bCs/>
          <w:sz w:val="24"/>
        </w:rPr>
        <w:t>3</w:t>
      </w:r>
      <w:r>
        <w:rPr>
          <w:rFonts w:hint="eastAsia"/>
          <w:bCs/>
          <w:sz w:val="24"/>
        </w:rPr>
        <w:t>个月内，在发起资金提供方使用发起资金认购本基金的金额不少于</w:t>
      </w:r>
      <w:r>
        <w:rPr>
          <w:rFonts w:hint="eastAsia"/>
          <w:bCs/>
          <w:sz w:val="24"/>
        </w:rPr>
        <w:t>1000</w:t>
      </w:r>
      <w:r>
        <w:rPr>
          <w:rFonts w:hint="eastAsia"/>
          <w:bCs/>
          <w:sz w:val="24"/>
        </w:rPr>
        <w:t>万元人民币且承诺其认购的基金份额持有期限自基金合同生效之日起不少于</w:t>
      </w:r>
      <w:r>
        <w:rPr>
          <w:rFonts w:hint="eastAsia"/>
          <w:bCs/>
          <w:sz w:val="24"/>
        </w:rPr>
        <w:t>3</w:t>
      </w:r>
      <w:r>
        <w:rPr>
          <w:rFonts w:hint="eastAsia"/>
          <w:bCs/>
          <w:sz w:val="24"/>
        </w:rPr>
        <w:t>年的条件下</w:t>
      </w:r>
      <w:r>
        <w:rPr>
          <w:rFonts w:hAnsi="宋体" w:hint="eastAsia"/>
          <w:sz w:val="24"/>
        </w:rPr>
        <w:t>，基金募集期届满或基金管理人依据法律法规及招募说明书可以决定停止基金发售，并在</w:t>
      </w:r>
      <w:r>
        <w:rPr>
          <w:rFonts w:hAnsi="宋体" w:hint="eastAsia"/>
          <w:sz w:val="24"/>
        </w:rPr>
        <w:t>10</w:t>
      </w:r>
      <w:r>
        <w:rPr>
          <w:rFonts w:hAnsi="宋体" w:hint="eastAsia"/>
          <w:sz w:val="24"/>
        </w:rPr>
        <w:t>日内聘请法定验资机构验资，</w:t>
      </w:r>
      <w:r>
        <w:rPr>
          <w:rFonts w:hint="eastAsia"/>
          <w:bCs/>
          <w:sz w:val="24"/>
        </w:rPr>
        <w:t>验资报告需对发起资金提供方及其持有份额进行专门说明，基金管理人</w:t>
      </w:r>
      <w:r>
        <w:rPr>
          <w:rFonts w:hAnsi="宋体" w:hint="eastAsia"/>
          <w:sz w:val="24"/>
        </w:rPr>
        <w:t>自收到验资报告之日起</w:t>
      </w:r>
      <w:r>
        <w:rPr>
          <w:rFonts w:hAnsi="宋体" w:hint="eastAsia"/>
          <w:sz w:val="24"/>
        </w:rPr>
        <w:t>10</w:t>
      </w:r>
      <w:r>
        <w:rPr>
          <w:rFonts w:hAnsi="宋体" w:hint="eastAsia"/>
          <w:sz w:val="24"/>
        </w:rPr>
        <w:t>日内，向中国证监会办理基金备案手续。</w:t>
      </w:r>
    </w:p>
    <w:p w14:paraId="654B9310" w14:textId="77777777" w:rsidR="00791BDD" w:rsidRDefault="00B75151">
      <w:pPr>
        <w:adjustRightInd w:val="0"/>
        <w:snapToGrid w:val="0"/>
        <w:spacing w:line="360" w:lineRule="auto"/>
        <w:ind w:firstLineChars="200" w:firstLine="480"/>
        <w:rPr>
          <w:rFonts w:hAnsi="宋体"/>
          <w:sz w:val="24"/>
        </w:rPr>
      </w:pPr>
      <w:r>
        <w:rPr>
          <w:rFonts w:hAnsi="宋体" w:hint="eastAsia"/>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1F55CCDE" w14:textId="77777777" w:rsidR="00791BDD" w:rsidRDefault="00B75151">
      <w:pPr>
        <w:adjustRightInd w:val="0"/>
        <w:snapToGrid w:val="0"/>
        <w:spacing w:line="360" w:lineRule="auto"/>
        <w:ind w:firstLineChars="200" w:firstLine="482"/>
        <w:outlineLvl w:val="1"/>
        <w:rPr>
          <w:bCs/>
          <w:sz w:val="24"/>
        </w:rPr>
      </w:pPr>
      <w:r>
        <w:rPr>
          <w:rFonts w:hAnsi="宋体"/>
          <w:b/>
          <w:sz w:val="24"/>
        </w:rPr>
        <w:t>（二）</w:t>
      </w:r>
      <w:r>
        <w:rPr>
          <w:b/>
          <w:bCs/>
          <w:sz w:val="24"/>
        </w:rPr>
        <w:t>基金合同不能生效时募集资金的处理方式</w:t>
      </w:r>
    </w:p>
    <w:p w14:paraId="39A12FD9" w14:textId="77777777" w:rsidR="00791BDD" w:rsidRDefault="00B75151">
      <w:pPr>
        <w:adjustRightInd w:val="0"/>
        <w:snapToGrid w:val="0"/>
        <w:spacing w:line="360" w:lineRule="auto"/>
        <w:ind w:firstLineChars="200" w:firstLine="480"/>
        <w:rPr>
          <w:rFonts w:hAnsi="宋体"/>
          <w:sz w:val="24"/>
        </w:rPr>
      </w:pPr>
      <w:r>
        <w:rPr>
          <w:rFonts w:hAnsi="宋体" w:hint="eastAsia"/>
          <w:sz w:val="24"/>
        </w:rPr>
        <w:t>如果募集期限届满，未满足基金备案条件，基金管理人应当承担下列责任：</w:t>
      </w:r>
    </w:p>
    <w:p w14:paraId="77B57171" w14:textId="77777777" w:rsidR="00791BDD" w:rsidRDefault="00B75151">
      <w:pPr>
        <w:adjustRightInd w:val="0"/>
        <w:snapToGrid w:val="0"/>
        <w:spacing w:line="360" w:lineRule="auto"/>
        <w:ind w:firstLineChars="200" w:firstLine="480"/>
        <w:rPr>
          <w:rFonts w:hAnsi="宋体"/>
          <w:sz w:val="24"/>
        </w:rPr>
      </w:pPr>
      <w:r>
        <w:rPr>
          <w:rFonts w:hAnsi="宋体" w:hint="eastAsia"/>
          <w:sz w:val="24"/>
        </w:rPr>
        <w:t>1</w:t>
      </w:r>
      <w:r>
        <w:rPr>
          <w:rFonts w:hAnsi="宋体" w:hint="eastAsia"/>
          <w:sz w:val="24"/>
        </w:rPr>
        <w:t>、以其固有财产承担因募集行为而产生的债务和费用；</w:t>
      </w:r>
    </w:p>
    <w:p w14:paraId="06CE058C" w14:textId="77777777" w:rsidR="00791BDD" w:rsidRDefault="00B75151">
      <w:pPr>
        <w:adjustRightInd w:val="0"/>
        <w:snapToGrid w:val="0"/>
        <w:spacing w:line="360" w:lineRule="auto"/>
        <w:ind w:firstLineChars="200" w:firstLine="480"/>
        <w:rPr>
          <w:rFonts w:hAnsi="宋体"/>
          <w:sz w:val="24"/>
        </w:rPr>
      </w:pPr>
      <w:r>
        <w:rPr>
          <w:rFonts w:hAnsi="宋体" w:hint="eastAsia"/>
          <w:sz w:val="24"/>
        </w:rPr>
        <w:t>2</w:t>
      </w:r>
      <w:r>
        <w:rPr>
          <w:rFonts w:hAnsi="宋体" w:hint="eastAsia"/>
          <w:sz w:val="24"/>
        </w:rPr>
        <w:t>、在基金募集期限届满后</w:t>
      </w:r>
      <w:r>
        <w:rPr>
          <w:rFonts w:hAnsi="宋体" w:hint="eastAsia"/>
          <w:sz w:val="24"/>
        </w:rPr>
        <w:t>30</w:t>
      </w:r>
      <w:r>
        <w:rPr>
          <w:rFonts w:hAnsi="宋体" w:hint="eastAsia"/>
          <w:sz w:val="24"/>
        </w:rPr>
        <w:t>日内返还投资者已缴纳的款项，并加计银行同期活期存款利息；</w:t>
      </w:r>
    </w:p>
    <w:p w14:paraId="28B78B53" w14:textId="77777777" w:rsidR="00791BDD" w:rsidRDefault="00B75151">
      <w:pPr>
        <w:adjustRightInd w:val="0"/>
        <w:snapToGrid w:val="0"/>
        <w:spacing w:line="360" w:lineRule="auto"/>
        <w:ind w:firstLineChars="200" w:firstLine="480"/>
        <w:rPr>
          <w:rFonts w:hAnsi="宋体"/>
          <w:sz w:val="24"/>
        </w:rPr>
      </w:pPr>
      <w:r>
        <w:rPr>
          <w:rFonts w:hAnsi="宋体" w:hint="eastAsia"/>
          <w:sz w:val="24"/>
        </w:rPr>
        <w:t>3</w:t>
      </w:r>
      <w:r>
        <w:rPr>
          <w:rFonts w:hAnsi="宋体" w:hint="eastAsia"/>
          <w:sz w:val="24"/>
        </w:rPr>
        <w:t>、如基金募集失败，基金管理人、基金托管人及销售机构不得请求报酬。基金管理人、基金托管人和销售机构为基金募集支付之一切费用应由各方各自承担。</w:t>
      </w:r>
    </w:p>
    <w:p w14:paraId="2468C339" w14:textId="77777777" w:rsidR="00791BDD" w:rsidRDefault="00B75151">
      <w:pPr>
        <w:adjustRightInd w:val="0"/>
        <w:snapToGrid w:val="0"/>
        <w:spacing w:line="360" w:lineRule="auto"/>
        <w:ind w:firstLineChars="200" w:firstLine="482"/>
        <w:outlineLvl w:val="1"/>
        <w:rPr>
          <w:b/>
          <w:sz w:val="24"/>
        </w:rPr>
      </w:pPr>
      <w:r>
        <w:rPr>
          <w:rFonts w:hAnsi="宋体"/>
          <w:b/>
          <w:sz w:val="24"/>
        </w:rPr>
        <w:t>（三）基金存续期内的基金份额持有人数量和资产规模</w:t>
      </w:r>
    </w:p>
    <w:bookmarkEnd w:id="27"/>
    <w:bookmarkEnd w:id="28"/>
    <w:bookmarkEnd w:id="29"/>
    <w:p w14:paraId="621633E7" w14:textId="77777777" w:rsidR="00791BDD" w:rsidRDefault="00B75151">
      <w:pPr>
        <w:adjustRightInd w:val="0"/>
        <w:snapToGrid w:val="0"/>
        <w:spacing w:line="360" w:lineRule="auto"/>
        <w:ind w:firstLineChars="200" w:firstLine="480"/>
        <w:outlineLvl w:val="1"/>
        <w:rPr>
          <w:rFonts w:ascii="宋体" w:hAnsi="宋体"/>
          <w:kern w:val="0"/>
          <w:sz w:val="24"/>
          <w:szCs w:val="24"/>
        </w:rPr>
      </w:pPr>
      <w:r>
        <w:rPr>
          <w:rFonts w:ascii="宋体" w:hAnsi="宋体" w:hint="eastAsia"/>
          <w:kern w:val="0"/>
          <w:sz w:val="24"/>
          <w:szCs w:val="24"/>
        </w:rPr>
        <w:t>《基金合同》生效之日起三年后的对应日，若基金资产净值低于2亿元，基金合同自动终止，且不得通过召开基金份额持有人大会的方式延续《基金合同》期限。若届时有效的法律法规或中国证监会规定发生变化，上述终止规定被取消、更改或补充，则本基金可以参照届时有效的法律法规或中国证监会规定执行。</w:t>
      </w:r>
    </w:p>
    <w:p w14:paraId="08D208BA" w14:textId="77777777" w:rsidR="00791BDD" w:rsidRDefault="00B75151">
      <w:pPr>
        <w:widowControl/>
        <w:adjustRightInd w:val="0"/>
        <w:snapToGrid w:val="0"/>
        <w:spacing w:line="360" w:lineRule="auto"/>
        <w:ind w:firstLine="482"/>
        <w:rPr>
          <w:rFonts w:ascii="宋体" w:hAnsi="宋体"/>
          <w:kern w:val="0"/>
          <w:sz w:val="24"/>
          <w:szCs w:val="24"/>
        </w:rPr>
      </w:pPr>
      <w:r>
        <w:rPr>
          <w:rFonts w:ascii="宋体" w:hAnsi="宋体" w:hint="eastAsia"/>
          <w:kern w:val="0"/>
          <w:sz w:val="24"/>
          <w:szCs w:val="24"/>
        </w:rPr>
        <w:t>《基金合同》生效三年后继续存续的，基金存续期内，连续20个工作日出现基金份额持有人数量不满200人或者基金资产净值低于5000万元情形的，基金管理</w:t>
      </w:r>
      <w:r>
        <w:rPr>
          <w:rFonts w:ascii="宋体" w:hAnsi="宋体" w:hint="eastAsia"/>
          <w:kern w:val="0"/>
          <w:sz w:val="24"/>
          <w:szCs w:val="24"/>
        </w:rPr>
        <w:lastRenderedPageBreak/>
        <w:t>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14:paraId="7CA578F2" w14:textId="77777777" w:rsidR="00791BDD" w:rsidRDefault="00B75151">
      <w:pPr>
        <w:widowControl/>
        <w:adjustRightInd w:val="0"/>
        <w:snapToGrid w:val="0"/>
        <w:spacing w:line="360" w:lineRule="auto"/>
        <w:ind w:firstLine="482"/>
      </w:pPr>
      <w:r>
        <w:rPr>
          <w:rFonts w:ascii="宋体" w:hAnsi="宋体" w:hint="eastAsia"/>
          <w:kern w:val="0"/>
          <w:sz w:val="24"/>
          <w:szCs w:val="24"/>
        </w:rPr>
        <w:t>法律法规或中国证监会另有规定时，从其规定。</w:t>
      </w:r>
    </w:p>
    <w:p w14:paraId="731DD0A6" w14:textId="77777777" w:rsidR="00791BDD" w:rsidRDefault="00B75151">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bookmarkStart w:id="31" w:name="_Toc48122009"/>
      <w:r>
        <w:rPr>
          <w:rFonts w:ascii="宋体" w:hAnsi="宋体" w:hint="eastAsia"/>
          <w:b/>
          <w:kern w:val="0"/>
          <w:sz w:val="30"/>
        </w:rPr>
        <w:lastRenderedPageBreak/>
        <w:t>八、基金份额的申购与赎回</w:t>
      </w:r>
      <w:bookmarkEnd w:id="30"/>
      <w:bookmarkEnd w:id="31"/>
    </w:p>
    <w:p w14:paraId="59DA7081" w14:textId="77777777" w:rsidR="00791BDD" w:rsidRDefault="00B75151">
      <w:pPr>
        <w:widowControl/>
        <w:adjustRightInd w:val="0"/>
        <w:snapToGrid w:val="0"/>
        <w:spacing w:line="360" w:lineRule="auto"/>
        <w:ind w:firstLineChars="200" w:firstLine="482"/>
        <w:outlineLvl w:val="1"/>
        <w:rPr>
          <w:b/>
          <w:kern w:val="0"/>
          <w:sz w:val="24"/>
          <w:szCs w:val="24"/>
        </w:rPr>
      </w:pPr>
      <w:bookmarkStart w:id="32" w:name="_Hlk49342362"/>
      <w:r>
        <w:rPr>
          <w:rFonts w:hAnsi="宋体"/>
          <w:b/>
          <w:kern w:val="0"/>
          <w:sz w:val="24"/>
          <w:szCs w:val="24"/>
        </w:rPr>
        <w:t>（一）申购和赎回的场所</w:t>
      </w:r>
    </w:p>
    <w:p w14:paraId="2C1AFCFA" w14:textId="77777777" w:rsidR="00791BDD" w:rsidRDefault="00B75151">
      <w:pPr>
        <w:pStyle w:val="a0"/>
        <w:autoSpaceDE w:val="0"/>
        <w:autoSpaceDN w:val="0"/>
        <w:adjustRightInd w:val="0"/>
        <w:snapToGrid w:val="0"/>
        <w:spacing w:line="360" w:lineRule="auto"/>
        <w:ind w:firstLine="480"/>
        <w:rPr>
          <w:sz w:val="24"/>
          <w:szCs w:val="24"/>
        </w:rPr>
      </w:pPr>
      <w:r>
        <w:rPr>
          <w:rFonts w:hAnsi="宋体"/>
          <w:sz w:val="24"/>
          <w:szCs w:val="24"/>
        </w:rPr>
        <w:t>投资人可通过下述场所按照规定的方式进行申购或赎回：</w:t>
      </w:r>
    </w:p>
    <w:p w14:paraId="2267BCD1" w14:textId="77777777" w:rsidR="00791BDD" w:rsidRDefault="00B75151">
      <w:pPr>
        <w:pStyle w:val="a0"/>
        <w:autoSpaceDE w:val="0"/>
        <w:autoSpaceDN w:val="0"/>
        <w:adjustRightInd w:val="0"/>
        <w:snapToGrid w:val="0"/>
        <w:spacing w:line="360" w:lineRule="auto"/>
        <w:ind w:firstLine="480"/>
        <w:outlineLvl w:val="2"/>
        <w:rPr>
          <w:sz w:val="24"/>
          <w:szCs w:val="24"/>
        </w:rPr>
      </w:pPr>
      <w:r>
        <w:rPr>
          <w:sz w:val="24"/>
          <w:szCs w:val="24"/>
        </w:rPr>
        <w:t>1</w:t>
      </w:r>
      <w:r>
        <w:rPr>
          <w:rFonts w:hAnsi="宋体"/>
          <w:sz w:val="24"/>
          <w:szCs w:val="24"/>
        </w:rPr>
        <w:t>、本基金管理人的直销机构</w:t>
      </w:r>
    </w:p>
    <w:p w14:paraId="00C36809" w14:textId="77777777" w:rsidR="00791BDD" w:rsidRDefault="00B75151">
      <w:pPr>
        <w:widowControl/>
        <w:adjustRightInd w:val="0"/>
        <w:snapToGrid w:val="0"/>
        <w:spacing w:line="360" w:lineRule="auto"/>
        <w:ind w:firstLineChars="200" w:firstLine="480"/>
        <w:rPr>
          <w:kern w:val="0"/>
          <w:sz w:val="24"/>
          <w:szCs w:val="24"/>
        </w:rPr>
      </w:pPr>
      <w:r>
        <w:rPr>
          <w:rFonts w:hAnsi="宋体"/>
          <w:kern w:val="0"/>
          <w:sz w:val="24"/>
          <w:szCs w:val="24"/>
        </w:rPr>
        <w:t>本基金直销机构为</w:t>
      </w:r>
      <w:r>
        <w:rPr>
          <w:rFonts w:hAnsi="宋体" w:hint="eastAsia"/>
          <w:sz w:val="24"/>
          <w:szCs w:val="24"/>
        </w:rPr>
        <w:t>基金管理人直销柜台以及基金管理人</w:t>
      </w:r>
      <w:r>
        <w:rPr>
          <w:rFonts w:hAnsi="宋体"/>
          <w:kern w:val="0"/>
          <w:sz w:val="24"/>
          <w:szCs w:val="24"/>
        </w:rPr>
        <w:t>的网上直销交易平台。</w:t>
      </w:r>
    </w:p>
    <w:p w14:paraId="637AC708" w14:textId="77777777" w:rsidR="00791BDD" w:rsidRDefault="00B75151">
      <w:pPr>
        <w:pStyle w:val="a0"/>
        <w:autoSpaceDE w:val="0"/>
        <w:autoSpaceDN w:val="0"/>
        <w:adjustRightInd w:val="0"/>
        <w:snapToGrid w:val="0"/>
        <w:spacing w:line="360" w:lineRule="auto"/>
        <w:ind w:firstLine="480"/>
        <w:rPr>
          <w:rStyle w:val="af7"/>
          <w:color w:val="auto"/>
          <w:sz w:val="24"/>
          <w:szCs w:val="24"/>
          <w:u w:val="none"/>
        </w:rPr>
      </w:pPr>
      <w:r>
        <w:rPr>
          <w:rStyle w:val="af7"/>
          <w:rFonts w:hint="eastAsia"/>
          <w:color w:val="auto"/>
          <w:sz w:val="24"/>
          <w:szCs w:val="24"/>
          <w:u w:val="none"/>
        </w:rPr>
        <w:t>名称：交银施罗德基金管理有限公司</w:t>
      </w:r>
    </w:p>
    <w:p w14:paraId="78326CB9" w14:textId="77777777" w:rsidR="00791BDD" w:rsidRDefault="00B75151">
      <w:pPr>
        <w:pStyle w:val="a0"/>
        <w:autoSpaceDE w:val="0"/>
        <w:autoSpaceDN w:val="0"/>
        <w:adjustRightInd w:val="0"/>
        <w:snapToGrid w:val="0"/>
        <w:spacing w:line="360" w:lineRule="auto"/>
        <w:ind w:firstLine="480"/>
        <w:rPr>
          <w:rStyle w:val="af7"/>
          <w:color w:val="auto"/>
          <w:sz w:val="24"/>
          <w:szCs w:val="24"/>
          <w:u w:val="none"/>
        </w:rPr>
      </w:pPr>
      <w:r>
        <w:rPr>
          <w:rStyle w:val="af7"/>
          <w:rFonts w:hint="eastAsia"/>
          <w:color w:val="auto"/>
          <w:sz w:val="24"/>
          <w:szCs w:val="24"/>
          <w:u w:val="none"/>
        </w:rPr>
        <w:t>住所：中国（上海）自由贸易试验区银城中路</w:t>
      </w:r>
      <w:r>
        <w:rPr>
          <w:rStyle w:val="af7"/>
          <w:rFonts w:hint="eastAsia"/>
          <w:color w:val="auto"/>
          <w:sz w:val="24"/>
          <w:szCs w:val="24"/>
          <w:u w:val="none"/>
        </w:rPr>
        <w:t>188</w:t>
      </w:r>
      <w:r>
        <w:rPr>
          <w:rStyle w:val="af7"/>
          <w:rFonts w:hint="eastAsia"/>
          <w:color w:val="auto"/>
          <w:sz w:val="24"/>
          <w:szCs w:val="24"/>
          <w:u w:val="none"/>
        </w:rPr>
        <w:t>号交通银行大楼二层（裙）</w:t>
      </w:r>
    </w:p>
    <w:p w14:paraId="4181F350" w14:textId="77777777" w:rsidR="00791BDD" w:rsidRDefault="00B75151">
      <w:pPr>
        <w:pStyle w:val="a0"/>
        <w:autoSpaceDE w:val="0"/>
        <w:autoSpaceDN w:val="0"/>
        <w:adjustRightInd w:val="0"/>
        <w:snapToGrid w:val="0"/>
        <w:spacing w:line="360" w:lineRule="auto"/>
        <w:ind w:firstLine="480"/>
        <w:rPr>
          <w:rStyle w:val="af7"/>
          <w:color w:val="auto"/>
          <w:sz w:val="24"/>
          <w:szCs w:val="24"/>
          <w:u w:val="none"/>
        </w:rPr>
      </w:pPr>
      <w:r>
        <w:rPr>
          <w:rStyle w:val="af7"/>
          <w:rFonts w:hint="eastAsia"/>
          <w:color w:val="auto"/>
          <w:sz w:val="24"/>
          <w:szCs w:val="24"/>
          <w:u w:val="none"/>
        </w:rPr>
        <w:t>办公地址：上海市浦东新区世纪大道</w:t>
      </w:r>
      <w:r>
        <w:rPr>
          <w:rStyle w:val="af7"/>
          <w:rFonts w:hint="eastAsia"/>
          <w:color w:val="auto"/>
          <w:sz w:val="24"/>
          <w:szCs w:val="24"/>
          <w:u w:val="none"/>
        </w:rPr>
        <w:t>8</w:t>
      </w:r>
      <w:r>
        <w:rPr>
          <w:rStyle w:val="af7"/>
          <w:rFonts w:hint="eastAsia"/>
          <w:color w:val="auto"/>
          <w:sz w:val="24"/>
          <w:szCs w:val="24"/>
          <w:u w:val="none"/>
        </w:rPr>
        <w:t>号国金中心二期</w:t>
      </w:r>
      <w:r>
        <w:rPr>
          <w:rStyle w:val="af7"/>
          <w:rFonts w:hint="eastAsia"/>
          <w:color w:val="auto"/>
          <w:sz w:val="24"/>
          <w:szCs w:val="24"/>
          <w:u w:val="none"/>
        </w:rPr>
        <w:t>21-22</w:t>
      </w:r>
      <w:r>
        <w:rPr>
          <w:rStyle w:val="af7"/>
          <w:rFonts w:hint="eastAsia"/>
          <w:color w:val="auto"/>
          <w:sz w:val="24"/>
          <w:szCs w:val="24"/>
          <w:u w:val="none"/>
        </w:rPr>
        <w:t>楼</w:t>
      </w:r>
    </w:p>
    <w:p w14:paraId="31601283" w14:textId="77777777" w:rsidR="00791BDD" w:rsidRDefault="00B75151">
      <w:pPr>
        <w:pStyle w:val="a0"/>
        <w:autoSpaceDE w:val="0"/>
        <w:autoSpaceDN w:val="0"/>
        <w:adjustRightInd w:val="0"/>
        <w:snapToGrid w:val="0"/>
        <w:spacing w:line="360" w:lineRule="auto"/>
        <w:ind w:firstLine="480"/>
        <w:rPr>
          <w:rStyle w:val="af7"/>
          <w:color w:val="auto"/>
          <w:sz w:val="24"/>
          <w:szCs w:val="24"/>
          <w:u w:val="none"/>
        </w:rPr>
      </w:pPr>
      <w:r>
        <w:rPr>
          <w:rStyle w:val="af7"/>
          <w:rFonts w:hint="eastAsia"/>
          <w:color w:val="auto"/>
          <w:sz w:val="24"/>
          <w:szCs w:val="24"/>
          <w:u w:val="none"/>
        </w:rPr>
        <w:t>电话：（</w:t>
      </w:r>
      <w:r>
        <w:rPr>
          <w:rStyle w:val="af7"/>
          <w:rFonts w:hint="eastAsia"/>
          <w:color w:val="auto"/>
          <w:sz w:val="24"/>
          <w:szCs w:val="24"/>
          <w:u w:val="none"/>
        </w:rPr>
        <w:t>021</w:t>
      </w:r>
      <w:r>
        <w:rPr>
          <w:rStyle w:val="af7"/>
          <w:rFonts w:hint="eastAsia"/>
          <w:color w:val="auto"/>
          <w:sz w:val="24"/>
          <w:szCs w:val="24"/>
          <w:u w:val="none"/>
        </w:rPr>
        <w:t>）</w:t>
      </w:r>
      <w:r>
        <w:rPr>
          <w:rStyle w:val="af7"/>
          <w:rFonts w:hint="eastAsia"/>
          <w:color w:val="auto"/>
          <w:sz w:val="24"/>
          <w:szCs w:val="24"/>
          <w:u w:val="none"/>
        </w:rPr>
        <w:t>6105</w:t>
      </w:r>
      <w:r>
        <w:rPr>
          <w:rStyle w:val="af7"/>
          <w:color w:val="auto"/>
          <w:sz w:val="24"/>
          <w:szCs w:val="24"/>
          <w:u w:val="none"/>
        </w:rPr>
        <w:t>5724</w:t>
      </w:r>
    </w:p>
    <w:p w14:paraId="4DB30C3F" w14:textId="77777777" w:rsidR="00791BDD" w:rsidRDefault="00B75151">
      <w:pPr>
        <w:pStyle w:val="a0"/>
        <w:autoSpaceDE w:val="0"/>
        <w:autoSpaceDN w:val="0"/>
        <w:adjustRightInd w:val="0"/>
        <w:snapToGrid w:val="0"/>
        <w:spacing w:line="360" w:lineRule="auto"/>
        <w:ind w:firstLine="480"/>
        <w:rPr>
          <w:rStyle w:val="af7"/>
          <w:color w:val="auto"/>
          <w:sz w:val="24"/>
          <w:szCs w:val="24"/>
          <w:u w:val="none"/>
        </w:rPr>
      </w:pPr>
      <w:r>
        <w:rPr>
          <w:rStyle w:val="af7"/>
          <w:rFonts w:hint="eastAsia"/>
          <w:color w:val="auto"/>
          <w:sz w:val="24"/>
          <w:szCs w:val="24"/>
          <w:u w:val="none"/>
        </w:rPr>
        <w:t>传真：（</w:t>
      </w:r>
      <w:r>
        <w:rPr>
          <w:rStyle w:val="af7"/>
          <w:rFonts w:hint="eastAsia"/>
          <w:color w:val="auto"/>
          <w:sz w:val="24"/>
          <w:szCs w:val="24"/>
          <w:u w:val="none"/>
        </w:rPr>
        <w:t>021</w:t>
      </w:r>
      <w:r>
        <w:rPr>
          <w:rStyle w:val="af7"/>
          <w:rFonts w:hint="eastAsia"/>
          <w:color w:val="auto"/>
          <w:sz w:val="24"/>
          <w:szCs w:val="24"/>
          <w:u w:val="none"/>
        </w:rPr>
        <w:t>）</w:t>
      </w:r>
      <w:r>
        <w:rPr>
          <w:rStyle w:val="af7"/>
          <w:rFonts w:hint="eastAsia"/>
          <w:color w:val="auto"/>
          <w:sz w:val="24"/>
          <w:szCs w:val="24"/>
          <w:u w:val="none"/>
        </w:rPr>
        <w:t>61055054</w:t>
      </w:r>
    </w:p>
    <w:p w14:paraId="68E9B2DD" w14:textId="77777777" w:rsidR="00791BDD" w:rsidRDefault="00B75151">
      <w:pPr>
        <w:pStyle w:val="a0"/>
        <w:autoSpaceDE w:val="0"/>
        <w:autoSpaceDN w:val="0"/>
        <w:adjustRightInd w:val="0"/>
        <w:snapToGrid w:val="0"/>
        <w:spacing w:line="360" w:lineRule="auto"/>
        <w:ind w:firstLine="480"/>
        <w:rPr>
          <w:rStyle w:val="af7"/>
          <w:color w:val="auto"/>
          <w:sz w:val="24"/>
          <w:szCs w:val="24"/>
          <w:u w:val="none"/>
        </w:rPr>
      </w:pPr>
      <w:r>
        <w:rPr>
          <w:rStyle w:val="af7"/>
          <w:rFonts w:hint="eastAsia"/>
          <w:color w:val="auto"/>
          <w:sz w:val="24"/>
          <w:szCs w:val="24"/>
          <w:u w:val="none"/>
        </w:rPr>
        <w:t>联系人：傅</w:t>
      </w:r>
      <w:r>
        <w:rPr>
          <w:rStyle w:val="af7"/>
          <w:color w:val="auto"/>
          <w:sz w:val="24"/>
          <w:szCs w:val="24"/>
          <w:u w:val="none"/>
        </w:rPr>
        <w:t>鲸</w:t>
      </w:r>
    </w:p>
    <w:p w14:paraId="687FAA4A" w14:textId="77777777" w:rsidR="00791BDD" w:rsidRDefault="00B75151">
      <w:pPr>
        <w:pStyle w:val="a0"/>
        <w:autoSpaceDE w:val="0"/>
        <w:autoSpaceDN w:val="0"/>
        <w:adjustRightInd w:val="0"/>
        <w:snapToGrid w:val="0"/>
        <w:spacing w:line="360" w:lineRule="auto"/>
        <w:ind w:firstLine="480"/>
        <w:rPr>
          <w:rStyle w:val="af7"/>
          <w:color w:val="auto"/>
          <w:sz w:val="24"/>
          <w:szCs w:val="24"/>
          <w:u w:val="none"/>
        </w:rPr>
      </w:pPr>
      <w:r>
        <w:rPr>
          <w:rStyle w:val="af7"/>
          <w:rFonts w:hint="eastAsia"/>
          <w:color w:val="auto"/>
          <w:sz w:val="24"/>
          <w:szCs w:val="24"/>
          <w:u w:val="none"/>
        </w:rPr>
        <w:t>客户服务电话：</w:t>
      </w:r>
      <w:r>
        <w:rPr>
          <w:rStyle w:val="af7"/>
          <w:rFonts w:hint="eastAsia"/>
          <w:color w:val="auto"/>
          <w:sz w:val="24"/>
          <w:szCs w:val="24"/>
          <w:u w:val="none"/>
        </w:rPr>
        <w:t>400-700-5000</w:t>
      </w:r>
      <w:r>
        <w:rPr>
          <w:rStyle w:val="af7"/>
          <w:rFonts w:hint="eastAsia"/>
          <w:color w:val="auto"/>
          <w:sz w:val="24"/>
          <w:szCs w:val="24"/>
          <w:u w:val="none"/>
        </w:rPr>
        <w:t>（免长途话费），（</w:t>
      </w:r>
      <w:r>
        <w:rPr>
          <w:rStyle w:val="af7"/>
          <w:rFonts w:hint="eastAsia"/>
          <w:color w:val="auto"/>
          <w:sz w:val="24"/>
          <w:szCs w:val="24"/>
          <w:u w:val="none"/>
        </w:rPr>
        <w:t>021</w:t>
      </w:r>
      <w:r>
        <w:rPr>
          <w:rStyle w:val="af7"/>
          <w:rFonts w:hint="eastAsia"/>
          <w:color w:val="auto"/>
          <w:sz w:val="24"/>
          <w:szCs w:val="24"/>
          <w:u w:val="none"/>
        </w:rPr>
        <w:t>）</w:t>
      </w:r>
      <w:r>
        <w:rPr>
          <w:rStyle w:val="af7"/>
          <w:rFonts w:hint="eastAsia"/>
          <w:color w:val="auto"/>
          <w:sz w:val="24"/>
          <w:szCs w:val="24"/>
          <w:u w:val="none"/>
        </w:rPr>
        <w:t>61055000</w:t>
      </w:r>
    </w:p>
    <w:p w14:paraId="04B4C934" w14:textId="77777777" w:rsidR="00791BDD" w:rsidRDefault="00B75151">
      <w:pPr>
        <w:pStyle w:val="a0"/>
        <w:autoSpaceDE w:val="0"/>
        <w:autoSpaceDN w:val="0"/>
        <w:adjustRightInd w:val="0"/>
        <w:snapToGrid w:val="0"/>
        <w:spacing w:line="360" w:lineRule="auto"/>
        <w:ind w:firstLine="480"/>
        <w:rPr>
          <w:sz w:val="24"/>
          <w:szCs w:val="24"/>
        </w:rPr>
      </w:pPr>
      <w:r>
        <w:rPr>
          <w:rStyle w:val="af7"/>
          <w:rFonts w:hint="eastAsia"/>
          <w:color w:val="auto"/>
          <w:sz w:val="24"/>
          <w:szCs w:val="24"/>
          <w:u w:val="none"/>
        </w:rPr>
        <w:t>网址：</w:t>
      </w:r>
      <w:r>
        <w:rPr>
          <w:rStyle w:val="af7"/>
          <w:rFonts w:hint="eastAsia"/>
          <w:color w:val="auto"/>
          <w:sz w:val="24"/>
          <w:szCs w:val="24"/>
          <w:u w:val="none"/>
        </w:rPr>
        <w:t>www.fund001.com</w:t>
      </w:r>
    </w:p>
    <w:p w14:paraId="26978E15"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kern w:val="0"/>
          <w:sz w:val="24"/>
          <w:szCs w:val="24"/>
        </w:rPr>
        <w:t>个人投资者可以通过</w:t>
      </w:r>
      <w:r>
        <w:rPr>
          <w:rFonts w:hAnsi="宋体" w:hint="eastAsia"/>
          <w:sz w:val="24"/>
          <w:szCs w:val="24"/>
        </w:rPr>
        <w:t>基金管理人</w:t>
      </w:r>
      <w:r>
        <w:rPr>
          <w:rFonts w:hAnsi="宋体"/>
          <w:kern w:val="0"/>
          <w:sz w:val="24"/>
          <w:szCs w:val="24"/>
        </w:rPr>
        <w:t>网上直销交易平台办理开户、本基金的申购、赎回等业务，具体交易细则请参阅</w:t>
      </w:r>
      <w:r>
        <w:rPr>
          <w:rFonts w:hAnsi="宋体" w:hint="eastAsia"/>
          <w:sz w:val="24"/>
          <w:szCs w:val="24"/>
        </w:rPr>
        <w:t>基金管理人</w:t>
      </w:r>
      <w:r>
        <w:rPr>
          <w:rFonts w:hAnsi="宋体"/>
          <w:kern w:val="0"/>
          <w:sz w:val="24"/>
          <w:szCs w:val="24"/>
        </w:rPr>
        <w:t>网站。</w:t>
      </w:r>
    </w:p>
    <w:p w14:paraId="1F328C54" w14:textId="77777777" w:rsidR="00791BDD" w:rsidRDefault="00B75151">
      <w:pPr>
        <w:pStyle w:val="a0"/>
        <w:autoSpaceDE w:val="0"/>
        <w:autoSpaceDN w:val="0"/>
        <w:adjustRightInd w:val="0"/>
        <w:snapToGrid w:val="0"/>
        <w:spacing w:line="360" w:lineRule="auto"/>
        <w:ind w:firstLine="480"/>
      </w:pPr>
      <w:r>
        <w:rPr>
          <w:rFonts w:hAnsi="宋体"/>
          <w:kern w:val="0"/>
          <w:sz w:val="24"/>
          <w:szCs w:val="24"/>
        </w:rPr>
        <w:t>网上直销交易平台网址：</w:t>
      </w:r>
      <w:r>
        <w:rPr>
          <w:rStyle w:val="af7"/>
          <w:color w:val="auto"/>
          <w:sz w:val="24"/>
          <w:szCs w:val="24"/>
          <w:u w:val="none"/>
        </w:rPr>
        <w:t>www.fund001.com</w:t>
      </w:r>
    </w:p>
    <w:p w14:paraId="713E3E0A" w14:textId="77777777" w:rsidR="00791BDD" w:rsidRDefault="00B75151">
      <w:pPr>
        <w:pStyle w:val="a0"/>
        <w:autoSpaceDE w:val="0"/>
        <w:autoSpaceDN w:val="0"/>
        <w:adjustRightInd w:val="0"/>
        <w:snapToGrid w:val="0"/>
        <w:spacing w:line="360" w:lineRule="auto"/>
        <w:ind w:firstLine="480"/>
        <w:outlineLvl w:val="2"/>
        <w:rPr>
          <w:kern w:val="0"/>
          <w:sz w:val="24"/>
          <w:szCs w:val="24"/>
        </w:rPr>
      </w:pPr>
      <w:r>
        <w:rPr>
          <w:kern w:val="0"/>
          <w:sz w:val="24"/>
        </w:rPr>
        <w:t>2</w:t>
      </w:r>
      <w:r>
        <w:rPr>
          <w:kern w:val="0"/>
          <w:sz w:val="24"/>
        </w:rPr>
        <w:t>、</w:t>
      </w:r>
      <w:r>
        <w:rPr>
          <w:rFonts w:hint="eastAsia"/>
          <w:kern w:val="0"/>
          <w:sz w:val="24"/>
        </w:rPr>
        <w:t>除基金管理人之外的其他销售</w:t>
      </w:r>
      <w:r>
        <w:rPr>
          <w:kern w:val="0"/>
          <w:sz w:val="24"/>
          <w:szCs w:val="24"/>
        </w:rPr>
        <w:t>机构</w:t>
      </w:r>
    </w:p>
    <w:p w14:paraId="7BDF096E" w14:textId="77777777" w:rsidR="00791BDD" w:rsidRDefault="00B75151">
      <w:pPr>
        <w:adjustRightInd w:val="0"/>
        <w:snapToGrid w:val="0"/>
        <w:spacing w:line="360" w:lineRule="auto"/>
        <w:ind w:firstLineChars="200" w:firstLine="480"/>
        <w:rPr>
          <w:kern w:val="0"/>
          <w:sz w:val="24"/>
          <w:szCs w:val="24"/>
        </w:rPr>
      </w:pPr>
      <w:r>
        <w:rPr>
          <w:kern w:val="0"/>
          <w:sz w:val="24"/>
          <w:szCs w:val="24"/>
        </w:rPr>
        <w:t>本基金</w:t>
      </w:r>
      <w:r>
        <w:rPr>
          <w:rFonts w:hint="eastAsia"/>
          <w:kern w:val="0"/>
          <w:sz w:val="24"/>
          <w:szCs w:val="24"/>
        </w:rPr>
        <w:t>除基金管理人之外的其他销售</w:t>
      </w:r>
      <w:r>
        <w:rPr>
          <w:kern w:val="0"/>
          <w:sz w:val="24"/>
          <w:szCs w:val="24"/>
        </w:rPr>
        <w:t>机构参见本招募说明书</w:t>
      </w:r>
      <w:r>
        <w:rPr>
          <w:rFonts w:hint="eastAsia"/>
          <w:kern w:val="0"/>
          <w:sz w:val="24"/>
          <w:szCs w:val="24"/>
        </w:rPr>
        <w:t>“</w:t>
      </w:r>
      <w:r>
        <w:rPr>
          <w:kern w:val="0"/>
          <w:sz w:val="24"/>
          <w:szCs w:val="24"/>
        </w:rPr>
        <w:t>五、相关服务机构</w:t>
      </w:r>
      <w:r>
        <w:rPr>
          <w:rFonts w:hint="eastAsia"/>
          <w:kern w:val="0"/>
          <w:sz w:val="24"/>
          <w:szCs w:val="24"/>
        </w:rPr>
        <w:t>”</w:t>
      </w:r>
      <w:r>
        <w:rPr>
          <w:kern w:val="0"/>
          <w:sz w:val="24"/>
          <w:szCs w:val="24"/>
        </w:rPr>
        <w:t>章节或拨打</w:t>
      </w:r>
      <w:r>
        <w:rPr>
          <w:rFonts w:hint="eastAsia"/>
          <w:kern w:val="0"/>
          <w:sz w:val="24"/>
          <w:szCs w:val="24"/>
        </w:rPr>
        <w:t>基金管理人</w:t>
      </w:r>
      <w:r>
        <w:rPr>
          <w:kern w:val="0"/>
          <w:sz w:val="24"/>
          <w:szCs w:val="24"/>
        </w:rPr>
        <w:t>客户服务电话进行咨询。</w:t>
      </w:r>
    </w:p>
    <w:p w14:paraId="3679AE48" w14:textId="77777777" w:rsidR="00791BDD" w:rsidRDefault="00B75151">
      <w:pPr>
        <w:adjustRightInd w:val="0"/>
        <w:snapToGrid w:val="0"/>
        <w:spacing w:line="360" w:lineRule="auto"/>
        <w:ind w:firstLineChars="200" w:firstLine="480"/>
        <w:rPr>
          <w:sz w:val="24"/>
          <w:szCs w:val="24"/>
        </w:rPr>
      </w:pPr>
      <w:r>
        <w:rPr>
          <w:sz w:val="24"/>
          <w:szCs w:val="24"/>
        </w:rPr>
        <w:t>投资人</w:t>
      </w:r>
      <w:r>
        <w:rPr>
          <w:rFonts w:hint="eastAsia"/>
          <w:sz w:val="24"/>
          <w:szCs w:val="24"/>
        </w:rPr>
        <w:t>应当</w:t>
      </w:r>
      <w:r>
        <w:rPr>
          <w:sz w:val="24"/>
          <w:szCs w:val="24"/>
        </w:rPr>
        <w:t>通过上述销售机构办理基金申购、赎回业务的营业场所或按上述销售机构提供的其他方式进行申购或赎回。本基金管理人可根据情况变更或增减基金</w:t>
      </w:r>
      <w:r>
        <w:rPr>
          <w:rFonts w:hint="eastAsia"/>
          <w:sz w:val="24"/>
        </w:rPr>
        <w:t>销售</w:t>
      </w:r>
      <w:r>
        <w:rPr>
          <w:sz w:val="24"/>
          <w:szCs w:val="24"/>
        </w:rPr>
        <w:t>机构</w:t>
      </w:r>
      <w:r>
        <w:rPr>
          <w:rFonts w:hint="eastAsia"/>
          <w:bCs/>
          <w:sz w:val="24"/>
        </w:rPr>
        <w:t>，并在基金管理人网站公示</w:t>
      </w:r>
      <w:r>
        <w:rPr>
          <w:sz w:val="24"/>
          <w:szCs w:val="24"/>
        </w:rPr>
        <w:t>。</w:t>
      </w:r>
    </w:p>
    <w:p w14:paraId="751FDA97" w14:textId="77777777" w:rsidR="00791BDD" w:rsidRDefault="00B75151">
      <w:pPr>
        <w:adjustRightInd w:val="0"/>
        <w:snapToGrid w:val="0"/>
        <w:spacing w:line="360" w:lineRule="auto"/>
        <w:ind w:firstLineChars="200" w:firstLine="480"/>
        <w:rPr>
          <w:sz w:val="24"/>
          <w:szCs w:val="24"/>
        </w:rPr>
      </w:pPr>
      <w:r>
        <w:rPr>
          <w:sz w:val="24"/>
          <w:szCs w:val="24"/>
        </w:rPr>
        <w:t>若基金管理人或其指定的</w:t>
      </w:r>
      <w:r>
        <w:rPr>
          <w:rFonts w:hint="eastAsia"/>
          <w:sz w:val="24"/>
          <w:szCs w:val="24"/>
        </w:rPr>
        <w:t>销售</w:t>
      </w:r>
      <w:r>
        <w:rPr>
          <w:sz w:val="24"/>
          <w:szCs w:val="24"/>
        </w:rPr>
        <w:t>机构开通电话、传真或网上等交易方式，投资人可以通过上述方式进行申购与赎回。</w:t>
      </w:r>
    </w:p>
    <w:p w14:paraId="6211DC46" w14:textId="77777777" w:rsidR="00791BDD" w:rsidRDefault="00B75151">
      <w:pPr>
        <w:adjustRightInd w:val="0"/>
        <w:snapToGrid w:val="0"/>
        <w:spacing w:line="360" w:lineRule="auto"/>
        <w:ind w:firstLineChars="200" w:firstLine="482"/>
        <w:outlineLvl w:val="1"/>
        <w:rPr>
          <w:sz w:val="24"/>
          <w:szCs w:val="24"/>
        </w:rPr>
      </w:pPr>
      <w:r>
        <w:rPr>
          <w:rFonts w:hAnsi="宋体"/>
          <w:b/>
          <w:kern w:val="0"/>
          <w:sz w:val="24"/>
          <w:szCs w:val="24"/>
        </w:rPr>
        <w:t>（二）申购和赎回的开放日及时间</w:t>
      </w:r>
    </w:p>
    <w:p w14:paraId="623C485D" w14:textId="77777777" w:rsidR="00791BDD" w:rsidRDefault="00B75151">
      <w:pPr>
        <w:adjustRightInd w:val="0"/>
        <w:snapToGrid w:val="0"/>
        <w:spacing w:line="360" w:lineRule="auto"/>
        <w:ind w:firstLineChars="200" w:firstLine="480"/>
        <w:outlineLvl w:val="2"/>
        <w:rPr>
          <w:bCs/>
          <w:sz w:val="24"/>
          <w:szCs w:val="24"/>
        </w:rPr>
      </w:pPr>
      <w:r>
        <w:rPr>
          <w:bCs/>
          <w:sz w:val="24"/>
          <w:szCs w:val="24"/>
        </w:rPr>
        <w:t>1</w:t>
      </w:r>
      <w:r>
        <w:rPr>
          <w:bCs/>
          <w:sz w:val="24"/>
          <w:szCs w:val="24"/>
        </w:rPr>
        <w:t>、开放日及开放时间</w:t>
      </w:r>
    </w:p>
    <w:p w14:paraId="3DB0F6F2" w14:textId="77777777" w:rsidR="00791BDD" w:rsidRDefault="00B75151">
      <w:pPr>
        <w:adjustRightInd w:val="0"/>
        <w:snapToGrid w:val="0"/>
        <w:spacing w:line="360" w:lineRule="auto"/>
        <w:ind w:firstLineChars="200" w:firstLine="480"/>
        <w:rPr>
          <w:sz w:val="24"/>
          <w:szCs w:val="24"/>
        </w:rPr>
      </w:pPr>
      <w:r>
        <w:rPr>
          <w:rFonts w:hint="eastAsia"/>
          <w:sz w:val="24"/>
          <w:szCs w:val="24"/>
        </w:rPr>
        <w:t>投资人在开放日办理基金份额的申购和</w:t>
      </w:r>
      <w:r>
        <w:rPr>
          <w:rFonts w:hint="eastAsia"/>
          <w:bCs/>
          <w:sz w:val="24"/>
        </w:rPr>
        <w:t>赎回，</w:t>
      </w:r>
      <w:r>
        <w:rPr>
          <w:rFonts w:hint="eastAsia"/>
          <w:sz w:val="24"/>
          <w:szCs w:val="24"/>
        </w:rPr>
        <w:t>具体办理时间为上海证券交易所、</w:t>
      </w:r>
      <w:r>
        <w:rPr>
          <w:rFonts w:hint="eastAsia"/>
          <w:sz w:val="24"/>
          <w:szCs w:val="24"/>
        </w:rPr>
        <w:lastRenderedPageBreak/>
        <w:t>深圳证券交易所的正常交易日的交易时间（若该工作日为非港股通交易日，则本基金可不开放），但基金管理人根据法律法规、中国证监会的要求或基金合同的规定公告暂停申购、赎回时除外。</w:t>
      </w:r>
    </w:p>
    <w:p w14:paraId="48FE6F9D" w14:textId="77777777" w:rsidR="00791BDD" w:rsidRDefault="00B75151">
      <w:pPr>
        <w:adjustRightInd w:val="0"/>
        <w:snapToGrid w:val="0"/>
        <w:spacing w:line="360" w:lineRule="auto"/>
        <w:ind w:firstLineChars="200" w:firstLine="480"/>
        <w:rPr>
          <w:bCs/>
          <w:sz w:val="24"/>
          <w:szCs w:val="24"/>
        </w:rPr>
      </w:pPr>
      <w:r>
        <w:rPr>
          <w:rFonts w:hint="eastAsia"/>
          <w:sz w:val="24"/>
          <w:szCs w:val="24"/>
        </w:rPr>
        <w:t>基金合同生效后，若出现新的证券</w:t>
      </w:r>
      <w:r>
        <w:rPr>
          <w:rFonts w:hint="eastAsia"/>
          <w:sz w:val="24"/>
          <w:szCs w:val="24"/>
        </w:rPr>
        <w:t>/</w:t>
      </w:r>
      <w:r>
        <w:rPr>
          <w:rFonts w:hint="eastAsia"/>
          <w:sz w:val="24"/>
          <w:szCs w:val="24"/>
        </w:rPr>
        <w:t>期货交易市场、证券</w:t>
      </w:r>
      <w:r>
        <w:rPr>
          <w:rFonts w:hint="eastAsia"/>
          <w:sz w:val="24"/>
          <w:szCs w:val="24"/>
        </w:rPr>
        <w:t>/</w:t>
      </w:r>
      <w:r>
        <w:rPr>
          <w:rFonts w:hint="eastAsia"/>
          <w:sz w:val="24"/>
          <w:szCs w:val="24"/>
        </w:rPr>
        <w:t>期货交易所交易时间变更或其他特殊情况，基金管理人将视情况对前述开放日及开放时间进行相应的调整，但应在实施日前依照《信息披露办法》的有关规定在规定媒介上公告。</w:t>
      </w:r>
    </w:p>
    <w:p w14:paraId="640CC1BC" w14:textId="77777777" w:rsidR="00791BDD" w:rsidRDefault="00B75151">
      <w:pPr>
        <w:adjustRightInd w:val="0"/>
        <w:snapToGrid w:val="0"/>
        <w:spacing w:line="360" w:lineRule="auto"/>
        <w:ind w:firstLineChars="200" w:firstLine="480"/>
        <w:outlineLvl w:val="2"/>
        <w:rPr>
          <w:bCs/>
          <w:sz w:val="24"/>
          <w:szCs w:val="24"/>
        </w:rPr>
      </w:pPr>
      <w:r>
        <w:rPr>
          <w:bCs/>
          <w:sz w:val="24"/>
          <w:szCs w:val="24"/>
        </w:rPr>
        <w:t>2</w:t>
      </w:r>
      <w:r>
        <w:rPr>
          <w:bCs/>
          <w:sz w:val="24"/>
          <w:szCs w:val="24"/>
        </w:rPr>
        <w:t>、申购、赎回开始日及业务办理时间</w:t>
      </w:r>
    </w:p>
    <w:p w14:paraId="5871321F" w14:textId="77777777" w:rsidR="00791BDD" w:rsidRDefault="00B75151">
      <w:pPr>
        <w:adjustRightInd w:val="0"/>
        <w:snapToGrid w:val="0"/>
        <w:spacing w:line="360" w:lineRule="auto"/>
        <w:ind w:firstLineChars="200" w:firstLine="480"/>
        <w:rPr>
          <w:sz w:val="24"/>
          <w:szCs w:val="24"/>
        </w:rPr>
      </w:pPr>
      <w:r>
        <w:rPr>
          <w:rFonts w:hint="eastAsia"/>
          <w:sz w:val="24"/>
          <w:szCs w:val="24"/>
        </w:rPr>
        <w:t>基金管理人</w:t>
      </w:r>
      <w:r>
        <w:rPr>
          <w:rFonts w:hint="eastAsia"/>
          <w:bCs/>
          <w:sz w:val="24"/>
        </w:rPr>
        <w:t>可</w:t>
      </w:r>
      <w:r>
        <w:rPr>
          <w:bCs/>
          <w:sz w:val="24"/>
        </w:rPr>
        <w:t>根据实际情况依法决定本基金</w:t>
      </w:r>
      <w:r>
        <w:rPr>
          <w:rFonts w:hint="eastAsia"/>
          <w:sz w:val="24"/>
          <w:szCs w:val="24"/>
        </w:rPr>
        <w:t>开始办理申购</w:t>
      </w:r>
      <w:r>
        <w:rPr>
          <w:bCs/>
          <w:sz w:val="24"/>
        </w:rPr>
        <w:t>的具体日期</w:t>
      </w:r>
      <w:r>
        <w:rPr>
          <w:rFonts w:hint="eastAsia"/>
          <w:sz w:val="24"/>
          <w:szCs w:val="24"/>
        </w:rPr>
        <w:t>，具体业务办理时间在申购开始公告中规定。</w:t>
      </w:r>
    </w:p>
    <w:p w14:paraId="099CAD86" w14:textId="77777777" w:rsidR="00791BDD" w:rsidRDefault="00B75151">
      <w:pPr>
        <w:adjustRightInd w:val="0"/>
        <w:snapToGrid w:val="0"/>
        <w:spacing w:line="360" w:lineRule="auto"/>
        <w:ind w:firstLineChars="200" w:firstLine="480"/>
        <w:rPr>
          <w:sz w:val="24"/>
          <w:szCs w:val="24"/>
        </w:rPr>
      </w:pPr>
      <w:r>
        <w:rPr>
          <w:rFonts w:hint="eastAsia"/>
          <w:sz w:val="24"/>
          <w:szCs w:val="24"/>
        </w:rPr>
        <w:t>基金管理人自基金合同生效之日起</w:t>
      </w:r>
      <w:r>
        <w:rPr>
          <w:bCs/>
          <w:sz w:val="24"/>
        </w:rPr>
        <w:t>不超过</w:t>
      </w:r>
      <w:r>
        <w:rPr>
          <w:bCs/>
          <w:sz w:val="24"/>
        </w:rPr>
        <w:t>3</w:t>
      </w:r>
      <w:r>
        <w:rPr>
          <w:rFonts w:hint="eastAsia"/>
          <w:bCs/>
          <w:sz w:val="24"/>
        </w:rPr>
        <w:t>个</w:t>
      </w:r>
      <w:r>
        <w:rPr>
          <w:bCs/>
          <w:sz w:val="24"/>
        </w:rPr>
        <w:t>月</w:t>
      </w:r>
      <w:r>
        <w:rPr>
          <w:rFonts w:hint="eastAsia"/>
          <w:sz w:val="24"/>
          <w:szCs w:val="24"/>
        </w:rPr>
        <w:t>开始办理赎回，具体业务办理时间在赎回开始公告中规定。</w:t>
      </w:r>
    </w:p>
    <w:p w14:paraId="5AB9B47C" w14:textId="77777777" w:rsidR="00791BDD" w:rsidRDefault="00B75151">
      <w:pPr>
        <w:adjustRightInd w:val="0"/>
        <w:snapToGrid w:val="0"/>
        <w:spacing w:line="360" w:lineRule="auto"/>
        <w:ind w:firstLineChars="200" w:firstLine="480"/>
        <w:rPr>
          <w:sz w:val="24"/>
          <w:szCs w:val="24"/>
        </w:rPr>
      </w:pPr>
      <w:r>
        <w:rPr>
          <w:rFonts w:hint="eastAsia"/>
          <w:sz w:val="24"/>
          <w:szCs w:val="24"/>
        </w:rPr>
        <w:t>在确定申购开始与赎回开始时间后，基金管理人应在申购、赎回开放日前依照《信息披露办法》的有关规定在规定媒介上公告申购与赎回的开始时间。</w:t>
      </w:r>
    </w:p>
    <w:p w14:paraId="214DEBD7" w14:textId="77777777" w:rsidR="00791BDD" w:rsidRDefault="00B75151">
      <w:pPr>
        <w:adjustRightInd w:val="0"/>
        <w:snapToGrid w:val="0"/>
        <w:spacing w:line="360" w:lineRule="auto"/>
        <w:ind w:firstLineChars="200" w:firstLine="480"/>
        <w:rPr>
          <w:sz w:val="24"/>
          <w:szCs w:val="24"/>
        </w:rPr>
      </w:pPr>
      <w:r>
        <w:rPr>
          <w:rFonts w:hint="eastAsia"/>
          <w:sz w:val="24"/>
          <w:szCs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14:paraId="455D5512" w14:textId="77777777" w:rsidR="00791BDD" w:rsidRDefault="00B75151">
      <w:pPr>
        <w:adjustRightInd w:val="0"/>
        <w:snapToGrid w:val="0"/>
        <w:spacing w:line="360" w:lineRule="auto"/>
        <w:ind w:firstLineChars="200" w:firstLine="482"/>
        <w:outlineLvl w:val="1"/>
        <w:rPr>
          <w:sz w:val="24"/>
          <w:szCs w:val="24"/>
        </w:rPr>
      </w:pPr>
      <w:r>
        <w:rPr>
          <w:rFonts w:hAnsi="宋体"/>
          <w:b/>
          <w:kern w:val="0"/>
          <w:sz w:val="24"/>
          <w:szCs w:val="24"/>
        </w:rPr>
        <w:t>（三）申购</w:t>
      </w:r>
      <w:r>
        <w:rPr>
          <w:rFonts w:hAnsi="宋体" w:hint="eastAsia"/>
          <w:b/>
          <w:kern w:val="0"/>
          <w:sz w:val="24"/>
          <w:szCs w:val="24"/>
        </w:rPr>
        <w:t>与</w:t>
      </w:r>
      <w:r>
        <w:rPr>
          <w:rFonts w:hAnsi="宋体"/>
          <w:b/>
          <w:kern w:val="0"/>
          <w:sz w:val="24"/>
          <w:szCs w:val="24"/>
        </w:rPr>
        <w:t>赎回的原则</w:t>
      </w:r>
    </w:p>
    <w:p w14:paraId="289575B2" w14:textId="77777777" w:rsidR="00791BDD" w:rsidRDefault="00B75151">
      <w:pPr>
        <w:adjustRightInd w:val="0"/>
        <w:snapToGrid w:val="0"/>
        <w:spacing w:line="360" w:lineRule="auto"/>
        <w:ind w:firstLineChars="200" w:firstLine="480"/>
        <w:rPr>
          <w:sz w:val="24"/>
          <w:szCs w:val="24"/>
        </w:rPr>
      </w:pPr>
      <w:r>
        <w:rPr>
          <w:rFonts w:hint="eastAsia"/>
          <w:sz w:val="24"/>
          <w:szCs w:val="24"/>
        </w:rPr>
        <w:t>1</w:t>
      </w:r>
      <w:r>
        <w:rPr>
          <w:rFonts w:hint="eastAsia"/>
          <w:sz w:val="24"/>
          <w:szCs w:val="24"/>
        </w:rPr>
        <w:t>、“未知价”原则，即申购、赎回价格以申请当日收市后计算的基金份额净值为基准进行计算；</w:t>
      </w:r>
    </w:p>
    <w:p w14:paraId="08D1058F" w14:textId="77777777" w:rsidR="00791BDD" w:rsidRDefault="00B75151">
      <w:pPr>
        <w:adjustRightInd w:val="0"/>
        <w:snapToGrid w:val="0"/>
        <w:spacing w:line="360" w:lineRule="auto"/>
        <w:ind w:firstLineChars="200" w:firstLine="480"/>
        <w:rPr>
          <w:sz w:val="24"/>
          <w:szCs w:val="24"/>
        </w:rPr>
      </w:pPr>
      <w:r>
        <w:rPr>
          <w:rFonts w:hint="eastAsia"/>
          <w:sz w:val="24"/>
          <w:szCs w:val="24"/>
        </w:rPr>
        <w:t>2</w:t>
      </w:r>
      <w:r>
        <w:rPr>
          <w:rFonts w:hint="eastAsia"/>
          <w:sz w:val="24"/>
          <w:szCs w:val="24"/>
        </w:rPr>
        <w:t>、“金额申购、份额赎回”原则，即申购以金额申请，赎回以份额申请；</w:t>
      </w:r>
    </w:p>
    <w:p w14:paraId="55CEF4E6" w14:textId="77777777" w:rsidR="00791BDD" w:rsidRDefault="00B75151">
      <w:pPr>
        <w:adjustRightInd w:val="0"/>
        <w:snapToGrid w:val="0"/>
        <w:spacing w:line="360" w:lineRule="auto"/>
        <w:ind w:firstLineChars="200" w:firstLine="480"/>
        <w:rPr>
          <w:sz w:val="24"/>
          <w:szCs w:val="24"/>
        </w:rPr>
      </w:pPr>
      <w:r>
        <w:rPr>
          <w:rFonts w:hint="eastAsia"/>
          <w:sz w:val="24"/>
          <w:szCs w:val="24"/>
        </w:rPr>
        <w:t>3</w:t>
      </w:r>
      <w:r>
        <w:rPr>
          <w:rFonts w:hint="eastAsia"/>
          <w:sz w:val="24"/>
          <w:szCs w:val="24"/>
        </w:rPr>
        <w:t>、当日的申购与赎回申请可以在基金管理人规定的时间以内撤销，但申请经登记机构受理的不得撤销；</w:t>
      </w:r>
    </w:p>
    <w:p w14:paraId="7F95ED00" w14:textId="77777777" w:rsidR="00791BDD" w:rsidRDefault="00B75151">
      <w:pPr>
        <w:adjustRightInd w:val="0"/>
        <w:snapToGrid w:val="0"/>
        <w:spacing w:line="360" w:lineRule="auto"/>
        <w:ind w:firstLineChars="200" w:firstLine="480"/>
        <w:rPr>
          <w:sz w:val="24"/>
          <w:szCs w:val="24"/>
        </w:rPr>
      </w:pPr>
      <w:r>
        <w:rPr>
          <w:rFonts w:hint="eastAsia"/>
          <w:sz w:val="24"/>
          <w:szCs w:val="24"/>
        </w:rPr>
        <w:t>4</w:t>
      </w:r>
      <w:r>
        <w:rPr>
          <w:rFonts w:hint="eastAsia"/>
          <w:sz w:val="24"/>
          <w:szCs w:val="24"/>
        </w:rPr>
        <w:t>、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p>
    <w:p w14:paraId="35B203D9" w14:textId="77777777" w:rsidR="00791BDD" w:rsidRDefault="00B75151">
      <w:pPr>
        <w:adjustRightInd w:val="0"/>
        <w:snapToGrid w:val="0"/>
        <w:spacing w:line="360" w:lineRule="auto"/>
        <w:ind w:firstLineChars="200" w:firstLine="480"/>
        <w:rPr>
          <w:sz w:val="24"/>
          <w:szCs w:val="24"/>
        </w:rPr>
      </w:pPr>
      <w:r>
        <w:rPr>
          <w:rFonts w:hint="eastAsia"/>
          <w:sz w:val="24"/>
          <w:szCs w:val="24"/>
        </w:rPr>
        <w:t>5</w:t>
      </w:r>
      <w:r>
        <w:rPr>
          <w:rFonts w:hint="eastAsia"/>
          <w:sz w:val="24"/>
          <w:szCs w:val="24"/>
        </w:rPr>
        <w:t>、办理申购、赎回业务时，应当遵循基金份额持有人利益优先原则，确保投资</w:t>
      </w:r>
      <w:r>
        <w:rPr>
          <w:rFonts w:hint="eastAsia"/>
          <w:sz w:val="24"/>
          <w:szCs w:val="24"/>
        </w:rPr>
        <w:lastRenderedPageBreak/>
        <w:t>者的合法权益不受损害并得到公平对待。</w:t>
      </w:r>
    </w:p>
    <w:p w14:paraId="094A7693" w14:textId="77777777" w:rsidR="00791BDD" w:rsidRDefault="00B75151">
      <w:pPr>
        <w:adjustRightInd w:val="0"/>
        <w:snapToGrid w:val="0"/>
        <w:spacing w:line="360" w:lineRule="auto"/>
        <w:ind w:firstLineChars="200" w:firstLine="480"/>
        <w:rPr>
          <w:sz w:val="24"/>
          <w:szCs w:val="24"/>
        </w:rPr>
      </w:pPr>
      <w:r>
        <w:rPr>
          <w:rFonts w:hint="eastAsia"/>
          <w:sz w:val="24"/>
          <w:szCs w:val="24"/>
        </w:rPr>
        <w:t>基金管理人可在法律法规允许的情况下，对上述原则进行调整。基金管理人必须在新规则开始实施前依照《信息披露办法》的有关规定在规定媒介上公告。</w:t>
      </w:r>
    </w:p>
    <w:p w14:paraId="08B3979C" w14:textId="77777777" w:rsidR="00791BDD" w:rsidRDefault="00B75151">
      <w:pPr>
        <w:widowControl/>
        <w:adjustRightInd w:val="0"/>
        <w:snapToGrid w:val="0"/>
        <w:spacing w:line="360" w:lineRule="auto"/>
        <w:ind w:firstLineChars="200" w:firstLine="482"/>
        <w:outlineLvl w:val="1"/>
        <w:rPr>
          <w:b/>
          <w:kern w:val="0"/>
          <w:sz w:val="24"/>
          <w:szCs w:val="24"/>
        </w:rPr>
      </w:pPr>
      <w:r>
        <w:rPr>
          <w:rFonts w:hAnsi="宋体"/>
          <w:b/>
          <w:kern w:val="0"/>
          <w:sz w:val="24"/>
          <w:szCs w:val="24"/>
        </w:rPr>
        <w:t>（四）申购和赎回的数额限定</w:t>
      </w:r>
    </w:p>
    <w:p w14:paraId="6CCBE39B" w14:textId="77777777" w:rsidR="00791BDD" w:rsidRDefault="00B75151">
      <w:pPr>
        <w:widowControl/>
        <w:adjustRightInd w:val="0"/>
        <w:snapToGrid w:val="0"/>
        <w:spacing w:line="360" w:lineRule="auto"/>
        <w:ind w:firstLineChars="200" w:firstLine="480"/>
        <w:rPr>
          <w:kern w:val="0"/>
          <w:sz w:val="24"/>
          <w:szCs w:val="24"/>
        </w:rPr>
      </w:pPr>
      <w:r>
        <w:rPr>
          <w:kern w:val="0"/>
          <w:sz w:val="24"/>
          <w:szCs w:val="24"/>
        </w:rPr>
        <w:t>1</w:t>
      </w:r>
      <w:r>
        <w:rPr>
          <w:rFonts w:hAnsi="宋体"/>
          <w:kern w:val="0"/>
          <w:sz w:val="24"/>
          <w:szCs w:val="24"/>
        </w:rPr>
        <w:t>、申购金额的限制</w:t>
      </w:r>
    </w:p>
    <w:p w14:paraId="64E7AA64" w14:textId="77777777" w:rsidR="00791BDD" w:rsidRDefault="00B75151">
      <w:pPr>
        <w:widowControl/>
        <w:adjustRightInd w:val="0"/>
        <w:snapToGrid w:val="0"/>
        <w:spacing w:line="360" w:lineRule="auto"/>
        <w:ind w:firstLineChars="200" w:firstLine="480"/>
        <w:rPr>
          <w:rFonts w:ascii="宋体" w:hAnsi="宋体"/>
          <w:kern w:val="0"/>
          <w:sz w:val="24"/>
        </w:rPr>
      </w:pPr>
      <w:r>
        <w:rPr>
          <w:kern w:val="0"/>
          <w:sz w:val="24"/>
          <w:szCs w:val="24"/>
        </w:rPr>
        <w:t>直销机构首次申购的最低金额为单笔</w:t>
      </w:r>
      <w:r>
        <w:rPr>
          <w:kern w:val="0"/>
          <w:sz w:val="24"/>
          <w:szCs w:val="24"/>
        </w:rPr>
        <w:t>100</w:t>
      </w:r>
      <w:r>
        <w:rPr>
          <w:rFonts w:hint="eastAsia"/>
          <w:kern w:val="0"/>
          <w:sz w:val="24"/>
          <w:szCs w:val="24"/>
        </w:rPr>
        <w:t>万</w:t>
      </w:r>
      <w:r>
        <w:rPr>
          <w:kern w:val="0"/>
          <w:sz w:val="24"/>
          <w:szCs w:val="24"/>
        </w:rPr>
        <w:t>元，追加申购的最低金额为单笔</w:t>
      </w:r>
      <w:r>
        <w:rPr>
          <w:kern w:val="0"/>
          <w:sz w:val="24"/>
          <w:szCs w:val="24"/>
        </w:rPr>
        <w:t>10</w:t>
      </w:r>
      <w:r>
        <w:rPr>
          <w:rFonts w:hint="eastAsia"/>
          <w:kern w:val="0"/>
          <w:sz w:val="24"/>
          <w:szCs w:val="24"/>
        </w:rPr>
        <w:t>万</w:t>
      </w:r>
      <w:r>
        <w:rPr>
          <w:kern w:val="0"/>
          <w:sz w:val="24"/>
          <w:szCs w:val="24"/>
        </w:rPr>
        <w:t>元；已在直销机构有认购或申购过本基金管理人管理的任一基金（包括本基金）记录的投资人不受首次申购最低金额的限制。通过基金管理人网上直销交易平台办理基金申购业务的不受直销机构单笔申购最低金额的限制，申购最低金额为单笔</w:t>
      </w:r>
      <w:r>
        <w:rPr>
          <w:kern w:val="0"/>
          <w:sz w:val="24"/>
          <w:szCs w:val="24"/>
        </w:rPr>
        <w:t>1</w:t>
      </w:r>
      <w:r>
        <w:rPr>
          <w:kern w:val="0"/>
          <w:sz w:val="24"/>
          <w:szCs w:val="24"/>
        </w:rPr>
        <w:t>元。本基金直销机构单笔申购最低金额可由基金管理人酌情调整。</w:t>
      </w:r>
      <w:r>
        <w:rPr>
          <w:rFonts w:hint="eastAsia"/>
          <w:kern w:val="0"/>
          <w:sz w:val="24"/>
          <w:szCs w:val="24"/>
        </w:rPr>
        <w:t>其他销售机构</w:t>
      </w:r>
      <w:r>
        <w:rPr>
          <w:kern w:val="0"/>
          <w:sz w:val="24"/>
          <w:szCs w:val="24"/>
        </w:rPr>
        <w:t>接受申购申请的最低金额为单笔</w:t>
      </w:r>
      <w:r>
        <w:rPr>
          <w:kern w:val="0"/>
          <w:sz w:val="24"/>
          <w:szCs w:val="24"/>
        </w:rPr>
        <w:t>1</w:t>
      </w:r>
      <w:r>
        <w:rPr>
          <w:kern w:val="0"/>
          <w:sz w:val="24"/>
          <w:szCs w:val="24"/>
        </w:rPr>
        <w:t>元，如果</w:t>
      </w:r>
      <w:r>
        <w:rPr>
          <w:rFonts w:hint="eastAsia"/>
          <w:kern w:val="0"/>
          <w:sz w:val="24"/>
          <w:szCs w:val="24"/>
        </w:rPr>
        <w:t>销售</w:t>
      </w:r>
      <w:r>
        <w:rPr>
          <w:kern w:val="0"/>
          <w:sz w:val="24"/>
          <w:szCs w:val="24"/>
        </w:rPr>
        <w:t>机构业务规则规定的最低单笔申购金额高于</w:t>
      </w:r>
      <w:r>
        <w:rPr>
          <w:kern w:val="0"/>
          <w:sz w:val="24"/>
          <w:szCs w:val="24"/>
        </w:rPr>
        <w:t>1</w:t>
      </w:r>
      <w:r>
        <w:rPr>
          <w:kern w:val="0"/>
          <w:sz w:val="24"/>
          <w:szCs w:val="24"/>
        </w:rPr>
        <w:t>元，以</w:t>
      </w:r>
      <w:r>
        <w:rPr>
          <w:rFonts w:hint="eastAsia"/>
          <w:kern w:val="0"/>
          <w:sz w:val="24"/>
          <w:szCs w:val="24"/>
        </w:rPr>
        <w:t>该销售</w:t>
      </w:r>
      <w:r>
        <w:rPr>
          <w:kern w:val="0"/>
          <w:sz w:val="24"/>
          <w:szCs w:val="24"/>
        </w:rPr>
        <w:t>机构的规定为准。</w:t>
      </w:r>
    </w:p>
    <w:p w14:paraId="2680AC8D" w14:textId="77777777" w:rsidR="00791BDD" w:rsidRDefault="00B75151">
      <w:pPr>
        <w:widowControl/>
        <w:adjustRightInd w:val="0"/>
        <w:snapToGrid w:val="0"/>
        <w:spacing w:line="360" w:lineRule="auto"/>
        <w:ind w:firstLineChars="200" w:firstLine="480"/>
        <w:rPr>
          <w:kern w:val="0"/>
          <w:sz w:val="24"/>
          <w:szCs w:val="24"/>
        </w:rPr>
      </w:pPr>
      <w:r>
        <w:rPr>
          <w:kern w:val="0"/>
          <w:sz w:val="24"/>
          <w:szCs w:val="24"/>
        </w:rPr>
        <w:t>2</w:t>
      </w:r>
      <w:r>
        <w:rPr>
          <w:rFonts w:hAnsi="宋体"/>
          <w:kern w:val="0"/>
          <w:sz w:val="24"/>
          <w:szCs w:val="24"/>
        </w:rPr>
        <w:t>、赎回份额的限制</w:t>
      </w:r>
    </w:p>
    <w:p w14:paraId="3168581E" w14:textId="77777777" w:rsidR="00791BDD" w:rsidRDefault="00B75151">
      <w:pPr>
        <w:widowControl/>
        <w:adjustRightInd w:val="0"/>
        <w:snapToGrid w:val="0"/>
        <w:spacing w:line="360" w:lineRule="auto"/>
        <w:ind w:firstLineChars="200" w:firstLine="480"/>
        <w:rPr>
          <w:kern w:val="0"/>
          <w:sz w:val="24"/>
          <w:szCs w:val="24"/>
        </w:rPr>
      </w:pPr>
      <w:r>
        <w:rPr>
          <w:rFonts w:hAnsi="宋体"/>
          <w:kern w:val="0"/>
          <w:sz w:val="24"/>
          <w:szCs w:val="24"/>
        </w:rPr>
        <w:t>赎回的最低份额为</w:t>
      </w:r>
      <w:r>
        <w:rPr>
          <w:kern w:val="0"/>
          <w:sz w:val="24"/>
          <w:szCs w:val="24"/>
        </w:rPr>
        <w:t>1</w:t>
      </w:r>
      <w:r>
        <w:rPr>
          <w:rFonts w:hAnsi="宋体"/>
          <w:kern w:val="0"/>
          <w:sz w:val="24"/>
          <w:szCs w:val="24"/>
        </w:rPr>
        <w:t>份基金份额</w:t>
      </w:r>
      <w:r>
        <w:rPr>
          <w:rFonts w:hAnsi="宋体" w:hint="eastAsia"/>
          <w:kern w:val="0"/>
          <w:sz w:val="24"/>
          <w:szCs w:val="24"/>
        </w:rPr>
        <w:t>，如果销售机构业务规则规定的最低单笔赎回份额高于</w:t>
      </w:r>
      <w:r>
        <w:rPr>
          <w:rFonts w:hAnsi="宋体" w:hint="eastAsia"/>
          <w:kern w:val="0"/>
          <w:sz w:val="24"/>
          <w:szCs w:val="24"/>
        </w:rPr>
        <w:t>1</w:t>
      </w:r>
      <w:r>
        <w:rPr>
          <w:rFonts w:hAnsi="宋体" w:hint="eastAsia"/>
          <w:kern w:val="0"/>
          <w:sz w:val="24"/>
          <w:szCs w:val="24"/>
        </w:rPr>
        <w:t>份，以该销售机构的规定为准。</w:t>
      </w:r>
    </w:p>
    <w:p w14:paraId="0B0947E6" w14:textId="77777777" w:rsidR="00791BDD" w:rsidRDefault="00B75151">
      <w:pPr>
        <w:widowControl/>
        <w:adjustRightInd w:val="0"/>
        <w:snapToGrid w:val="0"/>
        <w:spacing w:line="360" w:lineRule="auto"/>
        <w:ind w:firstLineChars="200" w:firstLine="480"/>
        <w:rPr>
          <w:kern w:val="0"/>
          <w:sz w:val="24"/>
          <w:szCs w:val="24"/>
        </w:rPr>
      </w:pPr>
      <w:bookmarkStart w:id="33" w:name="OLE_LINK6"/>
      <w:r>
        <w:rPr>
          <w:kern w:val="0"/>
          <w:sz w:val="24"/>
          <w:szCs w:val="24"/>
        </w:rPr>
        <w:t>3</w:t>
      </w:r>
      <w:r>
        <w:rPr>
          <w:rFonts w:hAnsi="宋体"/>
          <w:kern w:val="0"/>
          <w:sz w:val="24"/>
          <w:szCs w:val="24"/>
        </w:rPr>
        <w:t>、最低</w:t>
      </w:r>
      <w:r>
        <w:rPr>
          <w:rFonts w:hAnsi="宋体" w:hint="eastAsia"/>
          <w:kern w:val="0"/>
          <w:sz w:val="24"/>
          <w:szCs w:val="24"/>
        </w:rPr>
        <w:t>基金份额</w:t>
      </w:r>
      <w:r>
        <w:rPr>
          <w:rFonts w:hAnsi="宋体"/>
          <w:kern w:val="0"/>
          <w:sz w:val="24"/>
          <w:szCs w:val="24"/>
        </w:rPr>
        <w:t>余额的限制</w:t>
      </w:r>
    </w:p>
    <w:p w14:paraId="7E180397" w14:textId="77777777" w:rsidR="00791BDD" w:rsidRDefault="00B75151">
      <w:pPr>
        <w:widowControl/>
        <w:adjustRightInd w:val="0"/>
        <w:snapToGrid w:val="0"/>
        <w:spacing w:line="360" w:lineRule="auto"/>
        <w:ind w:firstLineChars="200" w:firstLine="480"/>
        <w:rPr>
          <w:rFonts w:hAnsi="宋体"/>
          <w:sz w:val="24"/>
          <w:szCs w:val="24"/>
        </w:rPr>
      </w:pPr>
      <w:r>
        <w:rPr>
          <w:rFonts w:hAnsi="宋体" w:hint="eastAsia"/>
          <w:sz w:val="24"/>
          <w:szCs w:val="24"/>
        </w:rPr>
        <w:t>每个工作日投资人在单个基金交易账户保留的本基金基金份额余额少于</w:t>
      </w:r>
      <w:r>
        <w:rPr>
          <w:rFonts w:hAnsi="宋体" w:hint="eastAsia"/>
          <w:sz w:val="24"/>
          <w:szCs w:val="24"/>
        </w:rPr>
        <w:t>1</w:t>
      </w:r>
      <w:r>
        <w:rPr>
          <w:rFonts w:hAnsi="宋体" w:hint="eastAsia"/>
          <w:sz w:val="24"/>
          <w:szCs w:val="24"/>
        </w:rPr>
        <w:t>份时，若当日该账户同时有基金份额减少类业务（如赎回、转换出等）被确认，则基金管理人有权将投资人在该账户保留的本基金基金份额一次性全部赎回。</w:t>
      </w:r>
      <w:bookmarkEnd w:id="33"/>
    </w:p>
    <w:p w14:paraId="7A4EAB2B" w14:textId="77777777" w:rsidR="00791BDD" w:rsidRDefault="00B75151">
      <w:pPr>
        <w:widowControl/>
        <w:adjustRightInd w:val="0"/>
        <w:snapToGrid w:val="0"/>
        <w:spacing w:line="360" w:lineRule="auto"/>
        <w:ind w:firstLineChars="200" w:firstLine="480"/>
        <w:rPr>
          <w:rFonts w:hAnsi="宋体"/>
          <w:sz w:val="24"/>
          <w:szCs w:val="24"/>
        </w:rPr>
      </w:pPr>
      <w:r>
        <w:rPr>
          <w:rFonts w:hAnsi="宋体"/>
          <w:sz w:val="24"/>
          <w:szCs w:val="24"/>
        </w:rPr>
        <w:t>4</w:t>
      </w:r>
      <w:r>
        <w:rPr>
          <w:rFonts w:hAnsi="宋体" w:hint="eastAsia"/>
          <w:sz w:val="24"/>
          <w:szCs w:val="24"/>
        </w:rPr>
        <w:t>、基金管理人可以规定本基金的总规模上限、单个投资人累计持有的基金份额上限，具体规定请参见相关公告。</w:t>
      </w:r>
    </w:p>
    <w:p w14:paraId="37097F71" w14:textId="77777777" w:rsidR="00791BDD" w:rsidRDefault="00B75151">
      <w:pPr>
        <w:widowControl/>
        <w:adjustRightInd w:val="0"/>
        <w:snapToGrid w:val="0"/>
        <w:spacing w:line="360" w:lineRule="auto"/>
        <w:ind w:firstLineChars="200" w:firstLine="480"/>
        <w:rPr>
          <w:rFonts w:hAnsi="宋体"/>
          <w:sz w:val="24"/>
          <w:szCs w:val="24"/>
        </w:rPr>
      </w:pPr>
      <w:r>
        <w:rPr>
          <w:rFonts w:hAnsi="宋体"/>
          <w:sz w:val="24"/>
          <w:szCs w:val="24"/>
        </w:rPr>
        <w:t>5</w:t>
      </w:r>
      <w:r>
        <w:rPr>
          <w:rFonts w:hAnsi="宋体"/>
          <w:sz w:val="24"/>
          <w:szCs w:val="24"/>
        </w:rPr>
        <w:t>、</w:t>
      </w:r>
      <w:r>
        <w:rPr>
          <w:rFonts w:hAnsi="宋体" w:hint="eastAsia"/>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相关公告。</w:t>
      </w:r>
    </w:p>
    <w:p w14:paraId="026ADE68" w14:textId="77777777" w:rsidR="00791BDD" w:rsidRDefault="00B75151">
      <w:pPr>
        <w:widowControl/>
        <w:adjustRightInd w:val="0"/>
        <w:snapToGrid w:val="0"/>
        <w:spacing w:line="360" w:lineRule="auto"/>
        <w:ind w:firstLineChars="200" w:firstLine="480"/>
        <w:rPr>
          <w:kern w:val="0"/>
          <w:sz w:val="24"/>
          <w:szCs w:val="24"/>
        </w:rPr>
      </w:pPr>
      <w:r>
        <w:rPr>
          <w:kern w:val="0"/>
          <w:sz w:val="24"/>
          <w:szCs w:val="24"/>
        </w:rPr>
        <w:lastRenderedPageBreak/>
        <w:t>6</w:t>
      </w:r>
      <w:r>
        <w:rPr>
          <w:rFonts w:hAnsi="宋体"/>
          <w:kern w:val="0"/>
          <w:sz w:val="24"/>
          <w:szCs w:val="24"/>
        </w:rPr>
        <w:t>、</w:t>
      </w:r>
      <w:r>
        <w:rPr>
          <w:rFonts w:hAnsi="宋体" w:hint="eastAsia"/>
          <w:kern w:val="0"/>
          <w:sz w:val="24"/>
          <w:szCs w:val="24"/>
        </w:rPr>
        <w:t>基金管理人可在法律法规允许的情况下，调整上述规定申购金额和赎回份额的数量限制。</w:t>
      </w:r>
      <w:r>
        <w:rPr>
          <w:rFonts w:hAnsi="宋体"/>
          <w:kern w:val="0"/>
          <w:sz w:val="24"/>
          <w:szCs w:val="24"/>
        </w:rPr>
        <w:t>基金管理人必须在调整</w:t>
      </w:r>
      <w:r>
        <w:rPr>
          <w:rFonts w:hAnsi="宋体" w:hint="eastAsia"/>
          <w:kern w:val="0"/>
          <w:sz w:val="24"/>
          <w:szCs w:val="24"/>
        </w:rPr>
        <w:t>实施</w:t>
      </w:r>
      <w:r>
        <w:rPr>
          <w:rFonts w:hAnsi="宋体"/>
          <w:kern w:val="0"/>
          <w:sz w:val="24"/>
          <w:szCs w:val="24"/>
        </w:rPr>
        <w:t>前依照《信息披露办法》的有关规定在规定媒介上公告。</w:t>
      </w:r>
    </w:p>
    <w:p w14:paraId="58E2F2C7" w14:textId="77777777" w:rsidR="00791BDD" w:rsidRDefault="00B75151">
      <w:pPr>
        <w:adjustRightInd w:val="0"/>
        <w:snapToGrid w:val="0"/>
        <w:spacing w:line="360" w:lineRule="auto"/>
        <w:ind w:firstLineChars="200" w:firstLine="482"/>
        <w:outlineLvl w:val="1"/>
        <w:rPr>
          <w:sz w:val="24"/>
          <w:szCs w:val="24"/>
        </w:rPr>
      </w:pPr>
      <w:r>
        <w:rPr>
          <w:rFonts w:hAnsi="宋体"/>
          <w:b/>
          <w:kern w:val="0"/>
          <w:sz w:val="24"/>
          <w:szCs w:val="24"/>
        </w:rPr>
        <w:t>（五）申购和赎回的程序</w:t>
      </w:r>
    </w:p>
    <w:p w14:paraId="1588A293" w14:textId="77777777" w:rsidR="00791BDD" w:rsidRDefault="00B75151">
      <w:pPr>
        <w:adjustRightInd w:val="0"/>
        <w:snapToGrid w:val="0"/>
        <w:spacing w:line="360" w:lineRule="auto"/>
        <w:ind w:firstLineChars="200" w:firstLine="480"/>
        <w:outlineLvl w:val="2"/>
        <w:rPr>
          <w:sz w:val="24"/>
          <w:szCs w:val="24"/>
        </w:rPr>
      </w:pPr>
      <w:r>
        <w:rPr>
          <w:sz w:val="24"/>
          <w:szCs w:val="24"/>
        </w:rPr>
        <w:t>1</w:t>
      </w:r>
      <w:r>
        <w:rPr>
          <w:rFonts w:hAnsi="宋体"/>
          <w:sz w:val="24"/>
          <w:szCs w:val="24"/>
        </w:rPr>
        <w:t>、申购和赎回的申请方式</w:t>
      </w:r>
    </w:p>
    <w:p w14:paraId="35D1A98F"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投资人必须根据销售机构规定的程序，在开放日的具体业务办理时间内提出申购或赎回的申请。投资人在提交申购申请时须按销售机构规定的方式备足申购资金，投资人在提交赎回申请时须持有足够的基金份额余额，否则所提交的申购、赎回申请不成立。</w:t>
      </w:r>
    </w:p>
    <w:p w14:paraId="4762A9B7" w14:textId="77777777" w:rsidR="00791BDD" w:rsidRDefault="00B75151">
      <w:pPr>
        <w:widowControl/>
        <w:adjustRightInd w:val="0"/>
        <w:snapToGrid w:val="0"/>
        <w:spacing w:line="360" w:lineRule="auto"/>
        <w:ind w:firstLineChars="200" w:firstLine="480"/>
        <w:outlineLvl w:val="2"/>
        <w:rPr>
          <w:rFonts w:hAnsi="宋体"/>
          <w:kern w:val="0"/>
          <w:sz w:val="24"/>
          <w:szCs w:val="24"/>
        </w:rPr>
      </w:pPr>
      <w:r>
        <w:rPr>
          <w:rFonts w:hAnsi="宋体"/>
          <w:kern w:val="0"/>
          <w:sz w:val="24"/>
          <w:szCs w:val="24"/>
        </w:rPr>
        <w:t>2</w:t>
      </w:r>
      <w:r>
        <w:rPr>
          <w:rFonts w:hAnsi="宋体" w:hint="eastAsia"/>
          <w:kern w:val="0"/>
          <w:sz w:val="24"/>
          <w:szCs w:val="24"/>
        </w:rPr>
        <w:t>、</w:t>
      </w:r>
      <w:r>
        <w:rPr>
          <w:rFonts w:hAnsi="宋体"/>
          <w:kern w:val="0"/>
          <w:sz w:val="24"/>
          <w:szCs w:val="24"/>
        </w:rPr>
        <w:t>申购和赎回的款项支付</w:t>
      </w:r>
    </w:p>
    <w:p w14:paraId="2F15B85C"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投资人申购基金份额时，必须全额交付申购款项，若申购资金在规定时间内未全额到账则申购不成立。投资人全额交付申购款项，申购成立；基金登记机构确认基金份额时，申购生效。</w:t>
      </w:r>
    </w:p>
    <w:p w14:paraId="6F4E63F5"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基金份额持有人递交赎回申请，赎回成立；基金登记机构确认赎回时，赎回生效。投资者赎回申请生效后，基金管理人将在</w:t>
      </w:r>
      <w:r>
        <w:rPr>
          <w:rFonts w:hAnsi="宋体" w:hint="eastAsia"/>
          <w:kern w:val="0"/>
          <w:sz w:val="24"/>
          <w:szCs w:val="24"/>
        </w:rPr>
        <w:t>T</w:t>
      </w:r>
      <w:r>
        <w:rPr>
          <w:rFonts w:hAnsi="宋体"/>
          <w:kern w:val="0"/>
          <w:sz w:val="24"/>
          <w:szCs w:val="24"/>
        </w:rPr>
        <w:t>+</w:t>
      </w:r>
      <w:r>
        <w:rPr>
          <w:rFonts w:hAnsi="宋体" w:hint="eastAsia"/>
          <w:kern w:val="0"/>
          <w:sz w:val="24"/>
          <w:szCs w:val="24"/>
        </w:rPr>
        <w:t>7</w:t>
      </w:r>
      <w:r>
        <w:rPr>
          <w:rFonts w:hAnsi="宋体" w:hint="eastAsia"/>
          <w:kern w:val="0"/>
          <w:sz w:val="24"/>
          <w:szCs w:val="24"/>
        </w:rPr>
        <w:t>日（包括该日）内支付赎回款项。在发生巨额赎回或基金合同载明的其他暂停赎回或延缓支付赎回款项的情形时，款项的支付办法参照基金合同有关条款处理。</w:t>
      </w:r>
    </w:p>
    <w:p w14:paraId="2D5D933C" w14:textId="77777777" w:rsidR="00791BDD" w:rsidRDefault="00B75151">
      <w:pPr>
        <w:widowControl/>
        <w:adjustRightInd w:val="0"/>
        <w:snapToGrid w:val="0"/>
        <w:spacing w:line="360" w:lineRule="auto"/>
        <w:ind w:firstLineChars="200" w:firstLine="480"/>
        <w:outlineLvl w:val="2"/>
        <w:rPr>
          <w:rFonts w:hAnsi="宋体"/>
          <w:kern w:val="0"/>
          <w:sz w:val="24"/>
          <w:szCs w:val="24"/>
        </w:rPr>
      </w:pPr>
      <w:r>
        <w:rPr>
          <w:rFonts w:hAnsi="宋体"/>
          <w:kern w:val="0"/>
          <w:sz w:val="24"/>
          <w:szCs w:val="24"/>
        </w:rPr>
        <w:t>3</w:t>
      </w:r>
      <w:r>
        <w:rPr>
          <w:rFonts w:hAnsi="宋体" w:hint="eastAsia"/>
          <w:kern w:val="0"/>
          <w:sz w:val="24"/>
          <w:szCs w:val="24"/>
        </w:rPr>
        <w:t>、</w:t>
      </w:r>
      <w:r>
        <w:rPr>
          <w:rFonts w:hAnsi="宋体"/>
          <w:kern w:val="0"/>
          <w:sz w:val="24"/>
          <w:szCs w:val="24"/>
        </w:rPr>
        <w:t>申购和赎回申请的确认</w:t>
      </w:r>
    </w:p>
    <w:p w14:paraId="79E6278E"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基金管理人或基金管理人委托的登记机构应以交易时间结束前受理有效申购和赎回申请的当天作为申购或赎回申请日（</w:t>
      </w:r>
      <w:r>
        <w:rPr>
          <w:rFonts w:hAnsi="宋体" w:hint="eastAsia"/>
          <w:kern w:val="0"/>
          <w:sz w:val="24"/>
          <w:szCs w:val="24"/>
        </w:rPr>
        <w:t>T</w:t>
      </w:r>
      <w:r>
        <w:rPr>
          <w:rFonts w:hAnsi="宋体" w:hint="eastAsia"/>
          <w:kern w:val="0"/>
          <w:sz w:val="24"/>
          <w:szCs w:val="24"/>
        </w:rPr>
        <w:t>日），在正常情况下，本基金登记机构在</w:t>
      </w:r>
      <w:r>
        <w:rPr>
          <w:rFonts w:hAnsi="宋体" w:hint="eastAsia"/>
          <w:kern w:val="0"/>
          <w:sz w:val="24"/>
          <w:szCs w:val="24"/>
        </w:rPr>
        <w:t>T+1</w:t>
      </w:r>
      <w:r>
        <w:rPr>
          <w:rFonts w:hAnsi="宋体" w:hint="eastAsia"/>
          <w:kern w:val="0"/>
          <w:sz w:val="24"/>
          <w:szCs w:val="24"/>
        </w:rPr>
        <w:t>日（包括该日）内对该交易的有效性进行确认。</w:t>
      </w:r>
      <w:r>
        <w:rPr>
          <w:rFonts w:hAnsi="宋体" w:hint="eastAsia"/>
          <w:kern w:val="0"/>
          <w:sz w:val="24"/>
          <w:szCs w:val="24"/>
        </w:rPr>
        <w:t>T</w:t>
      </w:r>
      <w:r>
        <w:rPr>
          <w:rFonts w:hAnsi="宋体" w:hint="eastAsia"/>
          <w:kern w:val="0"/>
          <w:sz w:val="24"/>
          <w:szCs w:val="24"/>
        </w:rPr>
        <w:t>日提交的有效申请，投资人应在</w:t>
      </w:r>
      <w:r>
        <w:rPr>
          <w:rFonts w:hAnsi="宋体" w:hint="eastAsia"/>
          <w:kern w:val="0"/>
          <w:sz w:val="24"/>
          <w:szCs w:val="24"/>
        </w:rPr>
        <w:t>T+2</w:t>
      </w:r>
      <w:r>
        <w:rPr>
          <w:rFonts w:hAnsi="宋体" w:hint="eastAsia"/>
          <w:kern w:val="0"/>
          <w:sz w:val="24"/>
          <w:szCs w:val="24"/>
        </w:rPr>
        <w:t>日后（包括该日）及时到销售网点柜台或以销售机构规定的其他方式查询申请的确认情况。若申购不成功，则申购款项退还给投资人。</w:t>
      </w:r>
    </w:p>
    <w:p w14:paraId="0D886CB9"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基金管理人可在法律法规允许的范围内，依法对上述申购和赎回申请的确认时间进行调整，并必须在调整实施日前按照《信息披露办法》的有关规定在规定媒介上公告。</w:t>
      </w:r>
    </w:p>
    <w:p w14:paraId="45BFABAE" w14:textId="77777777" w:rsidR="00791BDD" w:rsidRDefault="00B75151">
      <w:pPr>
        <w:pStyle w:val="a0"/>
        <w:autoSpaceDE w:val="0"/>
        <w:autoSpaceDN w:val="0"/>
        <w:adjustRightInd w:val="0"/>
        <w:snapToGrid w:val="0"/>
        <w:spacing w:line="360" w:lineRule="auto"/>
        <w:ind w:firstLine="480"/>
        <w:rPr>
          <w:rFonts w:hAnsi="宋体"/>
          <w:kern w:val="0"/>
          <w:sz w:val="24"/>
          <w:szCs w:val="24"/>
        </w:rPr>
      </w:pPr>
      <w:r>
        <w:rPr>
          <w:rFonts w:hAnsi="宋体" w:hint="eastAsia"/>
          <w:kern w:val="0"/>
          <w:sz w:val="24"/>
          <w:szCs w:val="24"/>
        </w:rPr>
        <w:t>销售机构对申购、赎回申请的受理并不代表该申请一定成功，而仅代表销售机构确实接收到申购、赎回申请。申购、赎回申请的确认以登记机构的确认结果为准。</w:t>
      </w:r>
      <w:r>
        <w:rPr>
          <w:rFonts w:hAnsi="宋体" w:hint="eastAsia"/>
          <w:kern w:val="0"/>
          <w:sz w:val="24"/>
          <w:szCs w:val="24"/>
        </w:rPr>
        <w:lastRenderedPageBreak/>
        <w:t>对于申请的确认情况，投资者应及时查询。</w:t>
      </w:r>
    </w:p>
    <w:p w14:paraId="652A0E12" w14:textId="77777777" w:rsidR="00791BDD" w:rsidRDefault="00B75151">
      <w:pPr>
        <w:pStyle w:val="a0"/>
        <w:autoSpaceDE w:val="0"/>
        <w:autoSpaceDN w:val="0"/>
        <w:adjustRightInd w:val="0"/>
        <w:snapToGrid w:val="0"/>
        <w:spacing w:line="360" w:lineRule="auto"/>
        <w:ind w:firstLine="480"/>
        <w:outlineLvl w:val="2"/>
        <w:rPr>
          <w:sz w:val="24"/>
          <w:szCs w:val="24"/>
        </w:rPr>
      </w:pPr>
      <w:r>
        <w:rPr>
          <w:sz w:val="24"/>
          <w:szCs w:val="24"/>
        </w:rPr>
        <w:t>4</w:t>
      </w:r>
      <w:r>
        <w:rPr>
          <w:rFonts w:hAnsi="宋体"/>
          <w:sz w:val="24"/>
          <w:szCs w:val="24"/>
        </w:rPr>
        <w:t>、申购和赎回的登记</w:t>
      </w:r>
    </w:p>
    <w:p w14:paraId="196ABCE8" w14:textId="77777777" w:rsidR="00791BDD" w:rsidRDefault="00B75151">
      <w:pPr>
        <w:widowControl/>
        <w:adjustRightInd w:val="0"/>
        <w:snapToGrid w:val="0"/>
        <w:spacing w:line="360" w:lineRule="auto"/>
        <w:ind w:firstLineChars="200" w:firstLine="480"/>
        <w:rPr>
          <w:sz w:val="24"/>
          <w:szCs w:val="24"/>
        </w:rPr>
      </w:pPr>
      <w:r>
        <w:rPr>
          <w:rFonts w:hAnsi="宋体"/>
          <w:sz w:val="24"/>
          <w:szCs w:val="24"/>
        </w:rPr>
        <w:t>（</w:t>
      </w:r>
      <w:r>
        <w:rPr>
          <w:sz w:val="24"/>
          <w:szCs w:val="24"/>
        </w:rPr>
        <w:t>1</w:t>
      </w:r>
      <w:r>
        <w:rPr>
          <w:rFonts w:hAnsi="宋体"/>
          <w:sz w:val="24"/>
          <w:szCs w:val="24"/>
        </w:rPr>
        <w:t>）投资人</w:t>
      </w:r>
      <w:r>
        <w:rPr>
          <w:sz w:val="24"/>
          <w:szCs w:val="24"/>
        </w:rPr>
        <w:t>T</w:t>
      </w:r>
      <w:r>
        <w:rPr>
          <w:rFonts w:hAnsi="宋体"/>
          <w:sz w:val="24"/>
          <w:szCs w:val="24"/>
        </w:rPr>
        <w:t>日申购基金成功后，正常情况下，登记机构在</w:t>
      </w:r>
      <w:r>
        <w:rPr>
          <w:sz w:val="24"/>
          <w:szCs w:val="24"/>
        </w:rPr>
        <w:t>T</w:t>
      </w:r>
      <w:r>
        <w:rPr>
          <w:rFonts w:hAnsi="宋体"/>
          <w:sz w:val="24"/>
          <w:szCs w:val="24"/>
        </w:rPr>
        <w:t>＋</w:t>
      </w:r>
      <w:r>
        <w:rPr>
          <w:sz w:val="24"/>
          <w:szCs w:val="24"/>
        </w:rPr>
        <w:t>1</w:t>
      </w:r>
      <w:r>
        <w:rPr>
          <w:rFonts w:hAnsi="宋体"/>
          <w:sz w:val="24"/>
          <w:szCs w:val="24"/>
        </w:rPr>
        <w:t>日为投资人增加权益并办理登记手续，投资人自</w:t>
      </w:r>
      <w:r>
        <w:rPr>
          <w:sz w:val="24"/>
          <w:szCs w:val="24"/>
        </w:rPr>
        <w:t>T</w:t>
      </w:r>
      <w:r>
        <w:rPr>
          <w:rFonts w:hAnsi="宋体"/>
          <w:sz w:val="24"/>
          <w:szCs w:val="24"/>
        </w:rPr>
        <w:t>＋</w:t>
      </w:r>
      <w:r>
        <w:rPr>
          <w:sz w:val="24"/>
          <w:szCs w:val="24"/>
        </w:rPr>
        <w:t>2</w:t>
      </w:r>
      <w:r>
        <w:rPr>
          <w:rFonts w:hAnsi="宋体"/>
          <w:sz w:val="24"/>
          <w:szCs w:val="24"/>
        </w:rPr>
        <w:t>日</w:t>
      </w:r>
      <w:r>
        <w:rPr>
          <w:rFonts w:hAnsi="宋体" w:hint="eastAsia"/>
          <w:sz w:val="24"/>
          <w:szCs w:val="24"/>
        </w:rPr>
        <w:t>起</w:t>
      </w:r>
      <w:r>
        <w:rPr>
          <w:rFonts w:hAnsi="宋体"/>
          <w:sz w:val="24"/>
          <w:szCs w:val="24"/>
        </w:rPr>
        <w:t>（包括该日）有权赎回该部分基金份额。投资人应及时查询有关申请的确认情况。</w:t>
      </w:r>
    </w:p>
    <w:p w14:paraId="2EDDC721" w14:textId="77777777" w:rsidR="00791BDD" w:rsidRDefault="00B75151">
      <w:pPr>
        <w:widowControl/>
        <w:adjustRightInd w:val="0"/>
        <w:snapToGrid w:val="0"/>
        <w:spacing w:line="360" w:lineRule="auto"/>
        <w:ind w:firstLineChars="200" w:firstLine="480"/>
        <w:rPr>
          <w:sz w:val="24"/>
          <w:szCs w:val="24"/>
        </w:rPr>
      </w:pPr>
      <w:r>
        <w:rPr>
          <w:rFonts w:hAnsi="宋体"/>
          <w:sz w:val="24"/>
          <w:szCs w:val="24"/>
        </w:rPr>
        <w:t>（</w:t>
      </w:r>
      <w:r>
        <w:rPr>
          <w:sz w:val="24"/>
          <w:szCs w:val="24"/>
        </w:rPr>
        <w:t>2</w:t>
      </w:r>
      <w:r>
        <w:rPr>
          <w:rFonts w:hAnsi="宋体"/>
          <w:sz w:val="24"/>
          <w:szCs w:val="24"/>
        </w:rPr>
        <w:t>）投资人</w:t>
      </w:r>
      <w:r>
        <w:rPr>
          <w:sz w:val="24"/>
          <w:szCs w:val="24"/>
        </w:rPr>
        <w:t>T</w:t>
      </w:r>
      <w:r>
        <w:rPr>
          <w:rFonts w:hAnsi="宋体"/>
          <w:sz w:val="24"/>
          <w:szCs w:val="24"/>
        </w:rPr>
        <w:t>日赎回基金成功后，正常情况下，登记机构在</w:t>
      </w:r>
      <w:r>
        <w:rPr>
          <w:sz w:val="24"/>
          <w:szCs w:val="24"/>
        </w:rPr>
        <w:t>T</w:t>
      </w:r>
      <w:r>
        <w:rPr>
          <w:rFonts w:hAnsi="宋体"/>
          <w:sz w:val="24"/>
          <w:szCs w:val="24"/>
        </w:rPr>
        <w:t>＋</w:t>
      </w:r>
      <w:r>
        <w:rPr>
          <w:sz w:val="24"/>
          <w:szCs w:val="24"/>
        </w:rPr>
        <w:t>1</w:t>
      </w:r>
      <w:r>
        <w:rPr>
          <w:rFonts w:hAnsi="宋体"/>
          <w:sz w:val="24"/>
          <w:szCs w:val="24"/>
        </w:rPr>
        <w:t>日为投资人扣除权益并办理相应的登记手续。</w:t>
      </w:r>
    </w:p>
    <w:p w14:paraId="0D2D1555" w14:textId="77777777" w:rsidR="00791BDD" w:rsidRDefault="00B75151">
      <w:pPr>
        <w:widowControl/>
        <w:adjustRightInd w:val="0"/>
        <w:snapToGrid w:val="0"/>
        <w:spacing w:line="360" w:lineRule="auto"/>
        <w:ind w:firstLineChars="200" w:firstLine="480"/>
        <w:rPr>
          <w:sz w:val="24"/>
          <w:szCs w:val="24"/>
        </w:rPr>
      </w:pPr>
      <w:r>
        <w:rPr>
          <w:rFonts w:hAnsi="宋体"/>
          <w:sz w:val="24"/>
          <w:szCs w:val="24"/>
        </w:rPr>
        <w:t>（</w:t>
      </w:r>
      <w:r>
        <w:rPr>
          <w:sz w:val="24"/>
          <w:szCs w:val="24"/>
        </w:rPr>
        <w:t>3</w:t>
      </w:r>
      <w:r>
        <w:rPr>
          <w:rFonts w:hAnsi="宋体"/>
          <w:sz w:val="24"/>
          <w:szCs w:val="24"/>
        </w:rPr>
        <w:t>）基金管理人可在法律法规允许的范围内，对上述登记办理时间进行调整，并于开始实施前按照《信息披露办法》的有关规定在规定媒介上公告。</w:t>
      </w:r>
    </w:p>
    <w:p w14:paraId="15981747" w14:textId="77777777" w:rsidR="00791BDD" w:rsidRDefault="00B75151">
      <w:pPr>
        <w:widowControl/>
        <w:adjustRightInd w:val="0"/>
        <w:snapToGrid w:val="0"/>
        <w:spacing w:line="360" w:lineRule="auto"/>
        <w:ind w:firstLineChars="200" w:firstLine="482"/>
        <w:outlineLvl w:val="1"/>
        <w:rPr>
          <w:b/>
          <w:kern w:val="0"/>
          <w:sz w:val="24"/>
          <w:szCs w:val="24"/>
        </w:rPr>
      </w:pPr>
      <w:r>
        <w:rPr>
          <w:rFonts w:hAnsi="宋体"/>
          <w:b/>
          <w:kern w:val="0"/>
          <w:sz w:val="24"/>
          <w:szCs w:val="24"/>
        </w:rPr>
        <w:t>（六）基金的申购费和赎回费</w:t>
      </w:r>
    </w:p>
    <w:p w14:paraId="06C1B784" w14:textId="77777777" w:rsidR="00791BDD" w:rsidRDefault="00B75151">
      <w:pPr>
        <w:widowControl/>
        <w:adjustRightInd w:val="0"/>
        <w:snapToGrid w:val="0"/>
        <w:spacing w:line="360" w:lineRule="auto"/>
        <w:ind w:firstLineChars="200" w:firstLine="480"/>
        <w:rPr>
          <w:rFonts w:hAnsi="宋体"/>
          <w:sz w:val="24"/>
          <w:szCs w:val="24"/>
        </w:rPr>
      </w:pPr>
      <w:r>
        <w:rPr>
          <w:rFonts w:hAnsi="宋体"/>
          <w:sz w:val="24"/>
          <w:szCs w:val="24"/>
        </w:rPr>
        <w:t>1</w:t>
      </w:r>
      <w:r>
        <w:rPr>
          <w:rFonts w:hAnsi="宋体"/>
          <w:sz w:val="24"/>
          <w:szCs w:val="24"/>
        </w:rPr>
        <w:t>、申购费用</w:t>
      </w:r>
    </w:p>
    <w:p w14:paraId="50AA09AF" w14:textId="77777777" w:rsidR="00791BDD" w:rsidRDefault="00B75151">
      <w:pPr>
        <w:widowControl/>
        <w:adjustRightInd w:val="0"/>
        <w:snapToGrid w:val="0"/>
        <w:spacing w:line="360" w:lineRule="auto"/>
        <w:ind w:firstLineChars="200" w:firstLine="480"/>
        <w:rPr>
          <w:rFonts w:hAnsi="宋体"/>
          <w:sz w:val="24"/>
          <w:szCs w:val="24"/>
        </w:rPr>
      </w:pPr>
      <w:r>
        <w:rPr>
          <w:rFonts w:hAnsi="宋体" w:hint="eastAsia"/>
          <w:sz w:val="24"/>
          <w:szCs w:val="24"/>
        </w:rPr>
        <w:t>通过直销机构申购本基金不收取申购费；通过其他销售机构申购</w:t>
      </w:r>
      <w:r>
        <w:rPr>
          <w:rFonts w:hAnsi="宋体"/>
          <w:sz w:val="24"/>
          <w:szCs w:val="24"/>
        </w:rPr>
        <w:t>本基金的</w:t>
      </w:r>
      <w:r>
        <w:rPr>
          <w:rFonts w:hAnsi="宋体" w:hint="eastAsia"/>
          <w:sz w:val="24"/>
          <w:szCs w:val="24"/>
        </w:rPr>
        <w:t>，</w:t>
      </w:r>
      <w:r>
        <w:rPr>
          <w:rFonts w:hAnsi="宋体"/>
          <w:sz w:val="24"/>
          <w:szCs w:val="24"/>
        </w:rPr>
        <w:t>申购费用由</w:t>
      </w:r>
      <w:r>
        <w:rPr>
          <w:rFonts w:hAnsi="宋体" w:hint="eastAsia"/>
          <w:sz w:val="24"/>
          <w:szCs w:val="24"/>
        </w:rPr>
        <w:t>申购基金份额的投资</w:t>
      </w:r>
      <w:r>
        <w:rPr>
          <w:rFonts w:hAnsi="宋体"/>
          <w:sz w:val="24"/>
          <w:szCs w:val="24"/>
        </w:rPr>
        <w:t>人承担，投资人可以多次申购本基金，申购费</w:t>
      </w:r>
      <w:r>
        <w:rPr>
          <w:rFonts w:hAnsi="宋体" w:hint="eastAsia"/>
          <w:sz w:val="24"/>
          <w:szCs w:val="24"/>
        </w:rPr>
        <w:t>用</w:t>
      </w:r>
      <w:r>
        <w:rPr>
          <w:rFonts w:hAnsi="宋体"/>
          <w:sz w:val="24"/>
          <w:szCs w:val="24"/>
        </w:rPr>
        <w:t>按每笔申购申请单独计算。</w:t>
      </w:r>
      <w:r>
        <w:rPr>
          <w:rFonts w:hAnsi="宋体" w:hint="eastAsia"/>
          <w:sz w:val="24"/>
          <w:szCs w:val="24"/>
        </w:rPr>
        <w:t>申购费用</w:t>
      </w:r>
      <w:r>
        <w:rPr>
          <w:rFonts w:hAnsi="宋体"/>
          <w:sz w:val="24"/>
          <w:szCs w:val="24"/>
        </w:rPr>
        <w:t>不列入基金财产，主要用于本基金的市场推广、销售等各项费用。</w:t>
      </w:r>
    </w:p>
    <w:p w14:paraId="26426A66" w14:textId="77777777" w:rsidR="00791BDD" w:rsidRDefault="00B75151">
      <w:pPr>
        <w:widowControl/>
        <w:adjustRightInd w:val="0"/>
        <w:snapToGrid w:val="0"/>
        <w:spacing w:line="360" w:lineRule="auto"/>
        <w:ind w:firstLineChars="200" w:firstLine="480"/>
        <w:rPr>
          <w:rFonts w:hAnsi="宋体"/>
          <w:sz w:val="24"/>
          <w:szCs w:val="24"/>
        </w:rPr>
      </w:pPr>
      <w:r>
        <w:rPr>
          <w:rFonts w:hAnsi="宋体" w:hint="eastAsia"/>
          <w:sz w:val="24"/>
          <w:szCs w:val="24"/>
        </w:rPr>
        <w:t>通过其他销售机构申购</w:t>
      </w:r>
      <w:r>
        <w:rPr>
          <w:rFonts w:hAnsi="宋体"/>
          <w:sz w:val="24"/>
          <w:szCs w:val="24"/>
        </w:rPr>
        <w:t>本基金的申购费率如下：</w:t>
      </w:r>
    </w:p>
    <w:tbl>
      <w:tblPr>
        <w:tblW w:w="6205"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3260"/>
        <w:gridCol w:w="2945"/>
      </w:tblGrid>
      <w:tr w:rsidR="00791BDD" w14:paraId="5974F655" w14:textId="77777777">
        <w:trPr>
          <w:cantSplit/>
          <w:trHeight w:val="132"/>
        </w:trPr>
        <w:tc>
          <w:tcPr>
            <w:tcW w:w="3260" w:type="dxa"/>
            <w:shd w:val="clear" w:color="auto" w:fill="FFFFFF"/>
            <w:vAlign w:val="center"/>
          </w:tcPr>
          <w:p w14:paraId="5CF88D24" w14:textId="77777777" w:rsidR="00791BDD" w:rsidRDefault="00B75151">
            <w:pPr>
              <w:adjustRightInd w:val="0"/>
              <w:snapToGrid w:val="0"/>
              <w:jc w:val="center"/>
              <w:rPr>
                <w:b/>
                <w:sz w:val="24"/>
              </w:rPr>
            </w:pPr>
            <w:r>
              <w:rPr>
                <w:b/>
                <w:sz w:val="24"/>
              </w:rPr>
              <w:t>申购金额（含申购费）</w:t>
            </w:r>
          </w:p>
        </w:tc>
        <w:tc>
          <w:tcPr>
            <w:tcW w:w="2945" w:type="dxa"/>
            <w:shd w:val="clear" w:color="auto" w:fill="FFFFFF"/>
            <w:vAlign w:val="center"/>
          </w:tcPr>
          <w:p w14:paraId="464B7FDC" w14:textId="77777777" w:rsidR="00791BDD" w:rsidRDefault="00B75151">
            <w:pPr>
              <w:adjustRightInd w:val="0"/>
              <w:snapToGrid w:val="0"/>
              <w:jc w:val="center"/>
              <w:rPr>
                <w:b/>
                <w:sz w:val="24"/>
              </w:rPr>
            </w:pPr>
            <w:r>
              <w:rPr>
                <w:b/>
                <w:sz w:val="24"/>
              </w:rPr>
              <w:t>申购费率</w:t>
            </w:r>
          </w:p>
        </w:tc>
      </w:tr>
      <w:tr w:rsidR="00791BDD" w14:paraId="1AA9EFD2" w14:textId="77777777">
        <w:trPr>
          <w:cantSplit/>
          <w:trHeight w:val="131"/>
        </w:trPr>
        <w:tc>
          <w:tcPr>
            <w:tcW w:w="3260" w:type="dxa"/>
          </w:tcPr>
          <w:p w14:paraId="771B0BCB" w14:textId="77777777" w:rsidR="00791BDD" w:rsidRDefault="00B75151">
            <w:pPr>
              <w:adjustRightInd w:val="0"/>
              <w:snapToGrid w:val="0"/>
              <w:rPr>
                <w:sz w:val="24"/>
              </w:rPr>
            </w:pPr>
            <w:r>
              <w:rPr>
                <w:sz w:val="24"/>
              </w:rPr>
              <w:t>100</w:t>
            </w:r>
            <w:r>
              <w:rPr>
                <w:sz w:val="24"/>
              </w:rPr>
              <w:t>万元以下</w:t>
            </w:r>
          </w:p>
        </w:tc>
        <w:tc>
          <w:tcPr>
            <w:tcW w:w="2945" w:type="dxa"/>
            <w:vAlign w:val="center"/>
          </w:tcPr>
          <w:p w14:paraId="63A060AE" w14:textId="77777777" w:rsidR="00791BDD" w:rsidRDefault="00B75151">
            <w:pPr>
              <w:adjustRightInd w:val="0"/>
              <w:snapToGrid w:val="0"/>
              <w:jc w:val="center"/>
              <w:rPr>
                <w:sz w:val="24"/>
              </w:rPr>
            </w:pPr>
            <w:r>
              <w:rPr>
                <w:rFonts w:hint="eastAsia"/>
                <w:sz w:val="24"/>
              </w:rPr>
              <w:t>0</w:t>
            </w:r>
            <w:r>
              <w:rPr>
                <w:sz w:val="24"/>
              </w:rPr>
              <w:t>.8%</w:t>
            </w:r>
          </w:p>
        </w:tc>
      </w:tr>
      <w:tr w:rsidR="00791BDD" w14:paraId="1BB8C2F1" w14:textId="77777777">
        <w:trPr>
          <w:cantSplit/>
          <w:trHeight w:val="131"/>
        </w:trPr>
        <w:tc>
          <w:tcPr>
            <w:tcW w:w="3260" w:type="dxa"/>
          </w:tcPr>
          <w:p w14:paraId="04620164" w14:textId="77777777" w:rsidR="00791BDD" w:rsidRDefault="00B75151">
            <w:pPr>
              <w:adjustRightInd w:val="0"/>
              <w:snapToGrid w:val="0"/>
              <w:rPr>
                <w:sz w:val="24"/>
              </w:rPr>
            </w:pPr>
            <w:r>
              <w:rPr>
                <w:rFonts w:hint="eastAsia"/>
                <w:sz w:val="24"/>
              </w:rPr>
              <w:t>100</w:t>
            </w:r>
            <w:r>
              <w:rPr>
                <w:rFonts w:hint="eastAsia"/>
                <w:sz w:val="24"/>
              </w:rPr>
              <w:t>万元（含）至</w:t>
            </w:r>
            <w:r>
              <w:rPr>
                <w:sz w:val="24"/>
              </w:rPr>
              <w:t>2</w:t>
            </w:r>
            <w:r>
              <w:rPr>
                <w:rFonts w:hint="eastAsia"/>
                <w:sz w:val="24"/>
              </w:rPr>
              <w:t>00</w:t>
            </w:r>
            <w:r>
              <w:rPr>
                <w:rFonts w:hint="eastAsia"/>
                <w:sz w:val="24"/>
              </w:rPr>
              <w:t>万元</w:t>
            </w:r>
          </w:p>
        </w:tc>
        <w:tc>
          <w:tcPr>
            <w:tcW w:w="2945" w:type="dxa"/>
            <w:vAlign w:val="center"/>
          </w:tcPr>
          <w:p w14:paraId="3EDC1259" w14:textId="77777777" w:rsidR="00791BDD" w:rsidRDefault="00B75151">
            <w:pPr>
              <w:adjustRightInd w:val="0"/>
              <w:snapToGrid w:val="0"/>
              <w:jc w:val="center"/>
              <w:rPr>
                <w:sz w:val="24"/>
              </w:rPr>
            </w:pPr>
            <w:r>
              <w:rPr>
                <w:sz w:val="24"/>
              </w:rPr>
              <w:t>0.6%</w:t>
            </w:r>
          </w:p>
        </w:tc>
      </w:tr>
      <w:tr w:rsidR="00791BDD" w14:paraId="365FE62F" w14:textId="77777777">
        <w:trPr>
          <w:cantSplit/>
          <w:trHeight w:val="131"/>
        </w:trPr>
        <w:tc>
          <w:tcPr>
            <w:tcW w:w="3260" w:type="dxa"/>
            <w:vAlign w:val="center"/>
          </w:tcPr>
          <w:p w14:paraId="1A1B4C87" w14:textId="77777777" w:rsidR="00791BDD" w:rsidRDefault="00B75151">
            <w:pPr>
              <w:adjustRightInd w:val="0"/>
              <w:snapToGrid w:val="0"/>
              <w:rPr>
                <w:sz w:val="24"/>
              </w:rPr>
            </w:pPr>
            <w:r>
              <w:rPr>
                <w:color w:val="000000"/>
                <w:kern w:val="0"/>
                <w:sz w:val="25"/>
                <w:szCs w:val="24"/>
              </w:rPr>
              <w:t>200</w:t>
            </w:r>
            <w:r>
              <w:rPr>
                <w:rFonts w:hint="eastAsia"/>
                <w:color w:val="000000"/>
                <w:kern w:val="0"/>
                <w:sz w:val="25"/>
                <w:szCs w:val="24"/>
              </w:rPr>
              <w:t>万元（含）至</w:t>
            </w:r>
            <w:r>
              <w:rPr>
                <w:color w:val="000000"/>
                <w:kern w:val="0"/>
                <w:sz w:val="25"/>
                <w:szCs w:val="24"/>
              </w:rPr>
              <w:t>500</w:t>
            </w:r>
            <w:r>
              <w:rPr>
                <w:rFonts w:hint="eastAsia"/>
                <w:color w:val="000000"/>
                <w:kern w:val="0"/>
                <w:sz w:val="25"/>
                <w:szCs w:val="24"/>
              </w:rPr>
              <w:t>万元</w:t>
            </w:r>
          </w:p>
        </w:tc>
        <w:tc>
          <w:tcPr>
            <w:tcW w:w="2945" w:type="dxa"/>
            <w:vAlign w:val="center"/>
          </w:tcPr>
          <w:p w14:paraId="24539AA1" w14:textId="77777777" w:rsidR="00791BDD" w:rsidRDefault="00B75151">
            <w:pPr>
              <w:adjustRightInd w:val="0"/>
              <w:snapToGrid w:val="0"/>
              <w:jc w:val="center"/>
              <w:rPr>
                <w:sz w:val="24"/>
              </w:rPr>
            </w:pPr>
            <w:r>
              <w:rPr>
                <w:color w:val="000000"/>
                <w:kern w:val="0"/>
                <w:sz w:val="25"/>
                <w:szCs w:val="24"/>
              </w:rPr>
              <w:t>0.4%</w:t>
            </w:r>
          </w:p>
        </w:tc>
      </w:tr>
      <w:tr w:rsidR="00791BDD" w14:paraId="0178C89E" w14:textId="77777777">
        <w:trPr>
          <w:cantSplit/>
          <w:trHeight w:val="131"/>
        </w:trPr>
        <w:tc>
          <w:tcPr>
            <w:tcW w:w="3260" w:type="dxa"/>
          </w:tcPr>
          <w:p w14:paraId="180E6ECC" w14:textId="77777777" w:rsidR="00791BDD" w:rsidRDefault="00B75151">
            <w:pPr>
              <w:adjustRightInd w:val="0"/>
              <w:snapToGrid w:val="0"/>
              <w:rPr>
                <w:sz w:val="24"/>
              </w:rPr>
            </w:pPr>
            <w:r>
              <w:rPr>
                <w:sz w:val="24"/>
              </w:rPr>
              <w:t>500</w:t>
            </w:r>
            <w:r>
              <w:rPr>
                <w:sz w:val="24"/>
              </w:rPr>
              <w:t>万元以上（含</w:t>
            </w:r>
            <w:r>
              <w:rPr>
                <w:sz w:val="24"/>
              </w:rPr>
              <w:t>500</w:t>
            </w:r>
            <w:r>
              <w:rPr>
                <w:sz w:val="24"/>
              </w:rPr>
              <w:t>万</w:t>
            </w:r>
            <w:r>
              <w:rPr>
                <w:rFonts w:hint="eastAsia"/>
                <w:sz w:val="24"/>
              </w:rPr>
              <w:t>元</w:t>
            </w:r>
            <w:r>
              <w:rPr>
                <w:sz w:val="24"/>
              </w:rPr>
              <w:t>）</w:t>
            </w:r>
          </w:p>
        </w:tc>
        <w:tc>
          <w:tcPr>
            <w:tcW w:w="2945" w:type="dxa"/>
          </w:tcPr>
          <w:p w14:paraId="7CBD33CA" w14:textId="77777777" w:rsidR="00791BDD" w:rsidRDefault="00B75151">
            <w:pPr>
              <w:adjustRightInd w:val="0"/>
              <w:snapToGrid w:val="0"/>
              <w:jc w:val="center"/>
              <w:rPr>
                <w:rFonts w:hAnsi="宋体"/>
                <w:sz w:val="24"/>
              </w:rPr>
            </w:pPr>
            <w:r>
              <w:rPr>
                <w:rFonts w:hAnsi="宋体"/>
                <w:sz w:val="24"/>
              </w:rPr>
              <w:t>每笔交易</w:t>
            </w:r>
            <w:r>
              <w:rPr>
                <w:sz w:val="24"/>
              </w:rPr>
              <w:t>1000</w:t>
            </w:r>
            <w:r>
              <w:rPr>
                <w:rFonts w:hAnsi="宋体"/>
                <w:sz w:val="24"/>
              </w:rPr>
              <w:t>元</w:t>
            </w:r>
          </w:p>
        </w:tc>
      </w:tr>
    </w:tbl>
    <w:p w14:paraId="11B50F2C" w14:textId="77777777" w:rsidR="00791BDD" w:rsidRDefault="00B75151">
      <w:pPr>
        <w:widowControl/>
        <w:adjustRightInd w:val="0"/>
        <w:snapToGrid w:val="0"/>
        <w:spacing w:beforeLines="50" w:before="143" w:line="360" w:lineRule="auto"/>
        <w:ind w:firstLineChars="200" w:firstLine="480"/>
        <w:rPr>
          <w:sz w:val="24"/>
          <w:szCs w:val="24"/>
        </w:rPr>
      </w:pPr>
      <w:r>
        <w:rPr>
          <w:rFonts w:hAnsi="宋体" w:hint="eastAsia"/>
          <w:sz w:val="24"/>
          <w:szCs w:val="24"/>
        </w:rPr>
        <w:t>投资人因红利自动再投资而产生的基金份额，不收取相应的申购费用。</w:t>
      </w:r>
    </w:p>
    <w:p w14:paraId="6A13C02F" w14:textId="77777777" w:rsidR="00791BDD" w:rsidRDefault="00B75151">
      <w:pPr>
        <w:widowControl/>
        <w:tabs>
          <w:tab w:val="center" w:pos="4560"/>
        </w:tabs>
        <w:adjustRightInd w:val="0"/>
        <w:snapToGrid w:val="0"/>
        <w:spacing w:beforeLines="50" w:before="143" w:line="360" w:lineRule="auto"/>
        <w:ind w:firstLineChars="200" w:firstLine="480"/>
        <w:rPr>
          <w:kern w:val="0"/>
          <w:sz w:val="24"/>
          <w:szCs w:val="24"/>
        </w:rPr>
      </w:pPr>
      <w:r>
        <w:rPr>
          <w:rFonts w:hAnsi="宋体"/>
          <w:sz w:val="24"/>
          <w:szCs w:val="24"/>
        </w:rPr>
        <w:t>2</w:t>
      </w:r>
      <w:r>
        <w:rPr>
          <w:rFonts w:hAnsi="宋体"/>
          <w:sz w:val="24"/>
          <w:szCs w:val="24"/>
        </w:rPr>
        <w:t>、赎回费用</w:t>
      </w:r>
      <w:r>
        <w:rPr>
          <w:rFonts w:hAnsi="宋体"/>
          <w:sz w:val="24"/>
          <w:szCs w:val="24"/>
        </w:rPr>
        <w:tab/>
      </w:r>
    </w:p>
    <w:p w14:paraId="12C0AF12" w14:textId="77777777" w:rsidR="00791BDD" w:rsidRDefault="00B75151">
      <w:pPr>
        <w:widowControl/>
        <w:adjustRightInd w:val="0"/>
        <w:snapToGrid w:val="0"/>
        <w:spacing w:line="360" w:lineRule="auto"/>
        <w:ind w:firstLineChars="200" w:firstLine="480"/>
        <w:rPr>
          <w:sz w:val="24"/>
          <w:szCs w:val="24"/>
        </w:rPr>
      </w:pPr>
      <w:r>
        <w:rPr>
          <w:rFonts w:hAnsi="宋体"/>
          <w:sz w:val="24"/>
          <w:szCs w:val="24"/>
        </w:rPr>
        <w:t>赎回费用由赎回基金份额的基金份额持有人承担，</w:t>
      </w:r>
      <w:r>
        <w:rPr>
          <w:bCs/>
          <w:sz w:val="24"/>
        </w:rPr>
        <w:t>在基金份额持有人赎回基金份额时收取</w:t>
      </w:r>
      <w:r>
        <w:rPr>
          <w:rFonts w:hint="eastAsia"/>
          <w:bCs/>
          <w:sz w:val="24"/>
        </w:rPr>
        <w:t>，赎回费用全额计入基金财产。</w:t>
      </w:r>
    </w:p>
    <w:p w14:paraId="0508F533"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本基金的赎回费率如下：</w:t>
      </w:r>
    </w:p>
    <w:tbl>
      <w:tblPr>
        <w:tblW w:w="766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502"/>
        <w:gridCol w:w="3240"/>
        <w:gridCol w:w="1926"/>
      </w:tblGrid>
      <w:tr w:rsidR="00791BDD" w14:paraId="094D4F26" w14:textId="77777777">
        <w:trPr>
          <w:cantSplit/>
          <w:trHeight w:val="132"/>
          <w:jc w:val="center"/>
        </w:trPr>
        <w:tc>
          <w:tcPr>
            <w:tcW w:w="2502" w:type="dxa"/>
            <w:vMerge w:val="restart"/>
            <w:vAlign w:val="center"/>
          </w:tcPr>
          <w:p w14:paraId="43B346B8" w14:textId="77777777" w:rsidR="00791BDD" w:rsidRDefault="00B75151">
            <w:pPr>
              <w:adjustRightInd w:val="0"/>
              <w:snapToGrid w:val="0"/>
              <w:jc w:val="center"/>
              <w:rPr>
                <w:sz w:val="24"/>
              </w:rPr>
            </w:pPr>
            <w:r>
              <w:rPr>
                <w:rFonts w:hAnsi="宋体"/>
                <w:sz w:val="24"/>
              </w:rPr>
              <w:t>赎回费率</w:t>
            </w:r>
          </w:p>
        </w:tc>
        <w:tc>
          <w:tcPr>
            <w:tcW w:w="3240" w:type="dxa"/>
            <w:shd w:val="clear" w:color="auto" w:fill="FFFFFF"/>
            <w:vAlign w:val="center"/>
          </w:tcPr>
          <w:p w14:paraId="4FACEC97" w14:textId="77777777" w:rsidR="00791BDD" w:rsidRDefault="00B75151">
            <w:pPr>
              <w:adjustRightInd w:val="0"/>
              <w:snapToGrid w:val="0"/>
              <w:jc w:val="center"/>
              <w:rPr>
                <w:b/>
                <w:sz w:val="24"/>
              </w:rPr>
            </w:pPr>
            <w:r>
              <w:rPr>
                <w:rFonts w:hAnsi="宋体"/>
                <w:b/>
                <w:sz w:val="24"/>
              </w:rPr>
              <w:t>持有期限</w:t>
            </w:r>
          </w:p>
        </w:tc>
        <w:tc>
          <w:tcPr>
            <w:tcW w:w="1926" w:type="dxa"/>
            <w:shd w:val="clear" w:color="auto" w:fill="FFFFFF"/>
            <w:vAlign w:val="center"/>
          </w:tcPr>
          <w:p w14:paraId="37FD3E57" w14:textId="77777777" w:rsidR="00791BDD" w:rsidRDefault="00B75151">
            <w:pPr>
              <w:adjustRightInd w:val="0"/>
              <w:snapToGrid w:val="0"/>
              <w:jc w:val="center"/>
              <w:rPr>
                <w:b/>
                <w:sz w:val="24"/>
              </w:rPr>
            </w:pPr>
            <w:r>
              <w:rPr>
                <w:rFonts w:hAnsi="宋体"/>
                <w:b/>
                <w:sz w:val="24"/>
              </w:rPr>
              <w:t>赎回费率</w:t>
            </w:r>
          </w:p>
        </w:tc>
      </w:tr>
      <w:tr w:rsidR="00791BDD" w14:paraId="5EB2B811" w14:textId="77777777">
        <w:trPr>
          <w:cantSplit/>
          <w:trHeight w:val="131"/>
          <w:jc w:val="center"/>
        </w:trPr>
        <w:tc>
          <w:tcPr>
            <w:tcW w:w="2502" w:type="dxa"/>
            <w:vMerge/>
          </w:tcPr>
          <w:p w14:paraId="75E2197A" w14:textId="77777777" w:rsidR="00791BDD" w:rsidRDefault="00791BDD">
            <w:pPr>
              <w:adjustRightInd w:val="0"/>
              <w:snapToGrid w:val="0"/>
              <w:rPr>
                <w:sz w:val="24"/>
              </w:rPr>
            </w:pPr>
          </w:p>
        </w:tc>
        <w:tc>
          <w:tcPr>
            <w:tcW w:w="3240" w:type="dxa"/>
          </w:tcPr>
          <w:p w14:paraId="7DF851C1" w14:textId="77777777" w:rsidR="00791BDD" w:rsidRDefault="00B75151">
            <w:pPr>
              <w:adjustRightInd w:val="0"/>
              <w:snapToGrid w:val="0"/>
              <w:rPr>
                <w:sz w:val="24"/>
              </w:rPr>
            </w:pPr>
            <w:r>
              <w:rPr>
                <w:rFonts w:hint="eastAsia"/>
                <w:sz w:val="24"/>
              </w:rPr>
              <w:t>7</w:t>
            </w:r>
            <w:r>
              <w:rPr>
                <w:rFonts w:hint="eastAsia"/>
                <w:sz w:val="24"/>
              </w:rPr>
              <w:t>日</w:t>
            </w:r>
            <w:r>
              <w:rPr>
                <w:rFonts w:hAnsi="宋体"/>
                <w:sz w:val="24"/>
              </w:rPr>
              <w:t>以内</w:t>
            </w:r>
          </w:p>
        </w:tc>
        <w:tc>
          <w:tcPr>
            <w:tcW w:w="1926" w:type="dxa"/>
          </w:tcPr>
          <w:p w14:paraId="3A6563CE" w14:textId="77777777" w:rsidR="00791BDD" w:rsidRDefault="00B75151">
            <w:pPr>
              <w:adjustRightInd w:val="0"/>
              <w:snapToGrid w:val="0"/>
              <w:jc w:val="center"/>
              <w:rPr>
                <w:sz w:val="24"/>
              </w:rPr>
            </w:pPr>
            <w:r>
              <w:rPr>
                <w:rFonts w:hint="eastAsia"/>
                <w:sz w:val="24"/>
              </w:rPr>
              <w:t>1</w:t>
            </w:r>
            <w:r>
              <w:rPr>
                <w:sz w:val="24"/>
              </w:rPr>
              <w:t>.5%</w:t>
            </w:r>
          </w:p>
        </w:tc>
      </w:tr>
      <w:tr w:rsidR="00791BDD" w14:paraId="3F628F44" w14:textId="77777777">
        <w:trPr>
          <w:cantSplit/>
          <w:trHeight w:val="131"/>
          <w:jc w:val="center"/>
        </w:trPr>
        <w:tc>
          <w:tcPr>
            <w:tcW w:w="2502" w:type="dxa"/>
            <w:vMerge/>
          </w:tcPr>
          <w:p w14:paraId="094C430A" w14:textId="77777777" w:rsidR="00791BDD" w:rsidRDefault="00791BDD">
            <w:pPr>
              <w:adjustRightInd w:val="0"/>
              <w:snapToGrid w:val="0"/>
              <w:rPr>
                <w:sz w:val="24"/>
              </w:rPr>
            </w:pPr>
          </w:p>
        </w:tc>
        <w:tc>
          <w:tcPr>
            <w:tcW w:w="3240" w:type="dxa"/>
          </w:tcPr>
          <w:p w14:paraId="4DB48876" w14:textId="77777777" w:rsidR="00791BDD" w:rsidRDefault="00B75151">
            <w:pPr>
              <w:adjustRightInd w:val="0"/>
              <w:snapToGrid w:val="0"/>
              <w:rPr>
                <w:sz w:val="24"/>
              </w:rPr>
            </w:pPr>
            <w:r>
              <w:rPr>
                <w:rFonts w:hint="eastAsia"/>
                <w:sz w:val="24"/>
              </w:rPr>
              <w:t>7</w:t>
            </w:r>
            <w:r>
              <w:rPr>
                <w:rFonts w:hint="eastAsia"/>
                <w:sz w:val="24"/>
              </w:rPr>
              <w:t>日（含）—</w:t>
            </w:r>
            <w:r>
              <w:rPr>
                <w:rFonts w:hint="eastAsia"/>
                <w:sz w:val="24"/>
              </w:rPr>
              <w:t>30</w:t>
            </w:r>
            <w:r>
              <w:rPr>
                <w:rFonts w:hint="eastAsia"/>
                <w:sz w:val="24"/>
              </w:rPr>
              <w:t>日</w:t>
            </w:r>
          </w:p>
        </w:tc>
        <w:tc>
          <w:tcPr>
            <w:tcW w:w="1926" w:type="dxa"/>
          </w:tcPr>
          <w:p w14:paraId="21E3E8B1" w14:textId="77777777" w:rsidR="00791BDD" w:rsidRDefault="00B75151">
            <w:pPr>
              <w:adjustRightInd w:val="0"/>
              <w:snapToGrid w:val="0"/>
              <w:jc w:val="center"/>
              <w:rPr>
                <w:sz w:val="24"/>
              </w:rPr>
            </w:pPr>
            <w:r>
              <w:rPr>
                <w:sz w:val="24"/>
              </w:rPr>
              <w:t>1.0</w:t>
            </w:r>
            <w:r>
              <w:rPr>
                <w:rFonts w:hint="eastAsia"/>
                <w:sz w:val="24"/>
              </w:rPr>
              <w:t>%</w:t>
            </w:r>
          </w:p>
        </w:tc>
      </w:tr>
      <w:tr w:rsidR="00791BDD" w14:paraId="6F6EC194" w14:textId="77777777">
        <w:trPr>
          <w:cantSplit/>
          <w:trHeight w:val="131"/>
          <w:jc w:val="center"/>
        </w:trPr>
        <w:tc>
          <w:tcPr>
            <w:tcW w:w="2502" w:type="dxa"/>
            <w:vMerge/>
          </w:tcPr>
          <w:p w14:paraId="431EE9B0" w14:textId="77777777" w:rsidR="00791BDD" w:rsidRDefault="00791BDD">
            <w:pPr>
              <w:adjustRightInd w:val="0"/>
              <w:snapToGrid w:val="0"/>
              <w:rPr>
                <w:sz w:val="24"/>
              </w:rPr>
            </w:pPr>
          </w:p>
        </w:tc>
        <w:tc>
          <w:tcPr>
            <w:tcW w:w="3240" w:type="dxa"/>
          </w:tcPr>
          <w:p w14:paraId="13F7D171" w14:textId="77777777" w:rsidR="00791BDD" w:rsidRDefault="00B75151">
            <w:pPr>
              <w:adjustRightInd w:val="0"/>
              <w:snapToGrid w:val="0"/>
              <w:rPr>
                <w:sz w:val="24"/>
              </w:rPr>
            </w:pPr>
            <w:r>
              <w:rPr>
                <w:rFonts w:hint="eastAsia"/>
                <w:sz w:val="24"/>
              </w:rPr>
              <w:t>30</w:t>
            </w:r>
            <w:r>
              <w:rPr>
                <w:rFonts w:hint="eastAsia"/>
                <w:sz w:val="24"/>
              </w:rPr>
              <w:t>日（含）—</w:t>
            </w:r>
            <w:r>
              <w:rPr>
                <w:rFonts w:hint="eastAsia"/>
                <w:sz w:val="24"/>
              </w:rPr>
              <w:t>1</w:t>
            </w:r>
            <w:r>
              <w:rPr>
                <w:sz w:val="24"/>
              </w:rPr>
              <w:t>80</w:t>
            </w:r>
            <w:r>
              <w:rPr>
                <w:rFonts w:hint="eastAsia"/>
                <w:sz w:val="24"/>
              </w:rPr>
              <w:t>日</w:t>
            </w:r>
          </w:p>
        </w:tc>
        <w:tc>
          <w:tcPr>
            <w:tcW w:w="1926" w:type="dxa"/>
          </w:tcPr>
          <w:p w14:paraId="252AA0FD" w14:textId="77777777" w:rsidR="00791BDD" w:rsidRDefault="00B75151">
            <w:pPr>
              <w:adjustRightInd w:val="0"/>
              <w:snapToGrid w:val="0"/>
              <w:jc w:val="center"/>
              <w:rPr>
                <w:sz w:val="24"/>
              </w:rPr>
            </w:pPr>
            <w:r>
              <w:rPr>
                <w:rFonts w:hint="eastAsia"/>
                <w:sz w:val="24"/>
              </w:rPr>
              <w:t>0.5%</w:t>
            </w:r>
          </w:p>
        </w:tc>
      </w:tr>
      <w:tr w:rsidR="00791BDD" w14:paraId="1D8BB21F" w14:textId="77777777">
        <w:trPr>
          <w:cantSplit/>
          <w:trHeight w:val="131"/>
          <w:jc w:val="center"/>
        </w:trPr>
        <w:tc>
          <w:tcPr>
            <w:tcW w:w="2502" w:type="dxa"/>
            <w:vMerge/>
          </w:tcPr>
          <w:p w14:paraId="07054966" w14:textId="77777777" w:rsidR="00791BDD" w:rsidRDefault="00791BDD">
            <w:pPr>
              <w:adjustRightInd w:val="0"/>
              <w:snapToGrid w:val="0"/>
              <w:rPr>
                <w:sz w:val="24"/>
              </w:rPr>
            </w:pPr>
          </w:p>
        </w:tc>
        <w:tc>
          <w:tcPr>
            <w:tcW w:w="3240" w:type="dxa"/>
          </w:tcPr>
          <w:p w14:paraId="70DD80A1" w14:textId="77777777" w:rsidR="00791BDD" w:rsidRDefault="00B75151">
            <w:pPr>
              <w:adjustRightInd w:val="0"/>
              <w:snapToGrid w:val="0"/>
              <w:rPr>
                <w:sz w:val="24"/>
              </w:rPr>
            </w:pPr>
            <w:r>
              <w:rPr>
                <w:rFonts w:hAnsi="宋体" w:hint="eastAsia"/>
                <w:sz w:val="24"/>
              </w:rPr>
              <w:t>1</w:t>
            </w:r>
            <w:r>
              <w:rPr>
                <w:rFonts w:hAnsi="宋体"/>
                <w:sz w:val="24"/>
              </w:rPr>
              <w:t>80</w:t>
            </w:r>
            <w:r>
              <w:rPr>
                <w:rFonts w:hAnsi="宋体" w:hint="eastAsia"/>
                <w:sz w:val="24"/>
              </w:rPr>
              <w:t>日</w:t>
            </w:r>
            <w:r>
              <w:rPr>
                <w:rFonts w:hAnsi="宋体"/>
                <w:sz w:val="24"/>
              </w:rPr>
              <w:t>以上</w:t>
            </w:r>
            <w:r>
              <w:rPr>
                <w:rFonts w:hAnsi="宋体" w:hint="eastAsia"/>
                <w:sz w:val="24"/>
              </w:rPr>
              <w:t>（含）</w:t>
            </w:r>
          </w:p>
        </w:tc>
        <w:tc>
          <w:tcPr>
            <w:tcW w:w="1926" w:type="dxa"/>
          </w:tcPr>
          <w:p w14:paraId="7C9C91A0" w14:textId="77777777" w:rsidR="00791BDD" w:rsidRDefault="00B75151">
            <w:pPr>
              <w:adjustRightInd w:val="0"/>
              <w:snapToGrid w:val="0"/>
              <w:jc w:val="center"/>
              <w:rPr>
                <w:sz w:val="24"/>
              </w:rPr>
            </w:pPr>
            <w:r>
              <w:rPr>
                <w:sz w:val="24"/>
              </w:rPr>
              <w:t>0</w:t>
            </w:r>
          </w:p>
        </w:tc>
      </w:tr>
    </w:tbl>
    <w:p w14:paraId="133D00A4"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kern w:val="0"/>
          <w:sz w:val="24"/>
          <w:szCs w:val="24"/>
        </w:rPr>
        <w:t>3</w:t>
      </w:r>
      <w:r>
        <w:rPr>
          <w:rFonts w:hAnsi="宋体"/>
          <w:kern w:val="0"/>
          <w:sz w:val="24"/>
          <w:szCs w:val="24"/>
        </w:rPr>
        <w:t>、</w:t>
      </w:r>
      <w:r>
        <w:rPr>
          <w:rFonts w:hAnsi="宋体" w:hint="eastAsia"/>
          <w:bCs/>
          <w:kern w:val="0"/>
          <w:sz w:val="24"/>
          <w:szCs w:val="24"/>
        </w:rPr>
        <w:t>经与基金托管人协商一致，</w:t>
      </w:r>
      <w:r>
        <w:rPr>
          <w:rFonts w:hAnsi="宋体"/>
          <w:kern w:val="0"/>
          <w:sz w:val="24"/>
          <w:szCs w:val="24"/>
        </w:rPr>
        <w:t>基金管理人可以在基金合同约定的范围内调整费率或收费方式，并最迟应于新的费率或收费方式实施日前依照《信息披露办法》的有关规定在规定媒介上公告。</w:t>
      </w:r>
    </w:p>
    <w:p w14:paraId="264E61F4"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kern w:val="0"/>
          <w:sz w:val="24"/>
          <w:szCs w:val="24"/>
        </w:rPr>
        <w:t>4</w:t>
      </w:r>
      <w:r>
        <w:rPr>
          <w:rFonts w:hAnsi="宋体" w:hint="eastAsia"/>
          <w:kern w:val="0"/>
          <w:sz w:val="24"/>
          <w:szCs w:val="24"/>
        </w:rPr>
        <w:t>、当本基金发生大额申购或赎回情形时，基金管理人可以采用摆动定价机制，以确保基金估值的公平性。具体处理原则与操作规范遵循相关法律法规以及监管部门、自律规则的规定。</w:t>
      </w:r>
    </w:p>
    <w:p w14:paraId="2810A755"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kern w:val="0"/>
          <w:sz w:val="24"/>
          <w:szCs w:val="24"/>
        </w:rPr>
        <w:t>5</w:t>
      </w:r>
      <w:r>
        <w:rPr>
          <w:rFonts w:hAnsi="宋体" w:hint="eastAsia"/>
          <w:kern w:val="0"/>
          <w:sz w:val="24"/>
          <w:szCs w:val="24"/>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申购费率。</w:t>
      </w:r>
    </w:p>
    <w:p w14:paraId="21F02B9E" w14:textId="77777777" w:rsidR="00791BDD" w:rsidRDefault="00B75151">
      <w:pPr>
        <w:widowControl/>
        <w:adjustRightInd w:val="0"/>
        <w:snapToGrid w:val="0"/>
        <w:spacing w:line="360" w:lineRule="auto"/>
        <w:ind w:firstLineChars="200" w:firstLine="482"/>
        <w:outlineLvl w:val="1"/>
        <w:rPr>
          <w:b/>
          <w:kern w:val="0"/>
          <w:sz w:val="24"/>
          <w:szCs w:val="24"/>
        </w:rPr>
      </w:pPr>
      <w:bookmarkStart w:id="34" w:name="_Hlt81024033"/>
      <w:bookmarkStart w:id="35" w:name="_Hlt90458725"/>
      <w:bookmarkStart w:id="36" w:name="_Hlt91144389"/>
      <w:bookmarkEnd w:id="34"/>
      <w:bookmarkEnd w:id="35"/>
      <w:bookmarkEnd w:id="36"/>
      <w:r>
        <w:rPr>
          <w:rFonts w:hAnsi="宋体"/>
          <w:b/>
          <w:kern w:val="0"/>
          <w:sz w:val="24"/>
          <w:szCs w:val="24"/>
        </w:rPr>
        <w:t>（七）申购和赎回的数额和价格</w:t>
      </w:r>
    </w:p>
    <w:p w14:paraId="15C607AB" w14:textId="77777777" w:rsidR="00791BDD" w:rsidRDefault="00B75151">
      <w:pPr>
        <w:widowControl/>
        <w:adjustRightInd w:val="0"/>
        <w:snapToGrid w:val="0"/>
        <w:spacing w:line="360" w:lineRule="auto"/>
        <w:ind w:firstLineChars="200" w:firstLine="480"/>
        <w:outlineLvl w:val="2"/>
        <w:rPr>
          <w:rFonts w:hAnsi="宋体"/>
          <w:kern w:val="0"/>
          <w:sz w:val="24"/>
          <w:szCs w:val="24"/>
        </w:rPr>
      </w:pPr>
      <w:r>
        <w:rPr>
          <w:rFonts w:hAnsi="宋体"/>
          <w:kern w:val="0"/>
          <w:sz w:val="24"/>
          <w:szCs w:val="24"/>
        </w:rPr>
        <w:t>1</w:t>
      </w:r>
      <w:r>
        <w:rPr>
          <w:rFonts w:hAnsi="宋体"/>
          <w:kern w:val="0"/>
          <w:sz w:val="24"/>
          <w:szCs w:val="24"/>
        </w:rPr>
        <w:t>、申购和赎回数额、余额的处理方式</w:t>
      </w:r>
    </w:p>
    <w:p w14:paraId="6920F898"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kern w:val="0"/>
          <w:sz w:val="24"/>
          <w:szCs w:val="24"/>
        </w:rPr>
        <w:t>（</w:t>
      </w:r>
      <w:r>
        <w:rPr>
          <w:rFonts w:hAnsi="宋体"/>
          <w:kern w:val="0"/>
          <w:sz w:val="24"/>
          <w:szCs w:val="24"/>
        </w:rPr>
        <w:t>1</w:t>
      </w:r>
      <w:r>
        <w:rPr>
          <w:rFonts w:hAnsi="宋体"/>
          <w:kern w:val="0"/>
          <w:sz w:val="24"/>
          <w:szCs w:val="24"/>
        </w:rPr>
        <w:t>）申购的有效份额为净申购金额除以当日基金份额净值，有效份额单位为份，</w:t>
      </w:r>
      <w:r>
        <w:rPr>
          <w:rFonts w:hAnsi="宋体" w:hint="eastAsia"/>
          <w:kern w:val="0"/>
          <w:sz w:val="24"/>
          <w:szCs w:val="24"/>
        </w:rPr>
        <w:t>申购份额</w:t>
      </w:r>
      <w:r>
        <w:rPr>
          <w:rFonts w:hAnsi="宋体"/>
          <w:kern w:val="0"/>
          <w:sz w:val="24"/>
          <w:szCs w:val="24"/>
        </w:rPr>
        <w:t>计算结果按四舍五入方法，保留到小数点后</w:t>
      </w:r>
      <w:r>
        <w:rPr>
          <w:rFonts w:hAnsi="宋体" w:hint="eastAsia"/>
          <w:kern w:val="0"/>
          <w:sz w:val="24"/>
          <w:szCs w:val="24"/>
        </w:rPr>
        <w:t>2</w:t>
      </w:r>
      <w:r>
        <w:rPr>
          <w:rFonts w:hAnsi="宋体"/>
          <w:kern w:val="0"/>
          <w:sz w:val="24"/>
          <w:szCs w:val="24"/>
        </w:rPr>
        <w:t>位，由此产生的收益或损失由基金财产承担。</w:t>
      </w:r>
    </w:p>
    <w:p w14:paraId="30EDD861"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kern w:val="0"/>
          <w:sz w:val="24"/>
          <w:szCs w:val="24"/>
        </w:rPr>
        <w:t>（</w:t>
      </w:r>
      <w:r>
        <w:rPr>
          <w:rFonts w:hAnsi="宋体"/>
          <w:kern w:val="0"/>
          <w:sz w:val="24"/>
          <w:szCs w:val="24"/>
        </w:rPr>
        <w:t>2</w:t>
      </w:r>
      <w:r>
        <w:rPr>
          <w:rFonts w:hAnsi="宋体"/>
          <w:kern w:val="0"/>
          <w:sz w:val="24"/>
          <w:szCs w:val="24"/>
        </w:rPr>
        <w:t>）赎回金额为按实际确认的有效赎回份额乘以当日基金份额净值并扣除相应的费用（如有），赎回金额单位为元。</w:t>
      </w:r>
      <w:r>
        <w:rPr>
          <w:rFonts w:hAnsi="宋体" w:hint="eastAsia"/>
          <w:kern w:val="0"/>
          <w:sz w:val="24"/>
          <w:szCs w:val="24"/>
        </w:rPr>
        <w:t>赎回金额</w:t>
      </w:r>
      <w:r>
        <w:rPr>
          <w:rFonts w:hAnsi="宋体"/>
          <w:kern w:val="0"/>
          <w:sz w:val="24"/>
          <w:szCs w:val="24"/>
        </w:rPr>
        <w:t>计算结果按四舍五入方法，保留到小数点后</w:t>
      </w:r>
      <w:r>
        <w:rPr>
          <w:rFonts w:hAnsi="宋体" w:hint="eastAsia"/>
          <w:kern w:val="0"/>
          <w:sz w:val="24"/>
          <w:szCs w:val="24"/>
        </w:rPr>
        <w:t>2</w:t>
      </w:r>
      <w:r>
        <w:rPr>
          <w:rFonts w:hAnsi="宋体"/>
          <w:kern w:val="0"/>
          <w:sz w:val="24"/>
          <w:szCs w:val="24"/>
        </w:rPr>
        <w:t>位，由此产生的收益或损失由基金财产承担。</w:t>
      </w:r>
    </w:p>
    <w:p w14:paraId="2F92D010" w14:textId="77777777" w:rsidR="00791BDD" w:rsidRDefault="00B75151">
      <w:pPr>
        <w:widowControl/>
        <w:adjustRightInd w:val="0"/>
        <w:snapToGrid w:val="0"/>
        <w:spacing w:line="360" w:lineRule="auto"/>
        <w:ind w:firstLineChars="200" w:firstLine="480"/>
        <w:outlineLvl w:val="2"/>
        <w:rPr>
          <w:rFonts w:hAnsi="宋体"/>
          <w:kern w:val="0"/>
          <w:sz w:val="24"/>
          <w:szCs w:val="24"/>
        </w:rPr>
      </w:pPr>
      <w:r>
        <w:rPr>
          <w:rFonts w:hAnsi="宋体"/>
          <w:kern w:val="0"/>
          <w:sz w:val="24"/>
          <w:szCs w:val="24"/>
        </w:rPr>
        <w:t>2</w:t>
      </w:r>
      <w:r>
        <w:rPr>
          <w:rFonts w:hAnsi="宋体"/>
          <w:kern w:val="0"/>
          <w:sz w:val="24"/>
          <w:szCs w:val="24"/>
        </w:rPr>
        <w:t>、申购份额的计算</w:t>
      </w:r>
    </w:p>
    <w:p w14:paraId="2E44D2F3"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本基金采用金额申购的方式。</w:t>
      </w:r>
    </w:p>
    <w:p w14:paraId="215D85A7"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申购总金额</w:t>
      </w:r>
      <w:r>
        <w:rPr>
          <w:rFonts w:hAnsi="宋体" w:hint="eastAsia"/>
          <w:kern w:val="0"/>
          <w:sz w:val="24"/>
          <w:szCs w:val="24"/>
        </w:rPr>
        <w:t>=</w:t>
      </w:r>
      <w:r>
        <w:rPr>
          <w:rFonts w:hAnsi="宋体" w:hint="eastAsia"/>
          <w:kern w:val="0"/>
          <w:sz w:val="24"/>
          <w:szCs w:val="24"/>
        </w:rPr>
        <w:t>申请总金额</w:t>
      </w:r>
    </w:p>
    <w:p w14:paraId="1BDD1530"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净申购金额</w:t>
      </w:r>
      <w:r>
        <w:rPr>
          <w:rFonts w:hAnsi="宋体" w:hint="eastAsia"/>
          <w:kern w:val="0"/>
          <w:sz w:val="24"/>
          <w:szCs w:val="24"/>
        </w:rPr>
        <w:t>=</w:t>
      </w:r>
      <w:r>
        <w:rPr>
          <w:rFonts w:hAnsi="宋体" w:hint="eastAsia"/>
          <w:kern w:val="0"/>
          <w:sz w:val="24"/>
          <w:szCs w:val="24"/>
        </w:rPr>
        <w:t>申购总金额</w:t>
      </w:r>
      <w:r>
        <w:rPr>
          <w:rFonts w:hAnsi="宋体" w:hint="eastAsia"/>
          <w:kern w:val="0"/>
          <w:sz w:val="24"/>
          <w:szCs w:val="24"/>
        </w:rPr>
        <w:t>/</w:t>
      </w:r>
      <w:r>
        <w:rPr>
          <w:rFonts w:hAnsi="宋体" w:hint="eastAsia"/>
          <w:kern w:val="0"/>
          <w:sz w:val="24"/>
          <w:szCs w:val="24"/>
        </w:rPr>
        <w:t>（</w:t>
      </w:r>
      <w:r>
        <w:rPr>
          <w:rFonts w:hAnsi="宋体" w:hint="eastAsia"/>
          <w:kern w:val="0"/>
          <w:sz w:val="24"/>
          <w:szCs w:val="24"/>
        </w:rPr>
        <w:t>1+</w:t>
      </w:r>
      <w:r>
        <w:rPr>
          <w:rFonts w:hAnsi="宋体" w:hint="eastAsia"/>
          <w:kern w:val="0"/>
          <w:sz w:val="24"/>
          <w:szCs w:val="24"/>
        </w:rPr>
        <w:t>申购费率）</w:t>
      </w:r>
    </w:p>
    <w:p w14:paraId="0B828AC9"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（注：</w:t>
      </w:r>
      <w:r>
        <w:rPr>
          <w:rFonts w:ascii="宋体" w:hAnsi="宋体" w:cs="宋体" w:hint="eastAsia"/>
          <w:kern w:val="0"/>
          <w:sz w:val="24"/>
          <w:szCs w:val="24"/>
        </w:rPr>
        <w:t>①</w:t>
      </w:r>
      <w:r>
        <w:rPr>
          <w:rFonts w:hAnsi="宋体" w:hint="eastAsia"/>
          <w:kern w:val="0"/>
          <w:sz w:val="24"/>
          <w:szCs w:val="24"/>
        </w:rPr>
        <w:t>对于适用固定金额申购费用的申购，净申购金额＝申购总金额－固定申购费用金额；</w:t>
      </w:r>
      <w:r>
        <w:rPr>
          <w:rFonts w:ascii="宋体" w:hAnsi="宋体" w:cs="宋体" w:hint="eastAsia"/>
          <w:kern w:val="0"/>
          <w:sz w:val="24"/>
          <w:szCs w:val="24"/>
        </w:rPr>
        <w:t>②对于通过直销机构申购的，申购费率均为0</w:t>
      </w:r>
      <w:r>
        <w:rPr>
          <w:rFonts w:hAnsi="宋体" w:hint="eastAsia"/>
          <w:kern w:val="0"/>
          <w:sz w:val="24"/>
          <w:szCs w:val="24"/>
        </w:rPr>
        <w:t>）</w:t>
      </w:r>
    </w:p>
    <w:p w14:paraId="2A130B46"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申购费用</w:t>
      </w:r>
      <w:r>
        <w:rPr>
          <w:rFonts w:hAnsi="宋体" w:hint="eastAsia"/>
          <w:kern w:val="0"/>
          <w:sz w:val="24"/>
          <w:szCs w:val="24"/>
        </w:rPr>
        <w:t>=</w:t>
      </w:r>
      <w:r>
        <w:rPr>
          <w:rFonts w:hAnsi="宋体" w:hint="eastAsia"/>
          <w:kern w:val="0"/>
          <w:sz w:val="24"/>
          <w:szCs w:val="24"/>
        </w:rPr>
        <w:t>申购总金额</w:t>
      </w:r>
      <w:r>
        <w:rPr>
          <w:rFonts w:hAnsi="宋体" w:hint="eastAsia"/>
          <w:kern w:val="0"/>
          <w:sz w:val="24"/>
          <w:szCs w:val="24"/>
        </w:rPr>
        <w:t>-</w:t>
      </w:r>
      <w:r>
        <w:rPr>
          <w:rFonts w:hAnsi="宋体" w:hint="eastAsia"/>
          <w:kern w:val="0"/>
          <w:sz w:val="24"/>
          <w:szCs w:val="24"/>
        </w:rPr>
        <w:t>净申购金额</w:t>
      </w:r>
    </w:p>
    <w:p w14:paraId="37A4567F"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（注：对于适用固定金额申购费用的申购，申购费用＝固定申购费用金额）</w:t>
      </w:r>
    </w:p>
    <w:p w14:paraId="3697065A"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lastRenderedPageBreak/>
        <w:t>申购份额</w:t>
      </w:r>
      <w:r>
        <w:rPr>
          <w:rFonts w:hAnsi="宋体" w:hint="eastAsia"/>
          <w:kern w:val="0"/>
          <w:sz w:val="24"/>
          <w:szCs w:val="24"/>
        </w:rPr>
        <w:t>=</w:t>
      </w:r>
      <w:r>
        <w:rPr>
          <w:rFonts w:ascii="宋体" w:hAnsi="宋体" w:hint="eastAsia"/>
          <w:sz w:val="24"/>
        </w:rPr>
        <w:t>净申购金额</w:t>
      </w:r>
      <w:r>
        <w:rPr>
          <w:rFonts w:hAnsi="宋体" w:hint="eastAsia"/>
          <w:kern w:val="0"/>
          <w:sz w:val="24"/>
          <w:szCs w:val="24"/>
        </w:rPr>
        <w:t>/T</w:t>
      </w:r>
      <w:r>
        <w:rPr>
          <w:rFonts w:hAnsi="宋体" w:hint="eastAsia"/>
          <w:kern w:val="0"/>
          <w:sz w:val="24"/>
          <w:szCs w:val="24"/>
        </w:rPr>
        <w:t>日基金份额净值</w:t>
      </w:r>
    </w:p>
    <w:p w14:paraId="5ADB77B8"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例三：某投资者通过直销机构投资</w:t>
      </w:r>
      <w:r>
        <w:rPr>
          <w:rFonts w:hAnsi="宋体" w:hint="eastAsia"/>
          <w:kern w:val="0"/>
          <w:sz w:val="24"/>
          <w:szCs w:val="24"/>
        </w:rPr>
        <w:t>40,000.00</w:t>
      </w:r>
      <w:r>
        <w:rPr>
          <w:rFonts w:hAnsi="宋体" w:hint="eastAsia"/>
          <w:kern w:val="0"/>
          <w:sz w:val="24"/>
          <w:szCs w:val="24"/>
        </w:rPr>
        <w:t>元申购本基金，假设申购当日基金份额净值为</w:t>
      </w:r>
      <w:r>
        <w:rPr>
          <w:rFonts w:hAnsi="宋体" w:hint="eastAsia"/>
          <w:kern w:val="0"/>
          <w:sz w:val="24"/>
          <w:szCs w:val="24"/>
        </w:rPr>
        <w:t>1.0400</w:t>
      </w:r>
      <w:r>
        <w:rPr>
          <w:rFonts w:hAnsi="宋体" w:hint="eastAsia"/>
          <w:kern w:val="0"/>
          <w:sz w:val="24"/>
          <w:szCs w:val="24"/>
        </w:rPr>
        <w:t>元，申购费率为</w:t>
      </w:r>
      <w:r>
        <w:rPr>
          <w:rFonts w:hAnsi="宋体" w:hint="eastAsia"/>
          <w:kern w:val="0"/>
          <w:sz w:val="24"/>
          <w:szCs w:val="24"/>
        </w:rPr>
        <w:t>0</w:t>
      </w:r>
      <w:r>
        <w:rPr>
          <w:rFonts w:hAnsi="宋体" w:hint="eastAsia"/>
          <w:kern w:val="0"/>
          <w:sz w:val="24"/>
          <w:szCs w:val="24"/>
        </w:rPr>
        <w:t>，则其可得到的申购份额为：</w:t>
      </w:r>
    </w:p>
    <w:p w14:paraId="308CC38F"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申购总金额＝</w:t>
      </w:r>
      <w:r>
        <w:rPr>
          <w:rFonts w:hAnsi="宋体" w:hint="eastAsia"/>
          <w:kern w:val="0"/>
          <w:sz w:val="24"/>
          <w:szCs w:val="24"/>
        </w:rPr>
        <w:t>40,000.00</w:t>
      </w:r>
      <w:r>
        <w:rPr>
          <w:rFonts w:hAnsi="宋体" w:hint="eastAsia"/>
          <w:kern w:val="0"/>
          <w:sz w:val="24"/>
          <w:szCs w:val="24"/>
        </w:rPr>
        <w:t>元</w:t>
      </w:r>
    </w:p>
    <w:p w14:paraId="23370624"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净申购金额</w:t>
      </w:r>
      <w:r>
        <w:rPr>
          <w:rFonts w:hAnsi="宋体" w:hint="eastAsia"/>
          <w:kern w:val="0"/>
          <w:sz w:val="24"/>
          <w:szCs w:val="24"/>
        </w:rPr>
        <w:t>=40,000.00/</w:t>
      </w:r>
      <w:r>
        <w:rPr>
          <w:rFonts w:hAnsi="宋体" w:hint="eastAsia"/>
          <w:kern w:val="0"/>
          <w:sz w:val="24"/>
          <w:szCs w:val="24"/>
        </w:rPr>
        <w:t>（</w:t>
      </w:r>
      <w:r>
        <w:rPr>
          <w:rFonts w:hAnsi="宋体" w:hint="eastAsia"/>
          <w:kern w:val="0"/>
          <w:sz w:val="24"/>
          <w:szCs w:val="24"/>
        </w:rPr>
        <w:t>1+0</w:t>
      </w:r>
      <w:r>
        <w:rPr>
          <w:rFonts w:hAnsi="宋体" w:hint="eastAsia"/>
          <w:kern w:val="0"/>
          <w:sz w:val="24"/>
          <w:szCs w:val="24"/>
        </w:rPr>
        <w:t>）</w:t>
      </w:r>
      <w:r>
        <w:rPr>
          <w:rFonts w:hAnsi="宋体" w:hint="eastAsia"/>
          <w:kern w:val="0"/>
          <w:sz w:val="24"/>
          <w:szCs w:val="24"/>
        </w:rPr>
        <w:t>=40,000.00</w:t>
      </w:r>
      <w:r>
        <w:rPr>
          <w:rFonts w:hAnsi="宋体" w:hint="eastAsia"/>
          <w:kern w:val="0"/>
          <w:sz w:val="24"/>
          <w:szCs w:val="24"/>
        </w:rPr>
        <w:t>元</w:t>
      </w:r>
    </w:p>
    <w:p w14:paraId="10F3479B"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申购费用</w:t>
      </w:r>
      <w:r>
        <w:rPr>
          <w:rFonts w:hAnsi="宋体" w:hint="eastAsia"/>
          <w:kern w:val="0"/>
          <w:sz w:val="24"/>
          <w:szCs w:val="24"/>
        </w:rPr>
        <w:t>=40,000.00-40,000.00=0.00</w:t>
      </w:r>
      <w:r>
        <w:rPr>
          <w:rFonts w:hAnsi="宋体" w:hint="eastAsia"/>
          <w:kern w:val="0"/>
          <w:sz w:val="24"/>
          <w:szCs w:val="24"/>
        </w:rPr>
        <w:t>元</w:t>
      </w:r>
    </w:p>
    <w:p w14:paraId="600EC572"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申购份额</w:t>
      </w:r>
      <w:r>
        <w:rPr>
          <w:rFonts w:hAnsi="宋体" w:hint="eastAsia"/>
          <w:kern w:val="0"/>
          <w:sz w:val="24"/>
          <w:szCs w:val="24"/>
        </w:rPr>
        <w:t>=40,000.00/1.0400=38,461.54</w:t>
      </w:r>
      <w:r>
        <w:rPr>
          <w:rFonts w:hAnsi="宋体" w:hint="eastAsia"/>
          <w:kern w:val="0"/>
          <w:sz w:val="24"/>
          <w:szCs w:val="24"/>
        </w:rPr>
        <w:t>份</w:t>
      </w:r>
    </w:p>
    <w:p w14:paraId="31B992D6"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即：该投资者通过直销机构投资</w:t>
      </w:r>
      <w:r>
        <w:rPr>
          <w:rFonts w:hAnsi="宋体" w:hint="eastAsia"/>
          <w:kern w:val="0"/>
          <w:sz w:val="24"/>
          <w:szCs w:val="24"/>
        </w:rPr>
        <w:t>40,000.00</w:t>
      </w:r>
      <w:r>
        <w:rPr>
          <w:rFonts w:hAnsi="宋体" w:hint="eastAsia"/>
          <w:kern w:val="0"/>
          <w:sz w:val="24"/>
          <w:szCs w:val="24"/>
        </w:rPr>
        <w:t>元申购本基金，假设申购当日基金份额净值为</w:t>
      </w:r>
      <w:r>
        <w:rPr>
          <w:rFonts w:hAnsi="宋体" w:hint="eastAsia"/>
          <w:kern w:val="0"/>
          <w:sz w:val="24"/>
          <w:szCs w:val="24"/>
        </w:rPr>
        <w:t>1.0400</w:t>
      </w:r>
      <w:r>
        <w:rPr>
          <w:rFonts w:hAnsi="宋体" w:hint="eastAsia"/>
          <w:kern w:val="0"/>
          <w:sz w:val="24"/>
          <w:szCs w:val="24"/>
        </w:rPr>
        <w:t>元，则其可得到</w:t>
      </w:r>
      <w:r>
        <w:rPr>
          <w:rFonts w:hAnsi="宋体" w:hint="eastAsia"/>
          <w:kern w:val="0"/>
          <w:sz w:val="24"/>
          <w:szCs w:val="24"/>
        </w:rPr>
        <w:t>38,461.54</w:t>
      </w:r>
      <w:r>
        <w:rPr>
          <w:rFonts w:hAnsi="宋体" w:hint="eastAsia"/>
          <w:kern w:val="0"/>
          <w:sz w:val="24"/>
          <w:szCs w:val="24"/>
        </w:rPr>
        <w:t>份基金份额。</w:t>
      </w:r>
    </w:p>
    <w:p w14:paraId="3742EF37"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例四：某投资者通过其他销售机构投资</w:t>
      </w:r>
      <w:r>
        <w:rPr>
          <w:rFonts w:hAnsi="宋体" w:hint="eastAsia"/>
          <w:kern w:val="0"/>
          <w:sz w:val="24"/>
          <w:szCs w:val="24"/>
        </w:rPr>
        <w:t>40,000.00</w:t>
      </w:r>
      <w:r>
        <w:rPr>
          <w:rFonts w:hAnsi="宋体" w:hint="eastAsia"/>
          <w:kern w:val="0"/>
          <w:sz w:val="24"/>
          <w:szCs w:val="24"/>
        </w:rPr>
        <w:t>元申购本基金，假设申购当日基金份额净值为</w:t>
      </w:r>
      <w:r>
        <w:rPr>
          <w:rFonts w:hAnsi="宋体" w:hint="eastAsia"/>
          <w:kern w:val="0"/>
          <w:sz w:val="24"/>
          <w:szCs w:val="24"/>
        </w:rPr>
        <w:t>1.0400</w:t>
      </w:r>
      <w:r>
        <w:rPr>
          <w:rFonts w:hAnsi="宋体" w:hint="eastAsia"/>
          <w:kern w:val="0"/>
          <w:sz w:val="24"/>
          <w:szCs w:val="24"/>
        </w:rPr>
        <w:t>元，申购费率为</w:t>
      </w:r>
      <w:r>
        <w:rPr>
          <w:rFonts w:hAnsi="宋体" w:hint="eastAsia"/>
          <w:kern w:val="0"/>
          <w:sz w:val="24"/>
          <w:szCs w:val="24"/>
        </w:rPr>
        <w:t>0.8%</w:t>
      </w:r>
      <w:r>
        <w:rPr>
          <w:rFonts w:hAnsi="宋体" w:hint="eastAsia"/>
          <w:kern w:val="0"/>
          <w:sz w:val="24"/>
          <w:szCs w:val="24"/>
        </w:rPr>
        <w:t>，则其可得到的申购份额为：</w:t>
      </w:r>
    </w:p>
    <w:p w14:paraId="1DDFD1CC"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申购总金额＝</w:t>
      </w:r>
      <w:r>
        <w:rPr>
          <w:rFonts w:hAnsi="宋体" w:hint="eastAsia"/>
          <w:kern w:val="0"/>
          <w:sz w:val="24"/>
          <w:szCs w:val="24"/>
        </w:rPr>
        <w:t>40,000.00</w:t>
      </w:r>
      <w:r>
        <w:rPr>
          <w:rFonts w:hAnsi="宋体" w:hint="eastAsia"/>
          <w:kern w:val="0"/>
          <w:sz w:val="24"/>
          <w:szCs w:val="24"/>
        </w:rPr>
        <w:t>元</w:t>
      </w:r>
    </w:p>
    <w:p w14:paraId="2E803728"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净申购金额</w:t>
      </w:r>
      <w:r>
        <w:rPr>
          <w:rFonts w:hAnsi="宋体" w:hint="eastAsia"/>
          <w:kern w:val="0"/>
          <w:sz w:val="24"/>
          <w:szCs w:val="24"/>
        </w:rPr>
        <w:t>=40,000.00/</w:t>
      </w:r>
      <w:r>
        <w:rPr>
          <w:rFonts w:hAnsi="宋体" w:hint="eastAsia"/>
          <w:kern w:val="0"/>
          <w:sz w:val="24"/>
          <w:szCs w:val="24"/>
        </w:rPr>
        <w:t>（</w:t>
      </w:r>
      <w:r>
        <w:rPr>
          <w:rFonts w:hAnsi="宋体" w:hint="eastAsia"/>
          <w:kern w:val="0"/>
          <w:sz w:val="24"/>
          <w:szCs w:val="24"/>
        </w:rPr>
        <w:t>1+0.8%</w:t>
      </w:r>
      <w:r>
        <w:rPr>
          <w:rFonts w:hAnsi="宋体" w:hint="eastAsia"/>
          <w:kern w:val="0"/>
          <w:sz w:val="24"/>
          <w:szCs w:val="24"/>
        </w:rPr>
        <w:t>）</w:t>
      </w:r>
      <w:r>
        <w:rPr>
          <w:rFonts w:hAnsi="宋体" w:hint="eastAsia"/>
          <w:kern w:val="0"/>
          <w:sz w:val="24"/>
          <w:szCs w:val="24"/>
        </w:rPr>
        <w:t>=39,682.54</w:t>
      </w:r>
      <w:r>
        <w:rPr>
          <w:rFonts w:hAnsi="宋体" w:hint="eastAsia"/>
          <w:kern w:val="0"/>
          <w:sz w:val="24"/>
          <w:szCs w:val="24"/>
        </w:rPr>
        <w:t>元</w:t>
      </w:r>
    </w:p>
    <w:p w14:paraId="07D0CE47"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申购费用</w:t>
      </w:r>
      <w:r>
        <w:rPr>
          <w:rFonts w:hAnsi="宋体" w:hint="eastAsia"/>
          <w:kern w:val="0"/>
          <w:sz w:val="24"/>
          <w:szCs w:val="24"/>
        </w:rPr>
        <w:t>=40,000.00-39,682.54=317.46</w:t>
      </w:r>
      <w:r>
        <w:rPr>
          <w:rFonts w:hAnsi="宋体" w:hint="eastAsia"/>
          <w:kern w:val="0"/>
          <w:sz w:val="24"/>
          <w:szCs w:val="24"/>
        </w:rPr>
        <w:t>元</w:t>
      </w:r>
    </w:p>
    <w:p w14:paraId="70863DFA"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申购份额</w:t>
      </w:r>
      <w:r>
        <w:rPr>
          <w:rFonts w:hAnsi="宋体" w:hint="eastAsia"/>
          <w:kern w:val="0"/>
          <w:sz w:val="24"/>
          <w:szCs w:val="24"/>
        </w:rPr>
        <w:t>=39,682.54/1.0400=38,156.29</w:t>
      </w:r>
      <w:r>
        <w:rPr>
          <w:rFonts w:hAnsi="宋体" w:hint="eastAsia"/>
          <w:kern w:val="0"/>
          <w:sz w:val="24"/>
          <w:szCs w:val="24"/>
        </w:rPr>
        <w:t>份</w:t>
      </w:r>
    </w:p>
    <w:p w14:paraId="690484E5" w14:textId="77777777" w:rsidR="00791BDD" w:rsidRDefault="00B75151">
      <w:pPr>
        <w:widowControl/>
        <w:adjustRightInd w:val="0"/>
        <w:snapToGrid w:val="0"/>
        <w:spacing w:line="360" w:lineRule="auto"/>
        <w:ind w:firstLineChars="200" w:firstLine="480"/>
        <w:outlineLvl w:val="2"/>
        <w:rPr>
          <w:rFonts w:hAnsi="宋体"/>
          <w:kern w:val="0"/>
          <w:sz w:val="24"/>
          <w:szCs w:val="24"/>
        </w:rPr>
      </w:pPr>
      <w:r>
        <w:rPr>
          <w:rFonts w:hAnsi="宋体" w:hint="eastAsia"/>
          <w:kern w:val="0"/>
          <w:sz w:val="24"/>
          <w:szCs w:val="24"/>
        </w:rPr>
        <w:t>即：该投资者通过其他销售机构投资</w:t>
      </w:r>
      <w:r>
        <w:rPr>
          <w:rFonts w:hAnsi="宋体" w:hint="eastAsia"/>
          <w:kern w:val="0"/>
          <w:sz w:val="24"/>
          <w:szCs w:val="24"/>
        </w:rPr>
        <w:t>40,000.00</w:t>
      </w:r>
      <w:r>
        <w:rPr>
          <w:rFonts w:hAnsi="宋体" w:hint="eastAsia"/>
          <w:kern w:val="0"/>
          <w:sz w:val="24"/>
          <w:szCs w:val="24"/>
        </w:rPr>
        <w:t>元申购本基金，假设申购当日基金份额净值为</w:t>
      </w:r>
      <w:r>
        <w:rPr>
          <w:rFonts w:hAnsi="宋体" w:hint="eastAsia"/>
          <w:kern w:val="0"/>
          <w:sz w:val="24"/>
          <w:szCs w:val="24"/>
        </w:rPr>
        <w:t>1.0400</w:t>
      </w:r>
      <w:r>
        <w:rPr>
          <w:rFonts w:hAnsi="宋体" w:hint="eastAsia"/>
          <w:kern w:val="0"/>
          <w:sz w:val="24"/>
          <w:szCs w:val="24"/>
        </w:rPr>
        <w:t>元，则其可得到</w:t>
      </w:r>
      <w:r>
        <w:rPr>
          <w:rFonts w:hAnsi="宋体" w:hint="eastAsia"/>
          <w:kern w:val="0"/>
          <w:sz w:val="24"/>
          <w:szCs w:val="24"/>
        </w:rPr>
        <w:t>38,156.29</w:t>
      </w:r>
      <w:r>
        <w:rPr>
          <w:rFonts w:hAnsi="宋体" w:hint="eastAsia"/>
          <w:kern w:val="0"/>
          <w:sz w:val="24"/>
          <w:szCs w:val="24"/>
        </w:rPr>
        <w:t>份基金份额。</w:t>
      </w:r>
    </w:p>
    <w:p w14:paraId="6D6B46BD" w14:textId="77777777" w:rsidR="00791BDD" w:rsidRDefault="00B75151">
      <w:pPr>
        <w:widowControl/>
        <w:adjustRightInd w:val="0"/>
        <w:snapToGrid w:val="0"/>
        <w:spacing w:line="360" w:lineRule="auto"/>
        <w:ind w:firstLineChars="200" w:firstLine="480"/>
        <w:outlineLvl w:val="2"/>
        <w:rPr>
          <w:rFonts w:hAnsi="宋体"/>
          <w:kern w:val="0"/>
          <w:sz w:val="24"/>
          <w:szCs w:val="24"/>
        </w:rPr>
      </w:pPr>
      <w:r>
        <w:rPr>
          <w:rFonts w:hAnsi="宋体" w:hint="eastAsia"/>
          <w:kern w:val="0"/>
          <w:sz w:val="24"/>
          <w:szCs w:val="24"/>
        </w:rPr>
        <w:t>3</w:t>
      </w:r>
      <w:r>
        <w:rPr>
          <w:rFonts w:hAnsi="宋体" w:hint="eastAsia"/>
          <w:kern w:val="0"/>
          <w:sz w:val="24"/>
          <w:szCs w:val="24"/>
        </w:rPr>
        <w:t>、赎回金额的计算</w:t>
      </w:r>
    </w:p>
    <w:p w14:paraId="4785C309"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本基金采用“份额赎回”的方式。</w:t>
      </w:r>
    </w:p>
    <w:p w14:paraId="71980C34"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如果投资者赎回基金份额，则赎回金额的计算方法如下：</w:t>
      </w:r>
    </w:p>
    <w:p w14:paraId="71192238"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赎回费用</w:t>
      </w:r>
      <w:r>
        <w:rPr>
          <w:rFonts w:hAnsi="宋体" w:hint="eastAsia"/>
          <w:kern w:val="0"/>
          <w:sz w:val="24"/>
          <w:szCs w:val="24"/>
        </w:rPr>
        <w:t>=</w:t>
      </w:r>
      <w:r>
        <w:rPr>
          <w:rFonts w:hAnsi="宋体" w:hint="eastAsia"/>
          <w:kern w:val="0"/>
          <w:sz w:val="24"/>
          <w:szCs w:val="24"/>
        </w:rPr>
        <w:t>赎回份额×</w:t>
      </w:r>
      <w:r>
        <w:rPr>
          <w:rFonts w:hAnsi="宋体" w:hint="eastAsia"/>
          <w:kern w:val="0"/>
          <w:sz w:val="24"/>
          <w:szCs w:val="24"/>
        </w:rPr>
        <w:t>T</w:t>
      </w:r>
      <w:r>
        <w:rPr>
          <w:rFonts w:hAnsi="宋体" w:hint="eastAsia"/>
          <w:kern w:val="0"/>
          <w:sz w:val="24"/>
          <w:szCs w:val="24"/>
        </w:rPr>
        <w:t>日基金份额净值×赎回费率</w:t>
      </w:r>
    </w:p>
    <w:p w14:paraId="6C42BDF2"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赎回金额</w:t>
      </w:r>
      <w:r>
        <w:rPr>
          <w:rFonts w:hAnsi="宋体" w:hint="eastAsia"/>
          <w:kern w:val="0"/>
          <w:sz w:val="24"/>
          <w:szCs w:val="24"/>
        </w:rPr>
        <w:t>=</w:t>
      </w:r>
      <w:r>
        <w:rPr>
          <w:rFonts w:hAnsi="宋体" w:hint="eastAsia"/>
          <w:kern w:val="0"/>
          <w:sz w:val="24"/>
          <w:szCs w:val="24"/>
        </w:rPr>
        <w:t>赎回份额×</w:t>
      </w:r>
      <w:r>
        <w:rPr>
          <w:rFonts w:hAnsi="宋体" w:hint="eastAsia"/>
          <w:kern w:val="0"/>
          <w:sz w:val="24"/>
          <w:szCs w:val="24"/>
        </w:rPr>
        <w:t>T</w:t>
      </w:r>
      <w:r>
        <w:rPr>
          <w:rFonts w:hAnsi="宋体" w:hint="eastAsia"/>
          <w:kern w:val="0"/>
          <w:sz w:val="24"/>
          <w:szCs w:val="24"/>
        </w:rPr>
        <w:t>日基金份额净值</w:t>
      </w:r>
      <w:r>
        <w:rPr>
          <w:rFonts w:hAnsi="宋体" w:hint="eastAsia"/>
          <w:kern w:val="0"/>
          <w:sz w:val="24"/>
          <w:szCs w:val="24"/>
        </w:rPr>
        <w:t>-</w:t>
      </w:r>
      <w:r>
        <w:rPr>
          <w:rFonts w:hAnsi="宋体" w:hint="eastAsia"/>
          <w:kern w:val="0"/>
          <w:sz w:val="24"/>
          <w:szCs w:val="24"/>
        </w:rPr>
        <w:t>赎回费用</w:t>
      </w:r>
    </w:p>
    <w:p w14:paraId="577DD3A4"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例五：某投资者赎回持有的</w:t>
      </w:r>
      <w:r>
        <w:rPr>
          <w:rFonts w:hAnsi="宋体" w:hint="eastAsia"/>
          <w:kern w:val="0"/>
          <w:sz w:val="24"/>
          <w:szCs w:val="24"/>
        </w:rPr>
        <w:t>10,000</w:t>
      </w:r>
      <w:r>
        <w:rPr>
          <w:rFonts w:hAnsi="宋体"/>
          <w:kern w:val="0"/>
          <w:sz w:val="24"/>
          <w:szCs w:val="24"/>
        </w:rPr>
        <w:t>.00</w:t>
      </w:r>
      <w:r>
        <w:rPr>
          <w:rFonts w:hAnsi="宋体" w:hint="eastAsia"/>
          <w:kern w:val="0"/>
          <w:sz w:val="24"/>
          <w:szCs w:val="24"/>
        </w:rPr>
        <w:t>份基金份额，持有期限为</w:t>
      </w:r>
      <w:r>
        <w:rPr>
          <w:rFonts w:hAnsi="宋体" w:hint="eastAsia"/>
          <w:kern w:val="0"/>
          <w:sz w:val="24"/>
          <w:szCs w:val="24"/>
        </w:rPr>
        <w:t>30</w:t>
      </w:r>
      <w:r>
        <w:rPr>
          <w:rFonts w:hAnsi="宋体" w:hint="eastAsia"/>
          <w:kern w:val="0"/>
          <w:sz w:val="24"/>
          <w:szCs w:val="24"/>
        </w:rPr>
        <w:t>日，对应的赎回费率为</w:t>
      </w:r>
      <w:r>
        <w:rPr>
          <w:rFonts w:hAnsi="宋体" w:hint="eastAsia"/>
          <w:kern w:val="0"/>
          <w:sz w:val="24"/>
          <w:szCs w:val="24"/>
        </w:rPr>
        <w:t>0.5%</w:t>
      </w:r>
      <w:r>
        <w:rPr>
          <w:rFonts w:hAnsi="宋体" w:hint="eastAsia"/>
          <w:kern w:val="0"/>
          <w:sz w:val="24"/>
          <w:szCs w:val="24"/>
        </w:rPr>
        <w:t>，假设赎回当日基金份额净值是</w:t>
      </w:r>
      <w:r>
        <w:rPr>
          <w:rFonts w:hAnsi="宋体" w:hint="eastAsia"/>
          <w:kern w:val="0"/>
          <w:sz w:val="24"/>
          <w:szCs w:val="24"/>
        </w:rPr>
        <w:t>1.016</w:t>
      </w:r>
      <w:r>
        <w:rPr>
          <w:rFonts w:hAnsi="宋体"/>
          <w:kern w:val="0"/>
          <w:sz w:val="24"/>
          <w:szCs w:val="24"/>
        </w:rPr>
        <w:t>0</w:t>
      </w:r>
      <w:r>
        <w:rPr>
          <w:rFonts w:hAnsi="宋体" w:hint="eastAsia"/>
          <w:kern w:val="0"/>
          <w:sz w:val="24"/>
          <w:szCs w:val="24"/>
        </w:rPr>
        <w:t>元，则其可得到的赎回金额为：</w:t>
      </w:r>
    </w:p>
    <w:p w14:paraId="112D159F"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赎回费用</w:t>
      </w:r>
      <w:r>
        <w:rPr>
          <w:rFonts w:hAnsi="宋体" w:hint="eastAsia"/>
          <w:kern w:val="0"/>
          <w:sz w:val="24"/>
          <w:szCs w:val="24"/>
        </w:rPr>
        <w:t>=10,000.</w:t>
      </w:r>
      <w:r>
        <w:rPr>
          <w:rFonts w:hAnsi="宋体"/>
          <w:kern w:val="0"/>
          <w:sz w:val="24"/>
          <w:szCs w:val="24"/>
        </w:rPr>
        <w:t>00</w:t>
      </w:r>
      <w:r>
        <w:rPr>
          <w:rFonts w:hAnsi="宋体" w:hint="eastAsia"/>
          <w:kern w:val="0"/>
          <w:sz w:val="24"/>
          <w:szCs w:val="24"/>
        </w:rPr>
        <w:t>×</w:t>
      </w:r>
      <w:r>
        <w:rPr>
          <w:rFonts w:hAnsi="宋体" w:hint="eastAsia"/>
          <w:kern w:val="0"/>
          <w:sz w:val="24"/>
          <w:szCs w:val="24"/>
        </w:rPr>
        <w:t>1.016</w:t>
      </w:r>
      <w:r>
        <w:rPr>
          <w:rFonts w:hAnsi="宋体"/>
          <w:kern w:val="0"/>
          <w:sz w:val="24"/>
          <w:szCs w:val="24"/>
        </w:rPr>
        <w:t>0</w:t>
      </w:r>
      <w:r>
        <w:rPr>
          <w:rFonts w:hAnsi="宋体" w:hint="eastAsia"/>
          <w:kern w:val="0"/>
          <w:sz w:val="24"/>
          <w:szCs w:val="24"/>
        </w:rPr>
        <w:t>×</w:t>
      </w:r>
      <w:r>
        <w:rPr>
          <w:rFonts w:hAnsi="宋体" w:hint="eastAsia"/>
          <w:kern w:val="0"/>
          <w:sz w:val="24"/>
          <w:szCs w:val="24"/>
        </w:rPr>
        <w:t>0.5%</w:t>
      </w:r>
      <w:r>
        <w:rPr>
          <w:rFonts w:hAnsi="宋体" w:hint="eastAsia"/>
          <w:kern w:val="0"/>
          <w:sz w:val="24"/>
          <w:szCs w:val="24"/>
        </w:rPr>
        <w:t>＝</w:t>
      </w:r>
      <w:r>
        <w:rPr>
          <w:rFonts w:hAnsi="宋体" w:hint="eastAsia"/>
          <w:kern w:val="0"/>
          <w:sz w:val="24"/>
          <w:szCs w:val="24"/>
        </w:rPr>
        <w:t>50.80</w:t>
      </w:r>
      <w:r>
        <w:rPr>
          <w:rFonts w:hAnsi="宋体" w:hint="eastAsia"/>
          <w:kern w:val="0"/>
          <w:sz w:val="24"/>
          <w:szCs w:val="24"/>
        </w:rPr>
        <w:t>元</w:t>
      </w:r>
    </w:p>
    <w:p w14:paraId="09A31C7A"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赎回金额</w:t>
      </w:r>
      <w:r>
        <w:rPr>
          <w:rFonts w:hAnsi="宋体" w:hint="eastAsia"/>
          <w:kern w:val="0"/>
          <w:sz w:val="24"/>
          <w:szCs w:val="24"/>
        </w:rPr>
        <w:t>=10,000</w:t>
      </w:r>
      <w:r>
        <w:rPr>
          <w:rFonts w:hAnsi="宋体"/>
          <w:kern w:val="0"/>
          <w:sz w:val="24"/>
          <w:szCs w:val="24"/>
        </w:rPr>
        <w:t>.00</w:t>
      </w:r>
      <w:r>
        <w:rPr>
          <w:rFonts w:hAnsi="宋体" w:hint="eastAsia"/>
          <w:kern w:val="0"/>
          <w:sz w:val="24"/>
          <w:szCs w:val="24"/>
        </w:rPr>
        <w:t>×</w:t>
      </w:r>
      <w:r>
        <w:rPr>
          <w:rFonts w:hAnsi="宋体" w:hint="eastAsia"/>
          <w:kern w:val="0"/>
          <w:sz w:val="24"/>
          <w:szCs w:val="24"/>
        </w:rPr>
        <w:t>1.016</w:t>
      </w:r>
      <w:r>
        <w:rPr>
          <w:rFonts w:hAnsi="宋体"/>
          <w:kern w:val="0"/>
          <w:sz w:val="24"/>
          <w:szCs w:val="24"/>
        </w:rPr>
        <w:t>0</w:t>
      </w:r>
      <w:r>
        <w:rPr>
          <w:rFonts w:hAnsi="宋体" w:hint="eastAsia"/>
          <w:kern w:val="0"/>
          <w:sz w:val="24"/>
          <w:szCs w:val="24"/>
        </w:rPr>
        <w:t>-50.80</w:t>
      </w:r>
      <w:r>
        <w:rPr>
          <w:rFonts w:hAnsi="宋体" w:hint="eastAsia"/>
          <w:kern w:val="0"/>
          <w:sz w:val="24"/>
          <w:szCs w:val="24"/>
        </w:rPr>
        <w:t>＝</w:t>
      </w:r>
      <w:r>
        <w:rPr>
          <w:rFonts w:hAnsi="宋体" w:hint="eastAsia"/>
          <w:kern w:val="0"/>
          <w:sz w:val="24"/>
          <w:szCs w:val="24"/>
        </w:rPr>
        <w:t>10,109.20</w:t>
      </w:r>
      <w:r>
        <w:rPr>
          <w:rFonts w:hAnsi="宋体" w:hint="eastAsia"/>
          <w:kern w:val="0"/>
          <w:sz w:val="24"/>
          <w:szCs w:val="24"/>
        </w:rPr>
        <w:t>元</w:t>
      </w:r>
    </w:p>
    <w:p w14:paraId="51883223"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lastRenderedPageBreak/>
        <w:t>即：该投资者赎回本基金</w:t>
      </w:r>
      <w:r>
        <w:rPr>
          <w:rFonts w:hAnsi="宋体" w:hint="eastAsia"/>
          <w:kern w:val="0"/>
          <w:sz w:val="24"/>
          <w:szCs w:val="24"/>
        </w:rPr>
        <w:t>10,000</w:t>
      </w:r>
      <w:r>
        <w:rPr>
          <w:rFonts w:hAnsi="宋体"/>
          <w:kern w:val="0"/>
          <w:sz w:val="24"/>
          <w:szCs w:val="24"/>
        </w:rPr>
        <w:t>.00</w:t>
      </w:r>
      <w:r>
        <w:rPr>
          <w:rFonts w:hAnsi="宋体" w:hint="eastAsia"/>
          <w:kern w:val="0"/>
          <w:sz w:val="24"/>
          <w:szCs w:val="24"/>
        </w:rPr>
        <w:t>份基金份额，持有期限为</w:t>
      </w:r>
      <w:r>
        <w:rPr>
          <w:rFonts w:hAnsi="宋体" w:hint="eastAsia"/>
          <w:kern w:val="0"/>
          <w:sz w:val="24"/>
          <w:szCs w:val="24"/>
        </w:rPr>
        <w:t>30</w:t>
      </w:r>
      <w:r>
        <w:rPr>
          <w:rFonts w:hAnsi="宋体" w:hint="eastAsia"/>
          <w:kern w:val="0"/>
          <w:sz w:val="24"/>
          <w:szCs w:val="24"/>
        </w:rPr>
        <w:t>日，对应的赎回费率为</w:t>
      </w:r>
      <w:r>
        <w:rPr>
          <w:rFonts w:hAnsi="宋体" w:hint="eastAsia"/>
          <w:kern w:val="0"/>
          <w:sz w:val="24"/>
          <w:szCs w:val="24"/>
        </w:rPr>
        <w:t>0.5%</w:t>
      </w:r>
      <w:r>
        <w:rPr>
          <w:rFonts w:hAnsi="宋体" w:hint="eastAsia"/>
          <w:kern w:val="0"/>
          <w:sz w:val="24"/>
          <w:szCs w:val="24"/>
        </w:rPr>
        <w:t>，假设赎回当日基金份额净值是</w:t>
      </w:r>
      <w:r>
        <w:rPr>
          <w:rFonts w:hAnsi="宋体" w:hint="eastAsia"/>
          <w:kern w:val="0"/>
          <w:sz w:val="24"/>
          <w:szCs w:val="24"/>
        </w:rPr>
        <w:t>1.016</w:t>
      </w:r>
      <w:r>
        <w:rPr>
          <w:rFonts w:hAnsi="宋体"/>
          <w:kern w:val="0"/>
          <w:sz w:val="24"/>
          <w:szCs w:val="24"/>
        </w:rPr>
        <w:t>0</w:t>
      </w:r>
      <w:r>
        <w:rPr>
          <w:rFonts w:hAnsi="宋体" w:hint="eastAsia"/>
          <w:kern w:val="0"/>
          <w:sz w:val="24"/>
          <w:szCs w:val="24"/>
        </w:rPr>
        <w:t>元，则其可得到的赎回金额为</w:t>
      </w:r>
      <w:r>
        <w:rPr>
          <w:rFonts w:hAnsi="宋体" w:hint="eastAsia"/>
          <w:kern w:val="0"/>
          <w:sz w:val="24"/>
          <w:szCs w:val="24"/>
        </w:rPr>
        <w:t>10,109.20</w:t>
      </w:r>
      <w:r>
        <w:rPr>
          <w:rFonts w:hAnsi="宋体" w:hint="eastAsia"/>
          <w:kern w:val="0"/>
          <w:sz w:val="24"/>
          <w:szCs w:val="24"/>
        </w:rPr>
        <w:t>元。</w:t>
      </w:r>
    </w:p>
    <w:p w14:paraId="70F83CEE" w14:textId="77777777" w:rsidR="00791BDD" w:rsidRDefault="00B75151">
      <w:pPr>
        <w:widowControl/>
        <w:adjustRightInd w:val="0"/>
        <w:snapToGrid w:val="0"/>
        <w:spacing w:line="360" w:lineRule="auto"/>
        <w:ind w:firstLineChars="200" w:firstLine="480"/>
        <w:outlineLvl w:val="2"/>
        <w:rPr>
          <w:kern w:val="0"/>
          <w:sz w:val="24"/>
          <w:szCs w:val="24"/>
        </w:rPr>
      </w:pPr>
      <w:r>
        <w:rPr>
          <w:kern w:val="0"/>
          <w:sz w:val="24"/>
          <w:szCs w:val="24"/>
        </w:rPr>
        <w:t>4</w:t>
      </w:r>
      <w:r>
        <w:rPr>
          <w:rFonts w:hAnsi="宋体"/>
          <w:kern w:val="0"/>
          <w:sz w:val="24"/>
          <w:szCs w:val="24"/>
        </w:rPr>
        <w:t>、基金份额净值的计算公式</w:t>
      </w:r>
    </w:p>
    <w:p w14:paraId="7E467CF4"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基金份额净值＝基金资产净值总额</w:t>
      </w:r>
      <w:r>
        <w:rPr>
          <w:rFonts w:hAnsi="宋体" w:hint="eastAsia"/>
          <w:kern w:val="0"/>
          <w:sz w:val="24"/>
          <w:szCs w:val="24"/>
        </w:rPr>
        <w:t>/</w:t>
      </w:r>
      <w:r>
        <w:rPr>
          <w:rFonts w:hAnsi="宋体" w:hint="eastAsia"/>
          <w:kern w:val="0"/>
          <w:sz w:val="24"/>
          <w:szCs w:val="24"/>
        </w:rPr>
        <w:t>发行在外的基金份额总数</w:t>
      </w:r>
    </w:p>
    <w:p w14:paraId="71349EA3" w14:textId="77777777" w:rsidR="00791BDD" w:rsidRDefault="00B75151">
      <w:pPr>
        <w:widowControl/>
        <w:adjustRightInd w:val="0"/>
        <w:snapToGrid w:val="0"/>
        <w:spacing w:line="360" w:lineRule="auto"/>
        <w:ind w:firstLineChars="200" w:firstLine="480"/>
        <w:rPr>
          <w:kern w:val="0"/>
          <w:sz w:val="24"/>
          <w:szCs w:val="24"/>
        </w:rPr>
      </w:pPr>
      <w:r>
        <w:rPr>
          <w:rFonts w:hAnsi="宋体"/>
          <w:kern w:val="0"/>
          <w:sz w:val="24"/>
          <w:szCs w:val="24"/>
        </w:rPr>
        <w:t>本基金</w:t>
      </w:r>
      <w:r>
        <w:rPr>
          <w:kern w:val="0"/>
          <w:sz w:val="24"/>
          <w:szCs w:val="24"/>
        </w:rPr>
        <w:t>T</w:t>
      </w:r>
      <w:r>
        <w:rPr>
          <w:rFonts w:hAnsi="宋体"/>
          <w:kern w:val="0"/>
          <w:sz w:val="24"/>
          <w:szCs w:val="24"/>
        </w:rPr>
        <w:t>日的基金份额净值在当天收市后计算，并在</w:t>
      </w:r>
      <w:r>
        <w:rPr>
          <w:kern w:val="0"/>
          <w:sz w:val="24"/>
          <w:szCs w:val="24"/>
        </w:rPr>
        <w:t>T</w:t>
      </w:r>
      <w:r>
        <w:rPr>
          <w:rFonts w:hAnsi="宋体"/>
          <w:kern w:val="0"/>
          <w:sz w:val="24"/>
          <w:szCs w:val="24"/>
        </w:rPr>
        <w:t>＋</w:t>
      </w:r>
      <w:r>
        <w:rPr>
          <w:kern w:val="0"/>
          <w:sz w:val="24"/>
          <w:szCs w:val="24"/>
        </w:rPr>
        <w:t>1</w:t>
      </w:r>
      <w:r>
        <w:rPr>
          <w:rFonts w:hAnsi="宋体"/>
          <w:kern w:val="0"/>
          <w:sz w:val="24"/>
          <w:szCs w:val="24"/>
        </w:rPr>
        <w:t>日</w:t>
      </w:r>
      <w:r>
        <w:rPr>
          <w:rFonts w:hAnsi="宋体" w:hint="eastAsia"/>
          <w:kern w:val="0"/>
          <w:sz w:val="24"/>
          <w:szCs w:val="24"/>
        </w:rPr>
        <w:t>（包括该日）内</w:t>
      </w:r>
      <w:r>
        <w:rPr>
          <w:rFonts w:hAnsi="宋体"/>
          <w:kern w:val="0"/>
          <w:sz w:val="24"/>
          <w:szCs w:val="24"/>
        </w:rPr>
        <w:t>公告。遇特殊情况，经</w:t>
      </w:r>
      <w:r>
        <w:rPr>
          <w:rFonts w:hAnsi="宋体" w:hint="eastAsia"/>
          <w:kern w:val="0"/>
          <w:sz w:val="24"/>
          <w:szCs w:val="24"/>
        </w:rPr>
        <w:t>履行适当程序</w:t>
      </w:r>
      <w:r>
        <w:rPr>
          <w:rFonts w:hAnsi="宋体"/>
          <w:kern w:val="0"/>
          <w:sz w:val="24"/>
          <w:szCs w:val="24"/>
        </w:rPr>
        <w:t>，可以适当延迟计算或公告。</w:t>
      </w:r>
      <w:r>
        <w:rPr>
          <w:rFonts w:hAnsi="宋体"/>
          <w:sz w:val="24"/>
          <w:szCs w:val="24"/>
        </w:rPr>
        <w:t>本基金</w:t>
      </w:r>
      <w:r>
        <w:rPr>
          <w:rFonts w:hAnsi="宋体" w:hint="eastAsia"/>
          <w:sz w:val="24"/>
          <w:szCs w:val="24"/>
        </w:rPr>
        <w:t>基金</w:t>
      </w:r>
      <w:r>
        <w:rPr>
          <w:rFonts w:hAnsi="宋体"/>
          <w:sz w:val="24"/>
          <w:szCs w:val="24"/>
        </w:rPr>
        <w:t>份额净值的计算，保留到小数点后</w:t>
      </w:r>
      <w:r>
        <w:rPr>
          <w:sz w:val="24"/>
          <w:szCs w:val="24"/>
        </w:rPr>
        <w:t>4</w:t>
      </w:r>
      <w:r>
        <w:rPr>
          <w:rFonts w:hAnsi="宋体"/>
          <w:sz w:val="24"/>
          <w:szCs w:val="24"/>
        </w:rPr>
        <w:t>位，小数点后第</w:t>
      </w:r>
      <w:r>
        <w:rPr>
          <w:sz w:val="24"/>
          <w:szCs w:val="24"/>
        </w:rPr>
        <w:t>5</w:t>
      </w:r>
      <w:r>
        <w:rPr>
          <w:rFonts w:hAnsi="宋体"/>
          <w:sz w:val="24"/>
          <w:szCs w:val="24"/>
        </w:rPr>
        <w:t>位四舍五入，由此产生的收益或损失由基金财产承担。</w:t>
      </w:r>
    </w:p>
    <w:p w14:paraId="0AB6D91E" w14:textId="77777777" w:rsidR="00791BDD" w:rsidRDefault="00B75151">
      <w:pPr>
        <w:adjustRightInd w:val="0"/>
        <w:snapToGrid w:val="0"/>
        <w:spacing w:line="360" w:lineRule="auto"/>
        <w:ind w:firstLineChars="200" w:firstLine="482"/>
        <w:outlineLvl w:val="1"/>
        <w:rPr>
          <w:rFonts w:hAnsi="宋体"/>
          <w:kern w:val="0"/>
          <w:sz w:val="24"/>
          <w:szCs w:val="24"/>
        </w:rPr>
      </w:pPr>
      <w:bookmarkStart w:id="37" w:name="_Toc79392615"/>
      <w:r>
        <w:rPr>
          <w:rFonts w:hAnsi="宋体"/>
          <w:b/>
          <w:kern w:val="0"/>
          <w:sz w:val="24"/>
          <w:szCs w:val="24"/>
        </w:rPr>
        <w:t>（八）拒绝或暂停申购的情形</w:t>
      </w:r>
      <w:bookmarkEnd w:id="37"/>
    </w:p>
    <w:p w14:paraId="23B3F7CB" w14:textId="77777777" w:rsidR="00791BDD" w:rsidRDefault="00B75151">
      <w:pPr>
        <w:widowControl/>
        <w:adjustRightInd w:val="0"/>
        <w:snapToGrid w:val="0"/>
        <w:spacing w:line="360" w:lineRule="auto"/>
        <w:ind w:firstLineChars="200" w:firstLine="480"/>
        <w:rPr>
          <w:rFonts w:hAnsi="宋体"/>
          <w:kern w:val="0"/>
          <w:sz w:val="24"/>
          <w:szCs w:val="24"/>
        </w:rPr>
      </w:pPr>
      <w:bookmarkStart w:id="38" w:name="_Hlt70481650"/>
      <w:bookmarkEnd w:id="38"/>
      <w:r>
        <w:rPr>
          <w:rFonts w:hAnsi="宋体" w:hint="eastAsia"/>
          <w:kern w:val="0"/>
          <w:sz w:val="24"/>
          <w:szCs w:val="24"/>
        </w:rPr>
        <w:t>发生下列情况时，基金管理人可拒绝或暂停接受投资人的申购申请：</w:t>
      </w:r>
    </w:p>
    <w:p w14:paraId="4A35DA72"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1</w:t>
      </w:r>
      <w:r>
        <w:rPr>
          <w:rFonts w:hAnsi="宋体" w:hint="eastAsia"/>
          <w:kern w:val="0"/>
          <w:sz w:val="24"/>
          <w:szCs w:val="24"/>
        </w:rPr>
        <w:t>、因不可抗力导致基金无法正常运作。</w:t>
      </w:r>
    </w:p>
    <w:p w14:paraId="0F0A2DFF"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2</w:t>
      </w:r>
      <w:r>
        <w:rPr>
          <w:rFonts w:hAnsi="宋体" w:hint="eastAsia"/>
          <w:kern w:val="0"/>
          <w:sz w:val="24"/>
          <w:szCs w:val="24"/>
        </w:rPr>
        <w:t>、发生基金合同规定的暂停基金资产估值情况时，基金管理人可暂停接受投资人的申购申请。</w:t>
      </w:r>
    </w:p>
    <w:p w14:paraId="1493364D"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3</w:t>
      </w:r>
      <w:r>
        <w:rPr>
          <w:rFonts w:hAnsi="宋体" w:hint="eastAsia"/>
          <w:kern w:val="0"/>
          <w:sz w:val="24"/>
          <w:szCs w:val="24"/>
        </w:rPr>
        <w:t>、证券、期货交易所交易时间非正常停市或港股通临时停市，导致基金管理人无法计算当日基金资产净值。</w:t>
      </w:r>
    </w:p>
    <w:p w14:paraId="6E96F752"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4</w:t>
      </w:r>
      <w:r>
        <w:rPr>
          <w:rFonts w:hAnsi="宋体" w:hint="eastAsia"/>
          <w:kern w:val="0"/>
          <w:sz w:val="24"/>
          <w:szCs w:val="24"/>
        </w:rPr>
        <w:t>、接受某笔或某些申购申请可能会影响或损害现有基金份额持有人利益时。</w:t>
      </w:r>
    </w:p>
    <w:p w14:paraId="309AEC57"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5</w:t>
      </w:r>
      <w:r>
        <w:rPr>
          <w:rFonts w:hAnsi="宋体" w:hint="eastAsia"/>
          <w:kern w:val="0"/>
          <w:sz w:val="24"/>
          <w:szCs w:val="24"/>
        </w:rPr>
        <w:t>、基金资产规模过大，使基金管理人无法找到合适的投资品种，或其他可能对基金业绩产生负面影响，或发生其他损害现有基金份额持有人利益的情形。</w:t>
      </w:r>
    </w:p>
    <w:p w14:paraId="4269A0A5"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kern w:val="0"/>
          <w:sz w:val="24"/>
          <w:szCs w:val="24"/>
        </w:rPr>
        <w:t>6</w:t>
      </w:r>
      <w:r>
        <w:rPr>
          <w:rFonts w:hAnsi="宋体" w:hint="eastAsia"/>
          <w:kern w:val="0"/>
          <w:sz w:val="24"/>
          <w:szCs w:val="24"/>
        </w:rPr>
        <w:t>、基金销售机构、基金销售支付结算机构或登记机构的异常情况导致基金销售系统、基金销售支付结算系统、基金注册登记系统或基金会计系统无法正常运行。</w:t>
      </w:r>
    </w:p>
    <w:p w14:paraId="6944A804"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7</w:t>
      </w:r>
      <w:r>
        <w:rPr>
          <w:rFonts w:hAnsi="宋体" w:hint="eastAsia"/>
          <w:kern w:val="0"/>
          <w:sz w:val="24"/>
          <w:szCs w:val="24"/>
        </w:rPr>
        <w:t>、当前一估值日基金资产净值</w:t>
      </w:r>
      <w:r>
        <w:rPr>
          <w:rFonts w:hAnsi="宋体" w:hint="eastAsia"/>
          <w:kern w:val="0"/>
          <w:sz w:val="24"/>
          <w:szCs w:val="24"/>
        </w:rPr>
        <w:t>50%</w:t>
      </w:r>
      <w:r>
        <w:rPr>
          <w:rFonts w:hAnsi="宋体" w:hint="eastAsia"/>
          <w:kern w:val="0"/>
          <w:sz w:val="24"/>
          <w:szCs w:val="24"/>
        </w:rPr>
        <w:t>以上的资产出现无可参考的活跃市场价格且采用估值技术仍导致公允价值存在重大不确定性时，经与基金托管人协商确认后，基金管理人应当暂停接受基金申购申请。</w:t>
      </w:r>
    </w:p>
    <w:p w14:paraId="09EE85A3"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8</w:t>
      </w:r>
      <w:r>
        <w:rPr>
          <w:rFonts w:hAnsi="宋体" w:hint="eastAsia"/>
          <w:kern w:val="0"/>
          <w:sz w:val="24"/>
          <w:szCs w:val="24"/>
        </w:rPr>
        <w:t>、港股通交易每日额度不足，或者发生证券交易服务公司等机构认定的交易异常情况并决定暂停提供部分或者全部港股通服务，或者发生其他影响通过内地与香港股票市场交易互联互通机制进行正常交易的情形。</w:t>
      </w:r>
    </w:p>
    <w:p w14:paraId="1E896C13"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kern w:val="0"/>
          <w:sz w:val="24"/>
          <w:szCs w:val="24"/>
        </w:rPr>
        <w:lastRenderedPageBreak/>
        <w:t>9</w:t>
      </w:r>
      <w:r>
        <w:rPr>
          <w:rFonts w:hAnsi="宋体" w:hint="eastAsia"/>
          <w:kern w:val="0"/>
          <w:sz w:val="24"/>
          <w:szCs w:val="24"/>
        </w:rPr>
        <w:t>、基金管理人接受某笔或者某些申购申请有可能导致单一投资者（基金管理人、基金管理人高级管理人员或基金经理等人员作为发起资金提供方除外）持有基金份额的比例超过</w:t>
      </w:r>
      <w:r>
        <w:rPr>
          <w:rFonts w:hAnsi="宋体" w:hint="eastAsia"/>
          <w:kern w:val="0"/>
          <w:sz w:val="24"/>
          <w:szCs w:val="24"/>
        </w:rPr>
        <w:t>50%</w:t>
      </w:r>
      <w:r>
        <w:rPr>
          <w:rFonts w:hAnsi="宋体" w:hint="eastAsia"/>
          <w:kern w:val="0"/>
          <w:sz w:val="24"/>
          <w:szCs w:val="24"/>
        </w:rPr>
        <w:t>，或者变相规避</w:t>
      </w:r>
      <w:r>
        <w:rPr>
          <w:rFonts w:hAnsi="宋体" w:hint="eastAsia"/>
          <w:kern w:val="0"/>
          <w:sz w:val="24"/>
          <w:szCs w:val="24"/>
        </w:rPr>
        <w:t>50%</w:t>
      </w:r>
      <w:r>
        <w:rPr>
          <w:rFonts w:hAnsi="宋体" w:hint="eastAsia"/>
          <w:kern w:val="0"/>
          <w:sz w:val="24"/>
          <w:szCs w:val="24"/>
        </w:rPr>
        <w:t>集中度的。出现上述情形时，基金管理人有权将上述申购申请全部或部分确认失败。</w:t>
      </w:r>
    </w:p>
    <w:p w14:paraId="1903CEAD"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kern w:val="0"/>
          <w:sz w:val="24"/>
          <w:szCs w:val="24"/>
        </w:rPr>
        <w:t>10</w:t>
      </w:r>
      <w:r>
        <w:rPr>
          <w:rFonts w:hAnsi="宋体" w:hint="eastAsia"/>
          <w:kern w:val="0"/>
          <w:sz w:val="24"/>
          <w:szCs w:val="24"/>
        </w:rPr>
        <w:t>、法律法规规定、中国证监会认定或基金合同约定的其他情形。</w:t>
      </w:r>
    </w:p>
    <w:p w14:paraId="421C780C" w14:textId="77777777" w:rsidR="00791BDD" w:rsidRDefault="00B75151">
      <w:pPr>
        <w:widowControl/>
        <w:adjustRightInd w:val="0"/>
        <w:snapToGrid w:val="0"/>
        <w:spacing w:line="360" w:lineRule="auto"/>
        <w:ind w:firstLineChars="200" w:firstLine="480"/>
        <w:rPr>
          <w:rFonts w:hAnsi="宋体"/>
          <w:b/>
          <w:kern w:val="0"/>
          <w:sz w:val="24"/>
          <w:szCs w:val="24"/>
        </w:rPr>
      </w:pPr>
      <w:r>
        <w:rPr>
          <w:rFonts w:hAnsi="宋体" w:hint="eastAsia"/>
          <w:kern w:val="0"/>
          <w:sz w:val="24"/>
          <w:szCs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6</w:t>
      </w:r>
      <w:r>
        <w:rPr>
          <w:rFonts w:hint="eastAsia"/>
          <w:bCs/>
          <w:sz w:val="24"/>
        </w:rPr>
        <w:t>、</w:t>
      </w:r>
      <w:r>
        <w:rPr>
          <w:rFonts w:hint="eastAsia"/>
          <w:bCs/>
          <w:sz w:val="24"/>
        </w:rPr>
        <w:t>7</w:t>
      </w:r>
      <w:r>
        <w:rPr>
          <w:bCs/>
          <w:sz w:val="24"/>
        </w:rPr>
        <w:t>、</w:t>
      </w:r>
      <w:r>
        <w:rPr>
          <w:bCs/>
          <w:sz w:val="24"/>
        </w:rPr>
        <w:t>8</w:t>
      </w:r>
      <w:r>
        <w:rPr>
          <w:rFonts w:hint="eastAsia"/>
          <w:bCs/>
          <w:sz w:val="24"/>
        </w:rPr>
        <w:t>、</w:t>
      </w:r>
      <w:r>
        <w:rPr>
          <w:rFonts w:hint="eastAsia"/>
          <w:bCs/>
          <w:sz w:val="24"/>
        </w:rPr>
        <w:t>1</w:t>
      </w:r>
      <w:r>
        <w:rPr>
          <w:bCs/>
          <w:sz w:val="24"/>
        </w:rPr>
        <w:t>0</w:t>
      </w:r>
      <w:r>
        <w:rPr>
          <w:rFonts w:hAnsi="宋体" w:hint="eastAsia"/>
          <w:kern w:val="0"/>
          <w:sz w:val="24"/>
          <w:szCs w:val="24"/>
        </w:rPr>
        <w:t>项暂停申购情形之一且基金管理人决定暂停接受投资人申购申请时，基金管理人应当根据有关规定在规定媒介上刊登暂停申购公告。如果投资人的申购申请被拒绝，被拒绝的申购款项将退还给投资人。在暂停申购的情况消除时，基金管理人应及时恢复申购业务的办理。</w:t>
      </w:r>
    </w:p>
    <w:p w14:paraId="59363CD9" w14:textId="77777777" w:rsidR="00791BDD" w:rsidRDefault="00B75151">
      <w:pPr>
        <w:widowControl/>
        <w:adjustRightInd w:val="0"/>
        <w:snapToGrid w:val="0"/>
        <w:spacing w:line="360" w:lineRule="auto"/>
        <w:ind w:firstLineChars="200" w:firstLine="482"/>
        <w:outlineLvl w:val="1"/>
        <w:rPr>
          <w:b/>
          <w:kern w:val="0"/>
          <w:sz w:val="24"/>
          <w:szCs w:val="24"/>
        </w:rPr>
      </w:pPr>
      <w:r>
        <w:rPr>
          <w:rFonts w:hAnsi="宋体"/>
          <w:b/>
          <w:kern w:val="0"/>
          <w:sz w:val="24"/>
          <w:szCs w:val="24"/>
        </w:rPr>
        <w:t>（九）暂停赎回或延缓支付赎回款项的情形</w:t>
      </w:r>
    </w:p>
    <w:p w14:paraId="10C93E88" w14:textId="77777777" w:rsidR="00791BDD" w:rsidRDefault="00B75151">
      <w:pPr>
        <w:widowControl/>
        <w:adjustRightInd w:val="0"/>
        <w:snapToGrid w:val="0"/>
        <w:spacing w:line="360" w:lineRule="auto"/>
        <w:ind w:firstLineChars="200" w:firstLine="480"/>
        <w:rPr>
          <w:rFonts w:hAnsi="宋体"/>
          <w:kern w:val="0"/>
          <w:sz w:val="24"/>
          <w:szCs w:val="24"/>
        </w:rPr>
      </w:pPr>
      <w:bookmarkStart w:id="39" w:name="_Toc79392616"/>
      <w:r>
        <w:rPr>
          <w:rFonts w:hAnsi="宋体" w:hint="eastAsia"/>
          <w:kern w:val="0"/>
          <w:sz w:val="24"/>
          <w:szCs w:val="24"/>
        </w:rPr>
        <w:t>发生下列情形时，基金管理人可暂停接受投资人的赎回申请或延缓支付赎回款项：</w:t>
      </w:r>
    </w:p>
    <w:p w14:paraId="137097E3"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1</w:t>
      </w:r>
      <w:r>
        <w:rPr>
          <w:rFonts w:hAnsi="宋体" w:hint="eastAsia"/>
          <w:kern w:val="0"/>
          <w:sz w:val="24"/>
          <w:szCs w:val="24"/>
        </w:rPr>
        <w:t>、因不可抗力导致基金管理人不能支付赎回款项。</w:t>
      </w:r>
    </w:p>
    <w:p w14:paraId="617FA6F2"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2</w:t>
      </w:r>
      <w:r>
        <w:rPr>
          <w:rFonts w:hAnsi="宋体" w:hint="eastAsia"/>
          <w:kern w:val="0"/>
          <w:sz w:val="24"/>
          <w:szCs w:val="24"/>
        </w:rPr>
        <w:t>、发生基金合同规定的暂停基金资产估值情况时，基金管理人可暂停接受投资人的赎回申请或延缓支付赎回款项。</w:t>
      </w:r>
    </w:p>
    <w:p w14:paraId="793476B0"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3</w:t>
      </w:r>
      <w:r>
        <w:rPr>
          <w:rFonts w:hAnsi="宋体" w:hint="eastAsia"/>
          <w:kern w:val="0"/>
          <w:sz w:val="24"/>
          <w:szCs w:val="24"/>
        </w:rPr>
        <w:t>、证券、期货交易所交易时间非正常停市或港股通临时停市，导致基金管理人无法计算当日基金资产净值。</w:t>
      </w:r>
    </w:p>
    <w:p w14:paraId="6CBA49E7"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4</w:t>
      </w:r>
      <w:r>
        <w:rPr>
          <w:rFonts w:hAnsi="宋体" w:hint="eastAsia"/>
          <w:kern w:val="0"/>
          <w:sz w:val="24"/>
          <w:szCs w:val="24"/>
        </w:rPr>
        <w:t>、连续两个或两个以上开放日发生巨额赎回。</w:t>
      </w:r>
    </w:p>
    <w:p w14:paraId="41B20872"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5</w:t>
      </w:r>
      <w:r>
        <w:rPr>
          <w:rFonts w:hAnsi="宋体" w:hint="eastAsia"/>
          <w:kern w:val="0"/>
          <w:sz w:val="24"/>
          <w:szCs w:val="24"/>
        </w:rPr>
        <w:t>、发生继续接受赎回申请将损害现有基金份额持有人利益的情形时，基金管理人可暂停接受基金份额持有人的赎回申请。</w:t>
      </w:r>
    </w:p>
    <w:p w14:paraId="65FADC0C"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kern w:val="0"/>
          <w:sz w:val="24"/>
          <w:szCs w:val="24"/>
        </w:rPr>
        <w:t>6</w:t>
      </w:r>
      <w:r>
        <w:rPr>
          <w:rFonts w:hAnsi="宋体" w:hint="eastAsia"/>
          <w:kern w:val="0"/>
          <w:sz w:val="24"/>
          <w:szCs w:val="24"/>
        </w:rPr>
        <w:t>、当前一估值日基金资产净值</w:t>
      </w:r>
      <w:r>
        <w:rPr>
          <w:rFonts w:hAnsi="宋体" w:hint="eastAsia"/>
          <w:kern w:val="0"/>
          <w:sz w:val="24"/>
          <w:szCs w:val="24"/>
        </w:rPr>
        <w:t>50%</w:t>
      </w:r>
      <w:r>
        <w:rPr>
          <w:rFonts w:hAnsi="宋体" w:hint="eastAsia"/>
          <w:kern w:val="0"/>
          <w:sz w:val="24"/>
          <w:szCs w:val="24"/>
        </w:rPr>
        <w:t>以上的资产出现无可参考的活跃市场价格且采用估值技术仍导致公允价值存在重大不确定性时，经与基金托管人协商确认后，基金管理人应当延缓支付赎回款项或暂停接受基金赎回申请。</w:t>
      </w:r>
    </w:p>
    <w:p w14:paraId="63D8A202"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kern w:val="0"/>
          <w:sz w:val="24"/>
          <w:szCs w:val="24"/>
        </w:rPr>
        <w:t>7</w:t>
      </w:r>
      <w:r>
        <w:rPr>
          <w:rFonts w:hAnsi="宋体" w:hint="eastAsia"/>
          <w:kern w:val="0"/>
          <w:sz w:val="24"/>
          <w:szCs w:val="24"/>
        </w:rPr>
        <w:t>、法律法规规定、中国证监会认定或基金合同约定的其他情形。</w:t>
      </w:r>
    </w:p>
    <w:p w14:paraId="08CC04EA" w14:textId="77777777" w:rsidR="00791BDD" w:rsidRDefault="00B75151">
      <w:pPr>
        <w:widowControl/>
        <w:adjustRightInd w:val="0"/>
        <w:snapToGrid w:val="0"/>
        <w:spacing w:line="360" w:lineRule="auto"/>
        <w:ind w:firstLineChars="200" w:firstLine="480"/>
        <w:rPr>
          <w:rFonts w:hAnsi="宋体"/>
          <w:b/>
          <w:kern w:val="0"/>
          <w:sz w:val="24"/>
          <w:szCs w:val="24"/>
        </w:rPr>
      </w:pPr>
      <w:r>
        <w:rPr>
          <w:rFonts w:hAnsi="宋体" w:hint="eastAsia"/>
          <w:kern w:val="0"/>
          <w:sz w:val="24"/>
          <w:szCs w:val="24"/>
        </w:rPr>
        <w:t>发生上述情形之一且基金管理人决定暂停接受基金份额持有人的赎回申请或延缓支付赎回款项时，基金管理人应</w:t>
      </w:r>
      <w:r>
        <w:rPr>
          <w:rFonts w:hint="eastAsia"/>
          <w:bCs/>
          <w:sz w:val="24"/>
        </w:rPr>
        <w:t>及时</w:t>
      </w:r>
      <w:r>
        <w:rPr>
          <w:rFonts w:hAnsi="宋体" w:hint="eastAsia"/>
          <w:kern w:val="0"/>
          <w:sz w:val="24"/>
          <w:szCs w:val="24"/>
        </w:rPr>
        <w:t>报中国证监会备案，已确认的赎回申请，基金管理人应足额支付；如暂时不能足额支付，应将可支付部分按单个账户申请量占申请总量的比例分配给赎回申请人，未支付部分可延期支付。若出现上述第</w:t>
      </w:r>
      <w:r>
        <w:rPr>
          <w:rFonts w:hAnsi="宋体" w:hint="eastAsia"/>
          <w:kern w:val="0"/>
          <w:sz w:val="24"/>
          <w:szCs w:val="24"/>
        </w:rPr>
        <w:t>4</w:t>
      </w:r>
      <w:r>
        <w:rPr>
          <w:rFonts w:hAnsi="宋体" w:hint="eastAsia"/>
          <w:kern w:val="0"/>
          <w:sz w:val="24"/>
          <w:szCs w:val="24"/>
        </w:rPr>
        <w:t>项所</w:t>
      </w:r>
      <w:r>
        <w:rPr>
          <w:rFonts w:hAnsi="宋体" w:hint="eastAsia"/>
          <w:kern w:val="0"/>
          <w:sz w:val="24"/>
          <w:szCs w:val="24"/>
        </w:rPr>
        <w:lastRenderedPageBreak/>
        <w:t>述情形，按基金合同的相关条款处理。基金份额持有人在申请赎回时可事先选择将当日可能未获受理部分予以撤销。在暂停赎回的情况消除时，基金管理人应及时恢复赎回业务的办理并公告。</w:t>
      </w:r>
    </w:p>
    <w:p w14:paraId="15E544DA" w14:textId="77777777" w:rsidR="00791BDD" w:rsidRDefault="00B75151">
      <w:pPr>
        <w:widowControl/>
        <w:adjustRightInd w:val="0"/>
        <w:snapToGrid w:val="0"/>
        <w:spacing w:line="360" w:lineRule="auto"/>
        <w:ind w:firstLineChars="200" w:firstLine="482"/>
        <w:outlineLvl w:val="1"/>
        <w:rPr>
          <w:b/>
          <w:kern w:val="0"/>
          <w:sz w:val="24"/>
          <w:szCs w:val="24"/>
        </w:rPr>
      </w:pPr>
      <w:r>
        <w:rPr>
          <w:rFonts w:hAnsi="宋体"/>
          <w:b/>
          <w:kern w:val="0"/>
          <w:sz w:val="24"/>
          <w:szCs w:val="24"/>
        </w:rPr>
        <w:t>（十）巨额赎回的情形及处理方式</w:t>
      </w:r>
      <w:bookmarkEnd w:id="39"/>
    </w:p>
    <w:p w14:paraId="178F0962" w14:textId="77777777" w:rsidR="00791BDD" w:rsidRDefault="00B75151">
      <w:pPr>
        <w:widowControl/>
        <w:adjustRightInd w:val="0"/>
        <w:snapToGrid w:val="0"/>
        <w:spacing w:line="360" w:lineRule="auto"/>
        <w:ind w:firstLineChars="200" w:firstLine="480"/>
        <w:outlineLvl w:val="2"/>
        <w:rPr>
          <w:rFonts w:hAnsi="宋体"/>
          <w:kern w:val="0"/>
          <w:sz w:val="24"/>
          <w:szCs w:val="24"/>
        </w:rPr>
      </w:pPr>
      <w:r>
        <w:rPr>
          <w:rFonts w:hAnsi="宋体"/>
          <w:kern w:val="0"/>
          <w:sz w:val="24"/>
          <w:szCs w:val="24"/>
        </w:rPr>
        <w:t>1</w:t>
      </w:r>
      <w:r>
        <w:rPr>
          <w:rFonts w:hAnsi="宋体" w:hint="eastAsia"/>
          <w:kern w:val="0"/>
          <w:sz w:val="24"/>
          <w:szCs w:val="24"/>
        </w:rPr>
        <w:t>、</w:t>
      </w:r>
      <w:r>
        <w:rPr>
          <w:rFonts w:hAnsi="宋体"/>
          <w:kern w:val="0"/>
          <w:sz w:val="24"/>
          <w:szCs w:val="24"/>
        </w:rPr>
        <w:t>巨额赎回的认定</w:t>
      </w:r>
    </w:p>
    <w:p w14:paraId="6567B231"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若本基金单个开放日内的基金份额净赎回申请（赎回申请份额总数加上基金转换中转出申请份额总数后扣除申购申请份额总数及基金转换中转入申请份额总数后的余额）超过前一开放日的基金总份额的</w:t>
      </w:r>
      <w:r>
        <w:rPr>
          <w:rFonts w:hAnsi="宋体" w:hint="eastAsia"/>
          <w:kern w:val="0"/>
          <w:sz w:val="24"/>
          <w:szCs w:val="24"/>
        </w:rPr>
        <w:t>10%</w:t>
      </w:r>
      <w:r>
        <w:rPr>
          <w:rFonts w:hAnsi="宋体" w:hint="eastAsia"/>
          <w:kern w:val="0"/>
          <w:sz w:val="24"/>
          <w:szCs w:val="24"/>
        </w:rPr>
        <w:t>，即认为是发生了巨额赎回。</w:t>
      </w:r>
    </w:p>
    <w:p w14:paraId="562BE77A" w14:textId="77777777" w:rsidR="00791BDD" w:rsidRDefault="00B75151">
      <w:pPr>
        <w:widowControl/>
        <w:adjustRightInd w:val="0"/>
        <w:snapToGrid w:val="0"/>
        <w:spacing w:line="360" w:lineRule="auto"/>
        <w:ind w:firstLineChars="200" w:firstLine="480"/>
        <w:outlineLvl w:val="2"/>
        <w:rPr>
          <w:rFonts w:hAnsi="宋体"/>
          <w:kern w:val="0"/>
          <w:sz w:val="24"/>
          <w:szCs w:val="24"/>
        </w:rPr>
      </w:pPr>
      <w:r>
        <w:rPr>
          <w:rFonts w:hAnsi="宋体"/>
          <w:kern w:val="0"/>
          <w:sz w:val="24"/>
          <w:szCs w:val="24"/>
        </w:rPr>
        <w:t>2</w:t>
      </w:r>
      <w:r>
        <w:rPr>
          <w:rFonts w:hAnsi="宋体" w:hint="eastAsia"/>
          <w:kern w:val="0"/>
          <w:sz w:val="24"/>
          <w:szCs w:val="24"/>
        </w:rPr>
        <w:t>、</w:t>
      </w:r>
      <w:r>
        <w:rPr>
          <w:rFonts w:hAnsi="宋体"/>
          <w:kern w:val="0"/>
          <w:sz w:val="24"/>
          <w:szCs w:val="24"/>
        </w:rPr>
        <w:t>巨额赎回的处理方式</w:t>
      </w:r>
    </w:p>
    <w:p w14:paraId="6D5C1FD0"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当基金出现巨额赎回时，基金管理人可以根据基金当时的资产组合状况决定全额赎回或部分延期赎回。</w:t>
      </w:r>
    </w:p>
    <w:p w14:paraId="023D6F5E"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hint="eastAsia"/>
          <w:kern w:val="0"/>
          <w:sz w:val="24"/>
          <w:szCs w:val="24"/>
        </w:rPr>
        <w:t>1</w:t>
      </w:r>
      <w:r>
        <w:rPr>
          <w:rFonts w:hAnsi="宋体" w:hint="eastAsia"/>
          <w:kern w:val="0"/>
          <w:sz w:val="24"/>
          <w:szCs w:val="24"/>
        </w:rPr>
        <w:t>）全额赎回：当基金管理人认为有能力支付投资人的全部赎回申请时，按正常赎回程序执行。</w:t>
      </w:r>
    </w:p>
    <w:p w14:paraId="09E625EB"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hint="eastAsia"/>
          <w:kern w:val="0"/>
          <w:sz w:val="24"/>
          <w:szCs w:val="24"/>
        </w:rPr>
        <w:t>2</w:t>
      </w:r>
      <w:r>
        <w:rPr>
          <w:rFonts w:hAnsi="宋体" w:hint="eastAsia"/>
          <w:kern w:val="0"/>
          <w:sz w:val="24"/>
          <w:szCs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Ansi="宋体" w:hint="eastAsia"/>
          <w:kern w:val="0"/>
          <w:sz w:val="24"/>
          <w:szCs w:val="24"/>
        </w:rPr>
        <w:t>10%</w:t>
      </w:r>
      <w:r>
        <w:rPr>
          <w:rFonts w:hAnsi="宋体" w:hint="eastAsia"/>
          <w:kern w:val="0"/>
          <w:sz w:val="24"/>
          <w:szCs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5D4967C3"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kern w:val="0"/>
          <w:sz w:val="24"/>
          <w:szCs w:val="24"/>
        </w:rPr>
        <w:t>3</w:t>
      </w:r>
      <w:r>
        <w:rPr>
          <w:rFonts w:hAnsi="宋体"/>
          <w:kern w:val="0"/>
          <w:sz w:val="24"/>
          <w:szCs w:val="24"/>
        </w:rPr>
        <w:t>）</w:t>
      </w:r>
      <w:r>
        <w:rPr>
          <w:rFonts w:hAnsi="宋体" w:hint="eastAsia"/>
          <w:kern w:val="0"/>
          <w:sz w:val="24"/>
          <w:szCs w:val="24"/>
        </w:rPr>
        <w:t>本基金如发生巨额赎回且单个开放日内单个基金份额持有人申请赎回的基金份额超过前一开放日的基金总份额的</w:t>
      </w:r>
      <w:r>
        <w:rPr>
          <w:rFonts w:hAnsi="宋体" w:hint="eastAsia"/>
          <w:kern w:val="0"/>
          <w:sz w:val="24"/>
          <w:szCs w:val="24"/>
        </w:rPr>
        <w:t>20%</w:t>
      </w:r>
      <w:r>
        <w:rPr>
          <w:rFonts w:hAnsi="宋体" w:hint="eastAsia"/>
          <w:kern w:val="0"/>
          <w:sz w:val="24"/>
          <w:szCs w:val="24"/>
        </w:rPr>
        <w:t>时，本基金管理人有权采取如下措施：</w:t>
      </w:r>
    </w:p>
    <w:p w14:paraId="641E87EF"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对于基金份额持有人当日超过</w:t>
      </w:r>
      <w:r>
        <w:rPr>
          <w:rFonts w:hAnsi="宋体" w:hint="eastAsia"/>
          <w:kern w:val="0"/>
          <w:sz w:val="24"/>
          <w:szCs w:val="24"/>
        </w:rPr>
        <w:t>20%</w:t>
      </w:r>
      <w:r>
        <w:rPr>
          <w:rFonts w:hAnsi="宋体" w:hint="eastAsia"/>
          <w:kern w:val="0"/>
          <w:sz w:val="24"/>
          <w:szCs w:val="24"/>
        </w:rPr>
        <w:t>的赎回申请，可以对其赎回申请延期办理。对于未能赎回部分，投资人在提交赎回申请时可以选择延期赎回或取消赎回。选择延期赎回的，将自动转入下一个开放日继续赎回，直到全部赎回为止；选择取消赎</w:t>
      </w:r>
      <w:r>
        <w:rPr>
          <w:rFonts w:hAnsi="宋体" w:hint="eastAsia"/>
          <w:kern w:val="0"/>
          <w:sz w:val="24"/>
          <w:szCs w:val="24"/>
        </w:rPr>
        <w:lastRenderedPageBreak/>
        <w:t>回的，当日未获受理的部分赎回申请将被撤销。延期的赎回申请与下一开放日赎回申请一并处理，无优先权并以下一开放日的基金份额净值为基础计算赎回金额，以此类推，直到全部赎回为止。</w:t>
      </w:r>
    </w:p>
    <w:p w14:paraId="0251C028"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对于基金份额持有人未超过上述比例的部分，基金管理人可以根据前述“（</w:t>
      </w:r>
      <w:r>
        <w:rPr>
          <w:rFonts w:hAnsi="宋体" w:hint="eastAsia"/>
          <w:kern w:val="0"/>
          <w:sz w:val="24"/>
          <w:szCs w:val="24"/>
        </w:rPr>
        <w:t>1</w:t>
      </w:r>
      <w:r>
        <w:rPr>
          <w:rFonts w:hAnsi="宋体" w:hint="eastAsia"/>
          <w:kern w:val="0"/>
          <w:sz w:val="24"/>
          <w:szCs w:val="24"/>
        </w:rPr>
        <w:t>）全额赎回”或“（</w:t>
      </w:r>
      <w:r>
        <w:rPr>
          <w:rFonts w:hAnsi="宋体" w:hint="eastAsia"/>
          <w:kern w:val="0"/>
          <w:sz w:val="24"/>
          <w:szCs w:val="24"/>
        </w:rPr>
        <w:t>2</w:t>
      </w:r>
      <w:r>
        <w:rPr>
          <w:rFonts w:hAnsi="宋体" w:hint="eastAsia"/>
          <w:kern w:val="0"/>
          <w:sz w:val="24"/>
          <w:szCs w:val="24"/>
        </w:rPr>
        <w:t>）部分延期赎回”的约定方式与其他基金份额持有人的赎回申请一并办理。但是，如基金份额持有人在当日选择取消赎回，则其当日未获受理的部分赎回申请将被撤销。</w:t>
      </w:r>
    </w:p>
    <w:p w14:paraId="15457A54"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kern w:val="0"/>
          <w:sz w:val="24"/>
          <w:szCs w:val="24"/>
        </w:rPr>
        <w:t>4</w:t>
      </w:r>
      <w:r>
        <w:rPr>
          <w:rFonts w:hAnsi="宋体" w:hint="eastAsia"/>
          <w:kern w:val="0"/>
          <w:sz w:val="24"/>
          <w:szCs w:val="24"/>
        </w:rPr>
        <w:t>）暂停赎回：连续</w:t>
      </w:r>
      <w:r>
        <w:rPr>
          <w:rFonts w:hAnsi="宋体" w:hint="eastAsia"/>
          <w:kern w:val="0"/>
          <w:sz w:val="24"/>
          <w:szCs w:val="24"/>
        </w:rPr>
        <w:t>2</w:t>
      </w:r>
      <w:r>
        <w:rPr>
          <w:rFonts w:hAnsi="宋体" w:hint="eastAsia"/>
          <w:kern w:val="0"/>
          <w:sz w:val="24"/>
          <w:szCs w:val="24"/>
        </w:rPr>
        <w:t>个开放日以上（含本数）发生巨额赎回，如基金管理人认为有必要，可暂停接受基金的赎回申请；已经接受的赎回申请可以延缓支付赎回款项，但不得超过</w:t>
      </w:r>
      <w:r>
        <w:rPr>
          <w:rFonts w:hAnsi="宋体" w:hint="eastAsia"/>
          <w:kern w:val="0"/>
          <w:sz w:val="24"/>
          <w:szCs w:val="24"/>
        </w:rPr>
        <w:t>20</w:t>
      </w:r>
      <w:r>
        <w:rPr>
          <w:rFonts w:hAnsi="宋体" w:hint="eastAsia"/>
          <w:kern w:val="0"/>
          <w:sz w:val="24"/>
          <w:szCs w:val="24"/>
        </w:rPr>
        <w:t>个工作日，并应当在规定媒介上进行公告。</w:t>
      </w:r>
    </w:p>
    <w:p w14:paraId="25729A0C" w14:textId="77777777" w:rsidR="00791BDD" w:rsidRDefault="00B75151">
      <w:pPr>
        <w:widowControl/>
        <w:adjustRightInd w:val="0"/>
        <w:snapToGrid w:val="0"/>
        <w:spacing w:line="360" w:lineRule="auto"/>
        <w:ind w:firstLineChars="200" w:firstLine="480"/>
        <w:outlineLvl w:val="2"/>
        <w:rPr>
          <w:rFonts w:hAnsi="宋体"/>
          <w:i/>
          <w:kern w:val="0"/>
          <w:sz w:val="24"/>
          <w:u w:val="single"/>
        </w:rPr>
      </w:pPr>
      <w:r>
        <w:rPr>
          <w:rFonts w:hAnsi="宋体"/>
          <w:kern w:val="0"/>
          <w:sz w:val="24"/>
          <w:szCs w:val="24"/>
        </w:rPr>
        <w:t>3</w:t>
      </w:r>
      <w:r>
        <w:rPr>
          <w:rFonts w:hAnsi="宋体" w:hint="eastAsia"/>
          <w:kern w:val="0"/>
          <w:sz w:val="24"/>
          <w:szCs w:val="24"/>
        </w:rPr>
        <w:t>、</w:t>
      </w:r>
      <w:r>
        <w:rPr>
          <w:rFonts w:hAnsi="宋体"/>
          <w:kern w:val="0"/>
          <w:sz w:val="24"/>
          <w:szCs w:val="24"/>
        </w:rPr>
        <w:t>巨额赎回的公告</w:t>
      </w:r>
    </w:p>
    <w:p w14:paraId="388C8B50"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kern w:val="0"/>
          <w:sz w:val="24"/>
          <w:szCs w:val="24"/>
        </w:rPr>
        <w:t>当发生上述</w:t>
      </w:r>
      <w:r>
        <w:rPr>
          <w:rFonts w:hAnsi="宋体" w:hint="eastAsia"/>
          <w:bCs/>
          <w:kern w:val="0"/>
          <w:sz w:val="24"/>
          <w:szCs w:val="24"/>
        </w:rPr>
        <w:t>巨额</w:t>
      </w:r>
      <w:r>
        <w:rPr>
          <w:rFonts w:hAnsi="宋体"/>
          <w:kern w:val="0"/>
          <w:sz w:val="24"/>
          <w:szCs w:val="24"/>
        </w:rPr>
        <w:t>赎回并延期办理时，基金管理人应当通过邮寄、传真</w:t>
      </w:r>
      <w:r>
        <w:rPr>
          <w:rFonts w:hAnsi="宋体" w:hint="eastAsia"/>
          <w:kern w:val="0"/>
          <w:sz w:val="24"/>
          <w:szCs w:val="24"/>
        </w:rPr>
        <w:t>、刊登公告或者通知销售机构代为告知等</w:t>
      </w:r>
      <w:r>
        <w:rPr>
          <w:rFonts w:hAnsi="宋体"/>
          <w:kern w:val="0"/>
          <w:sz w:val="24"/>
          <w:szCs w:val="24"/>
        </w:rPr>
        <w:t>方式在</w:t>
      </w:r>
      <w:r>
        <w:rPr>
          <w:rFonts w:hAnsi="宋体" w:hint="eastAsia"/>
          <w:kern w:val="0"/>
          <w:sz w:val="24"/>
          <w:szCs w:val="24"/>
        </w:rPr>
        <w:t>3</w:t>
      </w:r>
      <w:r>
        <w:rPr>
          <w:rFonts w:hAnsi="宋体"/>
          <w:kern w:val="0"/>
          <w:sz w:val="24"/>
          <w:szCs w:val="24"/>
        </w:rPr>
        <w:t>个交易日内通知基金份额持有人，说明有关处理方法，</w:t>
      </w:r>
      <w:r>
        <w:rPr>
          <w:rFonts w:hint="eastAsia"/>
          <w:bCs/>
          <w:sz w:val="24"/>
        </w:rPr>
        <w:t>并在两日内</w:t>
      </w:r>
      <w:r>
        <w:rPr>
          <w:rFonts w:hAnsi="宋体"/>
          <w:kern w:val="0"/>
          <w:sz w:val="24"/>
          <w:szCs w:val="24"/>
        </w:rPr>
        <w:t>在规定媒介上刊登公告。</w:t>
      </w:r>
    </w:p>
    <w:p w14:paraId="02C94473" w14:textId="77777777" w:rsidR="00791BDD" w:rsidRDefault="00B75151">
      <w:pPr>
        <w:widowControl/>
        <w:adjustRightInd w:val="0"/>
        <w:snapToGrid w:val="0"/>
        <w:spacing w:line="360" w:lineRule="auto"/>
        <w:ind w:firstLineChars="200" w:firstLine="482"/>
        <w:outlineLvl w:val="1"/>
        <w:rPr>
          <w:b/>
          <w:kern w:val="0"/>
          <w:sz w:val="24"/>
          <w:szCs w:val="24"/>
        </w:rPr>
      </w:pPr>
      <w:bookmarkStart w:id="40" w:name="_Toc79392617"/>
      <w:r>
        <w:rPr>
          <w:rFonts w:hAnsi="宋体"/>
          <w:b/>
          <w:kern w:val="0"/>
          <w:sz w:val="24"/>
          <w:szCs w:val="24"/>
        </w:rPr>
        <w:t>（十一）暂停申购或赎回的公告和重新开放申购或赎回的公告</w:t>
      </w:r>
      <w:bookmarkEnd w:id="40"/>
    </w:p>
    <w:p w14:paraId="7E538EB8" w14:textId="77777777" w:rsidR="00791BDD" w:rsidRDefault="00B75151">
      <w:pPr>
        <w:widowControl/>
        <w:adjustRightInd w:val="0"/>
        <w:snapToGrid w:val="0"/>
        <w:spacing w:line="360" w:lineRule="auto"/>
        <w:ind w:firstLineChars="200" w:firstLine="480"/>
        <w:rPr>
          <w:rFonts w:hAnsi="宋体"/>
          <w:kern w:val="0"/>
          <w:sz w:val="24"/>
          <w:szCs w:val="24"/>
        </w:rPr>
      </w:pPr>
      <w:bookmarkStart w:id="41" w:name="_Toc79392618"/>
      <w:bookmarkStart w:id="42" w:name="_Toc59441259"/>
      <w:bookmarkStart w:id="43" w:name="_Toc15118274"/>
      <w:r>
        <w:rPr>
          <w:rFonts w:hAnsi="宋体" w:hint="eastAsia"/>
          <w:kern w:val="0"/>
          <w:sz w:val="24"/>
          <w:szCs w:val="24"/>
        </w:rPr>
        <w:t>1</w:t>
      </w:r>
      <w:r>
        <w:rPr>
          <w:rFonts w:hAnsi="宋体" w:hint="eastAsia"/>
          <w:kern w:val="0"/>
          <w:sz w:val="24"/>
          <w:szCs w:val="24"/>
        </w:rPr>
        <w:t>、发生上述暂停申购或赎回情况的，基金管理人应在规定期限内在规定媒介上刊登暂停公告。</w:t>
      </w:r>
    </w:p>
    <w:p w14:paraId="669729B9"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2</w:t>
      </w:r>
      <w:r>
        <w:rPr>
          <w:rFonts w:hAnsi="宋体" w:hint="eastAsia"/>
          <w:kern w:val="0"/>
          <w:sz w:val="24"/>
          <w:szCs w:val="24"/>
        </w:rPr>
        <w:t>、如发生暂停的时间为</w:t>
      </w:r>
      <w:r>
        <w:rPr>
          <w:rFonts w:hAnsi="宋体" w:hint="eastAsia"/>
          <w:kern w:val="0"/>
          <w:sz w:val="24"/>
          <w:szCs w:val="24"/>
        </w:rPr>
        <w:t>1</w:t>
      </w:r>
      <w:r>
        <w:rPr>
          <w:rFonts w:hAnsi="宋体" w:hint="eastAsia"/>
          <w:kern w:val="0"/>
          <w:sz w:val="24"/>
          <w:szCs w:val="24"/>
        </w:rPr>
        <w:t>日，基金管理人应于重新开放日，在规定媒介上刊登基金重新开放申购或赎回公告，并公布最近</w:t>
      </w:r>
      <w:r>
        <w:rPr>
          <w:rFonts w:hAnsi="宋体" w:hint="eastAsia"/>
          <w:kern w:val="0"/>
          <w:sz w:val="24"/>
          <w:szCs w:val="24"/>
        </w:rPr>
        <w:t>1</w:t>
      </w:r>
      <w:r>
        <w:rPr>
          <w:rFonts w:hAnsi="宋体" w:hint="eastAsia"/>
          <w:kern w:val="0"/>
          <w:sz w:val="24"/>
          <w:szCs w:val="24"/>
        </w:rPr>
        <w:t>个开放日的基金份额净值。</w:t>
      </w:r>
    </w:p>
    <w:p w14:paraId="502878F2"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3</w:t>
      </w:r>
      <w:r>
        <w:rPr>
          <w:rFonts w:hAnsi="宋体" w:hint="eastAsia"/>
          <w:kern w:val="0"/>
          <w:sz w:val="24"/>
          <w:szCs w:val="24"/>
        </w:rPr>
        <w:t>、如发生暂停的时间超过</w:t>
      </w:r>
      <w:r>
        <w:rPr>
          <w:rFonts w:hAnsi="宋体" w:hint="eastAsia"/>
          <w:kern w:val="0"/>
          <w:sz w:val="24"/>
          <w:szCs w:val="24"/>
        </w:rPr>
        <w:t>1</w:t>
      </w:r>
      <w:r>
        <w:rPr>
          <w:rFonts w:hAnsi="宋体" w:hint="eastAsia"/>
          <w:kern w:val="0"/>
          <w:sz w:val="24"/>
          <w:szCs w:val="24"/>
        </w:rPr>
        <w:t>日，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3BB4B47B" w14:textId="77777777" w:rsidR="00791BDD" w:rsidRDefault="00B75151">
      <w:pPr>
        <w:widowControl/>
        <w:adjustRightInd w:val="0"/>
        <w:snapToGrid w:val="0"/>
        <w:spacing w:line="360" w:lineRule="auto"/>
        <w:ind w:firstLineChars="200" w:firstLine="482"/>
        <w:outlineLvl w:val="1"/>
        <w:rPr>
          <w:b/>
          <w:kern w:val="0"/>
          <w:sz w:val="24"/>
          <w:szCs w:val="24"/>
        </w:rPr>
      </w:pPr>
      <w:bookmarkStart w:id="44" w:name="_Toc79392621"/>
      <w:bookmarkEnd w:id="41"/>
      <w:bookmarkEnd w:id="42"/>
      <w:bookmarkEnd w:id="43"/>
      <w:r>
        <w:rPr>
          <w:rFonts w:hAnsi="宋体"/>
          <w:b/>
          <w:kern w:val="0"/>
          <w:sz w:val="24"/>
          <w:szCs w:val="24"/>
        </w:rPr>
        <w:t>（十二）基金转换</w:t>
      </w:r>
    </w:p>
    <w:p w14:paraId="1E7CA0FC"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基金管理人可以根据相关法律法规以及基金合同的规定决定开办本基金的转换业务，基金转换可以收取一定的转换费，相关规则由基金管理人届时根据相关法律法规及基金合同的规定制定并公告，并提前告知基金托管人与相关机构。</w:t>
      </w:r>
    </w:p>
    <w:p w14:paraId="2E38B645" w14:textId="77777777" w:rsidR="00791BDD" w:rsidRDefault="00B75151">
      <w:pPr>
        <w:widowControl/>
        <w:adjustRightInd w:val="0"/>
        <w:snapToGrid w:val="0"/>
        <w:spacing w:line="360" w:lineRule="auto"/>
        <w:ind w:firstLineChars="200" w:firstLine="482"/>
        <w:outlineLvl w:val="1"/>
        <w:rPr>
          <w:b/>
          <w:kern w:val="0"/>
          <w:sz w:val="24"/>
          <w:szCs w:val="24"/>
        </w:rPr>
      </w:pPr>
      <w:r>
        <w:rPr>
          <w:rFonts w:hAnsi="宋体"/>
          <w:b/>
          <w:kern w:val="0"/>
          <w:sz w:val="24"/>
          <w:szCs w:val="24"/>
        </w:rPr>
        <w:t>（十三）基金的非交易过户</w:t>
      </w:r>
    </w:p>
    <w:p w14:paraId="50B53CEC"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lastRenderedPageBreak/>
        <w:t>基金的非交易过户是指基金登记机构受理继承、捐赠和司法强制执行等情形而产生的非交易过户以及登记机构认可、符合法律法规的其</w:t>
      </w:r>
      <w:r>
        <w:rPr>
          <w:rFonts w:hAnsi="宋体"/>
          <w:kern w:val="0"/>
          <w:sz w:val="24"/>
          <w:szCs w:val="24"/>
        </w:rPr>
        <w:t>它</w:t>
      </w:r>
      <w:r>
        <w:rPr>
          <w:rFonts w:hAnsi="宋体" w:hint="eastAsia"/>
          <w:kern w:val="0"/>
          <w:sz w:val="24"/>
          <w:szCs w:val="24"/>
        </w:rPr>
        <w:t>非交易过户。无论在上述何种情况下，接受划转的主体必须是依法可以持有本基金基金份额的投资人。</w:t>
      </w:r>
    </w:p>
    <w:p w14:paraId="53EF0AFE"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14858346" w14:textId="77777777" w:rsidR="00791BDD" w:rsidRDefault="00B75151">
      <w:pPr>
        <w:widowControl/>
        <w:adjustRightInd w:val="0"/>
        <w:snapToGrid w:val="0"/>
        <w:spacing w:line="360" w:lineRule="auto"/>
        <w:ind w:firstLineChars="200" w:firstLine="482"/>
        <w:outlineLvl w:val="1"/>
        <w:rPr>
          <w:b/>
          <w:kern w:val="0"/>
          <w:sz w:val="24"/>
          <w:szCs w:val="24"/>
        </w:rPr>
      </w:pPr>
      <w:r>
        <w:rPr>
          <w:rFonts w:hAnsi="宋体"/>
          <w:b/>
          <w:kern w:val="0"/>
          <w:sz w:val="24"/>
          <w:szCs w:val="24"/>
        </w:rPr>
        <w:t>（十四）基金的转托管</w:t>
      </w:r>
      <w:bookmarkEnd w:id="44"/>
    </w:p>
    <w:p w14:paraId="6109D577" w14:textId="77777777" w:rsidR="00791BDD" w:rsidRDefault="00B75151">
      <w:pPr>
        <w:widowControl/>
        <w:adjustRightInd w:val="0"/>
        <w:snapToGrid w:val="0"/>
        <w:spacing w:line="360" w:lineRule="auto"/>
        <w:ind w:firstLineChars="200" w:firstLine="480"/>
        <w:rPr>
          <w:rFonts w:hAnsi="宋体"/>
          <w:kern w:val="0"/>
          <w:sz w:val="24"/>
          <w:szCs w:val="24"/>
        </w:rPr>
      </w:pPr>
      <w:bookmarkStart w:id="45" w:name="_Toc79392620"/>
      <w:r>
        <w:rPr>
          <w:rFonts w:hAnsi="宋体" w:hint="eastAsia"/>
          <w:kern w:val="0"/>
          <w:sz w:val="24"/>
          <w:szCs w:val="24"/>
        </w:rPr>
        <w:t>基金份额持有人可办理已持有基金份额在不同销售机构之间的转托管，基金销售机构可以按照规定的标准收取转托管费。</w:t>
      </w:r>
    </w:p>
    <w:p w14:paraId="514F298B" w14:textId="77777777" w:rsidR="00791BDD" w:rsidRDefault="00B75151">
      <w:pPr>
        <w:widowControl/>
        <w:adjustRightInd w:val="0"/>
        <w:snapToGrid w:val="0"/>
        <w:spacing w:line="360" w:lineRule="auto"/>
        <w:ind w:firstLineChars="200" w:firstLine="482"/>
        <w:outlineLvl w:val="1"/>
        <w:rPr>
          <w:b/>
          <w:kern w:val="0"/>
          <w:sz w:val="24"/>
          <w:szCs w:val="24"/>
        </w:rPr>
      </w:pPr>
      <w:r>
        <w:rPr>
          <w:rFonts w:hAnsi="宋体"/>
          <w:b/>
          <w:kern w:val="0"/>
          <w:sz w:val="24"/>
          <w:szCs w:val="24"/>
        </w:rPr>
        <w:t>（十五）定期定额投资计划</w:t>
      </w:r>
    </w:p>
    <w:p w14:paraId="64F9A83D"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58B817D5" w14:textId="77777777" w:rsidR="00791BDD" w:rsidRDefault="00B75151">
      <w:pPr>
        <w:widowControl/>
        <w:adjustRightInd w:val="0"/>
        <w:snapToGrid w:val="0"/>
        <w:spacing w:line="360" w:lineRule="auto"/>
        <w:ind w:firstLineChars="200" w:firstLine="482"/>
        <w:outlineLvl w:val="1"/>
        <w:rPr>
          <w:b/>
          <w:kern w:val="0"/>
          <w:sz w:val="24"/>
          <w:szCs w:val="24"/>
        </w:rPr>
      </w:pPr>
      <w:r>
        <w:rPr>
          <w:rFonts w:hAnsi="宋体"/>
          <w:b/>
          <w:kern w:val="0"/>
          <w:sz w:val="24"/>
          <w:szCs w:val="24"/>
        </w:rPr>
        <w:t>（十六）</w:t>
      </w:r>
      <w:r>
        <w:rPr>
          <w:rFonts w:hAnsi="宋体"/>
          <w:b/>
          <w:sz w:val="24"/>
          <w:szCs w:val="24"/>
        </w:rPr>
        <w:t>基金份额的冻结和解冻</w:t>
      </w:r>
      <w:bookmarkEnd w:id="45"/>
    </w:p>
    <w:p w14:paraId="297720E5" w14:textId="77777777" w:rsidR="00791BDD" w:rsidRDefault="00B75151">
      <w:pPr>
        <w:adjustRightInd w:val="0"/>
        <w:snapToGrid w:val="0"/>
        <w:spacing w:line="360" w:lineRule="auto"/>
        <w:ind w:firstLineChars="200" w:firstLine="480"/>
        <w:rPr>
          <w:rFonts w:hAnsi="宋体"/>
          <w:kern w:val="0"/>
          <w:sz w:val="24"/>
          <w:szCs w:val="24"/>
        </w:rPr>
      </w:pPr>
      <w:r>
        <w:rPr>
          <w:rFonts w:hAnsi="宋体" w:hint="eastAsia"/>
          <w:kern w:val="0"/>
          <w:sz w:val="24"/>
          <w:szCs w:val="24"/>
        </w:rPr>
        <w:t>基金登记机构只受理国家有权机关依法要求的基金份额的冻结与解冻，以及登记机构认可、符合法律法规的其他情况下的冻结与解冻。基金份额被冻结的，被冻结部分产生的权益一并冻结，被冻结部分份额仍然参与收益分配。法律法规或监管机构另有规定的除外。</w:t>
      </w:r>
    </w:p>
    <w:p w14:paraId="5A35B4DA" w14:textId="77777777" w:rsidR="00791BDD" w:rsidRDefault="00B75151">
      <w:pPr>
        <w:adjustRightInd w:val="0"/>
        <w:snapToGrid w:val="0"/>
        <w:spacing w:line="360" w:lineRule="auto"/>
        <w:ind w:firstLineChars="200" w:firstLine="482"/>
        <w:outlineLvl w:val="1"/>
        <w:rPr>
          <w:rFonts w:hAnsi="宋体"/>
          <w:b/>
          <w:sz w:val="24"/>
          <w:szCs w:val="24"/>
        </w:rPr>
      </w:pPr>
      <w:bookmarkStart w:id="46" w:name="_Toc66719557"/>
      <w:bookmarkStart w:id="47" w:name="_Toc66720082"/>
      <w:bookmarkStart w:id="48" w:name="_Toc109059024"/>
      <w:r>
        <w:rPr>
          <w:rFonts w:hAnsi="宋体" w:hint="eastAsia"/>
          <w:b/>
          <w:sz w:val="24"/>
          <w:szCs w:val="24"/>
        </w:rPr>
        <w:t>（十七）基金份额的转让</w:t>
      </w:r>
    </w:p>
    <w:p w14:paraId="5967E9DB" w14:textId="77777777" w:rsidR="00791BDD" w:rsidRDefault="00B75151">
      <w:pPr>
        <w:adjustRightInd w:val="0"/>
        <w:snapToGrid w:val="0"/>
        <w:spacing w:line="360" w:lineRule="auto"/>
        <w:ind w:firstLineChars="200" w:firstLine="480"/>
        <w:rPr>
          <w:rFonts w:hAnsi="宋体"/>
          <w:sz w:val="24"/>
          <w:szCs w:val="24"/>
        </w:rPr>
      </w:pPr>
      <w:r>
        <w:rPr>
          <w:rFonts w:hAnsi="宋体" w:hint="eastAsia"/>
          <w:sz w:val="24"/>
          <w:szCs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02836E86" w14:textId="77777777" w:rsidR="00791BDD" w:rsidRDefault="00B75151">
      <w:pPr>
        <w:adjustRightInd w:val="0"/>
        <w:snapToGrid w:val="0"/>
        <w:spacing w:line="360" w:lineRule="auto"/>
        <w:ind w:firstLineChars="200" w:firstLine="482"/>
        <w:outlineLvl w:val="1"/>
        <w:rPr>
          <w:rFonts w:hAnsi="宋体"/>
          <w:b/>
          <w:kern w:val="0"/>
          <w:sz w:val="24"/>
          <w:szCs w:val="24"/>
        </w:rPr>
      </w:pPr>
      <w:r>
        <w:rPr>
          <w:rFonts w:hAnsi="宋体"/>
          <w:b/>
          <w:kern w:val="0"/>
          <w:sz w:val="24"/>
          <w:szCs w:val="24"/>
        </w:rPr>
        <w:t>（十</w:t>
      </w:r>
      <w:r>
        <w:rPr>
          <w:rFonts w:hAnsi="宋体" w:hint="eastAsia"/>
          <w:b/>
          <w:kern w:val="0"/>
          <w:sz w:val="24"/>
          <w:szCs w:val="24"/>
        </w:rPr>
        <w:t>八</w:t>
      </w:r>
      <w:r>
        <w:rPr>
          <w:rFonts w:hAnsi="宋体"/>
          <w:b/>
          <w:kern w:val="0"/>
          <w:sz w:val="24"/>
          <w:szCs w:val="24"/>
        </w:rPr>
        <w:t>）</w:t>
      </w:r>
      <w:r>
        <w:rPr>
          <w:rFonts w:hAnsi="宋体" w:hint="eastAsia"/>
          <w:b/>
          <w:kern w:val="0"/>
          <w:sz w:val="24"/>
          <w:szCs w:val="24"/>
        </w:rPr>
        <w:t>实施侧袋机制期间本基金的申购与赎回</w:t>
      </w:r>
    </w:p>
    <w:p w14:paraId="0733B6BE" w14:textId="77777777" w:rsidR="00791BDD" w:rsidRDefault="00B75151">
      <w:pPr>
        <w:adjustRightInd w:val="0"/>
        <w:snapToGrid w:val="0"/>
        <w:spacing w:line="360" w:lineRule="auto"/>
        <w:ind w:firstLineChars="200" w:firstLine="480"/>
        <w:rPr>
          <w:rFonts w:hAnsi="宋体"/>
          <w:sz w:val="24"/>
          <w:szCs w:val="24"/>
        </w:rPr>
      </w:pPr>
      <w:r>
        <w:rPr>
          <w:rFonts w:hAnsi="宋体" w:hint="eastAsia"/>
          <w:sz w:val="24"/>
          <w:szCs w:val="24"/>
        </w:rPr>
        <w:lastRenderedPageBreak/>
        <w:t>本基金实施侧袋机制的，本基金的申购和赎回安排详见本招募说明书“侧袋机制”部分的规定或相关公告。</w:t>
      </w:r>
    </w:p>
    <w:p w14:paraId="65F64302" w14:textId="77777777" w:rsidR="00791BDD" w:rsidRDefault="00B75151">
      <w:pPr>
        <w:adjustRightInd w:val="0"/>
        <w:snapToGrid w:val="0"/>
        <w:spacing w:line="360" w:lineRule="auto"/>
        <w:ind w:firstLineChars="200" w:firstLine="482"/>
        <w:outlineLvl w:val="1"/>
        <w:rPr>
          <w:rFonts w:hAnsi="宋体"/>
          <w:i/>
          <w:kern w:val="0"/>
          <w:sz w:val="24"/>
          <w:u w:val="single"/>
        </w:rPr>
      </w:pPr>
      <w:r>
        <w:rPr>
          <w:rFonts w:hAnsi="宋体" w:hint="eastAsia"/>
          <w:b/>
          <w:kern w:val="0"/>
          <w:sz w:val="24"/>
          <w:szCs w:val="24"/>
        </w:rPr>
        <w:t>（十九</w:t>
      </w:r>
      <w:r>
        <w:rPr>
          <w:rFonts w:hAnsi="宋体"/>
          <w:b/>
          <w:kern w:val="0"/>
          <w:sz w:val="24"/>
          <w:szCs w:val="24"/>
        </w:rPr>
        <w:t>）</w:t>
      </w:r>
      <w:r>
        <w:rPr>
          <w:rFonts w:hAnsi="宋体" w:hint="eastAsia"/>
          <w:b/>
          <w:sz w:val="24"/>
          <w:szCs w:val="24"/>
        </w:rPr>
        <w:t>其他业务</w:t>
      </w:r>
    </w:p>
    <w:p w14:paraId="33758619" w14:textId="77777777" w:rsidR="00791BDD" w:rsidRDefault="00B75151">
      <w:pPr>
        <w:adjustRightInd w:val="0"/>
        <w:snapToGrid w:val="0"/>
        <w:spacing w:line="360" w:lineRule="auto"/>
        <w:ind w:firstLineChars="200" w:firstLine="480"/>
        <w:rPr>
          <w:rFonts w:ascii="宋体" w:hAnsi="宋体"/>
          <w:sz w:val="24"/>
        </w:rPr>
      </w:pPr>
      <w:r>
        <w:rPr>
          <w:rFonts w:ascii="宋体" w:hAnsi="宋体" w:hint="eastAsia"/>
          <w:sz w:val="24"/>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bookmarkEnd w:id="32"/>
    </w:p>
    <w:p w14:paraId="3EA64A98" w14:textId="77777777" w:rsidR="00791BDD" w:rsidRDefault="00B75151">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bookmarkStart w:id="49" w:name="_Toc48122010"/>
      <w:bookmarkStart w:id="50" w:name="_Hlk212628658"/>
      <w:bookmarkStart w:id="51" w:name="_Hlk217331073"/>
      <w:r>
        <w:rPr>
          <w:rFonts w:ascii="宋体" w:hAnsi="宋体" w:hint="eastAsia"/>
          <w:b/>
          <w:kern w:val="0"/>
          <w:sz w:val="30"/>
        </w:rPr>
        <w:lastRenderedPageBreak/>
        <w:t>九、基金的投资</w:t>
      </w:r>
      <w:bookmarkEnd w:id="49"/>
    </w:p>
    <w:p w14:paraId="0C887713" w14:textId="77777777" w:rsidR="00791BDD" w:rsidRDefault="00B75151">
      <w:pPr>
        <w:adjustRightInd w:val="0"/>
        <w:snapToGrid w:val="0"/>
        <w:spacing w:line="360" w:lineRule="auto"/>
        <w:ind w:firstLineChars="200" w:firstLine="482"/>
        <w:outlineLvl w:val="1"/>
        <w:rPr>
          <w:rFonts w:hAnsi="宋体"/>
          <w:kern w:val="0"/>
          <w:sz w:val="24"/>
          <w:szCs w:val="24"/>
        </w:rPr>
      </w:pPr>
      <w:bookmarkStart w:id="52" w:name="_Hlk50018503"/>
      <w:r>
        <w:rPr>
          <w:rFonts w:hint="eastAsia"/>
          <w:b/>
          <w:bCs/>
          <w:sz w:val="24"/>
        </w:rPr>
        <w:t>（一）投资目标</w:t>
      </w:r>
    </w:p>
    <w:p w14:paraId="6A4CBCD0" w14:textId="77777777" w:rsidR="00791BDD" w:rsidRDefault="00B75151">
      <w:pPr>
        <w:adjustRightInd w:val="0"/>
        <w:snapToGrid w:val="0"/>
        <w:spacing w:line="360" w:lineRule="auto"/>
        <w:ind w:firstLine="482"/>
        <w:outlineLvl w:val="1"/>
        <w:rPr>
          <w:bCs/>
          <w:sz w:val="24"/>
        </w:rPr>
      </w:pPr>
      <w:r>
        <w:rPr>
          <w:rFonts w:hint="eastAsia"/>
          <w:bCs/>
          <w:sz w:val="24"/>
        </w:rPr>
        <w:t>本基金在有效控制组合风险并保持基金资产流动性的前提下，通过量化方法优选个股构建组合，力争实现基金资产的长期稳健增值。</w:t>
      </w:r>
    </w:p>
    <w:p w14:paraId="1CF45826" w14:textId="77777777" w:rsidR="00791BDD" w:rsidRDefault="00B75151">
      <w:pPr>
        <w:adjustRightInd w:val="0"/>
        <w:snapToGrid w:val="0"/>
        <w:spacing w:line="360" w:lineRule="auto"/>
        <w:ind w:firstLine="482"/>
        <w:outlineLvl w:val="1"/>
        <w:rPr>
          <w:b/>
          <w:bCs/>
          <w:sz w:val="24"/>
        </w:rPr>
      </w:pPr>
      <w:r>
        <w:rPr>
          <w:rFonts w:hint="eastAsia"/>
          <w:b/>
          <w:bCs/>
          <w:sz w:val="24"/>
        </w:rPr>
        <w:t>（二）投资范围</w:t>
      </w:r>
    </w:p>
    <w:p w14:paraId="64E66273" w14:textId="77777777" w:rsidR="00791BDD" w:rsidRDefault="00B75151">
      <w:pPr>
        <w:adjustRightInd w:val="0"/>
        <w:snapToGrid w:val="0"/>
        <w:spacing w:line="360" w:lineRule="auto"/>
        <w:ind w:firstLine="482"/>
        <w:outlineLvl w:val="1"/>
        <w:rPr>
          <w:rFonts w:ascii="宋体" w:hAnsi="宋体"/>
          <w:bCs/>
          <w:sz w:val="24"/>
          <w:szCs w:val="24"/>
        </w:rPr>
      </w:pPr>
      <w:r>
        <w:rPr>
          <w:rFonts w:ascii="宋体" w:hAnsi="宋体" w:hint="eastAsia"/>
          <w:bCs/>
          <w:sz w:val="24"/>
          <w:szCs w:val="24"/>
        </w:rPr>
        <w:t>本基金的投资范围为具有良好流动性的金融工具，包括国内依法发行上市的股票（含主板、创业板、科创板及其他经中国证监会核准或注册上市的股票、存托凭证）、港股通标的股票、债券（含国债、央行票据、金融债券、政府支持债券、政府支持机构债券、地方政府债券、企业债券、公司债券、可转换债券（含可分离交易可转换债券）、可交换公司债券、公开发行的次级债券、中期票据、短期融资券、超短期融资券等）、资产支持证券、货币市场工具、债券回购、同业存单、银行存款（含协议存款、定期存款及其他银行存款）、股指期货以及法律法规或中国证监会允许基金投资的其他金融工具（但须符合中国证监会相关规定）。</w:t>
      </w:r>
    </w:p>
    <w:p w14:paraId="755BBBE7" w14:textId="77777777" w:rsidR="00791BDD" w:rsidRDefault="00B75151">
      <w:pPr>
        <w:adjustRightInd w:val="0"/>
        <w:snapToGrid w:val="0"/>
        <w:spacing w:line="360" w:lineRule="auto"/>
        <w:ind w:firstLine="482"/>
        <w:outlineLvl w:val="1"/>
        <w:rPr>
          <w:rFonts w:ascii="宋体" w:hAnsi="宋体"/>
          <w:bCs/>
          <w:sz w:val="24"/>
          <w:szCs w:val="24"/>
        </w:rPr>
      </w:pPr>
      <w:r>
        <w:rPr>
          <w:rFonts w:ascii="宋体" w:hAnsi="宋体" w:hint="eastAsia"/>
          <w:bCs/>
          <w:sz w:val="24"/>
          <w:szCs w:val="24"/>
        </w:rPr>
        <w:t>如法律法规或监管机构以后允许基金投资其他品种，基金管理人在履行适当程序后，可以将其纳入投资范围。</w:t>
      </w:r>
    </w:p>
    <w:p w14:paraId="5B447CDC" w14:textId="77777777" w:rsidR="00791BDD" w:rsidRDefault="00B75151">
      <w:pPr>
        <w:adjustRightInd w:val="0"/>
        <w:snapToGrid w:val="0"/>
        <w:spacing w:line="360" w:lineRule="auto"/>
        <w:ind w:firstLine="482"/>
        <w:outlineLvl w:val="1"/>
        <w:rPr>
          <w:rFonts w:ascii="宋体" w:hAnsi="宋体"/>
          <w:bCs/>
          <w:sz w:val="24"/>
          <w:szCs w:val="24"/>
        </w:rPr>
      </w:pPr>
      <w:r>
        <w:rPr>
          <w:rFonts w:ascii="宋体" w:hAnsi="宋体" w:hint="eastAsia"/>
          <w:bCs/>
          <w:sz w:val="24"/>
          <w:szCs w:val="24"/>
        </w:rPr>
        <w:t>基金的投资组合比例为：股票投资（含存托凭证）占基金资产的比例不低于</w:t>
      </w:r>
      <w:r>
        <w:rPr>
          <w:rFonts w:ascii="宋体" w:hAnsi="宋体"/>
          <w:bCs/>
          <w:sz w:val="24"/>
          <w:szCs w:val="24"/>
        </w:rPr>
        <w:t>8</w:t>
      </w:r>
      <w:r>
        <w:rPr>
          <w:rFonts w:ascii="宋体" w:hAnsi="宋体" w:hint="eastAsia"/>
          <w:bCs/>
          <w:sz w:val="24"/>
          <w:szCs w:val="24"/>
        </w:rPr>
        <w:t>0%，其中投资于港股通标的股票的比例占股票资产的0%-50%；每个交易日日终在扣除股指期货合约需缴纳的交易保证金后，本基金持有的现金或者到期日在一年以内的政府债券的比例合计不低于基金资产净值的5%，其中现金不包括结算备付金、存出保证金、应收申购款等。</w:t>
      </w:r>
    </w:p>
    <w:p w14:paraId="6D76EC25" w14:textId="77777777" w:rsidR="00791BDD" w:rsidRDefault="00B75151">
      <w:pPr>
        <w:adjustRightInd w:val="0"/>
        <w:snapToGrid w:val="0"/>
        <w:spacing w:line="360" w:lineRule="auto"/>
        <w:ind w:firstLineChars="200" w:firstLine="480"/>
        <w:outlineLvl w:val="1"/>
        <w:rPr>
          <w:rFonts w:ascii="宋体" w:hAnsi="宋体"/>
          <w:bCs/>
          <w:sz w:val="24"/>
          <w:szCs w:val="24"/>
        </w:rPr>
      </w:pPr>
      <w:r>
        <w:rPr>
          <w:rFonts w:ascii="宋体" w:hAnsi="宋体" w:hint="eastAsia"/>
          <w:bCs/>
          <w:sz w:val="24"/>
          <w:szCs w:val="24"/>
        </w:rPr>
        <w:t>如果法律法规或中国证监会变更投资品种的投资比例限制，基金管理人在履行适当程序后，可以调整上述投资品种的投资比例。</w:t>
      </w:r>
    </w:p>
    <w:p w14:paraId="064E3AAF" w14:textId="77777777" w:rsidR="00791BDD" w:rsidRDefault="00B75151">
      <w:pPr>
        <w:adjustRightInd w:val="0"/>
        <w:snapToGrid w:val="0"/>
        <w:spacing w:line="360" w:lineRule="auto"/>
        <w:ind w:firstLineChars="200" w:firstLine="482"/>
        <w:outlineLvl w:val="1"/>
        <w:rPr>
          <w:rFonts w:hAnsi="宋体"/>
          <w:kern w:val="0"/>
          <w:sz w:val="24"/>
          <w:szCs w:val="24"/>
        </w:rPr>
      </w:pPr>
      <w:r>
        <w:rPr>
          <w:rFonts w:hint="eastAsia"/>
          <w:b/>
          <w:bCs/>
          <w:sz w:val="24"/>
        </w:rPr>
        <w:t>（三）投资策略</w:t>
      </w:r>
    </w:p>
    <w:p w14:paraId="022E0D24" w14:textId="77777777" w:rsidR="00791BDD" w:rsidRDefault="00B75151">
      <w:pPr>
        <w:adjustRightInd w:val="0"/>
        <w:snapToGrid w:val="0"/>
        <w:spacing w:line="360" w:lineRule="auto"/>
        <w:ind w:firstLineChars="200" w:firstLine="480"/>
        <w:outlineLvl w:val="1"/>
        <w:rPr>
          <w:rFonts w:ascii="宋体" w:hAnsi="宋体"/>
          <w:bCs/>
          <w:sz w:val="24"/>
          <w:szCs w:val="24"/>
        </w:rPr>
      </w:pPr>
      <w:r>
        <w:rPr>
          <w:rFonts w:ascii="宋体" w:hAnsi="宋体" w:hint="eastAsia"/>
          <w:bCs/>
          <w:sz w:val="24"/>
          <w:szCs w:val="24"/>
        </w:rPr>
        <w:t>本基金充分发挥基金管理人的研究优势，在分析和判断宏观经济周期和金融市场运行趋势的基础上，运用修正后的投资时钟分析框架，自上而下调整基金大类资产配置；在严谨深入的股票和债券研究分析基础上，自下而上精选个股和个券；在保持总体风险水平相对稳定的基础上，力争获取投资组合的较高回报。</w:t>
      </w:r>
    </w:p>
    <w:p w14:paraId="3BBACF15" w14:textId="77777777" w:rsidR="00791BDD" w:rsidRDefault="00B75151">
      <w:pPr>
        <w:adjustRightInd w:val="0"/>
        <w:snapToGrid w:val="0"/>
        <w:spacing w:line="360" w:lineRule="auto"/>
        <w:ind w:firstLineChars="200" w:firstLine="480"/>
        <w:outlineLvl w:val="1"/>
        <w:rPr>
          <w:rFonts w:ascii="宋体" w:hAnsi="宋体"/>
          <w:bCs/>
          <w:sz w:val="24"/>
          <w:szCs w:val="24"/>
        </w:rPr>
      </w:pPr>
      <w:r>
        <w:rPr>
          <w:rFonts w:ascii="宋体" w:hAnsi="宋体" w:hint="eastAsia"/>
          <w:bCs/>
          <w:sz w:val="24"/>
          <w:szCs w:val="24"/>
        </w:rPr>
        <w:lastRenderedPageBreak/>
        <w:t>1、大类资产配置</w:t>
      </w:r>
    </w:p>
    <w:p w14:paraId="08A72A88" w14:textId="77777777" w:rsidR="00791BDD" w:rsidRDefault="00B75151">
      <w:pPr>
        <w:adjustRightInd w:val="0"/>
        <w:snapToGrid w:val="0"/>
        <w:spacing w:line="360" w:lineRule="auto"/>
        <w:ind w:firstLineChars="200" w:firstLine="480"/>
        <w:outlineLvl w:val="1"/>
        <w:rPr>
          <w:rFonts w:ascii="宋体" w:hAnsi="宋体"/>
          <w:bCs/>
          <w:sz w:val="24"/>
          <w:szCs w:val="24"/>
        </w:rPr>
      </w:pPr>
      <w:r>
        <w:rPr>
          <w:rFonts w:ascii="宋体" w:hAnsi="宋体" w:hint="eastAsia"/>
          <w:bCs/>
          <w:sz w:val="24"/>
          <w:szCs w:val="24"/>
        </w:rPr>
        <w:t>本基金利用经基金管理人研究团队修正后的投资时钟分析框架，通过“自上而下”的定性分析和定量分析相结合形成对不同资产市场表现的预测和判断，确定基金资产在沪深A股、港股通标的股票、债券及货币市场工具等各类别资产间的分配比例，并随着各类证券风险收益特征的相对变化，在基金合同约定的范围内动态调整组合中各类资产的比例，以规避或控制市场风险，提高基金收益率。</w:t>
      </w:r>
    </w:p>
    <w:p w14:paraId="10175BFB" w14:textId="77777777" w:rsidR="00791BDD" w:rsidRDefault="00B75151">
      <w:pPr>
        <w:adjustRightInd w:val="0"/>
        <w:snapToGrid w:val="0"/>
        <w:spacing w:line="360" w:lineRule="auto"/>
        <w:ind w:firstLineChars="200" w:firstLine="480"/>
        <w:outlineLvl w:val="1"/>
        <w:rPr>
          <w:rFonts w:ascii="宋体" w:hAnsi="宋体"/>
          <w:bCs/>
          <w:sz w:val="24"/>
          <w:szCs w:val="24"/>
        </w:rPr>
      </w:pPr>
      <w:r>
        <w:rPr>
          <w:rFonts w:ascii="宋体" w:hAnsi="宋体" w:hint="eastAsia"/>
          <w:bCs/>
          <w:sz w:val="24"/>
          <w:szCs w:val="24"/>
        </w:rPr>
        <w:t>2、股票投资策略</w:t>
      </w:r>
    </w:p>
    <w:p w14:paraId="6B3064FA" w14:textId="77777777" w:rsidR="00791BDD" w:rsidRDefault="00B75151">
      <w:pPr>
        <w:adjustRightInd w:val="0"/>
        <w:snapToGrid w:val="0"/>
        <w:spacing w:line="360" w:lineRule="auto"/>
        <w:ind w:firstLineChars="200" w:firstLine="480"/>
        <w:outlineLvl w:val="1"/>
        <w:rPr>
          <w:rFonts w:ascii="宋体" w:hAnsi="宋体"/>
          <w:bCs/>
          <w:sz w:val="24"/>
          <w:szCs w:val="24"/>
        </w:rPr>
      </w:pPr>
      <w:r>
        <w:rPr>
          <w:rFonts w:ascii="宋体" w:hAnsi="宋体" w:hint="eastAsia"/>
          <w:bCs/>
          <w:sz w:val="24"/>
          <w:szCs w:val="24"/>
        </w:rPr>
        <w:t>本基金将采用量化模型对上市公司的基本面、成长性、估值水平、股价走势等进行深入分析，以评估资产定价、控制风险和优化交易。</w:t>
      </w:r>
    </w:p>
    <w:p w14:paraId="3A9EBEE3" w14:textId="77777777" w:rsidR="00791BDD" w:rsidRDefault="00B75151">
      <w:pPr>
        <w:adjustRightInd w:val="0"/>
        <w:snapToGrid w:val="0"/>
        <w:spacing w:line="360" w:lineRule="auto"/>
        <w:ind w:firstLineChars="200" w:firstLine="480"/>
        <w:outlineLvl w:val="1"/>
        <w:rPr>
          <w:rFonts w:ascii="宋体" w:hAnsi="宋体"/>
          <w:bCs/>
          <w:sz w:val="24"/>
          <w:szCs w:val="24"/>
        </w:rPr>
      </w:pPr>
      <w:r>
        <w:rPr>
          <w:rFonts w:ascii="宋体" w:hAnsi="宋体" w:hint="eastAsia"/>
          <w:bCs/>
          <w:sz w:val="24"/>
          <w:szCs w:val="24"/>
        </w:rPr>
        <w:t>（1）量化选股策略</w:t>
      </w:r>
    </w:p>
    <w:p w14:paraId="770DCBE0" w14:textId="77777777" w:rsidR="00791BDD" w:rsidRDefault="00B75151">
      <w:pPr>
        <w:adjustRightInd w:val="0"/>
        <w:snapToGrid w:val="0"/>
        <w:spacing w:line="360" w:lineRule="auto"/>
        <w:ind w:firstLineChars="200" w:firstLine="480"/>
        <w:outlineLvl w:val="1"/>
        <w:rPr>
          <w:rFonts w:ascii="宋体" w:hAnsi="宋体"/>
          <w:bCs/>
          <w:sz w:val="24"/>
          <w:szCs w:val="24"/>
        </w:rPr>
      </w:pPr>
      <w:r>
        <w:rPr>
          <w:rFonts w:ascii="宋体" w:hAnsi="宋体" w:hint="eastAsia"/>
          <w:bCs/>
          <w:sz w:val="24"/>
          <w:szCs w:val="24"/>
        </w:rPr>
        <w:t>在量化选股层面，本基金运用多因子模型，以股价运动基本规律和股票定价模型为分析框架，综合分析个股在估值水平、经营质量、盈利成长、股价走势、行业板块等多维度特征，从多个不同层面对股票进行综合打分，选出具备相对价值的股票，构建投资组合。本基金将对投资组合的因子暴露程度进行分析，合理控制组合整体风险水平，并针对交易成本、流动性等因素对投资组合进行优化。</w:t>
      </w:r>
    </w:p>
    <w:p w14:paraId="6753402A" w14:textId="77777777" w:rsidR="00791BDD" w:rsidRDefault="00B75151">
      <w:pPr>
        <w:adjustRightInd w:val="0"/>
        <w:snapToGrid w:val="0"/>
        <w:spacing w:line="360" w:lineRule="auto"/>
        <w:ind w:firstLineChars="200" w:firstLine="480"/>
        <w:outlineLvl w:val="1"/>
        <w:rPr>
          <w:rFonts w:ascii="宋体" w:hAnsi="宋体"/>
          <w:bCs/>
          <w:sz w:val="24"/>
          <w:szCs w:val="24"/>
        </w:rPr>
      </w:pPr>
      <w:r>
        <w:rPr>
          <w:rFonts w:ascii="宋体" w:hAnsi="宋体" w:hint="eastAsia"/>
          <w:bCs/>
          <w:sz w:val="24"/>
          <w:szCs w:val="24"/>
        </w:rPr>
        <w:t>基金管理人将根据市场变化趋势以及后续深入持续的研究，选择适合当前市场环境的投资策略，并根据实际情况动态调整，不断改善策略的有效性与稳定性，以使得本基金能够有效达成投资目标。</w:t>
      </w:r>
    </w:p>
    <w:p w14:paraId="7FD18BC2" w14:textId="77777777" w:rsidR="00791BDD" w:rsidRDefault="00B75151">
      <w:pPr>
        <w:adjustRightInd w:val="0"/>
        <w:snapToGrid w:val="0"/>
        <w:spacing w:line="360" w:lineRule="auto"/>
        <w:ind w:firstLineChars="200" w:firstLine="480"/>
        <w:outlineLvl w:val="1"/>
        <w:rPr>
          <w:rFonts w:ascii="宋体" w:hAnsi="宋体"/>
          <w:bCs/>
          <w:sz w:val="24"/>
          <w:szCs w:val="24"/>
        </w:rPr>
      </w:pPr>
      <w:r>
        <w:rPr>
          <w:rFonts w:ascii="宋体" w:hAnsi="宋体" w:hint="eastAsia"/>
          <w:bCs/>
          <w:sz w:val="24"/>
          <w:szCs w:val="24"/>
        </w:rPr>
        <w:t>（</w:t>
      </w:r>
      <w:r>
        <w:rPr>
          <w:rFonts w:ascii="宋体" w:hAnsi="宋体"/>
          <w:bCs/>
          <w:sz w:val="24"/>
          <w:szCs w:val="24"/>
        </w:rPr>
        <w:t>2</w:t>
      </w:r>
      <w:r>
        <w:rPr>
          <w:rFonts w:ascii="宋体" w:hAnsi="宋体" w:hint="eastAsia"/>
          <w:bCs/>
          <w:sz w:val="24"/>
          <w:szCs w:val="24"/>
        </w:rPr>
        <w:t>）港股通标的股票投资策略</w:t>
      </w:r>
    </w:p>
    <w:p w14:paraId="24EB7F06" w14:textId="77777777" w:rsidR="00791BDD" w:rsidRDefault="00B75151">
      <w:pPr>
        <w:adjustRightInd w:val="0"/>
        <w:snapToGrid w:val="0"/>
        <w:spacing w:line="360" w:lineRule="auto"/>
        <w:ind w:firstLineChars="200" w:firstLine="480"/>
        <w:outlineLvl w:val="1"/>
        <w:rPr>
          <w:rFonts w:ascii="宋体" w:hAnsi="宋体"/>
          <w:bCs/>
          <w:sz w:val="24"/>
          <w:szCs w:val="24"/>
        </w:rPr>
      </w:pPr>
      <w:r>
        <w:rPr>
          <w:rFonts w:ascii="宋体" w:hAnsi="宋体" w:hint="eastAsia"/>
          <w:bCs/>
          <w:sz w:val="24"/>
          <w:szCs w:val="24"/>
        </w:rPr>
        <w:t>本基金可通过内地与香港股票市场交易互联互通机制投资于香港股票市场。本基金优先将基本面健康、业绩向上弹性较大、具有估值优势的港股通标的股票纳入本基金的股票投资组合。</w:t>
      </w:r>
    </w:p>
    <w:p w14:paraId="7974D23B" w14:textId="77777777" w:rsidR="00791BDD" w:rsidRDefault="00B75151">
      <w:pPr>
        <w:adjustRightInd w:val="0"/>
        <w:snapToGrid w:val="0"/>
        <w:spacing w:line="360" w:lineRule="auto"/>
        <w:ind w:firstLineChars="200" w:firstLine="480"/>
        <w:outlineLvl w:val="1"/>
        <w:rPr>
          <w:rFonts w:ascii="宋体" w:hAnsi="宋体"/>
          <w:bCs/>
          <w:sz w:val="24"/>
          <w:szCs w:val="24"/>
        </w:rPr>
      </w:pPr>
      <w:r>
        <w:rPr>
          <w:rFonts w:ascii="宋体" w:hAnsi="宋体" w:hint="eastAsia"/>
          <w:bCs/>
          <w:sz w:val="24"/>
          <w:szCs w:val="24"/>
        </w:rPr>
        <w:t>本基金可根据投资策略需要或不同配置地市场环境的变化，选择将部分基金资产投资于港股通标的股票或选择不将基金资产投资于港股通标的股票，基金资产并非必然投资港股通标的股票。</w:t>
      </w:r>
    </w:p>
    <w:p w14:paraId="11B22576" w14:textId="77777777" w:rsidR="00791BDD" w:rsidRDefault="00B7515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3</w:t>
      </w:r>
      <w:r>
        <w:rPr>
          <w:rFonts w:ascii="宋体" w:hAnsi="宋体" w:hint="eastAsia"/>
          <w:bCs/>
          <w:sz w:val="24"/>
          <w:szCs w:val="24"/>
        </w:rPr>
        <w:t>）存托凭证的投资策略</w:t>
      </w:r>
    </w:p>
    <w:p w14:paraId="7A53D570" w14:textId="77777777" w:rsidR="00791BDD" w:rsidRDefault="00B7515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本基金投资存托凭证的策略依照境内上市交易的股票投资策略执行。</w:t>
      </w:r>
    </w:p>
    <w:p w14:paraId="7D302504" w14:textId="77777777" w:rsidR="00791BDD" w:rsidRDefault="00B75151">
      <w:pPr>
        <w:adjustRightInd w:val="0"/>
        <w:snapToGrid w:val="0"/>
        <w:spacing w:line="360" w:lineRule="auto"/>
        <w:ind w:firstLineChars="200" w:firstLine="480"/>
        <w:outlineLvl w:val="2"/>
        <w:rPr>
          <w:rFonts w:ascii="宋体" w:hAnsi="宋体"/>
          <w:bCs/>
          <w:sz w:val="24"/>
          <w:szCs w:val="24"/>
        </w:rPr>
      </w:pPr>
      <w:r>
        <w:rPr>
          <w:rFonts w:ascii="宋体" w:hAnsi="宋体" w:hint="eastAsia"/>
          <w:bCs/>
          <w:sz w:val="24"/>
          <w:szCs w:val="24"/>
        </w:rPr>
        <w:t>3、债券投资策略</w:t>
      </w:r>
    </w:p>
    <w:p w14:paraId="3B090A0E" w14:textId="77777777" w:rsidR="00791BDD" w:rsidRDefault="00B7515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本基金的债券投资采取主动的投资管理方式，获得与风险相匹配的投资收益，以实现在一定程度上规避股票市场的系统性风险和保证基金资产的流动性。</w:t>
      </w:r>
    </w:p>
    <w:p w14:paraId="64D3A1D0" w14:textId="77777777" w:rsidR="00791BDD" w:rsidRDefault="00B7515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在具体操作中，本基金运用久期调整策略、类属配置策略、期限结构配置策略、回购策略、信用债券投资策略、可转换债券投资策略等多种策略，以期获取债券市场的长期稳定收益。</w:t>
      </w:r>
    </w:p>
    <w:p w14:paraId="25F38387" w14:textId="77777777" w:rsidR="00791BDD" w:rsidRDefault="00B75151">
      <w:pPr>
        <w:adjustRightInd w:val="0"/>
        <w:snapToGrid w:val="0"/>
        <w:spacing w:line="360" w:lineRule="auto"/>
        <w:ind w:firstLineChars="200" w:firstLine="480"/>
        <w:outlineLvl w:val="2"/>
        <w:rPr>
          <w:rFonts w:ascii="宋体" w:hAnsi="宋体"/>
          <w:bCs/>
          <w:sz w:val="24"/>
          <w:szCs w:val="24"/>
        </w:rPr>
      </w:pPr>
      <w:r>
        <w:rPr>
          <w:rFonts w:ascii="宋体" w:hAnsi="宋体" w:hint="eastAsia"/>
          <w:bCs/>
          <w:sz w:val="24"/>
          <w:szCs w:val="24"/>
        </w:rPr>
        <w:t>4、资产支持证券投资策略</w:t>
      </w:r>
    </w:p>
    <w:p w14:paraId="0A099927" w14:textId="77777777" w:rsidR="00791BDD" w:rsidRDefault="00B7515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p>
    <w:p w14:paraId="2D452F1B" w14:textId="77777777" w:rsidR="00791BDD" w:rsidRDefault="00B75151">
      <w:pPr>
        <w:adjustRightInd w:val="0"/>
        <w:snapToGrid w:val="0"/>
        <w:spacing w:line="360" w:lineRule="auto"/>
        <w:ind w:firstLineChars="200" w:firstLine="480"/>
        <w:outlineLvl w:val="2"/>
        <w:rPr>
          <w:rFonts w:ascii="宋体" w:hAnsi="宋体"/>
          <w:bCs/>
          <w:sz w:val="24"/>
          <w:szCs w:val="24"/>
        </w:rPr>
      </w:pPr>
      <w:r>
        <w:rPr>
          <w:rFonts w:ascii="宋体" w:hAnsi="宋体"/>
          <w:bCs/>
          <w:sz w:val="24"/>
          <w:szCs w:val="24"/>
        </w:rPr>
        <w:t>5</w:t>
      </w:r>
      <w:r>
        <w:rPr>
          <w:rFonts w:ascii="宋体" w:hAnsi="宋体" w:hint="eastAsia"/>
          <w:bCs/>
          <w:sz w:val="24"/>
          <w:szCs w:val="24"/>
        </w:rPr>
        <w:t>、股指期货投资策略</w:t>
      </w:r>
    </w:p>
    <w:p w14:paraId="522CF2A7" w14:textId="77777777" w:rsidR="00791BDD" w:rsidRDefault="00B7515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p>
    <w:p w14:paraId="2165D453" w14:textId="77777777" w:rsidR="00791BDD" w:rsidRDefault="00B7515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14:paraId="5A8F3DF5" w14:textId="77777777" w:rsidR="00791BDD" w:rsidRDefault="00B75151">
      <w:pPr>
        <w:adjustRightInd w:val="0"/>
        <w:snapToGrid w:val="0"/>
        <w:spacing w:line="360" w:lineRule="auto"/>
        <w:ind w:firstLineChars="200" w:firstLine="482"/>
        <w:outlineLvl w:val="1"/>
        <w:rPr>
          <w:rFonts w:hAnsi="宋体"/>
          <w:kern w:val="0"/>
          <w:sz w:val="24"/>
        </w:rPr>
      </w:pPr>
      <w:r>
        <w:rPr>
          <w:rFonts w:hint="eastAsia"/>
          <w:b/>
          <w:bCs/>
          <w:sz w:val="24"/>
        </w:rPr>
        <w:t>（四）投资限制</w:t>
      </w:r>
    </w:p>
    <w:p w14:paraId="4448B69F" w14:textId="77777777" w:rsidR="00791BDD" w:rsidRDefault="00B75151">
      <w:pPr>
        <w:adjustRightInd w:val="0"/>
        <w:snapToGrid w:val="0"/>
        <w:spacing w:line="360" w:lineRule="auto"/>
        <w:ind w:firstLineChars="200" w:firstLine="480"/>
        <w:outlineLvl w:val="2"/>
        <w:rPr>
          <w:rFonts w:ascii="宋体" w:hAnsi="宋体"/>
          <w:bCs/>
          <w:sz w:val="24"/>
          <w:szCs w:val="24"/>
        </w:rPr>
      </w:pPr>
      <w:r>
        <w:rPr>
          <w:rFonts w:ascii="宋体" w:hAnsi="宋体"/>
          <w:bCs/>
          <w:sz w:val="24"/>
          <w:szCs w:val="24"/>
        </w:rPr>
        <w:t>1、组合限制</w:t>
      </w:r>
    </w:p>
    <w:p w14:paraId="3492CAB4" w14:textId="77777777" w:rsidR="00791BDD" w:rsidRDefault="00B75151">
      <w:pPr>
        <w:adjustRightInd w:val="0"/>
        <w:snapToGrid w:val="0"/>
        <w:spacing w:line="360" w:lineRule="auto"/>
        <w:ind w:firstLineChars="200" w:firstLine="480"/>
        <w:rPr>
          <w:rFonts w:ascii="宋体" w:hAnsi="宋体"/>
          <w:bCs/>
          <w:sz w:val="24"/>
          <w:szCs w:val="24"/>
        </w:rPr>
      </w:pPr>
      <w:r>
        <w:rPr>
          <w:rFonts w:ascii="宋体" w:hAnsi="宋体"/>
          <w:bCs/>
          <w:sz w:val="24"/>
          <w:szCs w:val="24"/>
        </w:rPr>
        <w:t>基金的投资组合应遵循以下限制：</w:t>
      </w:r>
    </w:p>
    <w:p w14:paraId="7E77262A" w14:textId="77777777" w:rsidR="00791BDD" w:rsidRDefault="00B75151">
      <w:pPr>
        <w:adjustRightInd w:val="0"/>
        <w:snapToGrid w:val="0"/>
        <w:spacing w:line="360" w:lineRule="auto"/>
        <w:ind w:firstLineChars="200" w:firstLine="480"/>
        <w:rPr>
          <w:bCs/>
          <w:sz w:val="24"/>
        </w:rPr>
      </w:pPr>
      <w:r>
        <w:rPr>
          <w:rFonts w:hint="eastAsia"/>
          <w:bCs/>
          <w:sz w:val="24"/>
        </w:rPr>
        <w:lastRenderedPageBreak/>
        <w:t>（</w:t>
      </w:r>
      <w:r>
        <w:rPr>
          <w:rFonts w:hint="eastAsia"/>
          <w:bCs/>
          <w:sz w:val="24"/>
        </w:rPr>
        <w:t>1</w:t>
      </w:r>
      <w:r>
        <w:rPr>
          <w:rFonts w:hint="eastAsia"/>
          <w:bCs/>
          <w:sz w:val="24"/>
        </w:rPr>
        <w:t>）股票投资（</w:t>
      </w:r>
      <w:r>
        <w:rPr>
          <w:bCs/>
          <w:sz w:val="24"/>
        </w:rPr>
        <w:t>含存托凭证</w:t>
      </w:r>
      <w:r>
        <w:rPr>
          <w:rFonts w:hint="eastAsia"/>
          <w:bCs/>
          <w:sz w:val="24"/>
        </w:rPr>
        <w:t>）占基金资产的比例不低于</w:t>
      </w:r>
      <w:r>
        <w:rPr>
          <w:rFonts w:hint="eastAsia"/>
          <w:bCs/>
          <w:sz w:val="24"/>
        </w:rPr>
        <w:t>80%</w:t>
      </w:r>
      <w:r>
        <w:rPr>
          <w:rFonts w:hint="eastAsia"/>
          <w:bCs/>
          <w:sz w:val="24"/>
        </w:rPr>
        <w:t>，其中投资于港股通标的股票的比例占股票资产的</w:t>
      </w:r>
      <w:r>
        <w:rPr>
          <w:rFonts w:hint="eastAsia"/>
          <w:bCs/>
          <w:sz w:val="24"/>
        </w:rPr>
        <w:t>0%-50%</w:t>
      </w:r>
      <w:r>
        <w:rPr>
          <w:rFonts w:hint="eastAsia"/>
          <w:bCs/>
          <w:sz w:val="24"/>
        </w:rPr>
        <w:t>；</w:t>
      </w:r>
    </w:p>
    <w:p w14:paraId="3C00241A"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2</w:t>
      </w:r>
      <w:r>
        <w:rPr>
          <w:rFonts w:hint="eastAsia"/>
          <w:bCs/>
          <w:sz w:val="24"/>
        </w:rPr>
        <w:t>）每个交易日日终在扣除股指期货合约需缴纳的交易保证金后，本基金持有的现金或者到期日在一年以内的政府债券的比例合计不低于基金资产净值的</w:t>
      </w:r>
      <w:r>
        <w:rPr>
          <w:rFonts w:hint="eastAsia"/>
          <w:bCs/>
          <w:sz w:val="24"/>
        </w:rPr>
        <w:t>5%</w:t>
      </w:r>
      <w:r>
        <w:rPr>
          <w:rFonts w:hint="eastAsia"/>
          <w:bCs/>
          <w:sz w:val="24"/>
        </w:rPr>
        <w:t>，其中现金不包括结算备付金、存出保证金、应收申购款等；</w:t>
      </w:r>
    </w:p>
    <w:p w14:paraId="6C75C33F"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3</w:t>
      </w:r>
      <w:r>
        <w:rPr>
          <w:rFonts w:hint="eastAsia"/>
          <w:bCs/>
          <w:sz w:val="24"/>
        </w:rPr>
        <w:t>）本基金持有一家公司发行的证券（同一家公司在内地和香港同时上市的</w:t>
      </w:r>
      <w:r>
        <w:rPr>
          <w:rFonts w:hint="eastAsia"/>
          <w:bCs/>
          <w:sz w:val="24"/>
        </w:rPr>
        <w:t>A+H</w:t>
      </w:r>
      <w:r>
        <w:rPr>
          <w:rFonts w:hint="eastAsia"/>
          <w:bCs/>
          <w:sz w:val="24"/>
        </w:rPr>
        <w:t>股合计计算），其市值不超过基金资产净值的</w:t>
      </w:r>
      <w:r>
        <w:rPr>
          <w:rFonts w:hint="eastAsia"/>
          <w:bCs/>
          <w:sz w:val="24"/>
        </w:rPr>
        <w:t>10</w:t>
      </w:r>
      <w:r>
        <w:rPr>
          <w:rFonts w:hint="eastAsia"/>
          <w:bCs/>
          <w:sz w:val="24"/>
        </w:rPr>
        <w:t>％；</w:t>
      </w:r>
    </w:p>
    <w:p w14:paraId="7CD044DD"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4</w:t>
      </w:r>
      <w:r>
        <w:rPr>
          <w:rFonts w:hint="eastAsia"/>
          <w:bCs/>
          <w:sz w:val="24"/>
        </w:rPr>
        <w:t>）本基金管理人管理的全部基金持有一家公司发行的证券（同一家公司在内地和香港同时上市的</w:t>
      </w:r>
      <w:r>
        <w:rPr>
          <w:rFonts w:hint="eastAsia"/>
          <w:bCs/>
          <w:sz w:val="24"/>
        </w:rPr>
        <w:t>A+H</w:t>
      </w:r>
      <w:r>
        <w:rPr>
          <w:rFonts w:hint="eastAsia"/>
          <w:bCs/>
          <w:sz w:val="24"/>
        </w:rPr>
        <w:t>股合计计算），不超过该证券的</w:t>
      </w:r>
      <w:r>
        <w:rPr>
          <w:rFonts w:hint="eastAsia"/>
          <w:bCs/>
          <w:sz w:val="24"/>
        </w:rPr>
        <w:t>10</w:t>
      </w:r>
      <w:r>
        <w:rPr>
          <w:rFonts w:hint="eastAsia"/>
          <w:bCs/>
          <w:sz w:val="24"/>
        </w:rPr>
        <w:t>％，完全按照有关指数的构成比例进行证券投资的基金品种可以不受此条款规定的比例限制；</w:t>
      </w:r>
    </w:p>
    <w:p w14:paraId="5CEED196"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5</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50EB58B5"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6</w:t>
      </w:r>
      <w:r>
        <w:rPr>
          <w:rFonts w:hint="eastAsia"/>
          <w:bCs/>
          <w:sz w:val="24"/>
        </w:rPr>
        <w:t>）本基金持有的全部资产支持证券，其市值不得超过基金资产净值的</w:t>
      </w:r>
      <w:r>
        <w:rPr>
          <w:rFonts w:hint="eastAsia"/>
          <w:bCs/>
          <w:sz w:val="24"/>
        </w:rPr>
        <w:t>20</w:t>
      </w:r>
      <w:r>
        <w:rPr>
          <w:rFonts w:hint="eastAsia"/>
          <w:bCs/>
          <w:sz w:val="24"/>
        </w:rPr>
        <w:t>％；</w:t>
      </w:r>
    </w:p>
    <w:p w14:paraId="6FB70333"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7</w:t>
      </w:r>
      <w:r>
        <w:rPr>
          <w:rFonts w:hint="eastAsia"/>
          <w:bCs/>
          <w:sz w:val="24"/>
        </w:rPr>
        <w:t>）本基金持有的同一（指同一信用级别）资产支持证券的比例，不得超过该资产支持证券规模的</w:t>
      </w:r>
      <w:r>
        <w:rPr>
          <w:rFonts w:hint="eastAsia"/>
          <w:bCs/>
          <w:sz w:val="24"/>
        </w:rPr>
        <w:t>10</w:t>
      </w:r>
      <w:r>
        <w:rPr>
          <w:rFonts w:hint="eastAsia"/>
          <w:bCs/>
          <w:sz w:val="24"/>
        </w:rPr>
        <w:t>％；</w:t>
      </w:r>
    </w:p>
    <w:p w14:paraId="5B02A77F"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8</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14:paraId="0FE0A99A"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9</w:t>
      </w:r>
      <w:r>
        <w:rPr>
          <w:rFonts w:hint="eastAsia"/>
          <w:bCs/>
          <w:sz w:val="24"/>
        </w:rPr>
        <w:t>）本基金应投资于信用级别评级为</w:t>
      </w:r>
      <w:r>
        <w:rPr>
          <w:rFonts w:hint="eastAsia"/>
          <w:bCs/>
          <w:sz w:val="24"/>
        </w:rPr>
        <w:t>BBB</w:t>
      </w:r>
      <w:r>
        <w:rPr>
          <w:rFonts w:hint="eastAsia"/>
          <w:bCs/>
          <w:sz w:val="24"/>
        </w:rPr>
        <w:t>以上（含</w:t>
      </w:r>
      <w:r>
        <w:rPr>
          <w:rFonts w:hint="eastAsia"/>
          <w:bCs/>
          <w:sz w:val="24"/>
        </w:rPr>
        <w:t>BBB</w:t>
      </w:r>
      <w:r>
        <w:rPr>
          <w:rFonts w:hint="eastAsia"/>
          <w:bCs/>
          <w:sz w:val="24"/>
        </w:rPr>
        <w:t>）的资产支持证券。基金持有资产支持证券期间，如果其信用等级下降、不再符合投资标准，应在评级报告发布之日起</w:t>
      </w:r>
      <w:r>
        <w:rPr>
          <w:rFonts w:hint="eastAsia"/>
          <w:bCs/>
          <w:sz w:val="24"/>
        </w:rPr>
        <w:t>3</w:t>
      </w:r>
      <w:r>
        <w:rPr>
          <w:rFonts w:hint="eastAsia"/>
          <w:bCs/>
          <w:sz w:val="24"/>
        </w:rPr>
        <w:t>个月内予以全部卖出；</w:t>
      </w:r>
    </w:p>
    <w:p w14:paraId="38D73317"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1</w:t>
      </w:r>
      <w:r>
        <w:rPr>
          <w:bCs/>
          <w:sz w:val="24"/>
        </w:rPr>
        <w:t>0</w:t>
      </w:r>
      <w:r>
        <w:rPr>
          <w:rFonts w:hint="eastAsia"/>
          <w:bCs/>
          <w:sz w:val="24"/>
        </w:rPr>
        <w:t>）基金财产参与股票发行申购，本基金所申报的金额不超过本基金的总资产，本基金所申报的股票数量不超过拟发行股票公司本次发行股票的总量；</w:t>
      </w:r>
    </w:p>
    <w:p w14:paraId="32CFD166" w14:textId="77777777" w:rsidR="00791BDD" w:rsidRDefault="00B75151">
      <w:pPr>
        <w:adjustRightInd w:val="0"/>
        <w:snapToGrid w:val="0"/>
        <w:spacing w:line="360" w:lineRule="auto"/>
        <w:ind w:firstLineChars="200" w:firstLine="480"/>
        <w:rPr>
          <w:bCs/>
          <w:sz w:val="24"/>
        </w:rPr>
      </w:pPr>
      <w:r>
        <w:rPr>
          <w:rFonts w:hint="eastAsia"/>
          <w:bCs/>
          <w:sz w:val="24"/>
        </w:rPr>
        <w:t>（</w:t>
      </w:r>
      <w:r>
        <w:rPr>
          <w:bCs/>
          <w:sz w:val="24"/>
        </w:rPr>
        <w:t>11</w:t>
      </w:r>
      <w:r>
        <w:rPr>
          <w:rFonts w:hint="eastAsia"/>
          <w:bCs/>
          <w:sz w:val="24"/>
        </w:rPr>
        <w:t>）本基金管理人管理的全部开放式基金（包括开放式基金以及处于开放期的定期开放基金）持有一家上市公司发行的可流通股票，不得超过该上市公司可流通股票的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；完全按照有关指数的构成比例进行证券投资的开放式基金以及中国证监会认定的特殊投资组合可不受前述比例限制；</w:t>
      </w:r>
    </w:p>
    <w:p w14:paraId="69A0F9F0" w14:textId="77777777" w:rsidR="00791BDD" w:rsidRDefault="00B75151">
      <w:pPr>
        <w:adjustRightInd w:val="0"/>
        <w:snapToGrid w:val="0"/>
        <w:spacing w:line="360" w:lineRule="auto"/>
        <w:ind w:firstLineChars="200" w:firstLine="480"/>
        <w:rPr>
          <w:bCs/>
          <w:sz w:val="24"/>
        </w:rPr>
      </w:pPr>
      <w:r>
        <w:rPr>
          <w:rFonts w:hint="eastAsia"/>
          <w:bCs/>
          <w:sz w:val="24"/>
        </w:rPr>
        <w:t>（</w:t>
      </w:r>
      <w:r>
        <w:rPr>
          <w:bCs/>
          <w:sz w:val="24"/>
        </w:rPr>
        <w:t>12</w:t>
      </w:r>
      <w:r>
        <w:rPr>
          <w:rFonts w:hint="eastAsia"/>
          <w:bCs/>
          <w:sz w:val="24"/>
        </w:rPr>
        <w:t>）本基金主动投资于流动性受限资产的市值合计不得超过基金资产净值的</w:t>
      </w:r>
      <w:r>
        <w:rPr>
          <w:rFonts w:hint="eastAsia"/>
          <w:bCs/>
          <w:sz w:val="24"/>
        </w:rPr>
        <w:lastRenderedPageBreak/>
        <w:t>15%</w:t>
      </w:r>
      <w:r>
        <w:rPr>
          <w:rFonts w:hint="eastAsia"/>
          <w:bCs/>
          <w:sz w:val="24"/>
        </w:rPr>
        <w:t>；因证券市场波动、上市公司股票停牌、基金规模变动等基金管理人之外的因素致使基金不符合该比例限制的，基金管理人不得主动新增流动性受限资产的投资；</w:t>
      </w:r>
    </w:p>
    <w:p w14:paraId="5FA15BC1" w14:textId="77777777" w:rsidR="00791BDD" w:rsidRDefault="00B75151">
      <w:pPr>
        <w:adjustRightInd w:val="0"/>
        <w:snapToGrid w:val="0"/>
        <w:spacing w:line="360" w:lineRule="auto"/>
        <w:ind w:firstLineChars="200" w:firstLine="480"/>
        <w:rPr>
          <w:bCs/>
          <w:sz w:val="24"/>
        </w:rPr>
      </w:pPr>
      <w:r>
        <w:rPr>
          <w:rFonts w:hint="eastAsia"/>
          <w:bCs/>
          <w:sz w:val="24"/>
        </w:rPr>
        <w:t>（</w:t>
      </w:r>
      <w:r>
        <w:rPr>
          <w:bCs/>
          <w:sz w:val="24"/>
        </w:rPr>
        <w:t>13</w:t>
      </w:r>
      <w:r>
        <w:rPr>
          <w:rFonts w:hint="eastAsia"/>
          <w:bCs/>
          <w:sz w:val="24"/>
        </w:rPr>
        <w:t>）本基金与私募类证券资管产品及中国证监会认定的其他主体为交易对手开展逆回购交易的，可接受质押品的资质要求应当与基金合同约定的投资范围保持一致；</w:t>
      </w:r>
    </w:p>
    <w:p w14:paraId="4C49E6B6" w14:textId="77777777" w:rsidR="00791BDD" w:rsidRDefault="00B75151">
      <w:pPr>
        <w:adjustRightInd w:val="0"/>
        <w:snapToGrid w:val="0"/>
        <w:spacing w:line="360" w:lineRule="auto"/>
        <w:ind w:firstLineChars="200" w:firstLine="480"/>
        <w:rPr>
          <w:bCs/>
          <w:sz w:val="24"/>
        </w:rPr>
      </w:pPr>
      <w:r>
        <w:rPr>
          <w:rFonts w:hint="eastAsia"/>
          <w:bCs/>
          <w:sz w:val="24"/>
        </w:rPr>
        <w:t>（</w:t>
      </w:r>
      <w:r>
        <w:rPr>
          <w:bCs/>
          <w:sz w:val="24"/>
        </w:rPr>
        <w:t>14</w:t>
      </w:r>
      <w:r>
        <w:rPr>
          <w:rFonts w:hint="eastAsia"/>
          <w:bCs/>
          <w:sz w:val="24"/>
        </w:rPr>
        <w:t>）若本基金参与股指期货交易，则：</w:t>
      </w:r>
    </w:p>
    <w:p w14:paraId="4A24A7A9" w14:textId="77777777" w:rsidR="00791BDD" w:rsidRDefault="00B75151">
      <w:pPr>
        <w:adjustRightInd w:val="0"/>
        <w:snapToGrid w:val="0"/>
        <w:spacing w:line="360" w:lineRule="auto"/>
        <w:ind w:firstLineChars="200" w:firstLine="480"/>
        <w:rPr>
          <w:bCs/>
          <w:sz w:val="24"/>
        </w:rPr>
      </w:pPr>
      <w:r>
        <w:rPr>
          <w:rFonts w:hint="eastAsia"/>
          <w:bCs/>
          <w:sz w:val="24"/>
        </w:rPr>
        <w:t>1</w:t>
      </w:r>
      <w:r>
        <w:rPr>
          <w:rFonts w:hint="eastAsia"/>
          <w:bCs/>
          <w:sz w:val="24"/>
        </w:rPr>
        <w:t>）本基金在任何交易日日终，持有的买入股指期货合约价值，不得超过基金资产净值的</w:t>
      </w:r>
      <w:r>
        <w:rPr>
          <w:rFonts w:hint="eastAsia"/>
          <w:bCs/>
          <w:sz w:val="24"/>
        </w:rPr>
        <w:t>10%</w:t>
      </w:r>
      <w:r>
        <w:rPr>
          <w:rFonts w:hint="eastAsia"/>
          <w:bCs/>
          <w:sz w:val="24"/>
        </w:rPr>
        <w:t>；</w:t>
      </w:r>
    </w:p>
    <w:p w14:paraId="7B40EC89" w14:textId="77777777" w:rsidR="00791BDD" w:rsidRDefault="00B75151">
      <w:pPr>
        <w:adjustRightInd w:val="0"/>
        <w:snapToGrid w:val="0"/>
        <w:spacing w:line="360" w:lineRule="auto"/>
        <w:ind w:firstLineChars="200" w:firstLine="480"/>
        <w:rPr>
          <w:bCs/>
          <w:sz w:val="24"/>
        </w:rPr>
      </w:pPr>
      <w:r>
        <w:rPr>
          <w:rFonts w:hint="eastAsia"/>
          <w:bCs/>
          <w:sz w:val="24"/>
        </w:rPr>
        <w:t>2</w:t>
      </w:r>
      <w:r>
        <w:rPr>
          <w:rFonts w:hint="eastAsia"/>
          <w:bCs/>
          <w:sz w:val="24"/>
        </w:rPr>
        <w:t>）本基金在任何交易日日终，持有的买入股指期货合约价值与有价证券市值之和，不得超过基金资产净值的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w:t>
      </w:r>
    </w:p>
    <w:p w14:paraId="04BF446D" w14:textId="77777777" w:rsidR="00791BDD" w:rsidRDefault="00B75151">
      <w:pPr>
        <w:adjustRightInd w:val="0"/>
        <w:snapToGrid w:val="0"/>
        <w:spacing w:line="360" w:lineRule="auto"/>
        <w:ind w:firstLineChars="200" w:firstLine="480"/>
        <w:rPr>
          <w:bCs/>
          <w:sz w:val="24"/>
        </w:rPr>
      </w:pPr>
      <w:r>
        <w:rPr>
          <w:rFonts w:hint="eastAsia"/>
          <w:bCs/>
          <w:sz w:val="24"/>
        </w:rPr>
        <w:t>3</w:t>
      </w:r>
      <w:r>
        <w:rPr>
          <w:rFonts w:hint="eastAsia"/>
          <w:bCs/>
          <w:sz w:val="24"/>
        </w:rPr>
        <w:t>）本基金在任何交易日日终，持有的卖出股指期货合约价值不得超过基金持有的股票总市值的</w:t>
      </w:r>
      <w:r>
        <w:rPr>
          <w:rFonts w:hint="eastAsia"/>
          <w:bCs/>
          <w:sz w:val="24"/>
        </w:rPr>
        <w:t>20%</w:t>
      </w:r>
      <w:r>
        <w:rPr>
          <w:rFonts w:hint="eastAsia"/>
          <w:bCs/>
          <w:sz w:val="24"/>
        </w:rPr>
        <w:t>；</w:t>
      </w:r>
    </w:p>
    <w:p w14:paraId="38B0B86E" w14:textId="77777777" w:rsidR="00791BDD" w:rsidRDefault="00B75151">
      <w:pPr>
        <w:adjustRightInd w:val="0"/>
        <w:snapToGrid w:val="0"/>
        <w:spacing w:line="360" w:lineRule="auto"/>
        <w:ind w:firstLineChars="200" w:firstLine="480"/>
        <w:rPr>
          <w:bCs/>
          <w:sz w:val="24"/>
        </w:rPr>
      </w:pPr>
      <w:r>
        <w:rPr>
          <w:rFonts w:hint="eastAsia"/>
          <w:bCs/>
          <w:sz w:val="24"/>
        </w:rPr>
        <w:t>4</w:t>
      </w:r>
      <w:r>
        <w:rPr>
          <w:rFonts w:hint="eastAsia"/>
          <w:bCs/>
          <w:sz w:val="24"/>
        </w:rPr>
        <w:t>）本基金所持有的股票市值和买入、卖出股指期货合约价值，合计（轧差计算）应当符合基金合同关于股票投资比例的有关约定；</w:t>
      </w:r>
    </w:p>
    <w:p w14:paraId="6EA01B97" w14:textId="77777777" w:rsidR="00791BDD" w:rsidRDefault="00B75151">
      <w:pPr>
        <w:adjustRightInd w:val="0"/>
        <w:snapToGrid w:val="0"/>
        <w:spacing w:line="360" w:lineRule="auto"/>
        <w:ind w:firstLineChars="200" w:firstLine="480"/>
        <w:rPr>
          <w:bCs/>
          <w:sz w:val="24"/>
        </w:rPr>
      </w:pPr>
      <w:r>
        <w:rPr>
          <w:rFonts w:hint="eastAsia"/>
          <w:bCs/>
          <w:sz w:val="24"/>
        </w:rPr>
        <w:t>5</w:t>
      </w:r>
      <w:r>
        <w:rPr>
          <w:rFonts w:hint="eastAsia"/>
          <w:bCs/>
          <w:sz w:val="24"/>
        </w:rPr>
        <w:t>）本基金在任何交易日内交易（不包括平仓）的股指期货合约的成交金额不得超过上一交易日基金资产净值的</w:t>
      </w:r>
      <w:r>
        <w:rPr>
          <w:rFonts w:hint="eastAsia"/>
          <w:bCs/>
          <w:sz w:val="24"/>
        </w:rPr>
        <w:t>20%</w:t>
      </w:r>
      <w:r>
        <w:rPr>
          <w:rFonts w:hint="eastAsia"/>
          <w:bCs/>
          <w:sz w:val="24"/>
        </w:rPr>
        <w:t>；</w:t>
      </w:r>
    </w:p>
    <w:p w14:paraId="0F4F6293" w14:textId="77777777" w:rsidR="00791BDD" w:rsidRDefault="00B75151">
      <w:pPr>
        <w:adjustRightInd w:val="0"/>
        <w:snapToGrid w:val="0"/>
        <w:spacing w:line="360" w:lineRule="auto"/>
        <w:ind w:firstLineChars="200" w:firstLine="480"/>
        <w:rPr>
          <w:bCs/>
          <w:sz w:val="24"/>
        </w:rPr>
      </w:pPr>
      <w:r>
        <w:rPr>
          <w:rFonts w:hint="eastAsia"/>
          <w:bCs/>
          <w:sz w:val="24"/>
        </w:rPr>
        <w:t>（</w:t>
      </w:r>
      <w:r>
        <w:rPr>
          <w:bCs/>
          <w:sz w:val="24"/>
        </w:rPr>
        <w:t>15</w:t>
      </w:r>
      <w:r>
        <w:rPr>
          <w:rFonts w:hint="eastAsia"/>
          <w:bCs/>
          <w:sz w:val="24"/>
        </w:rPr>
        <w:t>）本基金资产总值不超过基金资产净值的</w:t>
      </w:r>
      <w:r>
        <w:rPr>
          <w:rFonts w:hint="eastAsia"/>
          <w:bCs/>
          <w:sz w:val="24"/>
        </w:rPr>
        <w:t>140%</w:t>
      </w:r>
      <w:r>
        <w:rPr>
          <w:rFonts w:hint="eastAsia"/>
          <w:bCs/>
          <w:sz w:val="24"/>
        </w:rPr>
        <w:t>；</w:t>
      </w:r>
    </w:p>
    <w:p w14:paraId="73855879" w14:textId="77777777" w:rsidR="00791BDD" w:rsidRDefault="00B75151">
      <w:pPr>
        <w:adjustRightInd w:val="0"/>
        <w:snapToGrid w:val="0"/>
        <w:spacing w:line="360" w:lineRule="auto"/>
        <w:ind w:firstLineChars="200" w:firstLine="480"/>
        <w:rPr>
          <w:bCs/>
          <w:sz w:val="24"/>
        </w:rPr>
      </w:pPr>
      <w:r>
        <w:rPr>
          <w:rFonts w:hint="eastAsia"/>
          <w:bCs/>
          <w:sz w:val="24"/>
        </w:rPr>
        <w:t>（</w:t>
      </w:r>
      <w:r>
        <w:rPr>
          <w:bCs/>
          <w:sz w:val="24"/>
        </w:rPr>
        <w:t>16</w:t>
      </w:r>
      <w:r>
        <w:rPr>
          <w:rFonts w:hint="eastAsia"/>
          <w:bCs/>
          <w:sz w:val="24"/>
        </w:rPr>
        <w:t>）本基金投资存托凭证的比例限制依照境内上市交易的股票执行；</w:t>
      </w:r>
    </w:p>
    <w:p w14:paraId="5DA00733" w14:textId="77777777" w:rsidR="00791BDD" w:rsidRDefault="00B75151">
      <w:pPr>
        <w:adjustRightInd w:val="0"/>
        <w:snapToGrid w:val="0"/>
        <w:spacing w:line="360" w:lineRule="auto"/>
        <w:ind w:firstLineChars="200" w:firstLine="480"/>
        <w:rPr>
          <w:bCs/>
          <w:sz w:val="24"/>
        </w:rPr>
      </w:pPr>
      <w:r>
        <w:rPr>
          <w:rFonts w:hint="eastAsia"/>
          <w:bCs/>
          <w:sz w:val="24"/>
        </w:rPr>
        <w:t>（</w:t>
      </w:r>
      <w:r>
        <w:rPr>
          <w:bCs/>
          <w:sz w:val="24"/>
        </w:rPr>
        <w:t>17</w:t>
      </w:r>
      <w:r>
        <w:rPr>
          <w:rFonts w:hint="eastAsia"/>
          <w:bCs/>
          <w:sz w:val="24"/>
        </w:rPr>
        <w:t>）法律法规及中国证监会规定的和《基金合同》约定的其他投资限制。</w:t>
      </w:r>
    </w:p>
    <w:p w14:paraId="5F41296F" w14:textId="77777777" w:rsidR="00791BDD" w:rsidRDefault="00B75151">
      <w:pPr>
        <w:adjustRightInd w:val="0"/>
        <w:snapToGrid w:val="0"/>
        <w:spacing w:line="360" w:lineRule="auto"/>
        <w:ind w:firstLineChars="200" w:firstLine="480"/>
        <w:rPr>
          <w:bCs/>
          <w:sz w:val="24"/>
        </w:rPr>
      </w:pPr>
      <w:r>
        <w:rPr>
          <w:rFonts w:hint="eastAsia"/>
          <w:bCs/>
          <w:sz w:val="24"/>
        </w:rPr>
        <w:t>除上述（</w:t>
      </w:r>
      <w:r>
        <w:rPr>
          <w:rFonts w:hint="eastAsia"/>
          <w:bCs/>
          <w:sz w:val="24"/>
        </w:rPr>
        <w:t>2</w:t>
      </w:r>
      <w:r>
        <w:rPr>
          <w:rFonts w:hint="eastAsia"/>
          <w:bCs/>
          <w:sz w:val="24"/>
        </w:rPr>
        <w:t>）、（</w:t>
      </w:r>
      <w:r>
        <w:rPr>
          <w:rFonts w:hint="eastAsia"/>
          <w:bCs/>
          <w:sz w:val="24"/>
        </w:rPr>
        <w:t>9</w:t>
      </w:r>
      <w:r>
        <w:rPr>
          <w:rFonts w:hint="eastAsia"/>
          <w:bCs/>
          <w:sz w:val="24"/>
        </w:rPr>
        <w:t>）、（</w:t>
      </w:r>
      <w:r>
        <w:rPr>
          <w:rFonts w:hint="eastAsia"/>
          <w:bCs/>
          <w:sz w:val="24"/>
        </w:rPr>
        <w:t>1</w:t>
      </w:r>
      <w:r>
        <w:rPr>
          <w:bCs/>
          <w:sz w:val="24"/>
        </w:rPr>
        <w:t>2</w:t>
      </w:r>
      <w:r>
        <w:rPr>
          <w:rFonts w:hint="eastAsia"/>
          <w:bCs/>
          <w:sz w:val="24"/>
        </w:rPr>
        <w:t>）、（</w:t>
      </w:r>
      <w:r>
        <w:rPr>
          <w:rFonts w:hint="eastAsia"/>
          <w:bCs/>
          <w:sz w:val="24"/>
        </w:rPr>
        <w:t>1</w:t>
      </w:r>
      <w:r>
        <w:rPr>
          <w:bCs/>
          <w:sz w:val="24"/>
        </w:rPr>
        <w:t>3</w:t>
      </w:r>
      <w:r>
        <w:rPr>
          <w:rFonts w:hint="eastAsia"/>
          <w:bCs/>
          <w:sz w:val="24"/>
        </w:rPr>
        <w:t>）情形之外，因证券、期货市场波动、证券发行人合并、基金规模变动等基金管理人之外的因素致使基金投资比例不符合上述规定投资比例的，基金管理人应当在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个交易日内进行调整，但中国证监会规定的特殊情形除外。法律法规另有规定的，从其规定。</w:t>
      </w:r>
    </w:p>
    <w:p w14:paraId="61DF7578" w14:textId="77777777" w:rsidR="00791BDD" w:rsidRDefault="00B75151">
      <w:pPr>
        <w:adjustRightInd w:val="0"/>
        <w:snapToGrid w:val="0"/>
        <w:spacing w:line="360" w:lineRule="auto"/>
        <w:ind w:firstLineChars="200" w:firstLine="480"/>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54AA56E2" w14:textId="77777777" w:rsidR="00791BDD" w:rsidRDefault="00B75151">
      <w:pPr>
        <w:snapToGrid w:val="0"/>
        <w:spacing w:line="360" w:lineRule="auto"/>
        <w:ind w:firstLineChars="200" w:firstLine="480"/>
        <w:rPr>
          <w:bCs/>
          <w:sz w:val="24"/>
        </w:rPr>
      </w:pPr>
      <w:r>
        <w:rPr>
          <w:rFonts w:hint="eastAsia"/>
          <w:bCs/>
          <w:sz w:val="24"/>
        </w:rPr>
        <w:t>法律法规或监管部门取消或变更上述限制，如适用于本基金，基金管理人在履行适当程序后，则本基金投资不再受相关限制或以变更后的规定为准。</w:t>
      </w:r>
    </w:p>
    <w:p w14:paraId="25D3F139" w14:textId="77777777" w:rsidR="00791BDD" w:rsidRDefault="00B75151">
      <w:pPr>
        <w:snapToGrid w:val="0"/>
        <w:spacing w:line="360" w:lineRule="auto"/>
        <w:ind w:firstLineChars="200" w:firstLine="480"/>
        <w:outlineLvl w:val="2"/>
        <w:rPr>
          <w:rFonts w:ascii="宋体" w:hAnsi="宋体"/>
          <w:sz w:val="24"/>
          <w:szCs w:val="24"/>
        </w:rPr>
      </w:pPr>
      <w:r>
        <w:rPr>
          <w:rFonts w:ascii="宋体" w:hAnsi="宋体" w:hint="eastAsia"/>
          <w:sz w:val="24"/>
          <w:szCs w:val="24"/>
        </w:rPr>
        <w:t>2、禁止行为</w:t>
      </w:r>
    </w:p>
    <w:p w14:paraId="4ED9D85F" w14:textId="77777777" w:rsidR="00791BDD" w:rsidRDefault="00B75151">
      <w:pPr>
        <w:snapToGrid w:val="0"/>
        <w:spacing w:line="360" w:lineRule="auto"/>
        <w:ind w:firstLineChars="200" w:firstLine="480"/>
        <w:rPr>
          <w:rFonts w:ascii="宋体" w:hAnsi="宋体"/>
          <w:sz w:val="24"/>
          <w:szCs w:val="24"/>
        </w:rPr>
      </w:pPr>
      <w:r>
        <w:rPr>
          <w:rFonts w:ascii="宋体" w:hAnsi="宋体" w:hint="eastAsia"/>
          <w:sz w:val="24"/>
          <w:szCs w:val="24"/>
        </w:rPr>
        <w:t>为维护基金份额持有人的合法权益，基金财产不得用于下列投资或者活动：</w:t>
      </w:r>
    </w:p>
    <w:p w14:paraId="164E84FD" w14:textId="77777777" w:rsidR="00791BDD" w:rsidRDefault="00B75151">
      <w:pPr>
        <w:snapToGrid w:val="0"/>
        <w:spacing w:line="360" w:lineRule="auto"/>
        <w:ind w:firstLineChars="200" w:firstLine="480"/>
        <w:rPr>
          <w:rFonts w:ascii="宋体" w:hAnsi="宋体"/>
          <w:sz w:val="24"/>
          <w:szCs w:val="24"/>
        </w:rPr>
      </w:pPr>
      <w:r>
        <w:rPr>
          <w:rFonts w:ascii="宋体" w:hAnsi="宋体" w:hint="eastAsia"/>
          <w:sz w:val="24"/>
          <w:szCs w:val="24"/>
        </w:rPr>
        <w:t>（1）承销证券；</w:t>
      </w:r>
    </w:p>
    <w:p w14:paraId="5D509488" w14:textId="77777777" w:rsidR="00791BDD" w:rsidRDefault="00B75151">
      <w:pPr>
        <w:snapToGrid w:val="0"/>
        <w:spacing w:line="360" w:lineRule="auto"/>
        <w:ind w:firstLineChars="200" w:firstLine="480"/>
        <w:rPr>
          <w:rFonts w:ascii="宋体" w:hAnsi="宋体"/>
          <w:sz w:val="24"/>
          <w:szCs w:val="24"/>
        </w:rPr>
      </w:pPr>
      <w:r>
        <w:rPr>
          <w:rFonts w:ascii="宋体" w:hAnsi="宋体" w:hint="eastAsia"/>
          <w:sz w:val="24"/>
          <w:szCs w:val="24"/>
        </w:rPr>
        <w:t>（2）违反规定向他人贷款或者提供担保；</w:t>
      </w:r>
    </w:p>
    <w:p w14:paraId="775F0F34" w14:textId="77777777" w:rsidR="00791BDD" w:rsidRDefault="00B75151">
      <w:pPr>
        <w:snapToGrid w:val="0"/>
        <w:spacing w:line="360" w:lineRule="auto"/>
        <w:ind w:firstLineChars="200" w:firstLine="480"/>
        <w:rPr>
          <w:rFonts w:ascii="宋体" w:hAnsi="宋体"/>
          <w:sz w:val="24"/>
          <w:szCs w:val="24"/>
        </w:rPr>
      </w:pPr>
      <w:r>
        <w:rPr>
          <w:rFonts w:ascii="宋体" w:hAnsi="宋体" w:hint="eastAsia"/>
          <w:sz w:val="24"/>
          <w:szCs w:val="24"/>
        </w:rPr>
        <w:t>（3）从事承担无限责任的投资；</w:t>
      </w:r>
    </w:p>
    <w:p w14:paraId="14D72A04" w14:textId="77777777" w:rsidR="00791BDD" w:rsidRDefault="00B75151">
      <w:pPr>
        <w:snapToGrid w:val="0"/>
        <w:spacing w:line="360" w:lineRule="auto"/>
        <w:ind w:firstLineChars="200" w:firstLine="480"/>
        <w:rPr>
          <w:rFonts w:ascii="宋体" w:hAnsi="宋体"/>
          <w:sz w:val="24"/>
          <w:szCs w:val="24"/>
        </w:rPr>
      </w:pPr>
      <w:r>
        <w:rPr>
          <w:rFonts w:ascii="宋体" w:hAnsi="宋体" w:hint="eastAsia"/>
          <w:sz w:val="24"/>
          <w:szCs w:val="24"/>
        </w:rPr>
        <w:t>（4）买卖其他基金份额，但是中国证监会另有规定的除外；</w:t>
      </w:r>
    </w:p>
    <w:p w14:paraId="1D739321" w14:textId="77777777" w:rsidR="00791BDD" w:rsidRDefault="00B75151">
      <w:pPr>
        <w:snapToGrid w:val="0"/>
        <w:spacing w:line="360" w:lineRule="auto"/>
        <w:ind w:firstLineChars="200" w:firstLine="480"/>
        <w:rPr>
          <w:rFonts w:ascii="宋体" w:hAnsi="宋体"/>
          <w:sz w:val="24"/>
          <w:szCs w:val="24"/>
        </w:rPr>
      </w:pPr>
      <w:r>
        <w:rPr>
          <w:rFonts w:ascii="宋体" w:hAnsi="宋体" w:hint="eastAsia"/>
          <w:sz w:val="24"/>
          <w:szCs w:val="24"/>
        </w:rPr>
        <w:t>（5）向其基金管理人、基金托管人出资；</w:t>
      </w:r>
    </w:p>
    <w:p w14:paraId="75E00AE3" w14:textId="77777777" w:rsidR="00791BDD" w:rsidRDefault="00B75151">
      <w:pPr>
        <w:snapToGrid w:val="0"/>
        <w:spacing w:line="360" w:lineRule="auto"/>
        <w:ind w:firstLineChars="200" w:firstLine="480"/>
        <w:rPr>
          <w:rFonts w:ascii="宋体" w:hAnsi="宋体"/>
          <w:sz w:val="24"/>
          <w:szCs w:val="24"/>
        </w:rPr>
      </w:pPr>
      <w:r>
        <w:rPr>
          <w:rFonts w:ascii="宋体" w:hAnsi="宋体" w:hint="eastAsia"/>
          <w:sz w:val="24"/>
          <w:szCs w:val="24"/>
        </w:rPr>
        <w:t>（6）从事内幕交易、操纵证券交易价格及其他不正当的证券交易活动；</w:t>
      </w:r>
    </w:p>
    <w:p w14:paraId="2F0EA59F" w14:textId="77777777" w:rsidR="00791BDD" w:rsidRDefault="00B75151">
      <w:pPr>
        <w:snapToGrid w:val="0"/>
        <w:spacing w:line="360" w:lineRule="auto"/>
        <w:ind w:firstLineChars="200" w:firstLine="480"/>
        <w:rPr>
          <w:rFonts w:ascii="宋体" w:hAnsi="宋体"/>
          <w:sz w:val="24"/>
          <w:szCs w:val="24"/>
        </w:rPr>
      </w:pPr>
      <w:r>
        <w:rPr>
          <w:rFonts w:ascii="宋体" w:hAnsi="宋体" w:hint="eastAsia"/>
          <w:sz w:val="24"/>
          <w:szCs w:val="24"/>
        </w:rPr>
        <w:t>（7）法律、行政法规和中国证监会规定禁止的其他活动。</w:t>
      </w:r>
    </w:p>
    <w:p w14:paraId="5FF481AD" w14:textId="77777777" w:rsidR="00791BDD" w:rsidRDefault="00B75151">
      <w:pPr>
        <w:snapToGrid w:val="0"/>
        <w:spacing w:line="360" w:lineRule="auto"/>
        <w:ind w:firstLineChars="200" w:firstLine="480"/>
        <w:rPr>
          <w:rFonts w:ascii="宋体" w:hAnsi="宋体"/>
          <w:sz w:val="24"/>
          <w:szCs w:val="24"/>
        </w:rPr>
      </w:pPr>
      <w:r>
        <w:rPr>
          <w:rFonts w:ascii="宋体" w:hAnsi="宋体" w:hint="eastAsia"/>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21FBD8A" w14:textId="77777777" w:rsidR="00791BDD" w:rsidRDefault="00B75151">
      <w:pPr>
        <w:snapToGrid w:val="0"/>
        <w:spacing w:line="360" w:lineRule="auto"/>
        <w:ind w:firstLineChars="200" w:firstLine="480"/>
        <w:rPr>
          <w:rFonts w:ascii="宋体" w:hAnsi="宋体"/>
          <w:sz w:val="24"/>
          <w:szCs w:val="24"/>
        </w:rPr>
      </w:pPr>
      <w:r>
        <w:rPr>
          <w:rFonts w:ascii="宋体" w:hAnsi="宋体" w:hint="eastAsia"/>
          <w:sz w:val="24"/>
          <w:szCs w:val="24"/>
        </w:rPr>
        <w:t>如法律、行政法规或监管部门取消或变更上述规定，如适用于本基金，基金管理人在履行适当程序后，本基金可不受上述规定的限制或以变更后的规定为准。</w:t>
      </w:r>
    </w:p>
    <w:p w14:paraId="56B71BFE" w14:textId="77777777" w:rsidR="00791BDD" w:rsidRDefault="00B75151">
      <w:pPr>
        <w:adjustRightInd w:val="0"/>
        <w:snapToGrid w:val="0"/>
        <w:spacing w:line="360" w:lineRule="auto"/>
        <w:ind w:firstLineChars="200" w:firstLine="482"/>
        <w:outlineLvl w:val="1"/>
        <w:rPr>
          <w:rFonts w:hAnsi="宋体"/>
          <w:kern w:val="0"/>
          <w:sz w:val="24"/>
        </w:rPr>
      </w:pPr>
      <w:r>
        <w:rPr>
          <w:rFonts w:hint="eastAsia"/>
          <w:b/>
          <w:bCs/>
          <w:sz w:val="24"/>
        </w:rPr>
        <w:t>（五）业绩比较基准</w:t>
      </w:r>
    </w:p>
    <w:p w14:paraId="49B9B657" w14:textId="77777777" w:rsidR="00791BDD" w:rsidRDefault="00B75151">
      <w:pPr>
        <w:adjustRightInd w:val="0"/>
        <w:snapToGrid w:val="0"/>
        <w:spacing w:line="360" w:lineRule="auto"/>
        <w:ind w:firstLineChars="200" w:firstLine="480"/>
        <w:outlineLvl w:val="1"/>
        <w:rPr>
          <w:bCs/>
          <w:sz w:val="24"/>
        </w:rPr>
      </w:pPr>
      <w:r>
        <w:rPr>
          <w:rFonts w:hint="eastAsia"/>
          <w:bCs/>
          <w:sz w:val="24"/>
        </w:rPr>
        <w:t>本基金业绩比较基准：中证</w:t>
      </w:r>
      <w:r>
        <w:rPr>
          <w:rFonts w:hint="eastAsia"/>
          <w:bCs/>
          <w:sz w:val="24"/>
        </w:rPr>
        <w:t>500</w:t>
      </w:r>
      <w:r>
        <w:rPr>
          <w:rFonts w:hint="eastAsia"/>
          <w:bCs/>
          <w:sz w:val="24"/>
        </w:rPr>
        <w:t>指数收益率×</w:t>
      </w:r>
      <w:r>
        <w:rPr>
          <w:rFonts w:hint="eastAsia"/>
          <w:bCs/>
          <w:sz w:val="24"/>
        </w:rPr>
        <w:t>90%+</w:t>
      </w:r>
      <w:r>
        <w:rPr>
          <w:rFonts w:hint="eastAsia"/>
          <w:bCs/>
          <w:sz w:val="24"/>
        </w:rPr>
        <w:t>中证港股通综合指数（人民币）收益率×</w:t>
      </w:r>
      <w:r>
        <w:rPr>
          <w:rFonts w:hint="eastAsia"/>
          <w:bCs/>
          <w:sz w:val="24"/>
        </w:rPr>
        <w:t>5%+</w:t>
      </w:r>
      <w:r>
        <w:rPr>
          <w:rFonts w:hint="eastAsia"/>
          <w:bCs/>
          <w:sz w:val="24"/>
        </w:rPr>
        <w:t>中债</w:t>
      </w:r>
      <w:r>
        <w:rPr>
          <w:rFonts w:hint="eastAsia"/>
          <w:bCs/>
          <w:sz w:val="24"/>
        </w:rPr>
        <w:t>-</w:t>
      </w:r>
      <w:r>
        <w:rPr>
          <w:rFonts w:hint="eastAsia"/>
          <w:bCs/>
          <w:sz w:val="24"/>
        </w:rPr>
        <w:t>综合全价（总值）指数收益率×</w:t>
      </w:r>
      <w:r>
        <w:rPr>
          <w:rFonts w:hint="eastAsia"/>
          <w:bCs/>
          <w:sz w:val="24"/>
        </w:rPr>
        <w:t>5%</w:t>
      </w:r>
    </w:p>
    <w:p w14:paraId="749503FD" w14:textId="77777777" w:rsidR="00791BDD" w:rsidRDefault="00B75151">
      <w:pPr>
        <w:adjustRightInd w:val="0"/>
        <w:snapToGrid w:val="0"/>
        <w:spacing w:line="360" w:lineRule="auto"/>
        <w:ind w:firstLineChars="200" w:firstLine="480"/>
        <w:outlineLvl w:val="1"/>
        <w:rPr>
          <w:bCs/>
          <w:sz w:val="24"/>
        </w:rPr>
      </w:pPr>
      <w:r>
        <w:rPr>
          <w:rFonts w:hint="eastAsia"/>
          <w:bCs/>
          <w:sz w:val="24"/>
        </w:rPr>
        <w:t>1</w:t>
      </w:r>
      <w:r>
        <w:rPr>
          <w:rFonts w:hint="eastAsia"/>
          <w:bCs/>
          <w:sz w:val="24"/>
        </w:rPr>
        <w:t>、业绩比较基准设定的原因</w:t>
      </w:r>
    </w:p>
    <w:p w14:paraId="13C6FFB1" w14:textId="77777777" w:rsidR="00791BDD" w:rsidRDefault="00B75151">
      <w:pPr>
        <w:adjustRightInd w:val="0"/>
        <w:snapToGrid w:val="0"/>
        <w:spacing w:line="360" w:lineRule="auto"/>
        <w:ind w:firstLineChars="200" w:firstLine="480"/>
        <w:outlineLvl w:val="1"/>
        <w:rPr>
          <w:bCs/>
          <w:sz w:val="24"/>
        </w:rPr>
      </w:pPr>
      <w:r>
        <w:rPr>
          <w:rFonts w:hint="eastAsia"/>
          <w:bCs/>
          <w:sz w:val="24"/>
        </w:rPr>
        <w:t>（</w:t>
      </w:r>
      <w:r>
        <w:rPr>
          <w:rFonts w:hint="eastAsia"/>
          <w:bCs/>
          <w:sz w:val="24"/>
        </w:rPr>
        <w:t>1</w:t>
      </w:r>
      <w:r>
        <w:rPr>
          <w:rFonts w:hint="eastAsia"/>
          <w:bCs/>
          <w:sz w:val="24"/>
        </w:rPr>
        <w:t>）基于基金投资范围以及预期投资的主要资产类别，本基金主要投资于</w:t>
      </w:r>
      <w:r>
        <w:rPr>
          <w:rFonts w:hint="eastAsia"/>
          <w:bCs/>
          <w:sz w:val="24"/>
        </w:rPr>
        <w:t>A</w:t>
      </w:r>
      <w:r>
        <w:rPr>
          <w:rFonts w:hint="eastAsia"/>
          <w:bCs/>
          <w:sz w:val="24"/>
        </w:rPr>
        <w:t>股股票、港股通股票、债券等资产，相应选取与之匹配的</w:t>
      </w:r>
      <w:r>
        <w:rPr>
          <w:rFonts w:hint="eastAsia"/>
          <w:bCs/>
          <w:sz w:val="24"/>
        </w:rPr>
        <w:t>A</w:t>
      </w:r>
      <w:r>
        <w:rPr>
          <w:rFonts w:hint="eastAsia"/>
          <w:bCs/>
          <w:sz w:val="24"/>
        </w:rPr>
        <w:t>股指数、港股通指数与债券指数作为基准要素；同时基于基金股票投资（含存托凭证）占基金资产的比例不低于</w:t>
      </w:r>
      <w:r>
        <w:rPr>
          <w:rFonts w:hint="eastAsia"/>
          <w:bCs/>
          <w:sz w:val="24"/>
        </w:rPr>
        <w:t>80%</w:t>
      </w:r>
      <w:r>
        <w:rPr>
          <w:rFonts w:hint="eastAsia"/>
          <w:bCs/>
          <w:sz w:val="24"/>
        </w:rPr>
        <w:t>，其中投资于港股通标的股票的比例占股票资产的</w:t>
      </w:r>
      <w:r>
        <w:rPr>
          <w:rFonts w:hint="eastAsia"/>
          <w:bCs/>
          <w:sz w:val="24"/>
        </w:rPr>
        <w:t>0%-50%</w:t>
      </w:r>
      <w:r>
        <w:rPr>
          <w:rFonts w:hint="eastAsia"/>
          <w:bCs/>
          <w:sz w:val="24"/>
        </w:rPr>
        <w:t>等投资比例限制，以及预期的资产配置比例中枢，本基金将股票资产与债券资产所对应的基准要素权重分别设置为</w:t>
      </w:r>
      <w:r>
        <w:rPr>
          <w:rFonts w:hint="eastAsia"/>
          <w:bCs/>
          <w:sz w:val="24"/>
        </w:rPr>
        <w:t>95%</w:t>
      </w:r>
      <w:r>
        <w:rPr>
          <w:rFonts w:hint="eastAsia"/>
          <w:bCs/>
          <w:sz w:val="24"/>
        </w:rPr>
        <w:t>与</w:t>
      </w:r>
      <w:r>
        <w:rPr>
          <w:rFonts w:hint="eastAsia"/>
          <w:bCs/>
          <w:sz w:val="24"/>
        </w:rPr>
        <w:t>5%</w:t>
      </w:r>
      <w:r>
        <w:rPr>
          <w:rFonts w:hint="eastAsia"/>
          <w:bCs/>
          <w:sz w:val="24"/>
        </w:rPr>
        <w:t>，其中将股票资产中的</w:t>
      </w:r>
      <w:r>
        <w:rPr>
          <w:rFonts w:hint="eastAsia"/>
          <w:bCs/>
          <w:sz w:val="24"/>
        </w:rPr>
        <w:t>A</w:t>
      </w:r>
      <w:r>
        <w:rPr>
          <w:rFonts w:hint="eastAsia"/>
          <w:bCs/>
          <w:sz w:val="24"/>
        </w:rPr>
        <w:t>股股票与港股通股票所对应的基准要素权重分别设置为</w:t>
      </w:r>
      <w:r>
        <w:rPr>
          <w:rFonts w:hint="eastAsia"/>
          <w:bCs/>
          <w:sz w:val="24"/>
        </w:rPr>
        <w:t>90%</w:t>
      </w:r>
      <w:r>
        <w:rPr>
          <w:rFonts w:hint="eastAsia"/>
          <w:bCs/>
          <w:sz w:val="24"/>
        </w:rPr>
        <w:t>与</w:t>
      </w:r>
      <w:r>
        <w:rPr>
          <w:rFonts w:hint="eastAsia"/>
          <w:bCs/>
          <w:sz w:val="24"/>
        </w:rPr>
        <w:t>5%</w:t>
      </w:r>
      <w:r>
        <w:rPr>
          <w:rFonts w:hint="eastAsia"/>
          <w:bCs/>
          <w:sz w:val="24"/>
        </w:rPr>
        <w:t>。</w:t>
      </w:r>
    </w:p>
    <w:p w14:paraId="544BE9AA" w14:textId="77777777" w:rsidR="00791BDD" w:rsidRDefault="00B75151">
      <w:pPr>
        <w:adjustRightInd w:val="0"/>
        <w:snapToGrid w:val="0"/>
        <w:spacing w:line="360" w:lineRule="auto"/>
        <w:ind w:firstLineChars="200" w:firstLine="480"/>
        <w:outlineLvl w:val="1"/>
        <w:rPr>
          <w:bCs/>
          <w:sz w:val="24"/>
        </w:rPr>
      </w:pPr>
      <w:r>
        <w:rPr>
          <w:rFonts w:hint="eastAsia"/>
          <w:bCs/>
          <w:sz w:val="24"/>
        </w:rPr>
        <w:t>（</w:t>
      </w:r>
      <w:r>
        <w:rPr>
          <w:rFonts w:hint="eastAsia"/>
          <w:bCs/>
          <w:sz w:val="24"/>
        </w:rPr>
        <w:t>2</w:t>
      </w:r>
      <w:r>
        <w:rPr>
          <w:rFonts w:hint="eastAsia"/>
          <w:bCs/>
          <w:sz w:val="24"/>
        </w:rPr>
        <w:t>）基于基金投资目标、投资范围和投资策略，本基金的股票资产采用全市场选股策略，通过定性分析和定量分析相结合的方法对公司基本面进行持续跟踪分析，挖掘</w:t>
      </w:r>
      <w:r>
        <w:rPr>
          <w:rFonts w:hint="eastAsia"/>
          <w:bCs/>
          <w:sz w:val="24"/>
        </w:rPr>
        <w:t>A</w:t>
      </w:r>
      <w:r>
        <w:rPr>
          <w:rFonts w:hint="eastAsia"/>
          <w:bCs/>
          <w:sz w:val="24"/>
        </w:rPr>
        <w:t>股与港股通范围内的优质公司，从而力争在控制风险的基础上追求超越业绩比较基准的投资回报。综合考虑基准指数与产品定位、投资风格与主题库的匹配度，同时兼顾考虑基准指数的表征性、认可度，以及指数市值覆盖、行业与个股分布等，本基金选取中证</w:t>
      </w:r>
      <w:r>
        <w:rPr>
          <w:rFonts w:hint="eastAsia"/>
          <w:bCs/>
          <w:sz w:val="24"/>
        </w:rPr>
        <w:t>500</w:t>
      </w:r>
      <w:r>
        <w:rPr>
          <w:rFonts w:hint="eastAsia"/>
          <w:bCs/>
          <w:sz w:val="24"/>
        </w:rPr>
        <w:t>指数和中证港股通综合指数（人民币）分别作为</w:t>
      </w:r>
      <w:r>
        <w:rPr>
          <w:rFonts w:hint="eastAsia"/>
          <w:bCs/>
          <w:sz w:val="24"/>
        </w:rPr>
        <w:t>A</w:t>
      </w:r>
      <w:r>
        <w:rPr>
          <w:rFonts w:hint="eastAsia"/>
          <w:bCs/>
          <w:sz w:val="24"/>
        </w:rPr>
        <w:t>股和港股通股票部分的基准要素，具体情况如下：</w:t>
      </w:r>
    </w:p>
    <w:p w14:paraId="7F4FF9B8" w14:textId="77777777" w:rsidR="00791BDD" w:rsidRDefault="00B75151">
      <w:pPr>
        <w:adjustRightInd w:val="0"/>
        <w:snapToGrid w:val="0"/>
        <w:spacing w:line="360" w:lineRule="auto"/>
        <w:ind w:firstLineChars="200" w:firstLine="480"/>
        <w:outlineLvl w:val="1"/>
        <w:rPr>
          <w:bCs/>
          <w:sz w:val="24"/>
        </w:rPr>
      </w:pPr>
      <w:r>
        <w:rPr>
          <w:rFonts w:hint="eastAsia"/>
          <w:bCs/>
          <w:sz w:val="24"/>
        </w:rPr>
        <w:t>中证</w:t>
      </w:r>
      <w:r>
        <w:rPr>
          <w:rFonts w:hint="eastAsia"/>
          <w:bCs/>
          <w:sz w:val="24"/>
        </w:rPr>
        <w:t>500</w:t>
      </w:r>
      <w:r>
        <w:rPr>
          <w:rFonts w:hint="eastAsia"/>
          <w:bCs/>
          <w:sz w:val="24"/>
        </w:rPr>
        <w:t>指数由全部</w:t>
      </w:r>
      <w:r>
        <w:rPr>
          <w:rFonts w:hint="eastAsia"/>
          <w:bCs/>
          <w:sz w:val="24"/>
        </w:rPr>
        <w:t>A</w:t>
      </w:r>
      <w:r>
        <w:rPr>
          <w:rFonts w:hint="eastAsia"/>
          <w:bCs/>
          <w:sz w:val="24"/>
        </w:rPr>
        <w:t>股中剔除沪深</w:t>
      </w:r>
      <w:r>
        <w:rPr>
          <w:rFonts w:hint="eastAsia"/>
          <w:bCs/>
          <w:sz w:val="24"/>
        </w:rPr>
        <w:t>300</w:t>
      </w:r>
      <w:r>
        <w:rPr>
          <w:rFonts w:hint="eastAsia"/>
          <w:bCs/>
          <w:sz w:val="24"/>
        </w:rPr>
        <w:t>指数成份股及总市值排名前</w:t>
      </w:r>
      <w:r>
        <w:rPr>
          <w:rFonts w:hint="eastAsia"/>
          <w:bCs/>
          <w:sz w:val="24"/>
        </w:rPr>
        <w:t>300</w:t>
      </w:r>
      <w:r>
        <w:rPr>
          <w:rFonts w:hint="eastAsia"/>
          <w:bCs/>
          <w:sz w:val="24"/>
        </w:rPr>
        <w:t>名的股票后，总市值排名靠前的</w:t>
      </w:r>
      <w:r>
        <w:rPr>
          <w:rFonts w:hint="eastAsia"/>
          <w:bCs/>
          <w:sz w:val="24"/>
        </w:rPr>
        <w:t>500</w:t>
      </w:r>
      <w:r>
        <w:rPr>
          <w:rFonts w:hint="eastAsia"/>
          <w:bCs/>
          <w:sz w:val="24"/>
        </w:rPr>
        <w:t>只股票组成，综合反映中国</w:t>
      </w:r>
      <w:r>
        <w:rPr>
          <w:rFonts w:hint="eastAsia"/>
          <w:bCs/>
          <w:sz w:val="24"/>
        </w:rPr>
        <w:t>A</w:t>
      </w:r>
      <w:r>
        <w:rPr>
          <w:rFonts w:hint="eastAsia"/>
          <w:bCs/>
          <w:sz w:val="24"/>
        </w:rPr>
        <w:t>股市场中一批中小市值公司的整体表现，适合作为本基金</w:t>
      </w:r>
      <w:r>
        <w:rPr>
          <w:rFonts w:hint="eastAsia"/>
          <w:bCs/>
          <w:sz w:val="24"/>
        </w:rPr>
        <w:t>A</w:t>
      </w:r>
      <w:r>
        <w:rPr>
          <w:rFonts w:hint="eastAsia"/>
          <w:bCs/>
          <w:sz w:val="24"/>
        </w:rPr>
        <w:t>股股票部分的业绩比较基准要素。</w:t>
      </w:r>
    </w:p>
    <w:p w14:paraId="3A2BF551" w14:textId="77777777" w:rsidR="00791BDD" w:rsidRDefault="00B75151">
      <w:pPr>
        <w:adjustRightInd w:val="0"/>
        <w:snapToGrid w:val="0"/>
        <w:spacing w:line="360" w:lineRule="auto"/>
        <w:ind w:firstLineChars="200" w:firstLine="480"/>
        <w:outlineLvl w:val="1"/>
        <w:rPr>
          <w:bCs/>
          <w:sz w:val="24"/>
        </w:rPr>
      </w:pPr>
      <w:r>
        <w:rPr>
          <w:rFonts w:hint="eastAsia"/>
          <w:bCs/>
          <w:sz w:val="24"/>
        </w:rPr>
        <w:t>中证港股通综合指数（人民币）选取符合港股通资格的上市公司证券作为样本，反映港股通范围内上市公司的整体表现，适合作为本基金港股通股票部分的业绩比较基准要素。</w:t>
      </w:r>
    </w:p>
    <w:p w14:paraId="436EE670" w14:textId="77777777" w:rsidR="00791BDD" w:rsidRDefault="00B75151">
      <w:pPr>
        <w:adjustRightInd w:val="0"/>
        <w:snapToGrid w:val="0"/>
        <w:spacing w:line="360" w:lineRule="auto"/>
        <w:ind w:firstLineChars="200" w:firstLine="480"/>
        <w:outlineLvl w:val="1"/>
        <w:rPr>
          <w:bCs/>
          <w:sz w:val="24"/>
        </w:rPr>
      </w:pPr>
      <w:r>
        <w:rPr>
          <w:rFonts w:hint="eastAsia"/>
          <w:bCs/>
          <w:sz w:val="24"/>
        </w:rPr>
        <w:t>（</w:t>
      </w:r>
      <w:r>
        <w:rPr>
          <w:rFonts w:hint="eastAsia"/>
          <w:bCs/>
          <w:sz w:val="24"/>
        </w:rPr>
        <w:t>3</w:t>
      </w:r>
      <w:r>
        <w:rPr>
          <w:rFonts w:hint="eastAsia"/>
          <w:bCs/>
          <w:sz w:val="24"/>
        </w:rPr>
        <w:t>）基于基金投资目标、投资范围和投资策略，本基金的债券资产采用全市场策略，主要通过类属配置与券种选择进行投资管理。综合考虑基准指数与产品定位和投资风格的匹配度，同时兼顾考虑基准指数的表征性、认可度，以及基准指数券种、久期、信用等级分布特征等，选取中债</w:t>
      </w:r>
      <w:r>
        <w:rPr>
          <w:rFonts w:hint="eastAsia"/>
          <w:bCs/>
          <w:sz w:val="24"/>
        </w:rPr>
        <w:t>-</w:t>
      </w:r>
      <w:r>
        <w:rPr>
          <w:rFonts w:hint="eastAsia"/>
          <w:bCs/>
          <w:sz w:val="24"/>
        </w:rPr>
        <w:t>综合全价（总值）指数作为债券部分的业绩比较基准要素。</w:t>
      </w:r>
    </w:p>
    <w:p w14:paraId="108B3181" w14:textId="77777777" w:rsidR="00791BDD" w:rsidRDefault="00B75151">
      <w:pPr>
        <w:adjustRightInd w:val="0"/>
        <w:snapToGrid w:val="0"/>
        <w:spacing w:line="360" w:lineRule="auto"/>
        <w:ind w:firstLineChars="200" w:firstLine="480"/>
        <w:outlineLvl w:val="1"/>
        <w:rPr>
          <w:bCs/>
          <w:sz w:val="24"/>
        </w:rPr>
      </w:pPr>
      <w:r>
        <w:rPr>
          <w:rFonts w:hint="eastAsia"/>
          <w:bCs/>
          <w:sz w:val="24"/>
        </w:rPr>
        <w:t>中债</w:t>
      </w:r>
      <w:r>
        <w:rPr>
          <w:rFonts w:hint="eastAsia"/>
          <w:bCs/>
          <w:sz w:val="24"/>
        </w:rPr>
        <w:t>-</w:t>
      </w:r>
      <w:r>
        <w:rPr>
          <w:rFonts w:hint="eastAsia"/>
          <w:bCs/>
          <w:sz w:val="24"/>
        </w:rPr>
        <w:t>综合全价（总值）指数其样本债券涵盖的范围全面，具有广泛的市场代表性，涵盖主要交易市场（银行间市场、交易所市场等）、不同发行主体（政府、企业等）和期限（长期、中期、短期等），反映境内人民币债券市场整体表现，适合作为本基金债券部分的业绩比较基准要素。</w:t>
      </w:r>
    </w:p>
    <w:p w14:paraId="46F6DB09" w14:textId="77777777" w:rsidR="00791BDD" w:rsidRDefault="00B75151">
      <w:pPr>
        <w:adjustRightInd w:val="0"/>
        <w:snapToGrid w:val="0"/>
        <w:spacing w:line="360" w:lineRule="auto"/>
        <w:ind w:firstLineChars="200" w:firstLine="480"/>
        <w:outlineLvl w:val="1"/>
        <w:rPr>
          <w:bCs/>
          <w:sz w:val="24"/>
        </w:rPr>
      </w:pPr>
      <w:r>
        <w:rPr>
          <w:rFonts w:hint="eastAsia"/>
          <w:bCs/>
          <w:sz w:val="24"/>
        </w:rPr>
        <w:t>综上，本基金选取的业绩比较基准与基金投资目标、投资范围、投资策略、投资比例限制相匹配。</w:t>
      </w:r>
    </w:p>
    <w:p w14:paraId="073DB274" w14:textId="77777777" w:rsidR="00791BDD" w:rsidRDefault="00B75151">
      <w:pPr>
        <w:adjustRightInd w:val="0"/>
        <w:snapToGrid w:val="0"/>
        <w:spacing w:line="360" w:lineRule="auto"/>
        <w:ind w:firstLineChars="200" w:firstLine="480"/>
        <w:outlineLvl w:val="1"/>
        <w:rPr>
          <w:bCs/>
          <w:sz w:val="24"/>
        </w:rPr>
      </w:pPr>
      <w:r>
        <w:rPr>
          <w:rFonts w:hint="eastAsia"/>
          <w:bCs/>
          <w:sz w:val="24"/>
        </w:rPr>
        <w:t>2</w:t>
      </w:r>
      <w:r>
        <w:rPr>
          <w:rFonts w:hint="eastAsia"/>
          <w:bCs/>
          <w:sz w:val="24"/>
        </w:rPr>
        <w:t>、业绩比较基准要素的基本信息</w:t>
      </w:r>
    </w:p>
    <w:p w14:paraId="64F3B8DF" w14:textId="77777777" w:rsidR="00791BDD" w:rsidRDefault="00B75151">
      <w:pPr>
        <w:adjustRightInd w:val="0"/>
        <w:snapToGrid w:val="0"/>
        <w:spacing w:line="360" w:lineRule="auto"/>
        <w:ind w:firstLineChars="200" w:firstLine="480"/>
        <w:outlineLvl w:val="1"/>
        <w:rPr>
          <w:bCs/>
          <w:sz w:val="24"/>
        </w:rPr>
      </w:pPr>
      <w:r>
        <w:rPr>
          <w:rFonts w:hint="eastAsia"/>
          <w:bCs/>
          <w:sz w:val="24"/>
        </w:rPr>
        <w:t>中证</w:t>
      </w:r>
      <w:r>
        <w:rPr>
          <w:rFonts w:hint="eastAsia"/>
          <w:bCs/>
          <w:sz w:val="24"/>
        </w:rPr>
        <w:t>500</w:t>
      </w:r>
      <w:r>
        <w:rPr>
          <w:rFonts w:hint="eastAsia"/>
          <w:bCs/>
          <w:sz w:val="24"/>
        </w:rPr>
        <w:t>指数由中证指数有限公司编制发布，指数代码为</w:t>
      </w:r>
      <w:r>
        <w:rPr>
          <w:rFonts w:hint="eastAsia"/>
          <w:bCs/>
          <w:sz w:val="24"/>
        </w:rPr>
        <w:t>000905</w:t>
      </w:r>
      <w:r>
        <w:rPr>
          <w:rFonts w:hint="eastAsia"/>
          <w:bCs/>
          <w:sz w:val="24"/>
        </w:rPr>
        <w:t>，指数具体信息详见中证指数有限公司网站，网址：</w:t>
      </w:r>
      <w:r>
        <w:rPr>
          <w:rFonts w:hint="eastAsia"/>
          <w:bCs/>
          <w:sz w:val="24"/>
        </w:rPr>
        <w:t>www.csindex.com.cn</w:t>
      </w:r>
      <w:r>
        <w:rPr>
          <w:rFonts w:hint="eastAsia"/>
          <w:bCs/>
          <w:sz w:val="24"/>
        </w:rPr>
        <w:t>。</w:t>
      </w:r>
    </w:p>
    <w:p w14:paraId="75082DB5" w14:textId="77777777" w:rsidR="00791BDD" w:rsidRDefault="00B75151">
      <w:pPr>
        <w:adjustRightInd w:val="0"/>
        <w:snapToGrid w:val="0"/>
        <w:spacing w:line="360" w:lineRule="auto"/>
        <w:ind w:firstLineChars="200" w:firstLine="480"/>
        <w:outlineLvl w:val="1"/>
        <w:rPr>
          <w:bCs/>
          <w:sz w:val="24"/>
        </w:rPr>
      </w:pPr>
      <w:r>
        <w:rPr>
          <w:rFonts w:hint="eastAsia"/>
          <w:bCs/>
          <w:sz w:val="24"/>
        </w:rPr>
        <w:t>中证港股通综合指数（人民币）由中证指数有限公司编制发布，指数代码为</w:t>
      </w:r>
      <w:r>
        <w:rPr>
          <w:rFonts w:hint="eastAsia"/>
          <w:bCs/>
          <w:sz w:val="24"/>
        </w:rPr>
        <w:t>930933</w:t>
      </w:r>
      <w:r>
        <w:rPr>
          <w:rFonts w:hint="eastAsia"/>
          <w:bCs/>
          <w:sz w:val="24"/>
        </w:rPr>
        <w:t>，指数具体信息详见中证指数有限公司网站，网址：</w:t>
      </w:r>
      <w:r>
        <w:rPr>
          <w:rFonts w:hint="eastAsia"/>
          <w:bCs/>
          <w:sz w:val="24"/>
        </w:rPr>
        <w:t>www.csindex.com.cn</w:t>
      </w:r>
      <w:r>
        <w:rPr>
          <w:rFonts w:hint="eastAsia"/>
          <w:bCs/>
          <w:sz w:val="24"/>
        </w:rPr>
        <w:t>。</w:t>
      </w:r>
    </w:p>
    <w:p w14:paraId="55CE6BC5" w14:textId="77777777" w:rsidR="00791BDD" w:rsidRDefault="00B75151">
      <w:pPr>
        <w:adjustRightInd w:val="0"/>
        <w:snapToGrid w:val="0"/>
        <w:spacing w:line="360" w:lineRule="auto"/>
        <w:ind w:firstLineChars="200" w:firstLine="480"/>
        <w:outlineLvl w:val="1"/>
        <w:rPr>
          <w:bCs/>
          <w:sz w:val="24"/>
        </w:rPr>
      </w:pPr>
      <w:r>
        <w:rPr>
          <w:rFonts w:hint="eastAsia"/>
          <w:bCs/>
          <w:sz w:val="24"/>
        </w:rPr>
        <w:t>中债</w:t>
      </w:r>
      <w:r>
        <w:rPr>
          <w:rFonts w:hint="eastAsia"/>
          <w:bCs/>
          <w:sz w:val="24"/>
        </w:rPr>
        <w:t>-</w:t>
      </w:r>
      <w:r>
        <w:rPr>
          <w:rFonts w:hint="eastAsia"/>
          <w:bCs/>
          <w:sz w:val="24"/>
        </w:rPr>
        <w:t>综合全价（总值）指数由中债金融估值中心有限公司编制发布，指数代码为</w:t>
      </w:r>
      <w:r>
        <w:rPr>
          <w:rFonts w:hint="eastAsia"/>
          <w:bCs/>
          <w:sz w:val="24"/>
        </w:rPr>
        <w:t>CBA00203</w:t>
      </w:r>
      <w:r>
        <w:rPr>
          <w:rFonts w:hint="eastAsia"/>
          <w:bCs/>
          <w:sz w:val="24"/>
        </w:rPr>
        <w:t>，指数具体信息详见中国债券信息网，网址：</w:t>
      </w:r>
      <w:r>
        <w:rPr>
          <w:rFonts w:hint="eastAsia"/>
          <w:bCs/>
          <w:sz w:val="24"/>
        </w:rPr>
        <w:t>www.chinabond.com.cn</w:t>
      </w:r>
      <w:r>
        <w:rPr>
          <w:rFonts w:hint="eastAsia"/>
          <w:bCs/>
          <w:sz w:val="24"/>
        </w:rPr>
        <w:t>。</w:t>
      </w:r>
    </w:p>
    <w:p w14:paraId="6B093782" w14:textId="77777777" w:rsidR="00791BDD" w:rsidRDefault="00B75151">
      <w:pPr>
        <w:adjustRightInd w:val="0"/>
        <w:snapToGrid w:val="0"/>
        <w:spacing w:line="360" w:lineRule="auto"/>
        <w:ind w:firstLineChars="200" w:firstLine="480"/>
        <w:outlineLvl w:val="1"/>
        <w:rPr>
          <w:bCs/>
          <w:sz w:val="24"/>
        </w:rPr>
      </w:pPr>
      <w:r>
        <w:rPr>
          <w:rFonts w:hint="eastAsia"/>
          <w:bCs/>
          <w:sz w:val="24"/>
        </w:rPr>
        <w:t>3</w:t>
      </w:r>
      <w:r>
        <w:rPr>
          <w:rFonts w:hint="eastAsia"/>
          <w:bCs/>
          <w:sz w:val="24"/>
        </w:rPr>
        <w:t>、业绩比较基准的计算方法</w:t>
      </w:r>
    </w:p>
    <w:p w14:paraId="5BA3795A" w14:textId="77777777" w:rsidR="00791BDD" w:rsidRDefault="00B75151">
      <w:pPr>
        <w:adjustRightInd w:val="0"/>
        <w:snapToGrid w:val="0"/>
        <w:spacing w:line="360" w:lineRule="auto"/>
        <w:ind w:firstLineChars="200" w:firstLine="480"/>
        <w:outlineLvl w:val="1"/>
        <w:rPr>
          <w:bCs/>
          <w:sz w:val="24"/>
        </w:rPr>
      </w:pPr>
      <w:r>
        <w:rPr>
          <w:rFonts w:hint="eastAsia"/>
          <w:bCs/>
          <w:sz w:val="24"/>
        </w:rPr>
        <w:t>本基金业绩比较基准收益率的计算方法以每日收益率为基础，以时间加权为计算原则。本基金先分别计算业绩比较基准中中证</w:t>
      </w:r>
      <w:r>
        <w:rPr>
          <w:rFonts w:hint="eastAsia"/>
          <w:bCs/>
          <w:sz w:val="24"/>
        </w:rPr>
        <w:t>500</w:t>
      </w:r>
      <w:r>
        <w:rPr>
          <w:rFonts w:hint="eastAsia"/>
          <w:bCs/>
          <w:sz w:val="24"/>
        </w:rPr>
        <w:t>指数、中证港股通综合指数（人民币）、中债</w:t>
      </w:r>
      <w:r>
        <w:rPr>
          <w:rFonts w:hint="eastAsia"/>
          <w:bCs/>
          <w:sz w:val="24"/>
        </w:rPr>
        <w:t>-</w:t>
      </w:r>
      <w:r>
        <w:rPr>
          <w:rFonts w:hint="eastAsia"/>
          <w:bCs/>
          <w:sz w:val="24"/>
        </w:rPr>
        <w:t>综合全价（总值）指数的每日收益率，再按照预设权重比例计算当日组合要素基准的日收益率，并连乘每日收益率。</w:t>
      </w:r>
    </w:p>
    <w:p w14:paraId="297346BE" w14:textId="77777777" w:rsidR="00791BDD" w:rsidRDefault="00B75151">
      <w:pPr>
        <w:adjustRightInd w:val="0"/>
        <w:snapToGrid w:val="0"/>
        <w:spacing w:line="360" w:lineRule="auto"/>
        <w:ind w:firstLineChars="200" w:firstLine="480"/>
        <w:outlineLvl w:val="1"/>
        <w:rPr>
          <w:bCs/>
          <w:sz w:val="24"/>
        </w:rPr>
      </w:pPr>
      <w:r>
        <w:rPr>
          <w:rFonts w:hint="eastAsia"/>
          <w:bCs/>
          <w:sz w:val="24"/>
        </w:rPr>
        <w:t>4</w:t>
      </w:r>
      <w:r>
        <w:rPr>
          <w:rFonts w:hint="eastAsia"/>
          <w:bCs/>
          <w:sz w:val="24"/>
        </w:rPr>
        <w:t>、管理投资偏离业绩比较基准的定性或定量方法</w:t>
      </w:r>
    </w:p>
    <w:p w14:paraId="466DA0B8" w14:textId="77777777" w:rsidR="00791BDD" w:rsidRDefault="00B75151">
      <w:pPr>
        <w:adjustRightInd w:val="0"/>
        <w:snapToGrid w:val="0"/>
        <w:spacing w:line="360" w:lineRule="auto"/>
        <w:ind w:firstLineChars="200" w:firstLine="480"/>
        <w:outlineLvl w:val="1"/>
        <w:rPr>
          <w:bCs/>
          <w:sz w:val="24"/>
        </w:rPr>
      </w:pPr>
      <w:r>
        <w:rPr>
          <w:rFonts w:hint="eastAsia"/>
          <w:bCs/>
          <w:sz w:val="24"/>
        </w:rPr>
        <w:t>本基金管理人对基金实际投资与业绩比较基准的偏离情况进行动态跟踪与监测评估，监测指标主要包括超额收益、信息比率、跟踪误差、股票配置偏离度、基准覆盖率等，以更好管理基金实际投资与业绩比较基准的偏离情况，从而力争在控制风险的基础上追求超越业绩比较基准的投资回报。</w:t>
      </w:r>
    </w:p>
    <w:p w14:paraId="76BB876F" w14:textId="77777777" w:rsidR="00791BDD" w:rsidRDefault="00B75151">
      <w:pPr>
        <w:adjustRightInd w:val="0"/>
        <w:snapToGrid w:val="0"/>
        <w:spacing w:line="360" w:lineRule="auto"/>
        <w:ind w:firstLineChars="200" w:firstLine="480"/>
        <w:outlineLvl w:val="1"/>
        <w:rPr>
          <w:bCs/>
          <w:sz w:val="24"/>
        </w:rPr>
      </w:pPr>
      <w:r>
        <w:rPr>
          <w:rFonts w:hint="eastAsia"/>
          <w:bCs/>
          <w:sz w:val="24"/>
        </w:rPr>
        <w:t>本基金为主动管理型基金，其业绩比较基准是表征产品风格、衡量产品业绩、约束投资行为的参考标准，并非本基金的跟踪标的，也不构成对产品收益的承诺。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14:paraId="1347B04D" w14:textId="77777777" w:rsidR="00791BDD" w:rsidRDefault="00B75151">
      <w:pPr>
        <w:adjustRightInd w:val="0"/>
        <w:snapToGrid w:val="0"/>
        <w:spacing w:line="360" w:lineRule="auto"/>
        <w:ind w:firstLineChars="200" w:firstLine="480"/>
        <w:outlineLvl w:val="1"/>
        <w:rPr>
          <w:bCs/>
          <w:sz w:val="24"/>
        </w:rPr>
      </w:pPr>
      <w:r>
        <w:rPr>
          <w:rFonts w:hint="eastAsia"/>
          <w:bCs/>
          <w:sz w:val="24"/>
        </w:rPr>
        <w:t>5</w:t>
      </w:r>
      <w:r>
        <w:rPr>
          <w:rFonts w:hint="eastAsia"/>
          <w:bCs/>
          <w:sz w:val="24"/>
        </w:rPr>
        <w:t>、未来可能变更业绩比较基准的情况和程序</w:t>
      </w:r>
    </w:p>
    <w:p w14:paraId="404340EE" w14:textId="77777777" w:rsidR="00791BDD" w:rsidRDefault="00B75151">
      <w:pPr>
        <w:adjustRightInd w:val="0"/>
        <w:snapToGrid w:val="0"/>
        <w:spacing w:line="360" w:lineRule="auto"/>
        <w:ind w:firstLineChars="200" w:firstLine="480"/>
        <w:outlineLvl w:val="1"/>
        <w:rPr>
          <w:bCs/>
          <w:sz w:val="24"/>
        </w:rPr>
      </w:pPr>
      <w:r>
        <w:rPr>
          <w:rFonts w:hint="eastAsia"/>
          <w:bCs/>
          <w:sz w:val="24"/>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14:paraId="6F1EC4D2" w14:textId="77777777" w:rsidR="00791BDD" w:rsidRDefault="00B75151">
      <w:pPr>
        <w:adjustRightInd w:val="0"/>
        <w:snapToGrid w:val="0"/>
        <w:spacing w:line="360" w:lineRule="auto"/>
        <w:ind w:firstLineChars="200" w:firstLine="480"/>
        <w:outlineLvl w:val="1"/>
        <w:rPr>
          <w:bCs/>
          <w:sz w:val="24"/>
        </w:rPr>
      </w:pPr>
      <w:r>
        <w:rPr>
          <w:rFonts w:hint="eastAsia"/>
          <w:bCs/>
          <w:sz w:val="24"/>
        </w:rPr>
        <w:t>（</w:t>
      </w:r>
      <w:r>
        <w:rPr>
          <w:rFonts w:hint="eastAsia"/>
          <w:bCs/>
          <w:sz w:val="24"/>
        </w:rPr>
        <w:t>1</w:t>
      </w:r>
      <w:r>
        <w:rPr>
          <w:rFonts w:hint="eastAsia"/>
          <w:bCs/>
          <w:sz w:val="24"/>
        </w:rPr>
        <w:t>）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0A71AEBE" w14:textId="77777777" w:rsidR="00791BDD" w:rsidRDefault="00B75151">
      <w:pPr>
        <w:adjustRightInd w:val="0"/>
        <w:snapToGrid w:val="0"/>
        <w:spacing w:line="360" w:lineRule="auto"/>
        <w:ind w:firstLineChars="200" w:firstLine="480"/>
        <w:outlineLvl w:val="1"/>
        <w:rPr>
          <w:bCs/>
          <w:sz w:val="24"/>
        </w:rPr>
      </w:pPr>
      <w:r>
        <w:rPr>
          <w:rFonts w:hint="eastAsia"/>
          <w:bCs/>
          <w:sz w:val="24"/>
        </w:rPr>
        <w:t>（</w:t>
      </w:r>
      <w:r>
        <w:rPr>
          <w:rFonts w:hint="eastAsia"/>
          <w:bCs/>
          <w:sz w:val="24"/>
        </w:rPr>
        <w:t>2</w:t>
      </w:r>
      <w:r>
        <w:rPr>
          <w:rFonts w:hint="eastAsia"/>
          <w:bCs/>
          <w:sz w:val="24"/>
        </w:rPr>
        <w:t>）调整业绩比较基准的要素权重、更换相同或相近特征的要素等，使新业绩比较基准代表性更强，且符合相关法律法规规定的；</w:t>
      </w:r>
    </w:p>
    <w:p w14:paraId="46496BA4" w14:textId="77777777" w:rsidR="00791BDD" w:rsidRDefault="00B75151">
      <w:pPr>
        <w:adjustRightInd w:val="0"/>
        <w:snapToGrid w:val="0"/>
        <w:spacing w:line="360" w:lineRule="auto"/>
        <w:ind w:firstLineChars="200" w:firstLine="480"/>
        <w:outlineLvl w:val="1"/>
        <w:rPr>
          <w:bCs/>
          <w:sz w:val="24"/>
        </w:rPr>
      </w:pPr>
      <w:r>
        <w:rPr>
          <w:rFonts w:hint="eastAsia"/>
          <w:bCs/>
          <w:sz w:val="24"/>
        </w:rPr>
        <w:t>（</w:t>
      </w:r>
      <w:r>
        <w:rPr>
          <w:rFonts w:hint="eastAsia"/>
          <w:bCs/>
          <w:sz w:val="24"/>
        </w:rPr>
        <w:t>3</w:t>
      </w:r>
      <w:r>
        <w:rPr>
          <w:rFonts w:hint="eastAsia"/>
          <w:bCs/>
          <w:sz w:val="24"/>
        </w:rPr>
        <w:t>）中国证监会认可的其他情形。</w:t>
      </w:r>
    </w:p>
    <w:p w14:paraId="09B34A66" w14:textId="77777777" w:rsidR="00791BDD" w:rsidRDefault="00B75151">
      <w:pPr>
        <w:adjustRightInd w:val="0"/>
        <w:snapToGrid w:val="0"/>
        <w:spacing w:line="360" w:lineRule="auto"/>
        <w:ind w:firstLineChars="200" w:firstLine="480"/>
        <w:outlineLvl w:val="1"/>
        <w:rPr>
          <w:bCs/>
          <w:sz w:val="24"/>
        </w:rPr>
      </w:pPr>
      <w:r>
        <w:rPr>
          <w:rFonts w:hint="eastAsia"/>
          <w:bCs/>
          <w:sz w:val="24"/>
        </w:rPr>
        <w:t>业绩比较基准变更涉及以下情形的，基金管理人应当按照规定履行变更注册、召开基金份额持有人大会等程序，法律法规、中国证监会另有规定的除外：</w:t>
      </w:r>
    </w:p>
    <w:p w14:paraId="3E39DA09" w14:textId="77777777" w:rsidR="00791BDD" w:rsidRDefault="00B75151">
      <w:pPr>
        <w:adjustRightInd w:val="0"/>
        <w:snapToGrid w:val="0"/>
        <w:spacing w:line="360" w:lineRule="auto"/>
        <w:ind w:firstLineChars="200" w:firstLine="480"/>
        <w:outlineLvl w:val="1"/>
        <w:rPr>
          <w:bCs/>
          <w:sz w:val="24"/>
        </w:rPr>
      </w:pPr>
      <w:r>
        <w:rPr>
          <w:rFonts w:hint="eastAsia"/>
          <w:bCs/>
          <w:sz w:val="24"/>
        </w:rPr>
        <w:t>（</w:t>
      </w:r>
      <w:r>
        <w:rPr>
          <w:rFonts w:hint="eastAsia"/>
          <w:bCs/>
          <w:sz w:val="24"/>
        </w:rPr>
        <w:t>1</w:t>
      </w:r>
      <w:r>
        <w:rPr>
          <w:rFonts w:hint="eastAsia"/>
          <w:bCs/>
          <w:sz w:val="24"/>
        </w:rPr>
        <w:t>）基金投资目标、投资范围、投资策略、投资比例等拟进行重大调整，并变更业绩比较基准的；</w:t>
      </w:r>
    </w:p>
    <w:p w14:paraId="4C6E60D6" w14:textId="77777777" w:rsidR="00791BDD" w:rsidRDefault="00B75151">
      <w:pPr>
        <w:adjustRightInd w:val="0"/>
        <w:snapToGrid w:val="0"/>
        <w:spacing w:line="360" w:lineRule="auto"/>
        <w:ind w:firstLineChars="200" w:firstLine="480"/>
        <w:outlineLvl w:val="1"/>
        <w:rPr>
          <w:bCs/>
          <w:sz w:val="24"/>
        </w:rPr>
      </w:pPr>
      <w:r>
        <w:rPr>
          <w:rFonts w:hint="eastAsia"/>
          <w:bCs/>
          <w:sz w:val="24"/>
        </w:rPr>
        <w:t>（</w:t>
      </w:r>
      <w:r>
        <w:rPr>
          <w:rFonts w:hint="eastAsia"/>
          <w:bCs/>
          <w:sz w:val="24"/>
        </w:rPr>
        <w:t>2</w:t>
      </w:r>
      <w:r>
        <w:rPr>
          <w:rFonts w:hint="eastAsia"/>
          <w:bCs/>
          <w:sz w:val="24"/>
        </w:rPr>
        <w:t>）其他对基金份额持有人利益产生重大实质性影响的情形。</w:t>
      </w:r>
    </w:p>
    <w:p w14:paraId="4185DC37" w14:textId="77777777" w:rsidR="00791BDD" w:rsidRDefault="00B75151">
      <w:pPr>
        <w:adjustRightInd w:val="0"/>
        <w:snapToGrid w:val="0"/>
        <w:spacing w:line="360" w:lineRule="auto"/>
        <w:ind w:firstLineChars="200" w:firstLine="482"/>
        <w:outlineLvl w:val="1"/>
        <w:rPr>
          <w:rFonts w:hAnsi="宋体"/>
          <w:kern w:val="0"/>
          <w:sz w:val="24"/>
        </w:rPr>
      </w:pPr>
      <w:r>
        <w:rPr>
          <w:rFonts w:hint="eastAsia"/>
          <w:b/>
          <w:bCs/>
          <w:sz w:val="24"/>
        </w:rPr>
        <w:t>（六）风险收益特征</w:t>
      </w:r>
    </w:p>
    <w:p w14:paraId="475E0817" w14:textId="77777777" w:rsidR="00791BDD" w:rsidRDefault="00B75151">
      <w:pPr>
        <w:adjustRightInd w:val="0"/>
        <w:snapToGrid w:val="0"/>
        <w:spacing w:line="360" w:lineRule="auto"/>
        <w:ind w:firstLineChars="200" w:firstLine="480"/>
        <w:rPr>
          <w:rFonts w:ascii="宋体" w:hAnsi="宋体"/>
          <w:sz w:val="24"/>
        </w:rPr>
      </w:pPr>
      <w:r>
        <w:rPr>
          <w:rFonts w:ascii="宋体" w:hAnsi="宋体" w:hint="eastAsia"/>
          <w:sz w:val="24"/>
        </w:rPr>
        <w:t>本基金是一只股票型基金，其预期风险和预期收益理论上高于混合型基金、债券型基金和货币市场基金。</w:t>
      </w:r>
    </w:p>
    <w:p w14:paraId="7D693996" w14:textId="77777777" w:rsidR="00791BDD" w:rsidRDefault="00B75151">
      <w:pPr>
        <w:adjustRightInd w:val="0"/>
        <w:snapToGrid w:val="0"/>
        <w:spacing w:line="360" w:lineRule="auto"/>
        <w:ind w:firstLineChars="200" w:firstLine="480"/>
        <w:rPr>
          <w:rFonts w:ascii="宋体" w:hAnsi="宋体"/>
          <w:sz w:val="24"/>
        </w:rPr>
      </w:pPr>
      <w:r>
        <w:rPr>
          <w:rFonts w:ascii="宋体" w:hAnsi="宋体" w:hint="eastAsia"/>
          <w:sz w:val="24"/>
        </w:rPr>
        <w:t>本基金可投资港股通标的股票，会面临港股通机制下因投资环境、投资标的、市场制度以及交易规则等差异带来的特有风险。</w:t>
      </w:r>
    </w:p>
    <w:p w14:paraId="48D32A86" w14:textId="77777777" w:rsidR="00791BDD" w:rsidRDefault="00B75151">
      <w:pPr>
        <w:adjustRightInd w:val="0"/>
        <w:snapToGrid w:val="0"/>
        <w:spacing w:line="360" w:lineRule="auto"/>
        <w:ind w:firstLineChars="200" w:firstLine="482"/>
        <w:outlineLvl w:val="1"/>
        <w:rPr>
          <w:b/>
          <w:bCs/>
          <w:sz w:val="24"/>
        </w:rPr>
      </w:pPr>
      <w:r>
        <w:rPr>
          <w:rFonts w:hint="eastAsia"/>
          <w:b/>
          <w:bCs/>
          <w:sz w:val="24"/>
        </w:rPr>
        <w:t>（七）基金管理人代表基金行使股东</w:t>
      </w:r>
      <w:r>
        <w:rPr>
          <w:b/>
          <w:bCs/>
          <w:sz w:val="24"/>
        </w:rPr>
        <w:t>或</w:t>
      </w:r>
      <w:r>
        <w:rPr>
          <w:rFonts w:hint="eastAsia"/>
          <w:b/>
          <w:bCs/>
          <w:sz w:val="24"/>
        </w:rPr>
        <w:t>债权人权利的处理原则及方法</w:t>
      </w:r>
    </w:p>
    <w:p w14:paraId="68133A68" w14:textId="77777777" w:rsidR="00791BDD" w:rsidRDefault="00B75151">
      <w:pPr>
        <w:adjustRightInd w:val="0"/>
        <w:snapToGrid w:val="0"/>
        <w:spacing w:line="360" w:lineRule="auto"/>
        <w:ind w:firstLineChars="200" w:firstLine="480"/>
        <w:rPr>
          <w:rFonts w:ascii="宋体" w:hAnsi="宋体"/>
          <w:sz w:val="24"/>
        </w:rPr>
      </w:pPr>
      <w:r>
        <w:rPr>
          <w:rFonts w:ascii="宋体" w:hAnsi="宋体" w:hint="eastAsia"/>
          <w:sz w:val="24"/>
        </w:rPr>
        <w:t>1、基金管理人按照国家有关规定代表基金独立行使股东或债权人权利，保护基金份额持有人的利益；</w:t>
      </w:r>
    </w:p>
    <w:p w14:paraId="44B49EEB" w14:textId="77777777" w:rsidR="00791BDD" w:rsidRDefault="00B75151">
      <w:pPr>
        <w:adjustRightInd w:val="0"/>
        <w:snapToGrid w:val="0"/>
        <w:spacing w:line="360" w:lineRule="auto"/>
        <w:ind w:firstLineChars="200" w:firstLine="480"/>
        <w:rPr>
          <w:rFonts w:ascii="宋体" w:hAnsi="宋体"/>
          <w:sz w:val="24"/>
        </w:rPr>
      </w:pPr>
      <w:r>
        <w:rPr>
          <w:rFonts w:ascii="宋体" w:hAnsi="宋体" w:hint="eastAsia"/>
          <w:sz w:val="24"/>
        </w:rPr>
        <w:t>2、不谋求对上市公司的控股；</w:t>
      </w:r>
    </w:p>
    <w:p w14:paraId="60416FDE" w14:textId="77777777" w:rsidR="00791BDD" w:rsidRDefault="00B75151">
      <w:pPr>
        <w:adjustRightInd w:val="0"/>
        <w:snapToGrid w:val="0"/>
        <w:spacing w:line="360" w:lineRule="auto"/>
        <w:ind w:firstLineChars="200" w:firstLine="480"/>
        <w:rPr>
          <w:rFonts w:ascii="宋体" w:hAnsi="宋体"/>
          <w:sz w:val="24"/>
        </w:rPr>
      </w:pPr>
      <w:r>
        <w:rPr>
          <w:rFonts w:ascii="宋体" w:hAnsi="宋体" w:hint="eastAsia"/>
          <w:sz w:val="24"/>
        </w:rPr>
        <w:t>3、有利于基金财产的安全与增值；</w:t>
      </w:r>
    </w:p>
    <w:p w14:paraId="496D70F6" w14:textId="77777777" w:rsidR="00791BDD" w:rsidRDefault="00B75151">
      <w:pPr>
        <w:adjustRightInd w:val="0"/>
        <w:snapToGrid w:val="0"/>
        <w:spacing w:line="360" w:lineRule="auto"/>
        <w:ind w:firstLineChars="200" w:firstLine="480"/>
        <w:rPr>
          <w:rFonts w:ascii="宋体" w:hAnsi="宋体"/>
          <w:sz w:val="24"/>
        </w:rPr>
      </w:pPr>
      <w:r>
        <w:rPr>
          <w:rFonts w:ascii="宋体" w:hAnsi="宋体" w:hint="eastAsia"/>
          <w:sz w:val="24"/>
        </w:rPr>
        <w:t>4、不通过关联交易为自身、雇员、授权代理人或任何存在利害关系的第三人牟取任何不当利益。</w:t>
      </w:r>
    </w:p>
    <w:p w14:paraId="06937AFE" w14:textId="77777777" w:rsidR="00791BDD" w:rsidRDefault="00B75151">
      <w:pPr>
        <w:adjustRightInd w:val="0"/>
        <w:snapToGrid w:val="0"/>
        <w:spacing w:line="360" w:lineRule="auto"/>
        <w:ind w:firstLineChars="200" w:firstLine="482"/>
        <w:outlineLvl w:val="1"/>
        <w:rPr>
          <w:rFonts w:hAnsi="宋体"/>
          <w:b/>
          <w:sz w:val="24"/>
          <w:szCs w:val="24"/>
        </w:rPr>
      </w:pPr>
      <w:bookmarkStart w:id="53" w:name="_Hlt81033092"/>
      <w:bookmarkStart w:id="54" w:name="_Hlt81033424"/>
      <w:bookmarkStart w:id="55" w:name="_Toc109059037"/>
      <w:bookmarkStart w:id="56" w:name="_Hlt5528681"/>
      <w:bookmarkStart w:id="57" w:name="_Toc109059036"/>
      <w:bookmarkStart w:id="58" w:name="_Toc109059025"/>
      <w:bookmarkStart w:id="59" w:name="_Hlt5604240"/>
      <w:bookmarkStart w:id="60" w:name="_Hlt88281392"/>
      <w:bookmarkStart w:id="61" w:name="_Toc155690783"/>
      <w:bookmarkStart w:id="62" w:name="_Toc154909614"/>
      <w:bookmarkEnd w:id="46"/>
      <w:bookmarkEnd w:id="47"/>
      <w:bookmarkEnd w:id="48"/>
      <w:bookmarkEnd w:id="53"/>
      <w:bookmarkEnd w:id="54"/>
      <w:bookmarkEnd w:id="55"/>
      <w:bookmarkEnd w:id="56"/>
      <w:bookmarkEnd w:id="57"/>
      <w:bookmarkEnd w:id="58"/>
      <w:bookmarkEnd w:id="59"/>
      <w:bookmarkEnd w:id="60"/>
      <w:r>
        <w:rPr>
          <w:rFonts w:hAnsi="宋体"/>
          <w:b/>
          <w:sz w:val="24"/>
          <w:szCs w:val="24"/>
        </w:rPr>
        <w:t>（</w:t>
      </w:r>
      <w:r>
        <w:rPr>
          <w:rFonts w:hAnsi="宋体" w:hint="eastAsia"/>
          <w:b/>
          <w:sz w:val="24"/>
          <w:szCs w:val="24"/>
        </w:rPr>
        <w:t>八</w:t>
      </w:r>
      <w:r>
        <w:rPr>
          <w:rFonts w:hAnsi="宋体"/>
          <w:b/>
          <w:sz w:val="24"/>
          <w:szCs w:val="24"/>
        </w:rPr>
        <w:t>）</w:t>
      </w:r>
      <w:r>
        <w:rPr>
          <w:rFonts w:hAnsi="宋体" w:hint="eastAsia"/>
          <w:b/>
          <w:sz w:val="24"/>
          <w:szCs w:val="24"/>
        </w:rPr>
        <w:t>侧袋机制的实施和投资运作安排</w:t>
      </w:r>
    </w:p>
    <w:p w14:paraId="62E20BC8" w14:textId="77777777" w:rsidR="00791BDD" w:rsidRDefault="00B75151">
      <w:pPr>
        <w:adjustRightInd w:val="0"/>
        <w:snapToGrid w:val="0"/>
        <w:spacing w:line="360" w:lineRule="auto"/>
        <w:ind w:firstLineChars="200" w:firstLine="480"/>
        <w:rPr>
          <w:rFonts w:ascii="宋体" w:hAnsi="宋体"/>
          <w:sz w:val="24"/>
        </w:rPr>
      </w:pPr>
      <w:r>
        <w:rPr>
          <w:rFonts w:ascii="宋体" w:hAnsi="宋体" w:hint="eastAsia"/>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14EAE9A0" w14:textId="77777777" w:rsidR="00791BDD" w:rsidRDefault="00B75151">
      <w:pPr>
        <w:adjustRightInd w:val="0"/>
        <w:snapToGrid w:val="0"/>
        <w:spacing w:line="360" w:lineRule="auto"/>
        <w:ind w:firstLineChars="200" w:firstLine="480"/>
        <w:rPr>
          <w:rFonts w:ascii="宋体" w:hAnsi="宋体"/>
          <w:sz w:val="24"/>
        </w:rPr>
      </w:pPr>
      <w:r>
        <w:rPr>
          <w:rFonts w:ascii="宋体" w:hAnsi="宋体" w:hint="eastAsia"/>
          <w:sz w:val="24"/>
        </w:rPr>
        <w:t>侧袋机制实施期间，本部分约定的投资组合比例、投资策略、组合限制、业绩比较基准、风险收益特征等约定仅适用于主袋账户。</w:t>
      </w:r>
    </w:p>
    <w:p w14:paraId="13115D2B" w14:textId="77777777" w:rsidR="00791BDD" w:rsidRDefault="00B75151">
      <w:pPr>
        <w:adjustRightInd w:val="0"/>
        <w:snapToGrid w:val="0"/>
        <w:spacing w:line="360" w:lineRule="auto"/>
        <w:ind w:firstLineChars="200" w:firstLine="480"/>
        <w:rPr>
          <w:rFonts w:ascii="宋体" w:hAnsi="宋体"/>
          <w:sz w:val="24"/>
        </w:rPr>
      </w:pPr>
      <w:r>
        <w:rPr>
          <w:rFonts w:ascii="宋体" w:hAnsi="宋体" w:hint="eastAsia"/>
          <w:sz w:val="24"/>
        </w:rPr>
        <w:t>侧袋账户的实施条件、实施程序、运作安排、投资安排、特定资产的处置变现和支付等对投资者权益有重大影响的事项详见本招募说明书“侧袋</w:t>
      </w:r>
      <w:r>
        <w:rPr>
          <w:rFonts w:ascii="宋体" w:hAnsi="宋体"/>
          <w:sz w:val="24"/>
        </w:rPr>
        <w:t>机制”</w:t>
      </w:r>
      <w:r>
        <w:rPr>
          <w:rFonts w:ascii="宋体" w:hAnsi="宋体" w:hint="eastAsia"/>
          <w:sz w:val="24"/>
        </w:rPr>
        <w:t>部分的规定。</w:t>
      </w:r>
    </w:p>
    <w:p w14:paraId="1C2FFD62" w14:textId="77777777" w:rsidR="00791BDD" w:rsidRDefault="00B75151">
      <w:pPr>
        <w:widowControl/>
        <w:adjustRightInd w:val="0"/>
        <w:snapToGrid w:val="0"/>
        <w:spacing w:beforeLines="50" w:before="143" w:afterLines="50" w:after="143" w:line="360" w:lineRule="auto"/>
        <w:jc w:val="center"/>
        <w:outlineLvl w:val="0"/>
        <w:rPr>
          <w:rFonts w:ascii="宋体" w:hAnsi="宋体"/>
          <w:b/>
          <w:kern w:val="0"/>
          <w:sz w:val="30"/>
        </w:rPr>
      </w:pPr>
      <w:bookmarkStart w:id="63" w:name="_Toc78208364"/>
      <w:bookmarkEnd w:id="52"/>
      <w:r>
        <w:rPr>
          <w:rFonts w:hAnsi="宋体"/>
          <w:sz w:val="24"/>
          <w:szCs w:val="24"/>
        </w:rPr>
        <w:br w:type="page"/>
      </w:r>
      <w:bookmarkStart w:id="64" w:name="_Toc48122011"/>
      <w:bookmarkStart w:id="65" w:name="_Hlk212628670"/>
      <w:bookmarkEnd w:id="50"/>
      <w:r>
        <w:rPr>
          <w:rFonts w:ascii="宋体" w:hAnsi="宋体" w:hint="eastAsia"/>
          <w:b/>
          <w:kern w:val="0"/>
          <w:sz w:val="30"/>
        </w:rPr>
        <w:t>十、基金的财产</w:t>
      </w:r>
      <w:bookmarkEnd w:id="64"/>
    </w:p>
    <w:p w14:paraId="78186C5E" w14:textId="77777777" w:rsidR="00791BDD" w:rsidRDefault="00B75151">
      <w:pPr>
        <w:adjustRightInd w:val="0"/>
        <w:snapToGrid w:val="0"/>
        <w:spacing w:line="360" w:lineRule="auto"/>
        <w:ind w:firstLine="482"/>
        <w:outlineLvl w:val="1"/>
        <w:rPr>
          <w:b/>
          <w:bCs/>
          <w:sz w:val="24"/>
        </w:rPr>
      </w:pPr>
      <w:bookmarkStart w:id="66" w:name="_Hlk49343903"/>
      <w:r>
        <w:rPr>
          <w:b/>
          <w:bCs/>
          <w:sz w:val="24"/>
        </w:rPr>
        <w:t>（一）基金资产总值</w:t>
      </w:r>
    </w:p>
    <w:p w14:paraId="5C025532" w14:textId="77777777" w:rsidR="00791BDD" w:rsidRDefault="00B75151">
      <w:pPr>
        <w:widowControl/>
        <w:adjustRightInd w:val="0"/>
        <w:snapToGrid w:val="0"/>
        <w:spacing w:line="360" w:lineRule="auto"/>
        <w:ind w:firstLineChars="200" w:firstLine="480"/>
        <w:rPr>
          <w:kern w:val="0"/>
          <w:sz w:val="24"/>
        </w:rPr>
      </w:pPr>
      <w:r>
        <w:rPr>
          <w:rFonts w:hAnsi="宋体" w:hint="eastAsia"/>
          <w:sz w:val="24"/>
          <w:szCs w:val="21"/>
        </w:rPr>
        <w:t>基金资产总值是指基金拥有的各类有价证券、股指期货合约、银行存款本息、基金应收款</w:t>
      </w:r>
      <w:r>
        <w:rPr>
          <w:rFonts w:hint="eastAsia"/>
          <w:bCs/>
          <w:sz w:val="24"/>
        </w:rPr>
        <w:t>项</w:t>
      </w:r>
      <w:r>
        <w:rPr>
          <w:rFonts w:hAnsi="宋体" w:hint="eastAsia"/>
          <w:sz w:val="24"/>
          <w:szCs w:val="21"/>
        </w:rPr>
        <w:t>及其他资产的价值总和。</w:t>
      </w:r>
      <w:bookmarkStart w:id="67" w:name="_Toc311810245"/>
      <w:bookmarkEnd w:id="63"/>
    </w:p>
    <w:p w14:paraId="608B5387" w14:textId="77777777" w:rsidR="00791BDD" w:rsidRDefault="00B75151">
      <w:pPr>
        <w:adjustRightInd w:val="0"/>
        <w:snapToGrid w:val="0"/>
        <w:spacing w:line="360" w:lineRule="auto"/>
        <w:ind w:firstLine="482"/>
        <w:outlineLvl w:val="1"/>
        <w:rPr>
          <w:b/>
          <w:bCs/>
          <w:sz w:val="24"/>
        </w:rPr>
      </w:pPr>
      <w:r>
        <w:rPr>
          <w:b/>
          <w:bCs/>
          <w:sz w:val="24"/>
        </w:rPr>
        <w:t>（二）基金资</w:t>
      </w:r>
      <w:bookmarkEnd w:id="67"/>
      <w:r>
        <w:rPr>
          <w:b/>
          <w:bCs/>
          <w:sz w:val="24"/>
        </w:rPr>
        <w:t>产</w:t>
      </w:r>
      <w:bookmarkEnd w:id="61"/>
      <w:bookmarkEnd w:id="62"/>
      <w:r>
        <w:rPr>
          <w:b/>
          <w:bCs/>
          <w:sz w:val="24"/>
        </w:rPr>
        <w:t>净</w:t>
      </w:r>
      <w:bookmarkStart w:id="68" w:name="_Toc109537391"/>
      <w:r>
        <w:rPr>
          <w:b/>
          <w:bCs/>
          <w:sz w:val="24"/>
        </w:rPr>
        <w:t>值</w:t>
      </w:r>
    </w:p>
    <w:p w14:paraId="5C103F41" w14:textId="77777777" w:rsidR="00791BDD" w:rsidRDefault="00B75151">
      <w:pPr>
        <w:widowControl/>
        <w:adjustRightInd w:val="0"/>
        <w:snapToGrid w:val="0"/>
        <w:spacing w:line="360" w:lineRule="auto"/>
        <w:ind w:firstLineChars="200" w:firstLine="480"/>
        <w:rPr>
          <w:rFonts w:hAnsi="宋体"/>
          <w:sz w:val="24"/>
          <w:szCs w:val="21"/>
        </w:rPr>
      </w:pPr>
      <w:r>
        <w:rPr>
          <w:rFonts w:hAnsi="宋体"/>
          <w:sz w:val="24"/>
          <w:szCs w:val="21"/>
        </w:rPr>
        <w:t>基</w:t>
      </w:r>
      <w:bookmarkEnd w:id="68"/>
      <w:r>
        <w:rPr>
          <w:rFonts w:hAnsi="宋体"/>
          <w:sz w:val="24"/>
          <w:szCs w:val="21"/>
        </w:rPr>
        <w:t>金资产净值是指基金资产总值</w:t>
      </w:r>
      <w:bookmarkStart w:id="69" w:name="_Toc79556449"/>
      <w:bookmarkStart w:id="70" w:name="_Toc79392635"/>
      <w:r>
        <w:rPr>
          <w:rFonts w:hAnsi="宋体"/>
          <w:sz w:val="24"/>
          <w:szCs w:val="21"/>
        </w:rPr>
        <w:t>减去基金负债后的价值。</w:t>
      </w:r>
    </w:p>
    <w:p w14:paraId="765778F3" w14:textId="77777777" w:rsidR="00791BDD" w:rsidRDefault="00B75151">
      <w:pPr>
        <w:adjustRightInd w:val="0"/>
        <w:snapToGrid w:val="0"/>
        <w:spacing w:line="360" w:lineRule="auto"/>
        <w:ind w:firstLine="482"/>
        <w:outlineLvl w:val="1"/>
        <w:rPr>
          <w:b/>
          <w:bCs/>
          <w:sz w:val="24"/>
        </w:rPr>
      </w:pPr>
      <w:r>
        <w:rPr>
          <w:b/>
          <w:bCs/>
          <w:sz w:val="24"/>
        </w:rPr>
        <w:t>（三）基金财产的账户</w:t>
      </w:r>
    </w:p>
    <w:p w14:paraId="14C80867" w14:textId="77777777" w:rsidR="00791BDD" w:rsidRDefault="00B75151">
      <w:pPr>
        <w:widowControl/>
        <w:adjustRightInd w:val="0"/>
        <w:snapToGrid w:val="0"/>
        <w:spacing w:line="360" w:lineRule="auto"/>
        <w:ind w:firstLineChars="200" w:firstLine="480"/>
        <w:rPr>
          <w:kern w:val="0"/>
          <w:sz w:val="24"/>
        </w:rPr>
      </w:pPr>
      <w:r>
        <w:rPr>
          <w:bCs/>
          <w:sz w:val="24"/>
        </w:rPr>
        <w:t>基金托管人根据相关法律法规、规范性文件为本基金开立资金账户、证券账户</w:t>
      </w:r>
      <w:r>
        <w:rPr>
          <w:rFonts w:hint="eastAsia"/>
          <w:bCs/>
          <w:sz w:val="24"/>
        </w:rPr>
        <w:t>以及投资所需的其他专用账户</w:t>
      </w:r>
      <w:r>
        <w:rPr>
          <w:bCs/>
          <w:sz w:val="24"/>
        </w:rPr>
        <w:t>。开立的基金专用账户与基金管理人、基</w:t>
      </w:r>
      <w:bookmarkEnd w:id="69"/>
      <w:bookmarkEnd w:id="70"/>
      <w:r>
        <w:rPr>
          <w:bCs/>
          <w:sz w:val="24"/>
        </w:rPr>
        <w:t>金托管人、基金销售机构和基金登记机构自有的财产账户以及其他基金财产账户相独立。</w:t>
      </w:r>
    </w:p>
    <w:p w14:paraId="58F7104A" w14:textId="77777777" w:rsidR="00791BDD" w:rsidRDefault="00B75151">
      <w:pPr>
        <w:adjustRightInd w:val="0"/>
        <w:snapToGrid w:val="0"/>
        <w:spacing w:line="360" w:lineRule="auto"/>
        <w:ind w:firstLine="482"/>
        <w:outlineLvl w:val="1"/>
        <w:rPr>
          <w:b/>
          <w:bCs/>
          <w:sz w:val="24"/>
        </w:rPr>
      </w:pPr>
      <w:r>
        <w:rPr>
          <w:b/>
          <w:bCs/>
          <w:sz w:val="24"/>
        </w:rPr>
        <w:t>（四）基金财产的保管</w:t>
      </w:r>
      <w:r>
        <w:rPr>
          <w:rFonts w:hint="eastAsia"/>
          <w:b/>
          <w:bCs/>
          <w:sz w:val="24"/>
        </w:rPr>
        <w:t>和</w:t>
      </w:r>
      <w:r>
        <w:rPr>
          <w:b/>
          <w:bCs/>
          <w:sz w:val="24"/>
        </w:rPr>
        <w:t>处分</w:t>
      </w:r>
    </w:p>
    <w:p w14:paraId="1938BB8E" w14:textId="77777777" w:rsidR="00791BDD" w:rsidRDefault="00B75151">
      <w:pPr>
        <w:widowControl/>
        <w:adjustRightInd w:val="0"/>
        <w:snapToGrid w:val="0"/>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307FF3CE" w14:textId="77777777" w:rsidR="00791BDD" w:rsidRDefault="00B75151">
      <w:pPr>
        <w:widowControl/>
        <w:adjustRightInd w:val="0"/>
        <w:snapToGrid w:val="0"/>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hint="eastAsia"/>
          <w:bCs/>
          <w:sz w:val="24"/>
        </w:rPr>
        <w:t>非因基金财产本身承担的债务，不得对基金财产强制执行。</w:t>
      </w:r>
      <w:bookmarkEnd w:id="66"/>
    </w:p>
    <w:p w14:paraId="37B8E8AC" w14:textId="77777777" w:rsidR="00791BDD" w:rsidRDefault="00791BDD">
      <w:pPr>
        <w:widowControl/>
        <w:adjustRightInd w:val="0"/>
        <w:snapToGrid w:val="0"/>
        <w:spacing w:line="360" w:lineRule="auto"/>
        <w:ind w:firstLine="200"/>
        <w:rPr>
          <w:rFonts w:ascii="宋体" w:hAnsi="宋体"/>
          <w:kern w:val="0"/>
          <w:sz w:val="24"/>
        </w:rPr>
      </w:pPr>
    </w:p>
    <w:p w14:paraId="4BC2E939" w14:textId="77777777" w:rsidR="00791BDD" w:rsidRDefault="00B75151">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bookmarkStart w:id="71" w:name="_Toc48122012"/>
      <w:bookmarkStart w:id="72" w:name="_Hlk212628679"/>
      <w:bookmarkEnd w:id="65"/>
      <w:r>
        <w:rPr>
          <w:rFonts w:ascii="宋体" w:hAnsi="宋体" w:hint="eastAsia"/>
          <w:b/>
          <w:kern w:val="0"/>
          <w:sz w:val="30"/>
        </w:rPr>
        <w:t>十一、基金资产的估值</w:t>
      </w:r>
      <w:bookmarkEnd w:id="71"/>
    </w:p>
    <w:p w14:paraId="0F7A0847" w14:textId="77777777" w:rsidR="00791BDD" w:rsidRDefault="00B75151">
      <w:pPr>
        <w:adjustRightInd w:val="0"/>
        <w:snapToGrid w:val="0"/>
        <w:spacing w:line="360" w:lineRule="auto"/>
        <w:ind w:firstLineChars="200" w:firstLine="482"/>
        <w:outlineLvl w:val="1"/>
        <w:rPr>
          <w:b/>
          <w:sz w:val="24"/>
          <w:szCs w:val="24"/>
        </w:rPr>
      </w:pPr>
      <w:bookmarkStart w:id="73" w:name="_Hlk50017869"/>
      <w:r>
        <w:rPr>
          <w:rFonts w:hAnsi="宋体"/>
          <w:b/>
          <w:sz w:val="24"/>
          <w:szCs w:val="24"/>
        </w:rPr>
        <w:t>（一）估值日</w:t>
      </w:r>
    </w:p>
    <w:p w14:paraId="579C33BB" w14:textId="77777777" w:rsidR="00791BDD" w:rsidRDefault="00B75151">
      <w:pPr>
        <w:adjustRightInd w:val="0"/>
        <w:snapToGrid w:val="0"/>
        <w:spacing w:line="360" w:lineRule="auto"/>
        <w:ind w:firstLineChars="200" w:firstLine="480"/>
        <w:rPr>
          <w:sz w:val="24"/>
          <w:szCs w:val="24"/>
        </w:rPr>
      </w:pPr>
      <w:r>
        <w:rPr>
          <w:rFonts w:hAnsi="宋体" w:hint="eastAsia"/>
          <w:sz w:val="24"/>
          <w:szCs w:val="24"/>
        </w:rPr>
        <w:t>本基金的估值日为本基金相关的证券交易场所的交易日以及国家法律法规规定需要对外披露基金净值的非交易日。</w:t>
      </w:r>
    </w:p>
    <w:p w14:paraId="1E795FA8" w14:textId="77777777" w:rsidR="00791BDD" w:rsidRDefault="00B75151">
      <w:pPr>
        <w:adjustRightInd w:val="0"/>
        <w:snapToGrid w:val="0"/>
        <w:spacing w:line="360" w:lineRule="auto"/>
        <w:ind w:firstLineChars="200" w:firstLine="482"/>
        <w:outlineLvl w:val="1"/>
        <w:rPr>
          <w:b/>
          <w:bCs/>
          <w:sz w:val="24"/>
          <w:szCs w:val="24"/>
        </w:rPr>
      </w:pPr>
      <w:r>
        <w:rPr>
          <w:b/>
          <w:bCs/>
          <w:sz w:val="24"/>
          <w:szCs w:val="24"/>
        </w:rPr>
        <w:t>（二）估值对象</w:t>
      </w:r>
    </w:p>
    <w:p w14:paraId="315777E4" w14:textId="77777777" w:rsidR="00791BDD" w:rsidRDefault="00B75151">
      <w:pPr>
        <w:adjustRightInd w:val="0"/>
        <w:snapToGrid w:val="0"/>
        <w:spacing w:line="360" w:lineRule="auto"/>
        <w:ind w:firstLineChars="200" w:firstLine="480"/>
        <w:rPr>
          <w:bCs/>
          <w:sz w:val="24"/>
          <w:szCs w:val="24"/>
        </w:rPr>
      </w:pPr>
      <w:r>
        <w:rPr>
          <w:rFonts w:hint="eastAsia"/>
          <w:bCs/>
          <w:sz w:val="24"/>
          <w:szCs w:val="24"/>
        </w:rPr>
        <w:t>基金所拥有的股票、债券、资产支持证券、</w:t>
      </w:r>
      <w:r>
        <w:rPr>
          <w:rFonts w:hint="eastAsia"/>
          <w:bCs/>
          <w:sz w:val="24"/>
        </w:rPr>
        <w:t>股指期货</w:t>
      </w:r>
      <w:r>
        <w:rPr>
          <w:rFonts w:hint="eastAsia"/>
          <w:bCs/>
          <w:sz w:val="24"/>
          <w:szCs w:val="24"/>
        </w:rPr>
        <w:t>和其他投资等持续以公允价值计量的金融资产及负债。</w:t>
      </w:r>
    </w:p>
    <w:p w14:paraId="039F20BA" w14:textId="77777777" w:rsidR="00791BDD" w:rsidRDefault="00B75151">
      <w:pPr>
        <w:adjustRightInd w:val="0"/>
        <w:snapToGrid w:val="0"/>
        <w:spacing w:line="360" w:lineRule="auto"/>
        <w:ind w:firstLineChars="200" w:firstLine="482"/>
        <w:outlineLvl w:val="1"/>
        <w:rPr>
          <w:rFonts w:hAnsi="宋体"/>
          <w:b/>
          <w:sz w:val="24"/>
          <w:szCs w:val="24"/>
        </w:rPr>
      </w:pPr>
      <w:r>
        <w:rPr>
          <w:rFonts w:hAnsi="宋体"/>
          <w:b/>
          <w:sz w:val="24"/>
          <w:szCs w:val="24"/>
        </w:rPr>
        <w:t>（三）估值</w:t>
      </w:r>
      <w:r>
        <w:rPr>
          <w:rFonts w:hAnsi="宋体" w:hint="eastAsia"/>
          <w:b/>
          <w:sz w:val="24"/>
          <w:szCs w:val="24"/>
        </w:rPr>
        <w:t>原则</w:t>
      </w:r>
    </w:p>
    <w:p w14:paraId="0AB72A35" w14:textId="77777777" w:rsidR="00791BDD" w:rsidRDefault="00B75151">
      <w:pPr>
        <w:adjustRightInd w:val="0"/>
        <w:snapToGrid w:val="0"/>
        <w:spacing w:line="360" w:lineRule="auto"/>
        <w:ind w:firstLineChars="200" w:firstLine="480"/>
        <w:rPr>
          <w:bCs/>
          <w:sz w:val="24"/>
        </w:rPr>
      </w:pPr>
      <w:r>
        <w:rPr>
          <w:rFonts w:hint="eastAsia"/>
          <w:bCs/>
          <w:sz w:val="24"/>
        </w:rPr>
        <w:t>基金管理人在确定相关金融资产和金融负债的公允价值时，应符合《企业会计准则》、监管部门有关规定。</w:t>
      </w:r>
    </w:p>
    <w:p w14:paraId="2FDAF44B" w14:textId="77777777" w:rsidR="00791BDD" w:rsidRDefault="00B75151">
      <w:pPr>
        <w:adjustRightInd w:val="0"/>
        <w:snapToGrid w:val="0"/>
        <w:spacing w:line="360" w:lineRule="auto"/>
        <w:ind w:firstLineChars="200" w:firstLine="480"/>
        <w:rPr>
          <w:bCs/>
          <w:sz w:val="24"/>
        </w:rPr>
      </w:pPr>
      <w:r>
        <w:rPr>
          <w:rFonts w:hint="eastAsia"/>
          <w:bCs/>
          <w:sz w:val="24"/>
        </w:rPr>
        <w:t>1</w:t>
      </w:r>
      <w:r>
        <w:rPr>
          <w:bCs/>
          <w:sz w:val="24"/>
        </w:rPr>
        <w:t>、</w:t>
      </w:r>
      <w:r>
        <w:rPr>
          <w:rFonts w:hint="eastAsia"/>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7DDAAE32" w14:textId="77777777" w:rsidR="00791BDD" w:rsidRDefault="00B75151">
      <w:pPr>
        <w:adjustRightInd w:val="0"/>
        <w:snapToGrid w:val="0"/>
        <w:spacing w:line="360" w:lineRule="auto"/>
        <w:ind w:firstLineChars="200" w:firstLine="48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4959A2E8" w14:textId="77777777" w:rsidR="00791BDD" w:rsidRDefault="00B75151">
      <w:pPr>
        <w:adjustRightInd w:val="0"/>
        <w:snapToGrid w:val="0"/>
        <w:spacing w:line="360" w:lineRule="auto"/>
        <w:ind w:firstLineChars="200" w:firstLine="480"/>
        <w:rPr>
          <w:bCs/>
          <w:sz w:val="24"/>
        </w:rPr>
      </w:pPr>
      <w:r>
        <w:rPr>
          <w:rFonts w:hint="eastAsia"/>
          <w:bCs/>
          <w:sz w:val="24"/>
        </w:rPr>
        <w:t>2</w:t>
      </w:r>
      <w:r>
        <w:rPr>
          <w:bCs/>
          <w:sz w:val="24"/>
        </w:rPr>
        <w:t>、</w:t>
      </w:r>
      <w:r>
        <w:rPr>
          <w:rFonts w:hint="eastAsia"/>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0ECB8A1B" w14:textId="77777777" w:rsidR="00791BDD" w:rsidRDefault="00B75151">
      <w:pPr>
        <w:adjustRightInd w:val="0"/>
        <w:snapToGrid w:val="0"/>
        <w:spacing w:line="360" w:lineRule="auto"/>
        <w:ind w:firstLineChars="200" w:firstLine="480"/>
        <w:rPr>
          <w:bCs/>
          <w:sz w:val="24"/>
        </w:rPr>
      </w:pPr>
      <w:r>
        <w:rPr>
          <w:bCs/>
          <w:sz w:val="24"/>
        </w:rPr>
        <w:t>3</w:t>
      </w:r>
      <w:r>
        <w:rPr>
          <w:bCs/>
          <w:sz w:val="24"/>
        </w:rPr>
        <w:t>、</w:t>
      </w:r>
      <w:r>
        <w:rPr>
          <w:rFonts w:hint="eastAsia"/>
          <w:bCs/>
          <w:sz w:val="24"/>
        </w:rPr>
        <w:t>如经济环境发生重大变化或证券发行人发生影响证券价格的重大事件，使潜在估值调整对前一估值日的基金资产净值的影响在</w:t>
      </w:r>
      <w:r>
        <w:rPr>
          <w:rFonts w:hint="eastAsia"/>
          <w:bCs/>
          <w:sz w:val="24"/>
        </w:rPr>
        <w:t>0.25%</w:t>
      </w:r>
      <w:r>
        <w:rPr>
          <w:rFonts w:hint="eastAsia"/>
          <w:bCs/>
          <w:sz w:val="24"/>
        </w:rPr>
        <w:t>以上的，应对估值进行调整并确定公允价值。</w:t>
      </w:r>
    </w:p>
    <w:p w14:paraId="317DEFE6" w14:textId="77777777" w:rsidR="00791BDD" w:rsidRDefault="00B75151">
      <w:pPr>
        <w:adjustRightInd w:val="0"/>
        <w:snapToGrid w:val="0"/>
        <w:spacing w:line="360" w:lineRule="auto"/>
        <w:ind w:firstLineChars="200" w:firstLine="482"/>
        <w:outlineLvl w:val="1"/>
        <w:rPr>
          <w:b/>
          <w:sz w:val="24"/>
          <w:szCs w:val="24"/>
        </w:rPr>
      </w:pPr>
      <w:r>
        <w:rPr>
          <w:rFonts w:hAnsi="宋体"/>
          <w:b/>
          <w:sz w:val="24"/>
          <w:szCs w:val="24"/>
        </w:rPr>
        <w:t>（</w:t>
      </w:r>
      <w:r>
        <w:rPr>
          <w:rFonts w:hAnsi="宋体" w:hint="eastAsia"/>
          <w:b/>
          <w:sz w:val="24"/>
          <w:szCs w:val="24"/>
        </w:rPr>
        <w:t>四</w:t>
      </w:r>
      <w:r>
        <w:rPr>
          <w:rFonts w:hAnsi="宋体"/>
          <w:b/>
          <w:sz w:val="24"/>
          <w:szCs w:val="24"/>
        </w:rPr>
        <w:t>）估值方法</w:t>
      </w:r>
    </w:p>
    <w:p w14:paraId="476905F9" w14:textId="77777777" w:rsidR="00791BDD" w:rsidRDefault="00B75151">
      <w:pPr>
        <w:adjustRightInd w:val="0"/>
        <w:snapToGrid w:val="0"/>
        <w:spacing w:line="360" w:lineRule="auto"/>
        <w:ind w:firstLineChars="200" w:firstLine="480"/>
        <w:rPr>
          <w:sz w:val="24"/>
          <w:szCs w:val="24"/>
        </w:rPr>
      </w:pPr>
      <w:r>
        <w:rPr>
          <w:rFonts w:hint="eastAsia"/>
          <w:sz w:val="24"/>
          <w:szCs w:val="24"/>
        </w:rPr>
        <w:t>1</w:t>
      </w:r>
      <w:r>
        <w:rPr>
          <w:rFonts w:hint="eastAsia"/>
          <w:sz w:val="24"/>
          <w:szCs w:val="24"/>
        </w:rPr>
        <w:t>、交易所上市的有价证券（包括股票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316FCDF" w14:textId="77777777" w:rsidR="00791BDD" w:rsidRDefault="00B75151">
      <w:pPr>
        <w:adjustRightInd w:val="0"/>
        <w:snapToGrid w:val="0"/>
        <w:spacing w:line="360" w:lineRule="auto"/>
        <w:ind w:firstLineChars="200" w:firstLine="480"/>
        <w:rPr>
          <w:sz w:val="24"/>
          <w:szCs w:val="24"/>
        </w:rPr>
      </w:pPr>
      <w:r>
        <w:rPr>
          <w:rFonts w:hint="eastAsia"/>
          <w:sz w:val="24"/>
          <w:szCs w:val="24"/>
        </w:rPr>
        <w:t>2</w:t>
      </w:r>
      <w:r>
        <w:rPr>
          <w:rFonts w:hint="eastAsia"/>
          <w:sz w:val="24"/>
          <w:szCs w:val="24"/>
        </w:rPr>
        <w:t>、处于未上市期间的有价证券应区分如下情况处理：</w:t>
      </w:r>
    </w:p>
    <w:p w14:paraId="43EFC191" w14:textId="77777777" w:rsidR="00791BDD" w:rsidRDefault="00B75151">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）送股、转增股、配股和公开增发的新股，按估值日在证券交易所挂牌的同一股票的估值方法估值；该日无交易的，以最近一日的市价（收盘价）估值；</w:t>
      </w:r>
    </w:p>
    <w:p w14:paraId="5FE1A73F" w14:textId="77777777" w:rsidR="00791BDD" w:rsidRDefault="00B75151">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）首次公开发行未上市的股票和债券，采用估值技术确定公允价值；</w:t>
      </w:r>
    </w:p>
    <w:p w14:paraId="6EDA1857" w14:textId="77777777" w:rsidR="00791BDD" w:rsidRDefault="00B75151">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3FE4B67E" w14:textId="77777777" w:rsidR="00791BDD" w:rsidRDefault="00B75151">
      <w:pPr>
        <w:adjustRightInd w:val="0"/>
        <w:snapToGrid w:val="0"/>
        <w:spacing w:line="360" w:lineRule="auto"/>
        <w:ind w:firstLineChars="200" w:firstLine="480"/>
        <w:rPr>
          <w:sz w:val="24"/>
          <w:szCs w:val="24"/>
        </w:rPr>
      </w:pPr>
      <w:r>
        <w:rPr>
          <w:rFonts w:hint="eastAsia"/>
          <w:sz w:val="24"/>
          <w:szCs w:val="24"/>
        </w:rPr>
        <w:t>3</w:t>
      </w:r>
      <w:r>
        <w:rPr>
          <w:rFonts w:hint="eastAsia"/>
          <w:sz w:val="24"/>
          <w:szCs w:val="24"/>
        </w:rPr>
        <w:t>、对于已上市或已挂牌转让的不含权固定收益品种（另有规定的除外），选取第三方估值基准服务机构提供的相应品种当日的估值全价进行估值。</w:t>
      </w:r>
    </w:p>
    <w:p w14:paraId="4439E766" w14:textId="77777777" w:rsidR="00791BDD" w:rsidRDefault="00B75151">
      <w:pPr>
        <w:adjustRightInd w:val="0"/>
        <w:snapToGrid w:val="0"/>
        <w:spacing w:line="360" w:lineRule="auto"/>
        <w:ind w:firstLineChars="200" w:firstLine="480"/>
        <w:rPr>
          <w:sz w:val="24"/>
          <w:szCs w:val="24"/>
        </w:rPr>
      </w:pPr>
      <w:r>
        <w:rPr>
          <w:rFonts w:hint="eastAsia"/>
          <w:sz w:val="24"/>
          <w:szCs w:val="24"/>
        </w:rPr>
        <w:t>4</w:t>
      </w:r>
      <w:r>
        <w:rPr>
          <w:rFonts w:hint="eastAsia"/>
          <w:sz w:val="24"/>
          <w:szCs w:val="24"/>
        </w:rPr>
        <w:t>、对于已上市或已挂牌转让的含权固定收益品种（另有规定的除外），选取第三方估值基准服务机构提供的相应品种当日的唯一估值全价或推荐估值全价进行估值。</w:t>
      </w:r>
    </w:p>
    <w:p w14:paraId="7C6F15E8" w14:textId="77777777" w:rsidR="00791BDD" w:rsidRDefault="00B75151">
      <w:pPr>
        <w:adjustRightInd w:val="0"/>
        <w:snapToGrid w:val="0"/>
        <w:spacing w:line="360" w:lineRule="auto"/>
        <w:ind w:firstLineChars="200" w:firstLine="480"/>
        <w:rPr>
          <w:sz w:val="24"/>
          <w:szCs w:val="24"/>
        </w:rPr>
      </w:pPr>
      <w:r>
        <w:rPr>
          <w:rFonts w:hint="eastAsia"/>
          <w:sz w:val="24"/>
          <w:szCs w:val="24"/>
        </w:rPr>
        <w:t>对于含投资者回售权的固定收益品种，行使回售权的，在回售登记日至实际收款日期间建议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4CA86E06" w14:textId="77777777" w:rsidR="00791BDD" w:rsidRDefault="00B75151">
      <w:pPr>
        <w:adjustRightInd w:val="0"/>
        <w:snapToGrid w:val="0"/>
        <w:spacing w:line="360" w:lineRule="auto"/>
        <w:ind w:firstLineChars="200" w:firstLine="480"/>
        <w:rPr>
          <w:sz w:val="24"/>
          <w:szCs w:val="24"/>
        </w:rPr>
      </w:pPr>
      <w:r>
        <w:rPr>
          <w:rFonts w:hint="eastAsia"/>
          <w:sz w:val="24"/>
          <w:szCs w:val="24"/>
        </w:rPr>
        <w:t>5</w:t>
      </w:r>
      <w:r>
        <w:rPr>
          <w:rFonts w:hint="eastAsia"/>
          <w:sz w:val="24"/>
          <w:szCs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7491C90C" w14:textId="77777777" w:rsidR="00791BDD" w:rsidRDefault="00B75151">
      <w:pPr>
        <w:adjustRightInd w:val="0"/>
        <w:snapToGrid w:val="0"/>
        <w:spacing w:line="360" w:lineRule="auto"/>
        <w:ind w:firstLineChars="200" w:firstLine="480"/>
        <w:rPr>
          <w:sz w:val="24"/>
          <w:szCs w:val="24"/>
        </w:rPr>
      </w:pPr>
      <w:r>
        <w:rPr>
          <w:rFonts w:hint="eastAsia"/>
          <w:sz w:val="24"/>
          <w:szCs w:val="24"/>
        </w:rPr>
        <w:t>6</w:t>
      </w:r>
      <w:r>
        <w:rPr>
          <w:rFonts w:hint="eastAsia"/>
          <w:sz w:val="24"/>
          <w:szCs w:val="24"/>
        </w:rPr>
        <w:t>、对于未上市或未挂牌转让且不存在活跃市场的固定收益品种，采用在当前情况下适用并且有足够可利用数据和其他信息支持的估值技术确定其公允价值。</w:t>
      </w:r>
    </w:p>
    <w:p w14:paraId="17DACEA4" w14:textId="77777777" w:rsidR="00791BDD" w:rsidRDefault="00B75151">
      <w:pPr>
        <w:adjustRightInd w:val="0"/>
        <w:snapToGrid w:val="0"/>
        <w:spacing w:line="360" w:lineRule="auto"/>
        <w:ind w:firstLineChars="200" w:firstLine="480"/>
        <w:rPr>
          <w:sz w:val="24"/>
          <w:szCs w:val="24"/>
        </w:rPr>
      </w:pPr>
      <w:r>
        <w:rPr>
          <w:rFonts w:hint="eastAsia"/>
          <w:sz w:val="24"/>
          <w:szCs w:val="24"/>
        </w:rPr>
        <w:t>7</w:t>
      </w:r>
      <w:r>
        <w:rPr>
          <w:rFonts w:hint="eastAsia"/>
          <w:sz w:val="24"/>
          <w:szCs w:val="24"/>
        </w:rPr>
        <w:t>、本基金投资股指期货合约，一般以估值当日结算价进行估值，估值当日无结算价的，且最近交易日后经济环境未发生重大变化的，采用最近交易日结算价估值。</w:t>
      </w:r>
    </w:p>
    <w:p w14:paraId="40363807" w14:textId="77777777" w:rsidR="00791BDD" w:rsidRDefault="00B75151">
      <w:pPr>
        <w:adjustRightInd w:val="0"/>
        <w:snapToGrid w:val="0"/>
        <w:spacing w:line="360" w:lineRule="auto"/>
        <w:ind w:firstLineChars="200" w:firstLine="480"/>
        <w:rPr>
          <w:sz w:val="24"/>
          <w:szCs w:val="24"/>
        </w:rPr>
      </w:pPr>
      <w:r>
        <w:rPr>
          <w:rFonts w:hint="eastAsia"/>
          <w:sz w:val="24"/>
          <w:szCs w:val="24"/>
        </w:rPr>
        <w:t>8</w:t>
      </w:r>
      <w:r>
        <w:rPr>
          <w:rFonts w:hint="eastAsia"/>
          <w:sz w:val="24"/>
          <w:szCs w:val="24"/>
        </w:rPr>
        <w:t>、同一证券同时在两个或两个以上市场交易的，按证券所处的市场分别估值。</w:t>
      </w:r>
    </w:p>
    <w:p w14:paraId="7B104532" w14:textId="77777777" w:rsidR="00791BDD" w:rsidRDefault="00B75151">
      <w:pPr>
        <w:adjustRightInd w:val="0"/>
        <w:snapToGrid w:val="0"/>
        <w:spacing w:line="360" w:lineRule="auto"/>
        <w:ind w:firstLineChars="200" w:firstLine="480"/>
        <w:rPr>
          <w:sz w:val="24"/>
          <w:szCs w:val="24"/>
        </w:rPr>
      </w:pPr>
      <w:r>
        <w:rPr>
          <w:rFonts w:hint="eastAsia"/>
          <w:sz w:val="24"/>
          <w:szCs w:val="24"/>
        </w:rPr>
        <w:t>9</w:t>
      </w:r>
      <w:r>
        <w:rPr>
          <w:rFonts w:hint="eastAsia"/>
          <w:sz w:val="24"/>
          <w:szCs w:val="24"/>
        </w:rPr>
        <w:t>、估值计算中涉及港币对人民币汇率的，将依据下列信息提供机构所提供的汇率为基准：当日中国人民银行或其授权机构公布的人民币与港币的中间价。</w:t>
      </w:r>
    </w:p>
    <w:p w14:paraId="3A3B9B81" w14:textId="77777777" w:rsidR="00791BDD" w:rsidRDefault="00B75151">
      <w:pPr>
        <w:adjustRightInd w:val="0"/>
        <w:snapToGrid w:val="0"/>
        <w:spacing w:line="360" w:lineRule="auto"/>
        <w:ind w:firstLineChars="200" w:firstLine="480"/>
        <w:rPr>
          <w:sz w:val="24"/>
          <w:szCs w:val="24"/>
        </w:rPr>
      </w:pPr>
      <w:r>
        <w:rPr>
          <w:rFonts w:hint="eastAsia"/>
          <w:sz w:val="24"/>
          <w:szCs w:val="24"/>
        </w:rPr>
        <w:t>10</w:t>
      </w:r>
      <w:r>
        <w:rPr>
          <w:rFonts w:hint="eastAsia"/>
          <w:sz w:val="24"/>
          <w:szCs w:val="24"/>
        </w:rPr>
        <w:t>、对于因税收规定调整或其他原因导致本基金实际交纳税金与估算的应交税金有差异的，本基金将在相关税金调整日或实际支付日进行相应的会计处理。</w:t>
      </w:r>
    </w:p>
    <w:p w14:paraId="1BC985F2" w14:textId="77777777" w:rsidR="00791BDD" w:rsidRDefault="00B75151">
      <w:pPr>
        <w:adjustRightInd w:val="0"/>
        <w:snapToGrid w:val="0"/>
        <w:spacing w:line="360" w:lineRule="auto"/>
        <w:ind w:firstLineChars="200" w:firstLine="480"/>
        <w:rPr>
          <w:sz w:val="24"/>
          <w:szCs w:val="24"/>
        </w:rPr>
      </w:pPr>
      <w:r>
        <w:rPr>
          <w:rFonts w:hint="eastAsia"/>
          <w:sz w:val="24"/>
          <w:szCs w:val="24"/>
        </w:rPr>
        <w:t>11</w:t>
      </w:r>
      <w:r>
        <w:rPr>
          <w:rFonts w:hint="eastAsia"/>
          <w:sz w:val="24"/>
          <w:szCs w:val="24"/>
        </w:rPr>
        <w:t>、本基金投资存托凭证的估值核算依照境内上市交易的股票执行。</w:t>
      </w:r>
    </w:p>
    <w:p w14:paraId="1D2465D7" w14:textId="77777777" w:rsidR="00791BDD" w:rsidRDefault="00B75151">
      <w:pPr>
        <w:adjustRightInd w:val="0"/>
        <w:snapToGrid w:val="0"/>
        <w:spacing w:line="360" w:lineRule="auto"/>
        <w:ind w:firstLineChars="200" w:firstLine="480"/>
        <w:rPr>
          <w:sz w:val="24"/>
          <w:szCs w:val="24"/>
        </w:rPr>
      </w:pPr>
      <w:r>
        <w:rPr>
          <w:rFonts w:hint="eastAsia"/>
          <w:sz w:val="24"/>
          <w:szCs w:val="24"/>
        </w:rPr>
        <w:t>12</w:t>
      </w:r>
      <w:r>
        <w:rPr>
          <w:rFonts w:hint="eastAsia"/>
          <w:sz w:val="24"/>
          <w:szCs w:val="24"/>
        </w:rPr>
        <w:t>、如有确凿证据表明按上述方法进行估值不能客观反映其公允价值的，基金管理人可根据具体情况与基金托管人商定后，按最能反映公允价值的价格估值。</w:t>
      </w:r>
    </w:p>
    <w:p w14:paraId="1863A32D" w14:textId="77777777" w:rsidR="00791BDD" w:rsidRDefault="00B75151">
      <w:pPr>
        <w:adjustRightInd w:val="0"/>
        <w:snapToGrid w:val="0"/>
        <w:spacing w:line="360" w:lineRule="auto"/>
        <w:ind w:firstLineChars="200" w:firstLine="480"/>
        <w:rPr>
          <w:sz w:val="24"/>
          <w:szCs w:val="24"/>
        </w:rPr>
      </w:pPr>
      <w:r>
        <w:rPr>
          <w:rFonts w:hint="eastAsia"/>
          <w:sz w:val="24"/>
          <w:szCs w:val="24"/>
        </w:rPr>
        <w:t>13</w:t>
      </w:r>
      <w:r>
        <w:rPr>
          <w:rFonts w:hint="eastAsia"/>
          <w:sz w:val="24"/>
          <w:szCs w:val="24"/>
        </w:rPr>
        <w:t>、当发生大额申购或赎回情形时，基金管理人可以采用摆动定价机制，以确保基金估值的公平性。</w:t>
      </w:r>
    </w:p>
    <w:p w14:paraId="4177C66C" w14:textId="77777777" w:rsidR="00791BDD" w:rsidRDefault="00B75151">
      <w:pPr>
        <w:adjustRightInd w:val="0"/>
        <w:snapToGrid w:val="0"/>
        <w:spacing w:line="360" w:lineRule="auto"/>
        <w:ind w:firstLineChars="200" w:firstLine="480"/>
        <w:rPr>
          <w:sz w:val="24"/>
          <w:szCs w:val="24"/>
        </w:rPr>
      </w:pPr>
      <w:r>
        <w:rPr>
          <w:rFonts w:hint="eastAsia"/>
          <w:sz w:val="24"/>
          <w:szCs w:val="24"/>
        </w:rPr>
        <w:t>14</w:t>
      </w:r>
      <w:r>
        <w:rPr>
          <w:rFonts w:hint="eastAsia"/>
          <w:sz w:val="24"/>
          <w:szCs w:val="24"/>
        </w:rPr>
        <w:t>、相关法律法规以及监管部门有强制规定的，从其规定。如有新增事项，按国家最新规定估值。</w:t>
      </w:r>
    </w:p>
    <w:p w14:paraId="2B03E53E" w14:textId="77777777" w:rsidR="00791BDD" w:rsidRDefault="00B75151">
      <w:pPr>
        <w:adjustRightInd w:val="0"/>
        <w:snapToGrid w:val="0"/>
        <w:spacing w:line="360" w:lineRule="auto"/>
        <w:ind w:firstLineChars="200" w:firstLine="480"/>
        <w:rPr>
          <w:sz w:val="24"/>
          <w:szCs w:val="24"/>
        </w:rPr>
      </w:pPr>
      <w:r>
        <w:rPr>
          <w:rFonts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4F7E445A" w14:textId="77777777" w:rsidR="00791BDD" w:rsidRDefault="00B75151">
      <w:pPr>
        <w:adjustRightInd w:val="0"/>
        <w:snapToGrid w:val="0"/>
        <w:spacing w:line="360" w:lineRule="auto"/>
        <w:ind w:firstLineChars="200" w:firstLine="480"/>
        <w:rPr>
          <w:sz w:val="24"/>
          <w:szCs w:val="24"/>
        </w:rPr>
      </w:pPr>
      <w:r>
        <w:rPr>
          <w:rFonts w:hint="eastAsia"/>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由此给基金份额持有人和基金造成的损失以及因该交易日基金资产净值计算顺延错误而引起的损失，基金托管人不承担任何责任。</w:t>
      </w:r>
    </w:p>
    <w:p w14:paraId="3A111FD1" w14:textId="77777777" w:rsidR="00791BDD" w:rsidRDefault="00B75151">
      <w:pPr>
        <w:adjustRightInd w:val="0"/>
        <w:snapToGrid w:val="0"/>
        <w:spacing w:line="360" w:lineRule="auto"/>
        <w:ind w:firstLineChars="200" w:firstLine="482"/>
        <w:outlineLvl w:val="1"/>
        <w:rPr>
          <w:b/>
          <w:sz w:val="24"/>
          <w:szCs w:val="24"/>
        </w:rPr>
      </w:pPr>
      <w:r>
        <w:rPr>
          <w:rFonts w:hAnsi="宋体"/>
          <w:b/>
          <w:sz w:val="24"/>
          <w:szCs w:val="24"/>
        </w:rPr>
        <w:t>（</w:t>
      </w:r>
      <w:r>
        <w:rPr>
          <w:rFonts w:hAnsi="宋体" w:hint="eastAsia"/>
          <w:b/>
          <w:sz w:val="24"/>
          <w:szCs w:val="24"/>
        </w:rPr>
        <w:t>五</w:t>
      </w:r>
      <w:r>
        <w:rPr>
          <w:rFonts w:hAnsi="宋体"/>
          <w:b/>
          <w:sz w:val="24"/>
          <w:szCs w:val="24"/>
        </w:rPr>
        <w:t>）估值程序</w:t>
      </w:r>
    </w:p>
    <w:p w14:paraId="3DFE56B7" w14:textId="77777777" w:rsidR="00791BDD" w:rsidRDefault="00B75151">
      <w:pPr>
        <w:adjustRightInd w:val="0"/>
        <w:snapToGrid w:val="0"/>
        <w:spacing w:line="360" w:lineRule="auto"/>
        <w:ind w:firstLineChars="200" w:firstLine="480"/>
        <w:outlineLvl w:val="1"/>
        <w:rPr>
          <w:sz w:val="24"/>
          <w:szCs w:val="24"/>
        </w:rPr>
      </w:pPr>
      <w:r>
        <w:rPr>
          <w:rFonts w:hint="eastAsia"/>
          <w:sz w:val="24"/>
          <w:szCs w:val="24"/>
        </w:rPr>
        <w:t>1</w:t>
      </w:r>
      <w:r>
        <w:rPr>
          <w:rFonts w:hint="eastAsia"/>
          <w:sz w:val="24"/>
          <w:szCs w:val="24"/>
        </w:rPr>
        <w:t>、基金份额净值是按照每个工作日闭市后，基金资产净值除以当日基金份额的余额数量计算，精确到</w:t>
      </w:r>
      <w:r>
        <w:rPr>
          <w:rFonts w:hint="eastAsia"/>
          <w:sz w:val="24"/>
          <w:szCs w:val="24"/>
        </w:rPr>
        <w:t>0.0001</w:t>
      </w:r>
      <w:r>
        <w:rPr>
          <w:rFonts w:hint="eastAsia"/>
          <w:sz w:val="24"/>
          <w:szCs w:val="24"/>
        </w:rPr>
        <w:t>元，小数点后第</w:t>
      </w:r>
      <w:r>
        <w:rPr>
          <w:rFonts w:hint="eastAsia"/>
          <w:sz w:val="24"/>
          <w:szCs w:val="24"/>
        </w:rPr>
        <w:t>5</w:t>
      </w:r>
      <w:r>
        <w:rPr>
          <w:rFonts w:hint="eastAsia"/>
          <w:sz w:val="24"/>
          <w:szCs w:val="24"/>
        </w:rPr>
        <w:t>位四舍五入，由此产生的误差计入基金财产。基金管理人可以设立大额赎回情形下的净值精度应急调整机制，具体可参见相关公告。国家另有规定的，从其规定。</w:t>
      </w:r>
    </w:p>
    <w:p w14:paraId="61517063" w14:textId="77777777" w:rsidR="00791BDD" w:rsidRDefault="00B75151">
      <w:pPr>
        <w:adjustRightInd w:val="0"/>
        <w:snapToGrid w:val="0"/>
        <w:spacing w:line="360" w:lineRule="auto"/>
        <w:ind w:firstLineChars="200" w:firstLine="480"/>
        <w:outlineLvl w:val="1"/>
        <w:rPr>
          <w:sz w:val="24"/>
          <w:szCs w:val="24"/>
        </w:rPr>
      </w:pPr>
      <w:r>
        <w:rPr>
          <w:rFonts w:hint="eastAsia"/>
          <w:sz w:val="24"/>
          <w:szCs w:val="24"/>
        </w:rPr>
        <w:t>基金管理人于每个工作日计算基金资产净值及基金份额净值，经基金托管人复核，并按规定公告。如遇特殊情况，经履行适当程序，可以适当延迟计算或公告。</w:t>
      </w:r>
    </w:p>
    <w:p w14:paraId="0C5171DD" w14:textId="77777777" w:rsidR="00791BDD" w:rsidRDefault="00B75151">
      <w:pPr>
        <w:adjustRightInd w:val="0"/>
        <w:snapToGrid w:val="0"/>
        <w:spacing w:line="360" w:lineRule="auto"/>
        <w:ind w:firstLineChars="200" w:firstLine="480"/>
        <w:outlineLvl w:val="1"/>
        <w:rPr>
          <w:sz w:val="24"/>
          <w:szCs w:val="24"/>
        </w:rPr>
      </w:pPr>
      <w:r>
        <w:rPr>
          <w:rFonts w:hint="eastAsia"/>
          <w:sz w:val="24"/>
          <w:szCs w:val="24"/>
        </w:rPr>
        <w:t>2</w:t>
      </w:r>
      <w:r>
        <w:rPr>
          <w:rFonts w:hint="eastAsia"/>
          <w:sz w:val="24"/>
          <w:szCs w:val="24"/>
        </w:rPr>
        <w:t>、基金管理人应每个工作日对基金资产估值，但基金管理人根据法律法规或本基金合同的规定暂停估值时除外。基金管理人每个工作日对基金资产估值后，将基金资产净值、基金份额净值结果发送基金托管人，经基金托管人复核无误后，由基金管理人依据基金合同和相关法律法规的规定对外公布。</w:t>
      </w:r>
    </w:p>
    <w:p w14:paraId="2B89F458" w14:textId="77777777" w:rsidR="00791BDD" w:rsidRDefault="00B75151">
      <w:pPr>
        <w:adjustRightInd w:val="0"/>
        <w:snapToGrid w:val="0"/>
        <w:spacing w:line="360" w:lineRule="auto"/>
        <w:ind w:firstLineChars="200" w:firstLine="482"/>
        <w:outlineLvl w:val="1"/>
        <w:rPr>
          <w:b/>
          <w:sz w:val="24"/>
          <w:szCs w:val="24"/>
        </w:rPr>
      </w:pPr>
      <w:r>
        <w:rPr>
          <w:rFonts w:hAnsi="宋体"/>
          <w:b/>
          <w:sz w:val="24"/>
          <w:szCs w:val="24"/>
        </w:rPr>
        <w:t>（</w:t>
      </w:r>
      <w:r>
        <w:rPr>
          <w:rFonts w:hAnsi="宋体" w:hint="eastAsia"/>
          <w:b/>
          <w:sz w:val="24"/>
          <w:szCs w:val="24"/>
        </w:rPr>
        <w:t>六</w:t>
      </w:r>
      <w:r>
        <w:rPr>
          <w:rFonts w:hAnsi="宋体"/>
          <w:b/>
          <w:sz w:val="24"/>
          <w:szCs w:val="24"/>
        </w:rPr>
        <w:t>）估值错误的处理</w:t>
      </w:r>
    </w:p>
    <w:p w14:paraId="666F8B44" w14:textId="77777777" w:rsidR="00791BDD" w:rsidRDefault="00B75151">
      <w:pPr>
        <w:adjustRightInd w:val="0"/>
        <w:snapToGrid w:val="0"/>
        <w:spacing w:line="360" w:lineRule="auto"/>
        <w:ind w:firstLineChars="200" w:firstLine="480"/>
        <w:rPr>
          <w:rFonts w:hAnsi="宋体"/>
          <w:sz w:val="24"/>
          <w:szCs w:val="24"/>
        </w:rPr>
      </w:pPr>
      <w:r>
        <w:rPr>
          <w:rFonts w:hAnsi="宋体" w:hint="eastAsia"/>
          <w:sz w:val="24"/>
          <w:szCs w:val="24"/>
        </w:rPr>
        <w:t>基金管理人和基金托管人将采取必要、适当、合理的措施确保基金资产估值的准确性、及时性。当基金份额净值小数点后</w:t>
      </w:r>
      <w:r>
        <w:rPr>
          <w:rFonts w:hAnsi="宋体" w:hint="eastAsia"/>
          <w:sz w:val="24"/>
          <w:szCs w:val="24"/>
        </w:rPr>
        <w:t>4</w:t>
      </w:r>
      <w:r>
        <w:rPr>
          <w:rFonts w:hAnsi="宋体" w:hint="eastAsia"/>
          <w:sz w:val="24"/>
          <w:szCs w:val="24"/>
        </w:rPr>
        <w:t>位以内（含第</w:t>
      </w:r>
      <w:r>
        <w:rPr>
          <w:rFonts w:hAnsi="宋体" w:hint="eastAsia"/>
          <w:sz w:val="24"/>
          <w:szCs w:val="24"/>
        </w:rPr>
        <w:t>4</w:t>
      </w:r>
      <w:r>
        <w:rPr>
          <w:rFonts w:hAnsi="宋体" w:hint="eastAsia"/>
          <w:sz w:val="24"/>
          <w:szCs w:val="24"/>
        </w:rPr>
        <w:t>位）发生估值错误时，视为基金份额净值错误。</w:t>
      </w:r>
    </w:p>
    <w:p w14:paraId="603E8B7D" w14:textId="77777777" w:rsidR="00791BDD" w:rsidRDefault="00B75151">
      <w:pPr>
        <w:adjustRightInd w:val="0"/>
        <w:snapToGrid w:val="0"/>
        <w:spacing w:line="360" w:lineRule="auto"/>
        <w:ind w:firstLineChars="200" w:firstLine="480"/>
        <w:rPr>
          <w:rFonts w:hAnsi="宋体"/>
          <w:sz w:val="24"/>
          <w:szCs w:val="24"/>
        </w:rPr>
      </w:pPr>
      <w:r>
        <w:rPr>
          <w:rFonts w:hAnsi="宋体" w:hint="eastAsia"/>
          <w:sz w:val="24"/>
          <w:szCs w:val="24"/>
        </w:rPr>
        <w:t>基金合同的当事人应按照以下约定处理：</w:t>
      </w:r>
    </w:p>
    <w:p w14:paraId="5A7A27CE" w14:textId="77777777" w:rsidR="00791BDD" w:rsidRDefault="00B75151">
      <w:pPr>
        <w:adjustRightInd w:val="0"/>
        <w:snapToGrid w:val="0"/>
        <w:spacing w:line="360" w:lineRule="auto"/>
        <w:ind w:firstLineChars="200" w:firstLine="480"/>
        <w:outlineLvl w:val="2"/>
        <w:rPr>
          <w:rFonts w:hAnsi="宋体"/>
          <w:sz w:val="24"/>
          <w:szCs w:val="24"/>
        </w:rPr>
      </w:pPr>
      <w:r>
        <w:rPr>
          <w:rFonts w:hAnsi="宋体" w:hint="eastAsia"/>
          <w:sz w:val="24"/>
          <w:szCs w:val="24"/>
        </w:rPr>
        <w:t>1</w:t>
      </w:r>
      <w:r>
        <w:rPr>
          <w:rFonts w:hAnsi="宋体" w:hint="eastAsia"/>
          <w:sz w:val="24"/>
          <w:szCs w:val="24"/>
        </w:rPr>
        <w:t>、估值错误类型</w:t>
      </w:r>
    </w:p>
    <w:p w14:paraId="1B55EB2C" w14:textId="77777777" w:rsidR="00791BDD" w:rsidRDefault="00B75151">
      <w:pPr>
        <w:adjustRightInd w:val="0"/>
        <w:snapToGrid w:val="0"/>
        <w:spacing w:line="360" w:lineRule="auto"/>
        <w:ind w:firstLineChars="200" w:firstLine="480"/>
        <w:rPr>
          <w:rFonts w:hAnsi="宋体"/>
          <w:sz w:val="24"/>
          <w:szCs w:val="24"/>
        </w:rPr>
      </w:pPr>
      <w:r>
        <w:rPr>
          <w:rFonts w:hAnsi="宋体" w:hint="eastAsia"/>
          <w:sz w:val="24"/>
          <w:szCs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4A2BA896" w14:textId="77777777" w:rsidR="00791BDD" w:rsidRDefault="00B75151">
      <w:pPr>
        <w:adjustRightInd w:val="0"/>
        <w:snapToGrid w:val="0"/>
        <w:spacing w:line="360" w:lineRule="auto"/>
        <w:ind w:firstLineChars="200" w:firstLine="480"/>
        <w:rPr>
          <w:rFonts w:hAnsi="宋体"/>
          <w:sz w:val="24"/>
          <w:szCs w:val="24"/>
        </w:rPr>
      </w:pPr>
      <w:r>
        <w:rPr>
          <w:rFonts w:hAnsi="宋体" w:hint="eastAsia"/>
          <w:sz w:val="24"/>
          <w:szCs w:val="24"/>
        </w:rPr>
        <w:t>上述估值错误的主要类型包括但不限于：资料申报差错、数据传输差错、数据计算差错、系统故障差错、下达指令差错等。</w:t>
      </w:r>
    </w:p>
    <w:p w14:paraId="07EF65C7" w14:textId="77777777" w:rsidR="00791BDD" w:rsidRDefault="00B75151">
      <w:pPr>
        <w:adjustRightInd w:val="0"/>
        <w:snapToGrid w:val="0"/>
        <w:spacing w:line="360" w:lineRule="auto"/>
        <w:ind w:firstLineChars="200" w:firstLine="480"/>
        <w:rPr>
          <w:rFonts w:hAnsi="宋体"/>
          <w:sz w:val="24"/>
          <w:szCs w:val="24"/>
        </w:rPr>
      </w:pPr>
      <w:r>
        <w:rPr>
          <w:rFonts w:hAnsi="宋体" w:hint="eastAsia"/>
          <w:sz w:val="24"/>
          <w:szCs w:val="24"/>
        </w:rPr>
        <w:t>对于因技术原因引起的差错，若系同行业现有技术水平无法预见、无法避免、无法抗拒，则属不可抗力，按照下述规定执行。</w:t>
      </w:r>
    </w:p>
    <w:p w14:paraId="06202A42" w14:textId="77777777" w:rsidR="00791BDD" w:rsidRDefault="00B75151">
      <w:pPr>
        <w:adjustRightInd w:val="0"/>
        <w:snapToGrid w:val="0"/>
        <w:spacing w:line="360" w:lineRule="auto"/>
        <w:ind w:firstLineChars="200" w:firstLine="480"/>
        <w:rPr>
          <w:rFonts w:hAnsi="宋体"/>
          <w:sz w:val="24"/>
          <w:szCs w:val="24"/>
        </w:rPr>
      </w:pPr>
      <w:r>
        <w:rPr>
          <w:rFonts w:hAnsi="宋体" w:hint="eastAsia"/>
          <w:sz w:val="24"/>
          <w:szCs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14:paraId="1B01EAD7" w14:textId="77777777" w:rsidR="00791BDD" w:rsidRDefault="00B75151">
      <w:pPr>
        <w:adjustRightInd w:val="0"/>
        <w:snapToGrid w:val="0"/>
        <w:spacing w:line="360" w:lineRule="auto"/>
        <w:ind w:firstLineChars="200" w:firstLine="480"/>
        <w:outlineLvl w:val="2"/>
        <w:rPr>
          <w:rFonts w:hAnsi="宋体"/>
          <w:sz w:val="24"/>
          <w:szCs w:val="24"/>
        </w:rPr>
      </w:pPr>
      <w:r>
        <w:rPr>
          <w:rFonts w:hAnsi="宋体" w:hint="eastAsia"/>
          <w:sz w:val="24"/>
          <w:szCs w:val="24"/>
        </w:rPr>
        <w:t>2</w:t>
      </w:r>
      <w:r>
        <w:rPr>
          <w:rFonts w:hAnsi="宋体" w:hint="eastAsia"/>
          <w:sz w:val="24"/>
          <w:szCs w:val="24"/>
        </w:rPr>
        <w:t>、估值错误处理原则</w:t>
      </w:r>
    </w:p>
    <w:p w14:paraId="339AEACF" w14:textId="77777777" w:rsidR="00791BDD" w:rsidRDefault="00B75151">
      <w:pPr>
        <w:adjustRightInd w:val="0"/>
        <w:snapToGrid w:val="0"/>
        <w:spacing w:line="360" w:lineRule="auto"/>
        <w:ind w:firstLineChars="200" w:firstLine="480"/>
        <w:rPr>
          <w:rFonts w:hAnsi="宋体"/>
          <w:sz w:val="24"/>
          <w:szCs w:val="24"/>
        </w:rPr>
      </w:pPr>
      <w:r>
        <w:rPr>
          <w:rFonts w:hAnsi="宋体" w:hint="eastAsia"/>
          <w:sz w:val="24"/>
          <w:szCs w:val="24"/>
        </w:rPr>
        <w:t>（</w:t>
      </w:r>
      <w:r>
        <w:rPr>
          <w:rFonts w:hAnsi="宋体" w:hint="eastAsia"/>
          <w:sz w:val="24"/>
          <w:szCs w:val="24"/>
        </w:rPr>
        <w:t>1</w:t>
      </w:r>
      <w:r>
        <w:rPr>
          <w:rFonts w:hAnsi="宋体" w:hint="eastAsia"/>
          <w:sz w:val="24"/>
          <w:szCs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592EE396" w14:textId="77777777" w:rsidR="00791BDD" w:rsidRDefault="00B75151">
      <w:pPr>
        <w:adjustRightInd w:val="0"/>
        <w:snapToGrid w:val="0"/>
        <w:spacing w:line="360" w:lineRule="auto"/>
        <w:ind w:firstLineChars="200" w:firstLine="480"/>
        <w:rPr>
          <w:rFonts w:hAnsi="宋体"/>
          <w:sz w:val="24"/>
          <w:szCs w:val="24"/>
        </w:rPr>
      </w:pPr>
      <w:r>
        <w:rPr>
          <w:rFonts w:hAnsi="宋体" w:hint="eastAsia"/>
          <w:sz w:val="24"/>
          <w:szCs w:val="24"/>
        </w:rPr>
        <w:t>（</w:t>
      </w:r>
      <w:r>
        <w:rPr>
          <w:rFonts w:hAnsi="宋体" w:hint="eastAsia"/>
          <w:sz w:val="24"/>
          <w:szCs w:val="24"/>
        </w:rPr>
        <w:t>2</w:t>
      </w:r>
      <w:r>
        <w:rPr>
          <w:rFonts w:hAnsi="宋体" w:hint="eastAsia"/>
          <w:sz w:val="24"/>
          <w:szCs w:val="24"/>
        </w:rPr>
        <w:t>）估值错误的责任方对有关当事人的直接损失负责，不对间接损失负责，并且仅对估值错误的有关直接当事人负责，不对第三方负责。</w:t>
      </w:r>
    </w:p>
    <w:p w14:paraId="76DDC9E8" w14:textId="77777777" w:rsidR="00791BDD" w:rsidRDefault="00B75151">
      <w:pPr>
        <w:adjustRightInd w:val="0"/>
        <w:snapToGrid w:val="0"/>
        <w:spacing w:line="360" w:lineRule="auto"/>
        <w:ind w:firstLineChars="200" w:firstLine="480"/>
        <w:rPr>
          <w:rFonts w:hAnsi="宋体"/>
          <w:sz w:val="24"/>
          <w:szCs w:val="24"/>
        </w:rPr>
      </w:pPr>
      <w:r>
        <w:rPr>
          <w:rFonts w:hAnsi="宋体" w:hint="eastAsia"/>
          <w:sz w:val="24"/>
          <w:szCs w:val="24"/>
        </w:rPr>
        <w:t>（</w:t>
      </w:r>
      <w:r>
        <w:rPr>
          <w:rFonts w:hAnsi="宋体" w:hint="eastAsia"/>
          <w:sz w:val="24"/>
          <w:szCs w:val="24"/>
        </w:rPr>
        <w:t>3</w:t>
      </w:r>
      <w:r>
        <w:rPr>
          <w:rFonts w:hAnsi="宋体" w:hint="eastAsia"/>
          <w:sz w:val="24"/>
          <w:szCs w:val="24"/>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597B002" w14:textId="77777777" w:rsidR="00791BDD" w:rsidRDefault="00B75151">
      <w:pPr>
        <w:adjustRightInd w:val="0"/>
        <w:snapToGrid w:val="0"/>
        <w:spacing w:line="360" w:lineRule="auto"/>
        <w:ind w:firstLineChars="200" w:firstLine="480"/>
        <w:rPr>
          <w:rFonts w:hAnsi="宋体"/>
          <w:sz w:val="24"/>
          <w:szCs w:val="24"/>
        </w:rPr>
      </w:pPr>
      <w:r>
        <w:rPr>
          <w:rFonts w:hAnsi="宋体" w:hint="eastAsia"/>
          <w:sz w:val="24"/>
          <w:szCs w:val="24"/>
        </w:rPr>
        <w:t>（</w:t>
      </w:r>
      <w:r>
        <w:rPr>
          <w:rFonts w:hAnsi="宋体" w:hint="eastAsia"/>
          <w:sz w:val="24"/>
          <w:szCs w:val="24"/>
        </w:rPr>
        <w:t>4</w:t>
      </w:r>
      <w:r>
        <w:rPr>
          <w:rFonts w:hAnsi="宋体" w:hint="eastAsia"/>
          <w:sz w:val="24"/>
          <w:szCs w:val="24"/>
        </w:rPr>
        <w:t>）估值错误调整采用尽量恢复至假设未发生估值错误的正确情形的方式。</w:t>
      </w:r>
    </w:p>
    <w:p w14:paraId="174817C4" w14:textId="77777777" w:rsidR="00791BDD" w:rsidRDefault="00B75151">
      <w:pPr>
        <w:adjustRightInd w:val="0"/>
        <w:snapToGrid w:val="0"/>
        <w:spacing w:line="360" w:lineRule="auto"/>
        <w:ind w:firstLineChars="200" w:firstLine="480"/>
        <w:rPr>
          <w:rFonts w:hAnsi="宋体"/>
          <w:sz w:val="24"/>
          <w:szCs w:val="24"/>
        </w:rPr>
      </w:pPr>
      <w:r>
        <w:rPr>
          <w:rFonts w:hAnsi="宋体" w:hint="eastAsia"/>
          <w:sz w:val="24"/>
          <w:szCs w:val="24"/>
        </w:rPr>
        <w:t>（</w:t>
      </w:r>
      <w:r>
        <w:rPr>
          <w:rFonts w:hAnsi="宋体" w:hint="eastAsia"/>
          <w:sz w:val="24"/>
          <w:szCs w:val="24"/>
        </w:rPr>
        <w:t>5</w:t>
      </w:r>
      <w:r>
        <w:rPr>
          <w:rFonts w:hAnsi="宋体" w:hint="eastAsia"/>
          <w:sz w:val="24"/>
          <w:szCs w:val="24"/>
        </w:rPr>
        <w:t>）按法律法规规定的其他原则处理估值错误。</w:t>
      </w:r>
    </w:p>
    <w:p w14:paraId="43C48847" w14:textId="77777777" w:rsidR="00791BDD" w:rsidRDefault="00B75151">
      <w:pPr>
        <w:adjustRightInd w:val="0"/>
        <w:snapToGrid w:val="0"/>
        <w:spacing w:line="360" w:lineRule="auto"/>
        <w:ind w:firstLineChars="200" w:firstLine="480"/>
        <w:outlineLvl w:val="2"/>
        <w:rPr>
          <w:rFonts w:hAnsi="宋体"/>
          <w:sz w:val="24"/>
          <w:szCs w:val="24"/>
        </w:rPr>
      </w:pPr>
      <w:r>
        <w:rPr>
          <w:rFonts w:hAnsi="宋体" w:hint="eastAsia"/>
          <w:sz w:val="24"/>
          <w:szCs w:val="24"/>
        </w:rPr>
        <w:t>3</w:t>
      </w:r>
      <w:r>
        <w:rPr>
          <w:rFonts w:hAnsi="宋体" w:hint="eastAsia"/>
          <w:sz w:val="24"/>
          <w:szCs w:val="24"/>
        </w:rPr>
        <w:t>、估值错误处理程序</w:t>
      </w:r>
    </w:p>
    <w:p w14:paraId="65ACEFF8" w14:textId="77777777" w:rsidR="00791BDD" w:rsidRDefault="00B75151">
      <w:pPr>
        <w:adjustRightInd w:val="0"/>
        <w:snapToGrid w:val="0"/>
        <w:spacing w:line="360" w:lineRule="auto"/>
        <w:ind w:firstLineChars="200" w:firstLine="480"/>
        <w:rPr>
          <w:rFonts w:hAnsi="宋体"/>
          <w:sz w:val="24"/>
          <w:szCs w:val="24"/>
        </w:rPr>
      </w:pPr>
      <w:r>
        <w:rPr>
          <w:rFonts w:hAnsi="宋体" w:hint="eastAsia"/>
          <w:sz w:val="24"/>
          <w:szCs w:val="24"/>
        </w:rPr>
        <w:t>估值错误被发现后，有关的当事人应当及时进行处理，处理的程序如下：</w:t>
      </w:r>
    </w:p>
    <w:p w14:paraId="367EF7AD" w14:textId="77777777" w:rsidR="00791BDD" w:rsidRDefault="00B75151">
      <w:pPr>
        <w:adjustRightInd w:val="0"/>
        <w:snapToGrid w:val="0"/>
        <w:spacing w:line="360" w:lineRule="auto"/>
        <w:ind w:firstLineChars="200" w:firstLine="480"/>
        <w:rPr>
          <w:rFonts w:hAnsi="宋体"/>
          <w:sz w:val="24"/>
          <w:szCs w:val="24"/>
        </w:rPr>
      </w:pPr>
      <w:r>
        <w:rPr>
          <w:rFonts w:hAnsi="宋体" w:hint="eastAsia"/>
          <w:sz w:val="24"/>
          <w:szCs w:val="24"/>
        </w:rPr>
        <w:t>（</w:t>
      </w:r>
      <w:r>
        <w:rPr>
          <w:rFonts w:hAnsi="宋体" w:hint="eastAsia"/>
          <w:sz w:val="24"/>
          <w:szCs w:val="24"/>
        </w:rPr>
        <w:t>1</w:t>
      </w:r>
      <w:r>
        <w:rPr>
          <w:rFonts w:hAnsi="宋体" w:hint="eastAsia"/>
          <w:sz w:val="24"/>
          <w:szCs w:val="24"/>
        </w:rPr>
        <w:t>）查明估值错误发生的原因，列明所有的当事人，并根据估值错误发生的原因确定估值错误的责任方；</w:t>
      </w:r>
    </w:p>
    <w:p w14:paraId="3FF087FB" w14:textId="77777777" w:rsidR="00791BDD" w:rsidRDefault="00B75151">
      <w:pPr>
        <w:adjustRightInd w:val="0"/>
        <w:snapToGrid w:val="0"/>
        <w:spacing w:line="360" w:lineRule="auto"/>
        <w:ind w:firstLineChars="200" w:firstLine="480"/>
        <w:rPr>
          <w:rFonts w:hAnsi="宋体"/>
          <w:sz w:val="24"/>
          <w:szCs w:val="24"/>
        </w:rPr>
      </w:pPr>
      <w:r>
        <w:rPr>
          <w:rFonts w:hAnsi="宋体" w:hint="eastAsia"/>
          <w:sz w:val="24"/>
          <w:szCs w:val="24"/>
        </w:rPr>
        <w:t>（</w:t>
      </w:r>
      <w:r>
        <w:rPr>
          <w:rFonts w:hAnsi="宋体" w:hint="eastAsia"/>
          <w:sz w:val="24"/>
          <w:szCs w:val="24"/>
        </w:rPr>
        <w:t>2</w:t>
      </w:r>
      <w:r>
        <w:rPr>
          <w:rFonts w:hAnsi="宋体" w:hint="eastAsia"/>
          <w:sz w:val="24"/>
          <w:szCs w:val="24"/>
        </w:rPr>
        <w:t>）根据估值错误处理原则或当事人协商的方法对因估值错误造成的损失进行评估；</w:t>
      </w:r>
    </w:p>
    <w:p w14:paraId="099D83C0" w14:textId="77777777" w:rsidR="00791BDD" w:rsidRDefault="00B75151">
      <w:pPr>
        <w:adjustRightInd w:val="0"/>
        <w:snapToGrid w:val="0"/>
        <w:spacing w:line="360" w:lineRule="auto"/>
        <w:ind w:firstLineChars="200" w:firstLine="480"/>
        <w:rPr>
          <w:rFonts w:hAnsi="宋体"/>
          <w:sz w:val="24"/>
          <w:szCs w:val="24"/>
        </w:rPr>
      </w:pPr>
      <w:r>
        <w:rPr>
          <w:rFonts w:hAnsi="宋体" w:hint="eastAsia"/>
          <w:sz w:val="24"/>
          <w:szCs w:val="24"/>
        </w:rPr>
        <w:t>（</w:t>
      </w:r>
      <w:r>
        <w:rPr>
          <w:rFonts w:hAnsi="宋体" w:hint="eastAsia"/>
          <w:sz w:val="24"/>
          <w:szCs w:val="24"/>
        </w:rPr>
        <w:t>3</w:t>
      </w:r>
      <w:r>
        <w:rPr>
          <w:rFonts w:hAnsi="宋体" w:hint="eastAsia"/>
          <w:sz w:val="24"/>
          <w:szCs w:val="24"/>
        </w:rPr>
        <w:t>）根据估值错误处理原则或当事人协商的方法由估值错误的责任方进行更正和赔偿损失；</w:t>
      </w:r>
    </w:p>
    <w:p w14:paraId="7AD40EE0" w14:textId="77777777" w:rsidR="00791BDD" w:rsidRDefault="00B75151">
      <w:pPr>
        <w:adjustRightInd w:val="0"/>
        <w:snapToGrid w:val="0"/>
        <w:spacing w:line="360" w:lineRule="auto"/>
        <w:ind w:firstLineChars="200" w:firstLine="480"/>
        <w:rPr>
          <w:rFonts w:hAnsi="宋体"/>
          <w:sz w:val="24"/>
          <w:szCs w:val="24"/>
        </w:rPr>
      </w:pPr>
      <w:r>
        <w:rPr>
          <w:rFonts w:hAnsi="宋体" w:hint="eastAsia"/>
          <w:sz w:val="24"/>
          <w:szCs w:val="24"/>
        </w:rPr>
        <w:t>（</w:t>
      </w:r>
      <w:r>
        <w:rPr>
          <w:rFonts w:hAnsi="宋体" w:hint="eastAsia"/>
          <w:sz w:val="24"/>
          <w:szCs w:val="24"/>
        </w:rPr>
        <w:t>4</w:t>
      </w:r>
      <w:r>
        <w:rPr>
          <w:rFonts w:hAnsi="宋体" w:hint="eastAsia"/>
          <w:sz w:val="24"/>
          <w:szCs w:val="24"/>
        </w:rPr>
        <w:t>）根据估值错误处理的方法，需要修改基金登记机构交易数据的，由基金登记机构进行更正，并就估值错误的更正向有关当事人进行确认。</w:t>
      </w:r>
    </w:p>
    <w:p w14:paraId="344B9512" w14:textId="77777777" w:rsidR="00791BDD" w:rsidRDefault="00B75151">
      <w:pPr>
        <w:adjustRightInd w:val="0"/>
        <w:snapToGrid w:val="0"/>
        <w:spacing w:line="360" w:lineRule="auto"/>
        <w:ind w:firstLineChars="200" w:firstLine="480"/>
        <w:outlineLvl w:val="2"/>
        <w:rPr>
          <w:rFonts w:hAnsi="宋体"/>
          <w:sz w:val="24"/>
          <w:szCs w:val="24"/>
        </w:rPr>
      </w:pPr>
      <w:r>
        <w:rPr>
          <w:rFonts w:hAnsi="宋体" w:hint="eastAsia"/>
          <w:sz w:val="24"/>
          <w:szCs w:val="24"/>
        </w:rPr>
        <w:t>4</w:t>
      </w:r>
      <w:r>
        <w:rPr>
          <w:rFonts w:hAnsi="宋体" w:hint="eastAsia"/>
          <w:sz w:val="24"/>
          <w:szCs w:val="24"/>
        </w:rPr>
        <w:t>、基金份额净值估值错误处理的方法如下：</w:t>
      </w:r>
    </w:p>
    <w:p w14:paraId="52A2AA61" w14:textId="77777777" w:rsidR="00791BDD" w:rsidRDefault="00B75151">
      <w:pPr>
        <w:adjustRightInd w:val="0"/>
        <w:snapToGrid w:val="0"/>
        <w:spacing w:line="360" w:lineRule="auto"/>
        <w:ind w:firstLineChars="200" w:firstLine="480"/>
        <w:rPr>
          <w:rFonts w:hAnsi="宋体"/>
          <w:sz w:val="24"/>
          <w:szCs w:val="24"/>
        </w:rPr>
      </w:pPr>
      <w:r>
        <w:rPr>
          <w:rFonts w:hAnsi="宋体" w:hint="eastAsia"/>
          <w:sz w:val="24"/>
          <w:szCs w:val="24"/>
        </w:rPr>
        <w:t>（</w:t>
      </w:r>
      <w:r>
        <w:rPr>
          <w:rFonts w:hAnsi="宋体" w:hint="eastAsia"/>
          <w:sz w:val="24"/>
          <w:szCs w:val="24"/>
        </w:rPr>
        <w:t>1</w:t>
      </w:r>
      <w:r>
        <w:rPr>
          <w:rFonts w:hAnsi="宋体" w:hint="eastAsia"/>
          <w:sz w:val="24"/>
          <w:szCs w:val="24"/>
        </w:rPr>
        <w:t>）基金份额净值计算出现错误时，基金管理人应当立即予以纠正，通报基金托管人，并采取合理的措施防止损失进一步扩大。</w:t>
      </w:r>
    </w:p>
    <w:p w14:paraId="456F3915" w14:textId="77777777" w:rsidR="00791BDD" w:rsidRDefault="00B75151">
      <w:pPr>
        <w:adjustRightInd w:val="0"/>
        <w:snapToGrid w:val="0"/>
        <w:spacing w:line="360" w:lineRule="auto"/>
        <w:ind w:firstLineChars="200" w:firstLine="480"/>
        <w:rPr>
          <w:rFonts w:hAnsi="宋体"/>
          <w:sz w:val="24"/>
          <w:szCs w:val="24"/>
        </w:rPr>
      </w:pPr>
      <w:r>
        <w:rPr>
          <w:rFonts w:hAnsi="宋体" w:hint="eastAsia"/>
          <w:sz w:val="24"/>
          <w:szCs w:val="24"/>
        </w:rPr>
        <w:t>（</w:t>
      </w:r>
      <w:r>
        <w:rPr>
          <w:rFonts w:hAnsi="宋体" w:hint="eastAsia"/>
          <w:sz w:val="24"/>
          <w:szCs w:val="24"/>
        </w:rPr>
        <w:t>2</w:t>
      </w:r>
      <w:r>
        <w:rPr>
          <w:rFonts w:hAnsi="宋体" w:hint="eastAsia"/>
          <w:sz w:val="24"/>
          <w:szCs w:val="24"/>
        </w:rPr>
        <w:t>）错误偏差达到基金份额净值的</w:t>
      </w:r>
      <w:r>
        <w:rPr>
          <w:rFonts w:hAnsi="宋体" w:hint="eastAsia"/>
          <w:sz w:val="24"/>
          <w:szCs w:val="24"/>
        </w:rPr>
        <w:t>0.25%</w:t>
      </w:r>
      <w:r>
        <w:rPr>
          <w:rFonts w:hAnsi="宋体" w:hint="eastAsia"/>
          <w:sz w:val="24"/>
          <w:szCs w:val="24"/>
        </w:rPr>
        <w:t>时，基金管理人应当通报基金托管人并报中国证监会备案；错误偏差达到基金份额净值的</w:t>
      </w:r>
      <w:r>
        <w:rPr>
          <w:rFonts w:hAnsi="宋体" w:hint="eastAsia"/>
          <w:sz w:val="24"/>
          <w:szCs w:val="24"/>
        </w:rPr>
        <w:t>0.5%</w:t>
      </w:r>
      <w:r>
        <w:rPr>
          <w:rFonts w:hAnsi="宋体" w:hint="eastAsia"/>
          <w:sz w:val="24"/>
          <w:szCs w:val="24"/>
        </w:rPr>
        <w:t>时，基金管理人应当公告，并报中国证监会备案。</w:t>
      </w:r>
    </w:p>
    <w:p w14:paraId="56EDBF68" w14:textId="77777777" w:rsidR="00791BDD" w:rsidRDefault="00B75151">
      <w:pPr>
        <w:adjustRightInd w:val="0"/>
        <w:snapToGrid w:val="0"/>
        <w:spacing w:line="360" w:lineRule="auto"/>
        <w:ind w:firstLineChars="200" w:firstLine="480"/>
        <w:rPr>
          <w:rFonts w:hAnsi="宋体"/>
          <w:sz w:val="24"/>
          <w:szCs w:val="24"/>
        </w:rPr>
      </w:pPr>
      <w:r>
        <w:rPr>
          <w:rFonts w:hAnsi="宋体" w:hint="eastAsia"/>
          <w:sz w:val="24"/>
          <w:szCs w:val="24"/>
        </w:rPr>
        <w:t>（</w:t>
      </w:r>
      <w:r>
        <w:rPr>
          <w:rFonts w:hAnsi="宋体" w:hint="eastAsia"/>
          <w:sz w:val="24"/>
          <w:szCs w:val="24"/>
        </w:rPr>
        <w:t>3</w:t>
      </w:r>
      <w:r>
        <w:rPr>
          <w:rFonts w:hAnsi="宋体" w:hint="eastAsia"/>
          <w:sz w:val="24"/>
          <w:szCs w:val="24"/>
        </w:rPr>
        <w:t>）前述内容如法律法规或监管机关另有规定的，从其规定处理。如果行业另有通行做法，</w:t>
      </w:r>
      <w:r>
        <w:rPr>
          <w:rFonts w:hint="eastAsia"/>
          <w:bCs/>
          <w:sz w:val="24"/>
        </w:rPr>
        <w:t>基金管理人和基金托管人</w:t>
      </w:r>
      <w:r>
        <w:rPr>
          <w:rFonts w:hAnsi="宋体" w:hint="eastAsia"/>
          <w:sz w:val="24"/>
          <w:szCs w:val="24"/>
        </w:rPr>
        <w:t>应本着平等和保护基金份额持有人利益的原则进行协商。</w:t>
      </w:r>
    </w:p>
    <w:p w14:paraId="79D4DE61" w14:textId="77777777" w:rsidR="00791BDD" w:rsidRDefault="00B75151">
      <w:pPr>
        <w:adjustRightInd w:val="0"/>
        <w:snapToGrid w:val="0"/>
        <w:spacing w:line="360" w:lineRule="auto"/>
        <w:ind w:firstLineChars="200" w:firstLine="482"/>
        <w:outlineLvl w:val="1"/>
        <w:rPr>
          <w:b/>
          <w:sz w:val="24"/>
          <w:szCs w:val="24"/>
        </w:rPr>
      </w:pPr>
      <w:r>
        <w:rPr>
          <w:rFonts w:hAnsi="宋体"/>
          <w:b/>
          <w:sz w:val="24"/>
          <w:szCs w:val="24"/>
        </w:rPr>
        <w:t>（</w:t>
      </w:r>
      <w:r>
        <w:rPr>
          <w:rFonts w:hAnsi="宋体" w:hint="eastAsia"/>
          <w:b/>
          <w:sz w:val="24"/>
          <w:szCs w:val="24"/>
        </w:rPr>
        <w:t>七</w:t>
      </w:r>
      <w:r>
        <w:rPr>
          <w:rFonts w:hAnsi="宋体"/>
          <w:b/>
          <w:sz w:val="24"/>
          <w:szCs w:val="24"/>
        </w:rPr>
        <w:t>）暂停估值的情形</w:t>
      </w:r>
    </w:p>
    <w:p w14:paraId="76643B20" w14:textId="77777777" w:rsidR="00791BDD" w:rsidRDefault="00B75151">
      <w:pPr>
        <w:adjustRightInd w:val="0"/>
        <w:snapToGrid w:val="0"/>
        <w:spacing w:line="360" w:lineRule="auto"/>
        <w:ind w:firstLineChars="200" w:firstLine="480"/>
        <w:rPr>
          <w:sz w:val="24"/>
          <w:szCs w:val="24"/>
        </w:rPr>
      </w:pPr>
      <w:r>
        <w:rPr>
          <w:rFonts w:hint="eastAsia"/>
          <w:sz w:val="24"/>
          <w:szCs w:val="24"/>
        </w:rPr>
        <w:t>1</w:t>
      </w:r>
      <w:r>
        <w:rPr>
          <w:rFonts w:hint="eastAsia"/>
          <w:sz w:val="24"/>
          <w:szCs w:val="24"/>
        </w:rPr>
        <w:t>、基金投资所涉及的证券、期货交易市场遇法定节假日或因其他原因暂停营业时；</w:t>
      </w:r>
    </w:p>
    <w:p w14:paraId="7E3D3F9F" w14:textId="77777777" w:rsidR="00791BDD" w:rsidRDefault="00B75151">
      <w:pPr>
        <w:adjustRightInd w:val="0"/>
        <w:snapToGrid w:val="0"/>
        <w:spacing w:line="360" w:lineRule="auto"/>
        <w:ind w:firstLineChars="200" w:firstLine="480"/>
        <w:rPr>
          <w:sz w:val="24"/>
          <w:szCs w:val="24"/>
        </w:rPr>
      </w:pPr>
      <w:r>
        <w:rPr>
          <w:rFonts w:hint="eastAsia"/>
          <w:sz w:val="24"/>
          <w:szCs w:val="24"/>
        </w:rPr>
        <w:t>2</w:t>
      </w:r>
      <w:r>
        <w:rPr>
          <w:rFonts w:hint="eastAsia"/>
          <w:sz w:val="24"/>
          <w:szCs w:val="24"/>
        </w:rPr>
        <w:t>、因不可抗力致使基金管理人、基金托管人无法准确评估基金资产价值时；</w:t>
      </w:r>
    </w:p>
    <w:p w14:paraId="0EBEA07D" w14:textId="77777777" w:rsidR="00791BDD" w:rsidRDefault="00B75151">
      <w:pPr>
        <w:adjustRightInd w:val="0"/>
        <w:snapToGrid w:val="0"/>
        <w:spacing w:line="360" w:lineRule="auto"/>
        <w:ind w:firstLineChars="200" w:firstLine="480"/>
        <w:rPr>
          <w:sz w:val="24"/>
          <w:szCs w:val="24"/>
        </w:rPr>
      </w:pPr>
      <w:r>
        <w:rPr>
          <w:rFonts w:hint="eastAsia"/>
          <w:sz w:val="24"/>
          <w:szCs w:val="24"/>
        </w:rPr>
        <w:t>3</w:t>
      </w:r>
      <w:r>
        <w:rPr>
          <w:rFonts w:hint="eastAsia"/>
          <w:sz w:val="24"/>
          <w:szCs w:val="24"/>
        </w:rPr>
        <w:t>、当特定资产占前一估值日基金资产净值</w:t>
      </w:r>
      <w:r>
        <w:rPr>
          <w:rFonts w:hint="eastAsia"/>
          <w:sz w:val="24"/>
          <w:szCs w:val="24"/>
        </w:rPr>
        <w:t>50%</w:t>
      </w:r>
      <w:r>
        <w:rPr>
          <w:rFonts w:hint="eastAsia"/>
          <w:sz w:val="24"/>
          <w:szCs w:val="24"/>
        </w:rPr>
        <w:t>以上的，经与基金托管人协商确认后，基金管理人应当暂停估值；</w:t>
      </w:r>
    </w:p>
    <w:p w14:paraId="421F9A46" w14:textId="77777777" w:rsidR="00791BDD" w:rsidRDefault="00B75151">
      <w:pPr>
        <w:adjustRightInd w:val="0"/>
        <w:snapToGrid w:val="0"/>
        <w:spacing w:line="360" w:lineRule="auto"/>
        <w:ind w:firstLineChars="200" w:firstLine="480"/>
        <w:rPr>
          <w:sz w:val="24"/>
          <w:szCs w:val="24"/>
        </w:rPr>
      </w:pPr>
      <w:r>
        <w:rPr>
          <w:rFonts w:hint="eastAsia"/>
          <w:sz w:val="24"/>
          <w:szCs w:val="24"/>
        </w:rPr>
        <w:t>4</w:t>
      </w:r>
      <w:r>
        <w:rPr>
          <w:rFonts w:hint="eastAsia"/>
          <w:sz w:val="24"/>
          <w:szCs w:val="24"/>
        </w:rPr>
        <w:t>、法律法规、中国证监会和基金合同认定的其它情形。</w:t>
      </w:r>
    </w:p>
    <w:p w14:paraId="516E587A" w14:textId="77777777" w:rsidR="00791BDD" w:rsidRDefault="00B75151">
      <w:pPr>
        <w:adjustRightInd w:val="0"/>
        <w:snapToGrid w:val="0"/>
        <w:spacing w:line="360" w:lineRule="auto"/>
        <w:ind w:firstLineChars="200" w:firstLine="482"/>
        <w:outlineLvl w:val="1"/>
        <w:rPr>
          <w:b/>
          <w:sz w:val="24"/>
          <w:szCs w:val="24"/>
        </w:rPr>
      </w:pPr>
      <w:r>
        <w:rPr>
          <w:rFonts w:hAnsi="宋体"/>
          <w:b/>
          <w:sz w:val="24"/>
          <w:szCs w:val="24"/>
        </w:rPr>
        <w:t>（</w:t>
      </w:r>
      <w:r>
        <w:rPr>
          <w:rFonts w:hAnsi="宋体" w:hint="eastAsia"/>
          <w:b/>
          <w:sz w:val="24"/>
          <w:szCs w:val="24"/>
        </w:rPr>
        <w:t>八</w:t>
      </w:r>
      <w:r>
        <w:rPr>
          <w:rFonts w:hAnsi="宋体"/>
          <w:b/>
          <w:sz w:val="24"/>
          <w:szCs w:val="24"/>
        </w:rPr>
        <w:t>）基金净值的确认</w:t>
      </w:r>
    </w:p>
    <w:p w14:paraId="1145337D" w14:textId="77777777" w:rsidR="00791BDD" w:rsidRDefault="00B75151">
      <w:pPr>
        <w:adjustRightInd w:val="0"/>
        <w:snapToGrid w:val="0"/>
        <w:spacing w:line="360" w:lineRule="auto"/>
        <w:ind w:firstLineChars="200" w:firstLine="480"/>
        <w:rPr>
          <w:sz w:val="24"/>
          <w:szCs w:val="24"/>
        </w:rPr>
      </w:pPr>
      <w:r>
        <w:rPr>
          <w:rFonts w:hAnsi="宋体" w:hint="eastAsia"/>
          <w:sz w:val="24"/>
          <w:szCs w:val="24"/>
        </w:rPr>
        <w:t>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依据基金合同和相关法律法规的规定对基金净值予以公布。</w:t>
      </w:r>
    </w:p>
    <w:p w14:paraId="26D4FCDB" w14:textId="77777777" w:rsidR="00791BDD" w:rsidRDefault="00B75151">
      <w:pPr>
        <w:adjustRightInd w:val="0"/>
        <w:snapToGrid w:val="0"/>
        <w:spacing w:line="360" w:lineRule="auto"/>
        <w:ind w:firstLineChars="200" w:firstLine="482"/>
        <w:outlineLvl w:val="1"/>
        <w:rPr>
          <w:b/>
          <w:sz w:val="24"/>
          <w:szCs w:val="24"/>
        </w:rPr>
      </w:pPr>
      <w:r>
        <w:rPr>
          <w:rFonts w:hAnsi="宋体"/>
          <w:b/>
          <w:sz w:val="24"/>
          <w:szCs w:val="24"/>
        </w:rPr>
        <w:t>（</w:t>
      </w:r>
      <w:r>
        <w:rPr>
          <w:rFonts w:hAnsi="宋体" w:hint="eastAsia"/>
          <w:b/>
          <w:sz w:val="24"/>
          <w:szCs w:val="24"/>
        </w:rPr>
        <w:t>九</w:t>
      </w:r>
      <w:r>
        <w:rPr>
          <w:rFonts w:hAnsi="宋体"/>
          <w:b/>
          <w:sz w:val="24"/>
          <w:szCs w:val="24"/>
        </w:rPr>
        <w:t>）特殊情</w:t>
      </w:r>
      <w:r>
        <w:rPr>
          <w:rFonts w:hAnsi="宋体" w:hint="eastAsia"/>
          <w:b/>
          <w:sz w:val="24"/>
          <w:szCs w:val="24"/>
        </w:rPr>
        <w:t>形</w:t>
      </w:r>
      <w:r>
        <w:rPr>
          <w:rFonts w:hAnsi="宋体"/>
          <w:b/>
          <w:sz w:val="24"/>
          <w:szCs w:val="24"/>
        </w:rPr>
        <w:t>的处理</w:t>
      </w:r>
    </w:p>
    <w:p w14:paraId="53F52B1C" w14:textId="77777777" w:rsidR="00791BDD" w:rsidRDefault="00B75151">
      <w:pPr>
        <w:adjustRightInd w:val="0"/>
        <w:snapToGrid w:val="0"/>
        <w:spacing w:line="360" w:lineRule="auto"/>
        <w:ind w:firstLineChars="200" w:firstLine="480"/>
        <w:rPr>
          <w:sz w:val="24"/>
          <w:szCs w:val="24"/>
        </w:rPr>
      </w:pPr>
      <w:r>
        <w:rPr>
          <w:sz w:val="24"/>
          <w:szCs w:val="24"/>
        </w:rPr>
        <w:t>1</w:t>
      </w:r>
      <w:r>
        <w:rPr>
          <w:rFonts w:hint="eastAsia"/>
          <w:sz w:val="24"/>
          <w:szCs w:val="24"/>
        </w:rPr>
        <w:t>、基金管理人或基金托管人按估值方法的第</w:t>
      </w:r>
      <w:r>
        <w:rPr>
          <w:sz w:val="24"/>
          <w:szCs w:val="24"/>
        </w:rPr>
        <w:t>12</w:t>
      </w:r>
      <w:r>
        <w:rPr>
          <w:rFonts w:hint="eastAsia"/>
          <w:sz w:val="24"/>
          <w:szCs w:val="24"/>
        </w:rPr>
        <w:t>项进行估值时，所造成的误差不作为基金资产估值错误处理。</w:t>
      </w:r>
    </w:p>
    <w:p w14:paraId="7F83AAEF" w14:textId="77777777" w:rsidR="00791BDD" w:rsidRDefault="00B75151">
      <w:pPr>
        <w:adjustRightInd w:val="0"/>
        <w:snapToGrid w:val="0"/>
        <w:spacing w:line="360" w:lineRule="auto"/>
        <w:ind w:firstLineChars="200" w:firstLine="480"/>
        <w:rPr>
          <w:sz w:val="24"/>
          <w:szCs w:val="24"/>
        </w:rPr>
      </w:pPr>
      <w:r>
        <w:rPr>
          <w:sz w:val="24"/>
          <w:szCs w:val="24"/>
        </w:rPr>
        <w:t>2</w:t>
      </w:r>
      <w:r>
        <w:rPr>
          <w:rFonts w:hint="eastAsia"/>
          <w:sz w:val="24"/>
          <w:szCs w:val="24"/>
        </w:rPr>
        <w:t>、由于不可抗力原因，或由于证券、期货交易所、证券经纪机构、期货公司及登记结算公司</w:t>
      </w:r>
      <w:r>
        <w:rPr>
          <w:rFonts w:hint="eastAsia"/>
          <w:bCs/>
          <w:sz w:val="24"/>
        </w:rPr>
        <w:t>等第三方机构</w:t>
      </w:r>
      <w:r>
        <w:rPr>
          <w:rFonts w:hint="eastAsia"/>
          <w:sz w:val="24"/>
          <w:szCs w:val="24"/>
        </w:rPr>
        <w:t>发送的数据错误，或国家会计政策变更、市场规则变更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14:paraId="794183E3" w14:textId="77777777" w:rsidR="00791BDD" w:rsidRDefault="00B75151">
      <w:pPr>
        <w:adjustRightInd w:val="0"/>
        <w:snapToGrid w:val="0"/>
        <w:spacing w:line="360" w:lineRule="auto"/>
        <w:ind w:firstLineChars="200" w:firstLine="482"/>
        <w:outlineLvl w:val="1"/>
        <w:rPr>
          <w:rFonts w:hAnsi="宋体"/>
          <w:b/>
          <w:sz w:val="24"/>
          <w:szCs w:val="24"/>
        </w:rPr>
      </w:pPr>
      <w:r>
        <w:rPr>
          <w:rFonts w:hAnsi="宋体" w:hint="eastAsia"/>
          <w:b/>
          <w:sz w:val="24"/>
          <w:szCs w:val="24"/>
        </w:rPr>
        <w:t>（十）实施侧袋机制期间的基金资产估值</w:t>
      </w:r>
    </w:p>
    <w:p w14:paraId="616D9F69" w14:textId="77777777" w:rsidR="00791BDD" w:rsidRDefault="00B75151">
      <w:pPr>
        <w:adjustRightInd w:val="0"/>
        <w:snapToGrid w:val="0"/>
        <w:spacing w:line="360" w:lineRule="auto"/>
        <w:ind w:firstLineChars="200" w:firstLine="480"/>
        <w:rPr>
          <w:rFonts w:hAnsi="宋体"/>
          <w:sz w:val="24"/>
          <w:szCs w:val="24"/>
        </w:rPr>
      </w:pPr>
      <w:r>
        <w:rPr>
          <w:rFonts w:hAnsi="宋体" w:hint="eastAsia"/>
          <w:sz w:val="24"/>
          <w:szCs w:val="24"/>
        </w:rPr>
        <w:t>本基金实施侧袋机制的，应根据本部分的约定对主袋账户资产进行估值并披露主袋账户的基金净值信息，暂停披露侧袋账户份额净值。</w:t>
      </w:r>
      <w:bookmarkEnd w:id="51"/>
      <w:bookmarkEnd w:id="73"/>
    </w:p>
    <w:p w14:paraId="45897A67" w14:textId="77777777" w:rsidR="00791BDD" w:rsidRDefault="00B75151">
      <w:pPr>
        <w:adjustRightInd w:val="0"/>
        <w:snapToGrid w:val="0"/>
        <w:spacing w:line="360" w:lineRule="auto"/>
        <w:jc w:val="center"/>
        <w:outlineLvl w:val="0"/>
        <w:rPr>
          <w:rFonts w:ascii="宋体" w:hAnsi="宋体"/>
          <w:b/>
          <w:kern w:val="0"/>
          <w:sz w:val="30"/>
        </w:rPr>
      </w:pPr>
      <w:r>
        <w:rPr>
          <w:sz w:val="24"/>
          <w:szCs w:val="24"/>
        </w:rPr>
        <w:br w:type="page"/>
      </w:r>
      <w:bookmarkStart w:id="74" w:name="_Toc48122013"/>
      <w:bookmarkStart w:id="75" w:name="_Hlk217331113"/>
      <w:bookmarkStart w:id="76" w:name="_Hlk212628687"/>
      <w:bookmarkEnd w:id="72"/>
      <w:r>
        <w:rPr>
          <w:rFonts w:ascii="宋体" w:hAnsi="宋体" w:hint="eastAsia"/>
          <w:b/>
          <w:kern w:val="0"/>
          <w:sz w:val="30"/>
        </w:rPr>
        <w:t>十二、基金收益与分配</w:t>
      </w:r>
      <w:bookmarkEnd w:id="74"/>
    </w:p>
    <w:p w14:paraId="4629938A" w14:textId="77777777" w:rsidR="00791BDD" w:rsidRDefault="00B75151">
      <w:pPr>
        <w:adjustRightInd w:val="0"/>
        <w:snapToGrid w:val="0"/>
        <w:spacing w:line="360" w:lineRule="auto"/>
        <w:ind w:firstLineChars="200" w:firstLine="482"/>
        <w:outlineLvl w:val="1"/>
        <w:rPr>
          <w:b/>
          <w:sz w:val="24"/>
        </w:rPr>
      </w:pPr>
      <w:bookmarkStart w:id="77" w:name="_Hlk49343954"/>
      <w:r>
        <w:rPr>
          <w:rFonts w:hAnsi="宋体"/>
          <w:b/>
          <w:sz w:val="24"/>
        </w:rPr>
        <w:t>（一）基金利润的构成</w:t>
      </w:r>
    </w:p>
    <w:p w14:paraId="440DF1F8" w14:textId="77777777" w:rsidR="00791BDD" w:rsidRDefault="00B75151">
      <w:pPr>
        <w:adjustRightInd w:val="0"/>
        <w:snapToGrid w:val="0"/>
        <w:spacing w:line="360" w:lineRule="auto"/>
        <w:ind w:firstLineChars="200" w:firstLine="480"/>
        <w:rPr>
          <w:rFonts w:hAnsi="宋体"/>
          <w:sz w:val="24"/>
        </w:rPr>
      </w:pPr>
      <w:r>
        <w:rPr>
          <w:rFonts w:hAnsi="宋体"/>
          <w:sz w:val="24"/>
        </w:rPr>
        <w:t>基金利润指基金利息收入、投资收益、公允价值变动收益和其他收入扣除相关费用后的余额，基金已实现收益指基金利润减去公允价值变动收益后的余额。</w:t>
      </w:r>
    </w:p>
    <w:p w14:paraId="660892F4" w14:textId="77777777" w:rsidR="00791BDD" w:rsidRDefault="00B75151">
      <w:pPr>
        <w:adjustRightInd w:val="0"/>
        <w:snapToGrid w:val="0"/>
        <w:spacing w:line="360" w:lineRule="auto"/>
        <w:ind w:firstLineChars="200" w:firstLine="482"/>
        <w:outlineLvl w:val="1"/>
        <w:rPr>
          <w:b/>
          <w:sz w:val="24"/>
        </w:rPr>
      </w:pPr>
      <w:r>
        <w:rPr>
          <w:rFonts w:hAnsi="宋体"/>
          <w:b/>
          <w:sz w:val="24"/>
        </w:rPr>
        <w:t>（二）基金可供分配利润</w:t>
      </w:r>
    </w:p>
    <w:p w14:paraId="71FA8F00" w14:textId="77777777" w:rsidR="00791BDD" w:rsidRDefault="00B75151">
      <w:pPr>
        <w:adjustRightInd w:val="0"/>
        <w:snapToGrid w:val="0"/>
        <w:spacing w:line="360" w:lineRule="auto"/>
        <w:ind w:firstLineChars="200" w:firstLine="480"/>
        <w:rPr>
          <w:rFonts w:hAnsi="宋体"/>
          <w:sz w:val="24"/>
        </w:rPr>
      </w:pPr>
      <w:r>
        <w:rPr>
          <w:rFonts w:hAnsi="宋体"/>
          <w:sz w:val="24"/>
        </w:rPr>
        <w:t>基金可供分配利润指截至收益分</w:t>
      </w:r>
      <w:bookmarkStart w:id="78" w:name="_Hlt81129040"/>
      <w:bookmarkStart w:id="79" w:name="_Hlt88900301"/>
      <w:bookmarkStart w:id="80" w:name="_Hlt80435237"/>
      <w:bookmarkStart w:id="81" w:name="_Toc15118286"/>
      <w:bookmarkStart w:id="82" w:name="_Toc109537392"/>
      <w:bookmarkEnd w:id="78"/>
      <w:bookmarkEnd w:id="79"/>
      <w:bookmarkEnd w:id="80"/>
      <w:r>
        <w:rPr>
          <w:rFonts w:hAnsi="宋体"/>
          <w:sz w:val="24"/>
        </w:rPr>
        <w:t>配</w:t>
      </w:r>
      <w:bookmarkEnd w:id="81"/>
      <w:r>
        <w:rPr>
          <w:rFonts w:hAnsi="宋体"/>
          <w:sz w:val="24"/>
        </w:rPr>
        <w:t>基准日基金未分配利润与</w:t>
      </w:r>
      <w:bookmarkEnd w:id="82"/>
      <w:r>
        <w:rPr>
          <w:rFonts w:hAnsi="宋体"/>
          <w:sz w:val="24"/>
        </w:rPr>
        <w:t>未分配利润中已实现收益的孰低数。</w:t>
      </w:r>
    </w:p>
    <w:p w14:paraId="344CF693" w14:textId="77777777" w:rsidR="00791BDD" w:rsidRDefault="00B75151">
      <w:pPr>
        <w:adjustRightInd w:val="0"/>
        <w:snapToGrid w:val="0"/>
        <w:spacing w:line="360" w:lineRule="auto"/>
        <w:ind w:firstLineChars="200" w:firstLine="482"/>
        <w:outlineLvl w:val="1"/>
        <w:rPr>
          <w:b/>
          <w:sz w:val="24"/>
        </w:rPr>
      </w:pPr>
      <w:r>
        <w:rPr>
          <w:rFonts w:hAnsi="宋体"/>
          <w:b/>
          <w:sz w:val="24"/>
        </w:rPr>
        <w:t>（三）</w:t>
      </w:r>
      <w:r>
        <w:rPr>
          <w:rFonts w:hAnsi="宋体" w:hint="eastAsia"/>
          <w:b/>
          <w:sz w:val="24"/>
        </w:rPr>
        <w:t>基金</w:t>
      </w:r>
      <w:r>
        <w:rPr>
          <w:rFonts w:hAnsi="宋体"/>
          <w:b/>
          <w:sz w:val="24"/>
        </w:rPr>
        <w:t>收益分配原则</w:t>
      </w:r>
    </w:p>
    <w:p w14:paraId="079C3DBF" w14:textId="77777777" w:rsidR="00791BDD" w:rsidRDefault="00B75151">
      <w:pPr>
        <w:adjustRightInd w:val="0"/>
        <w:snapToGrid w:val="0"/>
        <w:spacing w:line="360" w:lineRule="auto"/>
        <w:ind w:firstLineChars="200" w:firstLine="480"/>
        <w:outlineLvl w:val="1"/>
        <w:rPr>
          <w:rFonts w:ascii="宋体" w:hAnsi="宋体"/>
          <w:bCs/>
          <w:sz w:val="24"/>
          <w:szCs w:val="24"/>
        </w:rPr>
      </w:pPr>
      <w:bookmarkStart w:id="83" w:name="OLE_LINK72"/>
      <w:bookmarkStart w:id="84" w:name="OLE_LINK73"/>
      <w:r>
        <w:rPr>
          <w:rFonts w:ascii="宋体" w:hAnsi="宋体" w:hint="eastAsia"/>
          <w:bCs/>
          <w:sz w:val="24"/>
          <w:szCs w:val="24"/>
        </w:rPr>
        <w:t>1、在符合有关基金分红条件的前提下，本基金管理人可以根据实际情况进行收益分配，具体分配方案以公告为准，若《基金合同》生效不满3个月可不进行收益分配；</w:t>
      </w:r>
    </w:p>
    <w:p w14:paraId="0FF981C9" w14:textId="77777777" w:rsidR="00791BDD" w:rsidRDefault="00B75151">
      <w:pPr>
        <w:adjustRightInd w:val="0"/>
        <w:snapToGrid w:val="0"/>
        <w:spacing w:line="360" w:lineRule="auto"/>
        <w:ind w:firstLineChars="200" w:firstLine="480"/>
        <w:outlineLvl w:val="1"/>
        <w:rPr>
          <w:rFonts w:ascii="宋体" w:hAnsi="宋体"/>
          <w:bCs/>
          <w:sz w:val="24"/>
          <w:szCs w:val="24"/>
        </w:rPr>
      </w:pPr>
      <w:r>
        <w:rPr>
          <w:rFonts w:ascii="宋体" w:hAnsi="宋体" w:hint="eastAsia"/>
          <w:bCs/>
          <w:sz w:val="24"/>
          <w:szCs w:val="24"/>
        </w:rPr>
        <w:t>2、本基金收益分配方式分两种：现金分红与红利再投资，投资者可选择现金红利或将现金红利自动转为基金份额进行再投资；若投资者不选择，本基金默认的收益分配方式是现金分红；</w:t>
      </w:r>
    </w:p>
    <w:p w14:paraId="71F4B4BD" w14:textId="77777777" w:rsidR="00791BDD" w:rsidRDefault="00B75151">
      <w:pPr>
        <w:adjustRightInd w:val="0"/>
        <w:snapToGrid w:val="0"/>
        <w:spacing w:line="360" w:lineRule="auto"/>
        <w:ind w:firstLineChars="200" w:firstLine="480"/>
        <w:outlineLvl w:val="1"/>
        <w:rPr>
          <w:rFonts w:ascii="宋体" w:hAnsi="宋体"/>
          <w:bCs/>
          <w:sz w:val="24"/>
          <w:szCs w:val="24"/>
        </w:rPr>
      </w:pPr>
      <w:r>
        <w:rPr>
          <w:rFonts w:ascii="宋体" w:hAnsi="宋体" w:hint="eastAsia"/>
          <w:bCs/>
          <w:sz w:val="24"/>
          <w:szCs w:val="24"/>
        </w:rPr>
        <w:t>3、基金收益分配后基金份额净值不能低于面值；即基金收益分配基准日的基金份额净值减去每单位基金份额收益分配金额后不能低于面值；</w:t>
      </w:r>
    </w:p>
    <w:p w14:paraId="53C6A3C1" w14:textId="77777777" w:rsidR="00791BDD" w:rsidRDefault="00B75151">
      <w:pPr>
        <w:adjustRightInd w:val="0"/>
        <w:snapToGrid w:val="0"/>
        <w:spacing w:line="360" w:lineRule="auto"/>
        <w:ind w:firstLineChars="200" w:firstLine="480"/>
        <w:outlineLvl w:val="1"/>
        <w:rPr>
          <w:rFonts w:ascii="宋体" w:hAnsi="宋体"/>
          <w:bCs/>
          <w:sz w:val="24"/>
          <w:szCs w:val="24"/>
        </w:rPr>
      </w:pPr>
      <w:r>
        <w:rPr>
          <w:rFonts w:ascii="宋体" w:hAnsi="宋体" w:hint="eastAsia"/>
          <w:bCs/>
          <w:sz w:val="24"/>
          <w:szCs w:val="24"/>
        </w:rPr>
        <w:t>4、本基金每一基金份额享有同等分配权；</w:t>
      </w:r>
    </w:p>
    <w:p w14:paraId="06850EF0" w14:textId="77777777" w:rsidR="00791BDD" w:rsidRDefault="00B7515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w:t>
      </w:r>
      <w:r>
        <w:rPr>
          <w:rFonts w:ascii="宋体" w:hAnsi="宋体"/>
          <w:bCs/>
          <w:sz w:val="24"/>
          <w:szCs w:val="24"/>
        </w:rPr>
        <w:t>法律法规或监管</w:t>
      </w:r>
      <w:r>
        <w:rPr>
          <w:rFonts w:ascii="宋体" w:hAnsi="宋体" w:hint="eastAsia"/>
          <w:bCs/>
          <w:sz w:val="24"/>
          <w:szCs w:val="24"/>
        </w:rPr>
        <w:t>机</w:t>
      </w:r>
      <w:r>
        <w:rPr>
          <w:rFonts w:ascii="宋体" w:hAnsi="宋体"/>
          <w:bCs/>
          <w:sz w:val="24"/>
          <w:szCs w:val="24"/>
        </w:rPr>
        <w:t>关另有规定的，从其规定。</w:t>
      </w:r>
    </w:p>
    <w:p w14:paraId="399ACF46" w14:textId="77777777" w:rsidR="00791BDD" w:rsidRDefault="00B75151">
      <w:pPr>
        <w:snapToGrid w:val="0"/>
        <w:spacing w:line="360" w:lineRule="auto"/>
        <w:ind w:firstLineChars="200" w:firstLine="480"/>
        <w:outlineLvl w:val="1"/>
        <w:rPr>
          <w:rFonts w:ascii="宋体" w:hAnsi="宋体"/>
          <w:bCs/>
          <w:sz w:val="24"/>
          <w:szCs w:val="24"/>
        </w:rPr>
      </w:pPr>
      <w:r>
        <w:rPr>
          <w:rFonts w:ascii="宋体" w:hAnsi="宋体" w:hint="eastAsia"/>
          <w:bCs/>
          <w:sz w:val="24"/>
          <w:szCs w:val="24"/>
        </w:rPr>
        <w:t>基金管理人可在不违反法律法规且对基金份额持有人利益无实质性不利影响的前提下，对上述原则进行修改或调整，而无需召开基金份额持有人大会审议。</w:t>
      </w:r>
    </w:p>
    <w:bookmarkEnd w:id="83"/>
    <w:bookmarkEnd w:id="84"/>
    <w:p w14:paraId="030E9237" w14:textId="77777777" w:rsidR="00791BDD" w:rsidRDefault="00B75151">
      <w:pPr>
        <w:snapToGrid w:val="0"/>
        <w:spacing w:line="360" w:lineRule="auto"/>
        <w:ind w:firstLineChars="200" w:firstLine="482"/>
        <w:outlineLvl w:val="1"/>
        <w:rPr>
          <w:b/>
          <w:sz w:val="24"/>
        </w:rPr>
      </w:pPr>
      <w:r>
        <w:rPr>
          <w:rFonts w:hAnsi="宋体"/>
          <w:b/>
          <w:sz w:val="24"/>
        </w:rPr>
        <w:t>（四）收益分配方案</w:t>
      </w:r>
    </w:p>
    <w:p w14:paraId="610BFD07" w14:textId="77777777" w:rsidR="00791BDD" w:rsidRDefault="00B75151">
      <w:pPr>
        <w:adjustRightInd w:val="0"/>
        <w:snapToGrid w:val="0"/>
        <w:spacing w:line="360" w:lineRule="auto"/>
        <w:ind w:firstLineChars="200" w:firstLine="480"/>
        <w:rPr>
          <w:rFonts w:hAnsi="宋体"/>
          <w:sz w:val="24"/>
        </w:rPr>
      </w:pPr>
      <w:r>
        <w:rPr>
          <w:rFonts w:hAnsi="宋体"/>
          <w:sz w:val="24"/>
        </w:rPr>
        <w:t>基金收益分配方案中应载明截止收益分配基准日的可供分配利润、基金收益分配对象、分配时间、分配数额及比例、分配方式等内容。</w:t>
      </w:r>
    </w:p>
    <w:p w14:paraId="23F6E677" w14:textId="77777777" w:rsidR="00791BDD" w:rsidRDefault="00B75151">
      <w:pPr>
        <w:adjustRightInd w:val="0"/>
        <w:snapToGrid w:val="0"/>
        <w:spacing w:line="360" w:lineRule="auto"/>
        <w:ind w:firstLineChars="200" w:firstLine="482"/>
        <w:outlineLvl w:val="1"/>
        <w:rPr>
          <w:b/>
          <w:sz w:val="24"/>
        </w:rPr>
      </w:pPr>
      <w:r>
        <w:rPr>
          <w:rFonts w:hAnsi="宋体"/>
          <w:b/>
          <w:sz w:val="24"/>
        </w:rPr>
        <w:t>（五）收益分配方案的确定、公告与实施</w:t>
      </w:r>
    </w:p>
    <w:p w14:paraId="51F42371" w14:textId="77777777" w:rsidR="00791BDD" w:rsidRDefault="00B75151">
      <w:pPr>
        <w:adjustRightInd w:val="0"/>
        <w:snapToGrid w:val="0"/>
        <w:spacing w:line="360" w:lineRule="auto"/>
        <w:ind w:firstLineChars="200" w:firstLine="480"/>
        <w:rPr>
          <w:bCs/>
          <w:sz w:val="24"/>
        </w:rPr>
      </w:pPr>
      <w:r>
        <w:rPr>
          <w:rFonts w:hint="eastAsia"/>
          <w:bCs/>
          <w:sz w:val="24"/>
        </w:rPr>
        <w:t>本基金收益分配方案由基金管理人拟定，并由基金托管人复核，依照《信息披露办法》的规定在规定媒介公告。</w:t>
      </w:r>
    </w:p>
    <w:p w14:paraId="1E009971" w14:textId="77777777" w:rsidR="00791BDD" w:rsidRDefault="00B75151">
      <w:pPr>
        <w:adjustRightInd w:val="0"/>
        <w:snapToGrid w:val="0"/>
        <w:spacing w:line="360" w:lineRule="auto"/>
        <w:ind w:firstLineChars="200" w:firstLine="480"/>
        <w:rPr>
          <w:rFonts w:ascii="宋体" w:hAnsi="宋体"/>
          <w:sz w:val="24"/>
        </w:rPr>
      </w:pPr>
      <w:r>
        <w:rPr>
          <w:rFonts w:hint="eastAsia"/>
          <w:bCs/>
          <w:sz w:val="24"/>
        </w:rPr>
        <w:t>法律法规或监管机关另有规定的，从其规定。</w:t>
      </w:r>
    </w:p>
    <w:p w14:paraId="180B5367" w14:textId="77777777" w:rsidR="00791BDD" w:rsidRDefault="00B75151">
      <w:pPr>
        <w:adjustRightInd w:val="0"/>
        <w:snapToGrid w:val="0"/>
        <w:spacing w:line="360" w:lineRule="auto"/>
        <w:ind w:firstLineChars="200" w:firstLine="482"/>
        <w:outlineLvl w:val="1"/>
        <w:rPr>
          <w:b/>
          <w:sz w:val="24"/>
        </w:rPr>
      </w:pPr>
      <w:r>
        <w:rPr>
          <w:b/>
          <w:sz w:val="24"/>
        </w:rPr>
        <w:t>（六）基金收益分配中发生的费用</w:t>
      </w:r>
    </w:p>
    <w:p w14:paraId="058B579C" w14:textId="77777777" w:rsidR="00791BDD" w:rsidRDefault="00B75151">
      <w:pPr>
        <w:adjustRightInd w:val="0"/>
        <w:snapToGrid w:val="0"/>
        <w:spacing w:line="360" w:lineRule="auto"/>
        <w:ind w:firstLineChars="200" w:firstLine="480"/>
        <w:rPr>
          <w:bCs/>
          <w:sz w:val="24"/>
        </w:rPr>
      </w:pPr>
      <w:r>
        <w:rPr>
          <w:rFonts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14:paraId="4DACB032" w14:textId="77777777" w:rsidR="00791BDD" w:rsidRDefault="00B75151">
      <w:pPr>
        <w:adjustRightInd w:val="0"/>
        <w:snapToGrid w:val="0"/>
        <w:spacing w:line="360" w:lineRule="auto"/>
        <w:ind w:firstLineChars="200" w:firstLine="482"/>
        <w:outlineLvl w:val="1"/>
        <w:rPr>
          <w:b/>
          <w:sz w:val="24"/>
        </w:rPr>
      </w:pPr>
      <w:r>
        <w:rPr>
          <w:b/>
          <w:sz w:val="24"/>
        </w:rPr>
        <w:t>（七）收益分配方式的修改</w:t>
      </w:r>
    </w:p>
    <w:p w14:paraId="74F054AA" w14:textId="77777777" w:rsidR="00791BDD" w:rsidRDefault="00B75151">
      <w:pPr>
        <w:adjustRightInd w:val="0"/>
        <w:snapToGrid w:val="0"/>
        <w:spacing w:line="360" w:lineRule="auto"/>
        <w:ind w:firstLineChars="200" w:firstLine="480"/>
        <w:rPr>
          <w:sz w:val="24"/>
        </w:rPr>
      </w:pPr>
      <w:r>
        <w:rPr>
          <w:sz w:val="24"/>
        </w:rPr>
        <w:t>投资人可至销售机构办理收益分配方式的修改，投资人对本基金不同的交易账户可设置不同的收益分配方式。</w:t>
      </w:r>
    </w:p>
    <w:p w14:paraId="42ECEA2E" w14:textId="77777777" w:rsidR="00791BDD" w:rsidRDefault="00B75151">
      <w:pPr>
        <w:adjustRightInd w:val="0"/>
        <w:snapToGrid w:val="0"/>
        <w:spacing w:line="360" w:lineRule="auto"/>
        <w:ind w:firstLineChars="200" w:firstLine="480"/>
        <w:rPr>
          <w:sz w:val="24"/>
        </w:rPr>
      </w:pPr>
      <w:r>
        <w:rPr>
          <w:sz w:val="24"/>
        </w:rPr>
        <w:t>投资人同一日多次申报</w:t>
      </w:r>
      <w:r>
        <w:rPr>
          <w:rFonts w:hint="eastAsia"/>
          <w:sz w:val="24"/>
        </w:rPr>
        <w:t>收益分配</w:t>
      </w:r>
      <w:r>
        <w:rPr>
          <w:sz w:val="24"/>
        </w:rPr>
        <w:t>方式变更的，按照《业务规则》执行，最终确认的</w:t>
      </w:r>
      <w:r>
        <w:rPr>
          <w:rFonts w:hint="eastAsia"/>
          <w:sz w:val="24"/>
        </w:rPr>
        <w:t>收益分配</w:t>
      </w:r>
      <w:r>
        <w:rPr>
          <w:sz w:val="24"/>
        </w:rPr>
        <w:t>方式以登记机构记录为准。</w:t>
      </w:r>
    </w:p>
    <w:p w14:paraId="15E0BA42" w14:textId="77777777" w:rsidR="00791BDD" w:rsidRDefault="00B75151">
      <w:pPr>
        <w:adjustRightInd w:val="0"/>
        <w:snapToGrid w:val="0"/>
        <w:spacing w:line="360" w:lineRule="auto"/>
        <w:ind w:firstLineChars="200" w:firstLine="482"/>
        <w:outlineLvl w:val="1"/>
        <w:rPr>
          <w:b/>
          <w:sz w:val="24"/>
        </w:rPr>
      </w:pPr>
      <w:r>
        <w:rPr>
          <w:rFonts w:hint="eastAsia"/>
          <w:b/>
          <w:sz w:val="24"/>
        </w:rPr>
        <w:t>（八</w:t>
      </w:r>
      <w:r>
        <w:rPr>
          <w:b/>
          <w:sz w:val="24"/>
        </w:rPr>
        <w:t>）</w:t>
      </w:r>
      <w:r>
        <w:rPr>
          <w:rFonts w:hint="eastAsia"/>
          <w:b/>
          <w:sz w:val="24"/>
        </w:rPr>
        <w:t>实施侧袋机制期间的收益分配</w:t>
      </w:r>
    </w:p>
    <w:p w14:paraId="69563DC1" w14:textId="77777777" w:rsidR="00791BDD" w:rsidRDefault="00B75151">
      <w:pPr>
        <w:adjustRightInd w:val="0"/>
        <w:snapToGrid w:val="0"/>
        <w:spacing w:line="360" w:lineRule="auto"/>
        <w:ind w:firstLineChars="200" w:firstLine="480"/>
        <w:rPr>
          <w:sz w:val="24"/>
        </w:rPr>
      </w:pPr>
      <w:r>
        <w:rPr>
          <w:rFonts w:hint="eastAsia"/>
          <w:sz w:val="24"/>
        </w:rPr>
        <w:t>本基金实施侧袋机制的，侧袋账户不进行收益分配。</w:t>
      </w:r>
      <w:bookmarkEnd w:id="75"/>
      <w:bookmarkEnd w:id="77"/>
    </w:p>
    <w:p w14:paraId="2C8C15C4" w14:textId="77777777" w:rsidR="00791BDD" w:rsidRDefault="00791BDD">
      <w:pPr>
        <w:widowControl/>
        <w:adjustRightInd w:val="0"/>
        <w:snapToGrid w:val="0"/>
        <w:spacing w:line="360" w:lineRule="auto"/>
        <w:ind w:firstLine="200"/>
        <w:rPr>
          <w:rFonts w:ascii="宋体" w:hAnsi="宋体"/>
          <w:kern w:val="0"/>
          <w:sz w:val="24"/>
        </w:rPr>
      </w:pPr>
    </w:p>
    <w:p w14:paraId="152BD553" w14:textId="77777777" w:rsidR="00791BDD" w:rsidRDefault="00B75151">
      <w:pPr>
        <w:adjustRightInd w:val="0"/>
        <w:snapToGrid w:val="0"/>
        <w:spacing w:line="360" w:lineRule="auto"/>
        <w:jc w:val="center"/>
        <w:outlineLvl w:val="0"/>
        <w:rPr>
          <w:rFonts w:ascii="宋体" w:hAnsi="宋体"/>
          <w:b/>
          <w:kern w:val="0"/>
          <w:sz w:val="30"/>
        </w:rPr>
      </w:pPr>
      <w:r>
        <w:rPr>
          <w:rFonts w:ascii="宋体" w:hAnsi="宋体"/>
          <w:b/>
          <w:kern w:val="0"/>
          <w:sz w:val="30"/>
        </w:rPr>
        <w:br w:type="page"/>
      </w:r>
      <w:bookmarkStart w:id="85" w:name="_Toc48122014"/>
      <w:bookmarkStart w:id="86" w:name="_Hlk217331091"/>
      <w:bookmarkStart w:id="87" w:name="_Hlk212628695"/>
      <w:bookmarkEnd w:id="76"/>
      <w:r>
        <w:rPr>
          <w:rFonts w:ascii="宋体" w:hAnsi="宋体" w:hint="eastAsia"/>
          <w:b/>
          <w:kern w:val="0"/>
          <w:sz w:val="30"/>
        </w:rPr>
        <w:t>十三、基金的费用与税收</w:t>
      </w:r>
      <w:bookmarkEnd w:id="85"/>
    </w:p>
    <w:p w14:paraId="4DA391D1" w14:textId="77777777" w:rsidR="00791BDD" w:rsidRDefault="00B75151">
      <w:pPr>
        <w:adjustRightInd w:val="0"/>
        <w:snapToGrid w:val="0"/>
        <w:spacing w:line="360" w:lineRule="auto"/>
        <w:ind w:firstLineChars="200" w:firstLine="482"/>
        <w:outlineLvl w:val="1"/>
        <w:rPr>
          <w:i/>
          <w:sz w:val="24"/>
          <w:u w:val="single"/>
        </w:rPr>
      </w:pPr>
      <w:bookmarkStart w:id="88" w:name="_Hlk49343964"/>
      <w:r>
        <w:rPr>
          <w:rFonts w:hAnsi="宋体"/>
          <w:b/>
          <w:sz w:val="24"/>
        </w:rPr>
        <w:t>（一）基金费用的种类</w:t>
      </w:r>
    </w:p>
    <w:p w14:paraId="171DCF67" w14:textId="77777777" w:rsidR="00791BDD" w:rsidRDefault="00B75151">
      <w:pPr>
        <w:adjustRightInd w:val="0"/>
        <w:snapToGrid w:val="0"/>
        <w:spacing w:line="360" w:lineRule="auto"/>
        <w:ind w:firstLineChars="200" w:firstLine="480"/>
        <w:rPr>
          <w:sz w:val="24"/>
        </w:rPr>
      </w:pPr>
      <w:r>
        <w:rPr>
          <w:sz w:val="24"/>
        </w:rPr>
        <w:t>1</w:t>
      </w:r>
      <w:r>
        <w:rPr>
          <w:sz w:val="24"/>
        </w:rPr>
        <w:t>、基金管理人的管理费；</w:t>
      </w:r>
    </w:p>
    <w:p w14:paraId="6DAA590A" w14:textId="77777777" w:rsidR="00791BDD" w:rsidRDefault="00B75151">
      <w:pPr>
        <w:adjustRightInd w:val="0"/>
        <w:snapToGrid w:val="0"/>
        <w:spacing w:line="360" w:lineRule="auto"/>
        <w:ind w:firstLineChars="200" w:firstLine="480"/>
        <w:rPr>
          <w:sz w:val="24"/>
        </w:rPr>
      </w:pPr>
      <w:r>
        <w:rPr>
          <w:rFonts w:hint="eastAsia"/>
          <w:sz w:val="24"/>
        </w:rPr>
        <w:t>2</w:t>
      </w:r>
      <w:r>
        <w:rPr>
          <w:rFonts w:hint="eastAsia"/>
          <w:sz w:val="24"/>
        </w:rPr>
        <w:t>、基金托管人的托管费；</w:t>
      </w:r>
    </w:p>
    <w:p w14:paraId="3B26BE6F" w14:textId="77777777" w:rsidR="00791BDD" w:rsidRDefault="00B75151">
      <w:pPr>
        <w:adjustRightInd w:val="0"/>
        <w:snapToGrid w:val="0"/>
        <w:spacing w:line="360" w:lineRule="auto"/>
        <w:ind w:firstLineChars="200" w:firstLine="480"/>
        <w:rPr>
          <w:sz w:val="24"/>
        </w:rPr>
      </w:pPr>
      <w:r>
        <w:rPr>
          <w:rFonts w:hint="eastAsia"/>
          <w:sz w:val="24"/>
        </w:rPr>
        <w:t>3</w:t>
      </w:r>
      <w:r>
        <w:rPr>
          <w:rFonts w:hint="eastAsia"/>
          <w:sz w:val="24"/>
        </w:rPr>
        <w:t>、《基金合同》生效后与基金相关的信息披露费用；</w:t>
      </w:r>
    </w:p>
    <w:p w14:paraId="58646E15" w14:textId="77777777" w:rsidR="00791BDD" w:rsidRDefault="00B75151">
      <w:pPr>
        <w:adjustRightInd w:val="0"/>
        <w:snapToGrid w:val="0"/>
        <w:spacing w:line="360" w:lineRule="auto"/>
        <w:ind w:firstLineChars="200" w:firstLine="480"/>
        <w:rPr>
          <w:sz w:val="24"/>
        </w:rPr>
      </w:pPr>
      <w:r>
        <w:rPr>
          <w:rFonts w:hint="eastAsia"/>
          <w:sz w:val="24"/>
        </w:rPr>
        <w:t>4</w:t>
      </w:r>
      <w:r>
        <w:rPr>
          <w:rFonts w:hint="eastAsia"/>
          <w:sz w:val="24"/>
        </w:rPr>
        <w:t>、《基金合同》生效后与基金相关的会计师费、律师费</w:t>
      </w:r>
      <w:r>
        <w:rPr>
          <w:rFonts w:hint="eastAsia"/>
          <w:bCs/>
          <w:sz w:val="24"/>
        </w:rPr>
        <w:t>、仲裁费</w:t>
      </w:r>
      <w:r>
        <w:rPr>
          <w:rFonts w:hint="eastAsia"/>
          <w:sz w:val="24"/>
        </w:rPr>
        <w:t>和诉讼费；</w:t>
      </w:r>
    </w:p>
    <w:p w14:paraId="1FDFF997" w14:textId="77777777" w:rsidR="00791BDD" w:rsidRDefault="00B75151">
      <w:pPr>
        <w:adjustRightInd w:val="0"/>
        <w:snapToGrid w:val="0"/>
        <w:spacing w:line="360" w:lineRule="auto"/>
        <w:ind w:firstLineChars="200" w:firstLine="480"/>
        <w:rPr>
          <w:sz w:val="24"/>
        </w:rPr>
      </w:pPr>
      <w:r>
        <w:rPr>
          <w:rFonts w:hint="eastAsia"/>
          <w:sz w:val="24"/>
        </w:rPr>
        <w:t>5</w:t>
      </w:r>
      <w:r>
        <w:rPr>
          <w:rFonts w:hint="eastAsia"/>
          <w:sz w:val="24"/>
        </w:rPr>
        <w:t>、基金份额持有人大会费用；</w:t>
      </w:r>
    </w:p>
    <w:p w14:paraId="6E76E726" w14:textId="77777777" w:rsidR="00791BDD" w:rsidRDefault="00B75151">
      <w:pPr>
        <w:adjustRightInd w:val="0"/>
        <w:snapToGrid w:val="0"/>
        <w:spacing w:line="360" w:lineRule="auto"/>
        <w:ind w:firstLineChars="200" w:firstLine="480"/>
        <w:rPr>
          <w:sz w:val="24"/>
        </w:rPr>
      </w:pPr>
      <w:r>
        <w:rPr>
          <w:rFonts w:hint="eastAsia"/>
          <w:sz w:val="24"/>
        </w:rPr>
        <w:t>6</w:t>
      </w:r>
      <w:r>
        <w:rPr>
          <w:rFonts w:hint="eastAsia"/>
          <w:sz w:val="24"/>
        </w:rPr>
        <w:t>、基金的证券、期货交易费用；</w:t>
      </w:r>
    </w:p>
    <w:p w14:paraId="628EA014" w14:textId="77777777" w:rsidR="00791BDD" w:rsidRDefault="00B75151">
      <w:pPr>
        <w:adjustRightInd w:val="0"/>
        <w:snapToGrid w:val="0"/>
        <w:spacing w:line="360" w:lineRule="auto"/>
        <w:ind w:firstLineChars="200" w:firstLine="480"/>
        <w:rPr>
          <w:sz w:val="24"/>
        </w:rPr>
      </w:pPr>
      <w:r>
        <w:rPr>
          <w:rFonts w:hint="eastAsia"/>
          <w:sz w:val="24"/>
        </w:rPr>
        <w:t>7</w:t>
      </w:r>
      <w:r>
        <w:rPr>
          <w:rFonts w:hint="eastAsia"/>
          <w:sz w:val="24"/>
        </w:rPr>
        <w:t>、基金的银行汇划费用；</w:t>
      </w:r>
    </w:p>
    <w:p w14:paraId="14A00219" w14:textId="77777777" w:rsidR="00791BDD" w:rsidRDefault="00B75151">
      <w:pPr>
        <w:adjustRightInd w:val="0"/>
        <w:snapToGrid w:val="0"/>
        <w:spacing w:line="360" w:lineRule="auto"/>
        <w:ind w:firstLineChars="200" w:firstLine="480"/>
        <w:rPr>
          <w:sz w:val="24"/>
        </w:rPr>
      </w:pPr>
      <w:r>
        <w:rPr>
          <w:rFonts w:hint="eastAsia"/>
          <w:sz w:val="24"/>
        </w:rPr>
        <w:t>8</w:t>
      </w:r>
      <w:r>
        <w:rPr>
          <w:rFonts w:hint="eastAsia"/>
          <w:sz w:val="24"/>
        </w:rPr>
        <w:t>、基金的开户费用、账户维护费用；</w:t>
      </w:r>
    </w:p>
    <w:p w14:paraId="597D42F6" w14:textId="77777777" w:rsidR="00791BDD" w:rsidRDefault="00B75151">
      <w:pPr>
        <w:adjustRightInd w:val="0"/>
        <w:snapToGrid w:val="0"/>
        <w:spacing w:line="360" w:lineRule="auto"/>
        <w:ind w:firstLineChars="200" w:firstLine="480"/>
        <w:rPr>
          <w:sz w:val="24"/>
        </w:rPr>
      </w:pPr>
      <w:r>
        <w:rPr>
          <w:rFonts w:hint="eastAsia"/>
          <w:sz w:val="24"/>
        </w:rPr>
        <w:t>9</w:t>
      </w:r>
      <w:r>
        <w:rPr>
          <w:rFonts w:hint="eastAsia"/>
          <w:sz w:val="24"/>
        </w:rPr>
        <w:t>、因投资港股通标的股票而产生的各项合理费用；</w:t>
      </w:r>
    </w:p>
    <w:p w14:paraId="357EB4F4" w14:textId="77777777" w:rsidR="00791BDD" w:rsidRDefault="00B75151">
      <w:pPr>
        <w:adjustRightInd w:val="0"/>
        <w:snapToGrid w:val="0"/>
        <w:spacing w:line="360" w:lineRule="auto"/>
        <w:ind w:firstLineChars="200" w:firstLine="480"/>
        <w:rPr>
          <w:sz w:val="24"/>
        </w:rPr>
      </w:pPr>
      <w:r>
        <w:rPr>
          <w:sz w:val="24"/>
        </w:rPr>
        <w:t>10</w:t>
      </w:r>
      <w:r>
        <w:rPr>
          <w:rFonts w:hint="eastAsia"/>
          <w:sz w:val="24"/>
        </w:rPr>
        <w:t>、按照国家有关规定和《基金合同》约定，可以在基金财产中列支的其他费用。</w:t>
      </w:r>
    </w:p>
    <w:p w14:paraId="58F0C975" w14:textId="77777777" w:rsidR="00791BDD" w:rsidRDefault="00B75151">
      <w:pPr>
        <w:adjustRightInd w:val="0"/>
        <w:snapToGrid w:val="0"/>
        <w:spacing w:line="360" w:lineRule="auto"/>
        <w:ind w:firstLine="482"/>
        <w:outlineLvl w:val="1"/>
        <w:rPr>
          <w:b/>
          <w:bCs/>
          <w:sz w:val="24"/>
        </w:rPr>
      </w:pPr>
      <w:r>
        <w:rPr>
          <w:b/>
          <w:bCs/>
          <w:sz w:val="24"/>
        </w:rPr>
        <w:t>（二）基金费用计提方法、计提标准和支付方式</w:t>
      </w:r>
    </w:p>
    <w:p w14:paraId="286D7F06" w14:textId="77777777" w:rsidR="00791BDD" w:rsidRDefault="00B75151">
      <w:pPr>
        <w:adjustRightInd w:val="0"/>
        <w:snapToGrid w:val="0"/>
        <w:spacing w:line="360" w:lineRule="auto"/>
        <w:ind w:firstLineChars="200" w:firstLine="480"/>
        <w:outlineLvl w:val="2"/>
        <w:rPr>
          <w:sz w:val="24"/>
        </w:rPr>
      </w:pPr>
      <w:r>
        <w:rPr>
          <w:rFonts w:hint="eastAsia"/>
          <w:sz w:val="24"/>
        </w:rPr>
        <w:t>1</w:t>
      </w:r>
      <w:r>
        <w:rPr>
          <w:rFonts w:hint="eastAsia"/>
          <w:sz w:val="24"/>
        </w:rPr>
        <w:t>、与基金运作有关的费用</w:t>
      </w:r>
    </w:p>
    <w:p w14:paraId="0BAEC3C7" w14:textId="77777777" w:rsidR="00791BDD" w:rsidRDefault="00B75151">
      <w:pPr>
        <w:adjustRightInd w:val="0"/>
        <w:snapToGrid w:val="0"/>
        <w:spacing w:line="360" w:lineRule="auto"/>
        <w:ind w:firstLineChars="200" w:firstLine="480"/>
        <w:rPr>
          <w:sz w:val="24"/>
        </w:rPr>
      </w:pPr>
      <w:r>
        <w:rPr>
          <w:rFonts w:hint="eastAsia"/>
          <w:sz w:val="24"/>
        </w:rPr>
        <w:t>（</w:t>
      </w:r>
      <w:r>
        <w:rPr>
          <w:sz w:val="24"/>
        </w:rPr>
        <w:t>1</w:t>
      </w:r>
      <w:r>
        <w:rPr>
          <w:rFonts w:hAnsi="宋体" w:hint="eastAsia"/>
          <w:sz w:val="24"/>
        </w:rPr>
        <w:t>）</w:t>
      </w:r>
      <w:r>
        <w:rPr>
          <w:rFonts w:hAnsi="宋体"/>
          <w:sz w:val="24"/>
        </w:rPr>
        <w:t>基金管理人的管理费</w:t>
      </w:r>
    </w:p>
    <w:p w14:paraId="4A995E6B" w14:textId="77777777" w:rsidR="00791BDD" w:rsidRDefault="00B75151">
      <w:pPr>
        <w:adjustRightInd w:val="0"/>
        <w:snapToGrid w:val="0"/>
        <w:spacing w:line="360" w:lineRule="auto"/>
        <w:ind w:firstLineChars="200" w:firstLine="480"/>
        <w:rPr>
          <w:bCs/>
          <w:sz w:val="24"/>
        </w:rPr>
      </w:pPr>
      <w:r>
        <w:rPr>
          <w:rFonts w:hint="eastAsia"/>
          <w:bCs/>
          <w:sz w:val="24"/>
        </w:rPr>
        <w:t>本基金的管理费按前一日基金资产净值的</w:t>
      </w:r>
      <w:r>
        <w:rPr>
          <w:rFonts w:hint="eastAsia"/>
          <w:bCs/>
          <w:sz w:val="24"/>
        </w:rPr>
        <w:t>1.</w:t>
      </w:r>
      <w:r>
        <w:rPr>
          <w:bCs/>
          <w:sz w:val="24"/>
        </w:rPr>
        <w:t>2</w:t>
      </w:r>
      <w:r>
        <w:rPr>
          <w:rFonts w:hint="eastAsia"/>
          <w:bCs/>
          <w:sz w:val="24"/>
        </w:rPr>
        <w:t>%</w:t>
      </w:r>
      <w:r>
        <w:rPr>
          <w:rFonts w:hint="eastAsia"/>
          <w:bCs/>
          <w:sz w:val="24"/>
        </w:rPr>
        <w:t>年费率计提。管理费的计算方法如下：</w:t>
      </w:r>
    </w:p>
    <w:p w14:paraId="78C80064" w14:textId="77777777" w:rsidR="00791BDD" w:rsidRDefault="00B75151">
      <w:pPr>
        <w:adjustRightInd w:val="0"/>
        <w:snapToGrid w:val="0"/>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×年管理费率÷当年天数</w:t>
      </w:r>
    </w:p>
    <w:p w14:paraId="2BC3EE25" w14:textId="77777777" w:rsidR="00791BDD" w:rsidRDefault="00B75151">
      <w:pPr>
        <w:adjustRightInd w:val="0"/>
        <w:snapToGrid w:val="0"/>
        <w:spacing w:line="360" w:lineRule="auto"/>
        <w:ind w:firstLineChars="200" w:firstLine="480"/>
        <w:rPr>
          <w:bCs/>
          <w:sz w:val="24"/>
        </w:rPr>
      </w:pPr>
      <w:r>
        <w:rPr>
          <w:rFonts w:hint="eastAsia"/>
          <w:bCs/>
          <w:sz w:val="24"/>
        </w:rPr>
        <w:t>H</w:t>
      </w:r>
      <w:r>
        <w:rPr>
          <w:rFonts w:hint="eastAsia"/>
          <w:bCs/>
          <w:sz w:val="24"/>
        </w:rPr>
        <w:t>为每日应计提的基金管理费</w:t>
      </w:r>
    </w:p>
    <w:p w14:paraId="1693D7FD" w14:textId="77777777" w:rsidR="00791BDD" w:rsidRDefault="00B75151">
      <w:pPr>
        <w:adjustRightInd w:val="0"/>
        <w:snapToGrid w:val="0"/>
        <w:spacing w:line="360" w:lineRule="auto"/>
        <w:ind w:firstLineChars="200" w:firstLine="480"/>
        <w:rPr>
          <w:bCs/>
          <w:sz w:val="24"/>
        </w:rPr>
      </w:pPr>
      <w:r>
        <w:rPr>
          <w:rFonts w:hint="eastAsia"/>
          <w:bCs/>
          <w:sz w:val="24"/>
        </w:rPr>
        <w:t>E</w:t>
      </w:r>
      <w:r>
        <w:rPr>
          <w:rFonts w:hint="eastAsia"/>
          <w:bCs/>
          <w:sz w:val="24"/>
        </w:rPr>
        <w:t>为前一日的基金资产净值</w:t>
      </w:r>
    </w:p>
    <w:p w14:paraId="40D1B085" w14:textId="77777777" w:rsidR="00791BDD" w:rsidRDefault="00B75151">
      <w:pPr>
        <w:adjustRightInd w:val="0"/>
        <w:snapToGrid w:val="0"/>
        <w:spacing w:line="360" w:lineRule="auto"/>
        <w:ind w:firstLineChars="200" w:firstLine="480"/>
        <w:rPr>
          <w:bCs/>
          <w:sz w:val="24"/>
        </w:rPr>
      </w:pPr>
      <w:r>
        <w:rPr>
          <w:rFonts w:hint="eastAsia"/>
          <w:bCs/>
          <w:sz w:val="24"/>
        </w:rPr>
        <w:t>基金管理费每日计提，逐日累计至每月月末，按月支付。由基金管理人与基金托管人核对一致后，由基金托管人按照与基金管理人协商一致的方式于次月首日起</w:t>
      </w:r>
      <w:r>
        <w:rPr>
          <w:rFonts w:hint="eastAsia"/>
          <w:bCs/>
          <w:sz w:val="24"/>
        </w:rPr>
        <w:t>5</w:t>
      </w:r>
      <w:r>
        <w:rPr>
          <w:rFonts w:hint="eastAsia"/>
          <w:bCs/>
          <w:sz w:val="24"/>
        </w:rPr>
        <w:t>个工作日内从基金财产中一次性支付给基金管理人，若遇法定节假日、休息日或不可抗力致使无法按时支付的，支付日期顺延。</w:t>
      </w:r>
    </w:p>
    <w:p w14:paraId="476DAD37" w14:textId="77777777" w:rsidR="00791BDD" w:rsidRDefault="00B75151">
      <w:pPr>
        <w:adjustRightInd w:val="0"/>
        <w:snapToGrid w:val="0"/>
        <w:spacing w:line="360" w:lineRule="auto"/>
        <w:ind w:firstLineChars="200" w:firstLine="480"/>
        <w:rPr>
          <w:sz w:val="24"/>
        </w:rPr>
      </w:pPr>
      <w:r>
        <w:rPr>
          <w:rFonts w:hint="eastAsia"/>
          <w:sz w:val="24"/>
        </w:rPr>
        <w:t>（</w:t>
      </w:r>
      <w:r>
        <w:rPr>
          <w:sz w:val="24"/>
        </w:rPr>
        <w:t>2</w:t>
      </w:r>
      <w:r>
        <w:rPr>
          <w:rFonts w:hAnsi="宋体" w:hint="eastAsia"/>
          <w:sz w:val="24"/>
        </w:rPr>
        <w:t>）</w:t>
      </w:r>
      <w:r>
        <w:rPr>
          <w:rFonts w:hAnsi="宋体"/>
          <w:sz w:val="24"/>
        </w:rPr>
        <w:t>基金托管人的托管费</w:t>
      </w:r>
    </w:p>
    <w:p w14:paraId="559AFB15" w14:textId="77777777" w:rsidR="00791BDD" w:rsidRDefault="00B75151">
      <w:pPr>
        <w:adjustRightInd w:val="0"/>
        <w:snapToGrid w:val="0"/>
        <w:spacing w:line="360" w:lineRule="auto"/>
        <w:ind w:firstLineChars="200" w:firstLine="480"/>
        <w:rPr>
          <w:bCs/>
          <w:sz w:val="24"/>
        </w:rPr>
      </w:pPr>
      <w:r>
        <w:rPr>
          <w:rFonts w:hint="eastAsia"/>
          <w:bCs/>
          <w:sz w:val="24"/>
        </w:rPr>
        <w:t>本基金的托管费按前一日基金资产净值的</w:t>
      </w:r>
      <w:r>
        <w:rPr>
          <w:rFonts w:hint="eastAsia"/>
          <w:bCs/>
          <w:sz w:val="24"/>
        </w:rPr>
        <w:t>0.2%</w:t>
      </w:r>
      <w:r>
        <w:rPr>
          <w:rFonts w:hint="eastAsia"/>
          <w:bCs/>
          <w:sz w:val="24"/>
        </w:rPr>
        <w:t>年费率计提。托管费的计算方法如下：</w:t>
      </w:r>
    </w:p>
    <w:p w14:paraId="359F483F" w14:textId="77777777" w:rsidR="00791BDD" w:rsidRDefault="00B75151">
      <w:pPr>
        <w:adjustRightInd w:val="0"/>
        <w:snapToGrid w:val="0"/>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×年托管费率÷当年天数</w:t>
      </w:r>
    </w:p>
    <w:p w14:paraId="3AA356C7" w14:textId="77777777" w:rsidR="00791BDD" w:rsidRDefault="00B75151">
      <w:pPr>
        <w:adjustRightInd w:val="0"/>
        <w:snapToGrid w:val="0"/>
        <w:spacing w:line="360" w:lineRule="auto"/>
        <w:ind w:firstLineChars="200" w:firstLine="480"/>
        <w:rPr>
          <w:bCs/>
          <w:sz w:val="24"/>
        </w:rPr>
      </w:pPr>
      <w:r>
        <w:rPr>
          <w:rFonts w:hint="eastAsia"/>
          <w:bCs/>
          <w:sz w:val="24"/>
        </w:rPr>
        <w:t>H</w:t>
      </w:r>
      <w:r>
        <w:rPr>
          <w:rFonts w:hint="eastAsia"/>
          <w:bCs/>
          <w:sz w:val="24"/>
        </w:rPr>
        <w:t>为每日应计提的基金托管费</w:t>
      </w:r>
    </w:p>
    <w:p w14:paraId="2744EB7C" w14:textId="77777777" w:rsidR="00791BDD" w:rsidRDefault="00B75151">
      <w:pPr>
        <w:adjustRightInd w:val="0"/>
        <w:snapToGrid w:val="0"/>
        <w:spacing w:line="360" w:lineRule="auto"/>
        <w:ind w:firstLineChars="200" w:firstLine="480"/>
        <w:rPr>
          <w:bCs/>
          <w:sz w:val="24"/>
        </w:rPr>
      </w:pPr>
      <w:r>
        <w:rPr>
          <w:rFonts w:hint="eastAsia"/>
          <w:bCs/>
          <w:sz w:val="24"/>
        </w:rPr>
        <w:t>E</w:t>
      </w:r>
      <w:r>
        <w:rPr>
          <w:rFonts w:hint="eastAsia"/>
          <w:bCs/>
          <w:sz w:val="24"/>
        </w:rPr>
        <w:t>为前一日的基金资产净值</w:t>
      </w:r>
    </w:p>
    <w:p w14:paraId="1A0AA9B3" w14:textId="77777777" w:rsidR="00791BDD" w:rsidRDefault="00B75151">
      <w:pPr>
        <w:adjustRightInd w:val="0"/>
        <w:snapToGrid w:val="0"/>
        <w:spacing w:line="360" w:lineRule="auto"/>
        <w:ind w:firstLineChars="200" w:firstLine="480"/>
        <w:rPr>
          <w:bCs/>
          <w:sz w:val="24"/>
        </w:rPr>
      </w:pPr>
      <w:r>
        <w:rPr>
          <w:rFonts w:hint="eastAsia"/>
          <w:bCs/>
          <w:sz w:val="24"/>
        </w:rPr>
        <w:t>基金托管费每日计提，逐日累计至每月月末，按月支付。由基金管理人与基金托管人核对一致后，由基金托管人按照与基金管理人协商一致的方式于次月首日起</w:t>
      </w:r>
      <w:r>
        <w:rPr>
          <w:rFonts w:hint="eastAsia"/>
          <w:bCs/>
          <w:sz w:val="24"/>
        </w:rPr>
        <w:t>5</w:t>
      </w:r>
      <w:r>
        <w:rPr>
          <w:rFonts w:hint="eastAsia"/>
          <w:bCs/>
          <w:sz w:val="24"/>
        </w:rPr>
        <w:t>个工作日内从基金财产中一次性支付给基金托管人，若遇法定节假日、休息日或不可抗力致使无法按时支付的，支付日期顺延。</w:t>
      </w:r>
    </w:p>
    <w:p w14:paraId="261CED9A" w14:textId="77777777" w:rsidR="00791BDD" w:rsidRDefault="00B75151">
      <w:pPr>
        <w:adjustRightInd w:val="0"/>
        <w:snapToGrid w:val="0"/>
        <w:spacing w:line="360" w:lineRule="auto"/>
        <w:ind w:firstLineChars="200" w:firstLine="480"/>
        <w:rPr>
          <w:sz w:val="24"/>
        </w:rPr>
      </w:pPr>
      <w:r>
        <w:rPr>
          <w:rFonts w:hint="eastAsia"/>
          <w:bCs/>
          <w:sz w:val="24"/>
        </w:rPr>
        <w:t>（</w:t>
      </w:r>
      <w:r>
        <w:rPr>
          <w:bCs/>
          <w:sz w:val="24"/>
        </w:rPr>
        <w:t>3</w:t>
      </w:r>
      <w:r>
        <w:rPr>
          <w:rFonts w:hint="eastAsia"/>
          <w:bCs/>
          <w:sz w:val="24"/>
        </w:rPr>
        <w:t>）</w:t>
      </w:r>
      <w:r>
        <w:rPr>
          <w:bCs/>
          <w:sz w:val="24"/>
        </w:rPr>
        <w:t>上述</w:t>
      </w:r>
      <w:r>
        <w:rPr>
          <w:rFonts w:hint="eastAsia"/>
          <w:bCs/>
          <w:sz w:val="24"/>
        </w:rPr>
        <w:t>“（</w:t>
      </w:r>
      <w:r>
        <w:rPr>
          <w:bCs/>
          <w:sz w:val="24"/>
        </w:rPr>
        <w:t>一</w:t>
      </w:r>
      <w:r>
        <w:rPr>
          <w:rFonts w:hint="eastAsia"/>
          <w:bCs/>
          <w:sz w:val="24"/>
        </w:rPr>
        <w:t>）</w:t>
      </w:r>
      <w:r>
        <w:rPr>
          <w:bCs/>
          <w:sz w:val="24"/>
        </w:rPr>
        <w:t>基金费用的种类</w:t>
      </w:r>
      <w:r>
        <w:rPr>
          <w:rFonts w:hint="eastAsia"/>
          <w:bCs/>
          <w:sz w:val="24"/>
        </w:rPr>
        <w:t>”</w:t>
      </w:r>
      <w:r>
        <w:rPr>
          <w:bCs/>
          <w:sz w:val="24"/>
        </w:rPr>
        <w:t>中第</w:t>
      </w:r>
      <w:r>
        <w:rPr>
          <w:bCs/>
          <w:sz w:val="24"/>
        </w:rPr>
        <w:t>3</w:t>
      </w:r>
      <w:r>
        <w:rPr>
          <w:rFonts w:hint="eastAsia"/>
          <w:bCs/>
          <w:sz w:val="24"/>
        </w:rPr>
        <w:t>－</w:t>
      </w:r>
      <w:r>
        <w:rPr>
          <w:bCs/>
          <w:sz w:val="24"/>
        </w:rPr>
        <w:t>10</w:t>
      </w:r>
      <w:r>
        <w:rPr>
          <w:rFonts w:hint="eastAsia"/>
          <w:bCs/>
          <w:sz w:val="24"/>
        </w:rPr>
        <w:t>项</w:t>
      </w:r>
      <w:r>
        <w:rPr>
          <w:bCs/>
          <w:sz w:val="24"/>
        </w:rPr>
        <w:t>费用，根据有关法规及相应协议规定，按费用实际支出金额列入当期费用，由基金托管人从基金财产中支付。</w:t>
      </w:r>
    </w:p>
    <w:p w14:paraId="3ED401EA" w14:textId="77777777" w:rsidR="00791BDD" w:rsidRDefault="00B75151">
      <w:pPr>
        <w:adjustRightInd w:val="0"/>
        <w:snapToGrid w:val="0"/>
        <w:spacing w:line="360" w:lineRule="auto"/>
        <w:ind w:firstLineChars="200" w:firstLine="480"/>
        <w:outlineLvl w:val="2"/>
        <w:rPr>
          <w:bCs/>
          <w:sz w:val="24"/>
        </w:rPr>
      </w:pPr>
      <w:r>
        <w:rPr>
          <w:bCs/>
          <w:sz w:val="24"/>
        </w:rPr>
        <w:t>2</w:t>
      </w:r>
      <w:r>
        <w:rPr>
          <w:bCs/>
          <w:sz w:val="24"/>
        </w:rPr>
        <w:t>、与基金销售有关的费用</w:t>
      </w:r>
    </w:p>
    <w:p w14:paraId="665A4718" w14:textId="77777777" w:rsidR="00791BDD" w:rsidRDefault="00B75151">
      <w:pPr>
        <w:adjustRightInd w:val="0"/>
        <w:snapToGrid w:val="0"/>
        <w:spacing w:line="360" w:lineRule="auto"/>
        <w:ind w:firstLineChars="200" w:firstLine="480"/>
        <w:rPr>
          <w:bCs/>
          <w:sz w:val="24"/>
        </w:rPr>
      </w:pPr>
      <w:r>
        <w:rPr>
          <w:bCs/>
          <w:sz w:val="24"/>
        </w:rPr>
        <w:t>（</w:t>
      </w:r>
      <w:r>
        <w:rPr>
          <w:bCs/>
          <w:sz w:val="24"/>
        </w:rPr>
        <w:t>1</w:t>
      </w:r>
      <w:r>
        <w:rPr>
          <w:bCs/>
          <w:sz w:val="24"/>
        </w:rPr>
        <w:t>）申购费</w:t>
      </w:r>
    </w:p>
    <w:p w14:paraId="306662CC" w14:textId="77777777" w:rsidR="00791BDD" w:rsidRDefault="00B75151">
      <w:pPr>
        <w:adjustRightInd w:val="0"/>
        <w:snapToGrid w:val="0"/>
        <w:spacing w:line="360" w:lineRule="auto"/>
        <w:ind w:firstLineChars="200" w:firstLine="480"/>
        <w:rPr>
          <w:bCs/>
          <w:sz w:val="24"/>
        </w:rPr>
      </w:pPr>
      <w:r>
        <w:rPr>
          <w:bCs/>
          <w:sz w:val="24"/>
        </w:rPr>
        <w:t>本基金申购费的费率水平、计算公式和收取方式详见</w:t>
      </w:r>
      <w:r>
        <w:rPr>
          <w:rFonts w:hint="eastAsia"/>
          <w:bCs/>
          <w:sz w:val="24"/>
        </w:rPr>
        <w:t>“</w:t>
      </w:r>
      <w:r>
        <w:rPr>
          <w:bCs/>
          <w:sz w:val="24"/>
        </w:rPr>
        <w:t>基金份额的申购与赎回</w:t>
      </w:r>
      <w:r>
        <w:rPr>
          <w:rFonts w:hint="eastAsia"/>
          <w:bCs/>
          <w:sz w:val="24"/>
        </w:rPr>
        <w:t>”</w:t>
      </w:r>
      <w:r>
        <w:rPr>
          <w:bCs/>
          <w:sz w:val="24"/>
        </w:rPr>
        <w:t>一章。</w:t>
      </w:r>
    </w:p>
    <w:p w14:paraId="62E90858" w14:textId="77777777" w:rsidR="00791BDD" w:rsidRDefault="00B75151">
      <w:pPr>
        <w:adjustRightInd w:val="0"/>
        <w:snapToGrid w:val="0"/>
        <w:spacing w:line="360" w:lineRule="auto"/>
        <w:ind w:firstLineChars="200" w:firstLine="480"/>
        <w:rPr>
          <w:bCs/>
          <w:sz w:val="24"/>
        </w:rPr>
      </w:pPr>
      <w:r>
        <w:rPr>
          <w:bCs/>
          <w:sz w:val="24"/>
        </w:rPr>
        <w:t>（</w:t>
      </w:r>
      <w:r>
        <w:rPr>
          <w:bCs/>
          <w:sz w:val="24"/>
        </w:rPr>
        <w:t>2</w:t>
      </w:r>
      <w:r>
        <w:rPr>
          <w:bCs/>
          <w:sz w:val="24"/>
        </w:rPr>
        <w:t>）赎回费</w:t>
      </w:r>
    </w:p>
    <w:p w14:paraId="20F208D0" w14:textId="77777777" w:rsidR="00791BDD" w:rsidRDefault="00B75151">
      <w:pPr>
        <w:adjustRightInd w:val="0"/>
        <w:snapToGrid w:val="0"/>
        <w:spacing w:line="360" w:lineRule="auto"/>
        <w:ind w:firstLineChars="200" w:firstLine="480"/>
        <w:rPr>
          <w:bCs/>
          <w:sz w:val="24"/>
        </w:rPr>
      </w:pPr>
      <w:r>
        <w:rPr>
          <w:bCs/>
          <w:sz w:val="24"/>
        </w:rPr>
        <w:t>本基金赎回费的费率水平、计算公式和收取方式详见</w:t>
      </w:r>
      <w:r>
        <w:rPr>
          <w:rFonts w:hint="eastAsia"/>
          <w:bCs/>
          <w:sz w:val="24"/>
        </w:rPr>
        <w:t>“</w:t>
      </w:r>
      <w:r>
        <w:rPr>
          <w:bCs/>
          <w:sz w:val="24"/>
        </w:rPr>
        <w:t>基金份额的申购与赎回</w:t>
      </w:r>
      <w:r>
        <w:rPr>
          <w:rFonts w:hint="eastAsia"/>
          <w:bCs/>
          <w:sz w:val="24"/>
        </w:rPr>
        <w:t>”</w:t>
      </w:r>
      <w:r>
        <w:rPr>
          <w:bCs/>
          <w:sz w:val="24"/>
        </w:rPr>
        <w:t>一章。</w:t>
      </w:r>
    </w:p>
    <w:p w14:paraId="0048DC2C" w14:textId="77777777" w:rsidR="00791BDD" w:rsidRDefault="00B75151">
      <w:pPr>
        <w:adjustRightInd w:val="0"/>
        <w:snapToGrid w:val="0"/>
        <w:spacing w:line="360" w:lineRule="auto"/>
        <w:ind w:firstLine="482"/>
        <w:outlineLvl w:val="1"/>
        <w:rPr>
          <w:b/>
          <w:bCs/>
          <w:sz w:val="24"/>
        </w:rPr>
      </w:pPr>
      <w:r>
        <w:rPr>
          <w:b/>
          <w:bCs/>
          <w:sz w:val="24"/>
        </w:rPr>
        <w:t>（三）不列入基金费用的项目</w:t>
      </w:r>
    </w:p>
    <w:p w14:paraId="063337D7" w14:textId="77777777" w:rsidR="00791BDD" w:rsidRDefault="00B75151">
      <w:pPr>
        <w:adjustRightInd w:val="0"/>
        <w:snapToGrid w:val="0"/>
        <w:spacing w:line="360" w:lineRule="auto"/>
        <w:ind w:firstLineChars="200" w:firstLine="480"/>
        <w:rPr>
          <w:rFonts w:hAnsi="宋体"/>
          <w:sz w:val="24"/>
          <w:szCs w:val="21"/>
        </w:rPr>
      </w:pPr>
      <w:r>
        <w:rPr>
          <w:rFonts w:hAnsi="宋体"/>
          <w:sz w:val="24"/>
          <w:szCs w:val="21"/>
        </w:rPr>
        <w:t>下列费用不列入基金费用：</w:t>
      </w:r>
    </w:p>
    <w:p w14:paraId="75F1DAE4" w14:textId="77777777" w:rsidR="00791BDD" w:rsidRDefault="00B75151">
      <w:pPr>
        <w:adjustRightInd w:val="0"/>
        <w:snapToGrid w:val="0"/>
        <w:spacing w:line="360" w:lineRule="auto"/>
        <w:ind w:firstLineChars="200" w:firstLine="480"/>
        <w:rPr>
          <w:rFonts w:hAnsi="宋体"/>
          <w:sz w:val="24"/>
          <w:szCs w:val="21"/>
        </w:rPr>
      </w:pPr>
      <w:r>
        <w:rPr>
          <w:rFonts w:hAnsi="宋体"/>
          <w:sz w:val="24"/>
          <w:szCs w:val="21"/>
        </w:rPr>
        <w:t>1</w:t>
      </w:r>
      <w:r>
        <w:rPr>
          <w:rFonts w:hAnsi="宋体"/>
          <w:sz w:val="24"/>
          <w:szCs w:val="21"/>
        </w:rPr>
        <w:t>、基金管理人和基金托管人因未履行或未完全履行义务导致的费用支出或基金财产的损失；</w:t>
      </w:r>
    </w:p>
    <w:p w14:paraId="5A675659" w14:textId="77777777" w:rsidR="00791BDD" w:rsidRDefault="00B75151">
      <w:pPr>
        <w:adjustRightInd w:val="0"/>
        <w:snapToGrid w:val="0"/>
        <w:spacing w:line="360" w:lineRule="auto"/>
        <w:ind w:firstLineChars="200" w:firstLine="480"/>
        <w:rPr>
          <w:rFonts w:hAnsi="宋体"/>
          <w:sz w:val="24"/>
          <w:szCs w:val="21"/>
        </w:rPr>
      </w:pPr>
      <w:r>
        <w:rPr>
          <w:rFonts w:hAnsi="宋体"/>
          <w:sz w:val="24"/>
          <w:szCs w:val="21"/>
        </w:rPr>
        <w:t>2</w:t>
      </w:r>
      <w:r>
        <w:rPr>
          <w:rFonts w:hAnsi="宋体"/>
          <w:sz w:val="24"/>
          <w:szCs w:val="21"/>
        </w:rPr>
        <w:t>、基金管理人和基金托管人处理与基金运作无关的事项发生的费用；</w:t>
      </w:r>
    </w:p>
    <w:p w14:paraId="49686F38" w14:textId="77777777" w:rsidR="00791BDD" w:rsidRDefault="00B75151">
      <w:pPr>
        <w:adjustRightInd w:val="0"/>
        <w:snapToGrid w:val="0"/>
        <w:spacing w:line="360" w:lineRule="auto"/>
        <w:ind w:firstLineChars="200" w:firstLine="480"/>
        <w:rPr>
          <w:rFonts w:hAnsi="宋体"/>
          <w:sz w:val="24"/>
          <w:szCs w:val="21"/>
        </w:rPr>
      </w:pPr>
      <w:r>
        <w:rPr>
          <w:rFonts w:hAnsi="宋体"/>
          <w:sz w:val="24"/>
          <w:szCs w:val="21"/>
        </w:rPr>
        <w:t>3</w:t>
      </w:r>
      <w:r>
        <w:rPr>
          <w:rFonts w:hAnsi="宋体"/>
          <w:sz w:val="24"/>
          <w:szCs w:val="21"/>
        </w:rPr>
        <w:t>、</w:t>
      </w:r>
      <w:r>
        <w:rPr>
          <w:rFonts w:hAnsi="宋体" w:hint="eastAsia"/>
          <w:sz w:val="24"/>
          <w:szCs w:val="21"/>
        </w:rPr>
        <w:t>《</w:t>
      </w:r>
      <w:r>
        <w:rPr>
          <w:rFonts w:hAnsi="宋体"/>
          <w:sz w:val="24"/>
          <w:szCs w:val="21"/>
        </w:rPr>
        <w:t>基金合同</w:t>
      </w:r>
      <w:r>
        <w:rPr>
          <w:rFonts w:hAnsi="宋体" w:hint="eastAsia"/>
          <w:sz w:val="24"/>
          <w:szCs w:val="21"/>
        </w:rPr>
        <w:t>》</w:t>
      </w:r>
      <w:r>
        <w:rPr>
          <w:rFonts w:hAnsi="宋体"/>
          <w:sz w:val="24"/>
          <w:szCs w:val="21"/>
        </w:rPr>
        <w:t>生效前的相关费用；</w:t>
      </w:r>
    </w:p>
    <w:p w14:paraId="467F9DD8" w14:textId="77777777" w:rsidR="00791BDD" w:rsidRDefault="00B75151">
      <w:pPr>
        <w:adjustRightInd w:val="0"/>
        <w:snapToGrid w:val="0"/>
        <w:spacing w:line="360" w:lineRule="auto"/>
        <w:ind w:firstLineChars="200" w:firstLine="480"/>
        <w:rPr>
          <w:rFonts w:hAnsi="宋体"/>
          <w:sz w:val="24"/>
          <w:szCs w:val="21"/>
        </w:rPr>
      </w:pPr>
      <w:bookmarkStart w:id="89" w:name="_Hlt81193394"/>
      <w:bookmarkEnd w:id="89"/>
      <w:r>
        <w:rPr>
          <w:rFonts w:hAnsi="宋体"/>
          <w:sz w:val="24"/>
          <w:szCs w:val="21"/>
        </w:rPr>
        <w:t>4</w:t>
      </w:r>
      <w:r>
        <w:rPr>
          <w:rFonts w:hAnsi="宋体"/>
          <w:sz w:val="24"/>
          <w:szCs w:val="21"/>
        </w:rPr>
        <w:t>、其他根据相关法律法规及中国证监会的有关规定不得列入基金费用的项目。</w:t>
      </w:r>
    </w:p>
    <w:p w14:paraId="28D753E4" w14:textId="77777777" w:rsidR="00791BDD" w:rsidRDefault="00B75151">
      <w:pPr>
        <w:adjustRightInd w:val="0"/>
        <w:snapToGrid w:val="0"/>
        <w:spacing w:line="360" w:lineRule="auto"/>
        <w:ind w:firstLine="482"/>
        <w:outlineLvl w:val="1"/>
        <w:rPr>
          <w:b/>
          <w:bCs/>
          <w:sz w:val="24"/>
        </w:rPr>
      </w:pPr>
      <w:r>
        <w:rPr>
          <w:rFonts w:hint="eastAsia"/>
          <w:b/>
          <w:bCs/>
          <w:sz w:val="24"/>
        </w:rPr>
        <w:t>（</w:t>
      </w:r>
      <w:r>
        <w:rPr>
          <w:b/>
          <w:bCs/>
          <w:sz w:val="24"/>
        </w:rPr>
        <w:t>四</w:t>
      </w:r>
      <w:r>
        <w:rPr>
          <w:rFonts w:hint="eastAsia"/>
          <w:b/>
          <w:bCs/>
          <w:sz w:val="24"/>
        </w:rPr>
        <w:t>）实施侧袋机制期间的基金费用</w:t>
      </w:r>
    </w:p>
    <w:p w14:paraId="67BA254C" w14:textId="77777777" w:rsidR="00791BDD" w:rsidRDefault="00B75151">
      <w:pPr>
        <w:adjustRightInd w:val="0"/>
        <w:snapToGrid w:val="0"/>
        <w:spacing w:line="360" w:lineRule="auto"/>
        <w:ind w:firstLineChars="200" w:firstLine="480"/>
        <w:rPr>
          <w:rFonts w:hAnsi="宋体"/>
          <w:sz w:val="24"/>
          <w:szCs w:val="21"/>
        </w:rPr>
      </w:pPr>
      <w:r>
        <w:rPr>
          <w:rFonts w:hAnsi="宋体" w:hint="eastAsia"/>
          <w:sz w:val="24"/>
          <w:szCs w:val="21"/>
        </w:rPr>
        <w:t>本基金实施侧袋机制的，与侧袋账户有关的费用可以从侧袋账户中列支，但应待侧袋账户资产变现后方可列支，有关费用可酌情收取或减免，但不得收取管理费，详见本招募说明书“侧袋机制”部分的规定。</w:t>
      </w:r>
    </w:p>
    <w:p w14:paraId="6B35BBC9" w14:textId="77777777" w:rsidR="00791BDD" w:rsidRDefault="00B75151">
      <w:pPr>
        <w:adjustRightInd w:val="0"/>
        <w:snapToGrid w:val="0"/>
        <w:spacing w:line="360" w:lineRule="auto"/>
        <w:ind w:firstLine="482"/>
        <w:outlineLvl w:val="1"/>
        <w:rPr>
          <w:b/>
          <w:bCs/>
          <w:sz w:val="24"/>
        </w:rPr>
      </w:pPr>
      <w:r>
        <w:rPr>
          <w:rFonts w:hint="eastAsia"/>
          <w:b/>
          <w:bCs/>
          <w:sz w:val="24"/>
        </w:rPr>
        <w:t>（五）</w:t>
      </w:r>
      <w:r>
        <w:rPr>
          <w:b/>
          <w:bCs/>
          <w:sz w:val="24"/>
        </w:rPr>
        <w:t>基金税收</w:t>
      </w:r>
    </w:p>
    <w:p w14:paraId="0771EC6F" w14:textId="77777777" w:rsidR="00791BDD" w:rsidRDefault="00B75151">
      <w:pPr>
        <w:adjustRightInd w:val="0"/>
        <w:snapToGrid w:val="0"/>
        <w:spacing w:line="360" w:lineRule="auto"/>
        <w:ind w:firstLineChars="200" w:firstLine="480"/>
        <w:rPr>
          <w:rFonts w:hAnsi="宋体"/>
          <w:sz w:val="24"/>
          <w:szCs w:val="21"/>
        </w:rPr>
      </w:pPr>
      <w:r>
        <w:rPr>
          <w:rFonts w:hAnsi="宋体" w:hint="eastAsia"/>
          <w:sz w:val="24"/>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bookmarkEnd w:id="86"/>
      <w:bookmarkEnd w:id="88"/>
    </w:p>
    <w:p w14:paraId="38880CB5" w14:textId="77777777" w:rsidR="00791BDD" w:rsidRDefault="00B75151">
      <w:pPr>
        <w:adjustRightInd w:val="0"/>
        <w:snapToGrid w:val="0"/>
        <w:spacing w:line="360" w:lineRule="auto"/>
        <w:ind w:firstLineChars="200" w:firstLine="480"/>
        <w:rPr>
          <w:rFonts w:ascii="宋体" w:hAnsi="宋体"/>
          <w:b/>
          <w:kern w:val="0"/>
          <w:sz w:val="30"/>
        </w:rPr>
      </w:pPr>
      <w:r>
        <w:rPr>
          <w:rFonts w:hAnsi="宋体" w:hint="eastAsia"/>
          <w:sz w:val="24"/>
          <w:szCs w:val="21"/>
        </w:rPr>
        <w:t>本基金支付给管理人、托管人的各项费用均为含税价格，具体税率适用中国税务主管机关的规定。</w:t>
      </w:r>
      <w:r>
        <w:rPr>
          <w:rFonts w:ascii="宋体" w:hAnsi="宋体"/>
          <w:b/>
          <w:kern w:val="0"/>
          <w:sz w:val="30"/>
        </w:rPr>
        <w:br w:type="page"/>
      </w:r>
    </w:p>
    <w:p w14:paraId="565C3FF0" w14:textId="77777777" w:rsidR="00791BDD" w:rsidRDefault="00B75151">
      <w:pPr>
        <w:widowControl/>
        <w:adjustRightInd w:val="0"/>
        <w:snapToGrid w:val="0"/>
        <w:spacing w:beforeLines="50" w:before="143" w:afterLines="50" w:after="143" w:line="360" w:lineRule="auto"/>
        <w:jc w:val="center"/>
        <w:outlineLvl w:val="0"/>
        <w:rPr>
          <w:rFonts w:ascii="宋体" w:hAnsi="宋体"/>
          <w:b/>
          <w:kern w:val="0"/>
          <w:sz w:val="30"/>
        </w:rPr>
      </w:pPr>
      <w:bookmarkStart w:id="90" w:name="_Toc48122015"/>
      <w:bookmarkStart w:id="91" w:name="_Hlk217331124"/>
      <w:bookmarkStart w:id="92" w:name="OLE_LINK2"/>
      <w:bookmarkStart w:id="93" w:name="OLE_LINK1"/>
      <w:bookmarkStart w:id="94" w:name="_Hlk212628701"/>
      <w:bookmarkEnd w:id="87"/>
      <w:r>
        <w:rPr>
          <w:rFonts w:ascii="宋体" w:hAnsi="宋体" w:hint="eastAsia"/>
          <w:b/>
          <w:kern w:val="0"/>
          <w:sz w:val="30"/>
        </w:rPr>
        <w:t>十四、基金的会计与审计</w:t>
      </w:r>
      <w:bookmarkEnd w:id="90"/>
    </w:p>
    <w:p w14:paraId="2C0DBF44" w14:textId="77777777" w:rsidR="00791BDD" w:rsidRDefault="00B75151">
      <w:pPr>
        <w:adjustRightInd w:val="0"/>
        <w:snapToGrid w:val="0"/>
        <w:spacing w:line="360" w:lineRule="auto"/>
        <w:ind w:firstLine="482"/>
        <w:outlineLvl w:val="1"/>
        <w:rPr>
          <w:b/>
          <w:bCs/>
          <w:sz w:val="24"/>
        </w:rPr>
      </w:pPr>
      <w:bookmarkStart w:id="95" w:name="_Hlk49344167"/>
      <w:r>
        <w:rPr>
          <w:b/>
          <w:bCs/>
          <w:sz w:val="24"/>
        </w:rPr>
        <w:t>（一）基金会计政策</w:t>
      </w:r>
    </w:p>
    <w:p w14:paraId="266F6ED1" w14:textId="77777777" w:rsidR="00791BDD" w:rsidRDefault="00B75151">
      <w:pPr>
        <w:adjustRightInd w:val="0"/>
        <w:snapToGrid w:val="0"/>
        <w:spacing w:line="360" w:lineRule="auto"/>
        <w:ind w:firstLineChars="200" w:firstLine="480"/>
        <w:rPr>
          <w:sz w:val="24"/>
          <w:szCs w:val="18"/>
        </w:rPr>
      </w:pPr>
      <w:r>
        <w:rPr>
          <w:sz w:val="24"/>
        </w:rPr>
        <w:t>1</w:t>
      </w:r>
      <w:r>
        <w:rPr>
          <w:rFonts w:hAnsi="宋体"/>
          <w:sz w:val="24"/>
        </w:rPr>
        <w:t>、基金管理人为本基金的基金会计责任方；</w:t>
      </w:r>
    </w:p>
    <w:p w14:paraId="1BFB1CF9" w14:textId="77777777" w:rsidR="00791BDD" w:rsidRDefault="00B75151">
      <w:pPr>
        <w:adjustRightInd w:val="0"/>
        <w:snapToGrid w:val="0"/>
        <w:spacing w:line="360" w:lineRule="auto"/>
        <w:ind w:firstLineChars="200" w:firstLine="480"/>
        <w:rPr>
          <w:rFonts w:hAnsi="宋体"/>
          <w:sz w:val="24"/>
        </w:rPr>
      </w:pPr>
      <w:r>
        <w:rPr>
          <w:sz w:val="24"/>
        </w:rPr>
        <w:t>2</w:t>
      </w:r>
      <w:r>
        <w:rPr>
          <w:rFonts w:hAnsi="宋体"/>
          <w:sz w:val="24"/>
        </w:rPr>
        <w:t>、</w:t>
      </w:r>
      <w:r>
        <w:rPr>
          <w:rFonts w:hAnsi="宋体" w:hint="eastAsia"/>
          <w:sz w:val="24"/>
        </w:rPr>
        <w:t>基金的会计年度为公历年度的</w:t>
      </w:r>
      <w:r>
        <w:rPr>
          <w:rFonts w:hAnsi="宋体" w:hint="eastAsia"/>
          <w:sz w:val="24"/>
        </w:rPr>
        <w:t>1</w:t>
      </w:r>
      <w:r>
        <w:rPr>
          <w:rFonts w:hAnsi="宋体" w:hint="eastAsia"/>
          <w:sz w:val="24"/>
        </w:rPr>
        <w:t>月</w:t>
      </w:r>
      <w:r>
        <w:rPr>
          <w:rFonts w:hAnsi="宋体" w:hint="eastAsia"/>
          <w:sz w:val="24"/>
        </w:rPr>
        <w:t>1</w:t>
      </w:r>
      <w:r>
        <w:rPr>
          <w:rFonts w:hAnsi="宋体" w:hint="eastAsia"/>
          <w:sz w:val="24"/>
        </w:rPr>
        <w:t>日至</w:t>
      </w:r>
      <w:r>
        <w:rPr>
          <w:rFonts w:hAnsi="宋体" w:hint="eastAsia"/>
          <w:sz w:val="24"/>
        </w:rPr>
        <w:t>12</w:t>
      </w:r>
      <w:r>
        <w:rPr>
          <w:rFonts w:hAnsi="宋体" w:hint="eastAsia"/>
          <w:sz w:val="24"/>
        </w:rPr>
        <w:t>月</w:t>
      </w:r>
      <w:r>
        <w:rPr>
          <w:rFonts w:hAnsi="宋体" w:hint="eastAsia"/>
          <w:sz w:val="24"/>
        </w:rPr>
        <w:t>31</w:t>
      </w:r>
      <w:r>
        <w:rPr>
          <w:rFonts w:hAnsi="宋体" w:hint="eastAsia"/>
          <w:sz w:val="24"/>
        </w:rPr>
        <w:t>日；基金首次募集的会计年度按如下原则：如果《基金合同》生效少于</w:t>
      </w:r>
      <w:r>
        <w:rPr>
          <w:rFonts w:hAnsi="宋体" w:hint="eastAsia"/>
          <w:sz w:val="24"/>
        </w:rPr>
        <w:t>2</w:t>
      </w:r>
      <w:r>
        <w:rPr>
          <w:rFonts w:hAnsi="宋体" w:hint="eastAsia"/>
          <w:sz w:val="24"/>
        </w:rPr>
        <w:t>个月，可以并入下一个会计年度披露；</w:t>
      </w:r>
    </w:p>
    <w:p w14:paraId="0B933628" w14:textId="77777777" w:rsidR="00791BDD" w:rsidRDefault="00B75151">
      <w:pPr>
        <w:adjustRightInd w:val="0"/>
        <w:snapToGrid w:val="0"/>
        <w:spacing w:line="360" w:lineRule="auto"/>
        <w:ind w:firstLineChars="200" w:firstLine="480"/>
        <w:rPr>
          <w:sz w:val="24"/>
          <w:szCs w:val="18"/>
        </w:rPr>
      </w:pPr>
      <w:bookmarkStart w:id="96" w:name="_Toc109537394"/>
      <w:r>
        <w:rPr>
          <w:sz w:val="24"/>
        </w:rPr>
        <w:t>3</w:t>
      </w:r>
      <w:r>
        <w:rPr>
          <w:rFonts w:hAnsi="宋体"/>
          <w:sz w:val="24"/>
        </w:rPr>
        <w:t>、</w:t>
      </w:r>
      <w:r>
        <w:rPr>
          <w:rFonts w:hAnsi="宋体"/>
          <w:sz w:val="24"/>
          <w:szCs w:val="21"/>
        </w:rPr>
        <w:t>基金核</w:t>
      </w:r>
      <w:bookmarkEnd w:id="96"/>
      <w:r>
        <w:rPr>
          <w:rFonts w:hAnsi="宋体"/>
          <w:sz w:val="24"/>
          <w:szCs w:val="21"/>
        </w:rPr>
        <w:t>算以人民币为记账本位币，以人民币元为记账单位；</w:t>
      </w:r>
    </w:p>
    <w:p w14:paraId="29914AC4" w14:textId="77777777" w:rsidR="00791BDD" w:rsidRDefault="00B75151">
      <w:pPr>
        <w:adjustRightInd w:val="0"/>
        <w:snapToGrid w:val="0"/>
        <w:spacing w:line="360" w:lineRule="auto"/>
        <w:ind w:firstLineChars="200" w:firstLine="480"/>
        <w:rPr>
          <w:sz w:val="24"/>
          <w:szCs w:val="18"/>
        </w:rPr>
      </w:pPr>
      <w:r>
        <w:rPr>
          <w:sz w:val="24"/>
        </w:rPr>
        <w:t>4</w:t>
      </w:r>
      <w:r>
        <w:rPr>
          <w:rFonts w:hAnsi="宋体"/>
          <w:sz w:val="24"/>
        </w:rPr>
        <w:t>、会计制度执行国家有关会计制度；</w:t>
      </w:r>
    </w:p>
    <w:p w14:paraId="45EDF774" w14:textId="77777777" w:rsidR="00791BDD" w:rsidRDefault="00B75151">
      <w:pPr>
        <w:adjustRightInd w:val="0"/>
        <w:snapToGrid w:val="0"/>
        <w:spacing w:line="360" w:lineRule="auto"/>
        <w:ind w:firstLineChars="200" w:firstLine="480"/>
        <w:rPr>
          <w:sz w:val="24"/>
          <w:szCs w:val="18"/>
        </w:rPr>
      </w:pPr>
      <w:r>
        <w:rPr>
          <w:sz w:val="24"/>
        </w:rPr>
        <w:t>5</w:t>
      </w:r>
      <w:r>
        <w:rPr>
          <w:rFonts w:hAnsi="宋体"/>
          <w:sz w:val="24"/>
        </w:rPr>
        <w:t>、本基金独立建账、独立核算；</w:t>
      </w:r>
    </w:p>
    <w:p w14:paraId="553AE419" w14:textId="77777777" w:rsidR="00791BDD" w:rsidRDefault="00B75151">
      <w:pPr>
        <w:adjustRightInd w:val="0"/>
        <w:snapToGrid w:val="0"/>
        <w:spacing w:line="360" w:lineRule="auto"/>
        <w:ind w:firstLineChars="200" w:firstLine="480"/>
        <w:rPr>
          <w:sz w:val="24"/>
          <w:szCs w:val="18"/>
        </w:rPr>
      </w:pPr>
      <w:r>
        <w:rPr>
          <w:sz w:val="24"/>
          <w:szCs w:val="18"/>
        </w:rPr>
        <w:t>6</w:t>
      </w:r>
      <w:r>
        <w:rPr>
          <w:rFonts w:hAnsi="宋体"/>
          <w:sz w:val="24"/>
          <w:szCs w:val="18"/>
        </w:rPr>
        <w:t>、基金管理人及基金托管人各自保留完整的会计账目、凭证并进行日常的会计核算，按照有关规定编制基金会计报表；</w:t>
      </w:r>
    </w:p>
    <w:p w14:paraId="4F4D6D72" w14:textId="77777777" w:rsidR="00791BDD" w:rsidRDefault="00B75151">
      <w:pPr>
        <w:adjustRightInd w:val="0"/>
        <w:snapToGrid w:val="0"/>
        <w:spacing w:line="360" w:lineRule="auto"/>
        <w:ind w:firstLineChars="200" w:firstLine="480"/>
        <w:rPr>
          <w:sz w:val="24"/>
        </w:rPr>
      </w:pPr>
      <w:r>
        <w:rPr>
          <w:sz w:val="24"/>
          <w:szCs w:val="18"/>
        </w:rPr>
        <w:t>7</w:t>
      </w:r>
      <w:r>
        <w:rPr>
          <w:rFonts w:hAnsi="宋体"/>
          <w:sz w:val="24"/>
          <w:szCs w:val="18"/>
        </w:rPr>
        <w:t>、基金托管人每月与基金管理人就基金的会计核算、报表编制等进行核对确认。</w:t>
      </w:r>
    </w:p>
    <w:p w14:paraId="686C8A80" w14:textId="77777777" w:rsidR="00791BDD" w:rsidRDefault="00B75151">
      <w:pPr>
        <w:adjustRightInd w:val="0"/>
        <w:snapToGrid w:val="0"/>
        <w:spacing w:line="360" w:lineRule="auto"/>
        <w:ind w:firstLine="482"/>
        <w:outlineLvl w:val="1"/>
        <w:rPr>
          <w:b/>
          <w:bCs/>
          <w:sz w:val="24"/>
        </w:rPr>
      </w:pPr>
      <w:r>
        <w:rPr>
          <w:b/>
          <w:bCs/>
          <w:sz w:val="24"/>
        </w:rPr>
        <w:t>（二）基金的年度审计</w:t>
      </w:r>
    </w:p>
    <w:p w14:paraId="270A3368" w14:textId="77777777" w:rsidR="00791BDD" w:rsidRDefault="00B75151">
      <w:pPr>
        <w:adjustRightInd w:val="0"/>
        <w:snapToGrid w:val="0"/>
        <w:spacing w:line="360" w:lineRule="auto"/>
        <w:ind w:firstLineChars="200" w:firstLine="480"/>
        <w:rPr>
          <w:rFonts w:hAnsi="宋体"/>
          <w:sz w:val="24"/>
          <w:szCs w:val="18"/>
        </w:rPr>
      </w:pPr>
      <w:r>
        <w:rPr>
          <w:rFonts w:hAnsi="宋体"/>
          <w:sz w:val="24"/>
          <w:szCs w:val="18"/>
        </w:rPr>
        <w:t>1</w:t>
      </w:r>
      <w:r>
        <w:rPr>
          <w:rFonts w:hAnsi="宋体"/>
          <w:sz w:val="24"/>
          <w:szCs w:val="18"/>
        </w:rPr>
        <w:t>、基金管理人聘请与基金管理人、基金托管人相互独立的符合《中华人民共和国证券法》规定的会计师事务所及其注册会计师对本基金的年度财务报表进行审计。</w:t>
      </w:r>
    </w:p>
    <w:p w14:paraId="4D62EDA1" w14:textId="77777777" w:rsidR="00791BDD" w:rsidRDefault="00B75151">
      <w:pPr>
        <w:adjustRightInd w:val="0"/>
        <w:snapToGrid w:val="0"/>
        <w:spacing w:line="360" w:lineRule="auto"/>
        <w:ind w:firstLineChars="200" w:firstLine="480"/>
        <w:rPr>
          <w:rFonts w:hAnsi="宋体"/>
          <w:sz w:val="24"/>
          <w:szCs w:val="18"/>
        </w:rPr>
      </w:pPr>
      <w:r>
        <w:rPr>
          <w:rFonts w:hAnsi="宋体"/>
          <w:sz w:val="24"/>
          <w:szCs w:val="18"/>
        </w:rPr>
        <w:t>2</w:t>
      </w:r>
      <w:r>
        <w:rPr>
          <w:rFonts w:hAnsi="宋体"/>
          <w:sz w:val="24"/>
          <w:szCs w:val="18"/>
        </w:rPr>
        <w:t>、会计师事务所更换经办注册会计师，应事先征得基金管理人同意。</w:t>
      </w:r>
    </w:p>
    <w:p w14:paraId="674312F3" w14:textId="77777777" w:rsidR="00791BDD" w:rsidRDefault="00B75151">
      <w:pPr>
        <w:adjustRightInd w:val="0"/>
        <w:snapToGrid w:val="0"/>
        <w:spacing w:line="360" w:lineRule="auto"/>
        <w:ind w:firstLineChars="200" w:firstLine="480"/>
        <w:rPr>
          <w:rFonts w:hAnsi="宋体"/>
          <w:sz w:val="24"/>
          <w:szCs w:val="18"/>
        </w:rPr>
      </w:pPr>
      <w:r>
        <w:rPr>
          <w:rFonts w:hAnsi="宋体"/>
          <w:sz w:val="24"/>
          <w:szCs w:val="18"/>
        </w:rPr>
        <w:t>3</w:t>
      </w:r>
      <w:r>
        <w:rPr>
          <w:rFonts w:hAnsi="宋体"/>
          <w:sz w:val="24"/>
          <w:szCs w:val="18"/>
        </w:rPr>
        <w:t>、</w:t>
      </w:r>
      <w:bookmarkStart w:id="97" w:name="_Hlt4221115"/>
      <w:bookmarkEnd w:id="97"/>
      <w:r>
        <w:rPr>
          <w:rFonts w:hAnsi="宋体"/>
          <w:sz w:val="24"/>
          <w:szCs w:val="18"/>
        </w:rPr>
        <w:t>基金管理人认为有充足理由更换会计师事务所，须通报基金托管人。更换会计师事务所需</w:t>
      </w:r>
      <w:r>
        <w:rPr>
          <w:rFonts w:hAnsi="宋体" w:hint="eastAsia"/>
          <w:sz w:val="24"/>
          <w:szCs w:val="18"/>
        </w:rPr>
        <w:t>依照《信息披露办法》的规定</w:t>
      </w:r>
      <w:r>
        <w:rPr>
          <w:rFonts w:hAnsi="宋体"/>
          <w:sz w:val="24"/>
          <w:szCs w:val="18"/>
        </w:rPr>
        <w:t>在</w:t>
      </w:r>
      <w:r>
        <w:rPr>
          <w:rFonts w:hAnsi="宋体" w:hint="eastAsia"/>
          <w:sz w:val="24"/>
          <w:szCs w:val="18"/>
        </w:rPr>
        <w:t>规定媒介</w:t>
      </w:r>
      <w:r>
        <w:rPr>
          <w:rFonts w:hAnsi="宋体"/>
          <w:sz w:val="24"/>
          <w:szCs w:val="18"/>
        </w:rPr>
        <w:t>公告。</w:t>
      </w:r>
      <w:bookmarkEnd w:id="91"/>
    </w:p>
    <w:bookmarkEnd w:id="92"/>
    <w:bookmarkEnd w:id="93"/>
    <w:p w14:paraId="133AEFD6" w14:textId="77777777" w:rsidR="00791BDD" w:rsidRDefault="00B75151">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bookmarkStart w:id="98" w:name="_Toc48122016"/>
      <w:bookmarkStart w:id="99" w:name="_Hlk217331143"/>
      <w:bookmarkStart w:id="100" w:name="_Hlk212628707"/>
      <w:bookmarkEnd w:id="94"/>
      <w:r>
        <w:rPr>
          <w:rFonts w:ascii="宋体" w:hAnsi="宋体" w:hint="eastAsia"/>
          <w:b/>
          <w:kern w:val="0"/>
          <w:sz w:val="30"/>
        </w:rPr>
        <w:t>十五、基金的信息披露</w:t>
      </w:r>
      <w:bookmarkEnd w:id="98"/>
    </w:p>
    <w:p w14:paraId="570FAC5F" w14:textId="77777777" w:rsidR="00791BDD" w:rsidRDefault="00B75151">
      <w:pPr>
        <w:adjustRightInd w:val="0"/>
        <w:snapToGrid w:val="0"/>
        <w:spacing w:line="360" w:lineRule="auto"/>
        <w:ind w:firstLineChars="200" w:firstLine="482"/>
        <w:rPr>
          <w:rFonts w:hAnsi="宋体"/>
          <w:bCs/>
          <w:sz w:val="24"/>
        </w:rPr>
      </w:pPr>
      <w:r>
        <w:rPr>
          <w:rFonts w:hAnsi="宋体"/>
          <w:b/>
          <w:sz w:val="24"/>
        </w:rPr>
        <w:t>（一）</w:t>
      </w:r>
      <w:r>
        <w:rPr>
          <w:rFonts w:hAnsi="宋体" w:hint="eastAsia"/>
          <w:sz w:val="24"/>
        </w:rPr>
        <w:t>本基金的信息披露应符合《基金法》、《运作办法》、《信息披露办法》、《流动性风险管理规定》、《基金合同》及其他有关规定。</w:t>
      </w:r>
      <w:r>
        <w:rPr>
          <w:rFonts w:hAnsi="宋体" w:hint="eastAsia"/>
          <w:bCs/>
          <w:sz w:val="24"/>
        </w:rPr>
        <w:t>相关法律法规关于信息披露的规定发生变化时，本基金从其最新规定。</w:t>
      </w:r>
    </w:p>
    <w:p w14:paraId="0F54AB3B" w14:textId="77777777" w:rsidR="00791BDD" w:rsidRDefault="00B75151">
      <w:pPr>
        <w:adjustRightInd w:val="0"/>
        <w:snapToGrid w:val="0"/>
        <w:spacing w:line="360" w:lineRule="auto"/>
        <w:ind w:firstLineChars="200" w:firstLine="482"/>
        <w:rPr>
          <w:b/>
          <w:sz w:val="24"/>
        </w:rPr>
      </w:pPr>
      <w:r>
        <w:rPr>
          <w:b/>
          <w:bCs/>
          <w:sz w:val="24"/>
        </w:rPr>
        <w:t>（二）信息披露义务人</w:t>
      </w:r>
    </w:p>
    <w:p w14:paraId="3E39AD6E" w14:textId="77777777" w:rsidR="00791BDD" w:rsidRDefault="00B75151">
      <w:pPr>
        <w:adjustRightInd w:val="0"/>
        <w:snapToGrid w:val="0"/>
        <w:spacing w:line="360" w:lineRule="auto"/>
        <w:ind w:firstLineChars="200" w:firstLine="480"/>
        <w:rPr>
          <w:rFonts w:hAnsi="宋体"/>
          <w:sz w:val="24"/>
        </w:rPr>
      </w:pPr>
      <w:r>
        <w:rPr>
          <w:rFonts w:hAnsi="宋体"/>
          <w:sz w:val="24"/>
        </w:rPr>
        <w:t>本基金信息披露义务人包括基金管理人、基金托管人、召集基金份额持有人大会的基金份额持有人等法律</w:t>
      </w:r>
      <w:r>
        <w:rPr>
          <w:rFonts w:hAnsi="宋体" w:hint="eastAsia"/>
          <w:sz w:val="24"/>
        </w:rPr>
        <w:t>、</w:t>
      </w:r>
      <w:r>
        <w:rPr>
          <w:rFonts w:hAnsi="宋体"/>
          <w:sz w:val="24"/>
        </w:rPr>
        <w:t>行政法规和中国证监会规定的自然人、法人和</w:t>
      </w:r>
      <w:r>
        <w:rPr>
          <w:rFonts w:hint="eastAsia"/>
          <w:bCs/>
          <w:sz w:val="24"/>
        </w:rPr>
        <w:t>非法人</w:t>
      </w:r>
      <w:r>
        <w:rPr>
          <w:rFonts w:hAnsi="宋体"/>
          <w:sz w:val="24"/>
        </w:rPr>
        <w:t>组织。</w:t>
      </w:r>
    </w:p>
    <w:p w14:paraId="45BF3B3D" w14:textId="77777777" w:rsidR="00791BDD" w:rsidRDefault="00B75151">
      <w:pPr>
        <w:adjustRightInd w:val="0"/>
        <w:snapToGrid w:val="0"/>
        <w:spacing w:line="360" w:lineRule="auto"/>
        <w:ind w:firstLineChars="200" w:firstLine="480"/>
        <w:rPr>
          <w:rFonts w:hAnsi="宋体"/>
          <w:sz w:val="24"/>
        </w:rPr>
      </w:pPr>
      <w:r>
        <w:rPr>
          <w:rFonts w:hAnsi="宋体"/>
          <w:sz w:val="24"/>
        </w:rPr>
        <w:t>本基金信息披露义务人</w:t>
      </w:r>
      <w:r>
        <w:rPr>
          <w:rFonts w:hint="eastAsia"/>
          <w:bCs/>
          <w:sz w:val="24"/>
        </w:rPr>
        <w:t>以保护基金份额持有人利益为根本出发点，</w:t>
      </w:r>
      <w:r>
        <w:rPr>
          <w:rFonts w:hAnsi="宋体"/>
          <w:sz w:val="24"/>
        </w:rPr>
        <w:t>按照法律法规和中国证监会的规定披露基金信息，并保证所披露信息的真实性、准确性</w:t>
      </w:r>
      <w:r>
        <w:rPr>
          <w:rFonts w:hAnsi="宋体" w:hint="eastAsia"/>
          <w:sz w:val="24"/>
        </w:rPr>
        <w:t>、</w:t>
      </w:r>
      <w:r>
        <w:rPr>
          <w:rFonts w:hAnsi="宋体"/>
          <w:sz w:val="24"/>
        </w:rPr>
        <w:t>完整性</w:t>
      </w:r>
      <w:r>
        <w:rPr>
          <w:rFonts w:hint="eastAsia"/>
          <w:bCs/>
          <w:sz w:val="24"/>
        </w:rPr>
        <w:t>、及时性、简明性和易得性</w:t>
      </w:r>
      <w:r>
        <w:rPr>
          <w:rFonts w:hAnsi="宋体"/>
          <w:sz w:val="24"/>
        </w:rPr>
        <w:t>。</w:t>
      </w:r>
    </w:p>
    <w:p w14:paraId="54506AAD" w14:textId="77777777" w:rsidR="00791BDD" w:rsidRDefault="00B75151">
      <w:pPr>
        <w:adjustRightInd w:val="0"/>
        <w:snapToGrid w:val="0"/>
        <w:spacing w:line="360" w:lineRule="auto"/>
        <w:ind w:firstLineChars="200" w:firstLine="480"/>
        <w:rPr>
          <w:rFonts w:hAnsi="宋体"/>
          <w:sz w:val="24"/>
        </w:rPr>
      </w:pPr>
      <w:r>
        <w:rPr>
          <w:rFonts w:hAnsi="宋体" w:hint="eastAsia"/>
          <w:sz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14:paraId="2C194EAF" w14:textId="77777777" w:rsidR="00791BDD" w:rsidRDefault="00B75151">
      <w:pPr>
        <w:adjustRightInd w:val="0"/>
        <w:snapToGrid w:val="0"/>
        <w:spacing w:line="360" w:lineRule="auto"/>
        <w:ind w:firstLineChars="200" w:firstLine="482"/>
        <w:rPr>
          <w:b/>
          <w:sz w:val="24"/>
        </w:rPr>
      </w:pPr>
      <w:r>
        <w:rPr>
          <w:rFonts w:hAnsi="宋体"/>
          <w:b/>
          <w:sz w:val="24"/>
        </w:rPr>
        <w:t>（三）本基金信息披露义务人承诺公开披露的基金信息，不得有下列行为：</w:t>
      </w:r>
    </w:p>
    <w:p w14:paraId="61EC4F43" w14:textId="77777777" w:rsidR="00791BDD" w:rsidRDefault="00B75151">
      <w:pPr>
        <w:adjustRightInd w:val="0"/>
        <w:snapToGrid w:val="0"/>
        <w:spacing w:line="360" w:lineRule="auto"/>
        <w:ind w:firstLineChars="200" w:firstLine="480"/>
        <w:rPr>
          <w:rFonts w:hAnsi="宋体"/>
          <w:sz w:val="24"/>
        </w:rPr>
      </w:pPr>
      <w:r>
        <w:rPr>
          <w:rFonts w:hAnsi="宋体"/>
          <w:sz w:val="24"/>
        </w:rPr>
        <w:t>1</w:t>
      </w:r>
      <w:r>
        <w:rPr>
          <w:rFonts w:hAnsi="宋体"/>
          <w:sz w:val="24"/>
        </w:rPr>
        <w:t>、虚假记载、误导性陈述或者重大遗漏；</w:t>
      </w:r>
    </w:p>
    <w:p w14:paraId="41A9A651" w14:textId="77777777" w:rsidR="00791BDD" w:rsidRDefault="00B75151">
      <w:pPr>
        <w:adjustRightInd w:val="0"/>
        <w:snapToGrid w:val="0"/>
        <w:spacing w:line="360" w:lineRule="auto"/>
        <w:ind w:firstLineChars="200" w:firstLine="480"/>
        <w:rPr>
          <w:rFonts w:hAnsi="宋体"/>
          <w:sz w:val="24"/>
        </w:rPr>
      </w:pPr>
      <w:r>
        <w:rPr>
          <w:rFonts w:hAnsi="宋体"/>
          <w:sz w:val="24"/>
        </w:rPr>
        <w:t>2</w:t>
      </w:r>
      <w:r>
        <w:rPr>
          <w:rFonts w:hAnsi="宋体"/>
          <w:sz w:val="24"/>
        </w:rPr>
        <w:t>、对证券投资业绩进行预测；</w:t>
      </w:r>
    </w:p>
    <w:p w14:paraId="245E3743" w14:textId="77777777" w:rsidR="00791BDD" w:rsidRDefault="00B75151">
      <w:pPr>
        <w:adjustRightInd w:val="0"/>
        <w:snapToGrid w:val="0"/>
        <w:spacing w:line="360" w:lineRule="auto"/>
        <w:ind w:firstLineChars="200" w:firstLine="480"/>
        <w:rPr>
          <w:rFonts w:hAnsi="宋体"/>
          <w:sz w:val="24"/>
        </w:rPr>
      </w:pPr>
      <w:r>
        <w:rPr>
          <w:rFonts w:hAnsi="宋体"/>
          <w:sz w:val="24"/>
        </w:rPr>
        <w:t>3</w:t>
      </w:r>
      <w:r>
        <w:rPr>
          <w:rFonts w:hAnsi="宋体"/>
          <w:sz w:val="24"/>
        </w:rPr>
        <w:t>、违规承诺收益或者承担损失；</w:t>
      </w:r>
    </w:p>
    <w:p w14:paraId="4D7AC3E8" w14:textId="77777777" w:rsidR="00791BDD" w:rsidRDefault="00B75151">
      <w:pPr>
        <w:adjustRightInd w:val="0"/>
        <w:snapToGrid w:val="0"/>
        <w:spacing w:line="360" w:lineRule="auto"/>
        <w:ind w:firstLineChars="200" w:firstLine="480"/>
        <w:rPr>
          <w:rFonts w:hAnsi="宋体"/>
          <w:sz w:val="24"/>
        </w:rPr>
      </w:pPr>
      <w:r>
        <w:rPr>
          <w:rFonts w:hAnsi="宋体"/>
          <w:sz w:val="24"/>
        </w:rPr>
        <w:t>4</w:t>
      </w:r>
      <w:r>
        <w:rPr>
          <w:rFonts w:hAnsi="宋体"/>
          <w:sz w:val="24"/>
        </w:rPr>
        <w:t>、诋毁其他基金管理人、基金托管人或者基金销售机构；</w:t>
      </w:r>
    </w:p>
    <w:p w14:paraId="79BA6874" w14:textId="77777777" w:rsidR="00791BDD" w:rsidRDefault="00B75151">
      <w:pPr>
        <w:adjustRightInd w:val="0"/>
        <w:snapToGrid w:val="0"/>
        <w:spacing w:line="360" w:lineRule="auto"/>
        <w:ind w:firstLineChars="200" w:firstLine="480"/>
        <w:rPr>
          <w:rFonts w:hAnsi="宋体"/>
          <w:sz w:val="24"/>
        </w:rPr>
      </w:pPr>
      <w:r>
        <w:rPr>
          <w:rFonts w:hAnsi="宋体"/>
          <w:sz w:val="24"/>
        </w:rPr>
        <w:t>5</w:t>
      </w:r>
      <w:r>
        <w:rPr>
          <w:rFonts w:hAnsi="宋体"/>
          <w:sz w:val="24"/>
        </w:rPr>
        <w:t>、登载任何自然人、法人</w:t>
      </w:r>
      <w:r>
        <w:rPr>
          <w:rFonts w:hint="eastAsia"/>
          <w:bCs/>
          <w:sz w:val="24"/>
        </w:rPr>
        <w:t>和非法人</w:t>
      </w:r>
      <w:r>
        <w:rPr>
          <w:rFonts w:hAnsi="宋体"/>
          <w:sz w:val="24"/>
        </w:rPr>
        <w:t>组织的祝贺性、恭维性或推荐性的文字；</w:t>
      </w:r>
    </w:p>
    <w:p w14:paraId="7F462DC9" w14:textId="77777777" w:rsidR="00791BDD" w:rsidRDefault="00B75151">
      <w:pPr>
        <w:adjustRightInd w:val="0"/>
        <w:snapToGrid w:val="0"/>
        <w:spacing w:line="360" w:lineRule="auto"/>
        <w:ind w:firstLineChars="200" w:firstLine="480"/>
        <w:rPr>
          <w:rFonts w:hAnsi="宋体"/>
          <w:sz w:val="24"/>
        </w:rPr>
      </w:pPr>
      <w:r>
        <w:rPr>
          <w:rFonts w:hAnsi="宋体"/>
          <w:sz w:val="24"/>
        </w:rPr>
        <w:t>6</w:t>
      </w:r>
      <w:r>
        <w:rPr>
          <w:rFonts w:hAnsi="宋体"/>
          <w:sz w:val="24"/>
        </w:rPr>
        <w:t>、中国证监会禁止的其他行为。</w:t>
      </w:r>
    </w:p>
    <w:p w14:paraId="42577DC4" w14:textId="77777777" w:rsidR="00791BDD" w:rsidRDefault="00B75151">
      <w:pPr>
        <w:adjustRightInd w:val="0"/>
        <w:snapToGrid w:val="0"/>
        <w:spacing w:line="360" w:lineRule="auto"/>
        <w:ind w:firstLineChars="200" w:firstLine="482"/>
        <w:rPr>
          <w:rFonts w:hAnsi="宋体"/>
          <w:sz w:val="24"/>
        </w:rPr>
      </w:pPr>
      <w:r>
        <w:rPr>
          <w:rFonts w:hAnsi="宋体"/>
          <w:b/>
          <w:sz w:val="24"/>
        </w:rPr>
        <w:t>（四）</w:t>
      </w:r>
      <w:r>
        <w:rPr>
          <w:bCs/>
          <w:sz w:val="24"/>
        </w:rPr>
        <w:t>本</w:t>
      </w:r>
      <w:r>
        <w:rPr>
          <w:rFonts w:hAnsi="宋体"/>
          <w:sz w:val="24"/>
        </w:rPr>
        <w:t>基金公开披露的信息应采用中文文本。如同时采用外文文本的，基金信息披露义务人应保证</w:t>
      </w:r>
      <w:r>
        <w:rPr>
          <w:rFonts w:hint="eastAsia"/>
          <w:bCs/>
          <w:sz w:val="24"/>
        </w:rPr>
        <w:t>不同</w:t>
      </w:r>
      <w:r>
        <w:rPr>
          <w:rFonts w:hAnsi="宋体"/>
          <w:sz w:val="24"/>
        </w:rPr>
        <w:t>文本的内容一致。</w:t>
      </w:r>
      <w:r>
        <w:rPr>
          <w:rFonts w:hint="eastAsia"/>
          <w:bCs/>
          <w:sz w:val="24"/>
        </w:rPr>
        <w:t>不同</w:t>
      </w:r>
      <w:r>
        <w:rPr>
          <w:rFonts w:hAnsi="宋体"/>
          <w:sz w:val="24"/>
        </w:rPr>
        <w:t>文本</w:t>
      </w:r>
      <w:r>
        <w:rPr>
          <w:rFonts w:hAnsi="宋体" w:hint="eastAsia"/>
          <w:sz w:val="24"/>
        </w:rPr>
        <w:t>之间</w:t>
      </w:r>
      <w:r>
        <w:rPr>
          <w:rFonts w:hAnsi="宋体"/>
          <w:sz w:val="24"/>
        </w:rPr>
        <w:t>发生歧义的，以中文文本为准。</w:t>
      </w:r>
    </w:p>
    <w:p w14:paraId="3180AAE3" w14:textId="77777777" w:rsidR="00791BDD" w:rsidRDefault="00B75151">
      <w:pPr>
        <w:adjustRightInd w:val="0"/>
        <w:snapToGrid w:val="0"/>
        <w:spacing w:line="360" w:lineRule="auto"/>
        <w:ind w:firstLineChars="200" w:firstLine="480"/>
        <w:rPr>
          <w:sz w:val="24"/>
        </w:rPr>
      </w:pPr>
      <w:r>
        <w:rPr>
          <w:rFonts w:hAnsi="宋体"/>
          <w:sz w:val="24"/>
        </w:rPr>
        <w:t>本基金公开披露的信息采用阿拉伯数字；除特别说明外，货币单位为人民币元。</w:t>
      </w:r>
    </w:p>
    <w:p w14:paraId="30288269" w14:textId="77777777" w:rsidR="00791BDD" w:rsidRDefault="00B75151">
      <w:pPr>
        <w:adjustRightInd w:val="0"/>
        <w:snapToGrid w:val="0"/>
        <w:spacing w:line="360" w:lineRule="auto"/>
        <w:ind w:firstLineChars="200" w:firstLine="482"/>
        <w:rPr>
          <w:b/>
          <w:sz w:val="24"/>
        </w:rPr>
      </w:pPr>
      <w:r>
        <w:rPr>
          <w:rFonts w:hAnsi="宋体"/>
          <w:b/>
          <w:sz w:val="24"/>
        </w:rPr>
        <w:t>（五）公开披露的基金信息</w:t>
      </w:r>
    </w:p>
    <w:p w14:paraId="1D1FB59C" w14:textId="77777777" w:rsidR="00791BDD" w:rsidRDefault="00B75151">
      <w:pPr>
        <w:adjustRightInd w:val="0"/>
        <w:snapToGrid w:val="0"/>
        <w:spacing w:line="360" w:lineRule="auto"/>
        <w:ind w:firstLineChars="200" w:firstLine="480"/>
        <w:rPr>
          <w:b/>
          <w:bCs/>
          <w:sz w:val="24"/>
        </w:rPr>
      </w:pPr>
      <w:r>
        <w:rPr>
          <w:bCs/>
          <w:sz w:val="24"/>
        </w:rPr>
        <w:t>公开披露的基金信息包括：</w:t>
      </w:r>
    </w:p>
    <w:p w14:paraId="6486F5BD" w14:textId="77777777" w:rsidR="00791BDD" w:rsidRDefault="00B75151">
      <w:pPr>
        <w:adjustRightInd w:val="0"/>
        <w:snapToGrid w:val="0"/>
        <w:spacing w:line="360" w:lineRule="auto"/>
        <w:ind w:firstLineChars="200" w:firstLine="480"/>
        <w:rPr>
          <w:bCs/>
          <w:sz w:val="24"/>
        </w:rPr>
      </w:pPr>
      <w:r>
        <w:rPr>
          <w:bCs/>
          <w:sz w:val="24"/>
        </w:rPr>
        <w:t>1</w:t>
      </w:r>
      <w:r>
        <w:rPr>
          <w:bCs/>
          <w:sz w:val="24"/>
        </w:rPr>
        <w:t>、基金招募说明书、《基金合同》、基金托管协议</w:t>
      </w:r>
      <w:r>
        <w:rPr>
          <w:rFonts w:hint="eastAsia"/>
          <w:bCs/>
          <w:sz w:val="24"/>
        </w:rPr>
        <w:t>、基金产品资料概要</w:t>
      </w:r>
    </w:p>
    <w:p w14:paraId="288E4C39" w14:textId="77777777" w:rsidR="00791BDD" w:rsidRDefault="00B75151">
      <w:pPr>
        <w:adjustRightInd w:val="0"/>
        <w:snapToGrid w:val="0"/>
        <w:spacing w:line="360" w:lineRule="auto"/>
        <w:ind w:firstLineChars="200" w:firstLine="480"/>
        <w:rPr>
          <w:rFonts w:hAnsi="宋体"/>
          <w:sz w:val="24"/>
        </w:rPr>
      </w:pPr>
      <w:r>
        <w:rPr>
          <w:rFonts w:hAnsi="宋体"/>
          <w:sz w:val="24"/>
        </w:rPr>
        <w:t>（</w:t>
      </w:r>
      <w:r>
        <w:rPr>
          <w:rFonts w:hAnsi="宋体"/>
          <w:sz w:val="24"/>
        </w:rPr>
        <w:t>1</w:t>
      </w:r>
      <w:r>
        <w:rPr>
          <w:rFonts w:hAnsi="宋体"/>
          <w:sz w:val="24"/>
        </w:rPr>
        <w:t>）《基金合同》是界定《基金合同》当事人的各项权利、义务关系，明确基金份额持有人大会召开的规则及具体程序，说明基金产品的特性等涉及基金投资者重大利益的事项的法律文件。</w:t>
      </w:r>
    </w:p>
    <w:p w14:paraId="760EE425" w14:textId="77777777" w:rsidR="00791BDD" w:rsidRDefault="00B75151">
      <w:pPr>
        <w:adjustRightInd w:val="0"/>
        <w:snapToGrid w:val="0"/>
        <w:spacing w:line="360" w:lineRule="auto"/>
        <w:ind w:firstLineChars="200" w:firstLine="480"/>
        <w:rPr>
          <w:rFonts w:hAnsi="宋体"/>
          <w:sz w:val="24"/>
        </w:rPr>
      </w:pPr>
      <w:r>
        <w:rPr>
          <w:rFonts w:hAnsi="宋体"/>
          <w:sz w:val="24"/>
        </w:rPr>
        <w:t>（</w:t>
      </w:r>
      <w:r>
        <w:rPr>
          <w:rFonts w:hAnsi="宋体"/>
          <w:sz w:val="24"/>
        </w:rPr>
        <w:t>2</w:t>
      </w:r>
      <w:r>
        <w:rPr>
          <w:rFonts w:hAnsi="宋体"/>
          <w:sz w:val="24"/>
        </w:rPr>
        <w:t>）基金招募说明书应当最大限度地披露影响基金投资者决策的全部事项，说明基金认购、申购和赎回安排、基金投资、基金产品特性、风险揭示、信息披露及基金份额持有人服务等内容。</w:t>
      </w:r>
      <w:r>
        <w:rPr>
          <w:bCs/>
          <w:sz w:val="24"/>
        </w:rPr>
        <w:t>《基金合同》生效后，</w:t>
      </w:r>
      <w:r>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w:t>
      </w:r>
      <w:r>
        <w:rPr>
          <w:bCs/>
          <w:sz w:val="24"/>
        </w:rPr>
        <w:t>。</w:t>
      </w:r>
      <w:r>
        <w:rPr>
          <w:rFonts w:hint="eastAsia"/>
          <w:bCs/>
          <w:sz w:val="24"/>
        </w:rPr>
        <w:t>基金终止运作的，基金管理人不再更新基金招募说明书</w:t>
      </w:r>
      <w:r>
        <w:rPr>
          <w:rFonts w:hAnsi="宋体"/>
          <w:sz w:val="24"/>
        </w:rPr>
        <w:t>。</w:t>
      </w:r>
    </w:p>
    <w:p w14:paraId="34535D8C" w14:textId="77777777" w:rsidR="00791BDD" w:rsidRDefault="00B75151">
      <w:pPr>
        <w:adjustRightInd w:val="0"/>
        <w:snapToGrid w:val="0"/>
        <w:spacing w:line="360" w:lineRule="auto"/>
        <w:ind w:firstLineChars="200" w:firstLine="480"/>
        <w:rPr>
          <w:bCs/>
          <w:sz w:val="24"/>
        </w:rPr>
      </w:pPr>
      <w:r>
        <w:rPr>
          <w:rFonts w:hAnsi="宋体"/>
          <w:sz w:val="24"/>
        </w:rPr>
        <w:t>（</w:t>
      </w:r>
      <w:r>
        <w:rPr>
          <w:rFonts w:hAnsi="宋体"/>
          <w:sz w:val="24"/>
        </w:rPr>
        <w:t>3</w:t>
      </w:r>
      <w:r>
        <w:rPr>
          <w:rFonts w:hAnsi="宋体"/>
          <w:sz w:val="24"/>
        </w:rPr>
        <w:t>）基金托管协议是界定基金托管人和基金管理人在基金财产保管及基金运作监督等活动中的权利、义务关系的法律文件。</w:t>
      </w:r>
    </w:p>
    <w:p w14:paraId="7D38924E"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7E51C15A" w14:textId="77777777" w:rsidR="00791BDD" w:rsidRDefault="00B75151">
      <w:pPr>
        <w:adjustRightInd w:val="0"/>
        <w:snapToGrid w:val="0"/>
        <w:spacing w:line="360" w:lineRule="auto"/>
        <w:ind w:firstLineChars="200" w:firstLine="480"/>
        <w:rPr>
          <w:rFonts w:hAnsi="宋体"/>
          <w:sz w:val="24"/>
        </w:rPr>
      </w:pPr>
      <w:r>
        <w:rPr>
          <w:rFonts w:hAnsi="宋体" w:hint="eastAsia"/>
          <w:sz w:val="24"/>
        </w:rPr>
        <w:t>基金募集申请经中国证监会注册后，基金管理人在基金份额发售的三日前，将基金份额发售公告、基金招募说明书提示性公告和《基金合同》提示性公告登载在</w:t>
      </w:r>
      <w:r>
        <w:rPr>
          <w:rFonts w:hint="eastAsia"/>
          <w:bCs/>
          <w:sz w:val="24"/>
        </w:rPr>
        <w:t>规定</w:t>
      </w:r>
      <w:r>
        <w:rPr>
          <w:rFonts w:hAnsi="宋体" w:hint="eastAsia"/>
          <w:sz w:val="24"/>
        </w:rPr>
        <w:t>报刊上，将基金份额发售公告、基金招募说明书、基金产品资料概要、《基金合同》和基金托管协议登载在</w:t>
      </w:r>
      <w:r>
        <w:rPr>
          <w:rFonts w:hint="eastAsia"/>
          <w:bCs/>
          <w:sz w:val="24"/>
        </w:rPr>
        <w:t>规定</w:t>
      </w:r>
      <w:r>
        <w:rPr>
          <w:rFonts w:hAnsi="宋体" w:hint="eastAsia"/>
          <w:sz w:val="24"/>
        </w:rPr>
        <w:t>网站上，并将基金产品资料概要登载在基金销售机构网站或营业网点；基金托管人应当同时将《基金合同》、基金托管协议登载在网站上。</w:t>
      </w:r>
    </w:p>
    <w:p w14:paraId="2173A630" w14:textId="77777777" w:rsidR="00791BDD" w:rsidRDefault="00B75151">
      <w:pPr>
        <w:adjustRightInd w:val="0"/>
        <w:snapToGrid w:val="0"/>
        <w:spacing w:line="360" w:lineRule="auto"/>
        <w:ind w:firstLineChars="200" w:firstLine="480"/>
        <w:rPr>
          <w:sz w:val="24"/>
        </w:rPr>
      </w:pPr>
      <w:r>
        <w:rPr>
          <w:sz w:val="24"/>
        </w:rPr>
        <w:t>2</w:t>
      </w:r>
      <w:r>
        <w:rPr>
          <w:rFonts w:hAnsi="宋体"/>
          <w:sz w:val="24"/>
        </w:rPr>
        <w:t>、基金份额发售公告</w:t>
      </w:r>
    </w:p>
    <w:p w14:paraId="6CBB4917" w14:textId="77777777" w:rsidR="00791BDD" w:rsidRDefault="00B75151">
      <w:pPr>
        <w:adjustRightInd w:val="0"/>
        <w:snapToGrid w:val="0"/>
        <w:spacing w:line="360" w:lineRule="auto"/>
        <w:ind w:firstLineChars="200" w:firstLine="480"/>
        <w:rPr>
          <w:rFonts w:hAnsi="宋体"/>
          <w:sz w:val="24"/>
        </w:rPr>
      </w:pPr>
      <w:r>
        <w:rPr>
          <w:rFonts w:hAnsi="宋体"/>
          <w:sz w:val="24"/>
        </w:rPr>
        <w:t>基金管理人应当就基金份额发售的具体事宜编制基金份额发售公告，并在披露招募说明书的当日登载于规定媒介上。</w:t>
      </w:r>
    </w:p>
    <w:p w14:paraId="67EFE666" w14:textId="77777777" w:rsidR="00791BDD" w:rsidRDefault="00B75151">
      <w:pPr>
        <w:adjustRightInd w:val="0"/>
        <w:snapToGrid w:val="0"/>
        <w:spacing w:line="360" w:lineRule="auto"/>
        <w:ind w:firstLineChars="200" w:firstLine="480"/>
        <w:rPr>
          <w:sz w:val="24"/>
        </w:rPr>
      </w:pPr>
      <w:r>
        <w:rPr>
          <w:sz w:val="24"/>
        </w:rPr>
        <w:t>3</w:t>
      </w:r>
      <w:r>
        <w:rPr>
          <w:rFonts w:hAnsi="宋体"/>
          <w:sz w:val="24"/>
        </w:rPr>
        <w:t>、</w:t>
      </w:r>
      <w:r>
        <w:rPr>
          <w:bCs/>
          <w:sz w:val="24"/>
        </w:rPr>
        <w:t>《基金合同》</w:t>
      </w:r>
      <w:r>
        <w:rPr>
          <w:rFonts w:hAnsi="宋体"/>
          <w:sz w:val="24"/>
        </w:rPr>
        <w:t>生效公告</w:t>
      </w:r>
    </w:p>
    <w:p w14:paraId="7966B862" w14:textId="77777777" w:rsidR="00791BDD" w:rsidRDefault="00B75151">
      <w:pPr>
        <w:adjustRightInd w:val="0"/>
        <w:snapToGrid w:val="0"/>
        <w:spacing w:line="360" w:lineRule="auto"/>
        <w:ind w:firstLineChars="200" w:firstLine="480"/>
        <w:rPr>
          <w:sz w:val="24"/>
        </w:rPr>
      </w:pPr>
      <w:r>
        <w:rPr>
          <w:rFonts w:hAnsi="宋体"/>
          <w:sz w:val="24"/>
        </w:rPr>
        <w:t>基金管理人应当在收到中国证监会确认文件的次日在规定媒介上登载《基金合同》生效公告。</w:t>
      </w:r>
    </w:p>
    <w:p w14:paraId="74BC85EE" w14:textId="77777777" w:rsidR="00791BDD" w:rsidRDefault="00B75151">
      <w:pPr>
        <w:adjustRightInd w:val="0"/>
        <w:snapToGrid w:val="0"/>
        <w:spacing w:line="360" w:lineRule="auto"/>
        <w:ind w:firstLineChars="200" w:firstLine="480"/>
        <w:rPr>
          <w:sz w:val="24"/>
        </w:rPr>
      </w:pPr>
      <w:r>
        <w:rPr>
          <w:rFonts w:hint="eastAsia"/>
          <w:sz w:val="24"/>
        </w:rPr>
        <w:t>《基金合同》生效公告中将说明基金募集情况及基金管理人股东、基金管理人、基金管理人高级管理人员或基金经理等人员持有的基金份额、承诺持有的期限等情况。</w:t>
      </w:r>
    </w:p>
    <w:p w14:paraId="7F6ADEE3" w14:textId="77777777" w:rsidR="00791BDD" w:rsidRDefault="00B75151">
      <w:pPr>
        <w:adjustRightInd w:val="0"/>
        <w:snapToGrid w:val="0"/>
        <w:spacing w:line="360" w:lineRule="auto"/>
        <w:ind w:firstLineChars="200" w:firstLine="480"/>
        <w:rPr>
          <w:sz w:val="24"/>
        </w:rPr>
      </w:pPr>
      <w:r>
        <w:rPr>
          <w:sz w:val="24"/>
        </w:rPr>
        <w:t>4</w:t>
      </w:r>
      <w:r>
        <w:rPr>
          <w:rFonts w:hAnsi="宋体"/>
          <w:sz w:val="24"/>
        </w:rPr>
        <w:t>、基金</w:t>
      </w:r>
      <w:r>
        <w:rPr>
          <w:rFonts w:hint="eastAsia"/>
          <w:bCs/>
          <w:sz w:val="24"/>
        </w:rPr>
        <w:t>净值信息</w:t>
      </w:r>
    </w:p>
    <w:p w14:paraId="41F5AC2A" w14:textId="77777777" w:rsidR="00791BDD" w:rsidRDefault="00B75151">
      <w:pPr>
        <w:adjustRightInd w:val="0"/>
        <w:snapToGrid w:val="0"/>
        <w:spacing w:line="360" w:lineRule="auto"/>
        <w:ind w:firstLineChars="200" w:firstLine="480"/>
        <w:rPr>
          <w:bCs/>
          <w:sz w:val="24"/>
        </w:rPr>
      </w:pPr>
      <w:r>
        <w:rPr>
          <w:rFonts w:hint="eastAsia"/>
          <w:bCs/>
          <w:sz w:val="24"/>
        </w:rPr>
        <w:t>《基金合同》生效后，在开始办理基金份额申购或者赎回前，基金管理人应当至少每周在规定网站分别披露一次基金份额净值和基金份额累计净值。</w:t>
      </w:r>
    </w:p>
    <w:p w14:paraId="08DAB149" w14:textId="77777777" w:rsidR="00791BDD" w:rsidRDefault="00B75151">
      <w:pPr>
        <w:adjustRightInd w:val="0"/>
        <w:snapToGrid w:val="0"/>
        <w:spacing w:line="360" w:lineRule="auto"/>
        <w:ind w:firstLineChars="200" w:firstLine="480"/>
        <w:rPr>
          <w:bCs/>
          <w:sz w:val="24"/>
        </w:rPr>
      </w:pPr>
      <w:r>
        <w:rPr>
          <w:rFonts w:hint="eastAsia"/>
          <w:bCs/>
          <w:sz w:val="24"/>
        </w:rPr>
        <w:t>在开始办理基金份额申购或者赎回后，基金管理人应当在不晚于每个开放日的次日，通过规定网站、基金销售机构网站或者营业网点分别披露开放日</w:t>
      </w:r>
      <w:r>
        <w:rPr>
          <w:rFonts w:hAnsi="宋体" w:hint="eastAsia"/>
          <w:sz w:val="24"/>
        </w:rPr>
        <w:t>的</w:t>
      </w:r>
      <w:r>
        <w:rPr>
          <w:rFonts w:hint="eastAsia"/>
          <w:bCs/>
          <w:sz w:val="24"/>
        </w:rPr>
        <w:t>基金份额净值和基金份额累计净值。</w:t>
      </w:r>
    </w:p>
    <w:p w14:paraId="48CFF1D2" w14:textId="77777777" w:rsidR="00791BDD" w:rsidRDefault="00B75151">
      <w:pPr>
        <w:adjustRightInd w:val="0"/>
        <w:snapToGrid w:val="0"/>
        <w:spacing w:line="360" w:lineRule="auto"/>
        <w:ind w:firstLineChars="200" w:firstLine="480"/>
        <w:rPr>
          <w:rFonts w:hAnsi="宋体"/>
          <w:sz w:val="24"/>
        </w:rPr>
      </w:pPr>
      <w:r>
        <w:rPr>
          <w:rFonts w:hint="eastAsia"/>
          <w:bCs/>
          <w:sz w:val="24"/>
        </w:rPr>
        <w:t>基金管理人应当在不晚于半年度和年度最后一日的次日，在规定网站披露半年度和年度最后一日的基金份额净值和基金份额累计净值。</w:t>
      </w:r>
    </w:p>
    <w:p w14:paraId="6C7CD6E2" w14:textId="77777777" w:rsidR="00791BDD" w:rsidRDefault="00B75151">
      <w:pPr>
        <w:adjustRightInd w:val="0"/>
        <w:snapToGrid w:val="0"/>
        <w:spacing w:line="360" w:lineRule="auto"/>
        <w:ind w:firstLineChars="200" w:firstLine="480"/>
        <w:rPr>
          <w:sz w:val="24"/>
        </w:rPr>
      </w:pPr>
      <w:r>
        <w:rPr>
          <w:sz w:val="24"/>
        </w:rPr>
        <w:t>5</w:t>
      </w:r>
      <w:r>
        <w:rPr>
          <w:rFonts w:hAnsi="宋体"/>
          <w:sz w:val="24"/>
        </w:rPr>
        <w:t>、基金份额申购、赎回价格</w:t>
      </w:r>
    </w:p>
    <w:p w14:paraId="0C4C94E4" w14:textId="77777777" w:rsidR="00791BDD" w:rsidRDefault="00B75151">
      <w:pPr>
        <w:adjustRightInd w:val="0"/>
        <w:snapToGrid w:val="0"/>
        <w:spacing w:line="360" w:lineRule="auto"/>
        <w:ind w:firstLineChars="200" w:firstLine="480"/>
        <w:rPr>
          <w:rFonts w:hAnsi="宋体"/>
          <w:sz w:val="24"/>
        </w:rPr>
      </w:pPr>
      <w:r>
        <w:rPr>
          <w:rFonts w:hAnsi="宋体"/>
          <w:sz w:val="24"/>
        </w:rPr>
        <w:t>基金管理人应当在《基金合同》、招募说明书等信息披露文件上载明基金份额申购、赎回价格的计算方式及有关申购、赎回费率，并保证投资者能够在基金</w:t>
      </w:r>
      <w:r>
        <w:rPr>
          <w:rFonts w:hAnsi="宋体" w:hint="eastAsia"/>
          <w:bCs/>
          <w:sz w:val="24"/>
        </w:rPr>
        <w:t>销售机构</w:t>
      </w:r>
      <w:r>
        <w:rPr>
          <w:rFonts w:hint="eastAsia"/>
          <w:bCs/>
          <w:sz w:val="24"/>
        </w:rPr>
        <w:t>网站或营业网点</w:t>
      </w:r>
      <w:r>
        <w:rPr>
          <w:rFonts w:hAnsi="宋体"/>
          <w:sz w:val="24"/>
        </w:rPr>
        <w:t>查阅或者复制前述信息资料。</w:t>
      </w:r>
    </w:p>
    <w:p w14:paraId="70F89ACF" w14:textId="77777777" w:rsidR="00791BDD" w:rsidRDefault="00B75151">
      <w:pPr>
        <w:adjustRightInd w:val="0"/>
        <w:snapToGrid w:val="0"/>
        <w:spacing w:line="360" w:lineRule="auto"/>
        <w:ind w:firstLineChars="200" w:firstLine="480"/>
        <w:rPr>
          <w:sz w:val="24"/>
        </w:rPr>
      </w:pPr>
      <w:r>
        <w:rPr>
          <w:sz w:val="24"/>
        </w:rPr>
        <w:t>6</w:t>
      </w:r>
      <w:r>
        <w:rPr>
          <w:rFonts w:hAnsi="宋体"/>
          <w:sz w:val="24"/>
        </w:rPr>
        <w:t>、</w:t>
      </w:r>
      <w:r>
        <w:rPr>
          <w:bCs/>
          <w:sz w:val="24"/>
        </w:rPr>
        <w:t>基金定期报告，包括基金年度报告、基金</w:t>
      </w:r>
      <w:r>
        <w:rPr>
          <w:rFonts w:hint="eastAsia"/>
          <w:bCs/>
          <w:sz w:val="24"/>
        </w:rPr>
        <w:t>中期</w:t>
      </w:r>
      <w:r>
        <w:rPr>
          <w:bCs/>
          <w:sz w:val="24"/>
        </w:rPr>
        <w:t>报告和基金季度报告</w:t>
      </w:r>
    </w:p>
    <w:p w14:paraId="0C57E8F2" w14:textId="77777777" w:rsidR="00791BDD" w:rsidRDefault="00B75151">
      <w:pPr>
        <w:adjustRightInd w:val="0"/>
        <w:snapToGrid w:val="0"/>
        <w:spacing w:line="360" w:lineRule="auto"/>
        <w:ind w:firstLineChars="200" w:firstLine="480"/>
        <w:rPr>
          <w:rFonts w:hAnsi="宋体"/>
          <w:sz w:val="24"/>
        </w:rPr>
      </w:pPr>
      <w:r>
        <w:rPr>
          <w:rFonts w:hAnsi="宋体" w:hint="eastAsia"/>
          <w:sz w:val="24"/>
        </w:rPr>
        <w:t>基金管理人应当在每年结束之日起三个月内，编制完成基金年度报告，将年度报告登载在规定网站上，并将年度报告提示性公告登载在</w:t>
      </w:r>
      <w:r>
        <w:rPr>
          <w:rFonts w:hint="eastAsia"/>
          <w:bCs/>
          <w:sz w:val="24"/>
        </w:rPr>
        <w:t>规定</w:t>
      </w:r>
      <w:r>
        <w:rPr>
          <w:rFonts w:hAnsi="宋体" w:hint="eastAsia"/>
          <w:sz w:val="24"/>
        </w:rPr>
        <w:t>报刊上。基金年度报告中的财务会计报告应当经过符合《中华人民共和国证券法》规定的会计师事务所审计。</w:t>
      </w:r>
    </w:p>
    <w:p w14:paraId="23903534" w14:textId="77777777" w:rsidR="00791BDD" w:rsidRDefault="00B75151">
      <w:pPr>
        <w:adjustRightInd w:val="0"/>
        <w:snapToGrid w:val="0"/>
        <w:spacing w:line="360" w:lineRule="auto"/>
        <w:ind w:firstLineChars="200" w:firstLine="480"/>
        <w:rPr>
          <w:rFonts w:hAnsi="宋体"/>
          <w:sz w:val="24"/>
        </w:rPr>
      </w:pPr>
      <w:r>
        <w:rPr>
          <w:rFonts w:hAnsi="宋体" w:hint="eastAsia"/>
          <w:sz w:val="24"/>
        </w:rPr>
        <w:t>基金管理人应当在上半年结束之日起两个月内，编制完成基金中期报告，将中期报告登载在规定网站上，并将中期报告提示性公告登载在</w:t>
      </w:r>
      <w:r>
        <w:rPr>
          <w:rFonts w:hint="eastAsia"/>
          <w:bCs/>
          <w:sz w:val="24"/>
        </w:rPr>
        <w:t>规定</w:t>
      </w:r>
      <w:r>
        <w:rPr>
          <w:rFonts w:hAnsi="宋体" w:hint="eastAsia"/>
          <w:sz w:val="24"/>
        </w:rPr>
        <w:t>报刊上。</w:t>
      </w:r>
    </w:p>
    <w:p w14:paraId="6E55C296" w14:textId="77777777" w:rsidR="00791BDD" w:rsidRDefault="00B75151">
      <w:pPr>
        <w:adjustRightInd w:val="0"/>
        <w:snapToGrid w:val="0"/>
        <w:spacing w:line="360" w:lineRule="auto"/>
        <w:ind w:firstLineChars="200" w:firstLine="480"/>
        <w:rPr>
          <w:rFonts w:hAnsi="宋体"/>
          <w:sz w:val="24"/>
        </w:rPr>
      </w:pPr>
      <w:r>
        <w:rPr>
          <w:rFonts w:hAnsi="宋体" w:hint="eastAsia"/>
          <w:sz w:val="24"/>
        </w:rPr>
        <w:t>基金管理人应当在季度结束之日起</w:t>
      </w:r>
      <w:r>
        <w:rPr>
          <w:rFonts w:hAnsi="宋体" w:hint="eastAsia"/>
          <w:sz w:val="24"/>
        </w:rPr>
        <w:t>15</w:t>
      </w:r>
      <w:r>
        <w:rPr>
          <w:rFonts w:hAnsi="宋体" w:hint="eastAsia"/>
          <w:sz w:val="24"/>
        </w:rPr>
        <w:t>个工作日内，编制完成基金季度报告，将季度报告登载在规定网站上，并将季度报告提示性公告登载在</w:t>
      </w:r>
      <w:r>
        <w:rPr>
          <w:rFonts w:hint="eastAsia"/>
          <w:bCs/>
          <w:sz w:val="24"/>
        </w:rPr>
        <w:t>规定</w:t>
      </w:r>
      <w:r>
        <w:rPr>
          <w:rFonts w:hAnsi="宋体" w:hint="eastAsia"/>
          <w:sz w:val="24"/>
        </w:rPr>
        <w:t>报刊上。</w:t>
      </w:r>
    </w:p>
    <w:p w14:paraId="6B16E542" w14:textId="77777777" w:rsidR="00791BDD" w:rsidRDefault="00B75151">
      <w:pPr>
        <w:adjustRightInd w:val="0"/>
        <w:snapToGrid w:val="0"/>
        <w:spacing w:line="360" w:lineRule="auto"/>
        <w:ind w:firstLineChars="200" w:firstLine="480"/>
        <w:rPr>
          <w:rFonts w:hAnsi="宋体"/>
          <w:sz w:val="24"/>
        </w:rPr>
      </w:pPr>
      <w:r>
        <w:rPr>
          <w:rFonts w:hAnsi="宋体" w:hint="eastAsia"/>
          <w:sz w:val="24"/>
        </w:rPr>
        <w:t>《基金合同》生效不足</w:t>
      </w:r>
      <w:r>
        <w:rPr>
          <w:rFonts w:hAnsi="宋体" w:hint="eastAsia"/>
          <w:sz w:val="24"/>
        </w:rPr>
        <w:t>2</w:t>
      </w:r>
      <w:r>
        <w:rPr>
          <w:rFonts w:hAnsi="宋体" w:hint="eastAsia"/>
          <w:sz w:val="24"/>
        </w:rPr>
        <w:t>个月的，基金管理人可以不编制当期季度报告、中期报告或者年度报告。</w:t>
      </w:r>
    </w:p>
    <w:p w14:paraId="6865FD0D" w14:textId="77777777" w:rsidR="00791BDD" w:rsidRDefault="00B75151">
      <w:pPr>
        <w:adjustRightInd w:val="0"/>
        <w:snapToGrid w:val="0"/>
        <w:spacing w:line="360" w:lineRule="auto"/>
        <w:ind w:firstLineChars="200" w:firstLine="480"/>
        <w:rPr>
          <w:rFonts w:hAnsi="宋体"/>
          <w:sz w:val="24"/>
        </w:rPr>
      </w:pPr>
      <w:r>
        <w:rPr>
          <w:rFonts w:hAnsi="宋体" w:hint="eastAsia"/>
          <w:sz w:val="24"/>
        </w:rPr>
        <w:t>基金管理人应在年度报告、中期报告、季度报告中分别披露基金管理人股东、基金管理人、基金管理人高级管理人员或基金经理等人员持有基金的份额、期限及期间的变动情况。</w:t>
      </w:r>
    </w:p>
    <w:p w14:paraId="2BA9C11A" w14:textId="77777777" w:rsidR="00791BDD" w:rsidRDefault="00B75151">
      <w:pPr>
        <w:adjustRightInd w:val="0"/>
        <w:snapToGrid w:val="0"/>
        <w:spacing w:line="360" w:lineRule="auto"/>
        <w:ind w:firstLineChars="200" w:firstLine="480"/>
        <w:rPr>
          <w:rFonts w:hAnsi="宋体"/>
          <w:sz w:val="24"/>
        </w:rPr>
      </w:pPr>
      <w:r>
        <w:rPr>
          <w:rFonts w:hAnsi="宋体" w:hint="eastAsia"/>
          <w:sz w:val="24"/>
        </w:rPr>
        <w:t>如报告期内出现单一投资者持有基金份额达到或超过基金总份额</w:t>
      </w:r>
      <w:r>
        <w:rPr>
          <w:rFonts w:hAnsi="宋体" w:hint="eastAsia"/>
          <w:sz w:val="24"/>
        </w:rPr>
        <w:t>20%</w:t>
      </w:r>
      <w:r>
        <w:rPr>
          <w:rFonts w:hAnsi="宋体" w:hint="eastAsia"/>
          <w:sz w:val="24"/>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2A61D312" w14:textId="77777777" w:rsidR="00791BDD" w:rsidRDefault="00B75151">
      <w:pPr>
        <w:adjustRightInd w:val="0"/>
        <w:snapToGrid w:val="0"/>
        <w:spacing w:line="360" w:lineRule="auto"/>
        <w:ind w:firstLineChars="200" w:firstLine="480"/>
        <w:rPr>
          <w:rFonts w:hAnsi="宋体"/>
          <w:sz w:val="24"/>
        </w:rPr>
      </w:pPr>
      <w:r>
        <w:rPr>
          <w:rFonts w:hAnsi="宋体" w:hint="eastAsia"/>
          <w:sz w:val="24"/>
        </w:rPr>
        <w:t>基金管理人应当在基金年度报告和</w:t>
      </w:r>
      <w:r>
        <w:rPr>
          <w:rFonts w:hint="eastAsia"/>
          <w:bCs/>
          <w:sz w:val="24"/>
        </w:rPr>
        <w:t>中期</w:t>
      </w:r>
      <w:r>
        <w:rPr>
          <w:rFonts w:hAnsi="宋体" w:hint="eastAsia"/>
          <w:sz w:val="24"/>
        </w:rPr>
        <w:t>报告中披露基金组合资产情况及其流动性风险分析等。</w:t>
      </w:r>
    </w:p>
    <w:p w14:paraId="05EB1E1A" w14:textId="77777777" w:rsidR="00791BDD" w:rsidRDefault="00B75151">
      <w:pPr>
        <w:adjustRightInd w:val="0"/>
        <w:snapToGrid w:val="0"/>
        <w:spacing w:line="360" w:lineRule="auto"/>
        <w:ind w:firstLineChars="200" w:firstLine="480"/>
        <w:rPr>
          <w:sz w:val="24"/>
        </w:rPr>
      </w:pPr>
      <w:r>
        <w:rPr>
          <w:sz w:val="24"/>
        </w:rPr>
        <w:t>7</w:t>
      </w:r>
      <w:r>
        <w:rPr>
          <w:rFonts w:hAnsi="宋体"/>
          <w:sz w:val="24"/>
        </w:rPr>
        <w:t>、临时报告</w:t>
      </w:r>
    </w:p>
    <w:p w14:paraId="27EE86A4" w14:textId="77777777" w:rsidR="00791BDD" w:rsidRDefault="00B75151">
      <w:pPr>
        <w:adjustRightInd w:val="0"/>
        <w:snapToGrid w:val="0"/>
        <w:spacing w:line="360" w:lineRule="auto"/>
        <w:ind w:firstLineChars="200" w:firstLine="480"/>
        <w:rPr>
          <w:rFonts w:hAnsi="宋体"/>
          <w:sz w:val="24"/>
        </w:rPr>
      </w:pPr>
      <w:r>
        <w:rPr>
          <w:rFonts w:hAnsi="宋体"/>
          <w:sz w:val="24"/>
        </w:rPr>
        <w:t>本基金发生重大事件，有关信息披露义务人应当</w:t>
      </w:r>
      <w:r>
        <w:rPr>
          <w:rFonts w:hAnsi="宋体" w:hint="eastAsia"/>
          <w:sz w:val="24"/>
        </w:rPr>
        <w:t>依照《信息披露办法》的规定</w:t>
      </w:r>
      <w:r>
        <w:rPr>
          <w:rFonts w:hAnsi="宋体"/>
          <w:sz w:val="24"/>
        </w:rPr>
        <w:t>编制临时报告书，</w:t>
      </w:r>
      <w:r>
        <w:rPr>
          <w:rFonts w:hint="eastAsia"/>
          <w:bCs/>
          <w:sz w:val="24"/>
        </w:rPr>
        <w:t>并登载在规定报刊和规定网站上</w:t>
      </w:r>
      <w:r>
        <w:rPr>
          <w:rFonts w:hAnsi="宋体"/>
          <w:sz w:val="24"/>
        </w:rPr>
        <w:t>。</w:t>
      </w:r>
    </w:p>
    <w:p w14:paraId="04B00817" w14:textId="77777777" w:rsidR="00791BDD" w:rsidRDefault="00B75151">
      <w:pPr>
        <w:adjustRightInd w:val="0"/>
        <w:snapToGrid w:val="0"/>
        <w:spacing w:line="360" w:lineRule="auto"/>
        <w:ind w:firstLineChars="200" w:firstLine="480"/>
        <w:rPr>
          <w:rFonts w:hAnsi="宋体"/>
          <w:sz w:val="24"/>
        </w:rPr>
      </w:pPr>
      <w:r>
        <w:rPr>
          <w:rFonts w:hAnsi="宋体"/>
          <w:sz w:val="24"/>
        </w:rPr>
        <w:t>前款所称重大事件，是指可能对基金份额持有人权益或者基金份额的价格产生重大影响的下列事件：</w:t>
      </w:r>
    </w:p>
    <w:p w14:paraId="70330AE8"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1</w:t>
      </w:r>
      <w:r>
        <w:rPr>
          <w:rFonts w:hint="eastAsia"/>
          <w:bCs/>
          <w:sz w:val="24"/>
        </w:rPr>
        <w:t>）基金份额持有人大会的召开及决定的事项；</w:t>
      </w:r>
    </w:p>
    <w:p w14:paraId="71365B17"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2</w:t>
      </w:r>
      <w:r>
        <w:rPr>
          <w:rFonts w:hint="eastAsia"/>
          <w:bCs/>
          <w:sz w:val="24"/>
        </w:rPr>
        <w:t>）《基金合同》终止、基金清算；</w:t>
      </w:r>
    </w:p>
    <w:p w14:paraId="4D518873"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3</w:t>
      </w:r>
      <w:r>
        <w:rPr>
          <w:rFonts w:hint="eastAsia"/>
          <w:bCs/>
          <w:sz w:val="24"/>
        </w:rPr>
        <w:t>）转换基金运作方式、基金合并；</w:t>
      </w:r>
    </w:p>
    <w:p w14:paraId="4BEC90CC"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4</w:t>
      </w:r>
      <w:r>
        <w:rPr>
          <w:rFonts w:hint="eastAsia"/>
          <w:bCs/>
          <w:sz w:val="24"/>
        </w:rPr>
        <w:t>）更换基金管理人、基金托管人、基金份额登记机构，基金改聘会计师事务所；</w:t>
      </w:r>
    </w:p>
    <w:p w14:paraId="4D7BC6F6"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5</w:t>
      </w:r>
      <w:r>
        <w:rPr>
          <w:rFonts w:hint="eastAsia"/>
          <w:bCs/>
          <w:sz w:val="24"/>
        </w:rPr>
        <w:t>）基金管理人委托基金服务机构代为办理基金的份额登记、核算、估值等事项，基金托管人委托基金服务机构代为办理基金的核算、估值、复核等事项；</w:t>
      </w:r>
    </w:p>
    <w:p w14:paraId="208CB7F1"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6</w:t>
      </w:r>
      <w:r>
        <w:rPr>
          <w:rFonts w:hint="eastAsia"/>
          <w:bCs/>
          <w:sz w:val="24"/>
        </w:rPr>
        <w:t>）基金管理人、基金托管人的法定名称、住所发生变更；</w:t>
      </w:r>
    </w:p>
    <w:p w14:paraId="51795398"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7</w:t>
      </w:r>
      <w:r>
        <w:rPr>
          <w:rFonts w:hint="eastAsia"/>
          <w:bCs/>
          <w:sz w:val="24"/>
        </w:rPr>
        <w:t>）基金管理人变更持有百分之五以上股权的股东、基金管理人的实际控制人变更；</w:t>
      </w:r>
    </w:p>
    <w:p w14:paraId="3688CD27"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8</w:t>
      </w:r>
      <w:r>
        <w:rPr>
          <w:rFonts w:hint="eastAsia"/>
          <w:bCs/>
          <w:sz w:val="24"/>
        </w:rPr>
        <w:t>）基金募集期延长或提前结束募集；</w:t>
      </w:r>
    </w:p>
    <w:p w14:paraId="39333054"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9</w:t>
      </w:r>
      <w:r>
        <w:rPr>
          <w:rFonts w:hint="eastAsia"/>
          <w:bCs/>
          <w:sz w:val="24"/>
        </w:rPr>
        <w:t>）基金管理人的高级管理人员、基金经理和基金托管人专门基金托管部门负责人发生变动；</w:t>
      </w:r>
    </w:p>
    <w:p w14:paraId="7BD1D437"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10</w:t>
      </w:r>
      <w:r>
        <w:rPr>
          <w:rFonts w:hint="eastAsia"/>
          <w:bCs/>
          <w:sz w:val="24"/>
        </w:rPr>
        <w:t>）基金管理人的董事在最近</w:t>
      </w:r>
      <w:r>
        <w:rPr>
          <w:rFonts w:hint="eastAsia"/>
          <w:bCs/>
          <w:sz w:val="24"/>
        </w:rPr>
        <w:t>12</w:t>
      </w:r>
      <w:r>
        <w:rPr>
          <w:rFonts w:hint="eastAsia"/>
          <w:bCs/>
          <w:sz w:val="24"/>
        </w:rPr>
        <w:t>个月内变更超过百分之五十，基金管理人、基金托管人专门基金托管部门的主要业务人员在最近</w:t>
      </w:r>
      <w:r>
        <w:rPr>
          <w:rFonts w:hint="eastAsia"/>
          <w:bCs/>
          <w:sz w:val="24"/>
        </w:rPr>
        <w:t>12</w:t>
      </w:r>
      <w:r>
        <w:rPr>
          <w:rFonts w:hint="eastAsia"/>
          <w:bCs/>
          <w:sz w:val="24"/>
        </w:rPr>
        <w:t>个月内变动超过百分之三十；</w:t>
      </w:r>
    </w:p>
    <w:p w14:paraId="3BC729AF"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11</w:t>
      </w:r>
      <w:r>
        <w:rPr>
          <w:rFonts w:hint="eastAsia"/>
          <w:bCs/>
          <w:sz w:val="24"/>
        </w:rPr>
        <w:t>）涉及基金财产、基金管理业务、基金托管业务的诉讼或仲裁；</w:t>
      </w:r>
    </w:p>
    <w:p w14:paraId="6296E109"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12</w:t>
      </w:r>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5143F487"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13</w:t>
      </w: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3708CC37"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14</w:t>
      </w:r>
      <w:r>
        <w:rPr>
          <w:rFonts w:hint="eastAsia"/>
          <w:bCs/>
          <w:sz w:val="24"/>
        </w:rPr>
        <w:t>）基金收益分配事项；</w:t>
      </w:r>
    </w:p>
    <w:p w14:paraId="678F2668"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15</w:t>
      </w:r>
      <w:r>
        <w:rPr>
          <w:rFonts w:hint="eastAsia"/>
          <w:bCs/>
          <w:sz w:val="24"/>
        </w:rPr>
        <w:t>）管理费、托管费、申购费、赎回费等费用计提标准、计提方式和费率发生变更；</w:t>
      </w:r>
    </w:p>
    <w:p w14:paraId="79C1481B"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16</w:t>
      </w:r>
      <w:r>
        <w:rPr>
          <w:rFonts w:hint="eastAsia"/>
          <w:bCs/>
          <w:sz w:val="24"/>
        </w:rPr>
        <w:t>）基金份额净值计价错误达基金份额净值百分之零点五；</w:t>
      </w:r>
    </w:p>
    <w:p w14:paraId="06F83C55"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17</w:t>
      </w:r>
      <w:r>
        <w:rPr>
          <w:rFonts w:hint="eastAsia"/>
          <w:bCs/>
          <w:sz w:val="24"/>
        </w:rPr>
        <w:t>）本基金开始办理申购、赎回；</w:t>
      </w:r>
    </w:p>
    <w:p w14:paraId="7C2F3A8E"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18</w:t>
      </w:r>
      <w:r>
        <w:rPr>
          <w:rFonts w:hint="eastAsia"/>
          <w:bCs/>
          <w:sz w:val="24"/>
        </w:rPr>
        <w:t>）本基金发生巨额赎回并延期办理；</w:t>
      </w:r>
    </w:p>
    <w:p w14:paraId="3AE643D6"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19</w:t>
      </w:r>
      <w:r>
        <w:rPr>
          <w:rFonts w:hint="eastAsia"/>
          <w:bCs/>
          <w:sz w:val="24"/>
        </w:rPr>
        <w:t>）本基金连续发生巨额赎回并暂停接受赎回申请或延缓支付赎回款项；</w:t>
      </w:r>
    </w:p>
    <w:p w14:paraId="2EC53219"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20</w:t>
      </w:r>
      <w:r>
        <w:rPr>
          <w:rFonts w:hint="eastAsia"/>
          <w:bCs/>
          <w:sz w:val="24"/>
        </w:rPr>
        <w:t>）本基金暂停接受申购、赎回申请或重新接受申购、赎回申请；</w:t>
      </w:r>
    </w:p>
    <w:p w14:paraId="5E1FBC40"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21</w:t>
      </w:r>
      <w:r>
        <w:rPr>
          <w:rFonts w:hint="eastAsia"/>
          <w:bCs/>
          <w:sz w:val="24"/>
        </w:rPr>
        <w:t>）发生涉及基金申购、赎回事项调整或潜在影响投资者赎回等重大事项时；</w:t>
      </w:r>
    </w:p>
    <w:p w14:paraId="0285D4EC"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22</w:t>
      </w:r>
      <w:r>
        <w:rPr>
          <w:rFonts w:hint="eastAsia"/>
          <w:bCs/>
          <w:sz w:val="24"/>
        </w:rPr>
        <w:t>）基金管理人采用摆动定价机制进行估值；</w:t>
      </w:r>
    </w:p>
    <w:p w14:paraId="634603E6"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23</w:t>
      </w:r>
      <w:r>
        <w:rPr>
          <w:rFonts w:hint="eastAsia"/>
          <w:bCs/>
          <w:sz w:val="24"/>
        </w:rPr>
        <w:t>）本基金增加或调整基金份额类别；</w:t>
      </w:r>
    </w:p>
    <w:p w14:paraId="1010882B"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24</w:t>
      </w:r>
      <w:r>
        <w:rPr>
          <w:rFonts w:hint="eastAsia"/>
          <w:bCs/>
          <w:sz w:val="24"/>
        </w:rPr>
        <w:t>）本基金推出新业务或服务；</w:t>
      </w:r>
    </w:p>
    <w:p w14:paraId="65449C88"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25</w:t>
      </w:r>
      <w:r>
        <w:rPr>
          <w:rFonts w:hint="eastAsia"/>
          <w:bCs/>
          <w:sz w:val="24"/>
        </w:rPr>
        <w:t>）基金信息披露义务人认为可能对基金份额持有人权益或者基金份额的价格产生重大影响的其他事项或中国证监会规定和基金合同约定的其他事项。</w:t>
      </w:r>
    </w:p>
    <w:p w14:paraId="1435EF1E" w14:textId="77777777" w:rsidR="00791BDD" w:rsidRDefault="00B75151">
      <w:pPr>
        <w:adjustRightInd w:val="0"/>
        <w:snapToGrid w:val="0"/>
        <w:spacing w:line="360" w:lineRule="auto"/>
        <w:ind w:firstLineChars="200" w:firstLine="480"/>
        <w:rPr>
          <w:sz w:val="24"/>
        </w:rPr>
      </w:pPr>
      <w:r>
        <w:rPr>
          <w:sz w:val="24"/>
        </w:rPr>
        <w:t>8</w:t>
      </w:r>
      <w:r>
        <w:rPr>
          <w:rFonts w:hAnsi="宋体"/>
          <w:sz w:val="24"/>
        </w:rPr>
        <w:t>、澄清公告</w:t>
      </w:r>
    </w:p>
    <w:p w14:paraId="7422FFFA" w14:textId="77777777" w:rsidR="00791BDD" w:rsidRDefault="00B75151">
      <w:pPr>
        <w:adjustRightInd w:val="0"/>
        <w:snapToGrid w:val="0"/>
        <w:spacing w:line="360" w:lineRule="auto"/>
        <w:ind w:firstLineChars="200" w:firstLine="480"/>
        <w:rPr>
          <w:rFonts w:hAnsi="宋体"/>
          <w:sz w:val="24"/>
        </w:rPr>
      </w:pPr>
      <w:r>
        <w:rPr>
          <w:rFonts w:hAnsi="宋体"/>
          <w:sz w:val="24"/>
        </w:rPr>
        <w:t>在《基金合同》存续期限内，任何公共媒介中出现的或者在市场上流传的消息可能对基金份额价格产生误导性影响或者引起较大波动</w:t>
      </w:r>
      <w:r>
        <w:rPr>
          <w:rFonts w:hint="eastAsia"/>
          <w:bCs/>
          <w:sz w:val="24"/>
        </w:rPr>
        <w:t>，以及可能损害基金份额持有人权益</w:t>
      </w:r>
      <w:r>
        <w:rPr>
          <w:rFonts w:hAnsi="宋体"/>
          <w:sz w:val="24"/>
        </w:rPr>
        <w:t>的，相关信息披露义务人知悉后应当立即对该消息进行公开澄清。</w:t>
      </w:r>
    </w:p>
    <w:p w14:paraId="7DC30EDB" w14:textId="77777777" w:rsidR="00791BDD" w:rsidRDefault="00B75151">
      <w:pPr>
        <w:adjustRightInd w:val="0"/>
        <w:snapToGrid w:val="0"/>
        <w:spacing w:line="360" w:lineRule="auto"/>
        <w:ind w:firstLineChars="200" w:firstLine="480"/>
        <w:rPr>
          <w:sz w:val="24"/>
        </w:rPr>
      </w:pPr>
      <w:r>
        <w:rPr>
          <w:sz w:val="24"/>
        </w:rPr>
        <w:t>9</w:t>
      </w:r>
      <w:r>
        <w:rPr>
          <w:rFonts w:hAnsi="宋体"/>
          <w:sz w:val="24"/>
        </w:rPr>
        <w:t>、基金份额持有人大会决议</w:t>
      </w:r>
    </w:p>
    <w:p w14:paraId="3F1DDD45" w14:textId="77777777" w:rsidR="00791BDD" w:rsidRDefault="00B75151">
      <w:pPr>
        <w:adjustRightInd w:val="0"/>
        <w:snapToGrid w:val="0"/>
        <w:spacing w:line="360" w:lineRule="auto"/>
        <w:ind w:firstLineChars="200" w:firstLine="480"/>
        <w:rPr>
          <w:bCs/>
          <w:sz w:val="24"/>
        </w:rPr>
      </w:pPr>
      <w:r>
        <w:rPr>
          <w:rFonts w:hint="eastAsia"/>
          <w:bCs/>
          <w:sz w:val="24"/>
        </w:rPr>
        <w:t>基金份额持有人大会决定的事项，应当依法报中国证监会备案，并予以公告。</w:t>
      </w:r>
    </w:p>
    <w:p w14:paraId="77BE87B0" w14:textId="77777777" w:rsidR="00791BDD" w:rsidRDefault="00B75151">
      <w:pPr>
        <w:adjustRightInd w:val="0"/>
        <w:snapToGrid w:val="0"/>
        <w:spacing w:line="360" w:lineRule="auto"/>
        <w:ind w:firstLineChars="200" w:firstLine="480"/>
        <w:rPr>
          <w:bCs/>
          <w:sz w:val="24"/>
        </w:rPr>
      </w:pPr>
      <w:r>
        <w:rPr>
          <w:rFonts w:hint="eastAsia"/>
          <w:bCs/>
          <w:sz w:val="24"/>
        </w:rPr>
        <w:t>基金份额持有人依法自行召集基金份额持有人大会，基金管理人、基金托管人对基金份额持有人大会决定的事项不依法履行信息披露义务的，召集人应当履行相关信息披露义务。</w:t>
      </w:r>
    </w:p>
    <w:p w14:paraId="63687328" w14:textId="77777777" w:rsidR="00791BDD" w:rsidRDefault="00B75151">
      <w:pPr>
        <w:adjustRightInd w:val="0"/>
        <w:snapToGrid w:val="0"/>
        <w:spacing w:line="360" w:lineRule="auto"/>
        <w:ind w:firstLineChars="200" w:firstLine="480"/>
        <w:rPr>
          <w:sz w:val="24"/>
        </w:rPr>
      </w:pPr>
      <w:r>
        <w:rPr>
          <w:rFonts w:hint="eastAsia"/>
          <w:sz w:val="24"/>
        </w:rPr>
        <w:t>1</w:t>
      </w:r>
      <w:r>
        <w:rPr>
          <w:sz w:val="24"/>
        </w:rPr>
        <w:t>0</w:t>
      </w:r>
      <w:r>
        <w:rPr>
          <w:sz w:val="24"/>
        </w:rPr>
        <w:t>、</w:t>
      </w:r>
      <w:r>
        <w:rPr>
          <w:rFonts w:hint="eastAsia"/>
          <w:sz w:val="24"/>
        </w:rPr>
        <w:t>实施侧袋机制期间的信息披露</w:t>
      </w:r>
    </w:p>
    <w:p w14:paraId="3916A810" w14:textId="77777777" w:rsidR="00791BDD" w:rsidRDefault="00B75151">
      <w:pPr>
        <w:adjustRightInd w:val="0"/>
        <w:snapToGrid w:val="0"/>
        <w:spacing w:line="360" w:lineRule="auto"/>
        <w:ind w:firstLineChars="200" w:firstLine="480"/>
        <w:rPr>
          <w:sz w:val="24"/>
        </w:rPr>
      </w:pPr>
      <w:r>
        <w:rPr>
          <w:rFonts w:hint="eastAsia"/>
          <w:sz w:val="24"/>
        </w:rPr>
        <w:t>本基金实施侧袋机制的，相关信息披露义务人应当根据法律法规、基金合同和招募说明书的规定进行信息披露，详见本招募说明书“侧袋</w:t>
      </w:r>
      <w:r>
        <w:rPr>
          <w:sz w:val="24"/>
        </w:rPr>
        <w:t>机制</w:t>
      </w:r>
      <w:r>
        <w:rPr>
          <w:rFonts w:hint="eastAsia"/>
          <w:sz w:val="24"/>
        </w:rPr>
        <w:t>”部分的规定。</w:t>
      </w:r>
    </w:p>
    <w:p w14:paraId="353A422F" w14:textId="77777777" w:rsidR="00791BDD" w:rsidRDefault="00B75151">
      <w:pPr>
        <w:adjustRightInd w:val="0"/>
        <w:snapToGrid w:val="0"/>
        <w:spacing w:line="360" w:lineRule="auto"/>
        <w:ind w:firstLineChars="200" w:firstLine="480"/>
        <w:rPr>
          <w:sz w:val="24"/>
        </w:rPr>
      </w:pPr>
      <w:r>
        <w:rPr>
          <w:rFonts w:hint="eastAsia"/>
          <w:sz w:val="24"/>
        </w:rPr>
        <w:t>11</w:t>
      </w:r>
      <w:r>
        <w:rPr>
          <w:rFonts w:hint="eastAsia"/>
          <w:sz w:val="24"/>
        </w:rPr>
        <w:t>、清算报告</w:t>
      </w:r>
    </w:p>
    <w:p w14:paraId="1709CCC9" w14:textId="77777777" w:rsidR="00791BDD" w:rsidRDefault="00B75151">
      <w:pPr>
        <w:adjustRightInd w:val="0"/>
        <w:snapToGrid w:val="0"/>
        <w:spacing w:line="360" w:lineRule="auto"/>
        <w:ind w:firstLineChars="200" w:firstLine="480"/>
        <w:rPr>
          <w:sz w:val="24"/>
        </w:rPr>
      </w:pPr>
      <w:r>
        <w:rPr>
          <w:rFonts w:hint="eastAsia"/>
          <w:sz w:val="24"/>
        </w:rPr>
        <w:t>基金合同终止的，基金管理人应当依法组织清算小组对基金财产进行清算并作出清算报告。清算报告应当经过符合《中华人民共和国证券法》规定的会计师事务所审计，并由律师事务所出具法律意见书。清算小组应当将清算报告登载在规定网站上，并将清算报告提示性公告登载在</w:t>
      </w:r>
      <w:r>
        <w:rPr>
          <w:rFonts w:hint="eastAsia"/>
          <w:bCs/>
          <w:sz w:val="24"/>
        </w:rPr>
        <w:t>规定</w:t>
      </w:r>
      <w:r>
        <w:rPr>
          <w:rFonts w:hint="eastAsia"/>
          <w:sz w:val="24"/>
        </w:rPr>
        <w:t>报刊上。</w:t>
      </w:r>
    </w:p>
    <w:p w14:paraId="6E01E7F9" w14:textId="77777777" w:rsidR="00791BDD" w:rsidRDefault="00B75151">
      <w:pPr>
        <w:adjustRightInd w:val="0"/>
        <w:snapToGrid w:val="0"/>
        <w:spacing w:line="360" w:lineRule="auto"/>
        <w:ind w:firstLineChars="200" w:firstLine="480"/>
        <w:rPr>
          <w:sz w:val="24"/>
        </w:rPr>
      </w:pPr>
      <w:r>
        <w:rPr>
          <w:rFonts w:hint="eastAsia"/>
          <w:sz w:val="24"/>
        </w:rPr>
        <w:t>1</w:t>
      </w:r>
      <w:r>
        <w:rPr>
          <w:sz w:val="24"/>
        </w:rPr>
        <w:t>2</w:t>
      </w:r>
      <w:r>
        <w:rPr>
          <w:sz w:val="24"/>
        </w:rPr>
        <w:t>、</w:t>
      </w:r>
      <w:r>
        <w:rPr>
          <w:rFonts w:hint="eastAsia"/>
          <w:sz w:val="24"/>
        </w:rPr>
        <w:t>基金投资资产支持证券情况</w:t>
      </w:r>
    </w:p>
    <w:p w14:paraId="5A2D3B0F" w14:textId="77777777" w:rsidR="00791BDD" w:rsidRDefault="00B75151">
      <w:pPr>
        <w:adjustRightInd w:val="0"/>
        <w:snapToGrid w:val="0"/>
        <w:spacing w:line="360" w:lineRule="auto"/>
        <w:ind w:firstLineChars="200" w:firstLine="480"/>
        <w:rPr>
          <w:sz w:val="24"/>
        </w:rPr>
      </w:pPr>
      <w:r>
        <w:rPr>
          <w:rFonts w:hint="eastAsia"/>
          <w:sz w:val="24"/>
        </w:rPr>
        <w:t>本基金可投资资产支持证券，基金管理人应在基金年度报告及中期报告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w:t>
      </w:r>
      <w:r>
        <w:rPr>
          <w:rFonts w:hint="eastAsia"/>
          <w:sz w:val="24"/>
        </w:rPr>
        <w:t>10</w:t>
      </w:r>
      <w:r>
        <w:rPr>
          <w:rFonts w:hint="eastAsia"/>
          <w:sz w:val="24"/>
        </w:rPr>
        <w:t>名资产支持证券明细。</w:t>
      </w:r>
    </w:p>
    <w:p w14:paraId="143F952E" w14:textId="77777777" w:rsidR="00791BDD" w:rsidRDefault="00B75151">
      <w:pPr>
        <w:adjustRightInd w:val="0"/>
        <w:snapToGrid w:val="0"/>
        <w:spacing w:line="360" w:lineRule="auto"/>
        <w:ind w:firstLineChars="200" w:firstLine="480"/>
        <w:rPr>
          <w:sz w:val="24"/>
        </w:rPr>
      </w:pPr>
      <w:r>
        <w:rPr>
          <w:rFonts w:hint="eastAsia"/>
          <w:sz w:val="24"/>
        </w:rPr>
        <w:t>1</w:t>
      </w:r>
      <w:r>
        <w:rPr>
          <w:sz w:val="24"/>
        </w:rPr>
        <w:t>3</w:t>
      </w:r>
      <w:r>
        <w:rPr>
          <w:sz w:val="24"/>
        </w:rPr>
        <w:t>、</w:t>
      </w:r>
      <w:r>
        <w:rPr>
          <w:rFonts w:hint="eastAsia"/>
          <w:sz w:val="24"/>
        </w:rPr>
        <w:t>基金投资股指期货情况</w:t>
      </w:r>
    </w:p>
    <w:p w14:paraId="664ABA4F" w14:textId="77777777" w:rsidR="00791BDD" w:rsidRDefault="00B75151">
      <w:pPr>
        <w:adjustRightInd w:val="0"/>
        <w:snapToGrid w:val="0"/>
        <w:spacing w:line="360" w:lineRule="auto"/>
        <w:ind w:firstLineChars="200" w:firstLine="480"/>
        <w:rPr>
          <w:sz w:val="24"/>
        </w:rPr>
      </w:pPr>
      <w:r>
        <w:rPr>
          <w:rFonts w:hint="eastAsia"/>
          <w:sz w:val="24"/>
        </w:rPr>
        <w:t>本基金可投资股指期货，基金管理人需按照法规要求在季度报告、中期报告、年度报告等定期报告和招募说明书（更新）等文件中披露股指期货交易情况，包括交易政策、持仓情况、损益情况、风险指标等，并充分揭示股指期货交易对基金总体风险的影响以及是否符合既定的投资政策和投资目标等。</w:t>
      </w:r>
    </w:p>
    <w:p w14:paraId="5BDA562B" w14:textId="77777777" w:rsidR="00791BDD" w:rsidRDefault="00B75151">
      <w:pPr>
        <w:adjustRightInd w:val="0"/>
        <w:snapToGrid w:val="0"/>
        <w:spacing w:line="360" w:lineRule="auto"/>
        <w:ind w:firstLineChars="200" w:firstLine="480"/>
        <w:rPr>
          <w:sz w:val="24"/>
        </w:rPr>
      </w:pPr>
      <w:r>
        <w:rPr>
          <w:rFonts w:hint="eastAsia"/>
          <w:sz w:val="24"/>
        </w:rPr>
        <w:t>1</w:t>
      </w:r>
      <w:r>
        <w:rPr>
          <w:sz w:val="24"/>
        </w:rPr>
        <w:t>4</w:t>
      </w:r>
      <w:r>
        <w:rPr>
          <w:sz w:val="24"/>
        </w:rPr>
        <w:t>、</w:t>
      </w:r>
      <w:r>
        <w:rPr>
          <w:rFonts w:hint="eastAsia"/>
          <w:sz w:val="24"/>
        </w:rPr>
        <w:t>基金投资港股通标的股票情况</w:t>
      </w:r>
    </w:p>
    <w:p w14:paraId="622897EB" w14:textId="77777777" w:rsidR="00791BDD" w:rsidRDefault="00B75151">
      <w:pPr>
        <w:adjustRightInd w:val="0"/>
        <w:snapToGrid w:val="0"/>
        <w:spacing w:line="360" w:lineRule="auto"/>
        <w:ind w:firstLineChars="200" w:firstLine="480"/>
        <w:rPr>
          <w:rFonts w:hAnsi="宋体"/>
          <w:sz w:val="24"/>
        </w:rPr>
      </w:pPr>
      <w:r>
        <w:rPr>
          <w:rFonts w:hint="eastAsia"/>
          <w:bCs/>
          <w:sz w:val="24"/>
        </w:rPr>
        <w:t>本基金可投资港股通标的股票，</w:t>
      </w:r>
      <w:r>
        <w:rPr>
          <w:rFonts w:hint="eastAsia"/>
          <w:sz w:val="24"/>
        </w:rPr>
        <w:t>基金应当在季度报告、中期报告、年度报告等定期报告和招募说明书（更新）等文件中披露港股通标的股票的投资情况。法律法规或中国证监会另有规定的，从其规定。</w:t>
      </w:r>
    </w:p>
    <w:p w14:paraId="4A590C94" w14:textId="77777777" w:rsidR="00791BDD" w:rsidRDefault="00B75151">
      <w:pPr>
        <w:adjustRightInd w:val="0"/>
        <w:snapToGrid w:val="0"/>
        <w:spacing w:line="360" w:lineRule="auto"/>
        <w:ind w:firstLineChars="200" w:firstLine="480"/>
        <w:rPr>
          <w:sz w:val="24"/>
        </w:rPr>
      </w:pPr>
      <w:r>
        <w:rPr>
          <w:rFonts w:hAnsi="宋体" w:hint="eastAsia"/>
          <w:sz w:val="24"/>
        </w:rPr>
        <w:t>1</w:t>
      </w:r>
      <w:r>
        <w:rPr>
          <w:rFonts w:hAnsi="宋体"/>
          <w:sz w:val="24"/>
        </w:rPr>
        <w:t>5</w:t>
      </w:r>
      <w:r>
        <w:rPr>
          <w:rFonts w:hAnsi="宋体" w:hint="eastAsia"/>
          <w:sz w:val="24"/>
        </w:rPr>
        <w:t>、</w:t>
      </w:r>
      <w:r>
        <w:rPr>
          <w:rFonts w:hAnsi="宋体"/>
          <w:sz w:val="24"/>
        </w:rPr>
        <w:t>中国证监会规定的其他信息</w:t>
      </w:r>
      <w:r>
        <w:rPr>
          <w:rFonts w:hAnsi="宋体" w:hint="eastAsia"/>
          <w:sz w:val="24"/>
        </w:rPr>
        <w:t>。</w:t>
      </w:r>
    </w:p>
    <w:p w14:paraId="55446D6B" w14:textId="77777777" w:rsidR="00791BDD" w:rsidRDefault="00B75151">
      <w:pPr>
        <w:adjustRightInd w:val="0"/>
        <w:snapToGrid w:val="0"/>
        <w:spacing w:line="360" w:lineRule="auto"/>
        <w:ind w:firstLineChars="200" w:firstLine="482"/>
        <w:rPr>
          <w:b/>
          <w:bCs/>
          <w:sz w:val="24"/>
        </w:rPr>
      </w:pPr>
      <w:r>
        <w:rPr>
          <w:b/>
          <w:bCs/>
          <w:sz w:val="24"/>
        </w:rPr>
        <w:t>（六）信息披露事务管理</w:t>
      </w:r>
    </w:p>
    <w:p w14:paraId="3D26920A" w14:textId="77777777" w:rsidR="00791BDD" w:rsidRDefault="00B75151">
      <w:pPr>
        <w:adjustRightInd w:val="0"/>
        <w:snapToGrid w:val="0"/>
        <w:spacing w:line="360" w:lineRule="auto"/>
        <w:ind w:firstLineChars="200" w:firstLine="480"/>
        <w:rPr>
          <w:rFonts w:hAnsi="宋体"/>
          <w:sz w:val="24"/>
        </w:rPr>
      </w:pPr>
      <w:r>
        <w:rPr>
          <w:rFonts w:hAnsi="宋体" w:hint="eastAsia"/>
          <w:sz w:val="24"/>
        </w:rPr>
        <w:t>基金管理人、基金托管人应当建立健全信息披露管理制度，指定</w:t>
      </w:r>
      <w:r>
        <w:rPr>
          <w:rFonts w:hint="eastAsia"/>
          <w:bCs/>
          <w:sz w:val="24"/>
        </w:rPr>
        <w:t>专门部门及高级管理人员</w:t>
      </w:r>
      <w:r>
        <w:rPr>
          <w:rFonts w:hAnsi="宋体" w:hint="eastAsia"/>
          <w:sz w:val="24"/>
        </w:rPr>
        <w:t>负责管理信息披露事务。</w:t>
      </w:r>
    </w:p>
    <w:p w14:paraId="0BBD6041" w14:textId="77777777" w:rsidR="00791BDD" w:rsidRDefault="00B75151">
      <w:pPr>
        <w:adjustRightInd w:val="0"/>
        <w:snapToGrid w:val="0"/>
        <w:spacing w:line="360" w:lineRule="auto"/>
        <w:ind w:firstLineChars="200" w:firstLine="480"/>
        <w:rPr>
          <w:rFonts w:hAnsi="宋体"/>
          <w:sz w:val="24"/>
        </w:rPr>
      </w:pPr>
      <w:r>
        <w:rPr>
          <w:rFonts w:hAnsi="宋体" w:hint="eastAsia"/>
          <w:sz w:val="24"/>
        </w:rPr>
        <w:t>基金信息披露义务人公开披露基金信息，应当符合中国证监会相关基金信息披露内容与格式准则</w:t>
      </w:r>
      <w:r>
        <w:rPr>
          <w:rFonts w:hint="eastAsia"/>
          <w:bCs/>
          <w:sz w:val="24"/>
        </w:rPr>
        <w:t>等法律法规</w:t>
      </w:r>
      <w:r>
        <w:rPr>
          <w:rFonts w:hAnsi="宋体" w:hint="eastAsia"/>
          <w:sz w:val="24"/>
        </w:rPr>
        <w:t>的规定。</w:t>
      </w:r>
    </w:p>
    <w:p w14:paraId="7B225030" w14:textId="77777777" w:rsidR="00791BDD" w:rsidRDefault="00B75151">
      <w:pPr>
        <w:adjustRightInd w:val="0"/>
        <w:snapToGrid w:val="0"/>
        <w:spacing w:line="360" w:lineRule="auto"/>
        <w:ind w:firstLineChars="200" w:firstLine="480"/>
        <w:rPr>
          <w:rFonts w:hAnsi="宋体"/>
          <w:sz w:val="24"/>
        </w:rPr>
      </w:pPr>
      <w:r>
        <w:rPr>
          <w:rFonts w:hAnsi="宋体" w:hint="eastAsia"/>
          <w:sz w:val="24"/>
        </w:rPr>
        <w:t>基金托管人应当按照相关法律法规、中国证监会的规定和《基金合同》的约定，对基金管理人编制的基金资产净值、基金份额净值、基金份额申购赎回价格、基金定期报告</w:t>
      </w:r>
      <w:r>
        <w:rPr>
          <w:rFonts w:hint="eastAsia"/>
          <w:bCs/>
          <w:sz w:val="24"/>
        </w:rPr>
        <w:t>、</w:t>
      </w:r>
      <w:r>
        <w:rPr>
          <w:rFonts w:hAnsi="宋体" w:hint="eastAsia"/>
          <w:sz w:val="24"/>
        </w:rPr>
        <w:t>更新的招募说明书</w:t>
      </w:r>
      <w:r>
        <w:rPr>
          <w:rFonts w:hint="eastAsia"/>
          <w:bCs/>
          <w:sz w:val="24"/>
        </w:rPr>
        <w:t>、基金产品资料概要、基金清算报告</w:t>
      </w:r>
      <w:r>
        <w:rPr>
          <w:rFonts w:hAnsi="宋体" w:hint="eastAsia"/>
          <w:sz w:val="24"/>
        </w:rPr>
        <w:t>等相关基金信息进行复核、审查，并向基金管理人</w:t>
      </w:r>
      <w:r>
        <w:rPr>
          <w:rFonts w:hint="eastAsia"/>
          <w:bCs/>
          <w:sz w:val="24"/>
        </w:rPr>
        <w:t>进行书面或电子</w:t>
      </w:r>
      <w:r>
        <w:rPr>
          <w:rFonts w:hAnsi="宋体" w:hint="eastAsia"/>
          <w:sz w:val="24"/>
        </w:rPr>
        <w:t>确认。</w:t>
      </w:r>
    </w:p>
    <w:p w14:paraId="6E6B3294" w14:textId="77777777" w:rsidR="00791BDD" w:rsidRDefault="00B75151">
      <w:pPr>
        <w:adjustRightInd w:val="0"/>
        <w:snapToGrid w:val="0"/>
        <w:spacing w:line="360" w:lineRule="auto"/>
        <w:ind w:firstLineChars="200" w:firstLine="480"/>
        <w:rPr>
          <w:rFonts w:hAnsi="宋体"/>
          <w:sz w:val="24"/>
        </w:rPr>
      </w:pPr>
      <w:r>
        <w:rPr>
          <w:rFonts w:hAnsi="宋体" w:hint="eastAsia"/>
          <w:sz w:val="24"/>
        </w:rPr>
        <w:t>基金管理人、基金托管人应当在</w:t>
      </w:r>
      <w:r>
        <w:rPr>
          <w:rFonts w:hint="eastAsia"/>
          <w:bCs/>
          <w:sz w:val="24"/>
        </w:rPr>
        <w:t>规定报刊</w:t>
      </w:r>
      <w:r>
        <w:rPr>
          <w:bCs/>
          <w:sz w:val="24"/>
        </w:rPr>
        <w:t>中选择</w:t>
      </w:r>
      <w:r>
        <w:rPr>
          <w:rFonts w:hint="eastAsia"/>
          <w:bCs/>
          <w:sz w:val="24"/>
        </w:rPr>
        <w:t>一家</w:t>
      </w:r>
      <w:r>
        <w:rPr>
          <w:bCs/>
          <w:sz w:val="24"/>
        </w:rPr>
        <w:t>披露信息的</w:t>
      </w:r>
      <w:r>
        <w:rPr>
          <w:rFonts w:hint="eastAsia"/>
          <w:bCs/>
          <w:sz w:val="24"/>
        </w:rPr>
        <w:t>报刊</w:t>
      </w:r>
      <w:r>
        <w:rPr>
          <w:bCs/>
          <w:sz w:val="24"/>
        </w:rPr>
        <w:t>。</w:t>
      </w:r>
      <w:r>
        <w:rPr>
          <w:rFonts w:hint="eastAsia"/>
          <w:bCs/>
          <w:sz w:val="24"/>
        </w:rPr>
        <w:t>基金管理人、基金托管人应当向中国证监会基金电子披露网站报送拟披露的基金信息，并保证相关报送信息的真实、准确、完整、及时</w:t>
      </w:r>
      <w:r>
        <w:rPr>
          <w:rFonts w:hAnsi="宋体" w:hint="eastAsia"/>
          <w:sz w:val="24"/>
        </w:rPr>
        <w:t>。</w:t>
      </w:r>
    </w:p>
    <w:p w14:paraId="21803C66" w14:textId="77777777" w:rsidR="00791BDD" w:rsidRDefault="00B75151">
      <w:pPr>
        <w:adjustRightInd w:val="0"/>
        <w:snapToGrid w:val="0"/>
        <w:spacing w:line="360" w:lineRule="auto"/>
        <w:ind w:firstLineChars="200" w:firstLine="480"/>
        <w:rPr>
          <w:rFonts w:hAnsi="宋体"/>
          <w:sz w:val="24"/>
        </w:rPr>
      </w:pPr>
      <w:r>
        <w:rPr>
          <w:rFonts w:hAnsi="宋体" w:hint="eastAsia"/>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4F99C66F" w14:textId="77777777" w:rsidR="00791BDD" w:rsidRDefault="00B75151">
      <w:pPr>
        <w:adjustRightInd w:val="0"/>
        <w:snapToGrid w:val="0"/>
        <w:spacing w:line="360" w:lineRule="auto"/>
        <w:ind w:firstLineChars="200" w:firstLine="480"/>
        <w:rPr>
          <w:rFonts w:hAnsi="宋体"/>
          <w:sz w:val="24"/>
        </w:rPr>
      </w:pPr>
      <w:r>
        <w:rPr>
          <w:rFonts w:hAnsi="宋体" w:hint="eastAsia"/>
          <w:sz w:val="24"/>
        </w:rPr>
        <w:t>为基金信息披露义务人公开披露的基金信息出具审计报告、法律意见书的专业机构，应当制作工作底稿，并将相关档案至少保存到《基金合同》终止后</w:t>
      </w:r>
      <w:r>
        <w:rPr>
          <w:rFonts w:hAnsi="宋体" w:hint="eastAsia"/>
          <w:sz w:val="24"/>
        </w:rPr>
        <w:t>10</w:t>
      </w:r>
      <w:r>
        <w:rPr>
          <w:rFonts w:hAnsi="宋体" w:hint="eastAsia"/>
          <w:sz w:val="24"/>
        </w:rPr>
        <w:t>年。</w:t>
      </w:r>
    </w:p>
    <w:p w14:paraId="595E5EB3" w14:textId="77777777" w:rsidR="00791BDD" w:rsidRDefault="00B75151">
      <w:pPr>
        <w:adjustRightInd w:val="0"/>
        <w:snapToGrid w:val="0"/>
        <w:spacing w:line="360" w:lineRule="auto"/>
        <w:ind w:firstLineChars="200" w:firstLine="480"/>
        <w:rPr>
          <w:rFonts w:hAnsi="宋体"/>
          <w:sz w:val="24"/>
        </w:rPr>
      </w:pPr>
      <w:r>
        <w:rPr>
          <w:rFonts w:hAnsi="宋体" w:hint="eastAsia"/>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1463D2B8" w14:textId="77777777" w:rsidR="00791BDD" w:rsidRDefault="00B75151">
      <w:pPr>
        <w:adjustRightInd w:val="0"/>
        <w:snapToGrid w:val="0"/>
        <w:spacing w:line="360" w:lineRule="auto"/>
        <w:ind w:firstLineChars="200" w:firstLine="482"/>
        <w:rPr>
          <w:b/>
          <w:sz w:val="24"/>
        </w:rPr>
      </w:pPr>
      <w:r>
        <w:rPr>
          <w:rFonts w:hAnsi="宋体"/>
          <w:b/>
          <w:sz w:val="24"/>
        </w:rPr>
        <w:t>（七）信息披露文件的存放与查阅</w:t>
      </w:r>
    </w:p>
    <w:p w14:paraId="5497A094" w14:textId="77777777" w:rsidR="00791BDD" w:rsidRDefault="00B75151">
      <w:pPr>
        <w:adjustRightInd w:val="0"/>
        <w:snapToGrid w:val="0"/>
        <w:spacing w:line="360" w:lineRule="auto"/>
        <w:ind w:firstLineChars="200" w:firstLine="480"/>
      </w:pPr>
      <w:r>
        <w:rPr>
          <w:rFonts w:hint="eastAsia"/>
          <w:bCs/>
          <w:sz w:val="24"/>
        </w:rPr>
        <w:t>依法必须披露的信息发布后，基金管理人、基金托管人应当按照相关法律法规规定将信息置备于各自办公场所，供社会公众查阅、复制</w:t>
      </w:r>
      <w:r>
        <w:rPr>
          <w:bCs/>
          <w:sz w:val="24"/>
        </w:rPr>
        <w:t>。</w:t>
      </w:r>
      <w:bookmarkEnd w:id="95"/>
      <w:bookmarkEnd w:id="99"/>
    </w:p>
    <w:p w14:paraId="57F82F65" w14:textId="77777777" w:rsidR="00791BDD" w:rsidRDefault="00B75151">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bookmarkStart w:id="101" w:name="_Toc48122017"/>
      <w:bookmarkEnd w:id="100"/>
      <w:r>
        <w:rPr>
          <w:rFonts w:ascii="宋体" w:hAnsi="宋体" w:hint="eastAsia"/>
          <w:b/>
          <w:kern w:val="0"/>
          <w:sz w:val="30"/>
        </w:rPr>
        <w:t>十六、侧袋机制</w:t>
      </w:r>
      <w:bookmarkEnd w:id="101"/>
    </w:p>
    <w:p w14:paraId="673F2987" w14:textId="77777777" w:rsidR="00791BDD" w:rsidRDefault="00B75151">
      <w:pPr>
        <w:adjustRightInd w:val="0"/>
        <w:snapToGrid w:val="0"/>
        <w:spacing w:line="360" w:lineRule="auto"/>
        <w:ind w:firstLineChars="200" w:firstLine="482"/>
        <w:outlineLvl w:val="1"/>
        <w:rPr>
          <w:rFonts w:hAnsi="宋体"/>
          <w:b/>
          <w:bCs/>
          <w:sz w:val="24"/>
          <w:szCs w:val="24"/>
        </w:rPr>
      </w:pPr>
      <w:r>
        <w:rPr>
          <w:rFonts w:hAnsi="宋体" w:hint="eastAsia"/>
          <w:b/>
          <w:bCs/>
          <w:sz w:val="24"/>
          <w:szCs w:val="24"/>
        </w:rPr>
        <w:t>（一）侧袋机制的实施条件</w:t>
      </w:r>
    </w:p>
    <w:p w14:paraId="7D291933" w14:textId="77777777" w:rsidR="00791BDD" w:rsidRDefault="00B75151">
      <w:pPr>
        <w:adjustRightInd w:val="0"/>
        <w:snapToGrid w:val="0"/>
        <w:spacing w:line="360" w:lineRule="auto"/>
        <w:ind w:firstLineChars="200" w:firstLine="480"/>
        <w:rPr>
          <w:rFonts w:hAnsi="宋体"/>
          <w:bCs/>
          <w:sz w:val="24"/>
          <w:szCs w:val="24"/>
        </w:rPr>
      </w:pPr>
      <w:r>
        <w:rPr>
          <w:rFonts w:hAnsi="宋体" w:hint="eastAsia"/>
          <w:bCs/>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2CB8AEB7" w14:textId="77777777" w:rsidR="00791BDD" w:rsidRDefault="00B75151">
      <w:pPr>
        <w:adjustRightInd w:val="0"/>
        <w:snapToGrid w:val="0"/>
        <w:spacing w:line="360" w:lineRule="auto"/>
        <w:ind w:firstLineChars="200" w:firstLine="480"/>
        <w:rPr>
          <w:rFonts w:hAnsi="宋体"/>
          <w:bCs/>
          <w:sz w:val="24"/>
          <w:szCs w:val="24"/>
        </w:rPr>
      </w:pPr>
      <w:r>
        <w:rPr>
          <w:rFonts w:hAnsi="宋体" w:hint="eastAsia"/>
          <w:bCs/>
          <w:sz w:val="24"/>
          <w:szCs w:val="24"/>
        </w:rPr>
        <w:t>基金管理人应当在启用侧袋机制后及时发布临时公告，</w:t>
      </w:r>
      <w:bookmarkStart w:id="102" w:name="_Hlk45746268"/>
      <w:r>
        <w:rPr>
          <w:rFonts w:hAnsi="宋体" w:hint="eastAsia"/>
          <w:bCs/>
          <w:sz w:val="24"/>
          <w:szCs w:val="24"/>
        </w:rPr>
        <w:t>并在</w:t>
      </w:r>
      <w:bookmarkStart w:id="103" w:name="_Hlk45746204"/>
      <w:r>
        <w:rPr>
          <w:rFonts w:hAnsi="宋体" w:hint="eastAsia"/>
          <w:bCs/>
          <w:sz w:val="24"/>
          <w:szCs w:val="24"/>
        </w:rPr>
        <w:t>五个工作日内</w:t>
      </w:r>
      <w:bookmarkEnd w:id="102"/>
      <w:bookmarkEnd w:id="103"/>
      <w:r>
        <w:rPr>
          <w:rFonts w:hAnsi="宋体" w:hint="eastAsia"/>
          <w:bCs/>
          <w:sz w:val="24"/>
          <w:szCs w:val="24"/>
        </w:rPr>
        <w:t>聘请</w:t>
      </w:r>
      <w:bookmarkStart w:id="104" w:name="_Hlk45746277"/>
      <w:r>
        <w:rPr>
          <w:rFonts w:hAnsi="宋体" w:hint="eastAsia"/>
          <w:bCs/>
          <w:sz w:val="24"/>
          <w:szCs w:val="24"/>
        </w:rPr>
        <w:t>侧袋机制启用日发表意见且</w:t>
      </w:r>
      <w:bookmarkEnd w:id="104"/>
      <w:r>
        <w:rPr>
          <w:rFonts w:hAnsi="宋体" w:hint="eastAsia"/>
          <w:bCs/>
          <w:sz w:val="24"/>
          <w:szCs w:val="24"/>
        </w:rPr>
        <w:t>符合《中华人民共和国证券法》规定的会计师事务所</w:t>
      </w:r>
      <w:bookmarkStart w:id="105" w:name="_Hlk45746299"/>
      <w:r>
        <w:rPr>
          <w:rFonts w:hAnsi="宋体" w:hint="eastAsia"/>
          <w:bCs/>
          <w:sz w:val="24"/>
          <w:szCs w:val="24"/>
        </w:rPr>
        <w:t>进行审计并披露</w:t>
      </w:r>
      <w:bookmarkEnd w:id="105"/>
      <w:r>
        <w:rPr>
          <w:rFonts w:hAnsi="宋体" w:hint="eastAsia"/>
          <w:bCs/>
          <w:sz w:val="24"/>
          <w:szCs w:val="24"/>
        </w:rPr>
        <w:t>专项审计意见。</w:t>
      </w:r>
    </w:p>
    <w:p w14:paraId="44137F9E" w14:textId="77777777" w:rsidR="00791BDD" w:rsidRDefault="00B75151">
      <w:pPr>
        <w:adjustRightInd w:val="0"/>
        <w:snapToGrid w:val="0"/>
        <w:spacing w:line="360" w:lineRule="auto"/>
        <w:ind w:firstLineChars="200" w:firstLine="482"/>
        <w:outlineLvl w:val="1"/>
        <w:rPr>
          <w:rFonts w:hAnsi="宋体"/>
          <w:b/>
          <w:bCs/>
          <w:sz w:val="24"/>
          <w:szCs w:val="24"/>
        </w:rPr>
      </w:pPr>
      <w:r>
        <w:rPr>
          <w:rFonts w:hAnsi="宋体" w:hint="eastAsia"/>
          <w:b/>
          <w:bCs/>
          <w:sz w:val="24"/>
          <w:szCs w:val="24"/>
        </w:rPr>
        <w:t>（二）实施侧袋机制期间基金份额的申购与赎回</w:t>
      </w:r>
    </w:p>
    <w:p w14:paraId="3B13A1C5" w14:textId="77777777" w:rsidR="00791BDD" w:rsidRDefault="00B75151">
      <w:pPr>
        <w:adjustRightInd w:val="0"/>
        <w:snapToGrid w:val="0"/>
        <w:spacing w:line="360" w:lineRule="auto"/>
        <w:ind w:firstLineChars="200" w:firstLine="480"/>
        <w:rPr>
          <w:rFonts w:hAnsi="宋体"/>
          <w:bCs/>
          <w:sz w:val="24"/>
          <w:szCs w:val="24"/>
        </w:rPr>
      </w:pPr>
      <w:r>
        <w:rPr>
          <w:rFonts w:hAnsi="宋体" w:hint="eastAsia"/>
          <w:bCs/>
          <w:sz w:val="24"/>
          <w:szCs w:val="24"/>
        </w:rPr>
        <w:t>1</w:t>
      </w:r>
      <w:r>
        <w:rPr>
          <w:rFonts w:hAnsi="宋体" w:hint="eastAsia"/>
          <w:bCs/>
          <w:sz w:val="24"/>
          <w:szCs w:val="24"/>
        </w:rPr>
        <w:t>、启用侧袋机制当日，基金登记机构以基金份额持有人的原有账户份额为基础，确认相应侧袋账户基金份额持有人名册和份额；当日收到的申购申请，按照启用侧袋机制后的主袋账户份额办理；当日收到的赎回申请，仅办理主袋账户的赎回申请并支付赎回款项。</w:t>
      </w:r>
    </w:p>
    <w:p w14:paraId="7B31E671" w14:textId="77777777" w:rsidR="00791BDD" w:rsidRDefault="00B75151">
      <w:pPr>
        <w:adjustRightInd w:val="0"/>
        <w:snapToGrid w:val="0"/>
        <w:spacing w:line="360" w:lineRule="auto"/>
        <w:ind w:firstLineChars="200" w:firstLine="480"/>
        <w:rPr>
          <w:rFonts w:hAnsi="宋体"/>
          <w:bCs/>
          <w:sz w:val="24"/>
          <w:szCs w:val="24"/>
        </w:rPr>
      </w:pPr>
      <w:r>
        <w:rPr>
          <w:rFonts w:hAnsi="宋体"/>
          <w:bCs/>
          <w:sz w:val="24"/>
          <w:szCs w:val="24"/>
        </w:rPr>
        <w:t>2</w:t>
      </w:r>
      <w:r>
        <w:rPr>
          <w:rFonts w:hAnsi="宋体" w:hint="eastAsia"/>
          <w:bCs/>
          <w:sz w:val="24"/>
          <w:szCs w:val="24"/>
        </w:rPr>
        <w:t>、实施侧袋机制期间，基金管理人不办理侧袋账户份额的申购、赎回和转换；同时，基金管理人按照基金合同和招募说明书的约定办理主袋账户份额的赎回，并根据主袋账户运作情况确定是否暂停申购。</w:t>
      </w:r>
    </w:p>
    <w:p w14:paraId="44628220" w14:textId="77777777" w:rsidR="00791BDD" w:rsidRDefault="00B75151">
      <w:pPr>
        <w:adjustRightInd w:val="0"/>
        <w:snapToGrid w:val="0"/>
        <w:spacing w:line="360" w:lineRule="auto"/>
        <w:ind w:firstLineChars="200" w:firstLine="480"/>
        <w:rPr>
          <w:rFonts w:hAnsi="宋体"/>
          <w:bCs/>
          <w:sz w:val="24"/>
          <w:szCs w:val="24"/>
        </w:rPr>
      </w:pPr>
      <w:r>
        <w:rPr>
          <w:rFonts w:hAnsi="宋体"/>
          <w:bCs/>
          <w:sz w:val="24"/>
          <w:szCs w:val="24"/>
        </w:rPr>
        <w:t>3</w:t>
      </w:r>
      <w:r>
        <w:rPr>
          <w:rFonts w:hAnsi="宋体" w:hint="eastAsia"/>
          <w:bCs/>
          <w:sz w:val="24"/>
          <w:szCs w:val="24"/>
        </w:rPr>
        <w:t>、除基金管理人应按照主袋账户的份额净值办理主袋账户份额的申购和赎回外，本招募说明书“基金份额的申购与赎回”部分的申购、赎回规定适用于主袋账户份额。巨额赎回按照单个开放日内主袋账户份额净赎回申请超过前一开放日主袋账户总份额的</w:t>
      </w:r>
      <w:r>
        <w:rPr>
          <w:rFonts w:hAnsi="宋体"/>
          <w:bCs/>
          <w:sz w:val="24"/>
          <w:szCs w:val="24"/>
        </w:rPr>
        <w:t>10</w:t>
      </w:r>
      <w:r>
        <w:rPr>
          <w:rFonts w:hAnsi="宋体" w:hint="eastAsia"/>
          <w:bCs/>
          <w:sz w:val="24"/>
          <w:szCs w:val="24"/>
        </w:rPr>
        <w:t>%</w:t>
      </w:r>
      <w:r>
        <w:rPr>
          <w:rFonts w:hAnsi="宋体" w:hint="eastAsia"/>
          <w:bCs/>
          <w:sz w:val="24"/>
          <w:szCs w:val="24"/>
        </w:rPr>
        <w:t>认定。</w:t>
      </w:r>
    </w:p>
    <w:p w14:paraId="1226CFE2" w14:textId="77777777" w:rsidR="00791BDD" w:rsidRDefault="00B75151">
      <w:pPr>
        <w:adjustRightInd w:val="0"/>
        <w:snapToGrid w:val="0"/>
        <w:spacing w:line="360" w:lineRule="auto"/>
        <w:ind w:firstLineChars="200" w:firstLine="482"/>
        <w:outlineLvl w:val="1"/>
        <w:rPr>
          <w:rFonts w:hAnsi="宋体"/>
          <w:b/>
          <w:bCs/>
          <w:sz w:val="24"/>
          <w:szCs w:val="24"/>
        </w:rPr>
      </w:pPr>
      <w:r>
        <w:rPr>
          <w:rFonts w:hAnsi="宋体" w:hint="eastAsia"/>
          <w:b/>
          <w:bCs/>
          <w:sz w:val="24"/>
          <w:szCs w:val="24"/>
        </w:rPr>
        <w:t>（三）实施侧袋机制期间的基金投资</w:t>
      </w:r>
    </w:p>
    <w:p w14:paraId="7601C4CD" w14:textId="77777777" w:rsidR="00791BDD" w:rsidRDefault="00B75151">
      <w:pPr>
        <w:adjustRightInd w:val="0"/>
        <w:snapToGrid w:val="0"/>
        <w:spacing w:line="360" w:lineRule="auto"/>
        <w:ind w:firstLineChars="200" w:firstLine="480"/>
        <w:rPr>
          <w:rFonts w:hAnsi="宋体"/>
          <w:bCs/>
          <w:sz w:val="24"/>
          <w:szCs w:val="24"/>
        </w:rPr>
      </w:pPr>
      <w:r>
        <w:rPr>
          <w:rFonts w:hAnsi="宋体" w:hint="eastAsia"/>
          <w:bCs/>
          <w:sz w:val="24"/>
          <w:szCs w:val="24"/>
        </w:rPr>
        <w:t>侧袋机制实施期间，招募说明书“基金的投资”部分约定的</w:t>
      </w:r>
      <w:r>
        <w:rPr>
          <w:rFonts w:hAnsi="宋体"/>
          <w:bCs/>
          <w:sz w:val="24"/>
          <w:szCs w:val="24"/>
        </w:rPr>
        <w:t>投资组合比例</w:t>
      </w:r>
      <w:r>
        <w:rPr>
          <w:rFonts w:hAnsi="宋体" w:hint="eastAsia"/>
          <w:bCs/>
          <w:sz w:val="24"/>
          <w:szCs w:val="24"/>
        </w:rPr>
        <w:t>、投资策略、</w:t>
      </w:r>
      <w:r>
        <w:rPr>
          <w:rFonts w:hAnsi="宋体"/>
          <w:bCs/>
          <w:sz w:val="24"/>
          <w:szCs w:val="24"/>
        </w:rPr>
        <w:t>组合限制</w:t>
      </w:r>
      <w:r>
        <w:rPr>
          <w:rFonts w:hAnsi="宋体" w:hint="eastAsia"/>
          <w:bCs/>
          <w:sz w:val="24"/>
          <w:szCs w:val="24"/>
        </w:rPr>
        <w:t>、业绩比较基准、风险收益特征等约定仅适用于主袋账户。基金管理人计算各项投资运作指标和基金业绩指标时仅需考虑主袋账户资产。</w:t>
      </w:r>
    </w:p>
    <w:p w14:paraId="3CE7D30D" w14:textId="77777777" w:rsidR="00791BDD" w:rsidRDefault="00B75151">
      <w:pPr>
        <w:adjustRightInd w:val="0"/>
        <w:snapToGrid w:val="0"/>
        <w:spacing w:line="360" w:lineRule="auto"/>
        <w:ind w:firstLineChars="200" w:firstLine="480"/>
        <w:rPr>
          <w:rFonts w:hAnsi="宋体"/>
          <w:bCs/>
          <w:sz w:val="24"/>
          <w:szCs w:val="24"/>
        </w:rPr>
      </w:pPr>
      <w:r>
        <w:rPr>
          <w:rFonts w:hAnsi="宋体" w:hint="eastAsia"/>
          <w:bCs/>
          <w:sz w:val="24"/>
          <w:szCs w:val="24"/>
        </w:rPr>
        <w:t>基金管理人原则上应当在侧袋</w:t>
      </w:r>
      <w:r>
        <w:rPr>
          <w:rFonts w:hAnsi="宋体"/>
          <w:bCs/>
          <w:sz w:val="24"/>
          <w:szCs w:val="24"/>
        </w:rPr>
        <w:t>机制启用后</w:t>
      </w:r>
      <w:r>
        <w:rPr>
          <w:rFonts w:hAnsi="宋体"/>
          <w:bCs/>
          <w:sz w:val="24"/>
          <w:szCs w:val="24"/>
        </w:rPr>
        <w:t>20</w:t>
      </w:r>
      <w:r>
        <w:rPr>
          <w:rFonts w:hAnsi="宋体"/>
          <w:bCs/>
          <w:sz w:val="24"/>
          <w:szCs w:val="24"/>
        </w:rPr>
        <w:t>个交易日内完成对主袋账户投资组合的调整，</w:t>
      </w:r>
      <w:r>
        <w:rPr>
          <w:rFonts w:hAnsi="宋体" w:hint="eastAsia"/>
          <w:bCs/>
          <w:sz w:val="24"/>
          <w:szCs w:val="24"/>
        </w:rPr>
        <w:t>因资产流动性受限等中国证监会规定的情形除外。</w:t>
      </w:r>
    </w:p>
    <w:p w14:paraId="249866D3" w14:textId="77777777" w:rsidR="00791BDD" w:rsidRDefault="00B75151">
      <w:pPr>
        <w:adjustRightInd w:val="0"/>
        <w:snapToGrid w:val="0"/>
        <w:spacing w:line="360" w:lineRule="auto"/>
        <w:ind w:firstLineChars="200" w:firstLine="480"/>
        <w:rPr>
          <w:rFonts w:hAnsi="宋体"/>
          <w:bCs/>
          <w:sz w:val="24"/>
          <w:szCs w:val="24"/>
        </w:rPr>
      </w:pPr>
      <w:r>
        <w:rPr>
          <w:rFonts w:hAnsi="宋体" w:hint="eastAsia"/>
          <w:bCs/>
          <w:sz w:val="24"/>
          <w:szCs w:val="24"/>
        </w:rPr>
        <w:t>基金管理人不得在侧袋账户中进行除特定资产处置变现以外的其他投资操作。</w:t>
      </w:r>
    </w:p>
    <w:p w14:paraId="05AD82F9" w14:textId="77777777" w:rsidR="00791BDD" w:rsidRDefault="00B75151">
      <w:pPr>
        <w:adjustRightInd w:val="0"/>
        <w:snapToGrid w:val="0"/>
        <w:spacing w:line="360" w:lineRule="auto"/>
        <w:ind w:firstLineChars="200" w:firstLine="482"/>
        <w:outlineLvl w:val="1"/>
        <w:rPr>
          <w:rFonts w:hAnsi="宋体"/>
          <w:b/>
          <w:bCs/>
          <w:sz w:val="24"/>
          <w:szCs w:val="24"/>
        </w:rPr>
      </w:pPr>
      <w:r>
        <w:rPr>
          <w:rFonts w:hAnsi="宋体" w:hint="eastAsia"/>
          <w:b/>
          <w:bCs/>
          <w:sz w:val="24"/>
          <w:szCs w:val="24"/>
        </w:rPr>
        <w:t>（四）实施侧袋机制期间的基金估值</w:t>
      </w:r>
    </w:p>
    <w:p w14:paraId="6C864785" w14:textId="77777777" w:rsidR="00791BDD" w:rsidRDefault="00B75151">
      <w:pPr>
        <w:adjustRightInd w:val="0"/>
        <w:snapToGrid w:val="0"/>
        <w:spacing w:line="360" w:lineRule="auto"/>
        <w:ind w:firstLineChars="200" w:firstLine="480"/>
        <w:rPr>
          <w:rFonts w:hAnsi="宋体"/>
          <w:bCs/>
          <w:sz w:val="24"/>
          <w:szCs w:val="24"/>
        </w:rPr>
      </w:pPr>
      <w:r>
        <w:rPr>
          <w:rFonts w:hAnsi="宋体" w:hint="eastAsia"/>
          <w:bCs/>
          <w:sz w:val="24"/>
          <w:szCs w:val="24"/>
        </w:rPr>
        <w:t>本基金实施侧袋机制的，基金管理人和基金托管人应对主袋账户资产进行估值并披露主袋账户的基金净值信息，暂停披露侧袋账户份额净值。侧袋账户的会计核算应符合《企业会计准则》的相关要求。</w:t>
      </w:r>
    </w:p>
    <w:p w14:paraId="7672BAF0" w14:textId="77777777" w:rsidR="00791BDD" w:rsidRDefault="00B75151">
      <w:pPr>
        <w:adjustRightInd w:val="0"/>
        <w:snapToGrid w:val="0"/>
        <w:spacing w:line="360" w:lineRule="auto"/>
        <w:ind w:firstLineChars="200" w:firstLine="482"/>
        <w:outlineLvl w:val="1"/>
        <w:rPr>
          <w:rFonts w:hAnsi="宋体"/>
          <w:b/>
          <w:bCs/>
          <w:sz w:val="24"/>
          <w:szCs w:val="24"/>
        </w:rPr>
      </w:pPr>
      <w:r>
        <w:rPr>
          <w:rFonts w:hAnsi="宋体" w:hint="eastAsia"/>
          <w:b/>
          <w:bCs/>
          <w:sz w:val="24"/>
          <w:szCs w:val="24"/>
        </w:rPr>
        <w:t>（五）实施侧袋账户期间的基金费用</w:t>
      </w:r>
    </w:p>
    <w:p w14:paraId="2A7A92AF" w14:textId="77777777" w:rsidR="00791BDD" w:rsidRDefault="00B75151">
      <w:pPr>
        <w:adjustRightInd w:val="0"/>
        <w:snapToGrid w:val="0"/>
        <w:spacing w:line="360" w:lineRule="auto"/>
        <w:ind w:firstLineChars="200" w:firstLine="480"/>
        <w:rPr>
          <w:rFonts w:hAnsi="宋体"/>
          <w:bCs/>
          <w:sz w:val="24"/>
          <w:szCs w:val="24"/>
        </w:rPr>
      </w:pPr>
      <w:r>
        <w:rPr>
          <w:rFonts w:hAnsi="宋体" w:hint="eastAsia"/>
          <w:bCs/>
          <w:sz w:val="24"/>
          <w:szCs w:val="24"/>
        </w:rPr>
        <w:t>1</w:t>
      </w:r>
      <w:r>
        <w:rPr>
          <w:rFonts w:hAnsi="宋体" w:hint="eastAsia"/>
          <w:bCs/>
          <w:sz w:val="24"/>
          <w:szCs w:val="24"/>
        </w:rPr>
        <w:t>、本基金实施侧袋机制的，管理费和托管费等按主袋账户基金资产净值作为基数计提。</w:t>
      </w:r>
    </w:p>
    <w:p w14:paraId="3B5A030A" w14:textId="77777777" w:rsidR="00791BDD" w:rsidRDefault="00B75151">
      <w:pPr>
        <w:adjustRightInd w:val="0"/>
        <w:snapToGrid w:val="0"/>
        <w:spacing w:line="360" w:lineRule="auto"/>
        <w:ind w:firstLineChars="200" w:firstLine="480"/>
        <w:rPr>
          <w:rFonts w:hAnsi="宋体"/>
          <w:bCs/>
          <w:sz w:val="24"/>
          <w:szCs w:val="24"/>
        </w:rPr>
      </w:pPr>
      <w:r>
        <w:rPr>
          <w:rFonts w:hAnsi="宋体"/>
          <w:bCs/>
          <w:sz w:val="24"/>
          <w:szCs w:val="24"/>
        </w:rPr>
        <w:t>2</w:t>
      </w:r>
      <w:r>
        <w:rPr>
          <w:rFonts w:hAnsi="宋体" w:hint="eastAsia"/>
          <w:bCs/>
          <w:sz w:val="24"/>
          <w:szCs w:val="24"/>
        </w:rPr>
        <w:t>、与侧袋账户有关的费用可从侧袋账户中列支，但应待侧袋账户资产变现后方可列支，有关费用可酌情收取或减免，但不得收取管理费。</w:t>
      </w:r>
    </w:p>
    <w:p w14:paraId="07336AB5" w14:textId="77777777" w:rsidR="00791BDD" w:rsidRDefault="00B75151">
      <w:pPr>
        <w:adjustRightInd w:val="0"/>
        <w:snapToGrid w:val="0"/>
        <w:spacing w:line="360" w:lineRule="auto"/>
        <w:ind w:firstLineChars="200" w:firstLine="482"/>
        <w:outlineLvl w:val="1"/>
        <w:rPr>
          <w:rFonts w:hAnsi="宋体"/>
          <w:b/>
          <w:bCs/>
          <w:sz w:val="24"/>
          <w:szCs w:val="24"/>
        </w:rPr>
      </w:pPr>
      <w:r>
        <w:rPr>
          <w:rFonts w:hAnsi="宋体" w:hint="eastAsia"/>
          <w:b/>
          <w:bCs/>
          <w:sz w:val="24"/>
          <w:szCs w:val="24"/>
        </w:rPr>
        <w:t>（六）侧袋账户中特定资产的处置变现和支付</w:t>
      </w:r>
    </w:p>
    <w:p w14:paraId="5A914D96" w14:textId="77777777" w:rsidR="00791BDD" w:rsidRDefault="00B75151">
      <w:pPr>
        <w:adjustRightInd w:val="0"/>
        <w:snapToGrid w:val="0"/>
        <w:spacing w:line="360" w:lineRule="auto"/>
        <w:ind w:firstLineChars="200" w:firstLine="480"/>
        <w:rPr>
          <w:rFonts w:hAnsi="宋体"/>
          <w:bCs/>
          <w:sz w:val="24"/>
          <w:szCs w:val="24"/>
        </w:rPr>
      </w:pPr>
      <w:r>
        <w:rPr>
          <w:rFonts w:hAnsi="宋体" w:hint="eastAsia"/>
          <w:bCs/>
          <w:sz w:val="24"/>
          <w:szCs w:val="24"/>
        </w:rPr>
        <w:t>特定资产以可出售、可转让、恢复交易等方式恢复流动性后，基金管理人应当按照基金份额持有人利益最大化原则，采取将特定资产予以处置变现等方式，及时向侧袋账户份额持有人支付对应变现款项。</w:t>
      </w:r>
    </w:p>
    <w:p w14:paraId="135A574D" w14:textId="77777777" w:rsidR="00791BDD" w:rsidRDefault="00B75151">
      <w:pPr>
        <w:adjustRightInd w:val="0"/>
        <w:snapToGrid w:val="0"/>
        <w:spacing w:line="360" w:lineRule="auto"/>
        <w:ind w:firstLineChars="200" w:firstLine="480"/>
        <w:rPr>
          <w:rFonts w:hAnsi="宋体"/>
          <w:bCs/>
          <w:sz w:val="24"/>
          <w:szCs w:val="24"/>
        </w:rPr>
      </w:pPr>
      <w:r>
        <w:rPr>
          <w:rFonts w:hAnsi="宋体" w:hint="eastAsia"/>
          <w:bCs/>
          <w:sz w:val="24"/>
          <w:szCs w:val="24"/>
        </w:rPr>
        <w:t>侧袋机制实施期间，无论侧袋账户资产是否全部完成变现，基金管理人都应当及时向侧袋账户全部份额持有人支付已变现部分对应的款项。若侧袋账户资产无法一次性完成处置变现，基金管理人在每次处置变现后均应按照相关法律法规要求及时发布临时公告。</w:t>
      </w:r>
    </w:p>
    <w:p w14:paraId="0BD3D65B" w14:textId="77777777" w:rsidR="00791BDD" w:rsidRDefault="00B75151">
      <w:pPr>
        <w:adjustRightInd w:val="0"/>
        <w:snapToGrid w:val="0"/>
        <w:spacing w:line="360" w:lineRule="auto"/>
        <w:ind w:firstLineChars="200" w:firstLine="480"/>
        <w:rPr>
          <w:rFonts w:hAnsi="宋体"/>
          <w:bCs/>
          <w:sz w:val="24"/>
          <w:szCs w:val="24"/>
        </w:rPr>
      </w:pPr>
      <w:r>
        <w:rPr>
          <w:rFonts w:hAnsi="宋体" w:hint="eastAsia"/>
          <w:bCs/>
          <w:sz w:val="24"/>
          <w:szCs w:val="24"/>
        </w:rPr>
        <w:t>侧袋账户资产全部完成变现并终止侧袋机制后，基金管理人应及时聘请符合《中华人民共和国证券法》规定的会计师事务所进行审计并披露专项审计意见。</w:t>
      </w:r>
    </w:p>
    <w:p w14:paraId="58D30912" w14:textId="77777777" w:rsidR="00791BDD" w:rsidRDefault="00B75151">
      <w:pPr>
        <w:adjustRightInd w:val="0"/>
        <w:snapToGrid w:val="0"/>
        <w:spacing w:line="360" w:lineRule="auto"/>
        <w:ind w:firstLineChars="200" w:firstLine="482"/>
        <w:outlineLvl w:val="1"/>
        <w:rPr>
          <w:rFonts w:hAnsi="宋体"/>
          <w:b/>
          <w:bCs/>
          <w:sz w:val="24"/>
          <w:szCs w:val="24"/>
        </w:rPr>
      </w:pPr>
      <w:r>
        <w:rPr>
          <w:rFonts w:hAnsi="宋体" w:hint="eastAsia"/>
          <w:b/>
          <w:bCs/>
          <w:sz w:val="24"/>
          <w:szCs w:val="24"/>
        </w:rPr>
        <w:t>（七）侧袋机制的信息披露</w:t>
      </w:r>
    </w:p>
    <w:p w14:paraId="330FD13B" w14:textId="77777777" w:rsidR="00791BDD" w:rsidRDefault="00B75151">
      <w:pPr>
        <w:adjustRightInd w:val="0"/>
        <w:snapToGrid w:val="0"/>
        <w:spacing w:line="360" w:lineRule="auto"/>
        <w:ind w:firstLineChars="200" w:firstLine="480"/>
        <w:outlineLvl w:val="2"/>
        <w:rPr>
          <w:rFonts w:hAnsi="宋体"/>
          <w:bCs/>
          <w:sz w:val="24"/>
          <w:szCs w:val="24"/>
        </w:rPr>
      </w:pPr>
      <w:r>
        <w:rPr>
          <w:rFonts w:hAnsi="宋体" w:hint="eastAsia"/>
          <w:bCs/>
          <w:sz w:val="24"/>
          <w:szCs w:val="24"/>
        </w:rPr>
        <w:t>1</w:t>
      </w:r>
      <w:r>
        <w:rPr>
          <w:rFonts w:hAnsi="宋体" w:hint="eastAsia"/>
          <w:bCs/>
          <w:sz w:val="24"/>
          <w:szCs w:val="24"/>
        </w:rPr>
        <w:t>、临时公告</w:t>
      </w:r>
    </w:p>
    <w:p w14:paraId="00DA882C" w14:textId="77777777" w:rsidR="00791BDD" w:rsidRDefault="00B75151">
      <w:pPr>
        <w:adjustRightInd w:val="0"/>
        <w:snapToGrid w:val="0"/>
        <w:spacing w:line="360" w:lineRule="auto"/>
        <w:ind w:firstLineChars="200" w:firstLine="480"/>
        <w:rPr>
          <w:rFonts w:hAnsi="宋体"/>
          <w:bCs/>
          <w:sz w:val="24"/>
          <w:szCs w:val="24"/>
        </w:rPr>
      </w:pPr>
      <w:r>
        <w:rPr>
          <w:rFonts w:hAnsi="宋体" w:hint="eastAsia"/>
          <w:bCs/>
          <w:sz w:val="24"/>
          <w:szCs w:val="24"/>
        </w:rPr>
        <w:t>在启用侧袋机制、处置特定资产、终止侧袋机制以及发生其他可能对投资者利益产生重大影响的事项后基金管理人应及时发布临时公告。</w:t>
      </w:r>
    </w:p>
    <w:p w14:paraId="5AA6BB40" w14:textId="77777777" w:rsidR="00791BDD" w:rsidRDefault="00B75151">
      <w:pPr>
        <w:adjustRightInd w:val="0"/>
        <w:snapToGrid w:val="0"/>
        <w:spacing w:line="360" w:lineRule="auto"/>
        <w:ind w:firstLineChars="200" w:firstLine="480"/>
        <w:outlineLvl w:val="2"/>
        <w:rPr>
          <w:rFonts w:hAnsi="宋体"/>
          <w:bCs/>
          <w:sz w:val="24"/>
          <w:szCs w:val="24"/>
        </w:rPr>
      </w:pPr>
      <w:r>
        <w:rPr>
          <w:rFonts w:hAnsi="宋体" w:hint="eastAsia"/>
          <w:bCs/>
          <w:sz w:val="24"/>
          <w:szCs w:val="24"/>
        </w:rPr>
        <w:t>2</w:t>
      </w:r>
      <w:r>
        <w:rPr>
          <w:rFonts w:hAnsi="宋体" w:hint="eastAsia"/>
          <w:bCs/>
          <w:sz w:val="24"/>
          <w:szCs w:val="24"/>
        </w:rPr>
        <w:t>、基金净值信息</w:t>
      </w:r>
    </w:p>
    <w:p w14:paraId="496A7A17" w14:textId="77777777" w:rsidR="00791BDD" w:rsidRDefault="00B75151">
      <w:pPr>
        <w:adjustRightInd w:val="0"/>
        <w:snapToGrid w:val="0"/>
        <w:spacing w:line="360" w:lineRule="auto"/>
        <w:ind w:firstLineChars="200" w:firstLine="480"/>
        <w:rPr>
          <w:rFonts w:hAnsi="宋体"/>
          <w:bCs/>
          <w:sz w:val="24"/>
          <w:szCs w:val="24"/>
        </w:rPr>
      </w:pPr>
      <w:r>
        <w:rPr>
          <w:rFonts w:hAnsi="宋体" w:hint="eastAsia"/>
          <w:bCs/>
          <w:sz w:val="24"/>
          <w:szCs w:val="24"/>
        </w:rPr>
        <w:t>基金管理人应按照招募说明书“基金的信息披露”部分规定的基金净值信息披露方式和频率披露主袋账户份额的基金净值信息。实施侧袋机制期间本基金暂停披露侧袋账户份额净值和累计净值。</w:t>
      </w:r>
    </w:p>
    <w:p w14:paraId="14DAA29E" w14:textId="77777777" w:rsidR="00791BDD" w:rsidRDefault="00B75151">
      <w:pPr>
        <w:adjustRightInd w:val="0"/>
        <w:snapToGrid w:val="0"/>
        <w:spacing w:line="360" w:lineRule="auto"/>
        <w:ind w:firstLineChars="200" w:firstLine="480"/>
        <w:outlineLvl w:val="2"/>
        <w:rPr>
          <w:rFonts w:hAnsi="宋体"/>
          <w:bCs/>
          <w:sz w:val="24"/>
          <w:szCs w:val="24"/>
        </w:rPr>
      </w:pPr>
      <w:r>
        <w:rPr>
          <w:rFonts w:hAnsi="宋体" w:hint="eastAsia"/>
          <w:bCs/>
          <w:sz w:val="24"/>
          <w:szCs w:val="24"/>
        </w:rPr>
        <w:t>3</w:t>
      </w:r>
      <w:r>
        <w:rPr>
          <w:rFonts w:hAnsi="宋体" w:hint="eastAsia"/>
          <w:bCs/>
          <w:sz w:val="24"/>
          <w:szCs w:val="24"/>
        </w:rPr>
        <w:t>、定期报告</w:t>
      </w:r>
    </w:p>
    <w:p w14:paraId="229D4E35" w14:textId="77777777" w:rsidR="00791BDD" w:rsidRDefault="00B75151">
      <w:pPr>
        <w:adjustRightInd w:val="0"/>
        <w:snapToGrid w:val="0"/>
        <w:spacing w:line="360" w:lineRule="auto"/>
        <w:ind w:firstLineChars="200" w:firstLine="480"/>
        <w:rPr>
          <w:rFonts w:hAnsi="宋体"/>
          <w:bCs/>
          <w:sz w:val="24"/>
          <w:szCs w:val="24"/>
        </w:rPr>
      </w:pPr>
      <w:r>
        <w:rPr>
          <w:rFonts w:hAnsi="宋体" w:hint="eastAsia"/>
          <w:bCs/>
          <w:sz w:val="24"/>
          <w:szCs w:val="24"/>
        </w:rPr>
        <w:t>侧袋机制实施期间，基金管理人应当在基金定期报告中披露报告期内侧袋账户相关信息，基金定期报告中的基金会计报表仅需针对主袋账户进行编制。</w:t>
      </w:r>
      <w:bookmarkStart w:id="106" w:name="_Hlk45747214"/>
      <w:r>
        <w:rPr>
          <w:rFonts w:hAnsi="宋体" w:hint="eastAsia"/>
          <w:bCs/>
          <w:sz w:val="24"/>
          <w:szCs w:val="24"/>
        </w:rPr>
        <w:t>会计师事务所对基金年度报告进行审计时，应对报告期内基金侧袋机制运行相关的会计核算和年度报告披露等发表审计意见。</w:t>
      </w:r>
      <w:bookmarkEnd w:id="106"/>
    </w:p>
    <w:p w14:paraId="07CE13AF" w14:textId="77777777" w:rsidR="00791BDD" w:rsidRDefault="00B75151">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p>
    <w:p w14:paraId="07D5DE8B" w14:textId="77777777" w:rsidR="00791BDD" w:rsidRDefault="00B75151">
      <w:pPr>
        <w:widowControl/>
        <w:adjustRightInd w:val="0"/>
        <w:snapToGrid w:val="0"/>
        <w:spacing w:beforeLines="50" w:before="143" w:afterLines="50" w:after="143" w:line="360" w:lineRule="auto"/>
        <w:jc w:val="center"/>
        <w:outlineLvl w:val="0"/>
        <w:rPr>
          <w:rFonts w:ascii="宋体" w:hAnsi="宋体"/>
          <w:b/>
          <w:kern w:val="0"/>
          <w:sz w:val="30"/>
        </w:rPr>
      </w:pPr>
      <w:bookmarkStart w:id="107" w:name="_Toc48122018"/>
      <w:r>
        <w:rPr>
          <w:rFonts w:ascii="宋体" w:hAnsi="宋体" w:hint="eastAsia"/>
          <w:b/>
          <w:kern w:val="0"/>
          <w:sz w:val="30"/>
        </w:rPr>
        <w:t>十七、风险揭示</w:t>
      </w:r>
      <w:bookmarkEnd w:id="107"/>
    </w:p>
    <w:p w14:paraId="32C7364A" w14:textId="77777777" w:rsidR="00791BDD" w:rsidRDefault="00B75151">
      <w:pPr>
        <w:adjustRightInd w:val="0"/>
        <w:snapToGrid w:val="0"/>
        <w:spacing w:line="360" w:lineRule="auto"/>
        <w:ind w:firstLineChars="200" w:firstLine="480"/>
        <w:rPr>
          <w:sz w:val="24"/>
          <w:szCs w:val="24"/>
        </w:rPr>
      </w:pPr>
      <w:r>
        <w:rPr>
          <w:rFonts w:hAnsi="宋体"/>
          <w:sz w:val="24"/>
          <w:szCs w:val="24"/>
        </w:rPr>
        <w:t>证券投资基金（以下简称</w:t>
      </w:r>
      <w:r>
        <w:rPr>
          <w:rFonts w:ascii="宋体" w:hAnsi="宋体"/>
          <w:sz w:val="24"/>
          <w:szCs w:val="24"/>
        </w:rPr>
        <w:t>“基金”）是一</w:t>
      </w:r>
      <w:r>
        <w:rPr>
          <w:rFonts w:hAnsi="宋体"/>
          <w:sz w:val="24"/>
          <w:szCs w:val="24"/>
        </w:rPr>
        <w:t>种长期投资工具，其主要功能是分散投资，降低投资单一证券所带来的个别风险。基金不同于银行储蓄和债券等能够提供固定收益预期的金融工具，投资人购买基金，既可能按其持有份额分享基金投资所产</w:t>
      </w:r>
      <w:bookmarkStart w:id="108" w:name="_Hlt91150550"/>
      <w:bookmarkStart w:id="109" w:name="_Hlt88901012"/>
      <w:bookmarkStart w:id="110" w:name="_Toc109537396"/>
      <w:bookmarkEnd w:id="108"/>
      <w:bookmarkEnd w:id="109"/>
      <w:r>
        <w:rPr>
          <w:rFonts w:hAnsi="宋体"/>
          <w:sz w:val="24"/>
          <w:szCs w:val="24"/>
        </w:rPr>
        <w:t>生的收益，也可能承担</w:t>
      </w:r>
      <w:bookmarkEnd w:id="110"/>
      <w:r>
        <w:rPr>
          <w:rFonts w:hAnsi="宋体"/>
          <w:sz w:val="24"/>
          <w:szCs w:val="24"/>
        </w:rPr>
        <w:t>基金投资所带来的损失。</w:t>
      </w:r>
    </w:p>
    <w:p w14:paraId="1F7A8CC7" w14:textId="77777777" w:rsidR="00791BDD" w:rsidRDefault="00B75151">
      <w:pPr>
        <w:adjustRightInd w:val="0"/>
        <w:snapToGrid w:val="0"/>
        <w:spacing w:line="360" w:lineRule="auto"/>
        <w:ind w:firstLineChars="200" w:firstLine="480"/>
        <w:rPr>
          <w:sz w:val="24"/>
          <w:szCs w:val="24"/>
        </w:rPr>
      </w:pPr>
      <w:r>
        <w:rPr>
          <w:rFonts w:hAnsi="宋体"/>
          <w:sz w:val="24"/>
          <w:szCs w:val="24"/>
        </w:rPr>
        <w:t>基金在投资运作过程中可能面临各种风险，既包括市场风险，也包括基金自身的管理风险、技术风险和合规风险等。巨额赎回风险是开放式基金所特有的一种风险，即当单个</w:t>
      </w:r>
      <w:r>
        <w:rPr>
          <w:rFonts w:hAnsi="宋体" w:hint="eastAsia"/>
          <w:sz w:val="24"/>
          <w:szCs w:val="24"/>
        </w:rPr>
        <w:t>开放</w:t>
      </w:r>
      <w:r>
        <w:rPr>
          <w:rFonts w:hAnsi="宋体"/>
          <w:sz w:val="24"/>
          <w:szCs w:val="24"/>
        </w:rPr>
        <w:t>日基金的净赎回申请（赎回申请份额总数加上基金转换中转出申请份额总数</w:t>
      </w:r>
      <w:r>
        <w:rPr>
          <w:rFonts w:hAnsi="宋体" w:hint="eastAsia"/>
          <w:sz w:val="24"/>
          <w:szCs w:val="24"/>
        </w:rPr>
        <w:t>后</w:t>
      </w:r>
      <w:r>
        <w:rPr>
          <w:rFonts w:hAnsi="宋体"/>
          <w:sz w:val="24"/>
          <w:szCs w:val="24"/>
        </w:rPr>
        <w:t>扣除申购申请份额总数及基金转换中转入申请份额总数后的余额）超过</w:t>
      </w:r>
      <w:r>
        <w:rPr>
          <w:rFonts w:hAnsi="宋体" w:hint="eastAsia"/>
          <w:sz w:val="24"/>
          <w:szCs w:val="24"/>
        </w:rPr>
        <w:t>上一开放日</w:t>
      </w:r>
      <w:r>
        <w:rPr>
          <w:rFonts w:hAnsi="宋体"/>
          <w:sz w:val="24"/>
          <w:szCs w:val="24"/>
        </w:rPr>
        <w:t>基金总份额的百分之十时，投资人将可能无法及时赎回持有的全部基金份额。基金分为股票</w:t>
      </w:r>
      <w:r>
        <w:rPr>
          <w:rFonts w:hAnsi="宋体" w:hint="eastAsia"/>
          <w:sz w:val="24"/>
          <w:szCs w:val="24"/>
        </w:rPr>
        <w:t>型</w:t>
      </w:r>
      <w:r>
        <w:rPr>
          <w:rFonts w:hAnsi="宋体"/>
          <w:sz w:val="24"/>
          <w:szCs w:val="24"/>
        </w:rPr>
        <w:t>基金、混合</w:t>
      </w:r>
      <w:r>
        <w:rPr>
          <w:rFonts w:hAnsi="宋体" w:hint="eastAsia"/>
          <w:sz w:val="24"/>
          <w:szCs w:val="24"/>
        </w:rPr>
        <w:t>型</w:t>
      </w:r>
      <w:r>
        <w:rPr>
          <w:rFonts w:hAnsi="宋体"/>
          <w:sz w:val="24"/>
          <w:szCs w:val="24"/>
        </w:rPr>
        <w:t>基金、债券</w:t>
      </w:r>
      <w:r>
        <w:rPr>
          <w:rFonts w:hAnsi="宋体" w:hint="eastAsia"/>
          <w:sz w:val="24"/>
          <w:szCs w:val="24"/>
        </w:rPr>
        <w:t>型</w:t>
      </w:r>
      <w:r>
        <w:rPr>
          <w:rFonts w:hAnsi="宋体"/>
          <w:sz w:val="24"/>
          <w:szCs w:val="24"/>
        </w:rPr>
        <w:t>基金、货币市场基金等不同类型，投资人投资不同类型的基金将获得不同的收益预期，也将承担不同程度的风险。一般来说，基金的收益预期越高，投资人承担的风险也越大。</w:t>
      </w:r>
    </w:p>
    <w:p w14:paraId="3B77643E" w14:textId="77777777" w:rsidR="00791BDD" w:rsidRDefault="00B75151">
      <w:pPr>
        <w:adjustRightInd w:val="0"/>
        <w:snapToGrid w:val="0"/>
        <w:spacing w:line="360" w:lineRule="auto"/>
        <w:ind w:firstLineChars="200" w:firstLine="480"/>
        <w:rPr>
          <w:sz w:val="24"/>
          <w:szCs w:val="24"/>
        </w:rPr>
      </w:pPr>
      <w:r>
        <w:rPr>
          <w:rFonts w:hAnsi="宋体"/>
          <w:sz w:val="24"/>
          <w:szCs w:val="24"/>
        </w:rPr>
        <w:t>投资人应当认真阅读《基金合同》、《招募说明书》、</w:t>
      </w:r>
      <w:r>
        <w:rPr>
          <w:rFonts w:hAnsi="宋体" w:hint="eastAsia"/>
          <w:sz w:val="24"/>
          <w:szCs w:val="24"/>
        </w:rPr>
        <w:t>基金产品资料概要</w:t>
      </w:r>
      <w:r>
        <w:rPr>
          <w:rFonts w:hAnsi="宋体"/>
          <w:sz w:val="24"/>
          <w:szCs w:val="24"/>
        </w:rPr>
        <w:t>等基金法律文件，了解基金的风险收益特征，并根据自身的投资目的、投资期限、投资经验、资产状况等判断基金是否和投资人的风险承受能力相适应。</w:t>
      </w:r>
    </w:p>
    <w:p w14:paraId="6E4D6FF8" w14:textId="77777777" w:rsidR="00791BDD" w:rsidRDefault="00B75151">
      <w:pPr>
        <w:adjustRightInd w:val="0"/>
        <w:snapToGrid w:val="0"/>
        <w:spacing w:line="360" w:lineRule="auto"/>
        <w:ind w:firstLineChars="200" w:firstLine="480"/>
        <w:rPr>
          <w:sz w:val="24"/>
          <w:szCs w:val="24"/>
        </w:rPr>
      </w:pPr>
      <w:r>
        <w:rPr>
          <w:rFonts w:hAnsi="宋体"/>
          <w:sz w:val="24"/>
          <w:szCs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14:paraId="2BCD67F1" w14:textId="77777777" w:rsidR="00791BDD" w:rsidRDefault="00B75151">
      <w:pPr>
        <w:widowControl/>
        <w:adjustRightInd w:val="0"/>
        <w:snapToGrid w:val="0"/>
        <w:spacing w:line="360" w:lineRule="auto"/>
        <w:ind w:firstLineChars="200" w:firstLine="480"/>
        <w:rPr>
          <w:sz w:val="24"/>
          <w:szCs w:val="24"/>
        </w:rPr>
      </w:pPr>
      <w:r>
        <w:rPr>
          <w:rFonts w:hAnsi="宋体"/>
          <w:sz w:val="24"/>
          <w:szCs w:val="24"/>
        </w:rPr>
        <w:t>因</w:t>
      </w:r>
      <w:r>
        <w:rPr>
          <w:rFonts w:hAnsi="宋体" w:hint="eastAsia"/>
          <w:sz w:val="24"/>
          <w:szCs w:val="24"/>
        </w:rPr>
        <w:t>拆分</w:t>
      </w:r>
      <w:r>
        <w:rPr>
          <w:rFonts w:hAnsi="宋体"/>
          <w:sz w:val="24"/>
          <w:szCs w:val="24"/>
        </w:rPr>
        <w:t>、分红等行为导致基金份额净值变化，不会改变基金的风险收益特征，不会降低基金投资风险或提高基金投资收益。以</w:t>
      </w:r>
      <w:r>
        <w:rPr>
          <w:sz w:val="24"/>
          <w:szCs w:val="24"/>
        </w:rPr>
        <w:t>1</w:t>
      </w:r>
      <w:r>
        <w:rPr>
          <w:rFonts w:hAnsi="宋体"/>
          <w:sz w:val="24"/>
          <w:szCs w:val="24"/>
        </w:rPr>
        <w:t>元初始面值开展基金募集或因</w:t>
      </w:r>
      <w:r>
        <w:rPr>
          <w:rFonts w:hAnsi="宋体" w:hint="eastAsia"/>
          <w:sz w:val="24"/>
          <w:szCs w:val="24"/>
        </w:rPr>
        <w:t>拆分</w:t>
      </w:r>
      <w:r>
        <w:rPr>
          <w:rFonts w:hAnsi="宋体"/>
          <w:sz w:val="24"/>
          <w:szCs w:val="24"/>
        </w:rPr>
        <w:t>、分红等行为导致基金份额净值调整至</w:t>
      </w:r>
      <w:r>
        <w:rPr>
          <w:sz w:val="24"/>
          <w:szCs w:val="24"/>
        </w:rPr>
        <w:t>1</w:t>
      </w:r>
      <w:r>
        <w:rPr>
          <w:rFonts w:hAnsi="宋体"/>
          <w:sz w:val="24"/>
          <w:szCs w:val="24"/>
        </w:rPr>
        <w:t>元初始面值或</w:t>
      </w:r>
      <w:r>
        <w:rPr>
          <w:sz w:val="24"/>
          <w:szCs w:val="24"/>
        </w:rPr>
        <w:t>1</w:t>
      </w:r>
      <w:r>
        <w:rPr>
          <w:rFonts w:hAnsi="宋体"/>
          <w:sz w:val="24"/>
          <w:szCs w:val="24"/>
        </w:rPr>
        <w:t>元附近，在市场波动等因素的影响下，基金投资仍有可能出现亏损或基金净值仍有可能低于初始面值。</w:t>
      </w:r>
    </w:p>
    <w:p w14:paraId="0219634B" w14:textId="77777777" w:rsidR="00791BDD" w:rsidRDefault="00B75151">
      <w:pPr>
        <w:widowControl/>
        <w:adjustRightInd w:val="0"/>
        <w:snapToGrid w:val="0"/>
        <w:spacing w:line="360" w:lineRule="auto"/>
        <w:ind w:firstLineChars="200" w:firstLine="480"/>
        <w:rPr>
          <w:sz w:val="24"/>
          <w:szCs w:val="24"/>
        </w:rPr>
      </w:pPr>
      <w:r>
        <w:rPr>
          <w:rFonts w:hAnsi="宋体"/>
          <w:sz w:val="24"/>
          <w:szCs w:val="24"/>
        </w:rPr>
        <w:t>基金管理人承诺以诚实信用、谨慎勤勉的原则管理和运用基金资产，但不保证投资于本基金一定盈利，也不保证最低收益。基金管理人管理的其他基金的业绩不构成对本基金业绩表现的保证。基金管理人提醒投资人基金投资的</w:t>
      </w:r>
      <w:r>
        <w:rPr>
          <w:rFonts w:hint="eastAsia"/>
          <w:sz w:val="24"/>
          <w:szCs w:val="24"/>
        </w:rPr>
        <w:t>“</w:t>
      </w:r>
      <w:r>
        <w:rPr>
          <w:rFonts w:hAnsi="宋体"/>
          <w:sz w:val="24"/>
          <w:szCs w:val="24"/>
        </w:rPr>
        <w:t>买者自负</w:t>
      </w:r>
      <w:r>
        <w:rPr>
          <w:rFonts w:hint="eastAsia"/>
          <w:sz w:val="24"/>
          <w:szCs w:val="24"/>
        </w:rPr>
        <w:t>”</w:t>
      </w:r>
      <w:r>
        <w:rPr>
          <w:rFonts w:hAnsi="宋体"/>
          <w:sz w:val="24"/>
          <w:szCs w:val="24"/>
        </w:rPr>
        <w:t>原则，在做出投资决策后，基金运营状况与基金净值变化引致的投资风险，由投资人自行负担。</w:t>
      </w:r>
    </w:p>
    <w:p w14:paraId="2302E673" w14:textId="77777777" w:rsidR="00791BDD" w:rsidRDefault="00B75151">
      <w:pPr>
        <w:widowControl/>
        <w:adjustRightInd w:val="0"/>
        <w:snapToGrid w:val="0"/>
        <w:spacing w:line="360" w:lineRule="auto"/>
        <w:ind w:firstLineChars="200" w:firstLine="480"/>
        <w:rPr>
          <w:kern w:val="0"/>
          <w:sz w:val="24"/>
          <w:szCs w:val="24"/>
        </w:rPr>
      </w:pPr>
      <w:r>
        <w:rPr>
          <w:rFonts w:hAnsi="宋体"/>
          <w:kern w:val="0"/>
          <w:sz w:val="24"/>
          <w:szCs w:val="24"/>
        </w:rPr>
        <w:t>基金份额持有人须了解并承受以下风险：</w:t>
      </w:r>
    </w:p>
    <w:p w14:paraId="414F9814" w14:textId="77777777" w:rsidR="00791BDD" w:rsidRDefault="00B75151">
      <w:pPr>
        <w:adjustRightInd w:val="0"/>
        <w:snapToGrid w:val="0"/>
        <w:spacing w:line="360" w:lineRule="auto"/>
        <w:ind w:firstLine="482"/>
        <w:outlineLvl w:val="1"/>
        <w:rPr>
          <w:b/>
          <w:bCs/>
          <w:sz w:val="24"/>
        </w:rPr>
      </w:pPr>
      <w:r>
        <w:rPr>
          <w:b/>
          <w:bCs/>
          <w:sz w:val="24"/>
        </w:rPr>
        <w:t>（一）市场风险</w:t>
      </w:r>
    </w:p>
    <w:p w14:paraId="258A20FE" w14:textId="77777777" w:rsidR="00791BDD" w:rsidRDefault="00B75151">
      <w:pPr>
        <w:widowControl/>
        <w:adjustRightInd w:val="0"/>
        <w:snapToGrid w:val="0"/>
        <w:spacing w:line="360" w:lineRule="auto"/>
        <w:ind w:firstLineChars="200" w:firstLine="480"/>
        <w:rPr>
          <w:kern w:val="0"/>
          <w:sz w:val="24"/>
          <w:szCs w:val="24"/>
        </w:rPr>
      </w:pPr>
      <w:r>
        <w:rPr>
          <w:rFonts w:hAnsi="宋体"/>
          <w:kern w:val="0"/>
          <w:sz w:val="24"/>
          <w:szCs w:val="24"/>
        </w:rPr>
        <w:t>证券市场价格因受到经济因素、政治因素、投资心理和交易制度等各种因素的影响而引起的波动，将对基金收益水平产生潜在风险，主要包括：</w:t>
      </w:r>
    </w:p>
    <w:p w14:paraId="3F206F10" w14:textId="77777777" w:rsidR="00791BDD" w:rsidRDefault="00B75151">
      <w:pPr>
        <w:widowControl/>
        <w:adjustRightInd w:val="0"/>
        <w:snapToGrid w:val="0"/>
        <w:spacing w:line="360" w:lineRule="auto"/>
        <w:ind w:firstLineChars="200" w:firstLine="480"/>
        <w:rPr>
          <w:kern w:val="0"/>
          <w:sz w:val="24"/>
          <w:szCs w:val="24"/>
        </w:rPr>
      </w:pPr>
      <w:r>
        <w:rPr>
          <w:kern w:val="0"/>
          <w:sz w:val="24"/>
          <w:szCs w:val="24"/>
        </w:rPr>
        <w:t>1</w:t>
      </w:r>
      <w:r>
        <w:rPr>
          <w:rFonts w:hAnsi="宋体"/>
          <w:kern w:val="0"/>
          <w:sz w:val="24"/>
          <w:szCs w:val="24"/>
        </w:rPr>
        <w:t>、政策风险。因国家宏观政策（如货币政策、财政政策、行业政策、地区发展政策等）和证券市场监管政策发生变化，导致市场价格波动而产生风险。</w:t>
      </w:r>
    </w:p>
    <w:p w14:paraId="5A519AE4" w14:textId="77777777" w:rsidR="00791BDD" w:rsidRDefault="00B75151">
      <w:pPr>
        <w:widowControl/>
        <w:adjustRightInd w:val="0"/>
        <w:snapToGrid w:val="0"/>
        <w:spacing w:line="360" w:lineRule="auto"/>
        <w:ind w:firstLineChars="200" w:firstLine="480"/>
        <w:rPr>
          <w:kern w:val="0"/>
          <w:sz w:val="24"/>
          <w:szCs w:val="24"/>
        </w:rPr>
      </w:pPr>
      <w:r>
        <w:rPr>
          <w:kern w:val="0"/>
          <w:sz w:val="24"/>
          <w:szCs w:val="24"/>
        </w:rPr>
        <w:t>2</w:t>
      </w:r>
      <w:r>
        <w:rPr>
          <w:rFonts w:hAnsi="宋体"/>
          <w:kern w:val="0"/>
          <w:sz w:val="24"/>
          <w:szCs w:val="24"/>
        </w:rPr>
        <w:t>、经济周期风险。证券市场受宏观经济运行的影响，而经济运行具有周期性的特点，宏观经济运行状况将对证券市场的收益水平产生影响，从而对基金收益造成影响。</w:t>
      </w:r>
    </w:p>
    <w:p w14:paraId="07B0141E" w14:textId="77777777" w:rsidR="00791BDD" w:rsidRDefault="00B75151">
      <w:pPr>
        <w:widowControl/>
        <w:adjustRightInd w:val="0"/>
        <w:snapToGrid w:val="0"/>
        <w:spacing w:line="360" w:lineRule="auto"/>
        <w:ind w:firstLineChars="200" w:firstLine="480"/>
        <w:rPr>
          <w:kern w:val="0"/>
          <w:sz w:val="24"/>
          <w:szCs w:val="24"/>
        </w:rPr>
      </w:pPr>
      <w:r>
        <w:rPr>
          <w:kern w:val="0"/>
          <w:sz w:val="24"/>
          <w:szCs w:val="24"/>
        </w:rPr>
        <w:t>3</w:t>
      </w:r>
      <w:r>
        <w:rPr>
          <w:rFonts w:hAnsi="宋体"/>
          <w:kern w:val="0"/>
          <w:sz w:val="24"/>
          <w:szCs w:val="24"/>
        </w:rPr>
        <w:t>、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p>
    <w:p w14:paraId="09007CF9" w14:textId="77777777" w:rsidR="00791BDD" w:rsidRDefault="00B75151">
      <w:pPr>
        <w:widowControl/>
        <w:adjustRightInd w:val="0"/>
        <w:snapToGrid w:val="0"/>
        <w:spacing w:line="360" w:lineRule="auto"/>
        <w:ind w:firstLineChars="200" w:firstLine="480"/>
        <w:rPr>
          <w:kern w:val="0"/>
          <w:sz w:val="24"/>
          <w:szCs w:val="24"/>
        </w:rPr>
      </w:pPr>
      <w:r>
        <w:rPr>
          <w:kern w:val="0"/>
          <w:sz w:val="24"/>
          <w:szCs w:val="24"/>
        </w:rPr>
        <w:t>4</w:t>
      </w:r>
      <w:r>
        <w:rPr>
          <w:rFonts w:hAnsi="宋体"/>
          <w:kern w:val="0"/>
          <w:sz w:val="24"/>
          <w:szCs w:val="24"/>
        </w:rPr>
        <w:t>、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14:paraId="72C7072A" w14:textId="77777777" w:rsidR="00791BDD" w:rsidRDefault="00B75151">
      <w:pPr>
        <w:widowControl/>
        <w:adjustRightInd w:val="0"/>
        <w:snapToGrid w:val="0"/>
        <w:spacing w:line="360" w:lineRule="auto"/>
        <w:ind w:firstLineChars="200" w:firstLine="480"/>
        <w:rPr>
          <w:kern w:val="0"/>
          <w:sz w:val="24"/>
          <w:szCs w:val="24"/>
        </w:rPr>
      </w:pPr>
      <w:r>
        <w:rPr>
          <w:kern w:val="0"/>
          <w:sz w:val="24"/>
          <w:szCs w:val="24"/>
        </w:rPr>
        <w:t>5</w:t>
      </w:r>
      <w:r>
        <w:rPr>
          <w:rFonts w:hAnsi="宋体"/>
          <w:kern w:val="0"/>
          <w:sz w:val="24"/>
          <w:szCs w:val="24"/>
        </w:rPr>
        <w:t>、购买力风险。基金投资的目的是基金资产的保值增值，如果发生通货膨胀，基金投资于证券所获得的收益可能会被通货膨胀抵消，从而使基金的实际收益下降，影响基金资产的保值增值。</w:t>
      </w:r>
    </w:p>
    <w:p w14:paraId="586AC4A0" w14:textId="77777777" w:rsidR="00791BDD" w:rsidRDefault="00B75151">
      <w:pPr>
        <w:adjustRightInd w:val="0"/>
        <w:snapToGrid w:val="0"/>
        <w:spacing w:line="360" w:lineRule="auto"/>
        <w:ind w:firstLine="482"/>
        <w:outlineLvl w:val="1"/>
        <w:rPr>
          <w:b/>
          <w:bCs/>
          <w:sz w:val="24"/>
        </w:rPr>
      </w:pPr>
      <w:r>
        <w:rPr>
          <w:b/>
          <w:bCs/>
          <w:sz w:val="24"/>
        </w:rPr>
        <w:t>（二）管理风险</w:t>
      </w:r>
    </w:p>
    <w:p w14:paraId="13061D66" w14:textId="77777777" w:rsidR="00791BDD" w:rsidRDefault="00B75151">
      <w:pPr>
        <w:widowControl/>
        <w:adjustRightInd w:val="0"/>
        <w:snapToGrid w:val="0"/>
        <w:spacing w:line="360" w:lineRule="auto"/>
        <w:ind w:firstLineChars="200" w:firstLine="480"/>
        <w:rPr>
          <w:kern w:val="0"/>
          <w:sz w:val="24"/>
          <w:szCs w:val="24"/>
        </w:rPr>
      </w:pPr>
      <w:r>
        <w:rPr>
          <w:rFonts w:hAnsi="宋体"/>
          <w:kern w:val="0"/>
          <w:sz w:val="24"/>
          <w:szCs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p>
    <w:p w14:paraId="6CA27B6A" w14:textId="77777777" w:rsidR="00791BDD" w:rsidRDefault="00B75151">
      <w:pPr>
        <w:adjustRightInd w:val="0"/>
        <w:snapToGrid w:val="0"/>
        <w:spacing w:line="360" w:lineRule="auto"/>
        <w:ind w:firstLine="482"/>
        <w:outlineLvl w:val="1"/>
        <w:rPr>
          <w:b/>
          <w:bCs/>
          <w:sz w:val="24"/>
        </w:rPr>
      </w:pPr>
      <w:r>
        <w:rPr>
          <w:b/>
          <w:bCs/>
          <w:sz w:val="24"/>
        </w:rPr>
        <w:t>（三）流动性风险</w:t>
      </w:r>
    </w:p>
    <w:p w14:paraId="3065758A"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kern w:val="0"/>
          <w:sz w:val="24"/>
          <w:szCs w:val="24"/>
        </w:rPr>
        <w:t>本基金属于开放式基金，在基金的所有开放日，基金管理人都有义务接受投资人的赎回。如果基金资产不能迅速转变成现金，或者变现为现金时使资金净值产生不利的影响，都会影响基金运作和收益水平。尤其是在发生巨额赎回时，如果基金资产变现能力差，可能会产生基金仓位调整的困难，导致流动性风险，可能影响基金份额净值。</w:t>
      </w:r>
    </w:p>
    <w:p w14:paraId="3F5AF57E" w14:textId="77777777" w:rsidR="00791BDD" w:rsidRDefault="00B75151">
      <w:pPr>
        <w:widowControl/>
        <w:adjustRightInd w:val="0"/>
        <w:snapToGrid w:val="0"/>
        <w:spacing w:line="360" w:lineRule="auto"/>
        <w:ind w:firstLineChars="200" w:firstLine="480"/>
        <w:outlineLvl w:val="2"/>
        <w:rPr>
          <w:rFonts w:hAnsi="宋体"/>
          <w:kern w:val="0"/>
          <w:sz w:val="24"/>
          <w:szCs w:val="24"/>
        </w:rPr>
      </w:pPr>
      <w:r>
        <w:rPr>
          <w:rFonts w:hAnsi="宋体" w:hint="eastAsia"/>
          <w:kern w:val="0"/>
          <w:sz w:val="24"/>
          <w:szCs w:val="24"/>
        </w:rPr>
        <w:t>1</w:t>
      </w:r>
      <w:r>
        <w:rPr>
          <w:rFonts w:hAnsi="宋体" w:hint="eastAsia"/>
          <w:kern w:val="0"/>
          <w:sz w:val="24"/>
          <w:szCs w:val="24"/>
        </w:rPr>
        <w:t>、本基金的申购、赎回安排</w:t>
      </w:r>
    </w:p>
    <w:p w14:paraId="1F88ABC2" w14:textId="77777777" w:rsidR="00791BDD" w:rsidRDefault="00B75151">
      <w:pPr>
        <w:adjustRightInd w:val="0"/>
        <w:snapToGrid w:val="0"/>
        <w:spacing w:line="360" w:lineRule="auto"/>
        <w:ind w:firstLineChars="200" w:firstLine="480"/>
        <w:rPr>
          <w:sz w:val="24"/>
          <w:szCs w:val="24"/>
        </w:rPr>
      </w:pPr>
      <w:r>
        <w:rPr>
          <w:rFonts w:hAnsi="宋体" w:hint="eastAsia"/>
          <w:kern w:val="0"/>
          <w:sz w:val="24"/>
          <w:szCs w:val="24"/>
        </w:rPr>
        <w:t>本基金采用开放方式运作，基金管理人在开放日办理基金份额的申购和赎回，具体办理时间为上海证券交易所、深圳证券交易所的正常交易日的交易时间（若该工作日为非港股通交易日，则本基金可不开放），但基金管理人根据法律法规、中国证监会的要求或基金合同的规定公告暂停申购、赎回时除外。</w:t>
      </w:r>
      <w:r>
        <w:rPr>
          <w:rFonts w:hint="eastAsia"/>
          <w:sz w:val="24"/>
          <w:szCs w:val="24"/>
        </w:rPr>
        <w:t>基金管理人</w:t>
      </w:r>
      <w:r>
        <w:rPr>
          <w:rFonts w:hint="eastAsia"/>
          <w:bCs/>
          <w:sz w:val="24"/>
        </w:rPr>
        <w:t>可</w:t>
      </w:r>
      <w:r>
        <w:rPr>
          <w:bCs/>
          <w:sz w:val="24"/>
        </w:rPr>
        <w:t>根据实际情况依法决定本基金</w:t>
      </w:r>
      <w:r>
        <w:rPr>
          <w:rFonts w:hint="eastAsia"/>
          <w:sz w:val="24"/>
          <w:szCs w:val="24"/>
        </w:rPr>
        <w:t>开始办理申购</w:t>
      </w:r>
      <w:r>
        <w:rPr>
          <w:bCs/>
          <w:sz w:val="24"/>
        </w:rPr>
        <w:t>的具体日期</w:t>
      </w:r>
      <w:r>
        <w:rPr>
          <w:rFonts w:hint="eastAsia"/>
          <w:sz w:val="24"/>
          <w:szCs w:val="24"/>
        </w:rPr>
        <w:t>，具体业务办理时间在申购开始公告中规定。基金管理人自基金合同生效之日起</w:t>
      </w:r>
      <w:r>
        <w:rPr>
          <w:bCs/>
          <w:sz w:val="24"/>
        </w:rPr>
        <w:t>不超过</w:t>
      </w:r>
      <w:r>
        <w:rPr>
          <w:bCs/>
          <w:sz w:val="24"/>
        </w:rPr>
        <w:t>3</w:t>
      </w:r>
      <w:r>
        <w:rPr>
          <w:rFonts w:hint="eastAsia"/>
          <w:bCs/>
          <w:sz w:val="24"/>
        </w:rPr>
        <w:t>个</w:t>
      </w:r>
      <w:r>
        <w:rPr>
          <w:bCs/>
          <w:sz w:val="24"/>
        </w:rPr>
        <w:t>月</w:t>
      </w:r>
      <w:r>
        <w:rPr>
          <w:rFonts w:hint="eastAsia"/>
          <w:sz w:val="24"/>
          <w:szCs w:val="24"/>
        </w:rPr>
        <w:t>开始办理赎回，具体业务办理时间在赎回开始公告中规定。</w:t>
      </w:r>
    </w:p>
    <w:p w14:paraId="5931E1CE" w14:textId="77777777" w:rsidR="00791BDD" w:rsidRDefault="00B75151">
      <w:pPr>
        <w:widowControl/>
        <w:adjustRightInd w:val="0"/>
        <w:snapToGrid w:val="0"/>
        <w:spacing w:line="360" w:lineRule="auto"/>
        <w:ind w:firstLineChars="200" w:firstLine="480"/>
        <w:outlineLvl w:val="2"/>
        <w:rPr>
          <w:rFonts w:hAnsi="宋体"/>
          <w:kern w:val="0"/>
          <w:sz w:val="24"/>
          <w:szCs w:val="24"/>
        </w:rPr>
      </w:pPr>
      <w:r>
        <w:rPr>
          <w:rFonts w:hAnsi="宋体" w:hint="eastAsia"/>
          <w:kern w:val="0"/>
          <w:sz w:val="24"/>
          <w:szCs w:val="24"/>
        </w:rPr>
        <w:t>2</w:t>
      </w:r>
      <w:r>
        <w:rPr>
          <w:rFonts w:hAnsi="宋体" w:hint="eastAsia"/>
          <w:kern w:val="0"/>
          <w:sz w:val="24"/>
          <w:szCs w:val="24"/>
        </w:rPr>
        <w:t>、投资市场、行业及资产的流动性风险评估</w:t>
      </w:r>
    </w:p>
    <w:p w14:paraId="69B07BBE"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本基金的投资市场主要为证券</w:t>
      </w:r>
      <w:r>
        <w:rPr>
          <w:rFonts w:hAnsi="宋体" w:hint="eastAsia"/>
          <w:kern w:val="0"/>
          <w:sz w:val="24"/>
          <w:szCs w:val="24"/>
        </w:rPr>
        <w:t>/</w:t>
      </w:r>
      <w:r>
        <w:rPr>
          <w:rFonts w:hAnsi="宋体" w:hint="eastAsia"/>
          <w:kern w:val="0"/>
          <w:sz w:val="24"/>
          <w:szCs w:val="24"/>
        </w:rPr>
        <w:t>期货交易所、全国银行间债券市场等流动性较好的规范型交易场所，主要投资对象为具有良好流动性的金融工具，同时本基金基于分散投资的原则在行业和个券方面未有高集中度的特征，综合评估在正常市场环境下本基金的流动性风险适中。</w:t>
      </w:r>
    </w:p>
    <w:p w14:paraId="3288150C" w14:textId="77777777" w:rsidR="00791BDD" w:rsidRDefault="00B75151">
      <w:pPr>
        <w:widowControl/>
        <w:adjustRightInd w:val="0"/>
        <w:snapToGrid w:val="0"/>
        <w:spacing w:line="360" w:lineRule="auto"/>
        <w:ind w:firstLineChars="200" w:firstLine="480"/>
        <w:outlineLvl w:val="2"/>
        <w:rPr>
          <w:rFonts w:hAnsi="宋体"/>
          <w:kern w:val="0"/>
          <w:sz w:val="24"/>
          <w:szCs w:val="24"/>
        </w:rPr>
      </w:pPr>
      <w:r>
        <w:rPr>
          <w:rFonts w:hAnsi="宋体" w:hint="eastAsia"/>
          <w:kern w:val="0"/>
          <w:sz w:val="24"/>
          <w:szCs w:val="24"/>
        </w:rPr>
        <w:t>3</w:t>
      </w:r>
      <w:r>
        <w:rPr>
          <w:rFonts w:hAnsi="宋体" w:hint="eastAsia"/>
          <w:kern w:val="0"/>
          <w:sz w:val="24"/>
          <w:szCs w:val="24"/>
        </w:rPr>
        <w:t>、巨额赎回情形下的流动性风险管理措施</w:t>
      </w:r>
    </w:p>
    <w:p w14:paraId="299C2BDA"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若本基金单个开放日内的基金份额净赎回申请（赎回申请份额总数加上基金转换中转出申请份额总数后扣除申购申请份额总数及基金转换中转入申请份额总数后的余额）超过前一开放日的基金总份额的</w:t>
      </w:r>
      <w:r>
        <w:rPr>
          <w:rFonts w:hAnsi="宋体" w:hint="eastAsia"/>
          <w:kern w:val="0"/>
          <w:sz w:val="24"/>
          <w:szCs w:val="24"/>
        </w:rPr>
        <w:t>10%</w:t>
      </w:r>
      <w:r>
        <w:rPr>
          <w:rFonts w:hAnsi="宋体" w:hint="eastAsia"/>
          <w:kern w:val="0"/>
          <w:sz w:val="24"/>
          <w:szCs w:val="24"/>
        </w:rPr>
        <w:t>，即认为是发生了巨额赎回。</w:t>
      </w:r>
    </w:p>
    <w:p w14:paraId="674B1067"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当基金出现巨额赎回时，基金管理人可以根据基金当时的资产组合状况决定全额赎回或部分延期赎回。</w:t>
      </w:r>
    </w:p>
    <w:p w14:paraId="45C120D3"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hint="eastAsia"/>
          <w:kern w:val="0"/>
          <w:sz w:val="24"/>
          <w:szCs w:val="24"/>
        </w:rPr>
        <w:t>1</w:t>
      </w:r>
      <w:r>
        <w:rPr>
          <w:rFonts w:hAnsi="宋体" w:hint="eastAsia"/>
          <w:kern w:val="0"/>
          <w:sz w:val="24"/>
          <w:szCs w:val="24"/>
        </w:rPr>
        <w:t>）全额赎回：当基金管理人认为有能力支付投资人的全部赎回申请时，按正常赎回程序执行。</w:t>
      </w:r>
    </w:p>
    <w:p w14:paraId="1D151D97"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hint="eastAsia"/>
          <w:kern w:val="0"/>
          <w:sz w:val="24"/>
          <w:szCs w:val="24"/>
        </w:rPr>
        <w:t>2</w:t>
      </w:r>
      <w:r>
        <w:rPr>
          <w:rFonts w:hAnsi="宋体" w:hint="eastAsia"/>
          <w:kern w:val="0"/>
          <w:sz w:val="24"/>
          <w:szCs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Ansi="宋体" w:hint="eastAsia"/>
          <w:kern w:val="0"/>
          <w:sz w:val="24"/>
          <w:szCs w:val="24"/>
        </w:rPr>
        <w:t>10%</w:t>
      </w:r>
      <w:r>
        <w:rPr>
          <w:rFonts w:hAnsi="宋体" w:hint="eastAsia"/>
          <w:kern w:val="0"/>
          <w:sz w:val="24"/>
          <w:szCs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4E1CE2A7"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kern w:val="0"/>
          <w:sz w:val="24"/>
          <w:szCs w:val="24"/>
        </w:rPr>
        <w:t>3</w:t>
      </w:r>
      <w:r>
        <w:rPr>
          <w:rFonts w:hAnsi="宋体"/>
          <w:kern w:val="0"/>
          <w:sz w:val="24"/>
          <w:szCs w:val="24"/>
        </w:rPr>
        <w:t>）</w:t>
      </w:r>
      <w:r>
        <w:rPr>
          <w:rFonts w:hAnsi="宋体" w:hint="eastAsia"/>
          <w:kern w:val="0"/>
          <w:sz w:val="24"/>
          <w:szCs w:val="24"/>
        </w:rPr>
        <w:t>本基金如发生巨额赎回且单个开放日内单个基金份额持有人申请赎回的基金份额超过前一开放日的基金总份额的</w:t>
      </w:r>
      <w:r>
        <w:rPr>
          <w:rFonts w:hAnsi="宋体" w:hint="eastAsia"/>
          <w:kern w:val="0"/>
          <w:sz w:val="24"/>
          <w:szCs w:val="24"/>
        </w:rPr>
        <w:t>20%</w:t>
      </w:r>
      <w:r>
        <w:rPr>
          <w:rFonts w:hAnsi="宋体" w:hint="eastAsia"/>
          <w:kern w:val="0"/>
          <w:sz w:val="24"/>
          <w:szCs w:val="24"/>
        </w:rPr>
        <w:t>时，本基金管理人有权采取如下措施：</w:t>
      </w:r>
    </w:p>
    <w:p w14:paraId="452FEE5E"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对于基金份额持有人当日超过</w:t>
      </w:r>
      <w:r>
        <w:rPr>
          <w:rFonts w:hAnsi="宋体" w:hint="eastAsia"/>
          <w:kern w:val="0"/>
          <w:sz w:val="24"/>
          <w:szCs w:val="24"/>
        </w:rPr>
        <w:t>20%</w:t>
      </w:r>
      <w:r>
        <w:rPr>
          <w:rFonts w:hAnsi="宋体" w:hint="eastAsia"/>
          <w:kern w:val="0"/>
          <w:sz w:val="24"/>
          <w:szCs w:val="24"/>
        </w:rPr>
        <w:t>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w:t>
      </w:r>
    </w:p>
    <w:p w14:paraId="5AD873D9"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对于基金份额持有人未超过上述比例的部分，基金管理人可以根据前述“（</w:t>
      </w:r>
      <w:r>
        <w:rPr>
          <w:rFonts w:hAnsi="宋体" w:hint="eastAsia"/>
          <w:kern w:val="0"/>
          <w:sz w:val="24"/>
          <w:szCs w:val="24"/>
        </w:rPr>
        <w:t>1</w:t>
      </w:r>
      <w:r>
        <w:rPr>
          <w:rFonts w:hAnsi="宋体" w:hint="eastAsia"/>
          <w:kern w:val="0"/>
          <w:sz w:val="24"/>
          <w:szCs w:val="24"/>
        </w:rPr>
        <w:t>）全额赎回”或“（</w:t>
      </w:r>
      <w:r>
        <w:rPr>
          <w:rFonts w:hAnsi="宋体" w:hint="eastAsia"/>
          <w:kern w:val="0"/>
          <w:sz w:val="24"/>
          <w:szCs w:val="24"/>
        </w:rPr>
        <w:t>2</w:t>
      </w:r>
      <w:r>
        <w:rPr>
          <w:rFonts w:hAnsi="宋体" w:hint="eastAsia"/>
          <w:kern w:val="0"/>
          <w:sz w:val="24"/>
          <w:szCs w:val="24"/>
        </w:rPr>
        <w:t>）部分延期赎回”的约定方式与其他基金份额持有人的赎回申请一并办理。但是，如基金份额持有人在当日选择取消赎回，则其当日未获受理的部分赎回申请将被撤销。</w:t>
      </w:r>
    </w:p>
    <w:p w14:paraId="3CE134A8"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kern w:val="0"/>
          <w:sz w:val="24"/>
          <w:szCs w:val="24"/>
        </w:rPr>
        <w:t>4</w:t>
      </w:r>
      <w:r>
        <w:rPr>
          <w:rFonts w:hAnsi="宋体" w:hint="eastAsia"/>
          <w:kern w:val="0"/>
          <w:sz w:val="24"/>
          <w:szCs w:val="24"/>
        </w:rPr>
        <w:t>）暂停赎回：连续</w:t>
      </w:r>
      <w:r>
        <w:rPr>
          <w:rFonts w:hAnsi="宋体" w:hint="eastAsia"/>
          <w:kern w:val="0"/>
          <w:sz w:val="24"/>
          <w:szCs w:val="24"/>
        </w:rPr>
        <w:t>2</w:t>
      </w:r>
      <w:r>
        <w:rPr>
          <w:rFonts w:hAnsi="宋体" w:hint="eastAsia"/>
          <w:kern w:val="0"/>
          <w:sz w:val="24"/>
          <w:szCs w:val="24"/>
        </w:rPr>
        <w:t>个开放日以上（含本数）发生巨额赎回，如基金管理人认为有必要，可暂停接受基金的赎回申请；已经接受的赎回申请可以延缓支付赎回款项，但不得超过</w:t>
      </w:r>
      <w:r>
        <w:rPr>
          <w:rFonts w:hAnsi="宋体" w:hint="eastAsia"/>
          <w:kern w:val="0"/>
          <w:sz w:val="24"/>
          <w:szCs w:val="24"/>
        </w:rPr>
        <w:t>20</w:t>
      </w:r>
      <w:r>
        <w:rPr>
          <w:rFonts w:hAnsi="宋体" w:hint="eastAsia"/>
          <w:kern w:val="0"/>
          <w:sz w:val="24"/>
          <w:szCs w:val="24"/>
        </w:rPr>
        <w:t>个工作日，并应当在规定媒介上进行公告。</w:t>
      </w:r>
    </w:p>
    <w:p w14:paraId="26ADEF4B" w14:textId="77777777" w:rsidR="00791BDD" w:rsidRDefault="00B75151">
      <w:pPr>
        <w:widowControl/>
        <w:adjustRightInd w:val="0"/>
        <w:snapToGrid w:val="0"/>
        <w:spacing w:line="360" w:lineRule="auto"/>
        <w:ind w:firstLineChars="200" w:firstLine="480"/>
        <w:outlineLvl w:val="2"/>
        <w:rPr>
          <w:rFonts w:hAnsi="宋体"/>
          <w:kern w:val="0"/>
          <w:sz w:val="24"/>
          <w:szCs w:val="24"/>
        </w:rPr>
      </w:pPr>
      <w:r>
        <w:rPr>
          <w:rFonts w:hAnsi="宋体" w:hint="eastAsia"/>
          <w:kern w:val="0"/>
          <w:sz w:val="24"/>
          <w:szCs w:val="24"/>
        </w:rPr>
        <w:t>4</w:t>
      </w:r>
      <w:r>
        <w:rPr>
          <w:rFonts w:hAnsi="宋体" w:hint="eastAsia"/>
          <w:kern w:val="0"/>
          <w:sz w:val="24"/>
          <w:szCs w:val="24"/>
        </w:rPr>
        <w:t>、实施备用的流动性风险管理工具的情形、程序及对投资者的潜在影响</w:t>
      </w:r>
    </w:p>
    <w:p w14:paraId="79C1D70D"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本基金在面临大规模赎回的情况下有可能因为无法变现造成流动性风险。</w:t>
      </w:r>
    </w:p>
    <w:p w14:paraId="1C640084"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如果出现流动性风险，基金管理人经与基金托管人协商，在确保投资者得到公平对待的前提下，可实施备用的流动性风险管理工具，包括但不限于延期办理巨额赎回申请、暂停接受赎回申请、延缓支付赎回款项、收取短期赎回费、摆动定价、暂停基金估值、实施侧袋机制等，作为特定情形下基金管理人流动性风险管理的辅助措施，同时基金管理人应时刻防范可能产生的流动性风险，对流动性风险进行日常监控，保护基金份额持有人的利益。当实施备用的流动性风险管理工具时，有可能无法按基金合同约定的时限支付赎回款项。</w:t>
      </w:r>
    </w:p>
    <w:p w14:paraId="437485EB"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14:paraId="68426A86"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14:paraId="56FD94EF"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基金管理人将根据主袋账户运作情况合理确定申购政策，因此实施侧袋机制后主袋账户份额存在暂停申购的可能。</w:t>
      </w:r>
    </w:p>
    <w:p w14:paraId="59477122"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启用侧袋机制后，基金管理人计算各项投资运作指标和基金业绩指标时仅需考虑主袋账户资产，基金业绩指标应当以主袋账户资产为基准，因此本基金披露的业绩指标不能反映特定资产的真实价值及变化情况。</w:t>
      </w:r>
    </w:p>
    <w:p w14:paraId="24CC1D2A" w14:textId="77777777" w:rsidR="00791BDD" w:rsidRDefault="00B75151">
      <w:pPr>
        <w:adjustRightInd w:val="0"/>
        <w:snapToGrid w:val="0"/>
        <w:spacing w:line="360" w:lineRule="auto"/>
        <w:ind w:firstLine="482"/>
        <w:outlineLvl w:val="1"/>
        <w:rPr>
          <w:b/>
          <w:bCs/>
          <w:sz w:val="24"/>
        </w:rPr>
      </w:pPr>
      <w:r>
        <w:rPr>
          <w:b/>
          <w:bCs/>
          <w:sz w:val="24"/>
        </w:rPr>
        <w:t>（四）信用风险</w:t>
      </w:r>
    </w:p>
    <w:p w14:paraId="458798BE" w14:textId="77777777" w:rsidR="00791BDD" w:rsidRDefault="00B75151">
      <w:pPr>
        <w:widowControl/>
        <w:adjustRightInd w:val="0"/>
        <w:snapToGrid w:val="0"/>
        <w:spacing w:line="360" w:lineRule="auto"/>
        <w:ind w:firstLineChars="200" w:firstLine="480"/>
        <w:rPr>
          <w:kern w:val="0"/>
          <w:sz w:val="24"/>
          <w:szCs w:val="24"/>
        </w:rPr>
      </w:pPr>
      <w:r>
        <w:rPr>
          <w:rFonts w:hAnsi="宋体"/>
          <w:kern w:val="0"/>
          <w:sz w:val="24"/>
          <w:szCs w:val="24"/>
        </w:rPr>
        <w:t>基金在交易过程</w:t>
      </w:r>
      <w:r>
        <w:rPr>
          <w:rFonts w:hAnsi="宋体" w:hint="eastAsia"/>
          <w:kern w:val="0"/>
          <w:sz w:val="24"/>
          <w:szCs w:val="24"/>
        </w:rPr>
        <w:t>中</w:t>
      </w:r>
      <w:r>
        <w:rPr>
          <w:rFonts w:hAnsi="宋体"/>
          <w:kern w:val="0"/>
          <w:sz w:val="24"/>
          <w:szCs w:val="24"/>
        </w:rPr>
        <w:t>发生交收违约，或者基金所投资债券之发行人出现违约、拒绝支付到期本息，都可能导致基金资产损失和收益变化，从而产生风险。</w:t>
      </w:r>
    </w:p>
    <w:p w14:paraId="7DFB8B9C" w14:textId="77777777" w:rsidR="00791BDD" w:rsidRDefault="00B75151">
      <w:pPr>
        <w:adjustRightInd w:val="0"/>
        <w:snapToGrid w:val="0"/>
        <w:spacing w:line="360" w:lineRule="auto"/>
        <w:ind w:firstLine="482"/>
        <w:outlineLvl w:val="1"/>
        <w:rPr>
          <w:b/>
          <w:bCs/>
          <w:sz w:val="24"/>
        </w:rPr>
      </w:pPr>
      <w:r>
        <w:rPr>
          <w:b/>
          <w:bCs/>
          <w:sz w:val="24"/>
        </w:rPr>
        <w:t>（五）本基金的</w:t>
      </w:r>
      <w:r>
        <w:rPr>
          <w:rFonts w:hint="eastAsia"/>
          <w:b/>
          <w:bCs/>
          <w:sz w:val="24"/>
        </w:rPr>
        <w:t>特有</w:t>
      </w:r>
      <w:r>
        <w:rPr>
          <w:b/>
          <w:bCs/>
          <w:sz w:val="24"/>
        </w:rPr>
        <w:t>风险</w:t>
      </w:r>
    </w:p>
    <w:p w14:paraId="3627D0AA" w14:textId="77777777" w:rsidR="00791BDD" w:rsidRDefault="00B75151">
      <w:pPr>
        <w:widowControl/>
        <w:autoSpaceDE w:val="0"/>
        <w:autoSpaceDN w:val="0"/>
        <w:adjustRightInd w:val="0"/>
        <w:snapToGrid w:val="0"/>
        <w:spacing w:line="360" w:lineRule="auto"/>
        <w:ind w:firstLineChars="200" w:firstLine="480"/>
        <w:jc w:val="left"/>
        <w:rPr>
          <w:rFonts w:ascii="宋体" w:hAnsi="宋体" w:cs="宋体"/>
          <w:sz w:val="24"/>
          <w:szCs w:val="24"/>
        </w:rPr>
      </w:pPr>
      <w:r>
        <w:rPr>
          <w:rFonts w:hAnsi="宋体" w:hint="eastAsia"/>
          <w:kern w:val="0"/>
          <w:sz w:val="24"/>
          <w:szCs w:val="24"/>
        </w:rPr>
        <w:t>1</w:t>
      </w:r>
      <w:r>
        <w:rPr>
          <w:rFonts w:hAnsi="宋体" w:hint="eastAsia"/>
          <w:kern w:val="0"/>
          <w:sz w:val="24"/>
          <w:szCs w:val="24"/>
        </w:rPr>
        <w:t>、</w:t>
      </w:r>
      <w:r>
        <w:rPr>
          <w:rFonts w:hAnsi="宋体"/>
          <w:kern w:val="0"/>
          <w:sz w:val="24"/>
          <w:szCs w:val="24"/>
        </w:rPr>
        <w:t>本基金属于</w:t>
      </w:r>
      <w:r>
        <w:rPr>
          <w:rFonts w:hAnsi="宋体" w:hint="eastAsia"/>
          <w:kern w:val="0"/>
          <w:sz w:val="24"/>
          <w:szCs w:val="24"/>
        </w:rPr>
        <w:t>股票</w:t>
      </w:r>
      <w:r>
        <w:rPr>
          <w:rFonts w:hAnsi="宋体"/>
          <w:kern w:val="0"/>
          <w:sz w:val="24"/>
          <w:szCs w:val="24"/>
        </w:rPr>
        <w:t>型基金，</w:t>
      </w:r>
      <w:r>
        <w:rPr>
          <w:rFonts w:hAnsi="宋体" w:hint="eastAsia"/>
          <w:kern w:val="0"/>
          <w:sz w:val="24"/>
          <w:szCs w:val="24"/>
        </w:rPr>
        <w:t>股票投资（含存托凭证）占基金资产的比例不低于</w:t>
      </w:r>
      <w:r>
        <w:rPr>
          <w:rFonts w:hAnsi="宋体"/>
          <w:kern w:val="0"/>
          <w:sz w:val="24"/>
          <w:szCs w:val="24"/>
        </w:rPr>
        <w:t>8</w:t>
      </w:r>
      <w:r>
        <w:rPr>
          <w:rFonts w:hAnsi="宋体" w:hint="eastAsia"/>
          <w:kern w:val="0"/>
          <w:sz w:val="24"/>
          <w:szCs w:val="24"/>
        </w:rPr>
        <w:t>0%</w:t>
      </w:r>
      <w:r>
        <w:rPr>
          <w:rFonts w:hAnsi="宋体" w:hint="eastAsia"/>
          <w:kern w:val="0"/>
          <w:sz w:val="24"/>
          <w:szCs w:val="24"/>
        </w:rPr>
        <w:t>，</w:t>
      </w:r>
      <w:r>
        <w:rPr>
          <w:rFonts w:ascii="宋体" w:hAnsi="宋体" w:cs="宋体" w:hint="eastAsia"/>
          <w:sz w:val="24"/>
          <w:szCs w:val="24"/>
        </w:rPr>
        <w:t>具有对股票市场的系统性风险，不能完全规避市场下跌的风险，在市场大幅上涨时也不能保证基金净值能够完全跟随或超越市场上涨幅度</w:t>
      </w:r>
      <w:r>
        <w:rPr>
          <w:rFonts w:hint="eastAsia"/>
          <w:sz w:val="24"/>
        </w:rPr>
        <w:t>。</w:t>
      </w:r>
    </w:p>
    <w:p w14:paraId="307CE04D"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2</w:t>
      </w:r>
      <w:r>
        <w:rPr>
          <w:rFonts w:hAnsi="宋体" w:hint="eastAsia"/>
          <w:kern w:val="0"/>
          <w:sz w:val="24"/>
          <w:szCs w:val="24"/>
        </w:rPr>
        <w:t>、本基金可投资创业板股票，创业板个股上市后的前五个交易日不设价格涨跌幅限制，第六个交易日开始涨跌幅限制比例为</w:t>
      </w:r>
      <w:r>
        <w:rPr>
          <w:rFonts w:hAnsi="宋体" w:hint="eastAsia"/>
          <w:kern w:val="0"/>
          <w:sz w:val="24"/>
          <w:szCs w:val="24"/>
        </w:rPr>
        <w:t>20%</w:t>
      </w:r>
      <w:r>
        <w:rPr>
          <w:rFonts w:hAnsi="宋体" w:hint="eastAsia"/>
          <w:kern w:val="0"/>
          <w:sz w:val="24"/>
          <w:szCs w:val="24"/>
        </w:rPr>
        <w:t>。</w:t>
      </w:r>
    </w:p>
    <w:p w14:paraId="41B5BBF2" w14:textId="77777777" w:rsidR="00791BDD" w:rsidRDefault="00B75151">
      <w:pPr>
        <w:widowControl/>
        <w:adjustRightInd w:val="0"/>
        <w:snapToGrid w:val="0"/>
        <w:spacing w:line="360" w:lineRule="auto"/>
        <w:ind w:firstLineChars="200" w:firstLine="480"/>
        <w:outlineLvl w:val="1"/>
        <w:rPr>
          <w:bCs/>
          <w:kern w:val="0"/>
          <w:sz w:val="24"/>
          <w:szCs w:val="24"/>
        </w:rPr>
      </w:pPr>
      <w:r>
        <w:rPr>
          <w:rFonts w:hAnsi="宋体" w:hint="eastAsia"/>
          <w:bCs/>
          <w:kern w:val="0"/>
          <w:sz w:val="24"/>
          <w:szCs w:val="24"/>
        </w:rPr>
        <w:t>3</w:t>
      </w:r>
      <w:r>
        <w:rPr>
          <w:rFonts w:hAnsi="宋体" w:hint="eastAsia"/>
          <w:bCs/>
          <w:kern w:val="0"/>
          <w:sz w:val="24"/>
          <w:szCs w:val="24"/>
        </w:rPr>
        <w:t>、投资股指期货的特定风险</w:t>
      </w:r>
    </w:p>
    <w:p w14:paraId="73F801D0" w14:textId="77777777" w:rsidR="00791BDD" w:rsidRDefault="00B75151">
      <w:pPr>
        <w:widowControl/>
        <w:adjustRightInd w:val="0"/>
        <w:snapToGrid w:val="0"/>
        <w:spacing w:line="360" w:lineRule="auto"/>
        <w:ind w:firstLineChars="200" w:firstLine="480"/>
        <w:rPr>
          <w:kern w:val="0"/>
          <w:sz w:val="24"/>
          <w:szCs w:val="24"/>
        </w:rPr>
      </w:pPr>
      <w:r>
        <w:rPr>
          <w:rFonts w:hAnsi="宋体"/>
          <w:kern w:val="0"/>
          <w:sz w:val="24"/>
          <w:szCs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具体为：</w:t>
      </w:r>
    </w:p>
    <w:p w14:paraId="0C6A6CAC" w14:textId="77777777" w:rsidR="00791BDD" w:rsidRDefault="00B75151">
      <w:pPr>
        <w:widowControl/>
        <w:adjustRightInd w:val="0"/>
        <w:snapToGrid w:val="0"/>
        <w:spacing w:line="360" w:lineRule="auto"/>
        <w:ind w:firstLineChars="200" w:firstLine="480"/>
        <w:rPr>
          <w:kern w:val="0"/>
          <w:sz w:val="24"/>
          <w:szCs w:val="24"/>
        </w:rPr>
      </w:pPr>
      <w:r>
        <w:rPr>
          <w:rFonts w:hAnsi="宋体"/>
          <w:kern w:val="0"/>
          <w:sz w:val="24"/>
          <w:szCs w:val="24"/>
        </w:rPr>
        <w:t>（</w:t>
      </w:r>
      <w:r>
        <w:rPr>
          <w:kern w:val="0"/>
          <w:sz w:val="24"/>
          <w:szCs w:val="24"/>
        </w:rPr>
        <w:t>1</w:t>
      </w:r>
      <w:r>
        <w:rPr>
          <w:rFonts w:hAnsi="宋体"/>
          <w:kern w:val="0"/>
          <w:sz w:val="24"/>
          <w:szCs w:val="24"/>
        </w:rPr>
        <w:t>）市场风险是指由于股指期货价格变动而给投资者带来的风险。市场风险是股指期货投资中最主要的风险。</w:t>
      </w:r>
    </w:p>
    <w:p w14:paraId="69D7A95F" w14:textId="77777777" w:rsidR="00791BDD" w:rsidRDefault="00B75151">
      <w:pPr>
        <w:widowControl/>
        <w:adjustRightInd w:val="0"/>
        <w:snapToGrid w:val="0"/>
        <w:spacing w:line="360" w:lineRule="auto"/>
        <w:ind w:firstLineChars="200" w:firstLine="480"/>
        <w:rPr>
          <w:kern w:val="0"/>
          <w:sz w:val="24"/>
          <w:szCs w:val="24"/>
        </w:rPr>
      </w:pPr>
      <w:r>
        <w:rPr>
          <w:rFonts w:hAnsi="宋体"/>
          <w:kern w:val="0"/>
          <w:sz w:val="24"/>
          <w:szCs w:val="24"/>
        </w:rPr>
        <w:t>（</w:t>
      </w:r>
      <w:r>
        <w:rPr>
          <w:kern w:val="0"/>
          <w:sz w:val="24"/>
          <w:szCs w:val="24"/>
        </w:rPr>
        <w:t>2</w:t>
      </w:r>
      <w:r>
        <w:rPr>
          <w:rFonts w:hAnsi="宋体"/>
          <w:kern w:val="0"/>
          <w:sz w:val="24"/>
          <w:szCs w:val="24"/>
        </w:rPr>
        <w:t>）流动性风险是指由于股指期货合约无法及时变现所带来的风险。</w:t>
      </w:r>
    </w:p>
    <w:p w14:paraId="118985C5" w14:textId="77777777" w:rsidR="00791BDD" w:rsidRDefault="00B75151">
      <w:pPr>
        <w:widowControl/>
        <w:adjustRightInd w:val="0"/>
        <w:snapToGrid w:val="0"/>
        <w:spacing w:line="360" w:lineRule="auto"/>
        <w:ind w:firstLineChars="200" w:firstLine="480"/>
        <w:rPr>
          <w:kern w:val="0"/>
          <w:sz w:val="24"/>
          <w:szCs w:val="24"/>
        </w:rPr>
      </w:pPr>
      <w:r>
        <w:rPr>
          <w:rFonts w:hAnsi="宋体"/>
          <w:kern w:val="0"/>
          <w:sz w:val="24"/>
          <w:szCs w:val="24"/>
        </w:rPr>
        <w:t>（</w:t>
      </w:r>
      <w:r>
        <w:rPr>
          <w:kern w:val="0"/>
          <w:sz w:val="24"/>
          <w:szCs w:val="24"/>
        </w:rPr>
        <w:t>3</w:t>
      </w:r>
      <w:r>
        <w:rPr>
          <w:rFonts w:hAnsi="宋体"/>
          <w:kern w:val="0"/>
          <w:sz w:val="24"/>
          <w:szCs w:val="24"/>
        </w:rPr>
        <w:t>）基差风险是指股指期货合约价格和指数价格之间的价格差的波动所造成的风险，以及不同股指期货合约价格之间价格差的波动所造成的期现价差风险。</w:t>
      </w:r>
    </w:p>
    <w:p w14:paraId="63DD8B64" w14:textId="77777777" w:rsidR="00791BDD" w:rsidRDefault="00B75151">
      <w:pPr>
        <w:widowControl/>
        <w:adjustRightInd w:val="0"/>
        <w:snapToGrid w:val="0"/>
        <w:spacing w:line="360" w:lineRule="auto"/>
        <w:ind w:firstLineChars="200" w:firstLine="480"/>
        <w:rPr>
          <w:kern w:val="0"/>
          <w:sz w:val="24"/>
          <w:szCs w:val="24"/>
        </w:rPr>
      </w:pPr>
      <w:r>
        <w:rPr>
          <w:rFonts w:hAnsi="宋体"/>
          <w:kern w:val="0"/>
          <w:sz w:val="24"/>
          <w:szCs w:val="24"/>
        </w:rPr>
        <w:t>（</w:t>
      </w:r>
      <w:r>
        <w:rPr>
          <w:kern w:val="0"/>
          <w:sz w:val="24"/>
          <w:szCs w:val="24"/>
        </w:rPr>
        <w:t>4</w:t>
      </w:r>
      <w:r>
        <w:rPr>
          <w:rFonts w:hAnsi="宋体"/>
          <w:kern w:val="0"/>
          <w:sz w:val="24"/>
          <w:szCs w:val="24"/>
        </w:rPr>
        <w:t>）保证金风险是指由于无法及时筹措资金满足建立或者维持股指期货合约头寸所要求的保证金而带来的风险。</w:t>
      </w:r>
    </w:p>
    <w:p w14:paraId="45395757" w14:textId="77777777" w:rsidR="00791BDD" w:rsidRDefault="00B75151">
      <w:pPr>
        <w:widowControl/>
        <w:adjustRightInd w:val="0"/>
        <w:snapToGrid w:val="0"/>
        <w:spacing w:line="360" w:lineRule="auto"/>
        <w:ind w:firstLineChars="200" w:firstLine="480"/>
        <w:rPr>
          <w:kern w:val="0"/>
          <w:sz w:val="24"/>
          <w:szCs w:val="24"/>
        </w:rPr>
      </w:pPr>
      <w:r>
        <w:rPr>
          <w:rFonts w:hAnsi="宋体"/>
          <w:kern w:val="0"/>
          <w:sz w:val="24"/>
          <w:szCs w:val="24"/>
        </w:rPr>
        <w:t>（</w:t>
      </w:r>
      <w:r>
        <w:rPr>
          <w:kern w:val="0"/>
          <w:sz w:val="24"/>
          <w:szCs w:val="24"/>
        </w:rPr>
        <w:t>5</w:t>
      </w:r>
      <w:r>
        <w:rPr>
          <w:rFonts w:hAnsi="宋体"/>
          <w:kern w:val="0"/>
          <w:sz w:val="24"/>
          <w:szCs w:val="24"/>
        </w:rPr>
        <w:t>）信用风险是指期货经纪公司违约而产生损失的风险。</w:t>
      </w:r>
    </w:p>
    <w:p w14:paraId="43D8808B" w14:textId="77777777" w:rsidR="00791BDD" w:rsidRDefault="00B75151">
      <w:pPr>
        <w:widowControl/>
        <w:adjustRightInd w:val="0"/>
        <w:snapToGrid w:val="0"/>
        <w:spacing w:line="360" w:lineRule="auto"/>
        <w:ind w:firstLineChars="200" w:firstLine="480"/>
        <w:rPr>
          <w:kern w:val="0"/>
          <w:sz w:val="24"/>
          <w:szCs w:val="24"/>
        </w:rPr>
      </w:pPr>
      <w:r>
        <w:rPr>
          <w:rFonts w:hAnsi="宋体"/>
          <w:kern w:val="0"/>
          <w:sz w:val="24"/>
          <w:szCs w:val="24"/>
        </w:rPr>
        <w:t>（</w:t>
      </w:r>
      <w:r>
        <w:rPr>
          <w:kern w:val="0"/>
          <w:sz w:val="24"/>
          <w:szCs w:val="24"/>
        </w:rPr>
        <w:t>6</w:t>
      </w:r>
      <w:r>
        <w:rPr>
          <w:rFonts w:hAnsi="宋体"/>
          <w:kern w:val="0"/>
          <w:sz w:val="24"/>
          <w:szCs w:val="24"/>
        </w:rPr>
        <w:t>）操作风险是指由于内部流程的不完善，业务人员出现差错或者疏漏，或者系统出现故障等原因造成损失的风险。</w:t>
      </w:r>
    </w:p>
    <w:p w14:paraId="63C82977" w14:textId="77777777" w:rsidR="00791BDD" w:rsidRDefault="00B75151">
      <w:pPr>
        <w:widowControl/>
        <w:adjustRightInd w:val="0"/>
        <w:snapToGrid w:val="0"/>
        <w:spacing w:line="360" w:lineRule="auto"/>
        <w:ind w:firstLineChars="200" w:firstLine="480"/>
        <w:rPr>
          <w:kern w:val="0"/>
          <w:sz w:val="24"/>
          <w:szCs w:val="24"/>
        </w:rPr>
      </w:pPr>
      <w:r>
        <w:rPr>
          <w:rFonts w:hAnsi="宋体"/>
          <w:kern w:val="0"/>
          <w:sz w:val="24"/>
          <w:szCs w:val="24"/>
        </w:rPr>
        <w:t>此外，由于衍生品通常具有杠杆效应，价格波动比标的工具更为剧烈，并且其定价相当复杂，不适当的估值也有可能使基金资产面临损失风险。</w:t>
      </w:r>
    </w:p>
    <w:p w14:paraId="10EB9353" w14:textId="77777777" w:rsidR="00791BDD" w:rsidRDefault="00B75151">
      <w:pPr>
        <w:widowControl/>
        <w:adjustRightInd w:val="0"/>
        <w:snapToGrid w:val="0"/>
        <w:spacing w:line="360" w:lineRule="auto"/>
        <w:ind w:firstLineChars="200" w:firstLine="480"/>
        <w:outlineLvl w:val="1"/>
        <w:rPr>
          <w:rFonts w:hAnsi="宋体"/>
          <w:bCs/>
          <w:kern w:val="0"/>
          <w:sz w:val="24"/>
          <w:szCs w:val="24"/>
        </w:rPr>
      </w:pPr>
      <w:r>
        <w:rPr>
          <w:rFonts w:hAnsi="宋体" w:hint="eastAsia"/>
          <w:bCs/>
          <w:kern w:val="0"/>
          <w:sz w:val="24"/>
          <w:szCs w:val="24"/>
        </w:rPr>
        <w:t>4</w:t>
      </w:r>
      <w:r>
        <w:rPr>
          <w:rFonts w:hAnsi="宋体" w:hint="eastAsia"/>
          <w:bCs/>
          <w:kern w:val="0"/>
          <w:sz w:val="24"/>
          <w:szCs w:val="24"/>
        </w:rPr>
        <w:t>、投资资产支持证券的特定风险</w:t>
      </w:r>
    </w:p>
    <w:p w14:paraId="387F8981"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14:paraId="0FCAF61A" w14:textId="77777777" w:rsidR="00791BDD" w:rsidRDefault="00B75151">
      <w:pPr>
        <w:widowControl/>
        <w:adjustRightInd w:val="0"/>
        <w:snapToGrid w:val="0"/>
        <w:spacing w:line="360" w:lineRule="auto"/>
        <w:ind w:firstLineChars="200" w:firstLine="480"/>
        <w:outlineLvl w:val="1"/>
        <w:rPr>
          <w:rFonts w:hAnsi="宋体"/>
          <w:bCs/>
          <w:kern w:val="0"/>
          <w:sz w:val="24"/>
          <w:szCs w:val="24"/>
        </w:rPr>
      </w:pPr>
      <w:r>
        <w:rPr>
          <w:rFonts w:hAnsi="宋体" w:hint="eastAsia"/>
          <w:bCs/>
          <w:kern w:val="0"/>
          <w:sz w:val="24"/>
          <w:szCs w:val="24"/>
        </w:rPr>
        <w:t>5</w:t>
      </w:r>
      <w:r>
        <w:rPr>
          <w:rFonts w:hAnsi="宋体" w:hint="eastAsia"/>
          <w:bCs/>
          <w:kern w:val="0"/>
          <w:sz w:val="24"/>
          <w:szCs w:val="24"/>
        </w:rPr>
        <w:t>、投资流通受限证券的特定风险</w:t>
      </w:r>
    </w:p>
    <w:p w14:paraId="78500DEC"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本基金若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14:paraId="323305B4" w14:textId="77777777" w:rsidR="00791BDD" w:rsidRDefault="00B75151">
      <w:pPr>
        <w:adjustRightInd w:val="0"/>
        <w:snapToGrid w:val="0"/>
        <w:spacing w:line="360" w:lineRule="auto"/>
        <w:ind w:firstLine="482"/>
        <w:outlineLvl w:val="1"/>
        <w:rPr>
          <w:sz w:val="24"/>
        </w:rPr>
      </w:pPr>
      <w:r>
        <w:rPr>
          <w:rFonts w:hint="eastAsia"/>
          <w:sz w:val="24"/>
        </w:rPr>
        <w:t>6</w:t>
      </w:r>
      <w:r>
        <w:rPr>
          <w:rFonts w:hint="eastAsia"/>
          <w:sz w:val="24"/>
        </w:rPr>
        <w:t>、投资港股通标的股票的特定风险</w:t>
      </w:r>
    </w:p>
    <w:p w14:paraId="6A6EA4AD"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本基金可投资港股通标的股票，会面临港股通机制下因投资环境、投资标的、市场制度以及交易规则等差异带来的特有风险，具体如下：</w:t>
      </w:r>
    </w:p>
    <w:p w14:paraId="31B07C55"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hint="eastAsia"/>
          <w:kern w:val="0"/>
          <w:sz w:val="24"/>
          <w:szCs w:val="24"/>
        </w:rPr>
        <w:t>1</w:t>
      </w:r>
      <w:r>
        <w:rPr>
          <w:rFonts w:hAnsi="宋体" w:hint="eastAsia"/>
          <w:kern w:val="0"/>
          <w:sz w:val="24"/>
          <w:szCs w:val="24"/>
        </w:rPr>
        <w:t>）港股交易失败风险</w:t>
      </w:r>
    </w:p>
    <w:p w14:paraId="5A9E898A"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港股通业务目前存在每日额度。在香港联合交易所开市前阶段，当日额度使用完毕的，新增的买单申报将面临失败的风险；在香港联合交易所持续交易时段，当日额度使用完毕的，当日本基金将面临不能通过港股通进行买入交易的风险。</w:t>
      </w:r>
    </w:p>
    <w:p w14:paraId="0F0F69F9"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hint="eastAsia"/>
          <w:kern w:val="0"/>
          <w:sz w:val="24"/>
          <w:szCs w:val="24"/>
        </w:rPr>
        <w:t>2</w:t>
      </w:r>
      <w:r>
        <w:rPr>
          <w:rFonts w:hAnsi="宋体" w:hint="eastAsia"/>
          <w:kern w:val="0"/>
          <w:sz w:val="24"/>
          <w:szCs w:val="24"/>
        </w:rPr>
        <w:t>）汇率风险</w:t>
      </w:r>
    </w:p>
    <w:p w14:paraId="5D612C14"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本基金将投资港股通标的股票，在交易时间内提交订单依据的港币买入参考汇率和卖出参考汇率，并不等于最终结算汇率。港股通交易日日终，中国证券登记结算有限责任公司进行净额换汇，将换汇成本按成交金额分摊至每笔交易，确定交易实际适用的结算汇率。</w:t>
      </w:r>
    </w:p>
    <w:p w14:paraId="73E4E510"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本基金以人民币募集和计价，港币相对于人民币的汇率变化将会影响本基金以人民币计价的基金资产价值，从而导致基金资产面临潜在风险。人民币对港币的汇率的波动也可能加大基金净值的波动，从而对基金业绩产生影响。故本基金投资面临汇率风险，汇率波动可能对基金的投资收益造成损失。</w:t>
      </w:r>
    </w:p>
    <w:p w14:paraId="2F3482EF"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hint="eastAsia"/>
          <w:kern w:val="0"/>
          <w:sz w:val="24"/>
          <w:szCs w:val="24"/>
        </w:rPr>
        <w:t>3</w:t>
      </w:r>
      <w:r>
        <w:rPr>
          <w:rFonts w:hAnsi="宋体" w:hint="eastAsia"/>
          <w:kern w:val="0"/>
          <w:sz w:val="24"/>
          <w:szCs w:val="24"/>
        </w:rPr>
        <w:t>）境外市场的风险</w:t>
      </w:r>
    </w:p>
    <w:p w14:paraId="0C8FE8DD"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1</w:t>
      </w:r>
      <w:r>
        <w:rPr>
          <w:rFonts w:hAnsi="宋体" w:hint="eastAsia"/>
          <w:kern w:val="0"/>
          <w:sz w:val="24"/>
          <w:szCs w:val="24"/>
        </w:rPr>
        <w:t>）本基金将通过港股通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14:paraId="07E51831"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2</w:t>
      </w:r>
      <w:r>
        <w:rPr>
          <w:rFonts w:hAnsi="宋体" w:hint="eastAsia"/>
          <w:kern w:val="0"/>
          <w:sz w:val="24"/>
          <w:szCs w:val="24"/>
        </w:rPr>
        <w:t>）香港市场交易规则有别于内地</w:t>
      </w:r>
      <w:r>
        <w:rPr>
          <w:rFonts w:hAnsi="宋体" w:hint="eastAsia"/>
          <w:kern w:val="0"/>
          <w:sz w:val="24"/>
          <w:szCs w:val="24"/>
        </w:rPr>
        <w:t>A</w:t>
      </w:r>
      <w:r>
        <w:rPr>
          <w:rFonts w:hAnsi="宋体" w:hint="eastAsia"/>
          <w:kern w:val="0"/>
          <w:sz w:val="24"/>
          <w:szCs w:val="24"/>
        </w:rPr>
        <w:t>股市场规则，此外，在“内地与香港股票市场交易互联互通机制”下参与香港股票投资还将面临包括但不限于如下特殊风险：</w:t>
      </w:r>
    </w:p>
    <w:p w14:paraId="7ADDC239"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a</w:t>
      </w:r>
      <w:r>
        <w:rPr>
          <w:rFonts w:hAnsi="宋体" w:hint="eastAsia"/>
          <w:kern w:val="0"/>
          <w:sz w:val="24"/>
          <w:szCs w:val="24"/>
        </w:rPr>
        <w:t>）香港市场实行</w:t>
      </w:r>
      <w:r>
        <w:rPr>
          <w:rFonts w:hAnsi="宋体" w:hint="eastAsia"/>
          <w:kern w:val="0"/>
          <w:sz w:val="24"/>
          <w:szCs w:val="24"/>
        </w:rPr>
        <w:t>T+0</w:t>
      </w:r>
      <w:r>
        <w:rPr>
          <w:rFonts w:hAnsi="宋体" w:hint="eastAsia"/>
          <w:kern w:val="0"/>
          <w:sz w:val="24"/>
          <w:szCs w:val="24"/>
        </w:rPr>
        <w:t>回转交易机制（即当日买入的股票，在交收前可以于当日卖出），且证券交易价格并无涨跌幅上下限的规定，因此每日涨跌幅空间相对较大，可能表现出比</w:t>
      </w:r>
      <w:r>
        <w:rPr>
          <w:rFonts w:hAnsi="宋体" w:hint="eastAsia"/>
          <w:kern w:val="0"/>
          <w:sz w:val="24"/>
          <w:szCs w:val="24"/>
        </w:rPr>
        <w:t>A</w:t>
      </w:r>
      <w:r>
        <w:rPr>
          <w:rFonts w:hAnsi="宋体" w:hint="eastAsia"/>
          <w:kern w:val="0"/>
          <w:sz w:val="24"/>
          <w:szCs w:val="24"/>
        </w:rPr>
        <w:t>股更为剧烈的股价波动；</w:t>
      </w:r>
    </w:p>
    <w:p w14:paraId="28710E47"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b</w:t>
      </w:r>
      <w:r>
        <w:rPr>
          <w:rFonts w:hAnsi="宋体" w:hint="eastAsia"/>
          <w:kern w:val="0"/>
          <w:sz w:val="24"/>
          <w:szCs w:val="24"/>
        </w:rPr>
        <w:t>）只有沪港深三地均为交易日且能够满足结算安排的交易日才为港股通交易日，存在港股通交易日不连贯的情形（如内地市场因放假等原因休市而香港市场照常交易或内地市场开市香港市场休市但港股通不能如常进行交易），而导致港股不能及时卖出带来一定的流动性风险；以及基金所持的港股组合在后续港股通交易日开市交易中集中体现市场反应而造成其价格波动骤然增大，进而导致本基金所持港股组合在资产估值上出现波动增大的风险；</w:t>
      </w:r>
    </w:p>
    <w:p w14:paraId="143D8027"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c</w:t>
      </w:r>
      <w:r>
        <w:rPr>
          <w:rFonts w:hAnsi="宋体" w:hint="eastAsia"/>
          <w:kern w:val="0"/>
          <w:sz w:val="24"/>
          <w:szCs w:val="24"/>
        </w:rPr>
        <w:t>）香港出现香港联合交易所规定的相关情形时，香港联合交易所将可能停市，本基金将面临在停市期间无法进行港股通交易的风险；出现内地证券交易服务公司认定的交易异常情况时，内地证券交易服务公司将可能暂停提供部分或者全部港股通服务，本基金将面临在暂停服务期间无法进行港股通交易的风险；</w:t>
      </w:r>
    </w:p>
    <w:p w14:paraId="166A2127"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d</w:t>
      </w:r>
      <w:r>
        <w:rPr>
          <w:rFonts w:hAnsi="宋体" w:hint="eastAsia"/>
          <w:kern w:val="0"/>
          <w:sz w:val="24"/>
          <w:szCs w:val="24"/>
        </w:rPr>
        <w:t>）投资者因港股通股票权益分派、转换、上市公司被收购等情形或者异常情况，所取得的港股通股票以外的香港联合交易所上市证券，只能通过港股通卖出，但不得买入，内地证券交易服务公司另有规定的除外；因港股通股票发行人供股、港股通股票权益分派或者转换等情形取得的香港联合交易所上市股票的认购权利凭证在香港联合交易所上市的，可以通过港股通卖出，但不得买入，其行权等事宜按照中国证监会、中国证券登记结算有限责任公司的相关规定处理；因港股通股票权益分派、转换或者上市公司被收购等所取得的非香港联合交易所上市证券，不得通过港股通买入或卖出；</w:t>
      </w:r>
    </w:p>
    <w:p w14:paraId="00868580"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e</w:t>
      </w:r>
      <w:r>
        <w:rPr>
          <w:rFonts w:hAnsi="宋体" w:hint="eastAsia"/>
          <w:kern w:val="0"/>
          <w:sz w:val="24"/>
          <w:szCs w:val="24"/>
        </w:rPr>
        <w:t>）代理投票。由于中国证券登记结算有限责任公司是在汇总投资者意愿后再向香港中央结算有限公司提交投票意愿，中国证券登记结算有限责任公司对投资者设定的意愿征集期比香港中央结算有限公司的征集期稍早结束；投票没有权益登记日的，以投票截止日的持有作为计算基准；投票数量超出持有数量的，按照比例分配持有基数。</w:t>
      </w:r>
    </w:p>
    <w:p w14:paraId="43BC390C"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hint="eastAsia"/>
          <w:kern w:val="0"/>
          <w:sz w:val="24"/>
          <w:szCs w:val="24"/>
        </w:rPr>
        <w:t>4</w:t>
      </w:r>
      <w:r>
        <w:rPr>
          <w:rFonts w:hAnsi="宋体" w:hint="eastAsia"/>
          <w:kern w:val="0"/>
          <w:sz w:val="24"/>
          <w:szCs w:val="24"/>
        </w:rPr>
        <w:t>）本基金可根据投资策略需要或不同配置地市场环境的变化，选择将部分基金资产投资于港股通标的股票或选择不将基金资产投资于港股通标的股票，基金资产并非必然投资港股通标的股票。</w:t>
      </w:r>
    </w:p>
    <w:p w14:paraId="26E54805"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以上所述因素可能会给本基金投资带来特殊交易风险。</w:t>
      </w:r>
    </w:p>
    <w:p w14:paraId="4508B1C5" w14:textId="77777777" w:rsidR="00791BDD" w:rsidRDefault="00B75151">
      <w:pPr>
        <w:widowControl/>
        <w:adjustRightInd w:val="0"/>
        <w:snapToGrid w:val="0"/>
        <w:spacing w:line="360" w:lineRule="auto"/>
        <w:outlineLvl w:val="1"/>
        <w:rPr>
          <w:rFonts w:hAnsi="宋体"/>
          <w:kern w:val="0"/>
          <w:sz w:val="24"/>
          <w:szCs w:val="24"/>
        </w:rPr>
      </w:pPr>
      <w:r>
        <w:rPr>
          <w:rFonts w:hAnsi="宋体"/>
          <w:kern w:val="0"/>
          <w:sz w:val="24"/>
          <w:szCs w:val="24"/>
        </w:rPr>
        <w:tab/>
      </w:r>
      <w:r>
        <w:rPr>
          <w:rFonts w:hAnsi="宋体" w:hint="eastAsia"/>
          <w:kern w:val="0"/>
          <w:sz w:val="24"/>
          <w:szCs w:val="24"/>
        </w:rPr>
        <w:t>7</w:t>
      </w:r>
      <w:r>
        <w:rPr>
          <w:rFonts w:hAnsi="宋体" w:hint="eastAsia"/>
          <w:kern w:val="0"/>
          <w:sz w:val="24"/>
          <w:szCs w:val="24"/>
        </w:rPr>
        <w:t>、投资存托凭证的特定风险</w:t>
      </w:r>
    </w:p>
    <w:p w14:paraId="7998B71E" w14:textId="77777777" w:rsidR="00791BDD" w:rsidRDefault="00B75151">
      <w:pPr>
        <w:widowControl/>
        <w:adjustRightInd w:val="0"/>
        <w:snapToGrid w:val="0"/>
        <w:spacing w:line="360" w:lineRule="auto"/>
        <w:ind w:firstLineChars="200" w:firstLine="480"/>
        <w:rPr>
          <w:rFonts w:hAnsi="宋体"/>
          <w:bCs/>
          <w:kern w:val="0"/>
          <w:sz w:val="24"/>
          <w:szCs w:val="24"/>
        </w:rPr>
      </w:pPr>
      <w:r>
        <w:rPr>
          <w:rFonts w:hAnsi="宋体" w:hint="eastAsia"/>
          <w:bCs/>
          <w:kern w:val="0"/>
          <w:sz w:val="24"/>
          <w:szCs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w:t>
      </w:r>
    </w:p>
    <w:p w14:paraId="72B5F0F5" w14:textId="77777777" w:rsidR="00791BDD" w:rsidRDefault="00B75151">
      <w:pPr>
        <w:widowControl/>
        <w:adjustRightInd w:val="0"/>
        <w:snapToGrid w:val="0"/>
        <w:spacing w:line="360" w:lineRule="auto"/>
        <w:ind w:firstLineChars="200" w:firstLine="480"/>
        <w:rPr>
          <w:rFonts w:hAnsi="宋体"/>
          <w:bCs/>
          <w:kern w:val="0"/>
          <w:sz w:val="24"/>
          <w:szCs w:val="24"/>
        </w:rPr>
      </w:pPr>
      <w:r>
        <w:rPr>
          <w:rFonts w:hAnsi="宋体" w:hint="eastAsia"/>
          <w:bCs/>
          <w:kern w:val="0"/>
          <w:sz w:val="24"/>
          <w:szCs w:val="24"/>
        </w:rPr>
        <w:t>具体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14:paraId="48E9D8F8" w14:textId="77777777" w:rsidR="00791BDD" w:rsidRDefault="00B75151">
      <w:pPr>
        <w:widowControl/>
        <w:adjustRightInd w:val="0"/>
        <w:snapToGrid w:val="0"/>
        <w:spacing w:line="360" w:lineRule="auto"/>
        <w:ind w:firstLineChars="200" w:firstLine="480"/>
        <w:rPr>
          <w:rFonts w:hAnsi="宋体"/>
          <w:kern w:val="0"/>
          <w:sz w:val="24"/>
          <w:szCs w:val="24"/>
        </w:rPr>
      </w:pPr>
      <w:r>
        <w:rPr>
          <w:rFonts w:hAnsi="宋体" w:hint="eastAsia"/>
          <w:bCs/>
          <w:kern w:val="0"/>
          <w:sz w:val="24"/>
          <w:szCs w:val="24"/>
        </w:rPr>
        <w:t>本基金可根据投资策略需要或市场环境的变化，选择将部分基金资产投资于存托凭证或选择不将基金资产投资于存托凭证，基金资产并非必然投资存托凭证。</w:t>
      </w:r>
    </w:p>
    <w:p w14:paraId="4E358692" w14:textId="77777777" w:rsidR="00791BDD" w:rsidRDefault="00B75151">
      <w:pPr>
        <w:widowControl/>
        <w:adjustRightInd w:val="0"/>
        <w:snapToGrid w:val="0"/>
        <w:spacing w:line="360" w:lineRule="auto"/>
        <w:ind w:firstLineChars="200" w:firstLine="480"/>
        <w:outlineLvl w:val="1"/>
        <w:rPr>
          <w:rFonts w:hAnsi="宋体"/>
          <w:bCs/>
          <w:kern w:val="0"/>
          <w:sz w:val="24"/>
          <w:szCs w:val="24"/>
        </w:rPr>
      </w:pPr>
      <w:r>
        <w:rPr>
          <w:rFonts w:hAnsi="宋体" w:hint="eastAsia"/>
          <w:bCs/>
          <w:kern w:val="0"/>
          <w:sz w:val="24"/>
          <w:szCs w:val="24"/>
        </w:rPr>
        <w:t>8</w:t>
      </w:r>
      <w:r>
        <w:rPr>
          <w:rFonts w:hAnsi="宋体" w:hint="eastAsia"/>
          <w:bCs/>
          <w:kern w:val="0"/>
          <w:sz w:val="24"/>
          <w:szCs w:val="24"/>
        </w:rPr>
        <w:t>、投资科创板股票的特定风险</w:t>
      </w:r>
    </w:p>
    <w:p w14:paraId="76787F21" w14:textId="77777777" w:rsidR="00791BDD" w:rsidRDefault="00B75151">
      <w:pPr>
        <w:widowControl/>
        <w:adjustRightInd w:val="0"/>
        <w:snapToGrid w:val="0"/>
        <w:spacing w:line="360" w:lineRule="auto"/>
        <w:ind w:firstLineChars="200" w:firstLine="480"/>
        <w:outlineLvl w:val="1"/>
        <w:rPr>
          <w:rFonts w:hAnsi="宋体"/>
          <w:bCs/>
          <w:kern w:val="0"/>
          <w:sz w:val="24"/>
          <w:szCs w:val="24"/>
        </w:rPr>
      </w:pPr>
      <w:r>
        <w:rPr>
          <w:rFonts w:hAnsi="宋体" w:hint="eastAsia"/>
          <w:bCs/>
          <w:kern w:val="0"/>
          <w:sz w:val="24"/>
          <w:szCs w:val="24"/>
        </w:rPr>
        <w:t>本基金可根据投资策略需要或市场环境的变化，选择将部分基金资产投资于科创板股票或选择不将基金资产投资于科创板股票，基金资产并非必然投资于科创板股票。基金资产投资于科创板股票，会面临科创板机制下因投资标的、市场制度以及交易规则等差异带来的特有风险，包括但不限于市场风险、流动性风险、退市风险、系统性风险、政策风险等。</w:t>
      </w:r>
    </w:p>
    <w:p w14:paraId="07B20B01" w14:textId="77777777" w:rsidR="00791BDD" w:rsidRDefault="00B75151">
      <w:pPr>
        <w:widowControl/>
        <w:adjustRightInd w:val="0"/>
        <w:snapToGrid w:val="0"/>
        <w:spacing w:line="360" w:lineRule="auto"/>
        <w:ind w:firstLineChars="200" w:firstLine="480"/>
        <w:outlineLvl w:val="1"/>
        <w:rPr>
          <w:rFonts w:hAnsi="宋体"/>
          <w:bCs/>
          <w:kern w:val="0"/>
          <w:sz w:val="24"/>
          <w:szCs w:val="24"/>
        </w:rPr>
      </w:pPr>
      <w:r>
        <w:rPr>
          <w:rFonts w:hAnsi="宋体" w:hint="eastAsia"/>
          <w:bCs/>
          <w:kern w:val="0"/>
          <w:sz w:val="24"/>
          <w:szCs w:val="24"/>
        </w:rPr>
        <w:t>（</w:t>
      </w:r>
      <w:r>
        <w:rPr>
          <w:rFonts w:hAnsi="宋体" w:hint="eastAsia"/>
          <w:bCs/>
          <w:kern w:val="0"/>
          <w:sz w:val="24"/>
          <w:szCs w:val="24"/>
        </w:rPr>
        <w:t>1</w:t>
      </w:r>
      <w:r>
        <w:rPr>
          <w:rFonts w:hAnsi="宋体" w:hint="eastAsia"/>
          <w:bCs/>
          <w:kern w:val="0"/>
          <w:sz w:val="24"/>
          <w:szCs w:val="24"/>
        </w:rPr>
        <w:t>）市场风险</w:t>
      </w:r>
    </w:p>
    <w:p w14:paraId="545CDC23" w14:textId="77777777" w:rsidR="00791BDD" w:rsidRDefault="00B75151">
      <w:pPr>
        <w:widowControl/>
        <w:adjustRightInd w:val="0"/>
        <w:snapToGrid w:val="0"/>
        <w:spacing w:line="360" w:lineRule="auto"/>
        <w:ind w:firstLineChars="200" w:firstLine="480"/>
        <w:outlineLvl w:val="1"/>
        <w:rPr>
          <w:rFonts w:hAnsi="宋体"/>
          <w:bCs/>
          <w:kern w:val="0"/>
          <w:sz w:val="24"/>
          <w:szCs w:val="24"/>
        </w:rPr>
      </w:pPr>
      <w:r>
        <w:rPr>
          <w:rFonts w:hAnsi="宋体" w:hint="eastAsia"/>
          <w:bCs/>
          <w:kern w:val="0"/>
          <w:sz w:val="24"/>
          <w:szCs w:val="24"/>
        </w:rPr>
        <w:t>科创板个股集中来自新一代信息技术、高端装备、新材料、新能源、节能环保及生物医药等高新技术和战略新兴产业领域。大多数企业为初创型公司，企业未来盈利、现金流、估值均存在不确定性，与传统二级市场投资存在差异，整体投资难度加大，个股市场风险加大。</w:t>
      </w:r>
    </w:p>
    <w:p w14:paraId="0975FC17" w14:textId="77777777" w:rsidR="00791BDD" w:rsidRDefault="00B75151">
      <w:pPr>
        <w:widowControl/>
        <w:adjustRightInd w:val="0"/>
        <w:snapToGrid w:val="0"/>
        <w:spacing w:line="360" w:lineRule="auto"/>
        <w:ind w:firstLineChars="200" w:firstLine="480"/>
        <w:outlineLvl w:val="1"/>
        <w:rPr>
          <w:rFonts w:hAnsi="宋体"/>
          <w:bCs/>
          <w:kern w:val="0"/>
          <w:sz w:val="24"/>
          <w:szCs w:val="24"/>
        </w:rPr>
      </w:pPr>
      <w:r>
        <w:rPr>
          <w:rFonts w:hAnsi="宋体" w:hint="eastAsia"/>
          <w:bCs/>
          <w:kern w:val="0"/>
          <w:sz w:val="24"/>
          <w:szCs w:val="24"/>
        </w:rPr>
        <w:t>科创板个股上市后的前五个交易日无涨跌停限制，其后涨跌幅限制为</w:t>
      </w:r>
      <w:r>
        <w:rPr>
          <w:rFonts w:hAnsi="宋体" w:hint="eastAsia"/>
          <w:bCs/>
          <w:kern w:val="0"/>
          <w:sz w:val="24"/>
          <w:szCs w:val="24"/>
        </w:rPr>
        <w:t>20%</w:t>
      </w:r>
      <w:r>
        <w:rPr>
          <w:rFonts w:hAnsi="宋体" w:hint="eastAsia"/>
          <w:bCs/>
          <w:kern w:val="0"/>
          <w:sz w:val="24"/>
          <w:szCs w:val="24"/>
        </w:rPr>
        <w:t>，科创板股票上市首日即可作为融资融券标的，可能导致较大的股票价格波动。</w:t>
      </w:r>
    </w:p>
    <w:p w14:paraId="0E54BBE0" w14:textId="77777777" w:rsidR="00791BDD" w:rsidRDefault="00B75151">
      <w:pPr>
        <w:widowControl/>
        <w:adjustRightInd w:val="0"/>
        <w:snapToGrid w:val="0"/>
        <w:spacing w:line="360" w:lineRule="auto"/>
        <w:ind w:firstLineChars="200" w:firstLine="480"/>
        <w:outlineLvl w:val="1"/>
        <w:rPr>
          <w:rFonts w:hAnsi="宋体"/>
          <w:bCs/>
          <w:kern w:val="0"/>
          <w:sz w:val="24"/>
          <w:szCs w:val="24"/>
        </w:rPr>
      </w:pPr>
      <w:r>
        <w:rPr>
          <w:rFonts w:hAnsi="宋体" w:hint="eastAsia"/>
          <w:bCs/>
          <w:kern w:val="0"/>
          <w:sz w:val="24"/>
          <w:szCs w:val="24"/>
        </w:rPr>
        <w:t>（</w:t>
      </w:r>
      <w:r>
        <w:rPr>
          <w:rFonts w:hAnsi="宋体" w:hint="eastAsia"/>
          <w:bCs/>
          <w:kern w:val="0"/>
          <w:sz w:val="24"/>
          <w:szCs w:val="24"/>
        </w:rPr>
        <w:t>2</w:t>
      </w:r>
      <w:r>
        <w:rPr>
          <w:rFonts w:hAnsi="宋体" w:hint="eastAsia"/>
          <w:bCs/>
          <w:kern w:val="0"/>
          <w:sz w:val="24"/>
          <w:szCs w:val="24"/>
        </w:rPr>
        <w:t>）流动性风险</w:t>
      </w:r>
    </w:p>
    <w:p w14:paraId="63B838B8" w14:textId="77777777" w:rsidR="00791BDD" w:rsidRDefault="00B75151">
      <w:pPr>
        <w:widowControl/>
        <w:adjustRightInd w:val="0"/>
        <w:snapToGrid w:val="0"/>
        <w:spacing w:line="360" w:lineRule="auto"/>
        <w:ind w:firstLineChars="200" w:firstLine="480"/>
        <w:outlineLvl w:val="1"/>
        <w:rPr>
          <w:rFonts w:hAnsi="宋体"/>
          <w:bCs/>
          <w:kern w:val="0"/>
          <w:sz w:val="24"/>
          <w:szCs w:val="24"/>
        </w:rPr>
      </w:pPr>
      <w:r>
        <w:rPr>
          <w:rFonts w:hAnsi="宋体" w:hint="eastAsia"/>
          <w:bCs/>
          <w:kern w:val="0"/>
          <w:sz w:val="24"/>
          <w:szCs w:val="24"/>
        </w:rPr>
        <w:t>科创板整体投资门槛较高，二级市场上个人投资者参与度相对较低，机构持有个股大量流通盘导致个股流动性较差，基金组合存在无法及时变现及其他相关流动性风险。</w:t>
      </w:r>
    </w:p>
    <w:p w14:paraId="2D64DB76" w14:textId="77777777" w:rsidR="00791BDD" w:rsidRDefault="00B75151">
      <w:pPr>
        <w:widowControl/>
        <w:adjustRightInd w:val="0"/>
        <w:snapToGrid w:val="0"/>
        <w:spacing w:line="360" w:lineRule="auto"/>
        <w:ind w:firstLineChars="200" w:firstLine="480"/>
        <w:outlineLvl w:val="1"/>
        <w:rPr>
          <w:rFonts w:hAnsi="宋体"/>
          <w:bCs/>
          <w:kern w:val="0"/>
          <w:sz w:val="24"/>
          <w:szCs w:val="24"/>
        </w:rPr>
      </w:pPr>
      <w:r>
        <w:rPr>
          <w:rFonts w:hAnsi="宋体" w:hint="eastAsia"/>
          <w:bCs/>
          <w:kern w:val="0"/>
          <w:sz w:val="24"/>
          <w:szCs w:val="24"/>
        </w:rPr>
        <w:t>（</w:t>
      </w:r>
      <w:r>
        <w:rPr>
          <w:rFonts w:hAnsi="宋体" w:hint="eastAsia"/>
          <w:bCs/>
          <w:kern w:val="0"/>
          <w:sz w:val="24"/>
          <w:szCs w:val="24"/>
        </w:rPr>
        <w:t>3</w:t>
      </w:r>
      <w:r>
        <w:rPr>
          <w:rFonts w:hAnsi="宋体" w:hint="eastAsia"/>
          <w:bCs/>
          <w:kern w:val="0"/>
          <w:sz w:val="24"/>
          <w:szCs w:val="24"/>
        </w:rPr>
        <w:t>）退市风险</w:t>
      </w:r>
    </w:p>
    <w:p w14:paraId="114417EF" w14:textId="77777777" w:rsidR="00791BDD" w:rsidRDefault="00B75151">
      <w:pPr>
        <w:widowControl/>
        <w:adjustRightInd w:val="0"/>
        <w:snapToGrid w:val="0"/>
        <w:spacing w:line="360" w:lineRule="auto"/>
        <w:ind w:firstLineChars="200" w:firstLine="480"/>
        <w:outlineLvl w:val="1"/>
        <w:rPr>
          <w:rFonts w:hAnsi="宋体"/>
          <w:bCs/>
          <w:kern w:val="0"/>
          <w:sz w:val="24"/>
          <w:szCs w:val="24"/>
        </w:rPr>
      </w:pPr>
      <w:r>
        <w:rPr>
          <w:rFonts w:hAnsi="宋体" w:hint="eastAsia"/>
          <w:bCs/>
          <w:kern w:val="0"/>
          <w:sz w:val="24"/>
          <w:szCs w:val="24"/>
        </w:rPr>
        <w:t>科创板退市制度较主板更为严格，且不再设置暂停上市、恢复上市和重新上市环节，上市公司退市风险更大。</w:t>
      </w:r>
    </w:p>
    <w:p w14:paraId="7C56EC09" w14:textId="77777777" w:rsidR="00791BDD" w:rsidRDefault="00B75151">
      <w:pPr>
        <w:widowControl/>
        <w:adjustRightInd w:val="0"/>
        <w:snapToGrid w:val="0"/>
        <w:spacing w:line="360" w:lineRule="auto"/>
        <w:ind w:firstLineChars="200" w:firstLine="480"/>
        <w:outlineLvl w:val="1"/>
        <w:rPr>
          <w:rFonts w:hAnsi="宋体"/>
          <w:bCs/>
          <w:kern w:val="0"/>
          <w:sz w:val="24"/>
          <w:szCs w:val="24"/>
        </w:rPr>
      </w:pPr>
      <w:r>
        <w:rPr>
          <w:rFonts w:hAnsi="宋体" w:hint="eastAsia"/>
          <w:bCs/>
          <w:kern w:val="0"/>
          <w:sz w:val="24"/>
          <w:szCs w:val="24"/>
        </w:rPr>
        <w:t>（</w:t>
      </w:r>
      <w:r>
        <w:rPr>
          <w:rFonts w:hAnsi="宋体" w:hint="eastAsia"/>
          <w:bCs/>
          <w:kern w:val="0"/>
          <w:sz w:val="24"/>
          <w:szCs w:val="24"/>
        </w:rPr>
        <w:t>4</w:t>
      </w:r>
      <w:r>
        <w:rPr>
          <w:rFonts w:hAnsi="宋体" w:hint="eastAsia"/>
          <w:bCs/>
          <w:kern w:val="0"/>
          <w:sz w:val="24"/>
          <w:szCs w:val="24"/>
        </w:rPr>
        <w:t>）系统性风险</w:t>
      </w:r>
    </w:p>
    <w:p w14:paraId="2DAA08A9" w14:textId="77777777" w:rsidR="00791BDD" w:rsidRDefault="00B75151">
      <w:pPr>
        <w:widowControl/>
        <w:adjustRightInd w:val="0"/>
        <w:snapToGrid w:val="0"/>
        <w:spacing w:line="360" w:lineRule="auto"/>
        <w:ind w:firstLineChars="200" w:firstLine="480"/>
        <w:outlineLvl w:val="1"/>
        <w:rPr>
          <w:rFonts w:hAnsi="宋体"/>
          <w:bCs/>
          <w:kern w:val="0"/>
          <w:sz w:val="24"/>
          <w:szCs w:val="24"/>
        </w:rPr>
      </w:pPr>
      <w:r>
        <w:rPr>
          <w:rFonts w:hAnsi="宋体" w:hint="eastAsia"/>
          <w:bCs/>
          <w:kern w:val="0"/>
          <w:sz w:val="24"/>
          <w:szCs w:val="24"/>
        </w:rPr>
        <w:t>科创板企业均为市场认可度较高的科技创新企业，在企业经营及盈利模式上存在趋同，所以科创板个股相关性较高，市场表现不佳时，系统性风险将更为显著。</w:t>
      </w:r>
    </w:p>
    <w:p w14:paraId="6F1B0ABE" w14:textId="77777777" w:rsidR="00791BDD" w:rsidRDefault="00B75151">
      <w:pPr>
        <w:widowControl/>
        <w:adjustRightInd w:val="0"/>
        <w:snapToGrid w:val="0"/>
        <w:spacing w:line="360" w:lineRule="auto"/>
        <w:ind w:firstLineChars="200" w:firstLine="480"/>
        <w:outlineLvl w:val="1"/>
        <w:rPr>
          <w:rFonts w:hAnsi="宋体"/>
          <w:bCs/>
          <w:kern w:val="0"/>
          <w:sz w:val="24"/>
          <w:szCs w:val="24"/>
        </w:rPr>
      </w:pPr>
      <w:r>
        <w:rPr>
          <w:rFonts w:hAnsi="宋体" w:hint="eastAsia"/>
          <w:bCs/>
          <w:kern w:val="0"/>
          <w:sz w:val="24"/>
          <w:szCs w:val="24"/>
        </w:rPr>
        <w:t>（</w:t>
      </w:r>
      <w:r>
        <w:rPr>
          <w:rFonts w:hAnsi="宋体" w:hint="eastAsia"/>
          <w:bCs/>
          <w:kern w:val="0"/>
          <w:sz w:val="24"/>
          <w:szCs w:val="24"/>
        </w:rPr>
        <w:t>5</w:t>
      </w:r>
      <w:r>
        <w:rPr>
          <w:rFonts w:hAnsi="宋体" w:hint="eastAsia"/>
          <w:bCs/>
          <w:kern w:val="0"/>
          <w:sz w:val="24"/>
          <w:szCs w:val="24"/>
        </w:rPr>
        <w:t>）政策风险</w:t>
      </w:r>
    </w:p>
    <w:p w14:paraId="7B780292" w14:textId="77777777" w:rsidR="00791BDD" w:rsidRDefault="00B75151">
      <w:pPr>
        <w:widowControl/>
        <w:adjustRightInd w:val="0"/>
        <w:snapToGrid w:val="0"/>
        <w:spacing w:line="360" w:lineRule="auto"/>
        <w:ind w:firstLineChars="200" w:firstLine="480"/>
        <w:outlineLvl w:val="1"/>
        <w:rPr>
          <w:rFonts w:hAnsi="宋体"/>
          <w:bCs/>
          <w:kern w:val="0"/>
          <w:sz w:val="24"/>
          <w:szCs w:val="24"/>
        </w:rPr>
      </w:pPr>
      <w:r>
        <w:rPr>
          <w:rFonts w:hAnsi="宋体" w:hint="eastAsia"/>
          <w:bCs/>
          <w:kern w:val="0"/>
          <w:sz w:val="24"/>
          <w:szCs w:val="24"/>
        </w:rPr>
        <w:t>国家对高新技术产业扶持力度及重视程度的变化会对科创板企业带来较大影响，国际经济形势变化对战略新兴产业及科创板个股也会带来政策影响。</w:t>
      </w:r>
    </w:p>
    <w:p w14:paraId="46079C71" w14:textId="77777777" w:rsidR="00791BDD" w:rsidRDefault="00B75151">
      <w:pPr>
        <w:widowControl/>
        <w:numPr>
          <w:ilvl w:val="255"/>
          <w:numId w:val="0"/>
        </w:numPr>
        <w:adjustRightInd w:val="0"/>
        <w:snapToGrid w:val="0"/>
        <w:spacing w:line="360" w:lineRule="auto"/>
        <w:ind w:firstLineChars="200" w:firstLine="480"/>
        <w:outlineLvl w:val="1"/>
        <w:rPr>
          <w:rFonts w:hAnsi="宋体"/>
          <w:bCs/>
          <w:kern w:val="0"/>
          <w:sz w:val="24"/>
          <w:szCs w:val="24"/>
        </w:rPr>
      </w:pPr>
      <w:r>
        <w:rPr>
          <w:rFonts w:hAnsi="宋体" w:hint="eastAsia"/>
          <w:bCs/>
          <w:kern w:val="0"/>
          <w:sz w:val="24"/>
          <w:szCs w:val="24"/>
        </w:rPr>
        <w:t>9</w:t>
      </w:r>
      <w:r>
        <w:rPr>
          <w:rFonts w:hAnsi="宋体" w:hint="eastAsia"/>
          <w:bCs/>
          <w:kern w:val="0"/>
          <w:sz w:val="24"/>
          <w:szCs w:val="24"/>
        </w:rPr>
        <w:t>、采用量化策略进行投资管理可能引致的特定风险</w:t>
      </w:r>
    </w:p>
    <w:p w14:paraId="2D096934" w14:textId="77777777" w:rsidR="00791BDD" w:rsidRDefault="00B75151">
      <w:pPr>
        <w:widowControl/>
        <w:numPr>
          <w:ilvl w:val="255"/>
          <w:numId w:val="0"/>
        </w:numPr>
        <w:adjustRightInd w:val="0"/>
        <w:snapToGrid w:val="0"/>
        <w:spacing w:line="360" w:lineRule="auto"/>
        <w:ind w:firstLineChars="200" w:firstLine="480"/>
        <w:outlineLvl w:val="1"/>
        <w:rPr>
          <w:rFonts w:hAnsi="宋体"/>
          <w:bCs/>
          <w:kern w:val="0"/>
          <w:sz w:val="24"/>
          <w:szCs w:val="24"/>
        </w:rPr>
      </w:pPr>
      <w:r>
        <w:rPr>
          <w:rFonts w:ascii="宋体" w:hAnsi="宋体" w:cs="宋体" w:hint="eastAsia"/>
          <w:sz w:val="24"/>
          <w:szCs w:val="24"/>
        </w:rPr>
        <w:t>本基金采用量化模型构建投资组合，量化模型仅是选股模型，并不基于量化模型进行高频交易。</w:t>
      </w:r>
      <w:r>
        <w:rPr>
          <w:rFonts w:ascii="宋体" w:hAnsi="宋体" w:cs="宋体"/>
          <w:sz w:val="24"/>
          <w:szCs w:val="24"/>
        </w:rPr>
        <w:t>在实际运作过程中，本基金采用量化模型选择股票并构建投资组合，其以广泛覆盖各类信息源的数据库为基础，包括宏观经济数据、行业经济数据、证券与期货交易行情数据、上市公司财务数据等。这些数据通常来源于不同的数据提供商，并且因为不同的需要，在数据加工过程中可能遵循不同的规范。基金管理人所建立量化模型将以加工后的数据作为输入，因此，源数据错误或预处理过程中出现的错误可能直接影响量化模型的输出结果，形成数据风险。</w:t>
      </w:r>
    </w:p>
    <w:p w14:paraId="5D15B4AC" w14:textId="77777777" w:rsidR="00791BDD" w:rsidRDefault="00B75151">
      <w:pPr>
        <w:widowControl/>
        <w:adjustRightInd w:val="0"/>
        <w:snapToGrid w:val="0"/>
        <w:spacing w:line="360" w:lineRule="auto"/>
        <w:ind w:firstLineChars="200" w:firstLine="480"/>
        <w:outlineLvl w:val="1"/>
        <w:rPr>
          <w:rFonts w:ascii="宋体" w:hAnsi="宋体" w:cs="宋体"/>
          <w:sz w:val="24"/>
          <w:szCs w:val="24"/>
        </w:rPr>
      </w:pPr>
      <w:r>
        <w:rPr>
          <w:rFonts w:ascii="宋体" w:hAnsi="宋体" w:cs="宋体"/>
          <w:sz w:val="24"/>
          <w:szCs w:val="24"/>
        </w:rPr>
        <w:t>此外，由于本基金采用量化模型指导投资决策，因此定量方法的缺陷在一定程度上也会影响本基金的表现。一方面，面对不断变换的市场环境，量化投资策略所遵循的模型理论均处于不断发展和完善的过程中；另一方面，在定量模型的具体设定中，核心参数假定的变动均可能影响整体效果的稳定性；最后，定量模型存在对历史数据的依赖。因此，在实际运作过程中，市场环境的变化可能导致遵循量化模型构建的投资组合在一定程度上无法达到预期的投资效果。</w:t>
      </w:r>
    </w:p>
    <w:p w14:paraId="24C120F3" w14:textId="77777777" w:rsidR="00791BDD" w:rsidRDefault="00B75151">
      <w:pPr>
        <w:widowControl/>
        <w:adjustRightInd w:val="0"/>
        <w:snapToGrid w:val="0"/>
        <w:spacing w:line="360" w:lineRule="auto"/>
        <w:ind w:firstLineChars="200" w:firstLine="480"/>
        <w:outlineLvl w:val="1"/>
        <w:rPr>
          <w:rFonts w:hAnsi="宋体"/>
          <w:bCs/>
          <w:kern w:val="0"/>
          <w:sz w:val="24"/>
          <w:szCs w:val="24"/>
        </w:rPr>
      </w:pPr>
      <w:r>
        <w:rPr>
          <w:rFonts w:hAnsi="宋体" w:hint="eastAsia"/>
          <w:bCs/>
          <w:kern w:val="0"/>
          <w:sz w:val="24"/>
          <w:szCs w:val="24"/>
        </w:rPr>
        <w:t>10</w:t>
      </w:r>
      <w:r>
        <w:rPr>
          <w:rFonts w:hAnsi="宋体" w:hint="eastAsia"/>
          <w:bCs/>
          <w:kern w:val="0"/>
          <w:sz w:val="24"/>
          <w:szCs w:val="24"/>
        </w:rPr>
        <w:t>、基金合同自动终止风险</w:t>
      </w:r>
    </w:p>
    <w:p w14:paraId="2019C46D" w14:textId="77777777" w:rsidR="00791BDD" w:rsidRDefault="00B75151">
      <w:pPr>
        <w:widowControl/>
        <w:adjustRightInd w:val="0"/>
        <w:snapToGrid w:val="0"/>
        <w:spacing w:line="360" w:lineRule="auto"/>
        <w:ind w:firstLineChars="200" w:firstLine="480"/>
        <w:outlineLvl w:val="1"/>
        <w:rPr>
          <w:rFonts w:hAnsi="宋体"/>
          <w:bCs/>
          <w:kern w:val="0"/>
          <w:sz w:val="24"/>
          <w:szCs w:val="24"/>
        </w:rPr>
      </w:pPr>
      <w:r>
        <w:rPr>
          <w:rFonts w:hAnsi="宋体" w:hint="eastAsia"/>
          <w:bCs/>
          <w:kern w:val="0"/>
          <w:sz w:val="24"/>
          <w:szCs w:val="24"/>
        </w:rPr>
        <w:t>本基金为发起式基金，《基金合同》生效之日起三年后的对应日，若基金资产净值低于</w:t>
      </w:r>
      <w:r>
        <w:rPr>
          <w:rFonts w:hAnsi="宋体"/>
          <w:bCs/>
          <w:kern w:val="0"/>
          <w:sz w:val="24"/>
          <w:szCs w:val="24"/>
        </w:rPr>
        <w:t>2</w:t>
      </w:r>
      <w:r>
        <w:rPr>
          <w:rFonts w:hAnsi="宋体" w:hint="eastAsia"/>
          <w:bCs/>
          <w:kern w:val="0"/>
          <w:sz w:val="24"/>
          <w:szCs w:val="24"/>
        </w:rPr>
        <w:t>亿元，基金合同自动终止，且不得通过召开基金份额持有人大会的方式延续《基金合同》期限。因此，投资人可能面临基金合同自动终止的不确定性风险。</w:t>
      </w:r>
    </w:p>
    <w:p w14:paraId="17913B47" w14:textId="77777777" w:rsidR="00791BDD" w:rsidRDefault="00B75151">
      <w:pPr>
        <w:widowControl/>
        <w:adjustRightInd w:val="0"/>
        <w:snapToGrid w:val="0"/>
        <w:spacing w:line="360" w:lineRule="auto"/>
        <w:ind w:firstLineChars="200" w:firstLine="482"/>
        <w:outlineLvl w:val="1"/>
        <w:rPr>
          <w:rFonts w:hAnsi="宋体"/>
          <w:b/>
          <w:kern w:val="0"/>
          <w:sz w:val="24"/>
          <w:szCs w:val="24"/>
        </w:rPr>
      </w:pPr>
      <w:r>
        <w:rPr>
          <w:rFonts w:hAnsi="宋体" w:hint="eastAsia"/>
          <w:b/>
          <w:kern w:val="0"/>
          <w:sz w:val="24"/>
          <w:szCs w:val="24"/>
        </w:rPr>
        <w:t>（六）本基金法律文件风险收益特征表述与销售机构基金风险评价可能不一致的风险</w:t>
      </w:r>
    </w:p>
    <w:p w14:paraId="399BD6AE" w14:textId="77777777" w:rsidR="00791BDD" w:rsidRDefault="00B75151">
      <w:pPr>
        <w:widowControl/>
        <w:adjustRightInd w:val="0"/>
        <w:snapToGrid w:val="0"/>
        <w:spacing w:line="360" w:lineRule="auto"/>
        <w:ind w:firstLineChars="200" w:firstLine="480"/>
        <w:outlineLvl w:val="1"/>
        <w:rPr>
          <w:rFonts w:hAnsi="宋体"/>
          <w:bCs/>
          <w:kern w:val="0"/>
          <w:sz w:val="24"/>
          <w:szCs w:val="24"/>
        </w:rPr>
      </w:pPr>
      <w:r>
        <w:rPr>
          <w:rFonts w:hAnsi="宋体" w:hint="eastAsia"/>
          <w:bCs/>
          <w:kern w:val="0"/>
          <w:sz w:val="24"/>
          <w:szCs w:val="24"/>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不同，因此销售机构的风险等级评价与基金法律文件中风险收益特征的表述可能存在不同，投资者在购买本基金时需按照销售机构的要求完成风险承受能力与产品风险之间的匹配检验。</w:t>
      </w:r>
    </w:p>
    <w:p w14:paraId="2A879A6B" w14:textId="77777777" w:rsidR="00791BDD" w:rsidRDefault="00B75151">
      <w:pPr>
        <w:widowControl/>
        <w:adjustRightInd w:val="0"/>
        <w:snapToGrid w:val="0"/>
        <w:spacing w:line="360" w:lineRule="auto"/>
        <w:ind w:firstLineChars="200" w:firstLine="482"/>
        <w:outlineLvl w:val="1"/>
        <w:rPr>
          <w:b/>
          <w:kern w:val="0"/>
          <w:sz w:val="24"/>
          <w:szCs w:val="24"/>
        </w:rPr>
      </w:pPr>
      <w:r>
        <w:rPr>
          <w:rFonts w:hAnsi="宋体" w:hint="eastAsia"/>
          <w:b/>
          <w:kern w:val="0"/>
          <w:sz w:val="24"/>
          <w:szCs w:val="24"/>
        </w:rPr>
        <w:t>（七）</w:t>
      </w:r>
      <w:r>
        <w:rPr>
          <w:rFonts w:hAnsi="宋体"/>
          <w:b/>
          <w:kern w:val="0"/>
          <w:sz w:val="24"/>
          <w:szCs w:val="24"/>
        </w:rPr>
        <w:t>其他风险</w:t>
      </w:r>
    </w:p>
    <w:p w14:paraId="2F3BC01B" w14:textId="77777777" w:rsidR="00791BDD" w:rsidRDefault="00B75151">
      <w:pPr>
        <w:widowControl/>
        <w:adjustRightInd w:val="0"/>
        <w:snapToGrid w:val="0"/>
        <w:spacing w:line="360" w:lineRule="auto"/>
        <w:ind w:firstLineChars="200" w:firstLine="480"/>
        <w:rPr>
          <w:kern w:val="0"/>
          <w:sz w:val="24"/>
          <w:szCs w:val="24"/>
        </w:rPr>
      </w:pPr>
      <w:r>
        <w:rPr>
          <w:kern w:val="0"/>
          <w:sz w:val="24"/>
          <w:szCs w:val="24"/>
        </w:rPr>
        <w:t>1</w:t>
      </w:r>
      <w:r>
        <w:rPr>
          <w:rFonts w:hAnsi="宋体"/>
          <w:kern w:val="0"/>
          <w:sz w:val="24"/>
          <w:szCs w:val="24"/>
        </w:rPr>
        <w:t>、因技术因素而产生的风险，如电脑系统不可靠产生的风险；</w:t>
      </w:r>
    </w:p>
    <w:p w14:paraId="22459F5B" w14:textId="77777777" w:rsidR="00791BDD" w:rsidRDefault="00B75151">
      <w:pPr>
        <w:widowControl/>
        <w:adjustRightInd w:val="0"/>
        <w:snapToGrid w:val="0"/>
        <w:spacing w:line="360" w:lineRule="auto"/>
        <w:ind w:firstLineChars="200" w:firstLine="480"/>
        <w:rPr>
          <w:kern w:val="0"/>
          <w:sz w:val="24"/>
          <w:szCs w:val="24"/>
        </w:rPr>
      </w:pPr>
      <w:r>
        <w:rPr>
          <w:kern w:val="0"/>
          <w:sz w:val="24"/>
          <w:szCs w:val="24"/>
        </w:rPr>
        <w:t>2</w:t>
      </w:r>
      <w:r>
        <w:rPr>
          <w:rFonts w:hAnsi="宋体"/>
          <w:kern w:val="0"/>
          <w:sz w:val="24"/>
          <w:szCs w:val="24"/>
        </w:rPr>
        <w:t>、因基金业务快速发展，在制度建设、人员配备、内控制度建立等方面的不完善产生的风险；</w:t>
      </w:r>
    </w:p>
    <w:p w14:paraId="63FF2DD7" w14:textId="77777777" w:rsidR="00791BDD" w:rsidRDefault="00B75151">
      <w:pPr>
        <w:widowControl/>
        <w:adjustRightInd w:val="0"/>
        <w:snapToGrid w:val="0"/>
        <w:spacing w:line="360" w:lineRule="auto"/>
        <w:ind w:firstLineChars="200" w:firstLine="480"/>
        <w:rPr>
          <w:kern w:val="0"/>
          <w:sz w:val="24"/>
          <w:szCs w:val="24"/>
        </w:rPr>
      </w:pPr>
      <w:r>
        <w:rPr>
          <w:kern w:val="0"/>
          <w:sz w:val="24"/>
          <w:szCs w:val="24"/>
        </w:rPr>
        <w:t>3</w:t>
      </w:r>
      <w:r>
        <w:rPr>
          <w:rFonts w:hAnsi="宋体"/>
          <w:kern w:val="0"/>
          <w:sz w:val="24"/>
          <w:szCs w:val="24"/>
        </w:rPr>
        <w:t>、因人为因素而产生的风险、如内幕交易、欺诈行为等产生的风险；</w:t>
      </w:r>
    </w:p>
    <w:p w14:paraId="4F8E6B65" w14:textId="77777777" w:rsidR="00791BDD" w:rsidRDefault="00B75151">
      <w:pPr>
        <w:widowControl/>
        <w:adjustRightInd w:val="0"/>
        <w:snapToGrid w:val="0"/>
        <w:spacing w:line="360" w:lineRule="auto"/>
        <w:ind w:firstLineChars="200" w:firstLine="480"/>
        <w:rPr>
          <w:kern w:val="0"/>
          <w:sz w:val="24"/>
          <w:szCs w:val="24"/>
        </w:rPr>
      </w:pPr>
      <w:r>
        <w:rPr>
          <w:kern w:val="0"/>
          <w:sz w:val="24"/>
          <w:szCs w:val="24"/>
        </w:rPr>
        <w:t>4</w:t>
      </w:r>
      <w:r>
        <w:rPr>
          <w:rFonts w:hAnsi="宋体"/>
          <w:kern w:val="0"/>
          <w:sz w:val="24"/>
          <w:szCs w:val="24"/>
        </w:rPr>
        <w:t>、对主要业务人员如基金经理的依赖而可能产生的风险；</w:t>
      </w:r>
    </w:p>
    <w:p w14:paraId="25BAD6D0" w14:textId="77777777" w:rsidR="00791BDD" w:rsidRDefault="00B75151">
      <w:pPr>
        <w:widowControl/>
        <w:adjustRightInd w:val="0"/>
        <w:snapToGrid w:val="0"/>
        <w:spacing w:line="360" w:lineRule="auto"/>
        <w:ind w:firstLineChars="200" w:firstLine="480"/>
        <w:rPr>
          <w:kern w:val="0"/>
          <w:sz w:val="24"/>
          <w:szCs w:val="24"/>
        </w:rPr>
      </w:pPr>
      <w:r>
        <w:rPr>
          <w:kern w:val="0"/>
          <w:sz w:val="24"/>
          <w:szCs w:val="24"/>
        </w:rPr>
        <w:t>5</w:t>
      </w:r>
      <w:r>
        <w:rPr>
          <w:rFonts w:hAnsi="宋体"/>
          <w:kern w:val="0"/>
          <w:sz w:val="24"/>
          <w:szCs w:val="24"/>
        </w:rPr>
        <w:t>、因业务竞争压力可能产生的风险；</w:t>
      </w:r>
    </w:p>
    <w:p w14:paraId="0BCFAA3B" w14:textId="77777777" w:rsidR="00791BDD" w:rsidRDefault="00B75151">
      <w:pPr>
        <w:widowControl/>
        <w:adjustRightInd w:val="0"/>
        <w:snapToGrid w:val="0"/>
        <w:spacing w:line="360" w:lineRule="auto"/>
        <w:ind w:firstLineChars="200" w:firstLine="480"/>
        <w:rPr>
          <w:kern w:val="0"/>
          <w:sz w:val="24"/>
          <w:szCs w:val="24"/>
        </w:rPr>
      </w:pPr>
      <w:r>
        <w:rPr>
          <w:kern w:val="0"/>
          <w:sz w:val="24"/>
          <w:szCs w:val="24"/>
        </w:rPr>
        <w:t>6</w:t>
      </w:r>
      <w:r>
        <w:rPr>
          <w:rFonts w:hAnsi="宋体"/>
          <w:kern w:val="0"/>
          <w:sz w:val="24"/>
          <w:szCs w:val="24"/>
        </w:rPr>
        <w:t>、战争、自然灾害等不可抗力可能导致基金财产的损失，影响基金收益水平，从而带来风险；</w:t>
      </w:r>
    </w:p>
    <w:p w14:paraId="38C2438B" w14:textId="77777777" w:rsidR="00791BDD" w:rsidRDefault="00B75151">
      <w:pPr>
        <w:widowControl/>
        <w:adjustRightInd w:val="0"/>
        <w:snapToGrid w:val="0"/>
        <w:spacing w:line="360" w:lineRule="auto"/>
        <w:ind w:firstLineChars="200" w:firstLine="480"/>
        <w:rPr>
          <w:kern w:val="0"/>
          <w:sz w:val="24"/>
        </w:rPr>
      </w:pPr>
      <w:r>
        <w:rPr>
          <w:kern w:val="0"/>
          <w:sz w:val="24"/>
          <w:szCs w:val="24"/>
        </w:rPr>
        <w:t>7</w:t>
      </w:r>
      <w:r>
        <w:rPr>
          <w:rFonts w:hAnsi="宋体"/>
          <w:kern w:val="0"/>
          <w:sz w:val="24"/>
          <w:szCs w:val="24"/>
        </w:rPr>
        <w:t>、其他意外导致的风险。</w:t>
      </w:r>
      <w:bookmarkStart w:id="111" w:name="OLE_LINK15"/>
    </w:p>
    <w:p w14:paraId="0FA6087C" w14:textId="77777777" w:rsidR="00791BDD" w:rsidRDefault="00B75151">
      <w:pPr>
        <w:widowControl/>
        <w:adjustRightInd w:val="0"/>
        <w:snapToGrid w:val="0"/>
        <w:spacing w:beforeLines="50" w:before="143" w:afterLines="50" w:after="143" w:line="360" w:lineRule="auto"/>
        <w:jc w:val="center"/>
        <w:outlineLvl w:val="0"/>
        <w:rPr>
          <w:b/>
          <w:kern w:val="0"/>
          <w:sz w:val="30"/>
        </w:rPr>
      </w:pPr>
      <w:r>
        <w:rPr>
          <w:rFonts w:hAnsi="宋体"/>
          <w:b/>
          <w:kern w:val="0"/>
          <w:sz w:val="30"/>
        </w:rPr>
        <w:br w:type="page"/>
      </w:r>
      <w:bookmarkStart w:id="112" w:name="_Toc48122019"/>
      <w:bookmarkStart w:id="113" w:name="_Hlk217331162"/>
      <w:bookmarkStart w:id="114" w:name="_Hlk212628721"/>
      <w:r>
        <w:rPr>
          <w:rFonts w:hAnsi="宋体" w:hint="eastAsia"/>
          <w:b/>
          <w:kern w:val="0"/>
          <w:sz w:val="30"/>
        </w:rPr>
        <w:t>十八</w:t>
      </w:r>
      <w:r>
        <w:rPr>
          <w:rFonts w:hAnsi="宋体"/>
          <w:b/>
          <w:kern w:val="0"/>
          <w:sz w:val="30"/>
        </w:rPr>
        <w:t>、</w:t>
      </w:r>
      <w:bookmarkStart w:id="115" w:name="_Hlk212711854"/>
      <w:r>
        <w:rPr>
          <w:rFonts w:hAnsi="宋体"/>
          <w:b/>
          <w:kern w:val="0"/>
          <w:sz w:val="30"/>
        </w:rPr>
        <w:t>基金合同的变更、终止与基金财</w:t>
      </w:r>
      <w:bookmarkEnd w:id="111"/>
      <w:r>
        <w:rPr>
          <w:rFonts w:hAnsi="宋体"/>
          <w:b/>
          <w:kern w:val="0"/>
          <w:sz w:val="30"/>
        </w:rPr>
        <w:t>产的清算</w:t>
      </w:r>
      <w:bookmarkEnd w:id="112"/>
    </w:p>
    <w:p w14:paraId="6FA0407B" w14:textId="77777777" w:rsidR="00791BDD" w:rsidRDefault="00B75151">
      <w:pPr>
        <w:adjustRightInd w:val="0"/>
        <w:snapToGrid w:val="0"/>
        <w:spacing w:line="360" w:lineRule="auto"/>
        <w:ind w:firstLine="482"/>
        <w:outlineLvl w:val="1"/>
        <w:rPr>
          <w:b/>
          <w:bCs/>
          <w:sz w:val="24"/>
        </w:rPr>
      </w:pPr>
      <w:r>
        <w:rPr>
          <w:b/>
          <w:bCs/>
          <w:sz w:val="24"/>
        </w:rPr>
        <w:t>（一）《基金合同》的变更</w:t>
      </w:r>
    </w:p>
    <w:p w14:paraId="71D69ACD" w14:textId="77777777" w:rsidR="00791BDD" w:rsidRDefault="00B75151">
      <w:pPr>
        <w:adjustRightInd w:val="0"/>
        <w:snapToGrid w:val="0"/>
        <w:spacing w:line="360" w:lineRule="auto"/>
        <w:ind w:firstLineChars="200" w:firstLine="480"/>
        <w:rPr>
          <w:rFonts w:hAnsi="宋体"/>
          <w:kern w:val="0"/>
          <w:sz w:val="24"/>
        </w:rPr>
      </w:pPr>
      <w:r>
        <w:rPr>
          <w:rFonts w:hAnsi="宋体" w:hint="eastAsia"/>
          <w:kern w:val="0"/>
          <w:sz w:val="24"/>
        </w:rPr>
        <w:t>1</w:t>
      </w:r>
      <w:r>
        <w:rPr>
          <w:rFonts w:hAnsi="宋体" w:hint="eastAsia"/>
          <w:kern w:val="0"/>
          <w:sz w:val="24"/>
        </w:rPr>
        <w:t>、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按规定报中国证监会备案。</w:t>
      </w:r>
    </w:p>
    <w:p w14:paraId="50FDAEDF" w14:textId="77777777" w:rsidR="00791BDD" w:rsidRDefault="00B75151">
      <w:pPr>
        <w:adjustRightInd w:val="0"/>
        <w:snapToGrid w:val="0"/>
        <w:spacing w:line="360" w:lineRule="auto"/>
        <w:ind w:firstLineChars="200" w:firstLine="480"/>
        <w:rPr>
          <w:rFonts w:hAnsi="宋体"/>
          <w:kern w:val="0"/>
          <w:sz w:val="24"/>
        </w:rPr>
      </w:pPr>
      <w:r>
        <w:rPr>
          <w:rFonts w:hAnsi="宋体" w:hint="eastAsia"/>
          <w:kern w:val="0"/>
          <w:sz w:val="24"/>
        </w:rPr>
        <w:t>2</w:t>
      </w:r>
      <w:r>
        <w:rPr>
          <w:rFonts w:hAnsi="宋体" w:hint="eastAsia"/>
          <w:kern w:val="0"/>
          <w:sz w:val="24"/>
        </w:rPr>
        <w:t>、关于《基金合同》变更的基金份额持有人大会决议自生效后方可执行，</w:t>
      </w:r>
      <w:r>
        <w:rPr>
          <w:rFonts w:hAnsi="宋体"/>
          <w:bCs/>
          <w:kern w:val="0"/>
          <w:sz w:val="24"/>
        </w:rPr>
        <w:t>自</w:t>
      </w:r>
      <w:r>
        <w:rPr>
          <w:rFonts w:hAnsi="宋体" w:hint="eastAsia"/>
          <w:bCs/>
          <w:kern w:val="0"/>
          <w:sz w:val="24"/>
        </w:rPr>
        <w:t>决议</w:t>
      </w:r>
      <w:r>
        <w:rPr>
          <w:rFonts w:hAnsi="宋体" w:hint="eastAsia"/>
          <w:kern w:val="0"/>
          <w:sz w:val="24"/>
        </w:rPr>
        <w:t>生效后依照《信息披露办法》的规定在规定媒介公告。</w:t>
      </w:r>
    </w:p>
    <w:p w14:paraId="2F2A795B" w14:textId="77777777" w:rsidR="00791BDD" w:rsidRDefault="00B75151">
      <w:pPr>
        <w:adjustRightInd w:val="0"/>
        <w:snapToGrid w:val="0"/>
        <w:spacing w:line="360" w:lineRule="auto"/>
        <w:ind w:firstLine="482"/>
        <w:outlineLvl w:val="1"/>
        <w:rPr>
          <w:b/>
          <w:bCs/>
          <w:sz w:val="24"/>
        </w:rPr>
      </w:pPr>
      <w:r>
        <w:rPr>
          <w:b/>
          <w:bCs/>
          <w:sz w:val="24"/>
        </w:rPr>
        <w:t>（二）《基金合同》的终止事由</w:t>
      </w:r>
    </w:p>
    <w:p w14:paraId="0B7E5175" w14:textId="77777777" w:rsidR="00791BDD" w:rsidRDefault="00B75151">
      <w:pPr>
        <w:adjustRightInd w:val="0"/>
        <w:snapToGrid w:val="0"/>
        <w:spacing w:line="360" w:lineRule="auto"/>
        <w:ind w:firstLineChars="200" w:firstLine="480"/>
        <w:rPr>
          <w:rFonts w:hAnsi="宋体"/>
          <w:kern w:val="0"/>
          <w:sz w:val="24"/>
        </w:rPr>
      </w:pPr>
      <w:r>
        <w:rPr>
          <w:rFonts w:hAnsi="宋体" w:hint="eastAsia"/>
          <w:kern w:val="0"/>
          <w:sz w:val="24"/>
        </w:rPr>
        <w:t>有下列情形之一的，</w:t>
      </w:r>
      <w:r>
        <w:rPr>
          <w:rFonts w:hint="eastAsia"/>
          <w:bCs/>
          <w:sz w:val="24"/>
        </w:rPr>
        <w:t>经履行相关程序后，</w:t>
      </w:r>
      <w:r>
        <w:rPr>
          <w:rFonts w:hAnsi="宋体" w:hint="eastAsia"/>
          <w:kern w:val="0"/>
          <w:sz w:val="24"/>
        </w:rPr>
        <w:t>《基金合同》应当终止：</w:t>
      </w:r>
    </w:p>
    <w:p w14:paraId="0807AE3A" w14:textId="77777777" w:rsidR="00791BDD" w:rsidRDefault="00B75151">
      <w:pPr>
        <w:adjustRightInd w:val="0"/>
        <w:snapToGrid w:val="0"/>
        <w:spacing w:line="360" w:lineRule="auto"/>
        <w:ind w:firstLineChars="200" w:firstLine="480"/>
        <w:rPr>
          <w:rFonts w:hAnsi="宋体"/>
          <w:kern w:val="0"/>
          <w:sz w:val="24"/>
        </w:rPr>
      </w:pPr>
      <w:r>
        <w:rPr>
          <w:rFonts w:hAnsi="宋体" w:hint="eastAsia"/>
          <w:kern w:val="0"/>
          <w:sz w:val="24"/>
        </w:rPr>
        <w:t>1</w:t>
      </w:r>
      <w:r>
        <w:rPr>
          <w:rFonts w:hAnsi="宋体" w:hint="eastAsia"/>
          <w:kern w:val="0"/>
          <w:sz w:val="24"/>
        </w:rPr>
        <w:t>、基金份额持有人大会决定终止的；</w:t>
      </w:r>
    </w:p>
    <w:p w14:paraId="29B3ADCE" w14:textId="77777777" w:rsidR="00791BDD" w:rsidRDefault="00B75151">
      <w:pPr>
        <w:adjustRightInd w:val="0"/>
        <w:snapToGrid w:val="0"/>
        <w:spacing w:line="360" w:lineRule="auto"/>
        <w:ind w:firstLineChars="200" w:firstLine="480"/>
        <w:rPr>
          <w:rFonts w:hAnsi="宋体"/>
          <w:kern w:val="0"/>
          <w:sz w:val="24"/>
        </w:rPr>
      </w:pPr>
      <w:r>
        <w:rPr>
          <w:rFonts w:hAnsi="宋体" w:hint="eastAsia"/>
          <w:kern w:val="0"/>
          <w:sz w:val="24"/>
        </w:rPr>
        <w:t>2</w:t>
      </w:r>
      <w:r>
        <w:rPr>
          <w:rFonts w:hAnsi="宋体" w:hint="eastAsia"/>
          <w:kern w:val="0"/>
          <w:sz w:val="24"/>
        </w:rPr>
        <w:t>、基金管理人、基金托管人职责终止，在</w:t>
      </w:r>
      <w:r>
        <w:rPr>
          <w:rFonts w:hAnsi="宋体" w:hint="eastAsia"/>
          <w:kern w:val="0"/>
          <w:sz w:val="24"/>
        </w:rPr>
        <w:t>6</w:t>
      </w:r>
      <w:r>
        <w:rPr>
          <w:rFonts w:hAnsi="宋体" w:hint="eastAsia"/>
          <w:kern w:val="0"/>
          <w:sz w:val="24"/>
        </w:rPr>
        <w:t>个月内没有新基金管理人、新基金托管人承接的；</w:t>
      </w:r>
    </w:p>
    <w:p w14:paraId="6D1F7D4B" w14:textId="77777777" w:rsidR="00791BDD" w:rsidRDefault="00B75151">
      <w:pPr>
        <w:adjustRightInd w:val="0"/>
        <w:snapToGrid w:val="0"/>
        <w:spacing w:line="360" w:lineRule="auto"/>
        <w:ind w:firstLineChars="200" w:firstLine="480"/>
        <w:rPr>
          <w:rFonts w:hAnsi="宋体"/>
          <w:kern w:val="0"/>
          <w:sz w:val="24"/>
        </w:rPr>
      </w:pPr>
      <w:r>
        <w:rPr>
          <w:rFonts w:hAnsi="宋体" w:hint="eastAsia"/>
          <w:kern w:val="0"/>
          <w:sz w:val="24"/>
        </w:rPr>
        <w:t>3</w:t>
      </w:r>
      <w:r>
        <w:rPr>
          <w:rFonts w:hAnsi="宋体" w:hint="eastAsia"/>
          <w:kern w:val="0"/>
          <w:sz w:val="24"/>
        </w:rPr>
        <w:t>、《基金合同》生效之日起三年后的对应日，若基金资产净值低于</w:t>
      </w:r>
      <w:r>
        <w:rPr>
          <w:rFonts w:hAnsi="宋体" w:hint="eastAsia"/>
          <w:kern w:val="0"/>
          <w:sz w:val="24"/>
        </w:rPr>
        <w:t>2</w:t>
      </w:r>
      <w:r>
        <w:rPr>
          <w:rFonts w:hAnsi="宋体" w:hint="eastAsia"/>
          <w:kern w:val="0"/>
          <w:sz w:val="24"/>
        </w:rPr>
        <w:t>亿元，基金合同自动终止，且不得通过召开基金份额持有人大会的方式延续《基金合同》期限。若届时有效的法律法规或中国证监会规定发生变化，上述终止规定被取消、更改或补充，则本基金可以参照届时有效的法律法规或中国证监会规定执行；</w:t>
      </w:r>
    </w:p>
    <w:p w14:paraId="6C168EB2" w14:textId="77777777" w:rsidR="00791BDD" w:rsidRDefault="00B75151">
      <w:pPr>
        <w:adjustRightInd w:val="0"/>
        <w:snapToGrid w:val="0"/>
        <w:spacing w:line="360" w:lineRule="auto"/>
        <w:ind w:firstLineChars="200" w:firstLine="480"/>
        <w:rPr>
          <w:rFonts w:hAnsi="宋体"/>
          <w:kern w:val="0"/>
          <w:sz w:val="24"/>
        </w:rPr>
      </w:pPr>
      <w:r>
        <w:rPr>
          <w:rFonts w:hAnsi="宋体" w:hint="eastAsia"/>
          <w:kern w:val="0"/>
          <w:sz w:val="24"/>
        </w:rPr>
        <w:t>4</w:t>
      </w:r>
      <w:r>
        <w:rPr>
          <w:rFonts w:hAnsi="宋体" w:hint="eastAsia"/>
          <w:kern w:val="0"/>
          <w:sz w:val="24"/>
        </w:rPr>
        <w:t>、《基金合同》约定的其他情形；</w:t>
      </w:r>
    </w:p>
    <w:p w14:paraId="386D2499" w14:textId="77777777" w:rsidR="00791BDD" w:rsidRDefault="00B75151">
      <w:pPr>
        <w:adjustRightInd w:val="0"/>
        <w:snapToGrid w:val="0"/>
        <w:spacing w:line="360" w:lineRule="auto"/>
        <w:ind w:firstLineChars="200" w:firstLine="480"/>
        <w:rPr>
          <w:rFonts w:hAnsi="宋体"/>
          <w:kern w:val="0"/>
          <w:sz w:val="24"/>
        </w:rPr>
      </w:pPr>
      <w:r>
        <w:rPr>
          <w:rFonts w:hAnsi="宋体"/>
          <w:kern w:val="0"/>
          <w:sz w:val="24"/>
        </w:rPr>
        <w:t>5</w:t>
      </w:r>
      <w:r>
        <w:rPr>
          <w:rFonts w:hAnsi="宋体" w:hint="eastAsia"/>
          <w:kern w:val="0"/>
          <w:sz w:val="24"/>
        </w:rPr>
        <w:t>、相关法律法规和中国证监会规定的其他情况。</w:t>
      </w:r>
    </w:p>
    <w:p w14:paraId="4E21C4A4" w14:textId="77777777" w:rsidR="00791BDD" w:rsidRDefault="00B75151">
      <w:pPr>
        <w:adjustRightInd w:val="0"/>
        <w:snapToGrid w:val="0"/>
        <w:spacing w:line="360" w:lineRule="auto"/>
        <w:ind w:firstLine="482"/>
        <w:outlineLvl w:val="1"/>
        <w:rPr>
          <w:b/>
          <w:bCs/>
          <w:sz w:val="24"/>
        </w:rPr>
      </w:pPr>
      <w:r>
        <w:rPr>
          <w:b/>
          <w:bCs/>
          <w:sz w:val="24"/>
        </w:rPr>
        <w:t>（三）基金财产的清算</w:t>
      </w:r>
    </w:p>
    <w:p w14:paraId="0081B73A" w14:textId="77777777" w:rsidR="00791BDD" w:rsidRDefault="00B75151">
      <w:pPr>
        <w:adjustRightInd w:val="0"/>
        <w:snapToGrid w:val="0"/>
        <w:spacing w:line="360" w:lineRule="auto"/>
        <w:ind w:firstLineChars="200" w:firstLine="480"/>
        <w:rPr>
          <w:rFonts w:hAnsi="宋体"/>
          <w:kern w:val="0"/>
          <w:sz w:val="24"/>
        </w:rPr>
      </w:pPr>
      <w:r>
        <w:rPr>
          <w:rFonts w:hAnsi="宋体" w:hint="eastAsia"/>
          <w:kern w:val="0"/>
          <w:sz w:val="24"/>
        </w:rPr>
        <w:t>1</w:t>
      </w:r>
      <w:r>
        <w:rPr>
          <w:rFonts w:hAnsi="宋体" w:hint="eastAsia"/>
          <w:kern w:val="0"/>
          <w:sz w:val="24"/>
        </w:rPr>
        <w:t>、基金财产清算小组：自出现《基金合同》终止事由之日起</w:t>
      </w:r>
      <w:r>
        <w:rPr>
          <w:rFonts w:hAnsi="宋体" w:hint="eastAsia"/>
          <w:kern w:val="0"/>
          <w:sz w:val="24"/>
        </w:rPr>
        <w:t>30</w:t>
      </w:r>
      <w:r>
        <w:rPr>
          <w:rFonts w:hAnsi="宋体" w:hint="eastAsia"/>
          <w:kern w:val="0"/>
          <w:sz w:val="24"/>
        </w:rPr>
        <w:t>个工作日内成立清算小组，基金管理人组织基金财产清算小组并在中国证监会的监督下进行基金清算。</w:t>
      </w:r>
    </w:p>
    <w:p w14:paraId="0B5ED1EA" w14:textId="77777777" w:rsidR="00791BDD" w:rsidRDefault="00B75151">
      <w:pPr>
        <w:adjustRightInd w:val="0"/>
        <w:snapToGrid w:val="0"/>
        <w:spacing w:line="360" w:lineRule="auto"/>
        <w:ind w:firstLineChars="200" w:firstLine="480"/>
        <w:rPr>
          <w:rFonts w:hAnsi="宋体"/>
          <w:kern w:val="0"/>
          <w:sz w:val="24"/>
        </w:rPr>
      </w:pPr>
      <w:r>
        <w:rPr>
          <w:rFonts w:hAnsi="宋体" w:hint="eastAsia"/>
          <w:kern w:val="0"/>
          <w:sz w:val="24"/>
        </w:rPr>
        <w:t>2</w:t>
      </w:r>
      <w:r>
        <w:rPr>
          <w:rFonts w:hAnsi="宋体" w:hint="eastAsia"/>
          <w:kern w:val="0"/>
          <w:sz w:val="24"/>
        </w:rPr>
        <w:t>、基金财产清算小组组成：基金财产清算小组成员由基金管理人、基金托管人、</w:t>
      </w:r>
      <w:r>
        <w:rPr>
          <w:bCs/>
          <w:sz w:val="24"/>
        </w:rPr>
        <w:t>符合</w:t>
      </w:r>
      <w:r>
        <w:rPr>
          <w:rFonts w:hint="eastAsia"/>
          <w:bCs/>
          <w:sz w:val="24"/>
        </w:rPr>
        <w:t>《中华人民共和国证券法》规定</w:t>
      </w:r>
      <w:r>
        <w:rPr>
          <w:rFonts w:hAnsi="宋体" w:hint="eastAsia"/>
          <w:kern w:val="0"/>
          <w:sz w:val="24"/>
        </w:rPr>
        <w:t>的注册会计师、律师以及中国证监会指定的人员组成。基金财产清算小组可以聘用必要的工作人员。</w:t>
      </w:r>
    </w:p>
    <w:p w14:paraId="4FA7A712" w14:textId="77777777" w:rsidR="00791BDD" w:rsidRDefault="00B75151">
      <w:pPr>
        <w:adjustRightInd w:val="0"/>
        <w:snapToGrid w:val="0"/>
        <w:spacing w:line="360" w:lineRule="auto"/>
        <w:ind w:firstLineChars="200" w:firstLine="480"/>
        <w:rPr>
          <w:rFonts w:hAnsi="宋体"/>
          <w:kern w:val="0"/>
          <w:sz w:val="24"/>
        </w:rPr>
      </w:pPr>
      <w:r>
        <w:rPr>
          <w:rFonts w:hAnsi="宋体" w:hint="eastAsia"/>
          <w:kern w:val="0"/>
          <w:sz w:val="24"/>
        </w:rPr>
        <w:t>3</w:t>
      </w:r>
      <w:r>
        <w:rPr>
          <w:rFonts w:hAnsi="宋体" w:hint="eastAsia"/>
          <w:kern w:val="0"/>
          <w:sz w:val="24"/>
        </w:rPr>
        <w:t>、基金财产清算小组职责：基金财产清算小组负责基金财产的保管、清理、估价、变现和分配。基金财产清算小组可以依法进行必要的民事活动。</w:t>
      </w:r>
    </w:p>
    <w:p w14:paraId="6DC13132" w14:textId="77777777" w:rsidR="00791BDD" w:rsidRDefault="00B75151">
      <w:pPr>
        <w:adjustRightInd w:val="0"/>
        <w:snapToGrid w:val="0"/>
        <w:spacing w:line="360" w:lineRule="auto"/>
        <w:ind w:firstLineChars="200" w:firstLine="480"/>
        <w:rPr>
          <w:rFonts w:hAnsi="宋体"/>
          <w:kern w:val="0"/>
          <w:sz w:val="24"/>
        </w:rPr>
      </w:pPr>
      <w:r>
        <w:rPr>
          <w:rFonts w:hAnsi="宋体" w:hint="eastAsia"/>
          <w:kern w:val="0"/>
          <w:sz w:val="24"/>
        </w:rPr>
        <w:t>4</w:t>
      </w:r>
      <w:r>
        <w:rPr>
          <w:rFonts w:hAnsi="宋体" w:hint="eastAsia"/>
          <w:kern w:val="0"/>
          <w:sz w:val="24"/>
        </w:rPr>
        <w:t>、基金财产清算程序：</w:t>
      </w:r>
    </w:p>
    <w:p w14:paraId="2789309E" w14:textId="77777777" w:rsidR="00791BDD" w:rsidRDefault="00B75151">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1</w:t>
      </w:r>
      <w:r>
        <w:rPr>
          <w:rFonts w:hAnsi="宋体" w:hint="eastAsia"/>
          <w:kern w:val="0"/>
          <w:sz w:val="24"/>
        </w:rPr>
        <w:t>）《基金合同》终止情形出现时，由基金财产清算小组统一接管基金财产；</w:t>
      </w:r>
    </w:p>
    <w:p w14:paraId="551AF523" w14:textId="77777777" w:rsidR="00791BDD" w:rsidRDefault="00B75151">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2</w:t>
      </w:r>
      <w:r>
        <w:rPr>
          <w:rFonts w:hAnsi="宋体" w:hint="eastAsia"/>
          <w:kern w:val="0"/>
          <w:sz w:val="24"/>
        </w:rPr>
        <w:t>）对基金财产和债权债务进行清理和确认；</w:t>
      </w:r>
    </w:p>
    <w:p w14:paraId="063B3475" w14:textId="77777777" w:rsidR="00791BDD" w:rsidRDefault="00B75151">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3</w:t>
      </w:r>
      <w:r>
        <w:rPr>
          <w:rFonts w:hAnsi="宋体" w:hint="eastAsia"/>
          <w:kern w:val="0"/>
          <w:sz w:val="24"/>
        </w:rPr>
        <w:t>）对基金财产进行估值和变现；</w:t>
      </w:r>
    </w:p>
    <w:p w14:paraId="28581FD5" w14:textId="77777777" w:rsidR="00791BDD" w:rsidRDefault="00B75151">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4</w:t>
      </w:r>
      <w:r>
        <w:rPr>
          <w:rFonts w:hAnsi="宋体" w:hint="eastAsia"/>
          <w:kern w:val="0"/>
          <w:sz w:val="24"/>
        </w:rPr>
        <w:t>）制作清算报告；</w:t>
      </w:r>
    </w:p>
    <w:p w14:paraId="57C9F21D" w14:textId="77777777" w:rsidR="00791BDD" w:rsidRDefault="00B75151">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5</w:t>
      </w:r>
      <w:r>
        <w:rPr>
          <w:rFonts w:hAnsi="宋体" w:hint="eastAsia"/>
          <w:kern w:val="0"/>
          <w:sz w:val="24"/>
        </w:rPr>
        <w:t>）聘请</w:t>
      </w:r>
      <w:r>
        <w:rPr>
          <w:rFonts w:hint="eastAsia"/>
          <w:bCs/>
          <w:sz w:val="24"/>
        </w:rPr>
        <w:t>符合《中华人民共和国证券法》规定的</w:t>
      </w:r>
      <w:r>
        <w:rPr>
          <w:rFonts w:hAnsi="宋体" w:hint="eastAsia"/>
          <w:kern w:val="0"/>
          <w:sz w:val="24"/>
        </w:rPr>
        <w:t>会计师事务所对清算报告进行外部审计，聘请律师事务所对清算报告出具法律意见书；</w:t>
      </w:r>
    </w:p>
    <w:p w14:paraId="795A242A" w14:textId="77777777" w:rsidR="00791BDD" w:rsidRDefault="00B75151">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6</w:t>
      </w:r>
      <w:r>
        <w:rPr>
          <w:rFonts w:hAnsi="宋体" w:hint="eastAsia"/>
          <w:kern w:val="0"/>
          <w:sz w:val="24"/>
        </w:rPr>
        <w:t>）将清算报告报中国证监会备案并公告；</w:t>
      </w:r>
    </w:p>
    <w:p w14:paraId="122A531A" w14:textId="77777777" w:rsidR="00791BDD" w:rsidRDefault="00B75151">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7</w:t>
      </w:r>
      <w:r>
        <w:rPr>
          <w:rFonts w:hAnsi="宋体" w:hint="eastAsia"/>
          <w:kern w:val="0"/>
          <w:sz w:val="24"/>
        </w:rPr>
        <w:t>）对基金剩余财产进行分配。</w:t>
      </w:r>
    </w:p>
    <w:p w14:paraId="7CC2B906" w14:textId="77777777" w:rsidR="00791BDD" w:rsidRDefault="00B75151">
      <w:pPr>
        <w:adjustRightInd w:val="0"/>
        <w:snapToGrid w:val="0"/>
        <w:spacing w:line="360" w:lineRule="auto"/>
        <w:ind w:firstLineChars="200" w:firstLine="480"/>
        <w:rPr>
          <w:rFonts w:hAnsi="宋体"/>
          <w:kern w:val="0"/>
          <w:sz w:val="24"/>
        </w:rPr>
      </w:pPr>
      <w:r>
        <w:rPr>
          <w:rFonts w:hAnsi="宋体" w:hint="eastAsia"/>
          <w:kern w:val="0"/>
          <w:sz w:val="24"/>
        </w:rPr>
        <w:t>5</w:t>
      </w:r>
      <w:r>
        <w:rPr>
          <w:rFonts w:hAnsi="宋体" w:hint="eastAsia"/>
          <w:kern w:val="0"/>
          <w:sz w:val="24"/>
        </w:rPr>
        <w:t>、基金财产清算的期限为</w:t>
      </w:r>
      <w:r>
        <w:rPr>
          <w:rFonts w:hAnsi="宋体" w:hint="eastAsia"/>
          <w:kern w:val="0"/>
          <w:sz w:val="24"/>
        </w:rPr>
        <w:t>6</w:t>
      </w:r>
      <w:r>
        <w:rPr>
          <w:rFonts w:hAnsi="宋体" w:hint="eastAsia"/>
          <w:kern w:val="0"/>
          <w:sz w:val="24"/>
        </w:rPr>
        <w:t>个月，但因本基金所持证券的流动性受到限制而不能及时变现的，清算期限相应顺延。</w:t>
      </w:r>
    </w:p>
    <w:p w14:paraId="55411E4E" w14:textId="77777777" w:rsidR="00791BDD" w:rsidRDefault="00B75151">
      <w:pPr>
        <w:adjustRightInd w:val="0"/>
        <w:snapToGrid w:val="0"/>
        <w:spacing w:line="360" w:lineRule="auto"/>
        <w:ind w:firstLine="482"/>
        <w:outlineLvl w:val="1"/>
        <w:rPr>
          <w:b/>
          <w:bCs/>
          <w:sz w:val="24"/>
        </w:rPr>
      </w:pPr>
      <w:r>
        <w:rPr>
          <w:b/>
          <w:bCs/>
          <w:sz w:val="24"/>
        </w:rPr>
        <w:t>（四）清算费用</w:t>
      </w:r>
    </w:p>
    <w:p w14:paraId="3E346B61" w14:textId="77777777" w:rsidR="00791BDD" w:rsidRDefault="00B75151">
      <w:pPr>
        <w:adjustRightInd w:val="0"/>
        <w:snapToGrid w:val="0"/>
        <w:spacing w:line="360" w:lineRule="auto"/>
        <w:ind w:firstLineChars="200" w:firstLine="480"/>
        <w:rPr>
          <w:rFonts w:hAnsi="宋体"/>
          <w:kern w:val="0"/>
          <w:sz w:val="24"/>
        </w:rPr>
      </w:pPr>
      <w:r>
        <w:rPr>
          <w:rFonts w:hAnsi="宋体" w:hint="eastAsia"/>
          <w:kern w:val="0"/>
          <w:sz w:val="24"/>
        </w:rPr>
        <w:t>清算费用是指基金财产清算小组在进行基金财产清算过程中发生的所有合理费用，清算费用由基金财产清算小组优先从基金财产中支付。</w:t>
      </w:r>
    </w:p>
    <w:p w14:paraId="7C08484B" w14:textId="77777777" w:rsidR="00791BDD" w:rsidRDefault="00B75151">
      <w:pPr>
        <w:adjustRightInd w:val="0"/>
        <w:snapToGrid w:val="0"/>
        <w:spacing w:line="360" w:lineRule="auto"/>
        <w:ind w:firstLine="482"/>
        <w:outlineLvl w:val="1"/>
        <w:rPr>
          <w:b/>
          <w:bCs/>
          <w:sz w:val="24"/>
        </w:rPr>
      </w:pPr>
      <w:r>
        <w:rPr>
          <w:b/>
          <w:bCs/>
          <w:sz w:val="24"/>
        </w:rPr>
        <w:t>（五）基金财产清算剩余资产的分配</w:t>
      </w:r>
    </w:p>
    <w:p w14:paraId="64CA6034" w14:textId="77777777" w:rsidR="00791BDD" w:rsidRDefault="00B75151">
      <w:pPr>
        <w:adjustRightInd w:val="0"/>
        <w:snapToGrid w:val="0"/>
        <w:spacing w:line="360" w:lineRule="auto"/>
        <w:ind w:firstLineChars="200" w:firstLine="480"/>
        <w:rPr>
          <w:rFonts w:hAnsi="宋体"/>
          <w:kern w:val="0"/>
          <w:sz w:val="24"/>
        </w:rPr>
      </w:pPr>
      <w:r>
        <w:rPr>
          <w:rFonts w:hAnsi="宋体" w:hint="eastAsia"/>
          <w:kern w:val="0"/>
          <w:sz w:val="24"/>
        </w:rPr>
        <w:t>依据基金财产清算的分配方案，将基金财产清算后的全部剩余资产扣除基金财产清算费用、交纳所欠税款并清偿基金债务后，按基金份额持有人持有的基金份额比例进行分配。</w:t>
      </w:r>
    </w:p>
    <w:p w14:paraId="42D98794" w14:textId="77777777" w:rsidR="00791BDD" w:rsidRDefault="00B75151">
      <w:pPr>
        <w:adjustRightInd w:val="0"/>
        <w:snapToGrid w:val="0"/>
        <w:spacing w:line="360" w:lineRule="auto"/>
        <w:ind w:firstLine="482"/>
        <w:outlineLvl w:val="1"/>
        <w:rPr>
          <w:b/>
          <w:bCs/>
          <w:sz w:val="24"/>
        </w:rPr>
      </w:pPr>
      <w:r>
        <w:rPr>
          <w:b/>
          <w:bCs/>
          <w:sz w:val="24"/>
        </w:rPr>
        <w:t>（六）基金财产清算的公告</w:t>
      </w:r>
    </w:p>
    <w:p w14:paraId="2E3306B1" w14:textId="77777777" w:rsidR="00791BDD" w:rsidRDefault="00B75151">
      <w:pPr>
        <w:adjustRightInd w:val="0"/>
        <w:snapToGrid w:val="0"/>
        <w:spacing w:line="360" w:lineRule="auto"/>
        <w:ind w:firstLineChars="200" w:firstLine="480"/>
        <w:rPr>
          <w:rFonts w:hAnsi="宋体"/>
          <w:kern w:val="0"/>
          <w:sz w:val="24"/>
          <w:szCs w:val="24"/>
        </w:rPr>
      </w:pPr>
      <w:r>
        <w:rPr>
          <w:rFonts w:hint="eastAsia"/>
          <w:sz w:val="24"/>
          <w:szCs w:val="24"/>
        </w:rPr>
        <w:t>清算过程中的有关重大事项须及时公告；基金财产清算报告经</w:t>
      </w:r>
      <w:r>
        <w:rPr>
          <w:rFonts w:hint="eastAsia"/>
          <w:bCs/>
          <w:sz w:val="24"/>
        </w:rPr>
        <w:t>符合《中华人民共和国证券法》规定的</w:t>
      </w:r>
      <w:r>
        <w:rPr>
          <w:rFonts w:hint="eastAsia"/>
          <w:sz w:val="24"/>
          <w:szCs w:val="24"/>
        </w:rPr>
        <w:t>会计师事务所审计并由律师事务所出具法律意见书后报中国证监会备案并公告。基金财产清算公告于基金财产清算报告报中国证监会备案后</w:t>
      </w:r>
      <w:r>
        <w:rPr>
          <w:rFonts w:hint="eastAsia"/>
          <w:sz w:val="24"/>
          <w:szCs w:val="24"/>
        </w:rPr>
        <w:t>5</w:t>
      </w:r>
      <w:r>
        <w:rPr>
          <w:rFonts w:hint="eastAsia"/>
          <w:sz w:val="24"/>
          <w:szCs w:val="24"/>
        </w:rPr>
        <w:t>个工作日内由基金财产清算小组进行公告</w:t>
      </w:r>
      <w:r>
        <w:rPr>
          <w:rFonts w:hint="eastAsia"/>
          <w:bCs/>
          <w:sz w:val="24"/>
        </w:rPr>
        <w:t>，基金财产清算小组应当将清算报告登载在规定网站上，并将清算报告提示性公告登载在规定报刊上</w:t>
      </w:r>
      <w:r>
        <w:rPr>
          <w:rFonts w:hint="eastAsia"/>
          <w:sz w:val="24"/>
          <w:szCs w:val="24"/>
        </w:rPr>
        <w:t>。</w:t>
      </w:r>
    </w:p>
    <w:p w14:paraId="76948A8A" w14:textId="77777777" w:rsidR="00791BDD" w:rsidRDefault="00B75151">
      <w:pPr>
        <w:adjustRightInd w:val="0"/>
        <w:snapToGrid w:val="0"/>
        <w:spacing w:line="360" w:lineRule="auto"/>
        <w:ind w:firstLine="482"/>
        <w:outlineLvl w:val="1"/>
        <w:rPr>
          <w:b/>
          <w:bCs/>
          <w:sz w:val="24"/>
        </w:rPr>
      </w:pPr>
      <w:r>
        <w:rPr>
          <w:b/>
          <w:bCs/>
          <w:sz w:val="24"/>
        </w:rPr>
        <w:t>（七）基金财产清算账册及文件的保存</w:t>
      </w:r>
    </w:p>
    <w:p w14:paraId="3B93D2F5" w14:textId="77777777" w:rsidR="00791BDD" w:rsidRDefault="00B75151">
      <w:pPr>
        <w:adjustRightInd w:val="0"/>
        <w:snapToGrid w:val="0"/>
        <w:spacing w:line="360" w:lineRule="auto"/>
        <w:ind w:firstLineChars="200" w:firstLine="480"/>
        <w:rPr>
          <w:rFonts w:ascii="宋体" w:hAnsi="宋体"/>
          <w:kern w:val="0"/>
          <w:sz w:val="24"/>
        </w:rPr>
      </w:pPr>
      <w:r>
        <w:rPr>
          <w:rFonts w:hAnsi="宋体" w:hint="eastAsia"/>
          <w:kern w:val="0"/>
          <w:sz w:val="24"/>
        </w:rPr>
        <w:t>基金财产清算账册及有关文件由基金托管人保存</w:t>
      </w:r>
      <w:r>
        <w:rPr>
          <w:rFonts w:hint="eastAsia"/>
          <w:bCs/>
          <w:sz w:val="24"/>
        </w:rPr>
        <w:t>不低于法律法规规定的最低期限</w:t>
      </w:r>
      <w:r>
        <w:rPr>
          <w:rFonts w:hAnsi="宋体" w:hint="eastAsia"/>
          <w:kern w:val="0"/>
          <w:sz w:val="24"/>
        </w:rPr>
        <w:t>。</w:t>
      </w:r>
      <w:bookmarkEnd w:id="113"/>
    </w:p>
    <w:bookmarkEnd w:id="115"/>
    <w:p w14:paraId="3110E08A" w14:textId="77777777" w:rsidR="00791BDD" w:rsidRDefault="00B75151">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bookmarkStart w:id="116" w:name="_Toc48122020"/>
      <w:bookmarkEnd w:id="114"/>
      <w:r>
        <w:rPr>
          <w:rFonts w:ascii="宋体" w:hAnsi="宋体" w:hint="eastAsia"/>
          <w:b/>
          <w:kern w:val="0"/>
          <w:sz w:val="30"/>
        </w:rPr>
        <w:t>十九、基金合同内容摘要</w:t>
      </w:r>
      <w:bookmarkEnd w:id="116"/>
    </w:p>
    <w:p w14:paraId="6F82D84F" w14:textId="77777777" w:rsidR="00791BDD" w:rsidRDefault="00B75151">
      <w:pPr>
        <w:adjustRightInd w:val="0"/>
        <w:snapToGrid w:val="0"/>
        <w:spacing w:line="360" w:lineRule="auto"/>
        <w:ind w:firstLine="482"/>
        <w:outlineLvl w:val="1"/>
        <w:rPr>
          <w:b/>
          <w:bCs/>
          <w:sz w:val="24"/>
        </w:rPr>
      </w:pPr>
      <w:r>
        <w:rPr>
          <w:b/>
          <w:bCs/>
          <w:sz w:val="24"/>
        </w:rPr>
        <w:t>（一）基金</w:t>
      </w:r>
      <w:r>
        <w:rPr>
          <w:rFonts w:hint="eastAsia"/>
          <w:b/>
          <w:bCs/>
          <w:sz w:val="24"/>
        </w:rPr>
        <w:t>份额持有人、基金管理人和基金托管人的</w:t>
      </w:r>
      <w:r>
        <w:rPr>
          <w:b/>
          <w:bCs/>
          <w:sz w:val="24"/>
        </w:rPr>
        <w:t>权利</w:t>
      </w:r>
      <w:r>
        <w:rPr>
          <w:rFonts w:hint="eastAsia"/>
          <w:b/>
          <w:bCs/>
          <w:sz w:val="24"/>
        </w:rPr>
        <w:t>与</w:t>
      </w:r>
      <w:r>
        <w:rPr>
          <w:b/>
          <w:bCs/>
          <w:sz w:val="24"/>
        </w:rPr>
        <w:t>义务</w:t>
      </w:r>
    </w:p>
    <w:p w14:paraId="09B14829" w14:textId="77777777" w:rsidR="00791BDD" w:rsidRDefault="00B75151">
      <w:pPr>
        <w:adjustRightInd w:val="0"/>
        <w:snapToGrid w:val="0"/>
        <w:spacing w:line="360" w:lineRule="auto"/>
        <w:ind w:firstLineChars="200" w:firstLine="480"/>
        <w:outlineLvl w:val="2"/>
        <w:rPr>
          <w:bCs/>
          <w:sz w:val="24"/>
        </w:rPr>
      </w:pPr>
      <w:r>
        <w:rPr>
          <w:bCs/>
          <w:sz w:val="24"/>
        </w:rPr>
        <w:t>1</w:t>
      </w:r>
      <w:r>
        <w:rPr>
          <w:bCs/>
          <w:sz w:val="24"/>
        </w:rPr>
        <w:t>、基金管理人的权利与义务</w:t>
      </w:r>
    </w:p>
    <w:p w14:paraId="712A114D" w14:textId="77777777" w:rsidR="00791BDD" w:rsidRDefault="00B75151">
      <w:pPr>
        <w:adjustRightInd w:val="0"/>
        <w:snapToGrid w:val="0"/>
        <w:spacing w:line="360" w:lineRule="auto"/>
        <w:ind w:firstLineChars="200" w:firstLine="480"/>
        <w:rPr>
          <w:bCs/>
          <w:sz w:val="24"/>
        </w:rPr>
      </w:pPr>
      <w:r>
        <w:rPr>
          <w:bCs/>
          <w:sz w:val="24"/>
        </w:rPr>
        <w:t>根据《基金法》、《运作办法》及其他有关规定，基金管理人的权利包括但不限于：</w:t>
      </w:r>
    </w:p>
    <w:p w14:paraId="75E6B0F4" w14:textId="77777777" w:rsidR="00791BDD" w:rsidRDefault="00B75151">
      <w:pPr>
        <w:adjustRightInd w:val="0"/>
        <w:snapToGrid w:val="0"/>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2E1F75C1" w14:textId="77777777" w:rsidR="00791BDD" w:rsidRDefault="00B75151">
      <w:pPr>
        <w:adjustRightInd w:val="0"/>
        <w:snapToGrid w:val="0"/>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07F5435C" w14:textId="77777777" w:rsidR="00791BDD" w:rsidRDefault="00B75151">
      <w:pPr>
        <w:adjustRightInd w:val="0"/>
        <w:snapToGrid w:val="0"/>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6725D685" w14:textId="77777777" w:rsidR="00791BDD" w:rsidRDefault="00B75151">
      <w:pPr>
        <w:adjustRightInd w:val="0"/>
        <w:snapToGrid w:val="0"/>
        <w:spacing w:line="360" w:lineRule="auto"/>
        <w:ind w:firstLineChars="200" w:firstLine="480"/>
        <w:rPr>
          <w:bCs/>
          <w:sz w:val="24"/>
        </w:rPr>
      </w:pPr>
      <w:r>
        <w:rPr>
          <w:bCs/>
          <w:sz w:val="24"/>
        </w:rPr>
        <w:t>（</w:t>
      </w:r>
      <w:r>
        <w:rPr>
          <w:bCs/>
          <w:sz w:val="24"/>
        </w:rPr>
        <w:t>4</w:t>
      </w:r>
      <w:r>
        <w:rPr>
          <w:bCs/>
          <w:sz w:val="24"/>
        </w:rPr>
        <w:t>）销售基金份额；</w:t>
      </w:r>
    </w:p>
    <w:p w14:paraId="31A38BB4" w14:textId="77777777" w:rsidR="00791BDD" w:rsidRDefault="00B75151">
      <w:pPr>
        <w:adjustRightInd w:val="0"/>
        <w:snapToGrid w:val="0"/>
        <w:spacing w:line="360" w:lineRule="auto"/>
        <w:ind w:firstLineChars="200" w:firstLine="480"/>
        <w:rPr>
          <w:bCs/>
          <w:sz w:val="24"/>
        </w:rPr>
      </w:pPr>
      <w:r>
        <w:rPr>
          <w:bCs/>
          <w:sz w:val="24"/>
        </w:rPr>
        <w:t>（</w:t>
      </w:r>
      <w:r>
        <w:rPr>
          <w:bCs/>
          <w:sz w:val="24"/>
        </w:rPr>
        <w:t>5</w:t>
      </w:r>
      <w:r>
        <w:rPr>
          <w:bCs/>
          <w:sz w:val="24"/>
        </w:rPr>
        <w:t>）</w:t>
      </w:r>
      <w:r>
        <w:rPr>
          <w:rFonts w:hint="eastAsia"/>
          <w:bCs/>
          <w:sz w:val="24"/>
        </w:rPr>
        <w:t>按照规定</w:t>
      </w:r>
      <w:r>
        <w:rPr>
          <w:bCs/>
          <w:sz w:val="24"/>
        </w:rPr>
        <w:t>召集基金份额持有人大会；</w:t>
      </w:r>
    </w:p>
    <w:p w14:paraId="6A3334A1" w14:textId="77777777" w:rsidR="00791BDD" w:rsidRDefault="00B75151">
      <w:pPr>
        <w:adjustRightInd w:val="0"/>
        <w:snapToGrid w:val="0"/>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49770630" w14:textId="77777777" w:rsidR="00791BDD" w:rsidRDefault="00B75151">
      <w:pPr>
        <w:adjustRightInd w:val="0"/>
        <w:snapToGrid w:val="0"/>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76354962" w14:textId="77777777" w:rsidR="00791BDD" w:rsidRDefault="00B75151">
      <w:pPr>
        <w:adjustRightInd w:val="0"/>
        <w:snapToGrid w:val="0"/>
        <w:spacing w:line="360" w:lineRule="auto"/>
        <w:ind w:firstLineChars="200" w:firstLine="480"/>
        <w:rPr>
          <w:bCs/>
          <w:sz w:val="24"/>
        </w:rPr>
      </w:pPr>
      <w:r>
        <w:rPr>
          <w:bCs/>
          <w:sz w:val="24"/>
        </w:rPr>
        <w:t>（</w:t>
      </w:r>
      <w:r>
        <w:rPr>
          <w:bCs/>
          <w:sz w:val="24"/>
        </w:rPr>
        <w:t>8</w:t>
      </w:r>
      <w:r>
        <w:rPr>
          <w:bCs/>
          <w:sz w:val="24"/>
        </w:rPr>
        <w:t>）选择、更换基金销售机构，对基金销售机构的相关行为进行监督和处理；</w:t>
      </w:r>
    </w:p>
    <w:p w14:paraId="754D2EA8" w14:textId="77777777" w:rsidR="00791BDD" w:rsidRDefault="00B75151">
      <w:pPr>
        <w:adjustRightInd w:val="0"/>
        <w:snapToGrid w:val="0"/>
        <w:spacing w:line="360" w:lineRule="auto"/>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p>
    <w:p w14:paraId="2D03DF30" w14:textId="77777777" w:rsidR="00791BDD" w:rsidRDefault="00B75151">
      <w:pPr>
        <w:adjustRightInd w:val="0"/>
        <w:snapToGrid w:val="0"/>
        <w:spacing w:line="360" w:lineRule="auto"/>
        <w:ind w:firstLineChars="200" w:firstLine="480"/>
        <w:rPr>
          <w:bCs/>
          <w:sz w:val="24"/>
        </w:rPr>
      </w:pPr>
      <w:r>
        <w:rPr>
          <w:bCs/>
          <w:sz w:val="24"/>
        </w:rPr>
        <w:t>（</w:t>
      </w:r>
      <w:r>
        <w:rPr>
          <w:bCs/>
          <w:sz w:val="24"/>
        </w:rPr>
        <w:t>10</w:t>
      </w:r>
      <w:r>
        <w:rPr>
          <w:bCs/>
          <w:sz w:val="24"/>
        </w:rPr>
        <w:t>）依据《基金合同》及有关法律规定决定基金收益的分配方案；</w:t>
      </w:r>
    </w:p>
    <w:p w14:paraId="08960D88" w14:textId="77777777" w:rsidR="00791BDD" w:rsidRDefault="00B75151">
      <w:pPr>
        <w:adjustRightInd w:val="0"/>
        <w:snapToGrid w:val="0"/>
        <w:spacing w:line="360" w:lineRule="auto"/>
        <w:ind w:firstLineChars="200" w:firstLine="480"/>
        <w:rPr>
          <w:bCs/>
          <w:sz w:val="24"/>
        </w:rPr>
      </w:pPr>
      <w:r>
        <w:rPr>
          <w:bCs/>
          <w:sz w:val="24"/>
        </w:rPr>
        <w:t>（</w:t>
      </w:r>
      <w:r>
        <w:rPr>
          <w:bCs/>
          <w:sz w:val="24"/>
        </w:rPr>
        <w:t>11</w:t>
      </w:r>
      <w:r>
        <w:rPr>
          <w:bCs/>
          <w:sz w:val="24"/>
        </w:rPr>
        <w:t>）在《基金合同》约定的范围内，拒绝或暂停受理申购与赎回申请；</w:t>
      </w:r>
    </w:p>
    <w:p w14:paraId="7F91CCC1" w14:textId="77777777" w:rsidR="00791BDD" w:rsidRDefault="00B75151">
      <w:pPr>
        <w:adjustRightInd w:val="0"/>
        <w:snapToGrid w:val="0"/>
        <w:spacing w:line="360" w:lineRule="auto"/>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14:paraId="17690AB7" w14:textId="77777777" w:rsidR="00791BDD" w:rsidRDefault="00B75151">
      <w:pPr>
        <w:adjustRightInd w:val="0"/>
        <w:snapToGrid w:val="0"/>
        <w:spacing w:line="360" w:lineRule="auto"/>
        <w:ind w:firstLineChars="200" w:firstLine="480"/>
        <w:rPr>
          <w:bCs/>
          <w:sz w:val="24"/>
        </w:rPr>
      </w:pPr>
      <w:r>
        <w:rPr>
          <w:bCs/>
          <w:sz w:val="24"/>
        </w:rPr>
        <w:t>（</w:t>
      </w:r>
      <w:r>
        <w:rPr>
          <w:bCs/>
          <w:sz w:val="24"/>
        </w:rPr>
        <w:t>13</w:t>
      </w:r>
      <w:r>
        <w:rPr>
          <w:bCs/>
          <w:sz w:val="24"/>
        </w:rPr>
        <w:t>）在法律法规允许的前提下，为基金的利益依法为基金进行融资；</w:t>
      </w:r>
    </w:p>
    <w:p w14:paraId="33CCD909" w14:textId="77777777" w:rsidR="00791BDD" w:rsidRDefault="00B75151">
      <w:pPr>
        <w:adjustRightInd w:val="0"/>
        <w:snapToGrid w:val="0"/>
        <w:spacing w:line="360" w:lineRule="auto"/>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54AEFDD8" w14:textId="77777777" w:rsidR="00791BDD" w:rsidRDefault="00B75151">
      <w:pPr>
        <w:adjustRightInd w:val="0"/>
        <w:snapToGrid w:val="0"/>
        <w:spacing w:line="360" w:lineRule="auto"/>
        <w:ind w:firstLineChars="200" w:firstLine="480"/>
        <w:rPr>
          <w:bCs/>
          <w:sz w:val="24"/>
        </w:rPr>
      </w:pPr>
      <w:r>
        <w:rPr>
          <w:bCs/>
          <w:sz w:val="24"/>
        </w:rPr>
        <w:t>（</w:t>
      </w:r>
      <w:r>
        <w:rPr>
          <w:bCs/>
          <w:sz w:val="24"/>
        </w:rPr>
        <w:t>15</w:t>
      </w:r>
      <w:r>
        <w:rPr>
          <w:bCs/>
          <w:sz w:val="24"/>
        </w:rPr>
        <w:t>）选择、更换律师事务所、会计师事务所、证券经纪商</w:t>
      </w:r>
      <w:r>
        <w:rPr>
          <w:rFonts w:hint="eastAsia"/>
          <w:bCs/>
          <w:sz w:val="24"/>
        </w:rPr>
        <w:t>、期货经纪机构</w:t>
      </w:r>
      <w:r>
        <w:rPr>
          <w:bCs/>
          <w:sz w:val="24"/>
        </w:rPr>
        <w:t>或其他为基金提供服务的外部机构；</w:t>
      </w:r>
      <w:r>
        <w:rPr>
          <w:bCs/>
          <w:sz w:val="24"/>
        </w:rPr>
        <w:tab/>
      </w:r>
    </w:p>
    <w:p w14:paraId="584D1D8F" w14:textId="77777777" w:rsidR="00791BDD" w:rsidRDefault="00B75151">
      <w:pPr>
        <w:adjustRightInd w:val="0"/>
        <w:snapToGrid w:val="0"/>
        <w:spacing w:line="360" w:lineRule="auto"/>
        <w:ind w:firstLineChars="200" w:firstLine="480"/>
        <w:rPr>
          <w:bCs/>
          <w:sz w:val="24"/>
        </w:rPr>
      </w:pPr>
      <w:r>
        <w:rPr>
          <w:bCs/>
          <w:sz w:val="24"/>
        </w:rPr>
        <w:t>（</w:t>
      </w:r>
      <w:r>
        <w:rPr>
          <w:bCs/>
          <w:sz w:val="24"/>
        </w:rPr>
        <w:t>16</w:t>
      </w:r>
      <w:r>
        <w:rPr>
          <w:bCs/>
          <w:sz w:val="24"/>
        </w:rPr>
        <w:t>）在符合有关法律、法规的前提下，制</w:t>
      </w:r>
      <w:r>
        <w:rPr>
          <w:rFonts w:hint="eastAsia"/>
          <w:bCs/>
          <w:sz w:val="24"/>
        </w:rPr>
        <w:t>定</w:t>
      </w:r>
      <w:r>
        <w:rPr>
          <w:bCs/>
          <w:sz w:val="24"/>
        </w:rPr>
        <w:t>和调整有关基金认购、申购、赎回、转换</w:t>
      </w:r>
      <w:r>
        <w:rPr>
          <w:rFonts w:hint="eastAsia"/>
          <w:bCs/>
          <w:sz w:val="24"/>
        </w:rPr>
        <w:t>等</w:t>
      </w:r>
      <w:r>
        <w:rPr>
          <w:bCs/>
          <w:sz w:val="24"/>
        </w:rPr>
        <w:t>的业务规则；</w:t>
      </w:r>
    </w:p>
    <w:p w14:paraId="2173EBD7" w14:textId="77777777" w:rsidR="00791BDD" w:rsidRDefault="00B75151">
      <w:pPr>
        <w:adjustRightInd w:val="0"/>
        <w:snapToGrid w:val="0"/>
        <w:spacing w:line="360" w:lineRule="auto"/>
        <w:ind w:firstLineChars="200" w:firstLine="480"/>
        <w:rPr>
          <w:bCs/>
          <w:sz w:val="24"/>
        </w:rPr>
      </w:pPr>
      <w:r>
        <w:rPr>
          <w:bCs/>
          <w:sz w:val="24"/>
        </w:rPr>
        <w:t>（</w:t>
      </w:r>
      <w:r>
        <w:rPr>
          <w:bCs/>
          <w:sz w:val="24"/>
        </w:rPr>
        <w:t>17</w:t>
      </w:r>
      <w:r>
        <w:rPr>
          <w:bCs/>
          <w:sz w:val="24"/>
        </w:rPr>
        <w:t>）法律法规及中国证监会规定的和《基金合同》约定的其他权利。</w:t>
      </w:r>
    </w:p>
    <w:p w14:paraId="772B585D" w14:textId="77777777" w:rsidR="00791BDD" w:rsidRDefault="00B75151">
      <w:pPr>
        <w:adjustRightInd w:val="0"/>
        <w:snapToGrid w:val="0"/>
        <w:spacing w:line="360" w:lineRule="auto"/>
        <w:ind w:firstLineChars="200" w:firstLine="480"/>
        <w:rPr>
          <w:bCs/>
          <w:sz w:val="24"/>
        </w:rPr>
      </w:pPr>
      <w:r>
        <w:rPr>
          <w:bCs/>
          <w:sz w:val="24"/>
        </w:rPr>
        <w:t>根据《基金法》、《运作办法》及其他有关规定，基金管理人的义务包括但不限于：</w:t>
      </w:r>
    </w:p>
    <w:p w14:paraId="54E9F001" w14:textId="77777777" w:rsidR="00791BDD" w:rsidRDefault="00B75151">
      <w:pPr>
        <w:adjustRightInd w:val="0"/>
        <w:snapToGrid w:val="0"/>
        <w:spacing w:line="360" w:lineRule="auto"/>
        <w:ind w:firstLineChars="200" w:firstLine="480"/>
        <w:rPr>
          <w:bCs/>
          <w:sz w:val="24"/>
        </w:rPr>
      </w:pPr>
      <w:bookmarkStart w:id="117" w:name="_Hlt88897298"/>
      <w:bookmarkEnd w:id="117"/>
      <w:r>
        <w:rPr>
          <w:rFonts w:hint="eastAsia"/>
          <w:bCs/>
          <w:sz w:val="24"/>
        </w:rPr>
        <w:t>（</w:t>
      </w:r>
      <w:r>
        <w:rPr>
          <w:rFonts w:hint="eastAsia"/>
          <w:bCs/>
          <w:sz w:val="24"/>
        </w:rPr>
        <w:t>1</w:t>
      </w:r>
      <w:r>
        <w:rPr>
          <w:rFonts w:hint="eastAsia"/>
          <w:bCs/>
          <w:sz w:val="24"/>
        </w:rPr>
        <w:t>）依法募集资金，办理或者委托经中国证监会认定的其他机构办理基金份额的发售、申购、赎回和登记事宜；</w:t>
      </w:r>
    </w:p>
    <w:p w14:paraId="2DA938E5"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2</w:t>
      </w:r>
      <w:r>
        <w:rPr>
          <w:rFonts w:hint="eastAsia"/>
          <w:bCs/>
          <w:sz w:val="24"/>
        </w:rPr>
        <w:t>）办理基金备案手续；</w:t>
      </w:r>
    </w:p>
    <w:p w14:paraId="4FF87D8F"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3</w:t>
      </w:r>
      <w:r>
        <w:rPr>
          <w:rFonts w:hint="eastAsia"/>
          <w:bCs/>
          <w:sz w:val="24"/>
        </w:rPr>
        <w:t>）自《基金合同》生效之日起，以诚实信用、谨慎勤勉的原则管理和运用基金财产；</w:t>
      </w:r>
    </w:p>
    <w:p w14:paraId="0AF5C506"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4</w:t>
      </w:r>
      <w:r>
        <w:rPr>
          <w:rFonts w:hint="eastAsia"/>
          <w:bCs/>
          <w:sz w:val="24"/>
        </w:rPr>
        <w:t>）配备足够的具有专业资格的人员进行基金投资分析、决策，以专业化的经营方式管理和运作基金财产；</w:t>
      </w:r>
    </w:p>
    <w:p w14:paraId="11942424"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5</w:t>
      </w:r>
      <w:r>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7B3B2BF3"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6</w:t>
      </w:r>
      <w:r>
        <w:rPr>
          <w:rFonts w:hint="eastAsia"/>
          <w:bCs/>
          <w:sz w:val="24"/>
        </w:rPr>
        <w:t>）除依据《基金法》、《基金合同》及其他有关规定外，不得利用基金财产为自己及任何第三人谋取利益，不得委托第三人运作基金财产；</w:t>
      </w:r>
    </w:p>
    <w:p w14:paraId="2812164B"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7</w:t>
      </w:r>
      <w:r>
        <w:rPr>
          <w:rFonts w:hint="eastAsia"/>
          <w:bCs/>
          <w:sz w:val="24"/>
        </w:rPr>
        <w:t>）依法接受基金托管人的监督；</w:t>
      </w:r>
    </w:p>
    <w:p w14:paraId="58EE0F64"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8</w:t>
      </w:r>
      <w:r>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14:paraId="3FD1487E"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9</w:t>
      </w:r>
      <w:r>
        <w:rPr>
          <w:rFonts w:hint="eastAsia"/>
          <w:bCs/>
          <w:sz w:val="24"/>
        </w:rPr>
        <w:t>）进行基金会计核算并编制基金财务会计报告；</w:t>
      </w:r>
    </w:p>
    <w:p w14:paraId="5AD6E975"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10</w:t>
      </w:r>
      <w:r>
        <w:rPr>
          <w:rFonts w:hint="eastAsia"/>
          <w:bCs/>
          <w:sz w:val="24"/>
        </w:rPr>
        <w:t>）编制季度报告、中期报告和年度报告；</w:t>
      </w:r>
    </w:p>
    <w:p w14:paraId="01C705A0"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11</w:t>
      </w:r>
      <w:r>
        <w:rPr>
          <w:rFonts w:hint="eastAsia"/>
          <w:bCs/>
          <w:sz w:val="24"/>
        </w:rPr>
        <w:t>）严格按照《基金法》、《基金合同》及其他有关规定，履行信息披露及报告义务；</w:t>
      </w:r>
    </w:p>
    <w:p w14:paraId="4B2F6F9D"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12</w:t>
      </w:r>
      <w:r>
        <w:rPr>
          <w:rFonts w:hint="eastAsia"/>
          <w:bCs/>
          <w:sz w:val="24"/>
        </w:rPr>
        <w:t>）保守基金商业秘密，不泄露基金投资计划、投资意向等。除《基金法》、《基金合同》及其他有关规定另有规定外，在基金信息公开披露前应予保密，不向他人泄露；但根据监管机构、司法机关等有权机关的要求提供，或因审计、法律等外部专业顾问提供服务需要提供的情况除外；</w:t>
      </w:r>
    </w:p>
    <w:p w14:paraId="75D9C57B"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13</w:t>
      </w:r>
      <w:r>
        <w:rPr>
          <w:rFonts w:hint="eastAsia"/>
          <w:bCs/>
          <w:sz w:val="24"/>
        </w:rPr>
        <w:t>）按《基金合同》的约定确定基金收益分配方案，及时向基金份额持有人分配基金收益；</w:t>
      </w:r>
    </w:p>
    <w:p w14:paraId="3E7A02A9"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14</w:t>
      </w:r>
      <w:r>
        <w:rPr>
          <w:rFonts w:hint="eastAsia"/>
          <w:bCs/>
          <w:sz w:val="24"/>
        </w:rPr>
        <w:t>）按规定受理申购与赎回申请，及时、足额支付赎回款项；</w:t>
      </w:r>
    </w:p>
    <w:p w14:paraId="69C4D459"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）依据《基金法》、《基金合同》及其他有关规定召集基金份额持有人大会或配合基金托管人、基金份额持有人依法召集基金份额持有人大会；</w:t>
      </w:r>
    </w:p>
    <w:p w14:paraId="3F135B0F"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16</w:t>
      </w:r>
      <w:r>
        <w:rPr>
          <w:rFonts w:hint="eastAsia"/>
          <w:bCs/>
          <w:sz w:val="24"/>
        </w:rPr>
        <w:t>）按规定保存基金财产管理业务活动的会计账册、报表、记录和其他相关资料不低于法律法规规定的最低期限；</w:t>
      </w:r>
    </w:p>
    <w:p w14:paraId="64992A89"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17</w:t>
      </w:r>
      <w:r>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301ACAC"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18</w:t>
      </w:r>
      <w:r>
        <w:rPr>
          <w:rFonts w:hint="eastAsia"/>
          <w:bCs/>
          <w:sz w:val="24"/>
        </w:rPr>
        <w:t>）组织并参加基金财产清算小组，参与基金财产的保管、清理、估价、变现和分配；</w:t>
      </w:r>
    </w:p>
    <w:p w14:paraId="524A39B2"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19</w:t>
      </w:r>
      <w:r>
        <w:rPr>
          <w:rFonts w:hint="eastAsia"/>
          <w:bCs/>
          <w:sz w:val="24"/>
        </w:rPr>
        <w:t>）面临解散、依法被撤销或者被依法宣告破产时，及时报告中国证监会并通知基金托管人；</w:t>
      </w:r>
    </w:p>
    <w:p w14:paraId="04943B22"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20</w:t>
      </w:r>
      <w:r>
        <w:rPr>
          <w:rFonts w:hint="eastAsia"/>
          <w:bCs/>
          <w:sz w:val="24"/>
        </w:rPr>
        <w:t>）因违反《基金合同》导致基金财产的损失或损害基金份额持有人合法权益时，应当承担赔偿责任，其赔偿责任不因其退任而免除；</w:t>
      </w:r>
    </w:p>
    <w:p w14:paraId="45AD362F"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21</w:t>
      </w:r>
      <w:r>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210470B5"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22</w:t>
      </w:r>
      <w:r>
        <w:rPr>
          <w:rFonts w:hint="eastAsia"/>
          <w:bCs/>
          <w:sz w:val="24"/>
        </w:rPr>
        <w:t>）当基金管理人将其义务委托第三方处理时，应当对第三方处理有关基金事务的行为承担责任；</w:t>
      </w:r>
    </w:p>
    <w:p w14:paraId="42649C1B"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23</w:t>
      </w:r>
      <w:r>
        <w:rPr>
          <w:rFonts w:hint="eastAsia"/>
          <w:bCs/>
          <w:sz w:val="24"/>
        </w:rPr>
        <w:t>）以基金管理人名义，代表基金份额持有人利益行使诉讼权利或实施其他法律行为；</w:t>
      </w:r>
      <w:r>
        <w:rPr>
          <w:rFonts w:hint="eastAsia"/>
          <w:bCs/>
          <w:sz w:val="24"/>
        </w:rPr>
        <w:tab/>
      </w:r>
    </w:p>
    <w:p w14:paraId="28C5952C"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24</w:t>
      </w:r>
      <w:r>
        <w:rPr>
          <w:rFonts w:hint="eastAsia"/>
          <w:bCs/>
          <w:sz w:val="24"/>
        </w:rPr>
        <w:t>）基金管理人在募集期间未能达到基金的备案条件，《基金合同》不能生效，基金管理人承担因募集行为而产生的债务和费用，将已募集资金并加计银行同期活期存款利息在基金募集期结束后</w:t>
      </w:r>
      <w:r>
        <w:rPr>
          <w:rFonts w:hint="eastAsia"/>
          <w:bCs/>
          <w:sz w:val="24"/>
        </w:rPr>
        <w:t>30</w:t>
      </w:r>
      <w:r>
        <w:rPr>
          <w:rFonts w:hint="eastAsia"/>
          <w:bCs/>
          <w:sz w:val="24"/>
        </w:rPr>
        <w:t>日内退还基金认购人；</w:t>
      </w:r>
    </w:p>
    <w:p w14:paraId="3EF878E6"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25</w:t>
      </w:r>
      <w:r>
        <w:rPr>
          <w:rFonts w:hint="eastAsia"/>
          <w:bCs/>
          <w:sz w:val="24"/>
        </w:rPr>
        <w:t>）执行生效的基金份额持有人大会的决议；</w:t>
      </w:r>
    </w:p>
    <w:p w14:paraId="5D42E712"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26</w:t>
      </w:r>
      <w:r>
        <w:rPr>
          <w:rFonts w:hint="eastAsia"/>
          <w:bCs/>
          <w:sz w:val="24"/>
        </w:rPr>
        <w:t>）建立并保存基金份额持有人名册；</w:t>
      </w:r>
    </w:p>
    <w:p w14:paraId="6AA77D5F" w14:textId="77777777" w:rsidR="00791BDD" w:rsidRDefault="00B75151">
      <w:pPr>
        <w:adjustRightInd w:val="0"/>
        <w:snapToGrid w:val="0"/>
        <w:spacing w:line="360" w:lineRule="auto"/>
        <w:ind w:firstLineChars="200" w:firstLine="480"/>
        <w:outlineLvl w:val="2"/>
        <w:rPr>
          <w:bCs/>
          <w:sz w:val="24"/>
        </w:rPr>
      </w:pPr>
      <w:r>
        <w:rPr>
          <w:rFonts w:hint="eastAsia"/>
          <w:bCs/>
          <w:sz w:val="24"/>
        </w:rPr>
        <w:t>（</w:t>
      </w:r>
      <w:r>
        <w:rPr>
          <w:rFonts w:hint="eastAsia"/>
          <w:bCs/>
          <w:sz w:val="24"/>
        </w:rPr>
        <w:t>27</w:t>
      </w:r>
      <w:r>
        <w:rPr>
          <w:rFonts w:hint="eastAsia"/>
          <w:bCs/>
          <w:sz w:val="24"/>
        </w:rPr>
        <w:t>）法律法规及中国证监会规定的和《基金合同》约定的其他义务。</w:t>
      </w:r>
    </w:p>
    <w:p w14:paraId="36818B91" w14:textId="77777777" w:rsidR="00791BDD" w:rsidRDefault="00B75151">
      <w:pPr>
        <w:adjustRightInd w:val="0"/>
        <w:snapToGrid w:val="0"/>
        <w:spacing w:line="360" w:lineRule="auto"/>
        <w:ind w:firstLineChars="200" w:firstLine="480"/>
        <w:outlineLvl w:val="2"/>
        <w:rPr>
          <w:bCs/>
          <w:sz w:val="24"/>
        </w:rPr>
      </w:pPr>
      <w:r>
        <w:rPr>
          <w:bCs/>
          <w:sz w:val="24"/>
        </w:rPr>
        <w:t>2</w:t>
      </w:r>
      <w:r>
        <w:rPr>
          <w:bCs/>
          <w:sz w:val="24"/>
        </w:rPr>
        <w:t>、基金托管人的权利与义务</w:t>
      </w:r>
    </w:p>
    <w:p w14:paraId="22D3FC4A" w14:textId="77777777" w:rsidR="00791BDD" w:rsidRDefault="00B75151">
      <w:pPr>
        <w:adjustRightInd w:val="0"/>
        <w:snapToGrid w:val="0"/>
        <w:spacing w:line="360" w:lineRule="auto"/>
        <w:ind w:firstLineChars="200" w:firstLine="480"/>
        <w:rPr>
          <w:bCs/>
          <w:sz w:val="24"/>
        </w:rPr>
      </w:pPr>
      <w:r>
        <w:rPr>
          <w:bCs/>
          <w:sz w:val="24"/>
        </w:rPr>
        <w:t>根据《基金法》、《运作办法》及其他有关规定，基金托管人的权利包括但不限于：</w:t>
      </w:r>
    </w:p>
    <w:p w14:paraId="398268B7"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1</w:t>
      </w:r>
      <w:r>
        <w:rPr>
          <w:rFonts w:hint="eastAsia"/>
          <w:bCs/>
          <w:sz w:val="24"/>
        </w:rPr>
        <w:t>）自《基金合同》生效之日起，依法律法规和《基金合同》的规定安全保管基金财产；</w:t>
      </w:r>
    </w:p>
    <w:p w14:paraId="5AF81968"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2</w:t>
      </w:r>
      <w:r>
        <w:rPr>
          <w:rFonts w:hint="eastAsia"/>
          <w:bCs/>
          <w:sz w:val="24"/>
        </w:rPr>
        <w:t>）依《基金合同》约定获得基金托管费以及法律法规规定或监管部门批准的其他费用；</w:t>
      </w:r>
    </w:p>
    <w:p w14:paraId="7AF39E51"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3</w:t>
      </w:r>
      <w:r>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F0D8D12"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4</w:t>
      </w:r>
      <w:r>
        <w:rPr>
          <w:rFonts w:hint="eastAsia"/>
          <w:bCs/>
          <w:sz w:val="24"/>
        </w:rPr>
        <w:t>）根据相关市场规则，为基金开设资金账户、证券账户等投资所需账户，为基金办理证券交易资金清算，本基金合同或《托管协议》另有约定的除外；</w:t>
      </w:r>
    </w:p>
    <w:p w14:paraId="75E9F148"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5</w:t>
      </w:r>
      <w:r>
        <w:rPr>
          <w:rFonts w:hint="eastAsia"/>
          <w:bCs/>
          <w:sz w:val="24"/>
        </w:rPr>
        <w:t>）提议召开或召集基金份额持有人大会；</w:t>
      </w:r>
    </w:p>
    <w:p w14:paraId="2ADA6034"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6</w:t>
      </w:r>
      <w:r>
        <w:rPr>
          <w:rFonts w:hint="eastAsia"/>
          <w:bCs/>
          <w:sz w:val="24"/>
        </w:rPr>
        <w:t>）在基金管理人更换时，提名新的基金管理人；</w:t>
      </w:r>
    </w:p>
    <w:p w14:paraId="16A966E9"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7</w:t>
      </w:r>
      <w:r>
        <w:rPr>
          <w:rFonts w:hint="eastAsia"/>
          <w:bCs/>
          <w:sz w:val="24"/>
        </w:rPr>
        <w:t>）法律法规及中国证监会规定的和《基金合同》约定的其他权利。</w:t>
      </w:r>
    </w:p>
    <w:p w14:paraId="7BDDBF13" w14:textId="77777777" w:rsidR="00791BDD" w:rsidRDefault="00B75151">
      <w:pPr>
        <w:adjustRightInd w:val="0"/>
        <w:snapToGrid w:val="0"/>
        <w:spacing w:line="360" w:lineRule="auto"/>
        <w:ind w:firstLineChars="200" w:firstLine="480"/>
        <w:rPr>
          <w:bCs/>
          <w:sz w:val="24"/>
        </w:rPr>
      </w:pPr>
      <w:r>
        <w:rPr>
          <w:bCs/>
          <w:sz w:val="24"/>
        </w:rPr>
        <w:t>根据《基金法》、《运作办法》及其他有关规定，基金托管人的义务包括但不限于：</w:t>
      </w:r>
    </w:p>
    <w:p w14:paraId="04F83238"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1</w:t>
      </w:r>
      <w:r>
        <w:rPr>
          <w:rFonts w:hint="eastAsia"/>
          <w:bCs/>
          <w:sz w:val="24"/>
        </w:rPr>
        <w:t>）以诚实信用、勤勉尽责的原则持有并安全保管基金财产；</w:t>
      </w:r>
    </w:p>
    <w:p w14:paraId="40AB3AA0"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2</w:t>
      </w:r>
      <w:r>
        <w:rPr>
          <w:rFonts w:hint="eastAsia"/>
          <w:bCs/>
          <w:sz w:val="24"/>
        </w:rPr>
        <w:t>）设立专门的基金托管部门，具有符合要求的营业场所，配备足够的、合格的熟悉基金托管业务的专职人员，负责基金财产托管事宜；</w:t>
      </w:r>
    </w:p>
    <w:p w14:paraId="03F4F361"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3</w:t>
      </w:r>
      <w:r>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7298F40"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4</w:t>
      </w:r>
      <w:r>
        <w:rPr>
          <w:rFonts w:hint="eastAsia"/>
          <w:bCs/>
          <w:sz w:val="24"/>
        </w:rPr>
        <w:t>）除依据《基金法》、《基金合同》及其他有关规定外，不得利用基金财产为自己及任何第三人谋取利益，不得委托第三人托管基金财产；</w:t>
      </w:r>
    </w:p>
    <w:p w14:paraId="4069813D"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5</w:t>
      </w:r>
      <w:r>
        <w:rPr>
          <w:rFonts w:hint="eastAsia"/>
          <w:bCs/>
          <w:sz w:val="24"/>
        </w:rPr>
        <w:t>）保管由基金管理人代表基金签订的与基金有关的重大合同及有关凭证；</w:t>
      </w:r>
    </w:p>
    <w:p w14:paraId="2A8FC5B9"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6</w:t>
      </w:r>
      <w:r>
        <w:rPr>
          <w:rFonts w:hint="eastAsia"/>
          <w:bCs/>
          <w:sz w:val="24"/>
        </w:rPr>
        <w:t>）按规定开设基金财产的资金账户、证券账户等投资所需账户，按照《基金合同》的约定，根据基金管理人的投资指令，及时办理清算、交割事宜；</w:t>
      </w:r>
    </w:p>
    <w:p w14:paraId="68A10566"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7</w:t>
      </w:r>
      <w:r>
        <w:rPr>
          <w:rFonts w:hint="eastAsia"/>
          <w:bCs/>
          <w:sz w:val="24"/>
        </w:rPr>
        <w:t>）保守基金商业秘密，除《基金法》、《基金合同》及其他有关规定另有规定外，在基金信息公开披露前予以保密，不得向他人泄露；但根据监管机构、司法机关等有权机关的要求提供，或因审计、法律等外部专业顾问提供服务需要提供的情况除外；</w:t>
      </w:r>
    </w:p>
    <w:p w14:paraId="045906EE"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8</w:t>
      </w:r>
      <w:r>
        <w:rPr>
          <w:rFonts w:hint="eastAsia"/>
          <w:bCs/>
          <w:sz w:val="24"/>
        </w:rPr>
        <w:t>）复核、审查基金管理人计算的基金资产净值、基金份额净值、基金份额申购、赎回价格；</w:t>
      </w:r>
    </w:p>
    <w:p w14:paraId="666B8903"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9</w:t>
      </w:r>
      <w:r>
        <w:rPr>
          <w:rFonts w:hint="eastAsia"/>
          <w:bCs/>
          <w:sz w:val="24"/>
        </w:rPr>
        <w:t>）办理与基金托管业务活动有关的信息披露事项；</w:t>
      </w:r>
    </w:p>
    <w:p w14:paraId="46742CE7"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10</w:t>
      </w:r>
      <w:r>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71EB7A93"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11</w:t>
      </w:r>
      <w:r>
        <w:rPr>
          <w:rFonts w:hint="eastAsia"/>
          <w:bCs/>
          <w:sz w:val="24"/>
        </w:rPr>
        <w:t>）保存基金托管业务活动的记录、账册、报表和其他相关资料不低于法律法规规定的最低期限；</w:t>
      </w:r>
    </w:p>
    <w:p w14:paraId="71CA3F61"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12</w:t>
      </w:r>
      <w:r>
        <w:rPr>
          <w:rFonts w:hint="eastAsia"/>
          <w:bCs/>
          <w:sz w:val="24"/>
        </w:rPr>
        <w:t>）从基金管理人或其委托的登记机构处接收并保存基金份额持有人名册；</w:t>
      </w:r>
    </w:p>
    <w:p w14:paraId="76EE4E51"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13</w:t>
      </w:r>
      <w:r>
        <w:rPr>
          <w:rFonts w:hint="eastAsia"/>
          <w:bCs/>
          <w:sz w:val="24"/>
        </w:rPr>
        <w:t>）按规定制作相关账册并与基金管理人核对；</w:t>
      </w:r>
    </w:p>
    <w:p w14:paraId="2F3F70CA"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14</w:t>
      </w:r>
      <w:r>
        <w:rPr>
          <w:rFonts w:hint="eastAsia"/>
          <w:bCs/>
          <w:sz w:val="24"/>
        </w:rPr>
        <w:t>）依据基金管理人的指令或有关规定向基金份额持有人支付基金收益和赎回款项；</w:t>
      </w:r>
    </w:p>
    <w:p w14:paraId="2FD6B67F"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）依据《基金法》、《基金合同》及其他有关规定，召集基金份额持有人大会或配合基金管理人、基金份额持有人依法召集基金份额持有人大会；</w:t>
      </w:r>
    </w:p>
    <w:p w14:paraId="5B23FA0E"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16</w:t>
      </w:r>
      <w:r>
        <w:rPr>
          <w:rFonts w:hint="eastAsia"/>
          <w:bCs/>
          <w:sz w:val="24"/>
        </w:rPr>
        <w:t>）按照法律法规和《基金合同》的规定监督基金管理人的投资运作；</w:t>
      </w:r>
    </w:p>
    <w:p w14:paraId="0E3CD5B6"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17</w:t>
      </w:r>
      <w:r>
        <w:rPr>
          <w:rFonts w:hint="eastAsia"/>
          <w:bCs/>
          <w:sz w:val="24"/>
        </w:rPr>
        <w:t>）参加基金财产清算小组，参与基金财产的保管、清理、估价、变现和分配；</w:t>
      </w:r>
    </w:p>
    <w:p w14:paraId="4EDF6CCD"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18</w:t>
      </w:r>
      <w:r>
        <w:rPr>
          <w:rFonts w:hint="eastAsia"/>
          <w:bCs/>
          <w:sz w:val="24"/>
        </w:rPr>
        <w:t>）面临解散、依法被撤销或者被依法宣告破产时，及时报告中国证监会和银行业监督管理机构，并通知基金管理人；</w:t>
      </w:r>
    </w:p>
    <w:p w14:paraId="6C5DCB76"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19</w:t>
      </w:r>
      <w:r>
        <w:rPr>
          <w:rFonts w:hint="eastAsia"/>
          <w:bCs/>
          <w:sz w:val="24"/>
        </w:rPr>
        <w:t>）因违反《基金合同》导致基金财产损失时，应承担赔偿责任，其赔偿责任不因其退任而免除；</w:t>
      </w:r>
    </w:p>
    <w:p w14:paraId="655369A6"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20</w:t>
      </w:r>
      <w:r>
        <w:rPr>
          <w:rFonts w:hint="eastAsia"/>
          <w:bCs/>
          <w:sz w:val="24"/>
        </w:rPr>
        <w:t>）按规定监督基金管理人按法律法规和《基金合同》规定履行自己的义务，基金管理人因违反《基金合同》造成基金财产损失时，应为基金份额持有人利益向基金管理人追偿；</w:t>
      </w:r>
    </w:p>
    <w:p w14:paraId="4C08E1D7"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21</w:t>
      </w:r>
      <w:r>
        <w:rPr>
          <w:rFonts w:hint="eastAsia"/>
          <w:bCs/>
          <w:sz w:val="24"/>
        </w:rPr>
        <w:t>）执行生效的基金份额持有人大会的决议；</w:t>
      </w:r>
    </w:p>
    <w:p w14:paraId="0BCCDB76"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22</w:t>
      </w:r>
      <w:r>
        <w:rPr>
          <w:rFonts w:hint="eastAsia"/>
          <w:bCs/>
          <w:sz w:val="24"/>
        </w:rPr>
        <w:t>）法律法规及中国证监会规定的和《基金合同》约定的其他义务。</w:t>
      </w:r>
    </w:p>
    <w:p w14:paraId="4D0BF5FD" w14:textId="77777777" w:rsidR="00791BDD" w:rsidRDefault="00B75151">
      <w:pPr>
        <w:adjustRightInd w:val="0"/>
        <w:snapToGrid w:val="0"/>
        <w:spacing w:line="360" w:lineRule="auto"/>
        <w:ind w:firstLineChars="200" w:firstLine="480"/>
        <w:outlineLvl w:val="2"/>
        <w:rPr>
          <w:bCs/>
          <w:sz w:val="24"/>
        </w:rPr>
      </w:pPr>
      <w:r>
        <w:rPr>
          <w:bCs/>
          <w:sz w:val="24"/>
        </w:rPr>
        <w:t>3</w:t>
      </w:r>
      <w:r>
        <w:rPr>
          <w:bCs/>
          <w:sz w:val="24"/>
        </w:rPr>
        <w:t>、基金份额持有人的权利与义务</w:t>
      </w:r>
    </w:p>
    <w:p w14:paraId="5EE8C69F" w14:textId="77777777" w:rsidR="00791BDD" w:rsidRDefault="00B75151">
      <w:pPr>
        <w:adjustRightInd w:val="0"/>
        <w:snapToGrid w:val="0"/>
        <w:spacing w:line="360" w:lineRule="auto"/>
        <w:ind w:firstLineChars="200" w:firstLine="480"/>
        <w:rPr>
          <w:bCs/>
          <w:sz w:val="24"/>
        </w:rPr>
      </w:pPr>
      <w:r>
        <w:rPr>
          <w:rFonts w:hint="eastAsia"/>
          <w:bCs/>
          <w:sz w:val="24"/>
        </w:rPr>
        <w:t>基金投资者持有本基金基金份额的行为即视为对《基金合同》的承认和接受，基金投资者自依据《基金合同》取得本基金基金份额，即成为本基金基金份额持有人和《基金合同》的当事人，直至其不再持有本基金的基金份额。基金份额持有人作为《基金合同》当事人并不以在《基金合同》上书面签章或签字为必要条件。</w:t>
      </w:r>
    </w:p>
    <w:p w14:paraId="2318A831" w14:textId="77777777" w:rsidR="00791BDD" w:rsidRDefault="00B75151">
      <w:pPr>
        <w:adjustRightInd w:val="0"/>
        <w:snapToGrid w:val="0"/>
        <w:spacing w:line="360" w:lineRule="auto"/>
        <w:ind w:firstLineChars="200" w:firstLine="480"/>
        <w:rPr>
          <w:bCs/>
          <w:sz w:val="24"/>
        </w:rPr>
      </w:pPr>
      <w:r>
        <w:rPr>
          <w:rFonts w:hint="eastAsia"/>
          <w:bCs/>
          <w:sz w:val="24"/>
        </w:rPr>
        <w:t>每份基金份额具有同等的合法权益。</w:t>
      </w:r>
    </w:p>
    <w:p w14:paraId="03F91EE5" w14:textId="77777777" w:rsidR="00791BDD" w:rsidRDefault="00B75151">
      <w:pPr>
        <w:adjustRightInd w:val="0"/>
        <w:snapToGrid w:val="0"/>
        <w:spacing w:line="360" w:lineRule="auto"/>
        <w:ind w:firstLineChars="200" w:firstLine="480"/>
        <w:rPr>
          <w:bCs/>
          <w:sz w:val="24"/>
        </w:rPr>
      </w:pPr>
      <w:r>
        <w:rPr>
          <w:rFonts w:hint="eastAsia"/>
          <w:bCs/>
          <w:sz w:val="24"/>
        </w:rPr>
        <w:t>根据《基金法》、《运作办法》及其他有关规定，基金份额持有人的权利包括但不限于：</w:t>
      </w:r>
    </w:p>
    <w:p w14:paraId="0722E86C"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1</w:t>
      </w:r>
      <w:r>
        <w:rPr>
          <w:rFonts w:hint="eastAsia"/>
          <w:bCs/>
          <w:sz w:val="24"/>
        </w:rPr>
        <w:t>）分享基金财产收益；</w:t>
      </w:r>
    </w:p>
    <w:p w14:paraId="613B37AC"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2</w:t>
      </w:r>
      <w:r>
        <w:rPr>
          <w:rFonts w:hint="eastAsia"/>
          <w:bCs/>
          <w:sz w:val="24"/>
        </w:rPr>
        <w:t>）参与分配清算后的剩余基金财产；</w:t>
      </w:r>
    </w:p>
    <w:p w14:paraId="37D3A36B"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3</w:t>
      </w:r>
      <w:r>
        <w:rPr>
          <w:rFonts w:hint="eastAsia"/>
          <w:bCs/>
          <w:sz w:val="24"/>
        </w:rPr>
        <w:t>）依法并按照基金合同和招募说明书的规定转让或者申请赎回其持有的基金份额；</w:t>
      </w:r>
    </w:p>
    <w:p w14:paraId="4D3102DB"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4</w:t>
      </w:r>
      <w:r>
        <w:rPr>
          <w:rFonts w:hint="eastAsia"/>
          <w:bCs/>
          <w:sz w:val="24"/>
        </w:rPr>
        <w:t>）按照规定要求召开基金份额持有人大会或者召集基金份额持有人大会；</w:t>
      </w:r>
    </w:p>
    <w:p w14:paraId="6C47743B"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5</w:t>
      </w:r>
      <w:r>
        <w:rPr>
          <w:rFonts w:hint="eastAsia"/>
          <w:bCs/>
          <w:sz w:val="24"/>
        </w:rPr>
        <w:t>）出席或者委派代表出席基金份额持有人大会，对基金份额持有人大会审议事项行使表决权；</w:t>
      </w:r>
    </w:p>
    <w:p w14:paraId="0C42F220"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6</w:t>
      </w:r>
      <w:r>
        <w:rPr>
          <w:rFonts w:hint="eastAsia"/>
          <w:bCs/>
          <w:sz w:val="24"/>
        </w:rPr>
        <w:t>）查阅或者复制公开披露的基金信息资料；</w:t>
      </w:r>
    </w:p>
    <w:p w14:paraId="7F4F5E4F"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7</w:t>
      </w:r>
      <w:r>
        <w:rPr>
          <w:rFonts w:hint="eastAsia"/>
          <w:bCs/>
          <w:sz w:val="24"/>
        </w:rPr>
        <w:t>）监督基金管理人的投资运作；</w:t>
      </w:r>
    </w:p>
    <w:p w14:paraId="22E1EEBE"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8</w:t>
      </w:r>
      <w:r>
        <w:rPr>
          <w:rFonts w:hint="eastAsia"/>
          <w:bCs/>
          <w:sz w:val="24"/>
        </w:rPr>
        <w:t>）对基金管理人、基金托管人、基金服务机构损害其合法权益的行为依法提起诉讼或仲裁；</w:t>
      </w:r>
    </w:p>
    <w:p w14:paraId="5090B42E"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9</w:t>
      </w:r>
      <w:r>
        <w:rPr>
          <w:rFonts w:hint="eastAsia"/>
          <w:bCs/>
          <w:sz w:val="24"/>
        </w:rPr>
        <w:t>）法律法规及中国证监会规定的和《基金合同》约定的其他权利。</w:t>
      </w:r>
    </w:p>
    <w:p w14:paraId="5A5D3BA6" w14:textId="77777777" w:rsidR="00791BDD" w:rsidRDefault="00B75151">
      <w:pPr>
        <w:adjustRightInd w:val="0"/>
        <w:snapToGrid w:val="0"/>
        <w:spacing w:line="360" w:lineRule="auto"/>
        <w:ind w:firstLineChars="200" w:firstLine="480"/>
        <w:rPr>
          <w:bCs/>
          <w:sz w:val="24"/>
        </w:rPr>
      </w:pPr>
      <w:r>
        <w:rPr>
          <w:rFonts w:hint="eastAsia"/>
          <w:bCs/>
          <w:sz w:val="24"/>
        </w:rPr>
        <w:t>根据《基金法》、《运作办法》及其他有关规定，基金份额持有人的义务包括但不限于：</w:t>
      </w:r>
    </w:p>
    <w:p w14:paraId="45C64192"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1</w:t>
      </w:r>
      <w:r>
        <w:rPr>
          <w:rFonts w:hint="eastAsia"/>
          <w:bCs/>
          <w:sz w:val="24"/>
        </w:rPr>
        <w:t>）认真阅读并遵守《基金合同》、招募说明书等信息披露文件；</w:t>
      </w:r>
    </w:p>
    <w:p w14:paraId="61CE57F4"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2</w:t>
      </w:r>
      <w:r>
        <w:rPr>
          <w:rFonts w:hint="eastAsia"/>
          <w:bCs/>
          <w:sz w:val="24"/>
        </w:rPr>
        <w:t>）了解所投资基金产品，了解自身风险承受能力，自主判断基金的投资价值，自主做出投资决策，自行承担投资风险；</w:t>
      </w:r>
    </w:p>
    <w:p w14:paraId="44110448"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3</w:t>
      </w:r>
      <w:r>
        <w:rPr>
          <w:rFonts w:hint="eastAsia"/>
          <w:bCs/>
          <w:sz w:val="24"/>
        </w:rPr>
        <w:t>）关注基金信息披露，及时行使权利和履行义务；</w:t>
      </w:r>
    </w:p>
    <w:p w14:paraId="5BDE136C"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4</w:t>
      </w:r>
      <w:r>
        <w:rPr>
          <w:rFonts w:hint="eastAsia"/>
          <w:bCs/>
          <w:sz w:val="24"/>
        </w:rPr>
        <w:t>）交纳基金认购、申购款项及法律法规和《基金合同》所规定的费用；</w:t>
      </w:r>
    </w:p>
    <w:p w14:paraId="719C0B32"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5</w:t>
      </w:r>
      <w:r>
        <w:rPr>
          <w:rFonts w:hint="eastAsia"/>
          <w:bCs/>
          <w:sz w:val="24"/>
        </w:rPr>
        <w:t>）在其持有的基金份额范围内，承担基金亏损或者《基金合同》终止的有限责任；</w:t>
      </w:r>
    </w:p>
    <w:p w14:paraId="0A666BC3"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6</w:t>
      </w:r>
      <w:r>
        <w:rPr>
          <w:rFonts w:hint="eastAsia"/>
          <w:bCs/>
          <w:sz w:val="24"/>
        </w:rPr>
        <w:t>）不从事任何有损基金及其他《基金合同》当事人合法权益的活动；</w:t>
      </w:r>
    </w:p>
    <w:p w14:paraId="1640CF37"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7</w:t>
      </w:r>
      <w:r>
        <w:rPr>
          <w:rFonts w:hint="eastAsia"/>
          <w:bCs/>
          <w:sz w:val="24"/>
        </w:rPr>
        <w:t>）执行生效的基金份额持有人大会的决议；</w:t>
      </w:r>
    </w:p>
    <w:p w14:paraId="4F5A2D5F"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8</w:t>
      </w:r>
      <w:r>
        <w:rPr>
          <w:rFonts w:hint="eastAsia"/>
          <w:bCs/>
          <w:sz w:val="24"/>
        </w:rPr>
        <w:t>）返还在基金交易过程中因任何原因获得的不当得利；</w:t>
      </w:r>
    </w:p>
    <w:p w14:paraId="518B7EC9"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9</w:t>
      </w:r>
      <w:r>
        <w:rPr>
          <w:rFonts w:hint="eastAsia"/>
          <w:bCs/>
          <w:sz w:val="24"/>
        </w:rPr>
        <w:t>）遵守基金管理人、基金托管人、销售机构和登记机构的相关交易及业务规则；</w:t>
      </w:r>
    </w:p>
    <w:p w14:paraId="6F8BC6B9"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10</w:t>
      </w:r>
      <w:r>
        <w:rPr>
          <w:rFonts w:hint="eastAsia"/>
          <w:bCs/>
          <w:sz w:val="24"/>
        </w:rPr>
        <w:t>）提供基金管理人和监管机构依法要求提供的信息，以及不时的更新和补充，并保证其真实性；</w:t>
      </w:r>
    </w:p>
    <w:p w14:paraId="6053A203"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11</w:t>
      </w:r>
      <w:r>
        <w:rPr>
          <w:rFonts w:hint="eastAsia"/>
          <w:bCs/>
          <w:sz w:val="24"/>
        </w:rPr>
        <w:t>）发起资金提供方持有认购的基金份额的期限自《基金合同》生效日起不少于</w:t>
      </w:r>
      <w:r>
        <w:rPr>
          <w:rFonts w:hint="eastAsia"/>
          <w:bCs/>
          <w:sz w:val="24"/>
        </w:rPr>
        <w:t>3</w:t>
      </w:r>
      <w:r>
        <w:rPr>
          <w:rFonts w:hint="eastAsia"/>
          <w:bCs/>
          <w:sz w:val="24"/>
        </w:rPr>
        <w:t>年；</w:t>
      </w:r>
    </w:p>
    <w:p w14:paraId="037B4235"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12</w:t>
      </w:r>
      <w:r>
        <w:rPr>
          <w:rFonts w:hint="eastAsia"/>
          <w:bCs/>
          <w:sz w:val="24"/>
        </w:rPr>
        <w:t>）法律法规及中国证监会规定的和《基金合同》约定的其他义务。</w:t>
      </w:r>
    </w:p>
    <w:p w14:paraId="2AA79B0F" w14:textId="77777777" w:rsidR="00791BDD" w:rsidRDefault="00B75151">
      <w:pPr>
        <w:adjustRightInd w:val="0"/>
        <w:snapToGrid w:val="0"/>
        <w:spacing w:line="360" w:lineRule="auto"/>
        <w:ind w:firstLine="482"/>
        <w:outlineLvl w:val="1"/>
        <w:rPr>
          <w:b/>
          <w:bCs/>
          <w:sz w:val="24"/>
        </w:rPr>
      </w:pPr>
      <w:r>
        <w:rPr>
          <w:b/>
          <w:bCs/>
          <w:sz w:val="24"/>
        </w:rPr>
        <w:t>（二）基金份额持有人大会</w:t>
      </w:r>
      <w:r>
        <w:rPr>
          <w:rFonts w:hint="eastAsia"/>
          <w:b/>
          <w:bCs/>
          <w:sz w:val="24"/>
        </w:rPr>
        <w:t>召集、议事及表决的程序和规则</w:t>
      </w:r>
    </w:p>
    <w:p w14:paraId="7AF463F0" w14:textId="77777777" w:rsidR="00791BDD" w:rsidRDefault="00B75151">
      <w:pPr>
        <w:adjustRightInd w:val="0"/>
        <w:snapToGrid w:val="0"/>
        <w:spacing w:line="360" w:lineRule="auto"/>
        <w:ind w:firstLineChars="200" w:firstLine="480"/>
        <w:rPr>
          <w:bCs/>
          <w:sz w:val="24"/>
        </w:rPr>
      </w:pPr>
      <w:r>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0CAAF80F" w14:textId="77777777" w:rsidR="00791BDD" w:rsidRDefault="00B75151">
      <w:pPr>
        <w:adjustRightInd w:val="0"/>
        <w:snapToGrid w:val="0"/>
        <w:spacing w:line="360" w:lineRule="auto"/>
        <w:ind w:firstLineChars="200" w:firstLine="480"/>
        <w:rPr>
          <w:bCs/>
          <w:sz w:val="24"/>
        </w:rPr>
      </w:pPr>
      <w:r>
        <w:rPr>
          <w:rFonts w:hint="eastAsia"/>
          <w:bCs/>
          <w:sz w:val="24"/>
        </w:rPr>
        <w:t>本基金份额持有人大会不设日常机构。</w:t>
      </w:r>
    </w:p>
    <w:p w14:paraId="15FB1352" w14:textId="77777777" w:rsidR="00791BDD" w:rsidRDefault="00B75151">
      <w:pPr>
        <w:adjustRightInd w:val="0"/>
        <w:snapToGrid w:val="0"/>
        <w:spacing w:line="360" w:lineRule="auto"/>
        <w:ind w:firstLineChars="200" w:firstLine="480"/>
        <w:outlineLvl w:val="2"/>
        <w:rPr>
          <w:bCs/>
          <w:sz w:val="24"/>
        </w:rPr>
      </w:pPr>
      <w:r>
        <w:rPr>
          <w:bCs/>
          <w:sz w:val="24"/>
        </w:rPr>
        <w:t>1</w:t>
      </w:r>
      <w:r>
        <w:rPr>
          <w:bCs/>
          <w:sz w:val="24"/>
        </w:rPr>
        <w:t>、召开事由</w:t>
      </w:r>
    </w:p>
    <w:p w14:paraId="5C20E949"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1</w:t>
      </w:r>
      <w:r>
        <w:rPr>
          <w:rFonts w:hint="eastAsia"/>
          <w:bCs/>
          <w:sz w:val="24"/>
        </w:rPr>
        <w:t>）当出现或需要决定下列事由之一的，应当召开基金份额持有人大会，法律法规、基金合同和中国证监会另有规定的除外：</w:t>
      </w:r>
    </w:p>
    <w:p w14:paraId="75A26DB5" w14:textId="77777777" w:rsidR="00791BDD" w:rsidRDefault="00B75151">
      <w:pPr>
        <w:adjustRightInd w:val="0"/>
        <w:snapToGrid w:val="0"/>
        <w:spacing w:line="360" w:lineRule="auto"/>
        <w:ind w:firstLineChars="200" w:firstLine="480"/>
        <w:rPr>
          <w:bCs/>
          <w:sz w:val="24"/>
        </w:rPr>
      </w:pPr>
      <w:r>
        <w:rPr>
          <w:rFonts w:hint="eastAsia"/>
          <w:bCs/>
          <w:sz w:val="24"/>
        </w:rPr>
        <w:t>1</w:t>
      </w:r>
      <w:r>
        <w:rPr>
          <w:rFonts w:hint="eastAsia"/>
          <w:bCs/>
          <w:sz w:val="24"/>
        </w:rPr>
        <w:t>）终止《基金合同》；</w:t>
      </w:r>
    </w:p>
    <w:p w14:paraId="7357B0F0" w14:textId="77777777" w:rsidR="00791BDD" w:rsidRDefault="00B75151">
      <w:pPr>
        <w:adjustRightInd w:val="0"/>
        <w:snapToGrid w:val="0"/>
        <w:spacing w:line="360" w:lineRule="auto"/>
        <w:ind w:firstLineChars="200" w:firstLine="480"/>
        <w:rPr>
          <w:bCs/>
          <w:sz w:val="24"/>
        </w:rPr>
      </w:pPr>
      <w:r>
        <w:rPr>
          <w:rFonts w:hint="eastAsia"/>
          <w:bCs/>
          <w:sz w:val="24"/>
        </w:rPr>
        <w:t>2</w:t>
      </w:r>
      <w:r>
        <w:rPr>
          <w:rFonts w:hint="eastAsia"/>
          <w:bCs/>
          <w:sz w:val="24"/>
        </w:rPr>
        <w:t>）更换基金管理人；</w:t>
      </w:r>
    </w:p>
    <w:p w14:paraId="062BCE84" w14:textId="77777777" w:rsidR="00791BDD" w:rsidRDefault="00B75151">
      <w:pPr>
        <w:adjustRightInd w:val="0"/>
        <w:snapToGrid w:val="0"/>
        <w:spacing w:line="360" w:lineRule="auto"/>
        <w:ind w:firstLineChars="200" w:firstLine="480"/>
        <w:rPr>
          <w:bCs/>
          <w:sz w:val="24"/>
        </w:rPr>
      </w:pPr>
      <w:r>
        <w:rPr>
          <w:rFonts w:hint="eastAsia"/>
          <w:bCs/>
          <w:sz w:val="24"/>
        </w:rPr>
        <w:t>3</w:t>
      </w:r>
      <w:r>
        <w:rPr>
          <w:rFonts w:hint="eastAsia"/>
          <w:bCs/>
          <w:sz w:val="24"/>
        </w:rPr>
        <w:t>）更换基金托管人；</w:t>
      </w:r>
    </w:p>
    <w:p w14:paraId="599E6403" w14:textId="77777777" w:rsidR="00791BDD" w:rsidRDefault="00B75151">
      <w:pPr>
        <w:adjustRightInd w:val="0"/>
        <w:snapToGrid w:val="0"/>
        <w:spacing w:line="360" w:lineRule="auto"/>
        <w:ind w:firstLineChars="200" w:firstLine="480"/>
        <w:rPr>
          <w:bCs/>
          <w:sz w:val="24"/>
        </w:rPr>
      </w:pPr>
      <w:r>
        <w:rPr>
          <w:rFonts w:hint="eastAsia"/>
          <w:bCs/>
          <w:sz w:val="24"/>
        </w:rPr>
        <w:t>4</w:t>
      </w:r>
      <w:r>
        <w:rPr>
          <w:rFonts w:hint="eastAsia"/>
          <w:bCs/>
          <w:sz w:val="24"/>
        </w:rPr>
        <w:t>）转换基金运作方式；</w:t>
      </w:r>
    </w:p>
    <w:p w14:paraId="2C6F9A90" w14:textId="77777777" w:rsidR="00791BDD" w:rsidRDefault="00B75151">
      <w:pPr>
        <w:adjustRightInd w:val="0"/>
        <w:snapToGrid w:val="0"/>
        <w:spacing w:line="360" w:lineRule="auto"/>
        <w:ind w:firstLineChars="200" w:firstLine="480"/>
        <w:rPr>
          <w:bCs/>
          <w:sz w:val="24"/>
        </w:rPr>
      </w:pPr>
      <w:r>
        <w:rPr>
          <w:rFonts w:hint="eastAsia"/>
          <w:bCs/>
          <w:sz w:val="24"/>
        </w:rPr>
        <w:t>5</w:t>
      </w:r>
      <w:r>
        <w:rPr>
          <w:rFonts w:hint="eastAsia"/>
          <w:bCs/>
          <w:sz w:val="24"/>
        </w:rPr>
        <w:t>）调整基金管理人、基金托管人的报酬标准；</w:t>
      </w:r>
    </w:p>
    <w:p w14:paraId="50894720" w14:textId="77777777" w:rsidR="00791BDD" w:rsidRDefault="00B75151">
      <w:pPr>
        <w:adjustRightInd w:val="0"/>
        <w:snapToGrid w:val="0"/>
        <w:spacing w:line="360" w:lineRule="auto"/>
        <w:ind w:firstLineChars="200" w:firstLine="480"/>
        <w:rPr>
          <w:bCs/>
          <w:sz w:val="24"/>
        </w:rPr>
      </w:pPr>
      <w:r>
        <w:rPr>
          <w:rFonts w:hint="eastAsia"/>
          <w:bCs/>
          <w:sz w:val="24"/>
        </w:rPr>
        <w:t>6</w:t>
      </w:r>
      <w:r>
        <w:rPr>
          <w:rFonts w:hint="eastAsia"/>
          <w:bCs/>
          <w:sz w:val="24"/>
        </w:rPr>
        <w:t>）变更基金类别；</w:t>
      </w:r>
    </w:p>
    <w:p w14:paraId="3D7A7509" w14:textId="77777777" w:rsidR="00791BDD" w:rsidRDefault="00B75151">
      <w:pPr>
        <w:adjustRightInd w:val="0"/>
        <w:snapToGrid w:val="0"/>
        <w:spacing w:line="360" w:lineRule="auto"/>
        <w:ind w:firstLineChars="200" w:firstLine="480"/>
        <w:rPr>
          <w:bCs/>
          <w:sz w:val="24"/>
        </w:rPr>
      </w:pPr>
      <w:r>
        <w:rPr>
          <w:rFonts w:hint="eastAsia"/>
          <w:bCs/>
          <w:sz w:val="24"/>
        </w:rPr>
        <w:t>7</w:t>
      </w:r>
      <w:r>
        <w:rPr>
          <w:rFonts w:hint="eastAsia"/>
          <w:bCs/>
          <w:sz w:val="24"/>
        </w:rPr>
        <w:t>）本基金与其他基金的合并；</w:t>
      </w:r>
    </w:p>
    <w:p w14:paraId="1DE8AF04" w14:textId="77777777" w:rsidR="00791BDD" w:rsidRDefault="00B75151">
      <w:pPr>
        <w:adjustRightInd w:val="0"/>
        <w:snapToGrid w:val="0"/>
        <w:spacing w:line="360" w:lineRule="auto"/>
        <w:ind w:firstLineChars="200" w:firstLine="480"/>
        <w:rPr>
          <w:bCs/>
          <w:sz w:val="24"/>
        </w:rPr>
      </w:pPr>
      <w:r>
        <w:rPr>
          <w:rFonts w:hint="eastAsia"/>
          <w:bCs/>
          <w:sz w:val="24"/>
        </w:rPr>
        <w:t>8</w:t>
      </w:r>
      <w:r>
        <w:rPr>
          <w:rFonts w:hint="eastAsia"/>
          <w:bCs/>
          <w:sz w:val="24"/>
        </w:rPr>
        <w:t>）变更基金投资目标、范围或策略；</w:t>
      </w:r>
    </w:p>
    <w:p w14:paraId="028EF0A4" w14:textId="77777777" w:rsidR="00791BDD" w:rsidRDefault="00B75151">
      <w:pPr>
        <w:adjustRightInd w:val="0"/>
        <w:snapToGrid w:val="0"/>
        <w:spacing w:line="360" w:lineRule="auto"/>
        <w:ind w:firstLineChars="200" w:firstLine="480"/>
        <w:rPr>
          <w:bCs/>
          <w:sz w:val="24"/>
        </w:rPr>
      </w:pPr>
      <w:r>
        <w:rPr>
          <w:rFonts w:hint="eastAsia"/>
          <w:bCs/>
          <w:sz w:val="24"/>
        </w:rPr>
        <w:t>9</w:t>
      </w:r>
      <w:r>
        <w:rPr>
          <w:rFonts w:hint="eastAsia"/>
          <w:bCs/>
          <w:sz w:val="24"/>
        </w:rPr>
        <w:t>）变更基金份额持有人大会程序；</w:t>
      </w:r>
    </w:p>
    <w:p w14:paraId="40B2824B" w14:textId="77777777" w:rsidR="00791BDD" w:rsidRDefault="00B75151">
      <w:pPr>
        <w:adjustRightInd w:val="0"/>
        <w:snapToGrid w:val="0"/>
        <w:spacing w:line="360" w:lineRule="auto"/>
        <w:ind w:firstLineChars="200" w:firstLine="480"/>
        <w:rPr>
          <w:bCs/>
          <w:sz w:val="24"/>
        </w:rPr>
      </w:pPr>
      <w:r>
        <w:rPr>
          <w:rFonts w:hint="eastAsia"/>
          <w:bCs/>
          <w:sz w:val="24"/>
        </w:rPr>
        <w:t>10</w:t>
      </w:r>
      <w:r>
        <w:rPr>
          <w:rFonts w:hint="eastAsia"/>
          <w:bCs/>
          <w:sz w:val="24"/>
        </w:rPr>
        <w:t>）基金管理人或基金托管人要求召开基金份额持有人大会；</w:t>
      </w:r>
    </w:p>
    <w:p w14:paraId="1B3D525D" w14:textId="77777777" w:rsidR="00791BDD" w:rsidRDefault="00B75151">
      <w:pPr>
        <w:adjustRightInd w:val="0"/>
        <w:snapToGrid w:val="0"/>
        <w:spacing w:line="360" w:lineRule="auto"/>
        <w:ind w:firstLineChars="200" w:firstLine="480"/>
        <w:rPr>
          <w:bCs/>
          <w:sz w:val="24"/>
        </w:rPr>
      </w:pPr>
      <w:r>
        <w:rPr>
          <w:rFonts w:hint="eastAsia"/>
          <w:bCs/>
          <w:sz w:val="24"/>
        </w:rPr>
        <w:t>11</w:t>
      </w:r>
      <w:r>
        <w:rPr>
          <w:rFonts w:hint="eastAsia"/>
          <w:bCs/>
          <w:sz w:val="24"/>
        </w:rPr>
        <w:t>）单独或合计持有本基金总份额</w:t>
      </w:r>
      <w:r>
        <w:rPr>
          <w:rFonts w:hint="eastAsia"/>
          <w:bCs/>
          <w:sz w:val="24"/>
        </w:rPr>
        <w:t>10%</w:t>
      </w:r>
      <w:r>
        <w:rPr>
          <w:rFonts w:hint="eastAsia"/>
          <w:bCs/>
          <w:sz w:val="24"/>
        </w:rPr>
        <w:t>以上（含</w:t>
      </w:r>
      <w:r>
        <w:rPr>
          <w:rFonts w:hint="eastAsia"/>
          <w:bCs/>
          <w:sz w:val="24"/>
        </w:rPr>
        <w:t>10%</w:t>
      </w:r>
      <w:r>
        <w:rPr>
          <w:rFonts w:hint="eastAsia"/>
          <w:bCs/>
          <w:sz w:val="24"/>
        </w:rPr>
        <w:t>）基金份额的基金份额持有人（以基金管理人收到提议当日的基金份额计算，下同）就同一事项书面要求召开基金份额持有人大会；</w:t>
      </w:r>
    </w:p>
    <w:p w14:paraId="1A8D7F79" w14:textId="77777777" w:rsidR="00791BDD" w:rsidRDefault="00B75151">
      <w:pPr>
        <w:adjustRightInd w:val="0"/>
        <w:snapToGrid w:val="0"/>
        <w:spacing w:line="360" w:lineRule="auto"/>
        <w:ind w:firstLineChars="200" w:firstLine="480"/>
        <w:rPr>
          <w:bCs/>
          <w:sz w:val="24"/>
        </w:rPr>
      </w:pPr>
      <w:r>
        <w:rPr>
          <w:rFonts w:hint="eastAsia"/>
          <w:bCs/>
          <w:sz w:val="24"/>
        </w:rPr>
        <w:t>12</w:t>
      </w:r>
      <w:r>
        <w:rPr>
          <w:rFonts w:hint="eastAsia"/>
          <w:bCs/>
          <w:sz w:val="24"/>
        </w:rPr>
        <w:t>）对基金合同当事人权利和义务产生重大影响的其他事项；</w:t>
      </w:r>
    </w:p>
    <w:p w14:paraId="415FF596" w14:textId="77777777" w:rsidR="00791BDD" w:rsidRDefault="00B75151">
      <w:pPr>
        <w:adjustRightInd w:val="0"/>
        <w:snapToGrid w:val="0"/>
        <w:spacing w:line="360" w:lineRule="auto"/>
        <w:ind w:firstLineChars="200" w:firstLine="480"/>
        <w:rPr>
          <w:bCs/>
          <w:sz w:val="24"/>
        </w:rPr>
      </w:pPr>
      <w:r>
        <w:rPr>
          <w:rFonts w:hint="eastAsia"/>
          <w:bCs/>
          <w:sz w:val="24"/>
        </w:rPr>
        <w:t>13</w:t>
      </w:r>
      <w:r>
        <w:rPr>
          <w:rFonts w:hint="eastAsia"/>
          <w:bCs/>
          <w:sz w:val="24"/>
        </w:rPr>
        <w:t>）法律法规、《基金合同》或中国证监会规定的其他应当召开基金份额持有人大会的事项。</w:t>
      </w:r>
    </w:p>
    <w:p w14:paraId="195D50EA"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2</w:t>
      </w:r>
      <w:r>
        <w:rPr>
          <w:rFonts w:hint="eastAsia"/>
          <w:bCs/>
          <w:sz w:val="24"/>
        </w:rPr>
        <w:t>）在法律法规规定和《基金合同》约定的范围内且对基金份额持有人利益无实质性不利影响的前提下，以下情况可由基金管理人和基金托管人协商后修改，不需召开基金份额持有人大会：</w:t>
      </w:r>
    </w:p>
    <w:p w14:paraId="2BF5D72F" w14:textId="77777777" w:rsidR="00791BDD" w:rsidRDefault="00B75151">
      <w:pPr>
        <w:adjustRightInd w:val="0"/>
        <w:snapToGrid w:val="0"/>
        <w:spacing w:line="360" w:lineRule="auto"/>
        <w:ind w:firstLineChars="200" w:firstLine="480"/>
        <w:rPr>
          <w:bCs/>
          <w:sz w:val="24"/>
        </w:rPr>
      </w:pPr>
      <w:r>
        <w:rPr>
          <w:rFonts w:hint="eastAsia"/>
          <w:bCs/>
          <w:sz w:val="24"/>
        </w:rPr>
        <w:t>1</w:t>
      </w:r>
      <w:r>
        <w:rPr>
          <w:rFonts w:hint="eastAsia"/>
          <w:bCs/>
          <w:sz w:val="24"/>
        </w:rPr>
        <w:t>）法律法规要求增加的基金费用的收取；</w:t>
      </w:r>
    </w:p>
    <w:p w14:paraId="114CE611" w14:textId="77777777" w:rsidR="00791BDD" w:rsidRDefault="00B75151">
      <w:pPr>
        <w:adjustRightInd w:val="0"/>
        <w:snapToGrid w:val="0"/>
        <w:spacing w:line="360" w:lineRule="auto"/>
        <w:ind w:firstLineChars="200" w:firstLine="480"/>
        <w:rPr>
          <w:bCs/>
          <w:sz w:val="24"/>
        </w:rPr>
      </w:pPr>
      <w:r>
        <w:rPr>
          <w:bCs/>
          <w:sz w:val="24"/>
        </w:rPr>
        <w:t>2</w:t>
      </w:r>
      <w:r>
        <w:rPr>
          <w:rFonts w:hint="eastAsia"/>
          <w:bCs/>
          <w:sz w:val="24"/>
        </w:rPr>
        <w:t>）在法律法规和《基金合同》规定的范围内调整本基金的申购费率、在对现有基金份额持有人利益无实质性不利影响的前提下变更收费方式；</w:t>
      </w:r>
    </w:p>
    <w:p w14:paraId="4E22D24C" w14:textId="77777777" w:rsidR="00791BDD" w:rsidRDefault="00B75151">
      <w:pPr>
        <w:adjustRightInd w:val="0"/>
        <w:snapToGrid w:val="0"/>
        <w:spacing w:line="360" w:lineRule="auto"/>
        <w:ind w:firstLineChars="200" w:firstLine="480"/>
        <w:rPr>
          <w:bCs/>
          <w:sz w:val="24"/>
        </w:rPr>
      </w:pPr>
      <w:r>
        <w:rPr>
          <w:bCs/>
          <w:sz w:val="24"/>
        </w:rPr>
        <w:t>3</w:t>
      </w:r>
      <w:r>
        <w:rPr>
          <w:rFonts w:hint="eastAsia"/>
          <w:bCs/>
          <w:sz w:val="24"/>
        </w:rPr>
        <w:t>）因相应的法律法规、登记机构的相关业务规则发生变动而应当对《基金合同》进行修改；</w:t>
      </w:r>
    </w:p>
    <w:p w14:paraId="28EA8953" w14:textId="77777777" w:rsidR="00791BDD" w:rsidRDefault="00B75151">
      <w:pPr>
        <w:adjustRightInd w:val="0"/>
        <w:snapToGrid w:val="0"/>
        <w:spacing w:line="360" w:lineRule="auto"/>
        <w:ind w:firstLineChars="200" w:firstLine="480"/>
        <w:rPr>
          <w:bCs/>
          <w:sz w:val="24"/>
        </w:rPr>
      </w:pPr>
      <w:r>
        <w:rPr>
          <w:bCs/>
          <w:sz w:val="24"/>
        </w:rPr>
        <w:t>4</w:t>
      </w:r>
      <w:r>
        <w:rPr>
          <w:rFonts w:hint="eastAsia"/>
          <w:bCs/>
          <w:sz w:val="24"/>
        </w:rPr>
        <w:t>）对《基金合同》的修改对基金份额持有人利益无实质性不利影响或修改不涉及《基金合同》当事人权利义务关系发生重大变化；</w:t>
      </w:r>
    </w:p>
    <w:p w14:paraId="48A2F537" w14:textId="77777777" w:rsidR="00791BDD" w:rsidRDefault="00B75151">
      <w:pPr>
        <w:adjustRightInd w:val="0"/>
        <w:snapToGrid w:val="0"/>
        <w:spacing w:line="360" w:lineRule="auto"/>
        <w:ind w:firstLineChars="200" w:firstLine="480"/>
        <w:rPr>
          <w:bCs/>
          <w:sz w:val="24"/>
        </w:rPr>
      </w:pPr>
      <w:r>
        <w:rPr>
          <w:bCs/>
          <w:sz w:val="24"/>
        </w:rPr>
        <w:t>5</w:t>
      </w:r>
      <w:r>
        <w:rPr>
          <w:rFonts w:hint="eastAsia"/>
          <w:bCs/>
          <w:sz w:val="24"/>
        </w:rPr>
        <w:t>）在法律法规允许的情况下，且在对现有基金份额持有人利益无实质性不利影响的前提下，在履行适当程序后，基金推出新业务或服务；</w:t>
      </w:r>
    </w:p>
    <w:p w14:paraId="2EA6246F" w14:textId="77777777" w:rsidR="00791BDD" w:rsidRDefault="00B75151">
      <w:pPr>
        <w:adjustRightInd w:val="0"/>
        <w:snapToGrid w:val="0"/>
        <w:spacing w:line="360" w:lineRule="auto"/>
        <w:ind w:firstLineChars="200" w:firstLine="480"/>
        <w:rPr>
          <w:bCs/>
          <w:sz w:val="24"/>
        </w:rPr>
      </w:pPr>
      <w:r>
        <w:rPr>
          <w:bCs/>
          <w:sz w:val="24"/>
        </w:rPr>
        <w:t>6</w:t>
      </w:r>
      <w:r>
        <w:rPr>
          <w:rFonts w:hint="eastAsia"/>
          <w:bCs/>
          <w:sz w:val="24"/>
        </w:rPr>
        <w:t>）在符合法律法规及本基金合同规定、并且对基金份额持有人利益无实质性不利影响的前提下，增加或调整本基金份额类别的设置、对基金份额分类办法及规则进行调整；</w:t>
      </w:r>
    </w:p>
    <w:p w14:paraId="36D08DEB" w14:textId="77777777" w:rsidR="00791BDD" w:rsidRDefault="00B75151">
      <w:pPr>
        <w:adjustRightInd w:val="0"/>
        <w:snapToGrid w:val="0"/>
        <w:spacing w:line="360" w:lineRule="auto"/>
        <w:ind w:firstLineChars="200" w:firstLine="480"/>
        <w:rPr>
          <w:bCs/>
          <w:sz w:val="24"/>
        </w:rPr>
      </w:pPr>
      <w:r>
        <w:rPr>
          <w:bCs/>
          <w:sz w:val="24"/>
        </w:rPr>
        <w:t>7</w:t>
      </w:r>
      <w:r>
        <w:rPr>
          <w:rFonts w:hint="eastAsia"/>
          <w:bCs/>
          <w:sz w:val="24"/>
        </w:rPr>
        <w:t>）在不违反法律法规及对基金份额持有人利益无实质性不利影响的前提下，基金管理人、登记机构、销售机构调整有关基金认购、申购、赎回、转换、收益分配、非交易过户、转托管等业务的规则；</w:t>
      </w:r>
    </w:p>
    <w:p w14:paraId="79E130CE" w14:textId="77777777" w:rsidR="00791BDD" w:rsidRDefault="00B75151">
      <w:pPr>
        <w:adjustRightInd w:val="0"/>
        <w:snapToGrid w:val="0"/>
        <w:spacing w:line="360" w:lineRule="auto"/>
        <w:ind w:firstLineChars="200" w:firstLine="480"/>
        <w:rPr>
          <w:bCs/>
          <w:sz w:val="24"/>
        </w:rPr>
      </w:pPr>
      <w:r>
        <w:rPr>
          <w:bCs/>
          <w:sz w:val="24"/>
        </w:rPr>
        <w:t>8</w:t>
      </w:r>
      <w:r>
        <w:rPr>
          <w:rFonts w:hint="eastAsia"/>
          <w:bCs/>
          <w:sz w:val="24"/>
        </w:rPr>
        <w:t>）按照法律法规和《基金合同》规定不需召开基金份额持有人大会的其他情形。</w:t>
      </w:r>
    </w:p>
    <w:p w14:paraId="4F1A5721" w14:textId="77777777" w:rsidR="00791BDD" w:rsidRDefault="00B75151">
      <w:pPr>
        <w:adjustRightInd w:val="0"/>
        <w:snapToGrid w:val="0"/>
        <w:spacing w:line="360" w:lineRule="auto"/>
        <w:ind w:firstLineChars="200" w:firstLine="480"/>
        <w:outlineLvl w:val="2"/>
        <w:rPr>
          <w:bCs/>
          <w:sz w:val="24"/>
        </w:rPr>
      </w:pPr>
      <w:r>
        <w:rPr>
          <w:rFonts w:hint="eastAsia"/>
          <w:bCs/>
          <w:sz w:val="24"/>
        </w:rPr>
        <w:t>2</w:t>
      </w:r>
      <w:r>
        <w:rPr>
          <w:rFonts w:hint="eastAsia"/>
          <w:bCs/>
          <w:sz w:val="24"/>
        </w:rPr>
        <w:t>、会议召集人及召集方式</w:t>
      </w:r>
    </w:p>
    <w:p w14:paraId="408D766A"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1</w:t>
      </w:r>
      <w:r>
        <w:rPr>
          <w:rFonts w:hint="eastAsia"/>
          <w:bCs/>
          <w:sz w:val="24"/>
        </w:rPr>
        <w:t>）除法律法规规定或《基金合同》另有约定外，基金份额持有人大会由基金管理人召集；</w:t>
      </w:r>
    </w:p>
    <w:p w14:paraId="0E0489CB"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2</w:t>
      </w:r>
      <w:r>
        <w:rPr>
          <w:rFonts w:hint="eastAsia"/>
          <w:bCs/>
          <w:sz w:val="24"/>
        </w:rPr>
        <w:t>）基金管理人未按规定召集或不能召集时，由基金托管人召集；</w:t>
      </w:r>
    </w:p>
    <w:p w14:paraId="5F26D695"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3</w:t>
      </w:r>
      <w:r>
        <w:rPr>
          <w:rFonts w:hint="eastAsia"/>
          <w:bCs/>
          <w:sz w:val="24"/>
        </w:rPr>
        <w:t>）基金托管人认为有必要召开基金份额持有人大会的，应当向基金管理人提出书面提议。基金管理人应当自收到书面提议之日起</w:t>
      </w:r>
      <w:r>
        <w:rPr>
          <w:rFonts w:hint="eastAsia"/>
          <w:bCs/>
          <w:sz w:val="24"/>
        </w:rPr>
        <w:t>10</w:t>
      </w:r>
      <w:r>
        <w:rPr>
          <w:rFonts w:hint="eastAsia"/>
          <w:bCs/>
          <w:sz w:val="24"/>
        </w:rPr>
        <w:t>日内决定是否召集，并书面告知基金托管人。基金管理人决定召集的，应当自出具书面决定之日起</w:t>
      </w:r>
      <w:r>
        <w:rPr>
          <w:rFonts w:hint="eastAsia"/>
          <w:bCs/>
          <w:sz w:val="24"/>
        </w:rPr>
        <w:t>60</w:t>
      </w:r>
      <w:r>
        <w:rPr>
          <w:rFonts w:hint="eastAsia"/>
          <w:bCs/>
          <w:sz w:val="24"/>
        </w:rPr>
        <w:t>日内召开；基金管理人决定不召集，基金托管人仍认为有必要召开的，应当由基金托管人自行召集，并自出具书面决定之日起</w:t>
      </w:r>
      <w:r>
        <w:rPr>
          <w:rFonts w:hint="eastAsia"/>
          <w:bCs/>
          <w:sz w:val="24"/>
        </w:rPr>
        <w:t>60</w:t>
      </w:r>
      <w:r>
        <w:rPr>
          <w:rFonts w:hint="eastAsia"/>
          <w:bCs/>
          <w:sz w:val="24"/>
        </w:rPr>
        <w:t>日内召开并告知基金管理人，基金管理人应当配合；</w:t>
      </w:r>
    </w:p>
    <w:p w14:paraId="700307EA"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4</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）的基金份额持有人就同一事项书面要求召开基金份额持有人大会，应当向基金管理人提出书面提议。基金管理人应当自收到书面提议之日起</w:t>
      </w:r>
      <w:r>
        <w:rPr>
          <w:rFonts w:hint="eastAsia"/>
          <w:bCs/>
          <w:sz w:val="24"/>
        </w:rPr>
        <w:t>10</w:t>
      </w:r>
      <w:r>
        <w:rPr>
          <w:rFonts w:hint="eastAsia"/>
          <w:bCs/>
          <w:sz w:val="24"/>
        </w:rPr>
        <w:t>日内决定是否召集，并书面告知提出提议的基金份额持有人代表和基金托管人。基金管理人决定召集的，应当自出具书面决定之日起</w:t>
      </w:r>
      <w:r>
        <w:rPr>
          <w:rFonts w:hint="eastAsia"/>
          <w:bCs/>
          <w:sz w:val="24"/>
        </w:rPr>
        <w:t>60</w:t>
      </w:r>
      <w:r>
        <w:rPr>
          <w:rFonts w:hint="eastAsia"/>
          <w:bCs/>
          <w:sz w:val="24"/>
        </w:rPr>
        <w:t>日内召开；基金管理人决定不召集，代表基金份额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）的基金份额持有人仍认为有必要召开的，应当向基金托管人提出书面提议。基金托管人应当自收到书面提议之日起</w:t>
      </w:r>
      <w:r>
        <w:rPr>
          <w:rFonts w:hint="eastAsia"/>
          <w:bCs/>
          <w:sz w:val="24"/>
        </w:rPr>
        <w:t>10</w:t>
      </w:r>
      <w:r>
        <w:rPr>
          <w:rFonts w:hint="eastAsia"/>
          <w:bCs/>
          <w:sz w:val="24"/>
        </w:rPr>
        <w:t>日内决定是否召集，并书面告知提出提议的基金份额持有人代表和基金管理人；基金托管人决定召集的，应当自出具书面决定之日起</w:t>
      </w:r>
      <w:r>
        <w:rPr>
          <w:rFonts w:hint="eastAsia"/>
          <w:bCs/>
          <w:sz w:val="24"/>
        </w:rPr>
        <w:t>60</w:t>
      </w:r>
      <w:r>
        <w:rPr>
          <w:rFonts w:hint="eastAsia"/>
          <w:bCs/>
          <w:sz w:val="24"/>
        </w:rPr>
        <w:t>日内召开并告知基金管理人，基金管理人应当配合；</w:t>
      </w:r>
    </w:p>
    <w:p w14:paraId="3F538A87"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5</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）的基金份额持有人就同一事项要求召开基金份额持有人大会，而基金管理人、基金托管人都不召集的，单独或合计代表基金份额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）的基金份额持有人有权自行召集，并至少提前</w:t>
      </w:r>
      <w:r>
        <w:rPr>
          <w:rFonts w:hint="eastAsia"/>
          <w:bCs/>
          <w:sz w:val="24"/>
        </w:rPr>
        <w:t>30</w:t>
      </w:r>
      <w:r>
        <w:rPr>
          <w:rFonts w:hint="eastAsia"/>
          <w:bCs/>
          <w:sz w:val="24"/>
        </w:rPr>
        <w:t>日报中国证监会备案。基金份额持有人依法自行召集基金份额持有人大会的，基金管理人、基金托管人应当配合，不得阻碍、干扰；</w:t>
      </w:r>
    </w:p>
    <w:p w14:paraId="02F633E4"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6</w:t>
      </w:r>
      <w:r>
        <w:rPr>
          <w:rFonts w:hint="eastAsia"/>
          <w:bCs/>
          <w:sz w:val="24"/>
        </w:rPr>
        <w:t>）基金份额持有人会议的召集人负责选择确定开会时间、地点、方式和权益登记日。</w:t>
      </w:r>
    </w:p>
    <w:p w14:paraId="3A3152F2" w14:textId="77777777" w:rsidR="00791BDD" w:rsidRDefault="00B75151">
      <w:pPr>
        <w:adjustRightInd w:val="0"/>
        <w:snapToGrid w:val="0"/>
        <w:spacing w:line="360" w:lineRule="auto"/>
        <w:ind w:firstLineChars="200" w:firstLine="480"/>
        <w:outlineLvl w:val="2"/>
        <w:rPr>
          <w:bCs/>
          <w:sz w:val="24"/>
        </w:rPr>
      </w:pPr>
      <w:r>
        <w:rPr>
          <w:rFonts w:hint="eastAsia"/>
          <w:bCs/>
          <w:sz w:val="24"/>
        </w:rPr>
        <w:t>3</w:t>
      </w:r>
      <w:r>
        <w:rPr>
          <w:rFonts w:hint="eastAsia"/>
          <w:bCs/>
          <w:sz w:val="24"/>
        </w:rPr>
        <w:t>、召开基金份额持有人大会的通知时间、通知内容、通知方式</w:t>
      </w:r>
    </w:p>
    <w:p w14:paraId="1147F2B3"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1</w:t>
      </w:r>
      <w:r>
        <w:rPr>
          <w:rFonts w:hint="eastAsia"/>
          <w:bCs/>
          <w:sz w:val="24"/>
        </w:rPr>
        <w:t>）召开基金份额持有人大会，召集人应于会议召开前</w:t>
      </w:r>
      <w:r>
        <w:rPr>
          <w:rFonts w:hint="eastAsia"/>
          <w:bCs/>
          <w:sz w:val="24"/>
        </w:rPr>
        <w:t>30</w:t>
      </w:r>
      <w:r>
        <w:rPr>
          <w:rFonts w:hint="eastAsia"/>
          <w:bCs/>
          <w:sz w:val="24"/>
        </w:rPr>
        <w:t>日，在规定媒介公告。基金份额持有人大会通知应至少载明以下内容：</w:t>
      </w:r>
    </w:p>
    <w:p w14:paraId="10366CE9" w14:textId="77777777" w:rsidR="00791BDD" w:rsidRDefault="00B75151">
      <w:pPr>
        <w:adjustRightInd w:val="0"/>
        <w:snapToGrid w:val="0"/>
        <w:spacing w:line="360" w:lineRule="auto"/>
        <w:ind w:firstLineChars="200" w:firstLine="480"/>
        <w:rPr>
          <w:bCs/>
          <w:sz w:val="24"/>
        </w:rPr>
      </w:pPr>
      <w:r>
        <w:rPr>
          <w:rFonts w:hint="eastAsia"/>
          <w:bCs/>
          <w:sz w:val="24"/>
        </w:rPr>
        <w:t>1</w:t>
      </w:r>
      <w:r>
        <w:rPr>
          <w:rFonts w:hint="eastAsia"/>
          <w:bCs/>
          <w:sz w:val="24"/>
        </w:rPr>
        <w:t>）会议召开的时间、地点和会议形式；</w:t>
      </w:r>
    </w:p>
    <w:p w14:paraId="12FCDCBF" w14:textId="77777777" w:rsidR="00791BDD" w:rsidRDefault="00B75151">
      <w:pPr>
        <w:adjustRightInd w:val="0"/>
        <w:snapToGrid w:val="0"/>
        <w:spacing w:line="360" w:lineRule="auto"/>
        <w:ind w:firstLineChars="200" w:firstLine="480"/>
        <w:rPr>
          <w:bCs/>
          <w:sz w:val="24"/>
        </w:rPr>
      </w:pPr>
      <w:r>
        <w:rPr>
          <w:rFonts w:hint="eastAsia"/>
          <w:bCs/>
          <w:sz w:val="24"/>
        </w:rPr>
        <w:t>2</w:t>
      </w:r>
      <w:r>
        <w:rPr>
          <w:rFonts w:hint="eastAsia"/>
          <w:bCs/>
          <w:sz w:val="24"/>
        </w:rPr>
        <w:t>）会议拟审议的事项、议事程序和表决方式；</w:t>
      </w:r>
    </w:p>
    <w:p w14:paraId="09AD4469" w14:textId="77777777" w:rsidR="00791BDD" w:rsidRDefault="00B75151">
      <w:pPr>
        <w:adjustRightInd w:val="0"/>
        <w:snapToGrid w:val="0"/>
        <w:spacing w:line="360" w:lineRule="auto"/>
        <w:ind w:firstLineChars="200" w:firstLine="480"/>
        <w:rPr>
          <w:bCs/>
          <w:sz w:val="24"/>
        </w:rPr>
      </w:pPr>
      <w:r>
        <w:rPr>
          <w:rFonts w:hint="eastAsia"/>
          <w:bCs/>
          <w:sz w:val="24"/>
        </w:rPr>
        <w:t>3</w:t>
      </w:r>
      <w:r>
        <w:rPr>
          <w:rFonts w:hint="eastAsia"/>
          <w:bCs/>
          <w:sz w:val="24"/>
        </w:rPr>
        <w:t>）有权出席基金份额持有人大会的基金份额持有人的权益登记日；</w:t>
      </w:r>
    </w:p>
    <w:p w14:paraId="57262C63" w14:textId="77777777" w:rsidR="00791BDD" w:rsidRDefault="00B75151">
      <w:pPr>
        <w:adjustRightInd w:val="0"/>
        <w:snapToGrid w:val="0"/>
        <w:spacing w:line="360" w:lineRule="auto"/>
        <w:ind w:firstLineChars="200" w:firstLine="480"/>
        <w:rPr>
          <w:bCs/>
          <w:sz w:val="24"/>
        </w:rPr>
      </w:pPr>
      <w:r>
        <w:rPr>
          <w:rFonts w:hint="eastAsia"/>
          <w:bCs/>
          <w:sz w:val="24"/>
        </w:rPr>
        <w:t>4</w:t>
      </w:r>
      <w:r>
        <w:rPr>
          <w:rFonts w:hint="eastAsia"/>
          <w:bCs/>
          <w:sz w:val="24"/>
        </w:rPr>
        <w:t>）授权委托证明的内容要求（包括但不限于代理人身份，代理权限和代理有效期限等）、送达时间和地点；</w:t>
      </w:r>
    </w:p>
    <w:p w14:paraId="6E81AD4D" w14:textId="77777777" w:rsidR="00791BDD" w:rsidRDefault="00B75151">
      <w:pPr>
        <w:adjustRightInd w:val="0"/>
        <w:snapToGrid w:val="0"/>
        <w:spacing w:line="360" w:lineRule="auto"/>
        <w:ind w:firstLineChars="200" w:firstLine="480"/>
        <w:rPr>
          <w:bCs/>
          <w:sz w:val="24"/>
        </w:rPr>
      </w:pPr>
      <w:r>
        <w:rPr>
          <w:rFonts w:hint="eastAsia"/>
          <w:bCs/>
          <w:sz w:val="24"/>
        </w:rPr>
        <w:t>5</w:t>
      </w:r>
      <w:r>
        <w:rPr>
          <w:rFonts w:hint="eastAsia"/>
          <w:bCs/>
          <w:sz w:val="24"/>
        </w:rPr>
        <w:t>）会务常设联系人姓名及联系电话；</w:t>
      </w:r>
    </w:p>
    <w:p w14:paraId="7FE24CEB" w14:textId="77777777" w:rsidR="00791BDD" w:rsidRDefault="00B75151">
      <w:pPr>
        <w:adjustRightInd w:val="0"/>
        <w:snapToGrid w:val="0"/>
        <w:spacing w:line="360" w:lineRule="auto"/>
        <w:ind w:firstLineChars="200" w:firstLine="480"/>
        <w:rPr>
          <w:bCs/>
          <w:sz w:val="24"/>
        </w:rPr>
      </w:pPr>
      <w:r>
        <w:rPr>
          <w:rFonts w:hint="eastAsia"/>
          <w:bCs/>
          <w:sz w:val="24"/>
        </w:rPr>
        <w:t>6</w:t>
      </w:r>
      <w:r>
        <w:rPr>
          <w:rFonts w:hint="eastAsia"/>
          <w:bCs/>
          <w:sz w:val="24"/>
        </w:rPr>
        <w:t>）出席会议者必须准备的文件和必须履行的手续；</w:t>
      </w:r>
    </w:p>
    <w:p w14:paraId="27ADCD95" w14:textId="77777777" w:rsidR="00791BDD" w:rsidRDefault="00B75151">
      <w:pPr>
        <w:adjustRightInd w:val="0"/>
        <w:snapToGrid w:val="0"/>
        <w:spacing w:line="360" w:lineRule="auto"/>
        <w:ind w:firstLineChars="200" w:firstLine="480"/>
        <w:rPr>
          <w:bCs/>
          <w:sz w:val="24"/>
        </w:rPr>
      </w:pPr>
      <w:r>
        <w:rPr>
          <w:rFonts w:hint="eastAsia"/>
          <w:bCs/>
          <w:sz w:val="24"/>
        </w:rPr>
        <w:t>7</w:t>
      </w:r>
      <w:r>
        <w:rPr>
          <w:rFonts w:hint="eastAsia"/>
          <w:bCs/>
          <w:sz w:val="24"/>
        </w:rPr>
        <w:t>）召集人需要通知的其他事项。</w:t>
      </w:r>
    </w:p>
    <w:p w14:paraId="51B48A7F"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2</w:t>
      </w:r>
      <w:r>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631FAEA"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3</w:t>
      </w:r>
      <w:r>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16738F25" w14:textId="77777777" w:rsidR="00791BDD" w:rsidRDefault="00B75151">
      <w:pPr>
        <w:adjustRightInd w:val="0"/>
        <w:snapToGrid w:val="0"/>
        <w:spacing w:line="360" w:lineRule="auto"/>
        <w:ind w:firstLineChars="200" w:firstLine="480"/>
        <w:outlineLvl w:val="2"/>
        <w:rPr>
          <w:bCs/>
          <w:sz w:val="24"/>
        </w:rPr>
      </w:pPr>
      <w:r>
        <w:rPr>
          <w:rFonts w:hint="eastAsia"/>
          <w:bCs/>
          <w:sz w:val="24"/>
        </w:rPr>
        <w:t>4</w:t>
      </w:r>
      <w:r>
        <w:rPr>
          <w:rFonts w:hint="eastAsia"/>
          <w:bCs/>
          <w:sz w:val="24"/>
        </w:rPr>
        <w:t>、基金份额持有人出席会议的方式</w:t>
      </w:r>
    </w:p>
    <w:p w14:paraId="6A473164" w14:textId="77777777" w:rsidR="00791BDD" w:rsidRDefault="00B75151">
      <w:pPr>
        <w:adjustRightInd w:val="0"/>
        <w:snapToGrid w:val="0"/>
        <w:spacing w:line="360" w:lineRule="auto"/>
        <w:ind w:firstLineChars="200" w:firstLine="480"/>
        <w:rPr>
          <w:bCs/>
          <w:sz w:val="24"/>
        </w:rPr>
      </w:pPr>
      <w:r>
        <w:rPr>
          <w:rFonts w:hint="eastAsia"/>
          <w:bCs/>
          <w:sz w:val="24"/>
        </w:rPr>
        <w:t>基金份额持有人大会可通过现场开会方式、通讯开会方式或法律法规、监管机构允许的其他方式召开，会议的召开方式由会议召集人确定。</w:t>
      </w:r>
    </w:p>
    <w:p w14:paraId="483EB6F3"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1</w:t>
      </w:r>
      <w:r>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28FD5827" w14:textId="77777777" w:rsidR="00791BDD" w:rsidRDefault="00B75151">
      <w:pPr>
        <w:adjustRightInd w:val="0"/>
        <w:snapToGrid w:val="0"/>
        <w:spacing w:line="360" w:lineRule="auto"/>
        <w:ind w:firstLineChars="200" w:firstLine="480"/>
        <w:rPr>
          <w:bCs/>
          <w:sz w:val="24"/>
        </w:rPr>
      </w:pPr>
      <w:r>
        <w:rPr>
          <w:rFonts w:hint="eastAsia"/>
          <w:bCs/>
          <w:sz w:val="24"/>
        </w:rPr>
        <w:t>1</w:t>
      </w:r>
      <w:r>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A2B9BC6" w14:textId="77777777" w:rsidR="00791BDD" w:rsidRDefault="00B75151">
      <w:pPr>
        <w:adjustRightInd w:val="0"/>
        <w:snapToGrid w:val="0"/>
        <w:spacing w:line="360" w:lineRule="auto"/>
        <w:ind w:firstLineChars="200" w:firstLine="480"/>
        <w:rPr>
          <w:bCs/>
          <w:sz w:val="24"/>
        </w:rPr>
      </w:pPr>
      <w:r>
        <w:rPr>
          <w:rFonts w:hint="eastAsia"/>
          <w:bCs/>
          <w:sz w:val="24"/>
        </w:rPr>
        <w:t>2</w:t>
      </w:r>
      <w:r>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1603B8F9"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2</w:t>
      </w:r>
      <w:r>
        <w:rPr>
          <w:rFonts w:hint="eastAsia"/>
          <w:bCs/>
          <w:sz w:val="24"/>
        </w:rPr>
        <w:t>）通讯开会。通讯开会系指基金份额持有人将其对表决事项的投票以会议通知载明的形式或基金合同约定的其他方式在表决截止日以前送达至召集人指定的地址或系统。</w:t>
      </w:r>
    </w:p>
    <w:p w14:paraId="27DBEB38" w14:textId="77777777" w:rsidR="00791BDD" w:rsidRDefault="00B75151">
      <w:pPr>
        <w:adjustRightInd w:val="0"/>
        <w:snapToGrid w:val="0"/>
        <w:spacing w:line="360" w:lineRule="auto"/>
        <w:ind w:firstLineChars="200" w:firstLine="480"/>
        <w:rPr>
          <w:bCs/>
          <w:sz w:val="24"/>
        </w:rPr>
      </w:pPr>
      <w:r>
        <w:rPr>
          <w:rFonts w:hint="eastAsia"/>
          <w:bCs/>
          <w:sz w:val="24"/>
        </w:rPr>
        <w:t>在同时符合以下条件时，通讯开会的方式视为有效：</w:t>
      </w:r>
    </w:p>
    <w:p w14:paraId="3ADB971D" w14:textId="77777777" w:rsidR="00791BDD" w:rsidRDefault="00B75151">
      <w:pPr>
        <w:adjustRightInd w:val="0"/>
        <w:snapToGrid w:val="0"/>
        <w:spacing w:line="360" w:lineRule="auto"/>
        <w:ind w:firstLineChars="200" w:firstLine="480"/>
        <w:rPr>
          <w:bCs/>
          <w:sz w:val="24"/>
        </w:rPr>
      </w:pPr>
      <w:r>
        <w:rPr>
          <w:rFonts w:hint="eastAsia"/>
          <w:bCs/>
          <w:sz w:val="24"/>
        </w:rPr>
        <w:t>1</w:t>
      </w:r>
      <w:r>
        <w:rPr>
          <w:rFonts w:hint="eastAsia"/>
          <w:bCs/>
          <w:sz w:val="24"/>
        </w:rPr>
        <w:t>）会议召集人按《基金合同》约定公布会议通知后，在</w:t>
      </w:r>
      <w:r>
        <w:rPr>
          <w:rFonts w:hint="eastAsia"/>
          <w:bCs/>
          <w:sz w:val="24"/>
        </w:rPr>
        <w:t>2</w:t>
      </w:r>
      <w:r>
        <w:rPr>
          <w:rFonts w:hint="eastAsia"/>
          <w:bCs/>
          <w:sz w:val="24"/>
        </w:rPr>
        <w:t>个工作日内连续公布相关提示性公告；</w:t>
      </w:r>
    </w:p>
    <w:p w14:paraId="15411039" w14:textId="77777777" w:rsidR="00791BDD" w:rsidRDefault="00B75151">
      <w:pPr>
        <w:adjustRightInd w:val="0"/>
        <w:snapToGrid w:val="0"/>
        <w:spacing w:line="360" w:lineRule="auto"/>
        <w:ind w:firstLineChars="200" w:firstLine="480"/>
        <w:rPr>
          <w:bCs/>
          <w:sz w:val="24"/>
        </w:rPr>
      </w:pPr>
      <w:r>
        <w:rPr>
          <w:rFonts w:hint="eastAsia"/>
          <w:bCs/>
          <w:sz w:val="24"/>
        </w:rPr>
        <w:t>2</w:t>
      </w:r>
      <w:r>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7C1828A1" w14:textId="77777777" w:rsidR="00791BDD" w:rsidRDefault="00B75151">
      <w:pPr>
        <w:adjustRightInd w:val="0"/>
        <w:snapToGrid w:val="0"/>
        <w:spacing w:line="360" w:lineRule="auto"/>
        <w:ind w:firstLineChars="200" w:firstLine="480"/>
        <w:rPr>
          <w:bCs/>
          <w:sz w:val="24"/>
        </w:rPr>
      </w:pPr>
      <w:r>
        <w:rPr>
          <w:rFonts w:hint="eastAsia"/>
          <w:bCs/>
          <w:sz w:val="24"/>
        </w:rPr>
        <w:t>3</w:t>
      </w:r>
      <w:r>
        <w:rPr>
          <w:rFonts w:hint="eastAsia"/>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个月以内，就原定审议事项重新召集基金份额持有人大会。重新召集的基金份额持有人大会应当有代表基金总份额三分之一以上（含三分之一）基金份额的持有人直接出具表决意见或授权他人代表出具表决意见；</w:t>
      </w:r>
    </w:p>
    <w:p w14:paraId="45DBA518" w14:textId="77777777" w:rsidR="00791BDD" w:rsidRDefault="00B75151">
      <w:pPr>
        <w:adjustRightInd w:val="0"/>
        <w:snapToGrid w:val="0"/>
        <w:spacing w:line="360" w:lineRule="auto"/>
        <w:ind w:firstLineChars="200" w:firstLine="480"/>
        <w:rPr>
          <w:bCs/>
          <w:sz w:val="24"/>
        </w:rPr>
      </w:pPr>
      <w:r>
        <w:rPr>
          <w:rFonts w:hint="eastAsia"/>
          <w:bCs/>
          <w:sz w:val="24"/>
        </w:rPr>
        <w:t>4</w:t>
      </w:r>
      <w:r>
        <w:rPr>
          <w:rFonts w:hint="eastAsia"/>
          <w:bCs/>
          <w:sz w:val="24"/>
        </w:rPr>
        <w:t>）上述第</w:t>
      </w:r>
      <w:r>
        <w:rPr>
          <w:rFonts w:hint="eastAsia"/>
          <w:bCs/>
          <w:sz w:val="24"/>
        </w:rPr>
        <w:t>3</w:t>
      </w:r>
      <w:r>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16596642"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3</w:t>
      </w:r>
      <w:r>
        <w:rPr>
          <w:rFonts w:hint="eastAsia"/>
          <w:bCs/>
          <w:sz w:val="24"/>
        </w:rPr>
        <w:t>）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14:paraId="7EB4B1F6" w14:textId="77777777" w:rsidR="00791BDD" w:rsidRDefault="00B75151">
      <w:pPr>
        <w:adjustRightInd w:val="0"/>
        <w:snapToGrid w:val="0"/>
        <w:spacing w:line="360" w:lineRule="auto"/>
        <w:ind w:firstLineChars="200" w:firstLine="480"/>
        <w:outlineLvl w:val="2"/>
        <w:rPr>
          <w:bCs/>
          <w:sz w:val="24"/>
        </w:rPr>
      </w:pPr>
      <w:r>
        <w:rPr>
          <w:rFonts w:hint="eastAsia"/>
          <w:bCs/>
          <w:sz w:val="24"/>
        </w:rPr>
        <w:t>5</w:t>
      </w:r>
      <w:r>
        <w:rPr>
          <w:rFonts w:hint="eastAsia"/>
          <w:bCs/>
          <w:sz w:val="24"/>
        </w:rPr>
        <w:t>、议事内容与程序</w:t>
      </w:r>
    </w:p>
    <w:p w14:paraId="751C2F36"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1</w:t>
      </w:r>
      <w:r>
        <w:rPr>
          <w:rFonts w:hint="eastAsia"/>
          <w:bCs/>
          <w:sz w:val="24"/>
        </w:rPr>
        <w:t>）议事内容及提案权</w:t>
      </w:r>
    </w:p>
    <w:p w14:paraId="554C2CC4" w14:textId="77777777" w:rsidR="00791BDD" w:rsidRDefault="00B75151">
      <w:pPr>
        <w:adjustRightInd w:val="0"/>
        <w:snapToGrid w:val="0"/>
        <w:spacing w:line="360" w:lineRule="auto"/>
        <w:ind w:firstLineChars="200" w:firstLine="480"/>
        <w:rPr>
          <w:bCs/>
          <w:sz w:val="24"/>
        </w:rPr>
      </w:pPr>
      <w:r>
        <w:rPr>
          <w:rFonts w:hint="eastAsia"/>
          <w:bCs/>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665E48AC" w14:textId="77777777" w:rsidR="00791BDD" w:rsidRDefault="00B75151">
      <w:pPr>
        <w:adjustRightInd w:val="0"/>
        <w:snapToGrid w:val="0"/>
        <w:spacing w:line="360" w:lineRule="auto"/>
        <w:ind w:firstLineChars="200" w:firstLine="480"/>
        <w:rPr>
          <w:bCs/>
          <w:sz w:val="24"/>
        </w:rPr>
      </w:pPr>
      <w:r>
        <w:rPr>
          <w:rFonts w:hint="eastAsia"/>
          <w:bCs/>
          <w:sz w:val="24"/>
        </w:rPr>
        <w:t>基金份额持有人大会的召集人发出召集会议的通知后，对原有提案的修改应当在基金份额持有人大会召开前及时公告。</w:t>
      </w:r>
    </w:p>
    <w:p w14:paraId="4A16D6C9" w14:textId="77777777" w:rsidR="00791BDD" w:rsidRDefault="00B75151">
      <w:pPr>
        <w:adjustRightInd w:val="0"/>
        <w:snapToGrid w:val="0"/>
        <w:spacing w:line="360" w:lineRule="auto"/>
        <w:ind w:firstLineChars="200" w:firstLine="480"/>
        <w:rPr>
          <w:bCs/>
          <w:sz w:val="24"/>
        </w:rPr>
      </w:pPr>
      <w:r>
        <w:rPr>
          <w:rFonts w:hint="eastAsia"/>
          <w:bCs/>
          <w:sz w:val="24"/>
        </w:rPr>
        <w:t>基金份额持有人大会不得对未事先公告的议事内容进行表决。</w:t>
      </w:r>
    </w:p>
    <w:p w14:paraId="693AB0DD"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2</w:t>
      </w:r>
      <w:r>
        <w:rPr>
          <w:rFonts w:hint="eastAsia"/>
          <w:bCs/>
          <w:sz w:val="24"/>
        </w:rPr>
        <w:t>）议事程序</w:t>
      </w:r>
    </w:p>
    <w:p w14:paraId="0B9FF1F1" w14:textId="77777777" w:rsidR="00791BDD" w:rsidRDefault="00B75151">
      <w:pPr>
        <w:adjustRightInd w:val="0"/>
        <w:snapToGrid w:val="0"/>
        <w:spacing w:line="360" w:lineRule="auto"/>
        <w:ind w:firstLineChars="200" w:firstLine="480"/>
        <w:rPr>
          <w:bCs/>
          <w:sz w:val="24"/>
        </w:rPr>
      </w:pPr>
      <w:r>
        <w:rPr>
          <w:rFonts w:hint="eastAsia"/>
          <w:bCs/>
          <w:sz w:val="24"/>
        </w:rPr>
        <w:t>1</w:t>
      </w:r>
      <w:r>
        <w:rPr>
          <w:rFonts w:hint="eastAsia"/>
          <w:bCs/>
          <w:sz w:val="24"/>
        </w:rPr>
        <w:t>）现场开会</w:t>
      </w:r>
    </w:p>
    <w:p w14:paraId="1211745C" w14:textId="77777777" w:rsidR="00791BDD" w:rsidRDefault="00B75151">
      <w:pPr>
        <w:adjustRightInd w:val="0"/>
        <w:snapToGrid w:val="0"/>
        <w:spacing w:line="360" w:lineRule="auto"/>
        <w:ind w:firstLineChars="200" w:firstLine="480"/>
        <w:rPr>
          <w:bCs/>
          <w:sz w:val="24"/>
        </w:rPr>
      </w:pPr>
      <w:r>
        <w:rPr>
          <w:rFonts w:hint="eastAsia"/>
          <w:bCs/>
          <w:sz w:val="24"/>
        </w:rPr>
        <w:t>在现场开会的方式下，首先由大会主持人按照下列第</w:t>
      </w:r>
      <w:r>
        <w:rPr>
          <w:rFonts w:hint="eastAsia"/>
          <w:bCs/>
          <w:sz w:val="24"/>
        </w:rPr>
        <w:t>7</w:t>
      </w:r>
      <w:r>
        <w:rPr>
          <w:rFonts w:hint="eastAsia"/>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）选举产生一名基金份额持有人或代理人作为该次基金份额持有人大会的主持人。基金管理人和基金托管人拒不出席或主持基金份额持有人大会，不影响基金份额持有人大会作出的决议的效力。</w:t>
      </w:r>
    </w:p>
    <w:p w14:paraId="42A99DAD" w14:textId="77777777" w:rsidR="00791BDD" w:rsidRDefault="00B75151">
      <w:pPr>
        <w:adjustRightInd w:val="0"/>
        <w:snapToGrid w:val="0"/>
        <w:spacing w:line="360" w:lineRule="auto"/>
        <w:ind w:firstLineChars="200" w:firstLine="480"/>
        <w:rPr>
          <w:bCs/>
          <w:sz w:val="24"/>
        </w:rPr>
      </w:pPr>
      <w:r>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0012CECB" w14:textId="77777777" w:rsidR="00791BDD" w:rsidRDefault="00B75151">
      <w:pPr>
        <w:adjustRightInd w:val="0"/>
        <w:snapToGrid w:val="0"/>
        <w:spacing w:line="360" w:lineRule="auto"/>
        <w:ind w:firstLineChars="200" w:firstLine="480"/>
        <w:rPr>
          <w:bCs/>
          <w:sz w:val="24"/>
        </w:rPr>
      </w:pPr>
      <w:r>
        <w:rPr>
          <w:rFonts w:hint="eastAsia"/>
          <w:bCs/>
          <w:sz w:val="24"/>
        </w:rPr>
        <w:t>2</w:t>
      </w:r>
      <w:r>
        <w:rPr>
          <w:rFonts w:hint="eastAsia"/>
          <w:bCs/>
          <w:sz w:val="24"/>
        </w:rPr>
        <w:t>）通讯开会</w:t>
      </w:r>
    </w:p>
    <w:p w14:paraId="6C93E629" w14:textId="77777777" w:rsidR="00791BDD" w:rsidRDefault="00B75151">
      <w:pPr>
        <w:adjustRightInd w:val="0"/>
        <w:snapToGrid w:val="0"/>
        <w:spacing w:line="360" w:lineRule="auto"/>
        <w:ind w:firstLineChars="200" w:firstLine="480"/>
        <w:rPr>
          <w:bCs/>
          <w:sz w:val="24"/>
        </w:rPr>
      </w:pPr>
      <w:r>
        <w:rPr>
          <w:rFonts w:hint="eastAsia"/>
          <w:bCs/>
          <w:sz w:val="24"/>
        </w:rPr>
        <w:t>在通讯开会的情况下，首先由召集人提前</w:t>
      </w:r>
      <w:r>
        <w:rPr>
          <w:rFonts w:hint="eastAsia"/>
          <w:bCs/>
          <w:sz w:val="24"/>
        </w:rPr>
        <w:t>30</w:t>
      </w:r>
      <w:r>
        <w:rPr>
          <w:rFonts w:hint="eastAsia"/>
          <w:bCs/>
          <w:sz w:val="24"/>
        </w:rPr>
        <w:t>日公布提案，在所通知的表决截止日期后</w:t>
      </w:r>
      <w:r>
        <w:rPr>
          <w:rFonts w:hint="eastAsia"/>
          <w:bCs/>
          <w:sz w:val="24"/>
        </w:rPr>
        <w:t>2</w:t>
      </w:r>
      <w:r>
        <w:rPr>
          <w:rFonts w:hint="eastAsia"/>
          <w:bCs/>
          <w:sz w:val="24"/>
        </w:rPr>
        <w:t>个工作日内在公证机关监督下由召集人统计全部有效表决，在公证机关监督下形成决议。</w:t>
      </w:r>
    </w:p>
    <w:p w14:paraId="00F19761" w14:textId="77777777" w:rsidR="00791BDD" w:rsidRDefault="00B75151">
      <w:pPr>
        <w:adjustRightInd w:val="0"/>
        <w:snapToGrid w:val="0"/>
        <w:spacing w:line="360" w:lineRule="auto"/>
        <w:ind w:firstLineChars="200" w:firstLine="480"/>
        <w:outlineLvl w:val="2"/>
        <w:rPr>
          <w:bCs/>
          <w:sz w:val="24"/>
        </w:rPr>
      </w:pPr>
      <w:r>
        <w:rPr>
          <w:rFonts w:hint="eastAsia"/>
          <w:bCs/>
          <w:sz w:val="24"/>
        </w:rPr>
        <w:t>6</w:t>
      </w:r>
      <w:r>
        <w:rPr>
          <w:rFonts w:hint="eastAsia"/>
          <w:bCs/>
          <w:sz w:val="24"/>
        </w:rPr>
        <w:t>、表决</w:t>
      </w:r>
    </w:p>
    <w:p w14:paraId="4F491551" w14:textId="77777777" w:rsidR="00791BDD" w:rsidRDefault="00B75151">
      <w:pPr>
        <w:adjustRightInd w:val="0"/>
        <w:snapToGrid w:val="0"/>
        <w:spacing w:line="360" w:lineRule="auto"/>
        <w:ind w:firstLineChars="200" w:firstLine="480"/>
        <w:rPr>
          <w:bCs/>
          <w:sz w:val="24"/>
        </w:rPr>
      </w:pPr>
      <w:r>
        <w:rPr>
          <w:rFonts w:hint="eastAsia"/>
          <w:bCs/>
          <w:sz w:val="24"/>
        </w:rPr>
        <w:t>基金份额持有人所持每份基金份额有一票表决权。</w:t>
      </w:r>
    </w:p>
    <w:p w14:paraId="41C39D4B" w14:textId="77777777" w:rsidR="00791BDD" w:rsidRDefault="00B75151">
      <w:pPr>
        <w:adjustRightInd w:val="0"/>
        <w:snapToGrid w:val="0"/>
        <w:spacing w:line="360" w:lineRule="auto"/>
        <w:ind w:firstLineChars="200" w:firstLine="480"/>
        <w:rPr>
          <w:bCs/>
          <w:sz w:val="24"/>
        </w:rPr>
      </w:pPr>
      <w:r>
        <w:rPr>
          <w:rFonts w:hint="eastAsia"/>
          <w:bCs/>
          <w:sz w:val="24"/>
        </w:rPr>
        <w:t>基金份额持有人大会决议分为一般决议和特别决议：</w:t>
      </w:r>
    </w:p>
    <w:p w14:paraId="08761586"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1</w:t>
      </w:r>
      <w:r>
        <w:rPr>
          <w:rFonts w:hint="eastAsia"/>
          <w:bCs/>
          <w:sz w:val="24"/>
        </w:rPr>
        <w:t>）一般决议，一般决议须经参加大会的基金份额持有人或其代理人所持表决权的二分之一以上（含二分之一）通过方为有效；除下列第（</w:t>
      </w:r>
      <w:r>
        <w:rPr>
          <w:rFonts w:hint="eastAsia"/>
          <w:bCs/>
          <w:sz w:val="24"/>
        </w:rPr>
        <w:t>2</w:t>
      </w:r>
      <w:r>
        <w:rPr>
          <w:rFonts w:hint="eastAsia"/>
          <w:bCs/>
          <w:sz w:val="24"/>
        </w:rPr>
        <w:t>）项所规定的须以特别决议通过事项以外的其他事项均以一般决议的方式通过。</w:t>
      </w:r>
    </w:p>
    <w:p w14:paraId="35246FE6"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2</w:t>
      </w:r>
      <w:r>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14:paraId="51E5A990" w14:textId="77777777" w:rsidR="00791BDD" w:rsidRDefault="00B75151">
      <w:pPr>
        <w:adjustRightInd w:val="0"/>
        <w:snapToGrid w:val="0"/>
        <w:spacing w:line="360" w:lineRule="auto"/>
        <w:ind w:firstLineChars="200" w:firstLine="480"/>
        <w:rPr>
          <w:bCs/>
          <w:sz w:val="24"/>
        </w:rPr>
      </w:pPr>
      <w:r>
        <w:rPr>
          <w:rFonts w:hint="eastAsia"/>
          <w:bCs/>
          <w:sz w:val="24"/>
        </w:rPr>
        <w:t>基金份额持有人大会采取记名方式进行投票表决。</w:t>
      </w:r>
    </w:p>
    <w:p w14:paraId="72A6DF70" w14:textId="77777777" w:rsidR="00791BDD" w:rsidRDefault="00B75151">
      <w:pPr>
        <w:adjustRightInd w:val="0"/>
        <w:snapToGrid w:val="0"/>
        <w:spacing w:line="360" w:lineRule="auto"/>
        <w:ind w:firstLineChars="200" w:firstLine="480"/>
        <w:rPr>
          <w:bCs/>
          <w:sz w:val="24"/>
        </w:rPr>
      </w:pPr>
      <w:r>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06D6BBA2" w14:textId="77777777" w:rsidR="00791BDD" w:rsidRDefault="00B75151">
      <w:pPr>
        <w:adjustRightInd w:val="0"/>
        <w:snapToGrid w:val="0"/>
        <w:spacing w:line="360" w:lineRule="auto"/>
        <w:ind w:firstLineChars="200" w:firstLine="480"/>
        <w:rPr>
          <w:bCs/>
          <w:sz w:val="24"/>
        </w:rPr>
      </w:pPr>
      <w:r>
        <w:rPr>
          <w:rFonts w:hint="eastAsia"/>
          <w:bCs/>
          <w:sz w:val="24"/>
        </w:rPr>
        <w:t>基金份额持有人大会的各项提案或同一项提案内并列的各项议题应当分开审议、逐项表决。</w:t>
      </w:r>
    </w:p>
    <w:p w14:paraId="76E8F7B6" w14:textId="77777777" w:rsidR="00791BDD" w:rsidRDefault="00B75151">
      <w:pPr>
        <w:adjustRightInd w:val="0"/>
        <w:snapToGrid w:val="0"/>
        <w:spacing w:line="360" w:lineRule="auto"/>
        <w:ind w:firstLineChars="200" w:firstLine="480"/>
        <w:outlineLvl w:val="2"/>
        <w:rPr>
          <w:bCs/>
          <w:sz w:val="24"/>
        </w:rPr>
      </w:pPr>
      <w:r>
        <w:rPr>
          <w:rFonts w:hint="eastAsia"/>
          <w:bCs/>
          <w:sz w:val="24"/>
        </w:rPr>
        <w:t>7</w:t>
      </w:r>
      <w:r>
        <w:rPr>
          <w:rFonts w:hint="eastAsia"/>
          <w:bCs/>
          <w:sz w:val="24"/>
        </w:rPr>
        <w:t>、计票</w:t>
      </w:r>
    </w:p>
    <w:p w14:paraId="6273F45B"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1</w:t>
      </w:r>
      <w:r>
        <w:rPr>
          <w:rFonts w:hint="eastAsia"/>
          <w:bCs/>
          <w:sz w:val="24"/>
        </w:rPr>
        <w:t>）现场开会</w:t>
      </w:r>
    </w:p>
    <w:p w14:paraId="15722EFD" w14:textId="77777777" w:rsidR="00791BDD" w:rsidRDefault="00B75151">
      <w:pPr>
        <w:adjustRightInd w:val="0"/>
        <w:snapToGrid w:val="0"/>
        <w:spacing w:line="360" w:lineRule="auto"/>
        <w:ind w:firstLineChars="200" w:firstLine="480"/>
        <w:rPr>
          <w:bCs/>
          <w:sz w:val="24"/>
        </w:rPr>
      </w:pPr>
      <w:r>
        <w:rPr>
          <w:rFonts w:hint="eastAsia"/>
          <w:bCs/>
          <w:sz w:val="24"/>
        </w:rPr>
        <w:t>1</w:t>
      </w:r>
      <w:r>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588150E9" w14:textId="77777777" w:rsidR="00791BDD" w:rsidRDefault="00B75151">
      <w:pPr>
        <w:adjustRightInd w:val="0"/>
        <w:snapToGrid w:val="0"/>
        <w:spacing w:line="360" w:lineRule="auto"/>
        <w:ind w:firstLineChars="200" w:firstLine="480"/>
        <w:rPr>
          <w:bCs/>
          <w:sz w:val="24"/>
        </w:rPr>
      </w:pPr>
      <w:r>
        <w:rPr>
          <w:rFonts w:hint="eastAsia"/>
          <w:bCs/>
          <w:sz w:val="24"/>
        </w:rPr>
        <w:t>2</w:t>
      </w:r>
      <w:r>
        <w:rPr>
          <w:rFonts w:hint="eastAsia"/>
          <w:bCs/>
          <w:sz w:val="24"/>
        </w:rPr>
        <w:t>）监票人应当在基金份额持有人表决后立即进行清点并由大会主持人当场公布计票结果。</w:t>
      </w:r>
    </w:p>
    <w:p w14:paraId="7409F2E7" w14:textId="77777777" w:rsidR="00791BDD" w:rsidRDefault="00B75151">
      <w:pPr>
        <w:adjustRightInd w:val="0"/>
        <w:snapToGrid w:val="0"/>
        <w:spacing w:line="360" w:lineRule="auto"/>
        <w:ind w:firstLineChars="200" w:firstLine="480"/>
        <w:rPr>
          <w:bCs/>
          <w:sz w:val="24"/>
        </w:rPr>
      </w:pPr>
      <w:r>
        <w:rPr>
          <w:rFonts w:hint="eastAsia"/>
          <w:bCs/>
          <w:sz w:val="24"/>
        </w:rPr>
        <w:t>3</w:t>
      </w:r>
      <w:r>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3CB87637" w14:textId="77777777" w:rsidR="00791BDD" w:rsidRDefault="00B75151">
      <w:pPr>
        <w:adjustRightInd w:val="0"/>
        <w:snapToGrid w:val="0"/>
        <w:spacing w:line="360" w:lineRule="auto"/>
        <w:ind w:firstLineChars="200" w:firstLine="480"/>
        <w:rPr>
          <w:bCs/>
          <w:sz w:val="24"/>
        </w:rPr>
      </w:pPr>
      <w:r>
        <w:rPr>
          <w:rFonts w:hint="eastAsia"/>
          <w:bCs/>
          <w:sz w:val="24"/>
        </w:rPr>
        <w:t>4</w:t>
      </w:r>
      <w:r>
        <w:rPr>
          <w:rFonts w:hint="eastAsia"/>
          <w:bCs/>
          <w:sz w:val="24"/>
        </w:rPr>
        <w:t>）计票过程应由公证机关予以公证，基金管理人或基金托管人拒不出席大会的，不影响计票的效力。</w:t>
      </w:r>
    </w:p>
    <w:p w14:paraId="0B9BDDD9"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2</w:t>
      </w:r>
      <w:r>
        <w:rPr>
          <w:rFonts w:hint="eastAsia"/>
          <w:bCs/>
          <w:sz w:val="24"/>
        </w:rPr>
        <w:t>）通讯开会</w:t>
      </w:r>
    </w:p>
    <w:p w14:paraId="759A7458" w14:textId="77777777" w:rsidR="00791BDD" w:rsidRDefault="00B75151">
      <w:pPr>
        <w:adjustRightInd w:val="0"/>
        <w:snapToGrid w:val="0"/>
        <w:spacing w:line="360" w:lineRule="auto"/>
        <w:ind w:firstLineChars="200" w:firstLine="480"/>
        <w:rPr>
          <w:bCs/>
          <w:sz w:val="24"/>
        </w:rPr>
      </w:pPr>
      <w:r>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416E3BBF" w14:textId="77777777" w:rsidR="00791BDD" w:rsidRDefault="00B75151">
      <w:pPr>
        <w:adjustRightInd w:val="0"/>
        <w:snapToGrid w:val="0"/>
        <w:spacing w:line="360" w:lineRule="auto"/>
        <w:ind w:firstLineChars="200" w:firstLine="480"/>
        <w:outlineLvl w:val="2"/>
        <w:rPr>
          <w:bCs/>
          <w:sz w:val="24"/>
        </w:rPr>
      </w:pPr>
      <w:r>
        <w:rPr>
          <w:rFonts w:hint="eastAsia"/>
          <w:bCs/>
          <w:sz w:val="24"/>
        </w:rPr>
        <w:t>8</w:t>
      </w:r>
      <w:r>
        <w:rPr>
          <w:rFonts w:hint="eastAsia"/>
          <w:bCs/>
          <w:sz w:val="24"/>
        </w:rPr>
        <w:t>、生效与公告</w:t>
      </w:r>
    </w:p>
    <w:p w14:paraId="3CF6D7E4" w14:textId="77777777" w:rsidR="00791BDD" w:rsidRDefault="00B75151">
      <w:pPr>
        <w:adjustRightInd w:val="0"/>
        <w:snapToGrid w:val="0"/>
        <w:spacing w:line="360" w:lineRule="auto"/>
        <w:ind w:firstLineChars="200" w:firstLine="480"/>
        <w:rPr>
          <w:bCs/>
          <w:sz w:val="24"/>
        </w:rPr>
      </w:pPr>
      <w:r>
        <w:rPr>
          <w:rFonts w:hint="eastAsia"/>
          <w:bCs/>
          <w:sz w:val="24"/>
        </w:rPr>
        <w:t>基金份额持有人大会的决议，召集人应当自通过之日起</w:t>
      </w:r>
      <w:r>
        <w:rPr>
          <w:rFonts w:hint="eastAsia"/>
          <w:bCs/>
          <w:sz w:val="24"/>
        </w:rPr>
        <w:t>5</w:t>
      </w:r>
      <w:r>
        <w:rPr>
          <w:rFonts w:hint="eastAsia"/>
          <w:bCs/>
          <w:sz w:val="24"/>
        </w:rPr>
        <w:t>日内报中国证监会备案。</w:t>
      </w:r>
    </w:p>
    <w:p w14:paraId="64C526EF" w14:textId="77777777" w:rsidR="00791BDD" w:rsidRDefault="00B75151">
      <w:pPr>
        <w:adjustRightInd w:val="0"/>
        <w:snapToGrid w:val="0"/>
        <w:spacing w:line="360" w:lineRule="auto"/>
        <w:ind w:firstLineChars="200" w:firstLine="480"/>
        <w:rPr>
          <w:bCs/>
          <w:sz w:val="24"/>
        </w:rPr>
      </w:pPr>
      <w:r>
        <w:rPr>
          <w:rFonts w:hint="eastAsia"/>
          <w:bCs/>
          <w:sz w:val="24"/>
        </w:rPr>
        <w:t>基金份额持有人大会的决议自表决通过之日起生效。法律法规另有规定的，从其规定。</w:t>
      </w:r>
    </w:p>
    <w:p w14:paraId="7A73883F" w14:textId="77777777" w:rsidR="00791BDD" w:rsidRDefault="00B75151">
      <w:pPr>
        <w:adjustRightInd w:val="0"/>
        <w:snapToGrid w:val="0"/>
        <w:spacing w:line="360" w:lineRule="auto"/>
        <w:ind w:firstLineChars="200" w:firstLine="480"/>
        <w:rPr>
          <w:bCs/>
          <w:sz w:val="24"/>
        </w:rPr>
      </w:pPr>
      <w:r>
        <w:rPr>
          <w:rFonts w:hint="eastAsia"/>
          <w:bCs/>
          <w:sz w:val="24"/>
        </w:rPr>
        <w:t>基金份额持有人大会决议自生效之日起依照《信息披露办法》的规定在规定媒介上公告。如果采用通讯方式进行表决，在公告基金份额持有人大会决议时，必须将公证书全文、公证机构、公证员姓名等一同公告。</w:t>
      </w:r>
    </w:p>
    <w:p w14:paraId="3D3EC888" w14:textId="77777777" w:rsidR="00791BDD" w:rsidRDefault="00B75151">
      <w:pPr>
        <w:adjustRightInd w:val="0"/>
        <w:snapToGrid w:val="0"/>
        <w:spacing w:line="360" w:lineRule="auto"/>
        <w:ind w:firstLineChars="200" w:firstLine="48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2C9FD5C2" w14:textId="77777777" w:rsidR="00791BDD" w:rsidRDefault="00B75151">
      <w:pPr>
        <w:adjustRightInd w:val="0"/>
        <w:snapToGrid w:val="0"/>
        <w:spacing w:line="360" w:lineRule="auto"/>
        <w:ind w:firstLineChars="200" w:firstLine="480"/>
        <w:outlineLvl w:val="2"/>
        <w:rPr>
          <w:bCs/>
          <w:sz w:val="24"/>
        </w:rPr>
      </w:pPr>
      <w:r>
        <w:rPr>
          <w:rFonts w:hint="eastAsia"/>
          <w:bCs/>
          <w:sz w:val="24"/>
        </w:rPr>
        <w:t>9</w:t>
      </w:r>
      <w:r>
        <w:rPr>
          <w:rFonts w:hint="eastAsia"/>
          <w:bCs/>
          <w:sz w:val="24"/>
        </w:rPr>
        <w:t>、实施侧袋机制期间基金份额持有人大会的特殊约定</w:t>
      </w:r>
    </w:p>
    <w:p w14:paraId="0AD850D7" w14:textId="77777777" w:rsidR="00791BDD" w:rsidRDefault="00B75151">
      <w:pPr>
        <w:adjustRightInd w:val="0"/>
        <w:snapToGrid w:val="0"/>
        <w:spacing w:line="360" w:lineRule="auto"/>
        <w:ind w:firstLineChars="200" w:firstLine="480"/>
        <w:rPr>
          <w:bCs/>
          <w:sz w:val="24"/>
        </w:rPr>
      </w:pPr>
      <w:r>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27A20805"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0E1A7F56"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2</w:t>
      </w:r>
      <w:r>
        <w:rPr>
          <w:rFonts w:hint="eastAsia"/>
          <w:bCs/>
          <w:sz w:val="24"/>
        </w:rPr>
        <w:t>）现场开会的到会者在权益登记日代表的基金份额不少于本基金在权益登记日相关基金份额的二分之一（含二分之一）；</w:t>
      </w:r>
    </w:p>
    <w:p w14:paraId="2993BFB7"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3</w:t>
      </w:r>
      <w:r>
        <w:rPr>
          <w:rFonts w:hint="eastAsia"/>
          <w:bCs/>
          <w:sz w:val="24"/>
        </w:rPr>
        <w:t>）通讯开会的直接出具表决意见或授权他人代表出具表决意见的基金份额持有人所持有的基金份额不小于在权益登记日相关基金份额的二分之一（含二分之一）；</w:t>
      </w:r>
    </w:p>
    <w:p w14:paraId="242E8F2C"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4</w:t>
      </w:r>
      <w:r>
        <w:rPr>
          <w:rFonts w:hint="eastAsia"/>
          <w:bCs/>
          <w:sz w:val="24"/>
        </w:rPr>
        <w:t>）在参与基金份额持有人大会投票的基金份额持有人所持有的基金份额小于在权益登记日相关基金份额的二分之一、召集人在原公告的基金份额持有人大会召开时间的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29374D99"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）选举产生一名基金份额持有人或代理人作为该次基金份额持有人大会的主持人；</w:t>
      </w:r>
    </w:p>
    <w:p w14:paraId="49A8AC6A"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6</w:t>
      </w:r>
      <w:r>
        <w:rPr>
          <w:rFonts w:hint="eastAsia"/>
          <w:bCs/>
          <w:sz w:val="24"/>
        </w:rPr>
        <w:t>）一般决议须经参加大会的基金份额持有人或其代理人所持表决权的二分之一以上（含二分之一）通过；</w:t>
      </w:r>
    </w:p>
    <w:p w14:paraId="66EB436F"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7</w:t>
      </w:r>
      <w:r>
        <w:rPr>
          <w:rFonts w:hint="eastAsia"/>
          <w:bCs/>
          <w:sz w:val="24"/>
        </w:rPr>
        <w:t>）特别决议应当经参加大会的基金份额持有人或其代理人所持表决权的三分之二以上（含三分之二）通过。</w:t>
      </w:r>
    </w:p>
    <w:p w14:paraId="6A86ECDD" w14:textId="77777777" w:rsidR="00791BDD" w:rsidRDefault="00B75151">
      <w:pPr>
        <w:adjustRightInd w:val="0"/>
        <w:snapToGrid w:val="0"/>
        <w:spacing w:line="360" w:lineRule="auto"/>
        <w:ind w:firstLineChars="200" w:firstLine="480"/>
        <w:rPr>
          <w:bCs/>
          <w:sz w:val="24"/>
        </w:rPr>
      </w:pPr>
      <w:r>
        <w:rPr>
          <w:rFonts w:hint="eastAsia"/>
          <w:bCs/>
          <w:sz w:val="24"/>
        </w:rPr>
        <w:t>同一主侧袋账户内的每份基金份额具有平等的表决权。</w:t>
      </w:r>
    </w:p>
    <w:p w14:paraId="5539B792" w14:textId="77777777" w:rsidR="00791BDD" w:rsidRDefault="00B75151">
      <w:pPr>
        <w:adjustRightInd w:val="0"/>
        <w:snapToGrid w:val="0"/>
        <w:spacing w:line="360" w:lineRule="auto"/>
        <w:ind w:firstLineChars="200" w:firstLine="480"/>
        <w:rPr>
          <w:bCs/>
          <w:sz w:val="24"/>
        </w:rPr>
      </w:pPr>
      <w:r>
        <w:rPr>
          <w:rFonts w:hint="eastAsia"/>
          <w:bCs/>
          <w:sz w:val="24"/>
        </w:rPr>
        <w:t>1</w:t>
      </w:r>
      <w:r>
        <w:rPr>
          <w:bCs/>
          <w:sz w:val="24"/>
        </w:rPr>
        <w:t>0</w:t>
      </w:r>
      <w:r>
        <w:rPr>
          <w:rFonts w:hint="eastAsia"/>
          <w:bCs/>
          <w:sz w:val="24"/>
        </w:rPr>
        <w:t>、本部分对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14:paraId="22443B5A" w14:textId="77777777" w:rsidR="00791BDD" w:rsidRDefault="00B75151">
      <w:pPr>
        <w:adjustRightInd w:val="0"/>
        <w:snapToGrid w:val="0"/>
        <w:spacing w:line="360" w:lineRule="auto"/>
        <w:ind w:firstLine="482"/>
        <w:outlineLvl w:val="1"/>
        <w:rPr>
          <w:b/>
          <w:bCs/>
          <w:sz w:val="24"/>
        </w:rPr>
      </w:pPr>
      <w:r>
        <w:rPr>
          <w:rFonts w:hint="eastAsia"/>
          <w:b/>
          <w:bCs/>
          <w:sz w:val="24"/>
        </w:rPr>
        <w:t>（三）基金合同解除和终止的事由、程序</w:t>
      </w:r>
    </w:p>
    <w:p w14:paraId="2EA5A0F9" w14:textId="77777777" w:rsidR="00791BDD" w:rsidRDefault="00B75151">
      <w:pPr>
        <w:adjustRightInd w:val="0"/>
        <w:snapToGrid w:val="0"/>
        <w:spacing w:line="360" w:lineRule="auto"/>
        <w:ind w:firstLineChars="200" w:firstLine="480"/>
        <w:outlineLvl w:val="2"/>
        <w:rPr>
          <w:bCs/>
          <w:sz w:val="24"/>
        </w:rPr>
      </w:pPr>
      <w:r>
        <w:rPr>
          <w:bCs/>
          <w:sz w:val="24"/>
        </w:rPr>
        <w:t>1</w:t>
      </w:r>
      <w:r>
        <w:rPr>
          <w:bCs/>
          <w:sz w:val="24"/>
        </w:rPr>
        <w:t>、《基金合同》的变更</w:t>
      </w:r>
    </w:p>
    <w:p w14:paraId="231D298E"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1</w:t>
      </w:r>
      <w:r>
        <w:rPr>
          <w:rFonts w:hint="eastAsia"/>
          <w:bCs/>
          <w:sz w:val="24"/>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按规定报中国证监会备案。</w:t>
      </w:r>
    </w:p>
    <w:p w14:paraId="30CFEFCC"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2</w:t>
      </w:r>
      <w:r>
        <w:rPr>
          <w:rFonts w:hint="eastAsia"/>
          <w:bCs/>
          <w:sz w:val="24"/>
        </w:rPr>
        <w:t>）关于《基金合同》变更的基金份额持有人大会决议自生效后方可执行，自决议生效后依照《信息披露办法》的规定在规定媒介公告。</w:t>
      </w:r>
    </w:p>
    <w:p w14:paraId="342F3C54" w14:textId="77777777" w:rsidR="00791BDD" w:rsidRDefault="00B75151">
      <w:pPr>
        <w:adjustRightInd w:val="0"/>
        <w:snapToGrid w:val="0"/>
        <w:spacing w:line="360" w:lineRule="auto"/>
        <w:ind w:firstLineChars="200" w:firstLine="480"/>
        <w:outlineLvl w:val="2"/>
        <w:rPr>
          <w:bCs/>
          <w:sz w:val="24"/>
        </w:rPr>
      </w:pPr>
      <w:r>
        <w:rPr>
          <w:bCs/>
          <w:sz w:val="24"/>
        </w:rPr>
        <w:t>2</w:t>
      </w:r>
      <w:r>
        <w:rPr>
          <w:bCs/>
          <w:sz w:val="24"/>
        </w:rPr>
        <w:t>、《基金合同》的终止事由</w:t>
      </w:r>
    </w:p>
    <w:p w14:paraId="132A267B" w14:textId="77777777" w:rsidR="00791BDD" w:rsidRDefault="00B75151">
      <w:pPr>
        <w:adjustRightInd w:val="0"/>
        <w:snapToGrid w:val="0"/>
        <w:spacing w:line="360" w:lineRule="auto"/>
        <w:ind w:firstLineChars="200" w:firstLine="480"/>
        <w:rPr>
          <w:bCs/>
          <w:sz w:val="24"/>
        </w:rPr>
      </w:pPr>
      <w:r>
        <w:rPr>
          <w:rFonts w:hint="eastAsia"/>
          <w:bCs/>
          <w:sz w:val="24"/>
        </w:rPr>
        <w:t>有下列情形之一的，经履行相关程序后，《基金合同》应当终止：</w:t>
      </w:r>
    </w:p>
    <w:p w14:paraId="5312E67E"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1</w:t>
      </w:r>
      <w:r>
        <w:rPr>
          <w:rFonts w:hint="eastAsia"/>
          <w:bCs/>
          <w:sz w:val="24"/>
        </w:rPr>
        <w:t>）基金份额持有人大会决定终止的；</w:t>
      </w:r>
    </w:p>
    <w:p w14:paraId="17215741"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2</w:t>
      </w:r>
      <w:r>
        <w:rPr>
          <w:rFonts w:hint="eastAsia"/>
          <w:bCs/>
          <w:sz w:val="24"/>
        </w:rPr>
        <w:t>）基金管理人、基金托管人职责终止，在</w:t>
      </w:r>
      <w:r>
        <w:rPr>
          <w:rFonts w:hint="eastAsia"/>
          <w:bCs/>
          <w:sz w:val="24"/>
        </w:rPr>
        <w:t>6</w:t>
      </w:r>
      <w:r>
        <w:rPr>
          <w:rFonts w:hint="eastAsia"/>
          <w:bCs/>
          <w:sz w:val="24"/>
        </w:rPr>
        <w:t>个月内没有新基金管理人、新基金托管人承接的；</w:t>
      </w:r>
    </w:p>
    <w:p w14:paraId="751D062B"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3</w:t>
      </w:r>
      <w:r>
        <w:rPr>
          <w:rFonts w:hint="eastAsia"/>
          <w:bCs/>
          <w:sz w:val="24"/>
        </w:rPr>
        <w:t>）《基金合同》生效之日起三年后的对应日，若基金资产净值低于</w:t>
      </w:r>
      <w:r>
        <w:rPr>
          <w:rFonts w:hint="eastAsia"/>
          <w:bCs/>
          <w:sz w:val="24"/>
        </w:rPr>
        <w:t>2</w:t>
      </w:r>
      <w:r>
        <w:rPr>
          <w:rFonts w:hint="eastAsia"/>
          <w:bCs/>
          <w:sz w:val="24"/>
        </w:rPr>
        <w:t>亿元，基金合同自动终止，且不得通过召开基金份额持有人大会的方式延续《基金合同》期限。若届时有效的法律法规或中国证监会规定发生变化，上述终止规定被取消、更改或补充，则本基金可以参照届时有效的法律法规或中国证监会规定执行；</w:t>
      </w:r>
    </w:p>
    <w:p w14:paraId="75828A3E"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4</w:t>
      </w:r>
      <w:r>
        <w:rPr>
          <w:rFonts w:hint="eastAsia"/>
          <w:bCs/>
          <w:sz w:val="24"/>
        </w:rPr>
        <w:t>）《基金合同》约定的其他情形；</w:t>
      </w:r>
    </w:p>
    <w:p w14:paraId="2BFE58A6" w14:textId="77777777" w:rsidR="00791BDD" w:rsidRDefault="00B75151">
      <w:pPr>
        <w:adjustRightInd w:val="0"/>
        <w:snapToGrid w:val="0"/>
        <w:spacing w:line="360" w:lineRule="auto"/>
        <w:ind w:firstLineChars="200" w:firstLine="480"/>
        <w:rPr>
          <w:bCs/>
          <w:sz w:val="24"/>
        </w:rPr>
      </w:pPr>
      <w:r>
        <w:rPr>
          <w:rFonts w:hint="eastAsia"/>
          <w:bCs/>
          <w:sz w:val="24"/>
        </w:rPr>
        <w:t>（</w:t>
      </w:r>
      <w:r>
        <w:rPr>
          <w:bCs/>
          <w:sz w:val="24"/>
        </w:rPr>
        <w:t>5</w:t>
      </w:r>
      <w:r>
        <w:rPr>
          <w:rFonts w:hint="eastAsia"/>
          <w:bCs/>
          <w:sz w:val="24"/>
        </w:rPr>
        <w:t>）相关法律法规和中国证监会规定的其他情况。</w:t>
      </w:r>
    </w:p>
    <w:p w14:paraId="579B8FFA" w14:textId="77777777" w:rsidR="00791BDD" w:rsidRDefault="00B75151">
      <w:pPr>
        <w:adjustRightInd w:val="0"/>
        <w:snapToGrid w:val="0"/>
        <w:spacing w:line="360" w:lineRule="auto"/>
        <w:ind w:firstLineChars="200" w:firstLine="480"/>
        <w:outlineLvl w:val="2"/>
        <w:rPr>
          <w:bCs/>
          <w:sz w:val="24"/>
        </w:rPr>
      </w:pPr>
      <w:r>
        <w:rPr>
          <w:rFonts w:hint="eastAsia"/>
          <w:bCs/>
          <w:sz w:val="24"/>
        </w:rPr>
        <w:t>3</w:t>
      </w:r>
      <w:r>
        <w:rPr>
          <w:bCs/>
          <w:sz w:val="24"/>
        </w:rPr>
        <w:t>、基金财产的清算</w:t>
      </w:r>
    </w:p>
    <w:p w14:paraId="05EF4217"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1</w:t>
      </w:r>
      <w:r>
        <w:rPr>
          <w:rFonts w:hint="eastAsia"/>
          <w:bCs/>
          <w:sz w:val="24"/>
        </w:rPr>
        <w:t>）基金财产清算小组：自出现《基金合同》终止事由之日起</w:t>
      </w:r>
      <w:r>
        <w:rPr>
          <w:rFonts w:hint="eastAsia"/>
          <w:bCs/>
          <w:sz w:val="24"/>
        </w:rPr>
        <w:t>30</w:t>
      </w:r>
      <w:r>
        <w:rPr>
          <w:rFonts w:hint="eastAsia"/>
          <w:bCs/>
          <w:sz w:val="24"/>
        </w:rPr>
        <w:t>个工作日内成立清算小组，基金管理人组织基金财产清算小组并在中国证监会的监督下进行基金清算。</w:t>
      </w:r>
    </w:p>
    <w:p w14:paraId="46C71EC8"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2</w:t>
      </w:r>
      <w:r>
        <w:rPr>
          <w:rFonts w:hint="eastAsia"/>
          <w:bCs/>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5FF4C1DC"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3</w:t>
      </w:r>
      <w:r>
        <w:rPr>
          <w:rFonts w:hint="eastAsia"/>
          <w:bCs/>
          <w:sz w:val="24"/>
        </w:rPr>
        <w:t>）基金财产清算小组职责：基金财产清算小组负责基金财产的保管、清理、估价、变现和分配。基金财产清算小组可以依法进行必要的民事活动。</w:t>
      </w:r>
    </w:p>
    <w:p w14:paraId="4BBE01A4"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4</w:t>
      </w:r>
      <w:r>
        <w:rPr>
          <w:rFonts w:hint="eastAsia"/>
          <w:bCs/>
          <w:sz w:val="24"/>
        </w:rPr>
        <w:t>）基金财产清算程序：</w:t>
      </w:r>
    </w:p>
    <w:p w14:paraId="5351DFEC" w14:textId="77777777" w:rsidR="00791BDD" w:rsidRDefault="00B75151">
      <w:pPr>
        <w:adjustRightInd w:val="0"/>
        <w:snapToGrid w:val="0"/>
        <w:spacing w:line="360" w:lineRule="auto"/>
        <w:ind w:firstLineChars="200" w:firstLine="480"/>
        <w:rPr>
          <w:bCs/>
          <w:sz w:val="24"/>
        </w:rPr>
      </w:pPr>
      <w:r>
        <w:rPr>
          <w:rFonts w:hint="eastAsia"/>
          <w:bCs/>
          <w:sz w:val="24"/>
        </w:rPr>
        <w:t>1</w:t>
      </w:r>
      <w:r>
        <w:rPr>
          <w:rFonts w:hint="eastAsia"/>
          <w:bCs/>
          <w:sz w:val="24"/>
        </w:rPr>
        <w:t>）《基金合同》终止情形出现时，由基金财产清算小组统一接管基金财产；</w:t>
      </w:r>
    </w:p>
    <w:p w14:paraId="0708376E" w14:textId="77777777" w:rsidR="00791BDD" w:rsidRDefault="00B75151">
      <w:pPr>
        <w:adjustRightInd w:val="0"/>
        <w:snapToGrid w:val="0"/>
        <w:spacing w:line="360" w:lineRule="auto"/>
        <w:ind w:firstLineChars="200" w:firstLine="480"/>
        <w:rPr>
          <w:bCs/>
          <w:sz w:val="24"/>
        </w:rPr>
      </w:pPr>
      <w:r>
        <w:rPr>
          <w:rFonts w:hint="eastAsia"/>
          <w:bCs/>
          <w:sz w:val="24"/>
        </w:rPr>
        <w:t>2</w:t>
      </w:r>
      <w:r>
        <w:rPr>
          <w:rFonts w:hint="eastAsia"/>
          <w:bCs/>
          <w:sz w:val="24"/>
        </w:rPr>
        <w:t>）对基金财产和债权债务进行清理和确认；</w:t>
      </w:r>
    </w:p>
    <w:p w14:paraId="61433081" w14:textId="77777777" w:rsidR="00791BDD" w:rsidRDefault="00B75151">
      <w:pPr>
        <w:adjustRightInd w:val="0"/>
        <w:snapToGrid w:val="0"/>
        <w:spacing w:line="360" w:lineRule="auto"/>
        <w:ind w:firstLineChars="200" w:firstLine="480"/>
        <w:rPr>
          <w:bCs/>
          <w:sz w:val="24"/>
        </w:rPr>
      </w:pPr>
      <w:r>
        <w:rPr>
          <w:rFonts w:hint="eastAsia"/>
          <w:bCs/>
          <w:sz w:val="24"/>
        </w:rPr>
        <w:t>3</w:t>
      </w:r>
      <w:r>
        <w:rPr>
          <w:rFonts w:hint="eastAsia"/>
          <w:bCs/>
          <w:sz w:val="24"/>
        </w:rPr>
        <w:t>）对基金财产进行估值和变现；</w:t>
      </w:r>
    </w:p>
    <w:p w14:paraId="69A8B1E2" w14:textId="77777777" w:rsidR="00791BDD" w:rsidRDefault="00B75151">
      <w:pPr>
        <w:adjustRightInd w:val="0"/>
        <w:snapToGrid w:val="0"/>
        <w:spacing w:line="360" w:lineRule="auto"/>
        <w:ind w:firstLineChars="200" w:firstLine="480"/>
        <w:rPr>
          <w:bCs/>
          <w:sz w:val="24"/>
        </w:rPr>
      </w:pPr>
      <w:r>
        <w:rPr>
          <w:rFonts w:hint="eastAsia"/>
          <w:bCs/>
          <w:sz w:val="24"/>
        </w:rPr>
        <w:t>4</w:t>
      </w:r>
      <w:r>
        <w:rPr>
          <w:rFonts w:hint="eastAsia"/>
          <w:bCs/>
          <w:sz w:val="24"/>
        </w:rPr>
        <w:t>）制作清算报告；</w:t>
      </w:r>
    </w:p>
    <w:p w14:paraId="07BD0FF5" w14:textId="77777777" w:rsidR="00791BDD" w:rsidRDefault="00B75151">
      <w:pPr>
        <w:adjustRightInd w:val="0"/>
        <w:snapToGrid w:val="0"/>
        <w:spacing w:line="360" w:lineRule="auto"/>
        <w:ind w:firstLineChars="200" w:firstLine="480"/>
        <w:rPr>
          <w:bCs/>
          <w:sz w:val="24"/>
        </w:rPr>
      </w:pPr>
      <w:r>
        <w:rPr>
          <w:rFonts w:hint="eastAsia"/>
          <w:bCs/>
          <w:sz w:val="24"/>
        </w:rPr>
        <w:t>5</w:t>
      </w:r>
      <w:r>
        <w:rPr>
          <w:rFonts w:hint="eastAsia"/>
          <w:bCs/>
          <w:sz w:val="24"/>
        </w:rPr>
        <w:t>）聘请符合《中华人民共和国证券法》规定的会计师事务所对清算报告进行外部审计，聘请律师事务所对清算报告出具法律意见书；</w:t>
      </w:r>
    </w:p>
    <w:p w14:paraId="7B19F035" w14:textId="77777777" w:rsidR="00791BDD" w:rsidRDefault="00B75151">
      <w:pPr>
        <w:adjustRightInd w:val="0"/>
        <w:snapToGrid w:val="0"/>
        <w:spacing w:line="360" w:lineRule="auto"/>
        <w:ind w:firstLineChars="200" w:firstLine="480"/>
        <w:rPr>
          <w:bCs/>
          <w:sz w:val="24"/>
        </w:rPr>
      </w:pPr>
      <w:r>
        <w:rPr>
          <w:rFonts w:hint="eastAsia"/>
          <w:bCs/>
          <w:sz w:val="24"/>
        </w:rPr>
        <w:t>6</w:t>
      </w:r>
      <w:r>
        <w:rPr>
          <w:rFonts w:hint="eastAsia"/>
          <w:bCs/>
          <w:sz w:val="24"/>
        </w:rPr>
        <w:t>）将清算报告报中国证监会备案并公告；</w:t>
      </w:r>
    </w:p>
    <w:p w14:paraId="2D212907" w14:textId="77777777" w:rsidR="00791BDD" w:rsidRDefault="00B75151">
      <w:pPr>
        <w:adjustRightInd w:val="0"/>
        <w:snapToGrid w:val="0"/>
        <w:spacing w:line="360" w:lineRule="auto"/>
        <w:ind w:firstLineChars="200" w:firstLine="480"/>
        <w:rPr>
          <w:bCs/>
          <w:sz w:val="24"/>
        </w:rPr>
      </w:pPr>
      <w:r>
        <w:rPr>
          <w:rFonts w:hint="eastAsia"/>
          <w:bCs/>
          <w:sz w:val="24"/>
        </w:rPr>
        <w:t>7</w:t>
      </w:r>
      <w:r>
        <w:rPr>
          <w:rFonts w:hint="eastAsia"/>
          <w:bCs/>
          <w:sz w:val="24"/>
        </w:rPr>
        <w:t>）对基金剩余财产进行分配。</w:t>
      </w:r>
    </w:p>
    <w:p w14:paraId="6C2FAA1D" w14:textId="77777777" w:rsidR="00791BDD" w:rsidRDefault="00B75151">
      <w:pPr>
        <w:adjustRightInd w:val="0"/>
        <w:snapToGrid w:val="0"/>
        <w:spacing w:line="360" w:lineRule="auto"/>
        <w:ind w:firstLineChars="200" w:firstLine="480"/>
        <w:rPr>
          <w:bCs/>
          <w:sz w:val="24"/>
        </w:rPr>
      </w:pPr>
      <w:r>
        <w:rPr>
          <w:rFonts w:hint="eastAsia"/>
          <w:bCs/>
          <w:sz w:val="24"/>
        </w:rPr>
        <w:t>（</w:t>
      </w:r>
      <w:r>
        <w:rPr>
          <w:rFonts w:hint="eastAsia"/>
          <w:bCs/>
          <w:sz w:val="24"/>
        </w:rPr>
        <w:t>5</w:t>
      </w:r>
      <w:r>
        <w:rPr>
          <w:rFonts w:hint="eastAsia"/>
          <w:bCs/>
          <w:sz w:val="24"/>
        </w:rPr>
        <w:t>）基金财产清算的期限为</w:t>
      </w:r>
      <w:r>
        <w:rPr>
          <w:rFonts w:hint="eastAsia"/>
          <w:bCs/>
          <w:sz w:val="24"/>
        </w:rPr>
        <w:t>6</w:t>
      </w:r>
      <w:r>
        <w:rPr>
          <w:rFonts w:hint="eastAsia"/>
          <w:bCs/>
          <w:sz w:val="24"/>
        </w:rPr>
        <w:t>个月，但因本基金所持证券的流动性受到限制而不能及时变现的，清算期限相应顺延。</w:t>
      </w:r>
    </w:p>
    <w:p w14:paraId="7B9DF9B1" w14:textId="77777777" w:rsidR="00791BDD" w:rsidRDefault="00B75151">
      <w:pPr>
        <w:adjustRightInd w:val="0"/>
        <w:snapToGrid w:val="0"/>
        <w:spacing w:line="360" w:lineRule="auto"/>
        <w:ind w:firstLineChars="200" w:firstLine="480"/>
        <w:outlineLvl w:val="2"/>
        <w:rPr>
          <w:bCs/>
          <w:sz w:val="24"/>
        </w:rPr>
      </w:pPr>
      <w:r>
        <w:rPr>
          <w:rFonts w:hint="eastAsia"/>
          <w:bCs/>
          <w:sz w:val="24"/>
        </w:rPr>
        <w:t>4</w:t>
      </w:r>
      <w:r>
        <w:rPr>
          <w:bCs/>
          <w:sz w:val="24"/>
        </w:rPr>
        <w:t>、清算费用</w:t>
      </w:r>
    </w:p>
    <w:p w14:paraId="7680EF83" w14:textId="77777777" w:rsidR="00791BDD" w:rsidRDefault="00B75151">
      <w:pPr>
        <w:adjustRightInd w:val="0"/>
        <w:snapToGrid w:val="0"/>
        <w:spacing w:line="360" w:lineRule="auto"/>
        <w:ind w:firstLineChars="200" w:firstLine="480"/>
        <w:rPr>
          <w:bCs/>
          <w:sz w:val="24"/>
        </w:rPr>
      </w:pPr>
      <w:r>
        <w:rPr>
          <w:bCs/>
          <w:sz w:val="24"/>
        </w:rPr>
        <w:t>清算费用是指基金财产清算小组在进行基金</w:t>
      </w:r>
      <w:r>
        <w:rPr>
          <w:rFonts w:hint="eastAsia"/>
          <w:bCs/>
          <w:sz w:val="24"/>
        </w:rPr>
        <w:t>财产</w:t>
      </w:r>
      <w:r>
        <w:rPr>
          <w:bCs/>
          <w:sz w:val="24"/>
        </w:rPr>
        <w:t>清算过程中发生的所有合理费用，清算费用由基金财产清算小组优先从基金财产中支付。</w:t>
      </w:r>
    </w:p>
    <w:p w14:paraId="4B716A4D" w14:textId="77777777" w:rsidR="00791BDD" w:rsidRDefault="00B75151">
      <w:pPr>
        <w:adjustRightInd w:val="0"/>
        <w:snapToGrid w:val="0"/>
        <w:spacing w:line="360" w:lineRule="auto"/>
        <w:ind w:firstLineChars="200" w:firstLine="480"/>
        <w:outlineLvl w:val="2"/>
        <w:rPr>
          <w:bCs/>
          <w:sz w:val="24"/>
        </w:rPr>
      </w:pPr>
      <w:r>
        <w:rPr>
          <w:rFonts w:hint="eastAsia"/>
          <w:bCs/>
          <w:sz w:val="24"/>
        </w:rPr>
        <w:t>5</w:t>
      </w:r>
      <w:r>
        <w:rPr>
          <w:bCs/>
          <w:sz w:val="24"/>
        </w:rPr>
        <w:t>、基金财产清算剩余资产的分配</w:t>
      </w:r>
    </w:p>
    <w:p w14:paraId="5907F399" w14:textId="77777777" w:rsidR="00791BDD" w:rsidRDefault="00B75151">
      <w:pPr>
        <w:adjustRightInd w:val="0"/>
        <w:snapToGrid w:val="0"/>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r>
        <w:rPr>
          <w:rFonts w:hint="eastAsia"/>
          <w:bCs/>
          <w:sz w:val="24"/>
        </w:rPr>
        <w:t>。</w:t>
      </w:r>
    </w:p>
    <w:p w14:paraId="21191671" w14:textId="77777777" w:rsidR="00791BDD" w:rsidRDefault="00B75151">
      <w:pPr>
        <w:adjustRightInd w:val="0"/>
        <w:snapToGrid w:val="0"/>
        <w:spacing w:line="360" w:lineRule="auto"/>
        <w:ind w:firstLineChars="200" w:firstLine="480"/>
        <w:outlineLvl w:val="2"/>
        <w:rPr>
          <w:bCs/>
          <w:sz w:val="24"/>
        </w:rPr>
      </w:pPr>
      <w:r>
        <w:rPr>
          <w:rFonts w:hint="eastAsia"/>
          <w:bCs/>
          <w:sz w:val="24"/>
        </w:rPr>
        <w:t>6</w:t>
      </w:r>
      <w:r>
        <w:rPr>
          <w:bCs/>
          <w:sz w:val="24"/>
        </w:rPr>
        <w:t>、基金财产清算的公告</w:t>
      </w:r>
    </w:p>
    <w:p w14:paraId="5A7EA911" w14:textId="77777777" w:rsidR="00791BDD" w:rsidRDefault="00B75151">
      <w:pPr>
        <w:adjustRightInd w:val="0"/>
        <w:snapToGrid w:val="0"/>
        <w:spacing w:line="360" w:lineRule="auto"/>
        <w:ind w:firstLineChars="200" w:firstLine="480"/>
        <w:rPr>
          <w:bCs/>
          <w:sz w:val="24"/>
        </w:rPr>
      </w:pPr>
      <w:r>
        <w:rPr>
          <w:bCs/>
          <w:sz w:val="24"/>
        </w:rPr>
        <w:t>清算过程中的有关重大事项须及时公告；基金财产清算报告经</w:t>
      </w:r>
      <w:r>
        <w:rPr>
          <w:rFonts w:hint="eastAsia"/>
          <w:bCs/>
          <w:sz w:val="24"/>
        </w:rPr>
        <w:t>符合《中华人民共和国证券法》规定的</w:t>
      </w:r>
      <w:r>
        <w:rPr>
          <w:bCs/>
          <w:sz w:val="24"/>
        </w:rPr>
        <w:t>会计师事务所审计并由律师事务所出具法律意见书后报中国证监会备案并公告。基金财产清算公告于基金财产清算报告报中国证监会备案后</w:t>
      </w:r>
      <w:r>
        <w:rPr>
          <w:bCs/>
          <w:sz w:val="24"/>
        </w:rPr>
        <w:t>5</w:t>
      </w:r>
      <w:r>
        <w:rPr>
          <w:bCs/>
          <w:sz w:val="24"/>
        </w:rPr>
        <w:t>个工作日内由基金财产清算小组进行公告</w:t>
      </w:r>
      <w:r>
        <w:rPr>
          <w:rFonts w:hint="eastAsia"/>
          <w:bCs/>
          <w:sz w:val="24"/>
        </w:rPr>
        <w:t>，基金财产清算小组应当将清算报告登载在规定网站上，并将清算报告提示性公告登载在规定报刊上</w:t>
      </w:r>
      <w:r>
        <w:rPr>
          <w:bCs/>
          <w:sz w:val="24"/>
        </w:rPr>
        <w:t>。</w:t>
      </w:r>
    </w:p>
    <w:p w14:paraId="4828DDF9" w14:textId="77777777" w:rsidR="00791BDD" w:rsidRDefault="00B75151">
      <w:pPr>
        <w:adjustRightInd w:val="0"/>
        <w:snapToGrid w:val="0"/>
        <w:spacing w:line="360" w:lineRule="auto"/>
        <w:ind w:firstLineChars="200" w:firstLine="480"/>
        <w:outlineLvl w:val="2"/>
        <w:rPr>
          <w:bCs/>
          <w:sz w:val="24"/>
        </w:rPr>
      </w:pPr>
      <w:r>
        <w:rPr>
          <w:rFonts w:hint="eastAsia"/>
          <w:bCs/>
          <w:sz w:val="24"/>
        </w:rPr>
        <w:t>7</w:t>
      </w:r>
      <w:r>
        <w:rPr>
          <w:bCs/>
          <w:sz w:val="24"/>
        </w:rPr>
        <w:t>、基金财产清算账册及文件的保存</w:t>
      </w:r>
    </w:p>
    <w:p w14:paraId="62D86967" w14:textId="77777777" w:rsidR="00791BDD" w:rsidRDefault="00B75151">
      <w:pPr>
        <w:widowControl/>
        <w:adjustRightInd w:val="0"/>
        <w:snapToGrid w:val="0"/>
        <w:spacing w:line="360" w:lineRule="auto"/>
        <w:ind w:firstLineChars="200" w:firstLine="480"/>
        <w:rPr>
          <w:bCs/>
          <w:sz w:val="24"/>
        </w:rPr>
      </w:pPr>
      <w:r>
        <w:rPr>
          <w:rFonts w:hint="eastAsia"/>
          <w:bCs/>
          <w:sz w:val="24"/>
        </w:rPr>
        <w:t>基金财产清算账册及有关文件由基金托管人保存不低于法律法规规定的最低期限。</w:t>
      </w:r>
    </w:p>
    <w:p w14:paraId="23508D5B" w14:textId="77777777" w:rsidR="00791BDD" w:rsidRDefault="00B75151">
      <w:pPr>
        <w:adjustRightInd w:val="0"/>
        <w:snapToGrid w:val="0"/>
        <w:spacing w:line="360" w:lineRule="auto"/>
        <w:ind w:firstLine="482"/>
        <w:outlineLvl w:val="1"/>
        <w:rPr>
          <w:b/>
          <w:bCs/>
          <w:sz w:val="24"/>
        </w:rPr>
      </w:pPr>
      <w:r>
        <w:rPr>
          <w:b/>
          <w:bCs/>
          <w:sz w:val="24"/>
        </w:rPr>
        <w:t>（四）争议</w:t>
      </w:r>
      <w:r>
        <w:rPr>
          <w:rFonts w:hint="eastAsia"/>
          <w:b/>
          <w:bCs/>
          <w:sz w:val="24"/>
        </w:rPr>
        <w:t>解决方式</w:t>
      </w:r>
    </w:p>
    <w:p w14:paraId="644B95FA" w14:textId="77777777" w:rsidR="00791BDD" w:rsidRDefault="00B75151">
      <w:pPr>
        <w:adjustRightInd w:val="0"/>
        <w:snapToGrid w:val="0"/>
        <w:spacing w:line="360" w:lineRule="auto"/>
        <w:ind w:firstLineChars="200" w:firstLine="482"/>
        <w:rPr>
          <w:b/>
          <w:bCs/>
          <w:sz w:val="24"/>
        </w:rPr>
      </w:pPr>
      <w:r>
        <w:rPr>
          <w:rFonts w:hint="eastAsia"/>
          <w:b/>
          <w:bCs/>
          <w:sz w:val="24"/>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性的，对各方当事人均有约束力，除非仲裁裁决另有规定，仲裁费用由败诉方承担。</w:t>
      </w:r>
    </w:p>
    <w:p w14:paraId="42C58152" w14:textId="77777777" w:rsidR="00791BDD" w:rsidRDefault="00B75151">
      <w:pPr>
        <w:adjustRightInd w:val="0"/>
        <w:snapToGrid w:val="0"/>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2DFEF70A" w14:textId="77777777" w:rsidR="00791BDD" w:rsidRDefault="00B75151">
      <w:pPr>
        <w:adjustRightInd w:val="0"/>
        <w:snapToGrid w:val="0"/>
        <w:spacing w:line="360" w:lineRule="auto"/>
        <w:ind w:firstLineChars="200" w:firstLine="480"/>
        <w:rPr>
          <w:bCs/>
          <w:sz w:val="24"/>
        </w:rPr>
      </w:pPr>
      <w:r>
        <w:rPr>
          <w:rFonts w:hint="eastAsia"/>
          <w:bCs/>
          <w:sz w:val="24"/>
        </w:rPr>
        <w:t>《基金合同》受中国法律（为本基金合同之目的，不含港澳台地区法律）管辖并从其解释。</w:t>
      </w:r>
    </w:p>
    <w:p w14:paraId="295802B7" w14:textId="77777777" w:rsidR="00791BDD" w:rsidRDefault="00B75151">
      <w:pPr>
        <w:adjustRightInd w:val="0"/>
        <w:snapToGrid w:val="0"/>
        <w:spacing w:line="360" w:lineRule="auto"/>
        <w:ind w:firstLine="482"/>
        <w:outlineLvl w:val="1"/>
        <w:rPr>
          <w:b/>
          <w:bCs/>
          <w:sz w:val="24"/>
        </w:rPr>
      </w:pPr>
      <w:bookmarkStart w:id="118" w:name="_Toc523711688"/>
      <w:r>
        <w:rPr>
          <w:b/>
          <w:bCs/>
          <w:sz w:val="24"/>
        </w:rPr>
        <w:t>（五）基金合同存放地和投资者取得基金合同的方式</w:t>
      </w:r>
    </w:p>
    <w:bookmarkEnd w:id="118"/>
    <w:p w14:paraId="306CF648" w14:textId="77777777" w:rsidR="00791BDD" w:rsidRDefault="00B75151">
      <w:pPr>
        <w:adjustRightInd w:val="0"/>
        <w:snapToGrid w:val="0"/>
        <w:spacing w:line="360" w:lineRule="auto"/>
        <w:ind w:firstLineChars="200" w:firstLine="480"/>
        <w:rPr>
          <w:bCs/>
          <w:sz w:val="24"/>
        </w:rPr>
      </w:pPr>
      <w:r>
        <w:rPr>
          <w:rFonts w:hint="eastAsia"/>
          <w:bCs/>
          <w:sz w:val="24"/>
        </w:rPr>
        <w:t>《基金合同》正本一式三份，除上报有关监管机构一份外，基金管理人、基金托管人各持有一份，每份具有同等的法律效力。</w:t>
      </w:r>
    </w:p>
    <w:p w14:paraId="5F30ECCA" w14:textId="77777777" w:rsidR="00791BDD" w:rsidRDefault="00B75151">
      <w:pPr>
        <w:adjustRightInd w:val="0"/>
        <w:snapToGrid w:val="0"/>
        <w:spacing w:line="360" w:lineRule="auto"/>
        <w:ind w:firstLineChars="200" w:firstLine="480"/>
        <w:rPr>
          <w:rFonts w:ascii="宋体" w:hAnsi="宋体"/>
          <w:sz w:val="24"/>
        </w:rPr>
      </w:pPr>
      <w:r>
        <w:rPr>
          <w:rFonts w:hint="eastAsia"/>
          <w:bCs/>
          <w:sz w:val="24"/>
        </w:rPr>
        <w:t>《基金合同》可印制成册，供投资者在基金管理人、基金托管人、销售机构的办公场所和营业场所查阅，但应以《基金合同》正本为准。</w:t>
      </w:r>
    </w:p>
    <w:p w14:paraId="72F8E9E8" w14:textId="77777777" w:rsidR="00791BDD" w:rsidRDefault="00B75151">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bookmarkStart w:id="119" w:name="_Toc48122021"/>
      <w:r>
        <w:rPr>
          <w:rFonts w:ascii="宋体" w:hAnsi="宋体" w:hint="eastAsia"/>
          <w:b/>
          <w:kern w:val="0"/>
          <w:sz w:val="30"/>
        </w:rPr>
        <w:t>二十、托管协议的内容摘要</w:t>
      </w:r>
      <w:bookmarkEnd w:id="119"/>
    </w:p>
    <w:p w14:paraId="52325208" w14:textId="77777777" w:rsidR="00791BDD" w:rsidRDefault="00B75151">
      <w:pPr>
        <w:adjustRightInd w:val="0"/>
        <w:snapToGrid w:val="0"/>
        <w:spacing w:line="360" w:lineRule="auto"/>
        <w:ind w:firstLine="482"/>
        <w:outlineLvl w:val="1"/>
        <w:rPr>
          <w:b/>
          <w:bCs/>
          <w:sz w:val="24"/>
        </w:rPr>
      </w:pPr>
      <w:r>
        <w:rPr>
          <w:rFonts w:hint="eastAsia"/>
          <w:b/>
          <w:bCs/>
          <w:sz w:val="24"/>
        </w:rPr>
        <w:t>（一）托管协议当事人</w:t>
      </w:r>
    </w:p>
    <w:p w14:paraId="6F81D458" w14:textId="77777777" w:rsidR="00791BDD" w:rsidRDefault="00B75151">
      <w:pPr>
        <w:widowControl/>
        <w:adjustRightInd w:val="0"/>
        <w:snapToGrid w:val="0"/>
        <w:spacing w:line="360" w:lineRule="auto"/>
        <w:ind w:firstLineChars="200" w:firstLine="480"/>
        <w:outlineLvl w:val="2"/>
        <w:rPr>
          <w:bCs/>
          <w:sz w:val="24"/>
        </w:rPr>
      </w:pPr>
      <w:r>
        <w:rPr>
          <w:rFonts w:hint="eastAsia"/>
          <w:bCs/>
          <w:sz w:val="24"/>
        </w:rPr>
        <w:t>1</w:t>
      </w:r>
      <w:r>
        <w:rPr>
          <w:rFonts w:hint="eastAsia"/>
          <w:bCs/>
          <w:sz w:val="24"/>
        </w:rPr>
        <w:t>、基金管理人</w:t>
      </w:r>
    </w:p>
    <w:p w14:paraId="62BC3332" w14:textId="77777777" w:rsidR="00791BDD" w:rsidRDefault="00B75151">
      <w:pPr>
        <w:widowControl/>
        <w:adjustRightInd w:val="0"/>
        <w:snapToGrid w:val="0"/>
        <w:spacing w:line="360" w:lineRule="auto"/>
        <w:ind w:firstLineChars="200" w:firstLine="480"/>
        <w:outlineLvl w:val="2"/>
        <w:rPr>
          <w:bCs/>
          <w:sz w:val="24"/>
        </w:rPr>
      </w:pPr>
      <w:r>
        <w:rPr>
          <w:rFonts w:hint="eastAsia"/>
          <w:bCs/>
          <w:sz w:val="24"/>
        </w:rPr>
        <w:t>名称：交银施罗德基金管理有限公司</w:t>
      </w:r>
    </w:p>
    <w:p w14:paraId="6904EF7C" w14:textId="77777777" w:rsidR="00791BDD" w:rsidRDefault="00B75151">
      <w:pPr>
        <w:widowControl/>
        <w:adjustRightInd w:val="0"/>
        <w:snapToGrid w:val="0"/>
        <w:spacing w:line="360" w:lineRule="auto"/>
        <w:ind w:firstLineChars="200" w:firstLine="480"/>
        <w:outlineLvl w:val="2"/>
        <w:rPr>
          <w:bCs/>
          <w:sz w:val="24"/>
        </w:rPr>
      </w:pPr>
      <w:r>
        <w:rPr>
          <w:rFonts w:hint="eastAsia"/>
          <w:bCs/>
          <w:sz w:val="24"/>
        </w:rPr>
        <w:t>住所：中国（上海）自由贸易试验区银城中路</w:t>
      </w:r>
      <w:r>
        <w:rPr>
          <w:rFonts w:hint="eastAsia"/>
          <w:bCs/>
          <w:sz w:val="24"/>
        </w:rPr>
        <w:t>188</w:t>
      </w:r>
      <w:r>
        <w:rPr>
          <w:rFonts w:hint="eastAsia"/>
          <w:bCs/>
          <w:sz w:val="24"/>
        </w:rPr>
        <w:t>号交通银行大楼二层（裙）</w:t>
      </w:r>
    </w:p>
    <w:p w14:paraId="7D645E94" w14:textId="77777777" w:rsidR="00791BDD" w:rsidRDefault="00B75151">
      <w:pPr>
        <w:widowControl/>
        <w:adjustRightInd w:val="0"/>
        <w:snapToGrid w:val="0"/>
        <w:spacing w:line="360" w:lineRule="auto"/>
        <w:ind w:firstLineChars="200" w:firstLine="480"/>
        <w:outlineLvl w:val="2"/>
        <w:rPr>
          <w:bCs/>
          <w:sz w:val="24"/>
        </w:rPr>
      </w:pPr>
      <w:r>
        <w:rPr>
          <w:rFonts w:hint="eastAsia"/>
          <w:bCs/>
          <w:sz w:val="24"/>
        </w:rPr>
        <w:t>法定代表人</w:t>
      </w:r>
      <w:r>
        <w:rPr>
          <w:rFonts w:hint="eastAsia"/>
          <w:bCs/>
          <w:sz w:val="24"/>
        </w:rPr>
        <w:t xml:space="preserve">: </w:t>
      </w:r>
      <w:r>
        <w:rPr>
          <w:rFonts w:hint="eastAsia"/>
          <w:bCs/>
          <w:sz w:val="24"/>
        </w:rPr>
        <w:t>张宏良</w:t>
      </w:r>
    </w:p>
    <w:p w14:paraId="0E8D619C" w14:textId="77777777" w:rsidR="00791BDD" w:rsidRDefault="00B75151">
      <w:pPr>
        <w:widowControl/>
        <w:adjustRightInd w:val="0"/>
        <w:snapToGrid w:val="0"/>
        <w:spacing w:line="360" w:lineRule="auto"/>
        <w:ind w:firstLineChars="200" w:firstLine="480"/>
        <w:outlineLvl w:val="2"/>
        <w:rPr>
          <w:bCs/>
          <w:sz w:val="24"/>
        </w:rPr>
      </w:pPr>
      <w:r>
        <w:rPr>
          <w:rFonts w:hint="eastAsia"/>
          <w:bCs/>
          <w:sz w:val="24"/>
        </w:rPr>
        <w:t>成立时间：</w:t>
      </w:r>
      <w:r>
        <w:rPr>
          <w:rFonts w:hint="eastAsia"/>
          <w:bCs/>
          <w:sz w:val="24"/>
        </w:rPr>
        <w:t>2005</w:t>
      </w:r>
      <w:r>
        <w:rPr>
          <w:rFonts w:hint="eastAsia"/>
          <w:bCs/>
          <w:sz w:val="24"/>
        </w:rPr>
        <w:t>年</w:t>
      </w:r>
      <w:r>
        <w:rPr>
          <w:rFonts w:hint="eastAsia"/>
          <w:bCs/>
          <w:sz w:val="24"/>
        </w:rPr>
        <w:t>8</w:t>
      </w:r>
      <w:r>
        <w:rPr>
          <w:rFonts w:hint="eastAsia"/>
          <w:bCs/>
          <w:sz w:val="24"/>
        </w:rPr>
        <w:t>月</w:t>
      </w:r>
      <w:r>
        <w:rPr>
          <w:rFonts w:hint="eastAsia"/>
          <w:bCs/>
          <w:sz w:val="24"/>
        </w:rPr>
        <w:t>4</w:t>
      </w:r>
      <w:r>
        <w:rPr>
          <w:rFonts w:hint="eastAsia"/>
          <w:bCs/>
          <w:sz w:val="24"/>
        </w:rPr>
        <w:t>日</w:t>
      </w:r>
    </w:p>
    <w:p w14:paraId="60E64B4D" w14:textId="77777777" w:rsidR="00791BDD" w:rsidRDefault="00B75151">
      <w:pPr>
        <w:widowControl/>
        <w:adjustRightInd w:val="0"/>
        <w:snapToGrid w:val="0"/>
        <w:spacing w:line="360" w:lineRule="auto"/>
        <w:ind w:firstLineChars="200" w:firstLine="480"/>
        <w:outlineLvl w:val="2"/>
        <w:rPr>
          <w:bCs/>
          <w:sz w:val="24"/>
        </w:rPr>
      </w:pPr>
      <w:r>
        <w:rPr>
          <w:rFonts w:hint="eastAsia"/>
          <w:bCs/>
          <w:sz w:val="24"/>
        </w:rPr>
        <w:t>批准设立机关及批准设立文号：中国证监会证监基金字</w:t>
      </w:r>
      <w:r>
        <w:rPr>
          <w:rFonts w:hint="eastAsia"/>
          <w:bCs/>
          <w:sz w:val="24"/>
        </w:rPr>
        <w:t>[2005]128</w:t>
      </w:r>
      <w:r>
        <w:rPr>
          <w:rFonts w:hint="eastAsia"/>
          <w:bCs/>
          <w:sz w:val="24"/>
        </w:rPr>
        <w:t>号</w:t>
      </w:r>
    </w:p>
    <w:p w14:paraId="7DE3BA8F" w14:textId="77777777" w:rsidR="00791BDD" w:rsidRDefault="00B75151">
      <w:pPr>
        <w:widowControl/>
        <w:adjustRightInd w:val="0"/>
        <w:snapToGrid w:val="0"/>
        <w:spacing w:line="360" w:lineRule="auto"/>
        <w:ind w:firstLineChars="200" w:firstLine="480"/>
        <w:outlineLvl w:val="2"/>
        <w:rPr>
          <w:bCs/>
          <w:sz w:val="24"/>
        </w:rPr>
      </w:pPr>
      <w:r>
        <w:rPr>
          <w:rFonts w:hint="eastAsia"/>
          <w:bCs/>
          <w:sz w:val="24"/>
        </w:rPr>
        <w:t>组织形式：有限责任公司</w:t>
      </w:r>
    </w:p>
    <w:p w14:paraId="24790E3D" w14:textId="77777777" w:rsidR="00791BDD" w:rsidRDefault="00B75151">
      <w:pPr>
        <w:widowControl/>
        <w:adjustRightInd w:val="0"/>
        <w:snapToGrid w:val="0"/>
        <w:spacing w:line="360" w:lineRule="auto"/>
        <w:ind w:firstLineChars="200" w:firstLine="480"/>
        <w:outlineLvl w:val="2"/>
        <w:rPr>
          <w:bCs/>
          <w:sz w:val="24"/>
        </w:rPr>
      </w:pPr>
      <w:r>
        <w:rPr>
          <w:rFonts w:hint="eastAsia"/>
          <w:bCs/>
          <w:sz w:val="24"/>
        </w:rPr>
        <w:t>注册资本：</w:t>
      </w:r>
      <w:r>
        <w:rPr>
          <w:rFonts w:hint="eastAsia"/>
          <w:bCs/>
          <w:sz w:val="24"/>
        </w:rPr>
        <w:t>2</w:t>
      </w:r>
      <w:r>
        <w:rPr>
          <w:rFonts w:hint="eastAsia"/>
          <w:bCs/>
          <w:sz w:val="24"/>
        </w:rPr>
        <w:t>亿元人民币</w:t>
      </w:r>
    </w:p>
    <w:p w14:paraId="5324119A" w14:textId="77777777" w:rsidR="00791BDD" w:rsidRDefault="00B75151">
      <w:pPr>
        <w:widowControl/>
        <w:adjustRightInd w:val="0"/>
        <w:snapToGrid w:val="0"/>
        <w:spacing w:line="360" w:lineRule="auto"/>
        <w:ind w:firstLineChars="200" w:firstLine="480"/>
        <w:outlineLvl w:val="2"/>
        <w:rPr>
          <w:bCs/>
          <w:sz w:val="24"/>
        </w:rPr>
      </w:pPr>
      <w:r>
        <w:rPr>
          <w:rFonts w:hint="eastAsia"/>
          <w:bCs/>
          <w:sz w:val="24"/>
        </w:rPr>
        <w:t>经营范围：基金募集、基金销售、资产管理和中国证监会许可的其他业务</w:t>
      </w:r>
    </w:p>
    <w:p w14:paraId="29C419D0" w14:textId="77777777" w:rsidR="00791BDD" w:rsidRDefault="00B75151">
      <w:pPr>
        <w:widowControl/>
        <w:adjustRightInd w:val="0"/>
        <w:snapToGrid w:val="0"/>
        <w:spacing w:line="360" w:lineRule="auto"/>
        <w:ind w:firstLineChars="200" w:firstLine="480"/>
        <w:outlineLvl w:val="2"/>
        <w:rPr>
          <w:bCs/>
          <w:sz w:val="24"/>
        </w:rPr>
      </w:pPr>
      <w:r>
        <w:rPr>
          <w:rFonts w:hint="eastAsia"/>
          <w:bCs/>
          <w:sz w:val="24"/>
        </w:rPr>
        <w:t>存续期间：持续经营</w:t>
      </w:r>
    </w:p>
    <w:p w14:paraId="631F045F" w14:textId="77777777" w:rsidR="00791BDD" w:rsidRDefault="00B75151">
      <w:pPr>
        <w:widowControl/>
        <w:adjustRightInd w:val="0"/>
        <w:snapToGrid w:val="0"/>
        <w:spacing w:line="360" w:lineRule="auto"/>
        <w:ind w:firstLineChars="200" w:firstLine="480"/>
        <w:outlineLvl w:val="2"/>
        <w:rPr>
          <w:bCs/>
          <w:sz w:val="24"/>
        </w:rPr>
      </w:pPr>
      <w:r>
        <w:rPr>
          <w:rFonts w:hint="eastAsia"/>
          <w:bCs/>
          <w:sz w:val="24"/>
        </w:rPr>
        <w:t>2</w:t>
      </w:r>
      <w:r>
        <w:rPr>
          <w:rFonts w:hint="eastAsia"/>
          <w:bCs/>
          <w:sz w:val="24"/>
        </w:rPr>
        <w:t>、基金托管人</w:t>
      </w:r>
    </w:p>
    <w:p w14:paraId="37F7991D" w14:textId="77777777" w:rsidR="00791BDD" w:rsidRDefault="00B75151">
      <w:pPr>
        <w:widowControl/>
        <w:adjustRightInd w:val="0"/>
        <w:snapToGrid w:val="0"/>
        <w:spacing w:line="360" w:lineRule="auto"/>
        <w:ind w:firstLineChars="200" w:firstLine="480"/>
        <w:outlineLvl w:val="2"/>
        <w:rPr>
          <w:bCs/>
          <w:sz w:val="24"/>
        </w:rPr>
      </w:pPr>
      <w:r>
        <w:rPr>
          <w:rFonts w:hint="eastAsia"/>
          <w:bCs/>
          <w:sz w:val="24"/>
        </w:rPr>
        <w:t>名称：中国银行股份有限公司</w:t>
      </w:r>
    </w:p>
    <w:p w14:paraId="30B9B6E4" w14:textId="77777777" w:rsidR="00791BDD" w:rsidRDefault="00B75151">
      <w:pPr>
        <w:widowControl/>
        <w:adjustRightInd w:val="0"/>
        <w:snapToGrid w:val="0"/>
        <w:spacing w:line="360" w:lineRule="auto"/>
        <w:ind w:firstLineChars="200" w:firstLine="480"/>
        <w:outlineLvl w:val="2"/>
        <w:rPr>
          <w:bCs/>
          <w:sz w:val="24"/>
        </w:rPr>
      </w:pPr>
      <w:r>
        <w:rPr>
          <w:rFonts w:hint="eastAsia"/>
          <w:bCs/>
          <w:sz w:val="24"/>
        </w:rPr>
        <w:t>住所：北京市西城区复兴门内大街</w:t>
      </w:r>
      <w:r>
        <w:rPr>
          <w:rFonts w:hint="eastAsia"/>
          <w:bCs/>
          <w:sz w:val="24"/>
        </w:rPr>
        <w:t>1</w:t>
      </w:r>
      <w:r>
        <w:rPr>
          <w:rFonts w:hint="eastAsia"/>
          <w:bCs/>
          <w:sz w:val="24"/>
        </w:rPr>
        <w:t>号</w:t>
      </w:r>
    </w:p>
    <w:p w14:paraId="5FAA1BFF" w14:textId="77777777" w:rsidR="00791BDD" w:rsidRDefault="00B75151">
      <w:pPr>
        <w:widowControl/>
        <w:adjustRightInd w:val="0"/>
        <w:snapToGrid w:val="0"/>
        <w:spacing w:line="360" w:lineRule="auto"/>
        <w:ind w:firstLineChars="200" w:firstLine="480"/>
        <w:outlineLvl w:val="2"/>
        <w:rPr>
          <w:bCs/>
          <w:sz w:val="24"/>
        </w:rPr>
      </w:pPr>
      <w:r>
        <w:rPr>
          <w:rFonts w:hint="eastAsia"/>
          <w:bCs/>
          <w:sz w:val="24"/>
        </w:rPr>
        <w:t>法定代表人：葛海蛟</w:t>
      </w:r>
    </w:p>
    <w:p w14:paraId="1C00F74E" w14:textId="77777777" w:rsidR="00791BDD" w:rsidRDefault="00B75151">
      <w:pPr>
        <w:widowControl/>
        <w:adjustRightInd w:val="0"/>
        <w:snapToGrid w:val="0"/>
        <w:spacing w:line="360" w:lineRule="auto"/>
        <w:ind w:firstLineChars="200" w:firstLine="480"/>
        <w:outlineLvl w:val="2"/>
        <w:rPr>
          <w:bCs/>
          <w:sz w:val="24"/>
        </w:rPr>
      </w:pPr>
      <w:r>
        <w:rPr>
          <w:rFonts w:hint="eastAsia"/>
          <w:bCs/>
          <w:sz w:val="24"/>
        </w:rPr>
        <w:t>成立时间：</w:t>
      </w:r>
      <w:r>
        <w:rPr>
          <w:rFonts w:hint="eastAsia"/>
          <w:bCs/>
          <w:sz w:val="24"/>
        </w:rPr>
        <w:t>1983</w:t>
      </w:r>
      <w:r>
        <w:rPr>
          <w:rFonts w:hint="eastAsia"/>
          <w:bCs/>
          <w:sz w:val="24"/>
        </w:rPr>
        <w:t>年</w:t>
      </w:r>
      <w:r>
        <w:rPr>
          <w:rFonts w:hint="eastAsia"/>
          <w:bCs/>
          <w:sz w:val="24"/>
        </w:rPr>
        <w:t>10</w:t>
      </w:r>
      <w:r>
        <w:rPr>
          <w:rFonts w:hint="eastAsia"/>
          <w:bCs/>
          <w:sz w:val="24"/>
        </w:rPr>
        <w:t>月</w:t>
      </w:r>
      <w:r>
        <w:rPr>
          <w:rFonts w:hint="eastAsia"/>
          <w:bCs/>
          <w:sz w:val="24"/>
        </w:rPr>
        <w:t>31</w:t>
      </w:r>
      <w:r>
        <w:rPr>
          <w:rFonts w:hint="eastAsia"/>
          <w:bCs/>
          <w:sz w:val="24"/>
        </w:rPr>
        <w:t>日</w:t>
      </w:r>
    </w:p>
    <w:p w14:paraId="6C1C33DD" w14:textId="77777777" w:rsidR="00791BDD" w:rsidRDefault="00B75151">
      <w:pPr>
        <w:widowControl/>
        <w:adjustRightInd w:val="0"/>
        <w:snapToGrid w:val="0"/>
        <w:spacing w:line="360" w:lineRule="auto"/>
        <w:ind w:firstLineChars="200" w:firstLine="480"/>
        <w:outlineLvl w:val="2"/>
        <w:rPr>
          <w:bCs/>
          <w:sz w:val="24"/>
        </w:rPr>
      </w:pPr>
      <w:r>
        <w:rPr>
          <w:rFonts w:hint="eastAsia"/>
          <w:bCs/>
          <w:sz w:val="24"/>
        </w:rPr>
        <w:t>基金托管业务批准文号：中国证监会证监基字【</w:t>
      </w:r>
      <w:r>
        <w:rPr>
          <w:rFonts w:hint="eastAsia"/>
          <w:bCs/>
          <w:sz w:val="24"/>
        </w:rPr>
        <w:t>1998</w:t>
      </w:r>
      <w:r>
        <w:rPr>
          <w:rFonts w:hint="eastAsia"/>
          <w:bCs/>
          <w:sz w:val="24"/>
        </w:rPr>
        <w:t>】</w:t>
      </w:r>
      <w:r>
        <w:rPr>
          <w:rFonts w:hint="eastAsia"/>
          <w:bCs/>
          <w:sz w:val="24"/>
        </w:rPr>
        <w:t>24</w:t>
      </w:r>
      <w:r>
        <w:rPr>
          <w:rFonts w:hint="eastAsia"/>
          <w:bCs/>
          <w:sz w:val="24"/>
        </w:rPr>
        <w:t>号</w:t>
      </w:r>
    </w:p>
    <w:p w14:paraId="10FE9EE6" w14:textId="77777777" w:rsidR="00791BDD" w:rsidRDefault="00B75151">
      <w:pPr>
        <w:widowControl/>
        <w:adjustRightInd w:val="0"/>
        <w:snapToGrid w:val="0"/>
        <w:spacing w:line="360" w:lineRule="auto"/>
        <w:ind w:firstLineChars="200" w:firstLine="480"/>
        <w:outlineLvl w:val="2"/>
        <w:rPr>
          <w:bCs/>
          <w:sz w:val="24"/>
        </w:rPr>
      </w:pPr>
      <w:r>
        <w:rPr>
          <w:rFonts w:hint="eastAsia"/>
          <w:bCs/>
          <w:sz w:val="24"/>
        </w:rPr>
        <w:t>组织形式：股份有限公司</w:t>
      </w:r>
    </w:p>
    <w:p w14:paraId="1322898A" w14:textId="77777777" w:rsidR="00791BDD" w:rsidRDefault="00B75151">
      <w:pPr>
        <w:widowControl/>
        <w:adjustRightInd w:val="0"/>
        <w:snapToGrid w:val="0"/>
        <w:spacing w:line="360" w:lineRule="auto"/>
        <w:ind w:firstLineChars="200" w:firstLine="480"/>
        <w:outlineLvl w:val="2"/>
        <w:rPr>
          <w:bCs/>
          <w:sz w:val="24"/>
        </w:rPr>
      </w:pPr>
      <w:r>
        <w:rPr>
          <w:rFonts w:hint="eastAsia"/>
          <w:bCs/>
          <w:sz w:val="24"/>
        </w:rPr>
        <w:t>注册资本：人民币贰仟玖佰肆拾叁亿捌仟柒佰柒拾玖万壹仟贰佰肆拾壹元整</w:t>
      </w:r>
    </w:p>
    <w:p w14:paraId="2F033E83" w14:textId="77777777" w:rsidR="00791BDD" w:rsidRDefault="00B75151">
      <w:pPr>
        <w:widowControl/>
        <w:adjustRightInd w:val="0"/>
        <w:snapToGrid w:val="0"/>
        <w:spacing w:line="360" w:lineRule="auto"/>
        <w:ind w:firstLineChars="200" w:firstLine="480"/>
        <w:outlineLvl w:val="2"/>
        <w:rPr>
          <w:bCs/>
          <w:sz w:val="24"/>
        </w:rPr>
      </w:pPr>
      <w:r>
        <w:rPr>
          <w:rFonts w:hint="eastAsia"/>
          <w:bCs/>
          <w:sz w:val="24"/>
        </w:rPr>
        <w:t>经营范围：吸收人民币存款；发放短期、中期和长期贷款；办理结算；办理票据贴现；发行金融债券；代理发行、代理兑付、承销政府债券；买卖政府债券；从事同业拆借；提供信用证服务及担保；代理收付款项及代理保险业务；提供保险箱服务；外汇存款；外汇贷款；外汇汇款；外汇兑换；国际结算；同业外汇拆借；外汇票据的承兑和贴现；外汇借款；外汇担保；结汇、售汇；发行和代理发行股票以外的外币有价证券；买卖和代理买卖股票以外的外币有价证券；自营外汇买卖；代客外汇买卖；外汇信用卡的发行和代理国外信用卡的发行及付款；资信调查、咨询、见证业务；组织或参加银团贷款；国际贵金属买卖；海外分支机构经营与当地法律许可的一切银行业务；在港澳地区的分行依据当地法令可发行或参与代理发行当地货币；经中国人民银行批准的其他业务。</w:t>
      </w:r>
    </w:p>
    <w:p w14:paraId="2A81F717" w14:textId="77777777" w:rsidR="00791BDD" w:rsidRDefault="00B75151">
      <w:pPr>
        <w:adjustRightInd w:val="0"/>
        <w:snapToGrid w:val="0"/>
        <w:spacing w:line="360" w:lineRule="auto"/>
        <w:ind w:firstLine="482"/>
        <w:outlineLvl w:val="1"/>
        <w:rPr>
          <w:bCs/>
          <w:sz w:val="24"/>
        </w:rPr>
      </w:pPr>
      <w:r>
        <w:rPr>
          <w:rFonts w:hint="eastAsia"/>
          <w:bCs/>
          <w:sz w:val="24"/>
        </w:rPr>
        <w:t>存续期间：持续经营</w:t>
      </w:r>
    </w:p>
    <w:p w14:paraId="56F0FC7B" w14:textId="77777777" w:rsidR="00791BDD" w:rsidRDefault="00B75151">
      <w:pPr>
        <w:adjustRightInd w:val="0"/>
        <w:snapToGrid w:val="0"/>
        <w:spacing w:line="360" w:lineRule="auto"/>
        <w:ind w:firstLine="482"/>
        <w:outlineLvl w:val="1"/>
        <w:rPr>
          <w:b/>
          <w:bCs/>
          <w:sz w:val="24"/>
        </w:rPr>
      </w:pPr>
      <w:r>
        <w:rPr>
          <w:rFonts w:hint="eastAsia"/>
          <w:b/>
          <w:bCs/>
          <w:sz w:val="24"/>
        </w:rPr>
        <w:t>（二）基金托管人对基金管理人的业务监督和核查</w:t>
      </w:r>
    </w:p>
    <w:p w14:paraId="7612CD54"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1、基金托管人根据有关法律法规的规定对基金管理人的下列投资运作进行监督：</w:t>
      </w:r>
    </w:p>
    <w:p w14:paraId="4A5BF6C4"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（1）对基金的投资范围、投资对象进行监督。</w:t>
      </w:r>
    </w:p>
    <w:p w14:paraId="4516A2BB"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本基金的投资范围为具有良好流动性的金融工具，包括国内依法发行上市的股票（含主板、创业板、科创板及其他经中国证监会核准或注册上市的股票、存托凭证）、港股通标的股票、债券（含国债、央行票据、金融债券、政府支持债券、政府支持机构债券、地方政府债券、企业债券、公司债券、可转换债券（含可分离交易可转换债券）、可交换公司债券、公开发行的次级债券、中期票据、短期融资券、超短期融资券等）、资产支持证券、货币市场工具、债券回购、同业存单、银行存款（含协议存款、定期存款及其他银行存款）、股指期货以及法律法规或中国证监会允许基金投资的其他金融工具（但须符合中国证监会相关规定）。</w:t>
      </w:r>
    </w:p>
    <w:p w14:paraId="106DBE7F"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如法律法规或监管机构以后允许基金投资其他品种，基金管理人在履行适当程序后，可以将其纳入投资范围。</w:t>
      </w:r>
    </w:p>
    <w:p w14:paraId="5D31CA74"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基金的投资组合比例为：股票投资（含存托凭证）占基金资产的比例不低于80%，其中投资于港股通标的股票的比例占股票资产的0%-50%；每个交易日日终在扣除股指期货合约需缴纳的交易保证金后，本基金持有的现金或者到期日在一年以内的政府债券的比例合计不低于基金资产净值的5%，其中现金不包括结算备付金、存出保证金、应收申购款等。</w:t>
      </w:r>
    </w:p>
    <w:p w14:paraId="5A30A672"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如果法律法规或中国证监会变更投资品种的投资比例限制，基金管理人在履行适当程序后，可以调整上述投资品种的投资比例。</w:t>
      </w:r>
    </w:p>
    <w:p w14:paraId="176E493F"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基金托管人根据上述投资范围对基金的投资进行监督。</w:t>
      </w:r>
    </w:p>
    <w:p w14:paraId="7CFCA397"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（2）对基金投融资比例进行监督。</w:t>
      </w:r>
    </w:p>
    <w:p w14:paraId="031CD06B"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1）股票投资（含存托凭证）占基金资产的比例不低于80%，其中投资于港股通标的股票的比例占股票资产的0%-50%；</w:t>
      </w:r>
    </w:p>
    <w:p w14:paraId="03745664"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2）每个交易日日终在扣除股指期货合约需缴纳的交易保证金后，本基金持有的现金或者到期日在一年以内的政府债券的比例合计不低于基金资产净值的5%，其中现金不包括结算备付金、存出保证金、应收申购款等；</w:t>
      </w:r>
    </w:p>
    <w:p w14:paraId="2122F2AE"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3）本基金持有一家公司发行的证券（同一家公司在内地和香港同时上市的A+H股合计计算），其市值不超过基金资产净值的10％；</w:t>
      </w:r>
    </w:p>
    <w:p w14:paraId="54C4B818"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4）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14:paraId="19D758D6"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5）本基金投资于同一原始权益人的各类资产支持证券的比例，不得超过基金资产净值的10％；</w:t>
      </w:r>
    </w:p>
    <w:p w14:paraId="7577B8F2"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6）本基金持有的全部资产支持证券，其市值不得超过基金资产净值的20％；</w:t>
      </w:r>
    </w:p>
    <w:p w14:paraId="0CFF0664"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7）本基金持有的同一（指同一信用级别）资产支持证券的比例，不得超过该资产支持证券规模的10％；</w:t>
      </w:r>
    </w:p>
    <w:p w14:paraId="2EA4E227"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8）本基金管理人管理且由本基金托管人托管的全部基金投资于同一原始权益人的各类资产支持证券，不得超过其各类资产支持证券合计规模的10％；</w:t>
      </w:r>
    </w:p>
    <w:p w14:paraId="0684B203"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9）本基金应投资于信用级别评级为BBB以上（含BBB）的资产支持证券。基金持有资产支持证券期间，如果其信用等级下降、不再符合投资标准，应在评级报告发布之日起3个月内予以全部卖出；</w:t>
      </w:r>
    </w:p>
    <w:p w14:paraId="2BADC747"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10）基金财产参与股票发行申购，本基金所申报的金额不超过本基金的总资产，本基金所申报的股票数量不超过拟发行股票公司本次发行股票的总量；</w:t>
      </w:r>
    </w:p>
    <w:p w14:paraId="44C2AC62"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11）本基金管理人管理且由本基金托管人托管的全部开放式基金（包括开放式基金以及处于开放期的定期开放基金）持有一家上市公司发行的可流通股票，不得超过该上市公司可流通股票的15%；本基金管理人管理且由本基金托管人托管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7B5C1147"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160FBD4B"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13）本基金与私募类证券资管产品及中国证监会认定的其他主体为交易对手开展逆回购交易的，可接受质押品的资质要求应当与本基金合同约定的投资范围保持一致；</w:t>
      </w:r>
    </w:p>
    <w:p w14:paraId="74DD9A52"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14）若本基金参与股指期货交易，则：</w:t>
      </w:r>
    </w:p>
    <w:p w14:paraId="74761ED7"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①本基金在任何交易日日终，持有的买入股指期货合约价值，不得超过基金资产净值的10%；</w:t>
      </w:r>
    </w:p>
    <w:p w14:paraId="728A2366"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②本基金在任何交易日日终，持有的买入股指期货合约价值与有价证券市值之和，不得超过基金资产净值的95%。其中，有价证券指股票、债券（不含到期日在一年以内的政府债券）、资产支持证券、买入返售金融资产（不含质押式回购）等；</w:t>
      </w:r>
    </w:p>
    <w:p w14:paraId="387D05A7"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③本基金在任何交易日日终，持有的卖出股指期货合约价值不得超过基金持有的股票总市值的20%；</w:t>
      </w:r>
    </w:p>
    <w:p w14:paraId="2F4EAC6A"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④本基金所持有的股票市值和买入、卖出股指期货合约价值，合计（轧差计算）应当符合基金合同关于股票投资比例的有关约定，即不低于资产净值的80%；</w:t>
      </w:r>
    </w:p>
    <w:p w14:paraId="783922B1"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⑤本基金在任何交易日内交易（不包括平仓）的股指期货合约的成交金额不得超过上一交易日基金资产净值的20%；</w:t>
      </w:r>
    </w:p>
    <w:p w14:paraId="42F4C561"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（15）本基金资产总值不超过基金资产净值的140%；</w:t>
      </w:r>
    </w:p>
    <w:p w14:paraId="4344F56D"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（16）本基金投资存托凭证的比例限制依照境内上市交易的股票执行；</w:t>
      </w:r>
    </w:p>
    <w:p w14:paraId="4788329C"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（17）法律法规及中国证监会规定的其他投资比例限制。</w:t>
      </w:r>
    </w:p>
    <w:p w14:paraId="4F0A669C"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除上述2）、9）、12）、13）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5D0F43A4"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2DA2C3AB"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法律法规或监管部门取消或变更上述限制，如适用于本基金，基金管理人在履行适当程序后，则本基金投资不再受相关限制或以变更后的规定为准。</w:t>
      </w:r>
    </w:p>
    <w:p w14:paraId="58394FD6"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9B8A0FB"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2、基金托管人应根据有关法律法规的规定及《基金合同》的约定，对基金资产净值计算、基金份额净值计算、应收资金到账、基金费用开支及收入确定、基金收益分配、相关信息披露及基金宣传推介材料中登载基金业绩表现数据等进行复核。</w:t>
      </w:r>
    </w:p>
    <w:p w14:paraId="2B0487AA" w14:textId="77777777" w:rsidR="00791BDD" w:rsidRDefault="00B75151">
      <w:pPr>
        <w:adjustRightInd w:val="0"/>
        <w:snapToGrid w:val="0"/>
        <w:spacing w:line="360" w:lineRule="auto"/>
        <w:ind w:firstLine="482"/>
        <w:rPr>
          <w:rFonts w:ascii="宋体" w:hAnsi="宋体"/>
          <w:sz w:val="24"/>
          <w:szCs w:val="24"/>
        </w:rPr>
      </w:pPr>
      <w:r>
        <w:rPr>
          <w:rFonts w:ascii="宋体" w:hAnsi="宋体"/>
          <w:sz w:val="24"/>
          <w:szCs w:val="24"/>
        </w:rPr>
        <w:t>3</w:t>
      </w:r>
      <w:r>
        <w:rPr>
          <w:rFonts w:ascii="宋体" w:hAnsi="宋体" w:hint="eastAsia"/>
          <w:sz w:val="24"/>
          <w:szCs w:val="24"/>
        </w:rPr>
        <w:t>、基金托管人在上述第1、2款的监督和核查中发现基金管理人违反上述约定，应及时提示基金管理人，基金管理人收到提示后应及时核对确认并以书面形式对基金托管人发出回函并改正。在限期内，基金托管人有权随时对提示事项进行复查。基金管理人对基金托管人提示的违规事项未能在限期内纠正的，基金托管人应及时向中国证监会报告。</w:t>
      </w:r>
    </w:p>
    <w:p w14:paraId="67D54D5C"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4、基金托管人发现基金管理人的投资指令违反法律法规、本协议的规定，应当拒绝执行，及时提示基金管理人，并依照法律法规的规定及时向中国证监会报告。基金托管人发现基金管理人依据交易程序已经生效的指令违反法律法规、基金合同、本协议规定的，应当及时提示基金管理人，并依照法律法规的规定及时向中国证监会报告。</w:t>
      </w:r>
    </w:p>
    <w:p w14:paraId="7D05C2FF"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5、基金管理人应积极配合和协助基金托管人的监督和核查，包括但不限于：在规定时间内答复基金托管人并改正，就基金托管人的疑义进行解释或举证，提供相关数据资料和制度等。</w:t>
      </w:r>
    </w:p>
    <w:p w14:paraId="6116A526"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6、如启用侧袋机制，在侧袋机制实施期间，本部分约定的投资组合比例、组合限制等约定仅适用于主袋账户。</w:t>
      </w:r>
    </w:p>
    <w:p w14:paraId="3CCA8E07" w14:textId="77777777" w:rsidR="00791BDD" w:rsidRDefault="00B75151">
      <w:pPr>
        <w:adjustRightInd w:val="0"/>
        <w:snapToGrid w:val="0"/>
        <w:spacing w:line="360" w:lineRule="auto"/>
        <w:ind w:firstLine="482"/>
        <w:outlineLvl w:val="1"/>
        <w:rPr>
          <w:b/>
          <w:bCs/>
          <w:sz w:val="24"/>
        </w:rPr>
      </w:pPr>
      <w:r>
        <w:rPr>
          <w:rFonts w:hint="eastAsia"/>
          <w:b/>
          <w:bCs/>
          <w:sz w:val="24"/>
        </w:rPr>
        <w:t>（三）基金管理人对基金托管人的业务核查</w:t>
      </w:r>
    </w:p>
    <w:p w14:paraId="41B7799C" w14:textId="77777777" w:rsidR="00791BDD" w:rsidRDefault="00B75151">
      <w:pPr>
        <w:adjustRightInd w:val="0"/>
        <w:snapToGrid w:val="0"/>
        <w:spacing w:line="360" w:lineRule="auto"/>
        <w:ind w:firstLine="482"/>
        <w:outlineLvl w:val="1"/>
        <w:rPr>
          <w:rFonts w:ascii="宋体" w:hAnsi="宋体"/>
          <w:sz w:val="24"/>
          <w:szCs w:val="24"/>
        </w:rPr>
      </w:pPr>
      <w:r>
        <w:rPr>
          <w:rFonts w:ascii="宋体" w:hAnsi="宋体" w:hint="eastAsia"/>
          <w:sz w:val="24"/>
          <w:szCs w:val="24"/>
        </w:rPr>
        <w:t>1、在本协议的有效期内，在不违反公平、合理原则以及不妨碍基金托管人遵守相关法律法规及其行业监管要求的基础上，基金管理人有权对基金托管人履行本协议的情况进行必要的核查，核查事项包括但不限于基金托管人安全保管基金财产、开设基金财产的资金账户和证券账户、复核基金管理人计算的基金资产净值和基金份额净值、根据基金管理人指令办理清算交收、相关信息披露和监督基金投资运作等行为。</w:t>
      </w:r>
    </w:p>
    <w:p w14:paraId="36C1320F" w14:textId="77777777" w:rsidR="00791BDD" w:rsidRDefault="00B75151">
      <w:pPr>
        <w:adjustRightInd w:val="0"/>
        <w:snapToGrid w:val="0"/>
        <w:spacing w:line="360" w:lineRule="auto"/>
        <w:ind w:firstLine="482"/>
        <w:outlineLvl w:val="1"/>
        <w:rPr>
          <w:rFonts w:ascii="宋体" w:hAnsi="宋体"/>
          <w:sz w:val="24"/>
          <w:szCs w:val="24"/>
        </w:rPr>
      </w:pPr>
      <w:r>
        <w:rPr>
          <w:rFonts w:ascii="宋体" w:hAnsi="宋体" w:hint="eastAsia"/>
          <w:sz w:val="24"/>
          <w:szCs w:val="24"/>
        </w:rPr>
        <w:t>2、基金管理人发现基金托管人擅自挪用基金财产、未对基金财产实行分账管理、无正当理由未执行或延迟执行基金管理人资金划拨指令、泄露基金投资信息等违反法律法规、《基金合同》及本协议有关规定时，应及时以书面形式通知基金托管人限期纠正，基金托管人收到通知后应及时核对并以书面形式对基金管理人发出回函。在限期内，基金管理人有权随时对通知事项进行复查，督促基金托管人改正。基金托管人对基金管理人通知的违规事项未能在限期内纠正的，基金管理人应依照法律法规的规定报告中国证监会。</w:t>
      </w:r>
    </w:p>
    <w:p w14:paraId="2CAA41DE" w14:textId="77777777" w:rsidR="00791BDD" w:rsidRDefault="00B75151">
      <w:pPr>
        <w:adjustRightInd w:val="0"/>
        <w:snapToGrid w:val="0"/>
        <w:spacing w:line="360" w:lineRule="auto"/>
        <w:ind w:firstLine="482"/>
        <w:outlineLvl w:val="1"/>
        <w:rPr>
          <w:rFonts w:ascii="宋体" w:hAnsi="宋体"/>
          <w:sz w:val="24"/>
          <w:szCs w:val="24"/>
        </w:rPr>
      </w:pPr>
      <w:r>
        <w:rPr>
          <w:rFonts w:ascii="宋体" w:hAnsi="宋体" w:hint="eastAsia"/>
          <w:sz w:val="24"/>
          <w:szCs w:val="24"/>
        </w:rPr>
        <w:t>3、基金托管人应积极配合基金管理人的核查行为，包括但不限于：提交相关资料以供基金管理人核查基金财产的完整性和真实性，在规定时间内答复基金管理人并改正。</w:t>
      </w:r>
    </w:p>
    <w:p w14:paraId="1AADA204" w14:textId="77777777" w:rsidR="00791BDD" w:rsidRDefault="00B75151">
      <w:pPr>
        <w:adjustRightInd w:val="0"/>
        <w:snapToGrid w:val="0"/>
        <w:spacing w:line="360" w:lineRule="auto"/>
        <w:ind w:firstLine="482"/>
        <w:outlineLvl w:val="1"/>
        <w:rPr>
          <w:b/>
          <w:bCs/>
          <w:sz w:val="24"/>
        </w:rPr>
      </w:pPr>
      <w:r>
        <w:rPr>
          <w:rFonts w:hint="eastAsia"/>
          <w:b/>
          <w:bCs/>
          <w:sz w:val="24"/>
        </w:rPr>
        <w:t>（四）基金财产保管</w:t>
      </w:r>
    </w:p>
    <w:p w14:paraId="122D280E" w14:textId="77777777" w:rsidR="00791BDD" w:rsidRDefault="00B75151">
      <w:pPr>
        <w:adjustRightInd w:val="0"/>
        <w:snapToGrid w:val="0"/>
        <w:spacing w:line="360" w:lineRule="auto"/>
        <w:ind w:firstLine="482"/>
        <w:outlineLvl w:val="2"/>
        <w:rPr>
          <w:rFonts w:ascii="宋体" w:hAnsi="宋体"/>
          <w:sz w:val="24"/>
          <w:szCs w:val="24"/>
        </w:rPr>
      </w:pPr>
      <w:r>
        <w:rPr>
          <w:rFonts w:ascii="宋体" w:hAnsi="宋体" w:hint="eastAsia"/>
          <w:sz w:val="24"/>
          <w:szCs w:val="24"/>
        </w:rPr>
        <w:t>1、基金财产保管的原则</w:t>
      </w:r>
    </w:p>
    <w:p w14:paraId="69666831"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（1）基金财产应独立于基金管理人、基金托管人、证券经纪商的固有财产。</w:t>
      </w:r>
    </w:p>
    <w:p w14:paraId="18B8081B"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（2）基金托管人应安全保管基金财产，未经基金管理人的合法合规指令或法律法规、《基金合同》及本协议另有约定，不得自行运用、处分、分配基金的任何财产。</w:t>
      </w:r>
    </w:p>
    <w:p w14:paraId="671BA14A"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（3）基金托管人按照规定开设基金财产的资金账户、证券账户等投资所需账户。</w:t>
      </w:r>
    </w:p>
    <w:p w14:paraId="2A07778A"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（4）基金托管人对所托管的不同基金财产分别设置账户，确保基金财产的完整与独立。</w:t>
      </w:r>
    </w:p>
    <w:p w14:paraId="7B81B2EF"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（5）除依据《基金法》、《运作办法》、《基金合同》及其他有关法律法规规定外，基金托管人不得委托第三人托管基金财产。</w:t>
      </w:r>
    </w:p>
    <w:p w14:paraId="39BA77CE" w14:textId="77777777" w:rsidR="00791BDD" w:rsidRDefault="00B75151">
      <w:pPr>
        <w:adjustRightInd w:val="0"/>
        <w:snapToGrid w:val="0"/>
        <w:spacing w:line="360" w:lineRule="auto"/>
        <w:ind w:firstLine="482"/>
        <w:rPr>
          <w:rFonts w:ascii="宋体" w:hAnsi="宋体"/>
          <w:sz w:val="24"/>
          <w:szCs w:val="24"/>
        </w:rPr>
      </w:pPr>
      <w:r>
        <w:rPr>
          <w:rFonts w:ascii="宋体" w:hAnsi="宋体"/>
          <w:sz w:val="24"/>
          <w:szCs w:val="24"/>
        </w:rPr>
        <w:t>2</w:t>
      </w:r>
      <w:r>
        <w:rPr>
          <w:rFonts w:ascii="宋体" w:hAnsi="宋体" w:hint="eastAsia"/>
          <w:sz w:val="24"/>
          <w:szCs w:val="24"/>
        </w:rPr>
        <w:t>、基金合同生效前募集资金的验资和入账</w:t>
      </w:r>
    </w:p>
    <w:p w14:paraId="4192F2C7"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1）基金募集期满或基金管理人宣布停止募集时，发起资金提供方认购金额及承诺持有期限符合《基金法》、《运作办法》等有关规定的，由基金管理人在法定期限内聘请符合《中华人民共和国证券法》规定的会计师事务所对基金进行验资，并出具验资报告，验资机构需在验资报告中对发起资金提供方及其持有份额进行专门说明，出具的验资报告应由参加验资的2名以上（含2名）中国注册会计师签字方为有效。</w:t>
      </w:r>
    </w:p>
    <w:p w14:paraId="3D788712"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（2）基金管理人应将属于本基金财产的全部资金划入在基金托管人处为本基金开立的基金银行账户中，并确保划入的资金与验资确认金额相一致。</w:t>
      </w:r>
    </w:p>
    <w:p w14:paraId="53E2A204"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（3）若基金募集期限届满，未能达到基金合同生效的条件，由基金管理人按规定办理退款等事宜，基金托管人应提供充分协助。</w:t>
      </w:r>
    </w:p>
    <w:p w14:paraId="386E638C"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3、基金的银行账户的开设和管理</w:t>
      </w:r>
    </w:p>
    <w:p w14:paraId="7DEDC181"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（1）基金托管人应负责本基金的银行账户的开设和管理。</w:t>
      </w:r>
    </w:p>
    <w:p w14:paraId="2525754A"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2）基金托管人以本基金的名义开设本基金的银行账户（亦称“托管账户”）。本基金的银行预留印鉴由基金托管人保管和使用。本基金除证券交易所场内交易以外的一切货币收支活动包括但不限于投资、支付赎回金额、支付基金收益、收取申购款，均需通过本基金的银行账户进行。</w:t>
      </w:r>
    </w:p>
    <w:p w14:paraId="29116270"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（3）本基金银行账户的开立和使用，限于满足开展本基金业务的需要。基金托管人和基金管理人不得假借本基金的名义开立其他任何银行账户；亦不得使用本基金的银行账户进行本基金业务以外的活动。</w:t>
      </w:r>
    </w:p>
    <w:p w14:paraId="1AFA3244"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（4）基金银行账户的管理应符合法律法规的有关规定。</w:t>
      </w:r>
    </w:p>
    <w:p w14:paraId="0B670A70"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4、基金进行定期存款投资的账户开设和管理</w:t>
      </w:r>
    </w:p>
    <w:p w14:paraId="0B0812DA"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基金管理人以基金名义在符合法律法规规定的存款银行的指定营业网点开立存款账户，基金托管人负责该账户银行预留印鉴的保管和使用。在上述账户开立和账户相关信息变更过程中，基金管理人应提前向基金托管人提供开户或账户变更所需的相关资料。</w:t>
      </w:r>
    </w:p>
    <w:p w14:paraId="4FC7F675"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5、基金证券账户及其他投资账户的开设和管理</w:t>
      </w:r>
    </w:p>
    <w:p w14:paraId="4546C85C"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（1）基金托管人应当代表本基金，以基金托管人和本基金联名的方式在中国证券登记结算有限责任公司开设证券账户。</w:t>
      </w:r>
    </w:p>
    <w:p w14:paraId="478153CD"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（2）本基金证券账户的开立和使用，限于满足开展本基金业务的需要。基金托管人和基金管理人不得出借或转让本基金的证券账户，亦不得使用本基金的证券账户进行本基金业务以外的活动。</w:t>
      </w:r>
    </w:p>
    <w:p w14:paraId="4778CC45"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（3）在本托管协议生效日之后，本基金被允许从事其他投资品种的投资业务的，涉及相关账户的开设、使用的，若无相关规定，则基金托管人应当比照并遵守上述关于账户开设、使用的规定。</w:t>
      </w:r>
    </w:p>
    <w:p w14:paraId="00414305"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6、债券托管专户的开设和管理</w:t>
      </w:r>
    </w:p>
    <w:p w14:paraId="62B4C306"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基金合同生效后，基金管理人负责以基金的名义申请并取得进入全国银行间同业拆借市场的交易资格，并代表基金进行交易；由基金管理人负责向中国人民银行报备，在上述手续办理完毕之后，基金托管人负责以基金的名义在中央国债登记结算有限责任公司和银行间市场清算所股份有限公司开设银行间债券市场债券托管账户和资金结算专户，并代表基金进行银行间债券市场债券和资金的清算。</w:t>
      </w:r>
    </w:p>
    <w:p w14:paraId="4BAA9D77"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7、证券资金账户的开立和管理</w:t>
      </w:r>
    </w:p>
    <w:p w14:paraId="6B67AFC0"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1）基金管理人根据相关法律法规及协议约定在选定的证券经纪商处为本基金开立证券资金账户，用于办理本基金在证券交易所进行证券投资所涉及的资金结算业务。结算备付金和交易保证金的收取按照代理证券买卖的证券经纪商的规定执行。</w:t>
      </w:r>
    </w:p>
    <w:p w14:paraId="03CE4A92"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（2）基金管理人以本基金名义在基金管理人选择的证券经纪商营业网点开立证券资金账户，并按照该营业网点开户的流程和要求，签订相关的协议。证券资金账户与基金托管银行账户建立第三方存管关系。</w:t>
      </w:r>
    </w:p>
    <w:p w14:paraId="1C0F7338"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8、基金财产投资的有关有价凭证的保管</w:t>
      </w:r>
    </w:p>
    <w:p w14:paraId="17C3FD51"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基金财产投资的实物证券、银行定期存款存单等有价凭证由基金托管人负责妥善保管。基金托管人对其以外机构实际有效控制的有价凭证不承担责任。</w:t>
      </w:r>
    </w:p>
    <w:p w14:paraId="54D9DB53"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9、与基金财产有关的重大合同及有关凭证的保管</w:t>
      </w:r>
    </w:p>
    <w:p w14:paraId="44BFE342"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基金托管人按照法律法规保管由基金管理人代表基金签署的与基金有关的重大合同及有关凭证。基金管理人代表基金签署有关重大合同后应在收到合同正本后30日内将一份正本的原件提交给基金托管人。除本协议另有规定外，基金管理人在代表基金签署与基金有关的重大合同时应保证基金一方持有两份以上的正本，以便基金管理人和基金托管人至少各持有一份正本的原件。重大合同由基金管理人与基金托管人按规定各自保管期限不少于法律法规的规定。</w:t>
      </w:r>
    </w:p>
    <w:p w14:paraId="107E283B" w14:textId="77777777" w:rsidR="00791BDD" w:rsidRDefault="00B75151">
      <w:pPr>
        <w:adjustRightInd w:val="0"/>
        <w:snapToGrid w:val="0"/>
        <w:spacing w:line="360" w:lineRule="auto"/>
        <w:ind w:firstLine="482"/>
        <w:rPr>
          <w:rFonts w:ascii="宋体" w:hAnsi="宋体"/>
          <w:sz w:val="24"/>
          <w:szCs w:val="24"/>
        </w:rPr>
      </w:pPr>
      <w:r>
        <w:rPr>
          <w:rFonts w:ascii="宋体" w:hAnsi="宋体" w:hint="eastAsia"/>
          <w:sz w:val="24"/>
          <w:szCs w:val="24"/>
        </w:rPr>
        <w:t>对于无法取得二份以上的正本的，基金管理人应向基金托管人提供与合同原件核对一致并加盖公章的合同复印件或传真件，未经双方协商一致，合同原件不得转移。</w:t>
      </w:r>
    </w:p>
    <w:p w14:paraId="52DA1D53" w14:textId="77777777" w:rsidR="00791BDD" w:rsidRDefault="00B75151">
      <w:pPr>
        <w:adjustRightInd w:val="0"/>
        <w:snapToGrid w:val="0"/>
        <w:spacing w:line="360" w:lineRule="auto"/>
        <w:ind w:firstLine="482"/>
        <w:outlineLvl w:val="1"/>
        <w:rPr>
          <w:b/>
          <w:bCs/>
          <w:sz w:val="24"/>
        </w:rPr>
      </w:pPr>
      <w:r>
        <w:rPr>
          <w:b/>
          <w:bCs/>
          <w:sz w:val="24"/>
        </w:rPr>
        <w:t>（五）基金资产净值</w:t>
      </w:r>
      <w:r>
        <w:rPr>
          <w:rFonts w:hint="eastAsia"/>
          <w:b/>
          <w:bCs/>
          <w:sz w:val="24"/>
        </w:rPr>
        <w:t>计算和会计核算</w:t>
      </w:r>
    </w:p>
    <w:p w14:paraId="14A3D458" w14:textId="77777777" w:rsidR="00791BDD" w:rsidRDefault="00B75151">
      <w:pPr>
        <w:adjustRightInd w:val="0"/>
        <w:snapToGrid w:val="0"/>
        <w:spacing w:line="360" w:lineRule="auto"/>
        <w:ind w:firstLineChars="200" w:firstLine="480"/>
        <w:rPr>
          <w:rFonts w:ascii="宋体" w:hAnsi="宋体"/>
          <w:sz w:val="24"/>
        </w:rPr>
      </w:pPr>
      <w:r>
        <w:rPr>
          <w:rFonts w:ascii="宋体" w:hAnsi="宋体" w:hint="eastAsia"/>
          <w:sz w:val="24"/>
        </w:rPr>
        <w:t>1、基金资产净值的计算和复核</w:t>
      </w:r>
    </w:p>
    <w:p w14:paraId="6C15E99D" w14:textId="77777777" w:rsidR="00791BDD" w:rsidRDefault="00B75151">
      <w:pPr>
        <w:adjustRightInd w:val="0"/>
        <w:snapToGrid w:val="0"/>
        <w:spacing w:line="360" w:lineRule="auto"/>
        <w:ind w:firstLineChars="200" w:firstLine="480"/>
        <w:rPr>
          <w:rFonts w:ascii="宋体" w:hAnsi="宋体"/>
          <w:sz w:val="24"/>
        </w:rPr>
      </w:pPr>
      <w:r>
        <w:rPr>
          <w:rFonts w:ascii="宋体" w:hAnsi="宋体" w:hint="eastAsia"/>
          <w:sz w:val="24"/>
        </w:rPr>
        <w:t>（1）基金资产净值是指基金资产总值减去基金负债后的价值。基金份额净值是指计算日基金资产净值除以计算日基金份额总数后的价值。基金份额净值是按照每个工作日闭市后，基金资产净值除以当日基金份额的余额数量计算，精确到0.0001元，小数点后第5位四舍五入，由此产生的误差计入基金财产。基金管理人可以设立大额赎回情形下的净值精度应急调整机制，具体可参见相关公告。国家另有规定的，从其规定。基金管理人于每个工作日计算基金资产净值及基金份额净值，经基金托管人复核，并按规定公告。如遇特殊情况，经履行适当程序，可以适当延迟计算或公告。</w:t>
      </w:r>
    </w:p>
    <w:p w14:paraId="1FB02E56" w14:textId="77777777" w:rsidR="00791BDD" w:rsidRDefault="00B75151">
      <w:pPr>
        <w:adjustRightInd w:val="0"/>
        <w:snapToGrid w:val="0"/>
        <w:spacing w:line="360" w:lineRule="auto"/>
        <w:ind w:firstLineChars="200" w:firstLine="480"/>
        <w:rPr>
          <w:rFonts w:ascii="宋体" w:hAnsi="宋体"/>
          <w:sz w:val="24"/>
        </w:rPr>
      </w:pPr>
      <w:r>
        <w:rPr>
          <w:rFonts w:ascii="宋体" w:hAnsi="宋体" w:hint="eastAsia"/>
          <w:sz w:val="24"/>
        </w:rPr>
        <w:t>（2）基金管理人应每个估值日对基金财产估值，但基金管理人根据法律法规或《基金合同》的规定暂停估值时除外。估值原则应符合《基金合同》、《证券投资基金会计核算业务指引》及其他法律法规的规定。基金资产净值和基金份额净值由基金管理人负责计算，基金托管人复核。基金管理人应于每个估值日结束后计算得出当日的基金份额净值，并以双方约定的方式发送给基金托管人。基金托管人应对净值计算结果进行复核，并以双方约定的方式将复核结果传送给基金管理人，由基金管理人对外公布。月末、年中和年末估值复核与基金会计账目的核对同时进行。</w:t>
      </w:r>
    </w:p>
    <w:p w14:paraId="44EE6E49" w14:textId="77777777" w:rsidR="00791BDD" w:rsidRDefault="00B75151">
      <w:pPr>
        <w:adjustRightInd w:val="0"/>
        <w:snapToGrid w:val="0"/>
        <w:spacing w:line="360" w:lineRule="auto"/>
        <w:ind w:firstLineChars="200" w:firstLine="480"/>
        <w:rPr>
          <w:rFonts w:ascii="宋体" w:hAnsi="宋体"/>
          <w:sz w:val="24"/>
        </w:rPr>
      </w:pPr>
      <w:r>
        <w:rPr>
          <w:rFonts w:ascii="宋体" w:hAnsi="宋体" w:hint="eastAsia"/>
          <w:sz w:val="24"/>
        </w:rPr>
        <w:t>（3）当相关法律法规或《基金合同》规定的估值方法不能客观反映基金财产公允价值时，基金管理人可根据具体情况，并与基金托管人商定后，按最能反映公允价值的价格估值。本基金实施侧袋机制的，应根据本部分的约定对主袋账户资产进行估值并披露主袋账户的基金资产净值和份额净值，暂停披露侧袋账户份额净值。</w:t>
      </w:r>
    </w:p>
    <w:p w14:paraId="0A09C695" w14:textId="77777777" w:rsidR="00791BDD" w:rsidRDefault="00B75151">
      <w:pPr>
        <w:adjustRightInd w:val="0"/>
        <w:snapToGrid w:val="0"/>
        <w:spacing w:line="360" w:lineRule="auto"/>
        <w:ind w:firstLineChars="200" w:firstLine="480"/>
        <w:rPr>
          <w:rFonts w:ascii="宋体" w:hAnsi="宋体"/>
          <w:sz w:val="24"/>
        </w:rPr>
      </w:pPr>
      <w:r>
        <w:rPr>
          <w:rFonts w:ascii="宋体" w:hAnsi="宋体" w:hint="eastAsia"/>
          <w:sz w:val="24"/>
        </w:rPr>
        <w:t>（4）基金管理人、基金托管人发现基金估值违反《基金合同》订明的估值方法、程序以及相关法律法规的规定或者未能充分维护基金份额持有人利益时，双方应及时进行协商和纠正。</w:t>
      </w:r>
    </w:p>
    <w:p w14:paraId="3413F05C" w14:textId="77777777" w:rsidR="00791BDD" w:rsidRDefault="00B75151">
      <w:pPr>
        <w:adjustRightInd w:val="0"/>
        <w:snapToGrid w:val="0"/>
        <w:spacing w:line="360" w:lineRule="auto"/>
        <w:ind w:firstLineChars="200" w:firstLine="480"/>
        <w:rPr>
          <w:rFonts w:ascii="宋体" w:hAnsi="宋体"/>
          <w:sz w:val="24"/>
        </w:rPr>
      </w:pPr>
      <w:r>
        <w:rPr>
          <w:rFonts w:ascii="宋体" w:hAnsi="宋体" w:hint="eastAsia"/>
          <w:sz w:val="24"/>
        </w:rPr>
        <w:t>（5）当基金资产的估值导致基金份额净值小数点后4位以内（含第4位）发生估值错误时，视为基金份额净值估值错误。当基金份额净值出现错误时，基金管理人应当立即予以纠正，并采取合理的措施防止损失进一步扩大；当计价错误达到基金份额净值的0.25%时，基金管理人应当通知基金托管人并报中国证监会备案；当计价错误达到基金份额净值的0.5%时，基金管理人应当通知基金托管人，在报中国证监会备案的同时及时进行公告。如法律法规或监管机关对前述内容另有规定的，按其规定处理。</w:t>
      </w:r>
    </w:p>
    <w:p w14:paraId="7BF8D608" w14:textId="77777777" w:rsidR="00791BDD" w:rsidRDefault="00B75151">
      <w:pPr>
        <w:adjustRightInd w:val="0"/>
        <w:snapToGrid w:val="0"/>
        <w:spacing w:line="360" w:lineRule="auto"/>
        <w:ind w:firstLineChars="200" w:firstLine="480"/>
        <w:rPr>
          <w:rFonts w:ascii="宋体" w:hAnsi="宋体"/>
          <w:sz w:val="24"/>
        </w:rPr>
      </w:pPr>
      <w:r>
        <w:rPr>
          <w:rFonts w:ascii="宋体" w:hAnsi="宋体" w:hint="eastAsia"/>
          <w:sz w:val="24"/>
        </w:rPr>
        <w:t>（6）由于基金管理人对外公布的任何基金净值数据错误，导致该基金财产或基金份额持有人的实际损失，基金管理人应对此承担责任。若基金托管人计算的净值数据正确，则基金托管人对该损失不承担责任；若基金托管人计算的净值数据也不正确，则基金托管人也应承担部分未正确履行复核义务的责任。如果上述错误造成了基金财产或基金份额持有人的不当得利，且基金管理人及基金托管人已各自承担了赔偿责任，则基金管理人应负责向不当得利之主体主张返还不当得利。如果返还金额不足以弥补基金管理人和基金托管人已承担的赔偿金额，则双方按照各自赔偿金额的比例对返还金额进行分配。</w:t>
      </w:r>
    </w:p>
    <w:p w14:paraId="1437DE3B" w14:textId="77777777" w:rsidR="00791BDD" w:rsidRDefault="00B75151">
      <w:pPr>
        <w:adjustRightInd w:val="0"/>
        <w:snapToGrid w:val="0"/>
        <w:spacing w:line="360" w:lineRule="auto"/>
        <w:ind w:firstLineChars="200" w:firstLine="480"/>
        <w:rPr>
          <w:rFonts w:ascii="宋体" w:hAnsi="宋体"/>
          <w:sz w:val="24"/>
        </w:rPr>
      </w:pPr>
      <w:r>
        <w:rPr>
          <w:rFonts w:ascii="宋体" w:hAnsi="宋体" w:hint="eastAsia"/>
          <w:sz w:val="24"/>
        </w:rPr>
        <w:t>（7）由于不可抗力原因，或由于证券、期货交易所、证券经纪机构、期货公司及登记结算公司等第三方机构发送的数据错误，或国家会计政策变更、市场规则变更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14:paraId="3E553182" w14:textId="77777777" w:rsidR="00791BDD" w:rsidRDefault="00B75151">
      <w:pPr>
        <w:adjustRightInd w:val="0"/>
        <w:snapToGrid w:val="0"/>
        <w:spacing w:line="360" w:lineRule="auto"/>
        <w:ind w:firstLineChars="200" w:firstLine="480"/>
        <w:rPr>
          <w:rFonts w:ascii="宋体" w:hAnsi="宋体"/>
          <w:sz w:val="24"/>
        </w:rPr>
      </w:pPr>
      <w:r>
        <w:rPr>
          <w:rFonts w:ascii="宋体" w:hAnsi="宋体" w:hint="eastAsia"/>
          <w:sz w:val="24"/>
        </w:rPr>
        <w:t>（8）如果基金托管人的复核结果与基金管理人的计算结果存在差异，且双方经协商未能达成一致，基金管理人可以按照其对基金份额净值的计算结果对外予以公布，基金托管人可以将相关情况报中国证监会备案。基金托管人不承担基金管理人未接受基金托管人的复核意见进行信息披露的责任。</w:t>
      </w:r>
    </w:p>
    <w:p w14:paraId="65592B48" w14:textId="77777777" w:rsidR="00791BDD" w:rsidRDefault="00B75151">
      <w:pPr>
        <w:adjustRightInd w:val="0"/>
        <w:snapToGrid w:val="0"/>
        <w:spacing w:line="360" w:lineRule="auto"/>
        <w:ind w:firstLine="482"/>
        <w:outlineLvl w:val="1"/>
        <w:rPr>
          <w:b/>
          <w:bCs/>
          <w:sz w:val="24"/>
        </w:rPr>
      </w:pPr>
      <w:r>
        <w:rPr>
          <w:b/>
          <w:bCs/>
          <w:sz w:val="24"/>
        </w:rPr>
        <w:t>（六）基金份额持有人名册的保管</w:t>
      </w:r>
    </w:p>
    <w:p w14:paraId="28DE47F1" w14:textId="77777777" w:rsidR="00791BDD" w:rsidRDefault="00B75151">
      <w:pPr>
        <w:adjustRightInd w:val="0"/>
        <w:snapToGrid w:val="0"/>
        <w:spacing w:line="360" w:lineRule="auto"/>
        <w:ind w:firstLine="482"/>
        <w:outlineLvl w:val="1"/>
        <w:rPr>
          <w:rFonts w:ascii="宋体" w:hAnsi="宋体"/>
          <w:kern w:val="0"/>
          <w:sz w:val="24"/>
        </w:rPr>
      </w:pPr>
      <w:r>
        <w:rPr>
          <w:rFonts w:ascii="宋体" w:hAnsi="宋体" w:hint="eastAsia"/>
          <w:kern w:val="0"/>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基金登记机构保存期不少于20年，法律法规另有规定或有权机关另有要求的除外。如不能妥善保管，则按相关法规承担责任。</w:t>
      </w:r>
    </w:p>
    <w:p w14:paraId="727AB9C5" w14:textId="77777777" w:rsidR="00791BDD" w:rsidRDefault="00B75151">
      <w:pPr>
        <w:adjustRightInd w:val="0"/>
        <w:snapToGrid w:val="0"/>
        <w:spacing w:line="360" w:lineRule="auto"/>
        <w:ind w:firstLine="482"/>
        <w:outlineLvl w:val="1"/>
        <w:rPr>
          <w:rFonts w:ascii="宋体" w:hAnsi="宋体"/>
          <w:kern w:val="0"/>
          <w:sz w:val="24"/>
        </w:rPr>
      </w:pPr>
      <w:r>
        <w:rPr>
          <w:rFonts w:ascii="宋体" w:hAnsi="宋体" w:hint="eastAsia"/>
          <w:kern w:val="0"/>
          <w:sz w:val="24"/>
        </w:rPr>
        <w:t>在基金托管人要求或编制中期报告和年度报告前，基金管理人应将有关资料送交基金托管人，不得无故拒绝或延误提供，并保证其的真实性、准确性和完整性。基金托管人不得将所保管的基金份额持有人名册用于基金托管业务以外的其他用途，并应遵守保密义务。</w:t>
      </w:r>
    </w:p>
    <w:p w14:paraId="6935B6DF" w14:textId="77777777" w:rsidR="00791BDD" w:rsidRDefault="00B75151">
      <w:pPr>
        <w:adjustRightInd w:val="0"/>
        <w:snapToGrid w:val="0"/>
        <w:spacing w:line="360" w:lineRule="auto"/>
        <w:ind w:firstLine="482"/>
        <w:outlineLvl w:val="1"/>
        <w:rPr>
          <w:b/>
          <w:bCs/>
          <w:sz w:val="24"/>
        </w:rPr>
      </w:pPr>
      <w:r>
        <w:rPr>
          <w:b/>
          <w:bCs/>
          <w:sz w:val="24"/>
        </w:rPr>
        <w:t>（七）</w:t>
      </w:r>
      <w:r>
        <w:rPr>
          <w:rFonts w:hint="eastAsia"/>
          <w:b/>
          <w:bCs/>
          <w:sz w:val="24"/>
        </w:rPr>
        <w:t>适用法律与争议解决方式</w:t>
      </w:r>
    </w:p>
    <w:p w14:paraId="4CB5700A" w14:textId="77777777" w:rsidR="00791BDD" w:rsidRDefault="00B75151">
      <w:pPr>
        <w:adjustRightInd w:val="0"/>
        <w:snapToGrid w:val="0"/>
        <w:spacing w:line="360" w:lineRule="auto"/>
        <w:ind w:firstLine="482"/>
        <w:outlineLvl w:val="1"/>
        <w:rPr>
          <w:rFonts w:ascii="宋体" w:hAnsi="宋体"/>
          <w:color w:val="0D0D0D"/>
          <w:sz w:val="24"/>
          <w:szCs w:val="24"/>
        </w:rPr>
      </w:pPr>
      <w:r>
        <w:rPr>
          <w:rFonts w:ascii="宋体" w:hAnsi="宋体" w:hint="eastAsia"/>
          <w:color w:val="0D0D0D"/>
          <w:sz w:val="24"/>
          <w:szCs w:val="24"/>
        </w:rPr>
        <w:t>1、本协议适用中华人民共和国法律（为本协议之目的，不包括香港特别行政区、澳门特别行政区和台湾地区法律）并从其解释。</w:t>
      </w:r>
    </w:p>
    <w:p w14:paraId="6798001B" w14:textId="77777777" w:rsidR="00791BDD" w:rsidRDefault="00B75151">
      <w:pPr>
        <w:adjustRightInd w:val="0"/>
        <w:snapToGrid w:val="0"/>
        <w:spacing w:line="360" w:lineRule="auto"/>
        <w:ind w:firstLine="482"/>
        <w:outlineLvl w:val="1"/>
        <w:rPr>
          <w:rFonts w:ascii="宋体" w:hAnsi="宋体"/>
          <w:b/>
          <w:color w:val="0D0D0D"/>
          <w:sz w:val="24"/>
          <w:szCs w:val="24"/>
        </w:rPr>
      </w:pPr>
      <w:r>
        <w:rPr>
          <w:rFonts w:ascii="宋体" w:hAnsi="宋体"/>
          <w:b/>
          <w:color w:val="0D0D0D"/>
          <w:sz w:val="24"/>
          <w:szCs w:val="24"/>
        </w:rPr>
        <w:t>2、基金管理人与基金托管人之间因本协议产生的或与本协议有关的争议可通过友好协商解决。但如经友好协商未能解决的，则任何一方有权将争议提交位于北京的中国国际经济贸易仲裁委员会，并按其时有效的仲裁规则进行仲裁。仲裁裁决是终局的，对仲裁各方当事人均具有约束力。除非仲裁裁决另有规定，仲裁费用由败诉方承担。</w:t>
      </w:r>
    </w:p>
    <w:p w14:paraId="4D48E8CB" w14:textId="77777777" w:rsidR="00791BDD" w:rsidRDefault="00B75151">
      <w:pPr>
        <w:adjustRightInd w:val="0"/>
        <w:snapToGrid w:val="0"/>
        <w:spacing w:line="360" w:lineRule="auto"/>
        <w:ind w:firstLineChars="200" w:firstLine="480"/>
        <w:outlineLvl w:val="1"/>
        <w:rPr>
          <w:rFonts w:ascii="宋体" w:hAnsi="宋体"/>
          <w:color w:val="0D0D0D"/>
          <w:sz w:val="24"/>
          <w:szCs w:val="24"/>
        </w:rPr>
      </w:pPr>
      <w:r>
        <w:rPr>
          <w:rFonts w:ascii="宋体" w:hAnsi="宋体" w:hint="eastAsia"/>
          <w:color w:val="0D0D0D"/>
          <w:sz w:val="24"/>
          <w:szCs w:val="24"/>
        </w:rPr>
        <w:t>3、除争议所涉的内容之外，本协议的当事人仍应履行本协议的其他规定。</w:t>
      </w:r>
    </w:p>
    <w:p w14:paraId="01179D8D" w14:textId="77777777" w:rsidR="00791BDD" w:rsidRDefault="00B75151">
      <w:pPr>
        <w:adjustRightInd w:val="0"/>
        <w:snapToGrid w:val="0"/>
        <w:spacing w:line="360" w:lineRule="auto"/>
        <w:ind w:firstLineChars="200" w:firstLine="482"/>
        <w:outlineLvl w:val="1"/>
        <w:rPr>
          <w:rFonts w:ascii="宋体" w:hAnsi="宋体"/>
          <w:b/>
          <w:kern w:val="0"/>
          <w:sz w:val="24"/>
          <w:szCs w:val="24"/>
        </w:rPr>
      </w:pPr>
      <w:r>
        <w:rPr>
          <w:rFonts w:ascii="宋体" w:hAnsi="宋体"/>
          <w:b/>
          <w:kern w:val="0"/>
          <w:sz w:val="24"/>
          <w:szCs w:val="24"/>
        </w:rPr>
        <w:t>（八）托管协议</w:t>
      </w:r>
      <w:r>
        <w:rPr>
          <w:rFonts w:ascii="宋体" w:hAnsi="宋体" w:hint="eastAsia"/>
          <w:b/>
          <w:kern w:val="0"/>
          <w:sz w:val="24"/>
          <w:szCs w:val="24"/>
        </w:rPr>
        <w:t>的变更、终止与基金财产的清算</w:t>
      </w:r>
    </w:p>
    <w:p w14:paraId="0203C99F" w14:textId="77777777" w:rsidR="00791BDD" w:rsidRDefault="00B75151">
      <w:pPr>
        <w:adjustRightInd w:val="0"/>
        <w:snapToGrid w:val="0"/>
        <w:spacing w:line="360" w:lineRule="auto"/>
        <w:ind w:firstLineChars="200" w:firstLine="480"/>
        <w:outlineLvl w:val="2"/>
        <w:rPr>
          <w:color w:val="0D0D0D"/>
          <w:sz w:val="24"/>
          <w:szCs w:val="24"/>
        </w:rPr>
      </w:pPr>
      <w:r>
        <w:rPr>
          <w:rFonts w:hint="eastAsia"/>
          <w:color w:val="0D0D0D"/>
          <w:sz w:val="24"/>
          <w:szCs w:val="24"/>
        </w:rPr>
        <w:t>1</w:t>
      </w:r>
      <w:r>
        <w:rPr>
          <w:rFonts w:hint="eastAsia"/>
          <w:color w:val="0D0D0D"/>
          <w:sz w:val="24"/>
          <w:szCs w:val="24"/>
        </w:rPr>
        <w:t>、托管协议的变更</w:t>
      </w:r>
    </w:p>
    <w:p w14:paraId="665A905C" w14:textId="77777777" w:rsidR="00791BDD" w:rsidRDefault="00B75151">
      <w:pPr>
        <w:adjustRightInd w:val="0"/>
        <w:snapToGrid w:val="0"/>
        <w:spacing w:line="360" w:lineRule="auto"/>
        <w:ind w:firstLineChars="200" w:firstLine="480"/>
        <w:outlineLvl w:val="2"/>
        <w:rPr>
          <w:color w:val="0D0D0D"/>
          <w:sz w:val="24"/>
          <w:szCs w:val="24"/>
        </w:rPr>
      </w:pPr>
      <w:r>
        <w:rPr>
          <w:rFonts w:hint="eastAsia"/>
          <w:color w:val="0D0D0D"/>
          <w:sz w:val="24"/>
          <w:szCs w:val="24"/>
        </w:rPr>
        <w:t>本协议双方当事人经协商一致，可以对协议进行变更。变更后的新协议，其内容不得与《基金合同》的规定有任何冲突。变更后的新协议应当按规定报中国证监会备案。</w:t>
      </w:r>
    </w:p>
    <w:p w14:paraId="3B60F638" w14:textId="77777777" w:rsidR="00791BDD" w:rsidRDefault="00B75151">
      <w:pPr>
        <w:adjustRightInd w:val="0"/>
        <w:snapToGrid w:val="0"/>
        <w:spacing w:line="360" w:lineRule="auto"/>
        <w:ind w:firstLineChars="200" w:firstLine="480"/>
        <w:outlineLvl w:val="2"/>
        <w:rPr>
          <w:color w:val="0D0D0D"/>
          <w:sz w:val="24"/>
          <w:szCs w:val="24"/>
        </w:rPr>
      </w:pPr>
      <w:r>
        <w:rPr>
          <w:rFonts w:hint="eastAsia"/>
          <w:color w:val="0D0D0D"/>
          <w:sz w:val="24"/>
          <w:szCs w:val="24"/>
        </w:rPr>
        <w:t>2</w:t>
      </w:r>
      <w:r>
        <w:rPr>
          <w:rFonts w:hint="eastAsia"/>
          <w:color w:val="0D0D0D"/>
          <w:sz w:val="24"/>
          <w:szCs w:val="24"/>
        </w:rPr>
        <w:t>、托管协议的终止</w:t>
      </w:r>
    </w:p>
    <w:p w14:paraId="11D296F1" w14:textId="77777777" w:rsidR="00791BDD" w:rsidRDefault="00B75151">
      <w:pPr>
        <w:adjustRightInd w:val="0"/>
        <w:snapToGrid w:val="0"/>
        <w:spacing w:line="360" w:lineRule="auto"/>
        <w:ind w:firstLineChars="200" w:firstLine="480"/>
        <w:outlineLvl w:val="2"/>
        <w:rPr>
          <w:color w:val="0D0D0D"/>
          <w:sz w:val="24"/>
          <w:szCs w:val="24"/>
        </w:rPr>
      </w:pPr>
      <w:r>
        <w:rPr>
          <w:rFonts w:hint="eastAsia"/>
          <w:color w:val="0D0D0D"/>
          <w:sz w:val="24"/>
          <w:szCs w:val="24"/>
        </w:rPr>
        <w:t>发生以下情况，经履行适当程序后，本托管协议应当终止：</w:t>
      </w:r>
    </w:p>
    <w:p w14:paraId="56F551CC" w14:textId="77777777" w:rsidR="00791BDD" w:rsidRDefault="00B75151">
      <w:pPr>
        <w:adjustRightInd w:val="0"/>
        <w:snapToGrid w:val="0"/>
        <w:spacing w:line="360" w:lineRule="auto"/>
        <w:ind w:firstLineChars="200" w:firstLine="480"/>
        <w:outlineLvl w:val="2"/>
        <w:rPr>
          <w:color w:val="0D0D0D"/>
          <w:sz w:val="24"/>
          <w:szCs w:val="24"/>
        </w:rPr>
      </w:pPr>
      <w:r>
        <w:rPr>
          <w:rFonts w:hint="eastAsia"/>
          <w:color w:val="0D0D0D"/>
          <w:sz w:val="24"/>
          <w:szCs w:val="24"/>
        </w:rPr>
        <w:t>（</w:t>
      </w:r>
      <w:r>
        <w:rPr>
          <w:rFonts w:hint="eastAsia"/>
          <w:color w:val="0D0D0D"/>
          <w:sz w:val="24"/>
          <w:szCs w:val="24"/>
        </w:rPr>
        <w:t>1</w:t>
      </w:r>
      <w:r>
        <w:rPr>
          <w:rFonts w:hint="eastAsia"/>
          <w:color w:val="0D0D0D"/>
          <w:sz w:val="24"/>
          <w:szCs w:val="24"/>
        </w:rPr>
        <w:t>）《基金合同》终止；</w:t>
      </w:r>
    </w:p>
    <w:p w14:paraId="1C4FEC6F" w14:textId="77777777" w:rsidR="00791BDD" w:rsidRDefault="00B75151">
      <w:pPr>
        <w:adjustRightInd w:val="0"/>
        <w:snapToGrid w:val="0"/>
        <w:spacing w:line="360" w:lineRule="auto"/>
        <w:ind w:firstLineChars="200" w:firstLine="480"/>
        <w:outlineLvl w:val="2"/>
        <w:rPr>
          <w:color w:val="0D0D0D"/>
          <w:sz w:val="24"/>
          <w:szCs w:val="24"/>
        </w:rPr>
      </w:pPr>
      <w:r>
        <w:rPr>
          <w:rFonts w:hint="eastAsia"/>
          <w:color w:val="0D0D0D"/>
          <w:sz w:val="24"/>
          <w:szCs w:val="24"/>
        </w:rPr>
        <w:t>（</w:t>
      </w:r>
      <w:r>
        <w:rPr>
          <w:rFonts w:hint="eastAsia"/>
          <w:color w:val="0D0D0D"/>
          <w:sz w:val="24"/>
          <w:szCs w:val="24"/>
        </w:rPr>
        <w:t>2</w:t>
      </w:r>
      <w:r>
        <w:rPr>
          <w:rFonts w:hint="eastAsia"/>
          <w:color w:val="0D0D0D"/>
          <w:sz w:val="24"/>
          <w:szCs w:val="24"/>
        </w:rPr>
        <w:t>）基金托管人解散、依法被撤销、破产或本基金更换基金托管人；</w:t>
      </w:r>
    </w:p>
    <w:p w14:paraId="412E1253" w14:textId="77777777" w:rsidR="00791BDD" w:rsidRDefault="00B75151">
      <w:pPr>
        <w:adjustRightInd w:val="0"/>
        <w:snapToGrid w:val="0"/>
        <w:spacing w:line="360" w:lineRule="auto"/>
        <w:ind w:firstLineChars="200" w:firstLine="480"/>
        <w:outlineLvl w:val="2"/>
        <w:rPr>
          <w:color w:val="0D0D0D"/>
          <w:sz w:val="24"/>
          <w:szCs w:val="24"/>
        </w:rPr>
      </w:pPr>
      <w:r>
        <w:rPr>
          <w:rFonts w:hint="eastAsia"/>
          <w:color w:val="0D0D0D"/>
          <w:sz w:val="24"/>
          <w:szCs w:val="24"/>
        </w:rPr>
        <w:t>（</w:t>
      </w:r>
      <w:r>
        <w:rPr>
          <w:rFonts w:hint="eastAsia"/>
          <w:color w:val="0D0D0D"/>
          <w:sz w:val="24"/>
          <w:szCs w:val="24"/>
        </w:rPr>
        <w:t>3</w:t>
      </w:r>
      <w:r>
        <w:rPr>
          <w:rFonts w:hint="eastAsia"/>
          <w:color w:val="0D0D0D"/>
          <w:sz w:val="24"/>
          <w:szCs w:val="24"/>
        </w:rPr>
        <w:t>）基金托管人解散、依法被撤销、破产或本基金更换基金管理人；</w:t>
      </w:r>
    </w:p>
    <w:p w14:paraId="1F81D63E" w14:textId="77777777" w:rsidR="00791BDD" w:rsidRDefault="00B75151">
      <w:pPr>
        <w:adjustRightInd w:val="0"/>
        <w:snapToGrid w:val="0"/>
        <w:spacing w:line="360" w:lineRule="auto"/>
        <w:ind w:firstLineChars="200" w:firstLine="480"/>
        <w:outlineLvl w:val="2"/>
        <w:rPr>
          <w:color w:val="0D0D0D"/>
          <w:sz w:val="24"/>
          <w:szCs w:val="24"/>
        </w:rPr>
      </w:pPr>
      <w:r>
        <w:rPr>
          <w:rFonts w:hint="eastAsia"/>
          <w:color w:val="0D0D0D"/>
          <w:sz w:val="24"/>
          <w:szCs w:val="24"/>
        </w:rPr>
        <w:t>（</w:t>
      </w:r>
      <w:r>
        <w:rPr>
          <w:rFonts w:hint="eastAsia"/>
          <w:color w:val="0D0D0D"/>
          <w:sz w:val="24"/>
          <w:szCs w:val="24"/>
        </w:rPr>
        <w:t>4</w:t>
      </w:r>
      <w:r>
        <w:rPr>
          <w:rFonts w:hint="eastAsia"/>
          <w:color w:val="0D0D0D"/>
          <w:sz w:val="24"/>
          <w:szCs w:val="24"/>
        </w:rPr>
        <w:t>）发生《基金法》、《运作办法》或其他法律法规规定、《基金合同》约定的终止事项。</w:t>
      </w:r>
    </w:p>
    <w:p w14:paraId="5304C511" w14:textId="77777777" w:rsidR="00791BDD" w:rsidRDefault="00B75151">
      <w:pPr>
        <w:adjustRightInd w:val="0"/>
        <w:snapToGrid w:val="0"/>
        <w:spacing w:line="360" w:lineRule="auto"/>
        <w:ind w:firstLineChars="200" w:firstLine="480"/>
        <w:outlineLvl w:val="2"/>
        <w:rPr>
          <w:color w:val="0D0D0D"/>
          <w:sz w:val="24"/>
          <w:szCs w:val="24"/>
        </w:rPr>
      </w:pPr>
      <w:r>
        <w:rPr>
          <w:rFonts w:hint="eastAsia"/>
          <w:color w:val="0D0D0D"/>
          <w:sz w:val="24"/>
          <w:szCs w:val="24"/>
        </w:rPr>
        <w:t>3</w:t>
      </w:r>
      <w:r>
        <w:rPr>
          <w:rFonts w:hint="eastAsia"/>
          <w:color w:val="0D0D0D"/>
          <w:sz w:val="24"/>
          <w:szCs w:val="24"/>
        </w:rPr>
        <w:t>、基金财产的清算</w:t>
      </w:r>
    </w:p>
    <w:p w14:paraId="7908EE05" w14:textId="77777777" w:rsidR="00791BDD" w:rsidRDefault="00B75151">
      <w:pPr>
        <w:adjustRightInd w:val="0"/>
        <w:snapToGrid w:val="0"/>
        <w:spacing w:line="360" w:lineRule="auto"/>
        <w:ind w:firstLineChars="200" w:firstLine="480"/>
        <w:outlineLvl w:val="2"/>
        <w:rPr>
          <w:color w:val="0D0D0D"/>
          <w:sz w:val="24"/>
          <w:szCs w:val="24"/>
        </w:rPr>
      </w:pPr>
      <w:r>
        <w:rPr>
          <w:rFonts w:hint="eastAsia"/>
          <w:color w:val="0D0D0D"/>
          <w:sz w:val="24"/>
          <w:szCs w:val="24"/>
        </w:rPr>
        <w:t>基金管理人和基金托管人应按照《基金合同》及有关法律法规的规定对本基金的财产进行清算。</w:t>
      </w:r>
    </w:p>
    <w:p w14:paraId="66A035A4" w14:textId="77777777" w:rsidR="00791BDD" w:rsidRDefault="00B75151">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bookmarkStart w:id="120" w:name="_Toc48122022"/>
      <w:r>
        <w:rPr>
          <w:rFonts w:ascii="宋体" w:hAnsi="宋体" w:hint="eastAsia"/>
          <w:b/>
          <w:kern w:val="0"/>
          <w:sz w:val="30"/>
        </w:rPr>
        <w:t>二十一、对基金份额持有人的服务</w:t>
      </w:r>
      <w:bookmarkEnd w:id="120"/>
    </w:p>
    <w:p w14:paraId="2B36D049" w14:textId="77777777" w:rsidR="00791BDD" w:rsidRDefault="00B75151">
      <w:pPr>
        <w:widowControl/>
        <w:adjustRightInd w:val="0"/>
        <w:snapToGrid w:val="0"/>
        <w:spacing w:line="360" w:lineRule="auto"/>
        <w:ind w:firstLineChars="200" w:firstLine="480"/>
        <w:rPr>
          <w:rFonts w:hAnsi="宋体"/>
          <w:kern w:val="0"/>
          <w:sz w:val="24"/>
        </w:rPr>
      </w:pPr>
      <w:r>
        <w:rPr>
          <w:rFonts w:hAnsi="宋体"/>
          <w:kern w:val="0"/>
          <w:sz w:val="24"/>
          <w:szCs w:val="24"/>
        </w:rPr>
        <w:t>基金管理人承诺为基金份额持有人提供一系列的服务。基金管理人根据基金份额持有人的需要和市场的变化，有权增加或变更服务项目。主要服务内容如下：</w:t>
      </w:r>
    </w:p>
    <w:p w14:paraId="70E15616" w14:textId="77777777" w:rsidR="00791BDD" w:rsidRDefault="00B75151">
      <w:pPr>
        <w:widowControl/>
        <w:adjustRightInd w:val="0"/>
        <w:snapToGrid w:val="0"/>
        <w:spacing w:line="360" w:lineRule="auto"/>
        <w:ind w:firstLineChars="200" w:firstLine="482"/>
        <w:rPr>
          <w:rFonts w:hAnsi="宋体"/>
          <w:b/>
          <w:kern w:val="0"/>
          <w:sz w:val="24"/>
        </w:rPr>
      </w:pPr>
      <w:r>
        <w:rPr>
          <w:rFonts w:hAnsi="宋体"/>
          <w:b/>
          <w:kern w:val="0"/>
          <w:sz w:val="24"/>
        </w:rPr>
        <w:t>（一）</w:t>
      </w:r>
      <w:r>
        <w:rPr>
          <w:rFonts w:hAnsi="宋体" w:hint="eastAsia"/>
          <w:b/>
          <w:kern w:val="0"/>
          <w:sz w:val="24"/>
        </w:rPr>
        <w:t>基金募集客户服务相关准备工作</w:t>
      </w:r>
    </w:p>
    <w:p w14:paraId="0FB07478" w14:textId="77777777" w:rsidR="00791BDD" w:rsidRDefault="00B75151">
      <w:pPr>
        <w:widowControl/>
        <w:adjustRightInd w:val="0"/>
        <w:snapToGrid w:val="0"/>
        <w:spacing w:line="360" w:lineRule="auto"/>
        <w:ind w:firstLineChars="200" w:firstLine="480"/>
        <w:rPr>
          <w:rFonts w:hAnsi="宋体"/>
          <w:kern w:val="0"/>
          <w:sz w:val="24"/>
        </w:rPr>
      </w:pPr>
      <w:r>
        <w:rPr>
          <w:rFonts w:hAnsi="宋体" w:hint="eastAsia"/>
          <w:kern w:val="0"/>
          <w:sz w:val="24"/>
        </w:rPr>
        <w:t>基金管理人将通过客户服务电话、公司网站、手机短信及其他服务形式，向投资者提供关于基金募集的信息咨询服务，并为投资者办理基金募集相关业务提供协助。</w:t>
      </w:r>
    </w:p>
    <w:p w14:paraId="7F70D769" w14:textId="77777777" w:rsidR="00791BDD" w:rsidRDefault="00B75151">
      <w:pPr>
        <w:widowControl/>
        <w:adjustRightInd w:val="0"/>
        <w:snapToGrid w:val="0"/>
        <w:spacing w:line="360" w:lineRule="auto"/>
        <w:ind w:firstLineChars="200" w:firstLine="482"/>
        <w:rPr>
          <w:rFonts w:hAnsi="宋体"/>
          <w:b/>
          <w:kern w:val="0"/>
          <w:sz w:val="24"/>
        </w:rPr>
      </w:pPr>
      <w:r>
        <w:rPr>
          <w:rFonts w:hAnsi="宋体"/>
          <w:b/>
          <w:kern w:val="0"/>
          <w:sz w:val="24"/>
        </w:rPr>
        <w:t>（二）网上</w:t>
      </w:r>
      <w:r>
        <w:rPr>
          <w:rFonts w:hAnsi="宋体" w:hint="eastAsia"/>
          <w:b/>
          <w:kern w:val="0"/>
          <w:sz w:val="24"/>
        </w:rPr>
        <w:t>直销</w:t>
      </w:r>
      <w:r>
        <w:rPr>
          <w:rFonts w:hAnsi="宋体"/>
          <w:b/>
          <w:kern w:val="0"/>
          <w:sz w:val="24"/>
        </w:rPr>
        <w:t>服务</w:t>
      </w:r>
    </w:p>
    <w:p w14:paraId="2704E3B6" w14:textId="77777777" w:rsidR="00791BDD" w:rsidRDefault="00B75151">
      <w:pPr>
        <w:widowControl/>
        <w:adjustRightInd w:val="0"/>
        <w:snapToGrid w:val="0"/>
        <w:spacing w:line="360" w:lineRule="auto"/>
        <w:ind w:firstLineChars="200" w:firstLine="480"/>
        <w:rPr>
          <w:rFonts w:hAnsi="宋体"/>
          <w:kern w:val="0"/>
          <w:sz w:val="24"/>
        </w:rPr>
      </w:pPr>
      <w:r>
        <w:rPr>
          <w:rFonts w:hAnsi="宋体"/>
          <w:kern w:val="0"/>
          <w:sz w:val="24"/>
        </w:rPr>
        <w:t>本基金管理人已开通基金网上直销</w:t>
      </w:r>
      <w:r>
        <w:rPr>
          <w:rFonts w:hAnsi="宋体" w:hint="eastAsia"/>
          <w:kern w:val="0"/>
          <w:sz w:val="24"/>
        </w:rPr>
        <w:t>服务</w:t>
      </w:r>
      <w:r>
        <w:rPr>
          <w:rFonts w:hAnsi="宋体"/>
          <w:kern w:val="0"/>
          <w:sz w:val="24"/>
        </w:rPr>
        <w:t>，个人投资者可以直接通过本基金管理人的</w:t>
      </w:r>
      <w:r>
        <w:rPr>
          <w:rFonts w:hAnsi="宋体" w:hint="eastAsia"/>
          <w:kern w:val="0"/>
          <w:sz w:val="24"/>
        </w:rPr>
        <w:t>网上直销交易平台</w:t>
      </w:r>
      <w:r>
        <w:rPr>
          <w:rFonts w:hAnsi="宋体"/>
          <w:kern w:val="0"/>
          <w:sz w:val="24"/>
        </w:rPr>
        <w:t>办理开户手续，并在本基金募集期间</w:t>
      </w:r>
      <w:r>
        <w:rPr>
          <w:rFonts w:hAnsi="宋体" w:hint="eastAsia"/>
          <w:kern w:val="0"/>
          <w:sz w:val="24"/>
        </w:rPr>
        <w:t>通过网上直销交易平台</w:t>
      </w:r>
      <w:r>
        <w:rPr>
          <w:rFonts w:hAnsi="宋体"/>
          <w:kern w:val="0"/>
          <w:sz w:val="24"/>
        </w:rPr>
        <w:t>办理</w:t>
      </w:r>
      <w:r>
        <w:rPr>
          <w:rFonts w:hAnsi="宋体" w:hint="eastAsia"/>
          <w:kern w:val="0"/>
          <w:sz w:val="24"/>
        </w:rPr>
        <w:t>本基金的认购业务，在本基金</w:t>
      </w:r>
      <w:r>
        <w:rPr>
          <w:rFonts w:hAnsi="宋体"/>
          <w:kern w:val="0"/>
          <w:sz w:val="24"/>
        </w:rPr>
        <w:t>开放日常申购和赎回等业务后</w:t>
      </w:r>
      <w:r>
        <w:rPr>
          <w:rFonts w:hAnsi="宋体" w:hint="eastAsia"/>
          <w:kern w:val="0"/>
          <w:sz w:val="24"/>
        </w:rPr>
        <w:t>通过网上直销交易平台</w:t>
      </w:r>
      <w:r>
        <w:rPr>
          <w:rFonts w:hAnsi="宋体"/>
          <w:kern w:val="0"/>
          <w:sz w:val="24"/>
        </w:rPr>
        <w:t>办理</w:t>
      </w:r>
      <w:r>
        <w:rPr>
          <w:rFonts w:hAnsi="宋体" w:hint="eastAsia"/>
          <w:kern w:val="0"/>
          <w:sz w:val="24"/>
        </w:rPr>
        <w:t>本基金的申购和赎回等业务</w:t>
      </w:r>
      <w:r>
        <w:rPr>
          <w:rFonts w:hAnsi="宋体"/>
          <w:kern w:val="0"/>
          <w:sz w:val="24"/>
        </w:rPr>
        <w:t>，有关详情可参见相关公告。</w:t>
      </w:r>
    </w:p>
    <w:p w14:paraId="01A08DAB" w14:textId="77777777" w:rsidR="00791BDD" w:rsidRDefault="00B75151">
      <w:pPr>
        <w:widowControl/>
        <w:adjustRightInd w:val="0"/>
        <w:snapToGrid w:val="0"/>
        <w:spacing w:line="360" w:lineRule="auto"/>
        <w:ind w:firstLineChars="200" w:firstLine="480"/>
        <w:rPr>
          <w:rFonts w:hAnsi="宋体"/>
          <w:kern w:val="0"/>
          <w:sz w:val="24"/>
        </w:rPr>
      </w:pPr>
      <w:r>
        <w:rPr>
          <w:rFonts w:hAnsi="宋体"/>
          <w:kern w:val="0"/>
          <w:sz w:val="24"/>
        </w:rPr>
        <w:t>基金网上直销</w:t>
      </w:r>
      <w:r>
        <w:rPr>
          <w:rFonts w:hAnsi="宋体" w:hint="eastAsia"/>
          <w:kern w:val="0"/>
          <w:sz w:val="24"/>
        </w:rPr>
        <w:t>交易平台</w:t>
      </w:r>
      <w:r>
        <w:rPr>
          <w:rFonts w:hAnsi="宋体"/>
          <w:kern w:val="0"/>
          <w:sz w:val="24"/>
        </w:rPr>
        <w:t>已开通的银行卡及各银行卡交易金额限额请参阅本</w:t>
      </w:r>
      <w:r>
        <w:rPr>
          <w:rFonts w:hAnsi="宋体" w:hint="eastAsia"/>
          <w:kern w:val="0"/>
          <w:sz w:val="24"/>
        </w:rPr>
        <w:t>基金管理人</w:t>
      </w:r>
      <w:r>
        <w:rPr>
          <w:rFonts w:hAnsi="宋体"/>
          <w:kern w:val="0"/>
          <w:sz w:val="24"/>
        </w:rPr>
        <w:t>网站。</w:t>
      </w:r>
    </w:p>
    <w:p w14:paraId="076796B7" w14:textId="77777777" w:rsidR="00791BDD" w:rsidRDefault="00B75151">
      <w:pPr>
        <w:widowControl/>
        <w:adjustRightInd w:val="0"/>
        <w:snapToGrid w:val="0"/>
        <w:spacing w:line="360" w:lineRule="auto"/>
        <w:ind w:firstLineChars="200" w:firstLine="480"/>
        <w:rPr>
          <w:rFonts w:hAnsi="宋体"/>
          <w:kern w:val="0"/>
          <w:sz w:val="24"/>
        </w:rPr>
      </w:pPr>
      <w:r>
        <w:rPr>
          <w:rFonts w:hAnsi="宋体"/>
          <w:kern w:val="0"/>
          <w:sz w:val="24"/>
        </w:rPr>
        <w:t>在条件成熟的时候，本基金管理人将根据基金网上</w:t>
      </w:r>
      <w:r>
        <w:rPr>
          <w:rFonts w:hAnsi="宋体" w:hint="eastAsia"/>
          <w:kern w:val="0"/>
          <w:sz w:val="24"/>
        </w:rPr>
        <w:t>直销</w:t>
      </w:r>
      <w:r>
        <w:rPr>
          <w:rFonts w:hAnsi="宋体"/>
          <w:kern w:val="0"/>
          <w:sz w:val="24"/>
        </w:rPr>
        <w:t>业务的发展状况，适时</w:t>
      </w:r>
      <w:r>
        <w:rPr>
          <w:rFonts w:hAnsi="宋体" w:hint="eastAsia"/>
          <w:kern w:val="0"/>
          <w:sz w:val="24"/>
        </w:rPr>
        <w:t>调整</w:t>
      </w:r>
      <w:r>
        <w:rPr>
          <w:rFonts w:hAnsi="宋体"/>
          <w:kern w:val="0"/>
          <w:sz w:val="24"/>
        </w:rPr>
        <w:t>可用于</w:t>
      </w:r>
      <w:r>
        <w:rPr>
          <w:rFonts w:hAnsi="宋体" w:hint="eastAsia"/>
          <w:kern w:val="0"/>
          <w:sz w:val="24"/>
        </w:rPr>
        <w:t>网上直销交易平台</w:t>
      </w:r>
      <w:r>
        <w:rPr>
          <w:rFonts w:hAnsi="宋体"/>
          <w:kern w:val="0"/>
          <w:sz w:val="24"/>
        </w:rPr>
        <w:t>的银行卡种类，敬请投资人留意相关公告。</w:t>
      </w:r>
    </w:p>
    <w:p w14:paraId="2C0DA9CC" w14:textId="77777777" w:rsidR="00791BDD" w:rsidRDefault="00B75151">
      <w:pPr>
        <w:widowControl/>
        <w:adjustRightInd w:val="0"/>
        <w:snapToGrid w:val="0"/>
        <w:spacing w:line="360" w:lineRule="auto"/>
        <w:ind w:firstLineChars="200" w:firstLine="482"/>
        <w:rPr>
          <w:rFonts w:hAnsi="宋体"/>
          <w:b/>
          <w:kern w:val="0"/>
          <w:sz w:val="24"/>
        </w:rPr>
      </w:pPr>
      <w:r>
        <w:rPr>
          <w:rFonts w:hAnsi="宋体"/>
          <w:b/>
          <w:kern w:val="0"/>
          <w:sz w:val="24"/>
        </w:rPr>
        <w:t>（三）信息咨询、查询服务</w:t>
      </w:r>
    </w:p>
    <w:p w14:paraId="2337C8BF" w14:textId="77777777" w:rsidR="00791BDD" w:rsidRDefault="00B75151">
      <w:pPr>
        <w:widowControl/>
        <w:adjustRightInd w:val="0"/>
        <w:snapToGrid w:val="0"/>
        <w:spacing w:line="360" w:lineRule="auto"/>
        <w:ind w:firstLineChars="200" w:firstLine="480"/>
        <w:rPr>
          <w:kern w:val="0"/>
          <w:sz w:val="24"/>
        </w:rPr>
      </w:pPr>
      <w:r>
        <w:rPr>
          <w:rFonts w:hAnsi="宋体"/>
          <w:kern w:val="0"/>
          <w:sz w:val="24"/>
        </w:rPr>
        <w:t>投资人如果想查询基金账户余额、基金产品与服务等信息，请拨打本基金管理人客户服务电话（</w:t>
      </w:r>
      <w:r>
        <w:rPr>
          <w:kern w:val="0"/>
          <w:sz w:val="24"/>
        </w:rPr>
        <w:t>400-700-5000</w:t>
      </w:r>
      <w:r>
        <w:rPr>
          <w:rFonts w:hAnsi="宋体"/>
          <w:kern w:val="0"/>
          <w:sz w:val="24"/>
        </w:rPr>
        <w:t>，</w:t>
      </w:r>
      <w:r>
        <w:rPr>
          <w:kern w:val="0"/>
          <w:sz w:val="24"/>
        </w:rPr>
        <w:t>021-61055000</w:t>
      </w:r>
      <w:r>
        <w:rPr>
          <w:rFonts w:hAnsi="宋体"/>
          <w:kern w:val="0"/>
          <w:sz w:val="24"/>
        </w:rPr>
        <w:t>）或登录本基金管理人网站</w:t>
      </w:r>
      <w:r>
        <w:rPr>
          <w:kern w:val="0"/>
          <w:sz w:val="24"/>
        </w:rPr>
        <w:t>（</w:t>
      </w:r>
      <w:r>
        <w:rPr>
          <w:rFonts w:hint="eastAsia"/>
          <w:kern w:val="0"/>
          <w:sz w:val="24"/>
        </w:rPr>
        <w:t>www.fund001.com</w:t>
      </w:r>
      <w:r>
        <w:rPr>
          <w:kern w:val="0"/>
          <w:sz w:val="24"/>
        </w:rPr>
        <w:t>）进</w:t>
      </w:r>
      <w:r>
        <w:rPr>
          <w:rFonts w:hAnsi="宋体"/>
          <w:kern w:val="0"/>
          <w:sz w:val="24"/>
        </w:rPr>
        <w:t>行咨询、查询。</w:t>
      </w:r>
    </w:p>
    <w:p w14:paraId="2E1D0A1D" w14:textId="77777777" w:rsidR="00791BDD" w:rsidRDefault="00B75151">
      <w:pPr>
        <w:widowControl/>
        <w:adjustRightInd w:val="0"/>
        <w:snapToGrid w:val="0"/>
        <w:spacing w:line="360" w:lineRule="auto"/>
        <w:ind w:firstLineChars="200" w:firstLine="480"/>
        <w:rPr>
          <w:kern w:val="0"/>
          <w:sz w:val="24"/>
        </w:rPr>
      </w:pPr>
      <w:r>
        <w:rPr>
          <w:rFonts w:hAnsi="宋体"/>
          <w:kern w:val="0"/>
          <w:sz w:val="24"/>
        </w:rPr>
        <w:t>本基金管理人为投资人预设基金查询密码，预设的基金查询密码为投资人开户证件号码的后</w:t>
      </w:r>
      <w:r>
        <w:rPr>
          <w:kern w:val="0"/>
          <w:sz w:val="24"/>
        </w:rPr>
        <w:t>6</w:t>
      </w:r>
      <w:r>
        <w:rPr>
          <w:rFonts w:hAnsi="宋体"/>
          <w:kern w:val="0"/>
          <w:sz w:val="24"/>
        </w:rPr>
        <w:t>位数字，不足</w:t>
      </w:r>
      <w:r>
        <w:rPr>
          <w:kern w:val="0"/>
          <w:sz w:val="24"/>
        </w:rPr>
        <w:t>6</w:t>
      </w:r>
      <w:r>
        <w:rPr>
          <w:rFonts w:hAnsi="宋体"/>
          <w:kern w:val="0"/>
          <w:sz w:val="24"/>
        </w:rPr>
        <w:t>位数字的，前面</w:t>
      </w:r>
      <w:r>
        <w:rPr>
          <w:rFonts w:ascii="宋体" w:hAnsi="宋体"/>
          <w:kern w:val="0"/>
          <w:sz w:val="24"/>
        </w:rPr>
        <w:t>加“0”补足。</w:t>
      </w:r>
      <w:r>
        <w:rPr>
          <w:rFonts w:hAnsi="宋体"/>
          <w:kern w:val="0"/>
          <w:sz w:val="24"/>
        </w:rPr>
        <w:t>基金查询密码用于投资人通过客户服务电话查询基金账户下的账户和交易信息。投资人请在其知晓基金账号后，及时拨打本基金管理人客户服务电话修改基金查询密码。</w:t>
      </w:r>
    </w:p>
    <w:p w14:paraId="2B19B7A4" w14:textId="77777777" w:rsidR="00791BDD" w:rsidRDefault="00B75151">
      <w:pPr>
        <w:widowControl/>
        <w:adjustRightInd w:val="0"/>
        <w:snapToGrid w:val="0"/>
        <w:spacing w:line="360" w:lineRule="auto"/>
        <w:ind w:firstLineChars="200" w:firstLine="480"/>
        <w:rPr>
          <w:kern w:val="0"/>
          <w:sz w:val="24"/>
        </w:rPr>
      </w:pPr>
      <w:r>
        <w:rPr>
          <w:kern w:val="0"/>
          <w:sz w:val="24"/>
        </w:rPr>
        <w:t>投资人可以拨打本基金管理人客户服务电话投诉直销机构的人员和服务。</w:t>
      </w:r>
    </w:p>
    <w:p w14:paraId="14A6DA25" w14:textId="77777777" w:rsidR="00791BDD" w:rsidRDefault="00B75151">
      <w:pPr>
        <w:widowControl/>
        <w:adjustRightInd w:val="0"/>
        <w:snapToGrid w:val="0"/>
        <w:spacing w:line="360" w:lineRule="auto"/>
        <w:ind w:firstLineChars="200" w:firstLine="482"/>
        <w:rPr>
          <w:rFonts w:hAnsi="宋体"/>
          <w:b/>
          <w:kern w:val="0"/>
          <w:sz w:val="24"/>
        </w:rPr>
      </w:pPr>
      <w:r>
        <w:rPr>
          <w:rFonts w:hAnsi="宋体"/>
          <w:b/>
          <w:kern w:val="0"/>
          <w:sz w:val="24"/>
        </w:rPr>
        <w:t>（四）基金红利再投资</w:t>
      </w:r>
    </w:p>
    <w:p w14:paraId="600B8B2E" w14:textId="77777777" w:rsidR="00791BDD" w:rsidRDefault="00B75151">
      <w:pPr>
        <w:widowControl/>
        <w:adjustRightInd w:val="0"/>
        <w:snapToGrid w:val="0"/>
        <w:spacing w:line="360" w:lineRule="auto"/>
        <w:ind w:firstLineChars="200" w:firstLine="480"/>
        <w:rPr>
          <w:kern w:val="0"/>
          <w:sz w:val="24"/>
        </w:rPr>
      </w:pPr>
      <w:r>
        <w:rPr>
          <w:kern w:val="0"/>
          <w:sz w:val="24"/>
        </w:rPr>
        <w:t>本基金收益分配时，</w:t>
      </w:r>
      <w:r>
        <w:rPr>
          <w:rFonts w:hint="eastAsia"/>
          <w:kern w:val="0"/>
          <w:sz w:val="24"/>
        </w:rPr>
        <w:t>基金份额持有人持有的基金份额可选择现金红利或选择红利再投将现金红利自动转为基金份额进行再投资，若投资人不选择，本基金默认的收益分配方式是现金分红。再投资红利按红利再投日（即除息日）除息后的基金份额净值自动转为基金份额，并免收申购费用。</w:t>
      </w:r>
    </w:p>
    <w:p w14:paraId="35E73BB7" w14:textId="77777777" w:rsidR="00791BDD" w:rsidRDefault="00B75151">
      <w:pPr>
        <w:widowControl/>
        <w:adjustRightInd w:val="0"/>
        <w:snapToGrid w:val="0"/>
        <w:spacing w:line="360" w:lineRule="auto"/>
        <w:ind w:firstLineChars="200" w:firstLine="482"/>
        <w:rPr>
          <w:rFonts w:hAnsi="宋体"/>
          <w:b/>
          <w:kern w:val="0"/>
          <w:sz w:val="24"/>
        </w:rPr>
      </w:pPr>
      <w:r>
        <w:rPr>
          <w:rFonts w:hAnsi="宋体"/>
          <w:b/>
          <w:kern w:val="0"/>
          <w:sz w:val="24"/>
        </w:rPr>
        <w:t>（五）定期定额投资计划</w:t>
      </w:r>
    </w:p>
    <w:p w14:paraId="02EAAF1B" w14:textId="77777777" w:rsidR="00791BDD" w:rsidRDefault="00B75151">
      <w:pPr>
        <w:widowControl/>
        <w:adjustRightInd w:val="0"/>
        <w:snapToGrid w:val="0"/>
        <w:spacing w:line="360" w:lineRule="auto"/>
        <w:ind w:firstLineChars="200" w:firstLine="480"/>
        <w:rPr>
          <w:kern w:val="0"/>
          <w:sz w:val="24"/>
        </w:rPr>
      </w:pPr>
      <w:r>
        <w:rPr>
          <w:kern w:val="0"/>
          <w:sz w:val="24"/>
        </w:rPr>
        <w:t>待技术条件成熟时，基金</w:t>
      </w:r>
      <w:bookmarkStart w:id="121" w:name="OLE_LINK11"/>
      <w:r>
        <w:rPr>
          <w:kern w:val="0"/>
          <w:sz w:val="24"/>
        </w:rPr>
        <w:t>管理人可通过销售机构为投资人提供定期定额投资的服务。通过定期定额</w:t>
      </w:r>
      <w:bookmarkEnd w:id="121"/>
      <w:r>
        <w:rPr>
          <w:kern w:val="0"/>
          <w:sz w:val="24"/>
        </w:rPr>
        <w:t>投资计划，投资人可以定期定额申购基金份额，具体实施方法另行公告。</w:t>
      </w:r>
    </w:p>
    <w:p w14:paraId="004C4733" w14:textId="77777777" w:rsidR="00791BDD" w:rsidRDefault="00B75151">
      <w:pPr>
        <w:widowControl/>
        <w:adjustRightInd w:val="0"/>
        <w:snapToGrid w:val="0"/>
        <w:spacing w:line="360" w:lineRule="auto"/>
        <w:ind w:firstLineChars="200" w:firstLine="480"/>
        <w:rPr>
          <w:kern w:val="0"/>
          <w:sz w:val="24"/>
        </w:rPr>
      </w:pPr>
      <w:r>
        <w:rPr>
          <w:rFonts w:hAnsi="宋体"/>
          <w:kern w:val="0"/>
          <w:sz w:val="24"/>
        </w:rPr>
        <w:t>服务联系方式：</w:t>
      </w:r>
    </w:p>
    <w:p w14:paraId="09541F56" w14:textId="77777777" w:rsidR="00791BDD" w:rsidRDefault="00B75151">
      <w:pPr>
        <w:widowControl/>
        <w:adjustRightInd w:val="0"/>
        <w:snapToGrid w:val="0"/>
        <w:spacing w:line="360" w:lineRule="auto"/>
        <w:ind w:firstLineChars="200" w:firstLine="480"/>
        <w:rPr>
          <w:kern w:val="0"/>
          <w:sz w:val="24"/>
        </w:rPr>
      </w:pPr>
      <w:r>
        <w:rPr>
          <w:rFonts w:hAnsi="宋体"/>
          <w:kern w:val="0"/>
          <w:sz w:val="24"/>
        </w:rPr>
        <w:t>本基金管理人的互联网地址及电子信箱</w:t>
      </w:r>
    </w:p>
    <w:p w14:paraId="7B42EC5E" w14:textId="77777777" w:rsidR="00791BDD" w:rsidRDefault="00B75151">
      <w:pPr>
        <w:widowControl/>
        <w:adjustRightInd w:val="0"/>
        <w:snapToGrid w:val="0"/>
        <w:spacing w:line="360" w:lineRule="auto"/>
        <w:ind w:firstLineChars="200" w:firstLine="480"/>
        <w:rPr>
          <w:kern w:val="0"/>
          <w:sz w:val="24"/>
        </w:rPr>
      </w:pPr>
      <w:r>
        <w:rPr>
          <w:rFonts w:hAnsi="宋体"/>
          <w:kern w:val="0"/>
          <w:sz w:val="24"/>
        </w:rPr>
        <w:t>网址：</w:t>
      </w:r>
      <w:hyperlink r:id="rId8" w:history="1">
        <w:r>
          <w:rPr>
            <w:sz w:val="24"/>
          </w:rPr>
          <w:t>www.fund001.com</w:t>
        </w:r>
      </w:hyperlink>
    </w:p>
    <w:p w14:paraId="5172C2B3" w14:textId="77777777" w:rsidR="00791BDD" w:rsidRDefault="00B75151">
      <w:pPr>
        <w:widowControl/>
        <w:adjustRightInd w:val="0"/>
        <w:snapToGrid w:val="0"/>
        <w:spacing w:line="360" w:lineRule="auto"/>
        <w:ind w:firstLineChars="200" w:firstLine="480"/>
        <w:rPr>
          <w:rFonts w:ascii="宋体" w:hAnsi="宋体"/>
          <w:kern w:val="0"/>
          <w:sz w:val="24"/>
        </w:rPr>
      </w:pPr>
      <w:r>
        <w:rPr>
          <w:rFonts w:ascii="宋体" w:hAnsi="宋体"/>
          <w:kern w:val="0"/>
          <w:sz w:val="24"/>
        </w:rPr>
        <w:t>电子信箱：</w:t>
      </w:r>
      <w:r>
        <w:rPr>
          <w:sz w:val="24"/>
        </w:rPr>
        <w:t>services@jysld.com</w:t>
      </w:r>
    </w:p>
    <w:p w14:paraId="3AA42F69" w14:textId="77777777" w:rsidR="00791BDD" w:rsidRDefault="00B75151">
      <w:pPr>
        <w:widowControl/>
        <w:adjustRightInd w:val="0"/>
        <w:snapToGrid w:val="0"/>
        <w:spacing w:line="360" w:lineRule="auto"/>
        <w:ind w:firstLineChars="200" w:firstLine="480"/>
        <w:rPr>
          <w:rFonts w:ascii="宋体" w:hAnsi="宋体"/>
          <w:kern w:val="0"/>
          <w:sz w:val="24"/>
        </w:rPr>
      </w:pPr>
      <w:r>
        <w:rPr>
          <w:rFonts w:ascii="宋体" w:hAnsi="宋体"/>
          <w:kern w:val="0"/>
          <w:sz w:val="24"/>
        </w:rPr>
        <w:t>投资者也可登录本基金管理人网站，直接提出有关本基金的问题和建议。</w:t>
      </w:r>
    </w:p>
    <w:p w14:paraId="47BB9594" w14:textId="77777777" w:rsidR="00791BDD" w:rsidRDefault="00B75151">
      <w:pPr>
        <w:widowControl/>
        <w:adjustRightInd w:val="0"/>
        <w:snapToGrid w:val="0"/>
        <w:spacing w:line="360" w:lineRule="auto"/>
        <w:ind w:firstLineChars="200" w:firstLine="482"/>
        <w:rPr>
          <w:rFonts w:ascii="宋体" w:hAnsi="宋体"/>
          <w:b/>
          <w:kern w:val="0"/>
          <w:sz w:val="24"/>
        </w:rPr>
      </w:pPr>
      <w:r>
        <w:rPr>
          <w:rFonts w:hAnsi="宋体" w:hint="eastAsia"/>
          <w:b/>
          <w:kern w:val="0"/>
          <w:sz w:val="24"/>
        </w:rPr>
        <w:t>（六）如本招募说明书存在任何您</w:t>
      </w:r>
      <w:r>
        <w:rPr>
          <w:rFonts w:hAnsi="宋体"/>
          <w:b/>
          <w:kern w:val="0"/>
          <w:sz w:val="24"/>
        </w:rPr>
        <w:t>/</w:t>
      </w:r>
      <w:r>
        <w:rPr>
          <w:rFonts w:hAnsi="宋体" w:hint="eastAsia"/>
          <w:b/>
          <w:kern w:val="0"/>
          <w:sz w:val="24"/>
        </w:rPr>
        <w:t>贵机构无法理解的内容，请通过上述方式联系基金管理人。请确保投资前，您</w:t>
      </w:r>
      <w:r>
        <w:rPr>
          <w:rFonts w:hAnsi="宋体"/>
          <w:b/>
          <w:kern w:val="0"/>
          <w:sz w:val="24"/>
        </w:rPr>
        <w:t>/</w:t>
      </w:r>
      <w:r>
        <w:rPr>
          <w:rFonts w:hAnsi="宋体" w:hint="eastAsia"/>
          <w:b/>
          <w:kern w:val="0"/>
          <w:sz w:val="24"/>
        </w:rPr>
        <w:t>贵机构已经全面理解了本招募说明书。</w:t>
      </w:r>
    </w:p>
    <w:p w14:paraId="02661EB8" w14:textId="77777777" w:rsidR="00791BDD" w:rsidRDefault="00B75151">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bookmarkStart w:id="122" w:name="_Toc48122023"/>
      <w:r>
        <w:rPr>
          <w:rFonts w:ascii="宋体" w:hAnsi="宋体" w:hint="eastAsia"/>
          <w:b/>
          <w:kern w:val="0"/>
          <w:sz w:val="30"/>
        </w:rPr>
        <w:t>二十二、其他应披露事项</w:t>
      </w:r>
      <w:bookmarkEnd w:id="122"/>
    </w:p>
    <w:p w14:paraId="22B5250E" w14:textId="77777777" w:rsidR="00791BDD" w:rsidRDefault="00B75151">
      <w:pPr>
        <w:widowControl/>
        <w:adjustRightInd w:val="0"/>
        <w:snapToGrid w:val="0"/>
        <w:spacing w:line="360" w:lineRule="auto"/>
        <w:ind w:firstLineChars="200" w:firstLine="480"/>
        <w:rPr>
          <w:rFonts w:ascii="宋体" w:hAnsi="宋体"/>
          <w:kern w:val="0"/>
          <w:sz w:val="24"/>
        </w:rPr>
      </w:pPr>
      <w:r>
        <w:rPr>
          <w:rFonts w:ascii="宋体" w:hAnsi="宋体"/>
          <w:kern w:val="0"/>
          <w:sz w:val="24"/>
        </w:rPr>
        <w:t>基金合同如有未尽事宜，由基金合同当事人各方按有关法律法规协商解决。</w:t>
      </w:r>
    </w:p>
    <w:p w14:paraId="1A5B4403" w14:textId="77777777" w:rsidR="00791BDD" w:rsidRDefault="00B75151">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bookmarkStart w:id="123" w:name="_Toc48122024"/>
      <w:r>
        <w:rPr>
          <w:rFonts w:ascii="宋体" w:hAnsi="宋体" w:hint="eastAsia"/>
          <w:b/>
          <w:kern w:val="0"/>
          <w:sz w:val="30"/>
        </w:rPr>
        <w:t>二十三、招募说明书的存放及查阅方式</w:t>
      </w:r>
      <w:bookmarkEnd w:id="123"/>
    </w:p>
    <w:p w14:paraId="3A4CDADE" w14:textId="77777777" w:rsidR="00791BDD" w:rsidRDefault="00B75151">
      <w:pPr>
        <w:widowControl/>
        <w:adjustRightInd w:val="0"/>
        <w:snapToGrid w:val="0"/>
        <w:spacing w:line="360" w:lineRule="auto"/>
        <w:ind w:firstLineChars="200" w:firstLine="480"/>
        <w:rPr>
          <w:rFonts w:ascii="宋体" w:hAnsi="宋体"/>
          <w:kern w:val="0"/>
          <w:sz w:val="24"/>
        </w:rPr>
      </w:pPr>
      <w:r>
        <w:rPr>
          <w:rFonts w:ascii="宋体" w:hAnsi="宋体"/>
          <w:kern w:val="0"/>
          <w:sz w:val="24"/>
        </w:rPr>
        <w:t>招募说明书存放在基金管理人、基金托管人</w:t>
      </w:r>
      <w:r>
        <w:rPr>
          <w:rFonts w:ascii="宋体" w:hAnsi="宋体"/>
          <w:bCs/>
          <w:kern w:val="0"/>
          <w:sz w:val="24"/>
        </w:rPr>
        <w:t>和基金销售机构</w:t>
      </w:r>
      <w:r>
        <w:rPr>
          <w:rFonts w:ascii="宋体" w:hAnsi="宋体"/>
          <w:kern w:val="0"/>
          <w:sz w:val="24"/>
        </w:rPr>
        <w:t>的</w:t>
      </w:r>
      <w:r>
        <w:rPr>
          <w:rFonts w:ascii="宋体" w:hAnsi="宋体" w:hint="eastAsia"/>
          <w:kern w:val="0"/>
          <w:sz w:val="24"/>
        </w:rPr>
        <w:t>办公</w:t>
      </w:r>
      <w:r>
        <w:rPr>
          <w:rFonts w:ascii="宋体" w:hAnsi="宋体"/>
          <w:kern w:val="0"/>
          <w:sz w:val="24"/>
        </w:rPr>
        <w:t>场所，投资人可在办公时间查阅；投资人在支付工本费后，可在合理时</w:t>
      </w:r>
      <w:bookmarkStart w:id="124" w:name="_Toc109537401"/>
      <w:r>
        <w:rPr>
          <w:rFonts w:ascii="宋体" w:hAnsi="宋体"/>
          <w:kern w:val="0"/>
          <w:sz w:val="24"/>
        </w:rPr>
        <w:t>间内取得上述文件复制件</w:t>
      </w:r>
      <w:bookmarkEnd w:id="124"/>
      <w:r>
        <w:rPr>
          <w:rFonts w:ascii="宋体" w:hAnsi="宋体"/>
          <w:kern w:val="0"/>
          <w:sz w:val="24"/>
        </w:rPr>
        <w:t>或复印件。对投资人按此种方式所获得的文件及其复印件，基金管理人和基金托管人</w:t>
      </w:r>
      <w:bookmarkStart w:id="125" w:name="_Toc109537402"/>
      <w:r>
        <w:rPr>
          <w:rFonts w:ascii="宋体" w:hAnsi="宋体"/>
          <w:kern w:val="0"/>
          <w:sz w:val="24"/>
        </w:rPr>
        <w:t>保证文本的内容与所公告的内容完全一</w:t>
      </w:r>
      <w:bookmarkEnd w:id="125"/>
      <w:r>
        <w:rPr>
          <w:rFonts w:ascii="宋体" w:hAnsi="宋体"/>
          <w:kern w:val="0"/>
          <w:sz w:val="24"/>
        </w:rPr>
        <w:t>致。</w:t>
      </w:r>
    </w:p>
    <w:p w14:paraId="31753DD5" w14:textId="77777777" w:rsidR="00791BDD" w:rsidRDefault="00B75151">
      <w:pPr>
        <w:widowControl/>
        <w:adjustRightInd w:val="0"/>
        <w:snapToGrid w:val="0"/>
        <w:spacing w:line="360" w:lineRule="auto"/>
        <w:ind w:firstLineChars="200" w:firstLine="480"/>
        <w:rPr>
          <w:rFonts w:ascii="宋体" w:hAnsi="宋体"/>
          <w:kern w:val="0"/>
          <w:sz w:val="24"/>
        </w:rPr>
      </w:pPr>
      <w:r>
        <w:rPr>
          <w:rFonts w:ascii="宋体" w:hAnsi="宋体"/>
          <w:kern w:val="0"/>
          <w:sz w:val="24"/>
        </w:rPr>
        <w:t>投资人还可以直接登录基金管理人的网站（</w:t>
      </w:r>
      <w:hyperlink r:id="rId9" w:history="1">
        <w:r>
          <w:rPr>
            <w:rStyle w:val="af7"/>
            <w:color w:val="auto"/>
            <w:sz w:val="24"/>
            <w:u w:val="none"/>
          </w:rPr>
          <w:t>www.fund001.com</w:t>
        </w:r>
      </w:hyperlink>
      <w:r>
        <w:rPr>
          <w:rStyle w:val="af7"/>
          <w:color w:val="auto"/>
          <w:u w:val="none"/>
        </w:rPr>
        <w:t>）</w:t>
      </w:r>
      <w:r>
        <w:rPr>
          <w:rFonts w:ascii="宋体" w:hAnsi="宋体"/>
          <w:kern w:val="0"/>
          <w:sz w:val="24"/>
        </w:rPr>
        <w:t>查阅和下载招募说明书。</w:t>
      </w:r>
    </w:p>
    <w:p w14:paraId="79D1DD48" w14:textId="77777777" w:rsidR="00791BDD" w:rsidRDefault="00B75151">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bookmarkStart w:id="126" w:name="_Toc48122025"/>
      <w:r>
        <w:rPr>
          <w:rFonts w:ascii="宋体" w:hAnsi="宋体" w:hint="eastAsia"/>
          <w:b/>
          <w:kern w:val="0"/>
          <w:sz w:val="30"/>
        </w:rPr>
        <w:t>二十四、备查文件</w:t>
      </w:r>
      <w:bookmarkEnd w:id="126"/>
    </w:p>
    <w:p w14:paraId="0323093F" w14:textId="77777777" w:rsidR="00791BDD" w:rsidRDefault="00B75151">
      <w:pPr>
        <w:widowControl/>
        <w:adjustRightInd w:val="0"/>
        <w:snapToGrid w:val="0"/>
        <w:spacing w:line="360" w:lineRule="auto"/>
        <w:ind w:firstLineChars="200" w:firstLine="480"/>
        <w:rPr>
          <w:rFonts w:ascii="宋体" w:hAnsi="宋体"/>
          <w:kern w:val="0"/>
          <w:sz w:val="24"/>
        </w:rPr>
      </w:pPr>
      <w:r>
        <w:rPr>
          <w:rFonts w:ascii="宋体" w:hAnsi="宋体" w:hint="eastAsia"/>
          <w:kern w:val="0"/>
          <w:sz w:val="24"/>
        </w:rPr>
        <w:t>以下备查文件存放在基金管理人的办公场所，在办公时间可供免费查阅。</w:t>
      </w:r>
    </w:p>
    <w:p w14:paraId="7226738D" w14:textId="77777777" w:rsidR="00791BDD" w:rsidRDefault="00B75151">
      <w:pPr>
        <w:widowControl/>
        <w:adjustRightInd w:val="0"/>
        <w:snapToGrid w:val="0"/>
        <w:spacing w:line="360" w:lineRule="auto"/>
        <w:ind w:firstLineChars="200" w:firstLine="480"/>
        <w:rPr>
          <w:rFonts w:ascii="宋体" w:hAnsi="宋体"/>
          <w:kern w:val="0"/>
          <w:sz w:val="24"/>
        </w:rPr>
      </w:pPr>
      <w:r>
        <w:rPr>
          <w:rFonts w:ascii="宋体" w:hAnsi="宋体"/>
          <w:kern w:val="0"/>
          <w:sz w:val="24"/>
        </w:rPr>
        <w:t>（一）中国证监会</w:t>
      </w:r>
      <w:r>
        <w:rPr>
          <w:rFonts w:ascii="宋体" w:hAnsi="宋体" w:hint="eastAsia"/>
          <w:kern w:val="0"/>
          <w:sz w:val="24"/>
          <w:szCs w:val="24"/>
        </w:rPr>
        <w:t>准予</w:t>
      </w:r>
      <w:r>
        <w:rPr>
          <w:rFonts w:ascii="宋体" w:hAnsi="宋体"/>
          <w:kern w:val="0"/>
          <w:sz w:val="24"/>
        </w:rPr>
        <w:t>交银施罗德智远量化选股股票型发起式证券投资基金募集</w:t>
      </w:r>
      <w:r>
        <w:rPr>
          <w:rFonts w:ascii="宋体" w:hAnsi="宋体" w:hint="eastAsia"/>
          <w:kern w:val="0"/>
          <w:sz w:val="24"/>
          <w:szCs w:val="24"/>
        </w:rPr>
        <w:t>注册</w:t>
      </w:r>
      <w:r>
        <w:rPr>
          <w:rFonts w:ascii="宋体" w:hAnsi="宋体"/>
          <w:kern w:val="0"/>
          <w:sz w:val="24"/>
        </w:rPr>
        <w:t>的文件</w:t>
      </w:r>
    </w:p>
    <w:p w14:paraId="482BD4DF" w14:textId="77777777" w:rsidR="00791BDD" w:rsidRDefault="00B75151">
      <w:pPr>
        <w:widowControl/>
        <w:adjustRightInd w:val="0"/>
        <w:snapToGrid w:val="0"/>
        <w:spacing w:line="360" w:lineRule="auto"/>
        <w:ind w:firstLineChars="200" w:firstLine="480"/>
        <w:rPr>
          <w:rFonts w:ascii="宋体" w:hAnsi="宋体"/>
          <w:kern w:val="0"/>
          <w:sz w:val="24"/>
        </w:rPr>
      </w:pPr>
      <w:r>
        <w:rPr>
          <w:rFonts w:ascii="宋体" w:hAnsi="宋体"/>
          <w:kern w:val="0"/>
          <w:sz w:val="24"/>
        </w:rPr>
        <w:t>（二）《交银施罗德智远量化选股股票型发起式证券投资基金基金合同》</w:t>
      </w:r>
    </w:p>
    <w:p w14:paraId="5492481A" w14:textId="77777777" w:rsidR="00791BDD" w:rsidRDefault="00B75151">
      <w:pPr>
        <w:widowControl/>
        <w:adjustRightInd w:val="0"/>
        <w:snapToGrid w:val="0"/>
        <w:spacing w:line="360" w:lineRule="auto"/>
        <w:ind w:firstLineChars="200" w:firstLine="480"/>
        <w:rPr>
          <w:rFonts w:ascii="宋体" w:hAnsi="宋体"/>
          <w:kern w:val="0"/>
          <w:sz w:val="24"/>
        </w:rPr>
      </w:pPr>
      <w:r>
        <w:rPr>
          <w:rFonts w:ascii="宋体" w:hAnsi="宋体" w:hint="eastAsia"/>
          <w:kern w:val="0"/>
          <w:sz w:val="24"/>
        </w:rPr>
        <w:t>（</w:t>
      </w:r>
      <w:r>
        <w:rPr>
          <w:rFonts w:ascii="宋体" w:hAnsi="宋体"/>
          <w:kern w:val="0"/>
          <w:sz w:val="24"/>
        </w:rPr>
        <w:t>三</w:t>
      </w:r>
      <w:r>
        <w:rPr>
          <w:rFonts w:ascii="宋体" w:hAnsi="宋体" w:hint="eastAsia"/>
          <w:kern w:val="0"/>
          <w:sz w:val="24"/>
        </w:rPr>
        <w:t>）</w:t>
      </w:r>
      <w:r>
        <w:rPr>
          <w:rFonts w:ascii="宋体" w:hAnsi="宋体"/>
          <w:kern w:val="0"/>
          <w:sz w:val="24"/>
        </w:rPr>
        <w:t>《交银施罗德智远量化选股股票型发起式证券投资基金托管协议》</w:t>
      </w:r>
    </w:p>
    <w:p w14:paraId="0AE4E62A" w14:textId="77777777" w:rsidR="00791BDD" w:rsidRDefault="00B75151">
      <w:pPr>
        <w:widowControl/>
        <w:adjustRightInd w:val="0"/>
        <w:snapToGrid w:val="0"/>
        <w:spacing w:line="360" w:lineRule="auto"/>
        <w:ind w:firstLineChars="200" w:firstLine="480"/>
        <w:rPr>
          <w:rFonts w:ascii="宋体" w:hAnsi="宋体"/>
          <w:kern w:val="0"/>
          <w:sz w:val="24"/>
        </w:rPr>
      </w:pPr>
      <w:r>
        <w:rPr>
          <w:rFonts w:ascii="宋体" w:hAnsi="宋体" w:hint="eastAsia"/>
          <w:kern w:val="0"/>
          <w:sz w:val="24"/>
        </w:rPr>
        <w:t>（四）</w:t>
      </w:r>
      <w:r>
        <w:rPr>
          <w:rFonts w:ascii="宋体" w:hAnsi="宋体"/>
          <w:kern w:val="0"/>
          <w:sz w:val="24"/>
        </w:rPr>
        <w:t>基金管理人业务资格批件、营业执照</w:t>
      </w:r>
    </w:p>
    <w:p w14:paraId="0A5E8F23" w14:textId="77777777" w:rsidR="00791BDD" w:rsidRDefault="00B75151">
      <w:pPr>
        <w:widowControl/>
        <w:adjustRightInd w:val="0"/>
        <w:snapToGrid w:val="0"/>
        <w:spacing w:line="360" w:lineRule="auto"/>
        <w:ind w:firstLineChars="200" w:firstLine="480"/>
        <w:rPr>
          <w:rFonts w:ascii="宋体" w:hAnsi="宋体"/>
          <w:kern w:val="0"/>
          <w:sz w:val="24"/>
        </w:rPr>
      </w:pPr>
      <w:r>
        <w:rPr>
          <w:rFonts w:ascii="宋体" w:hAnsi="宋体"/>
          <w:kern w:val="0"/>
          <w:sz w:val="24"/>
        </w:rPr>
        <w:t>（</w:t>
      </w:r>
      <w:r>
        <w:rPr>
          <w:rFonts w:ascii="宋体" w:hAnsi="宋体" w:hint="eastAsia"/>
          <w:kern w:val="0"/>
          <w:sz w:val="24"/>
        </w:rPr>
        <w:t>五</w:t>
      </w:r>
      <w:r>
        <w:rPr>
          <w:rFonts w:ascii="宋体" w:hAnsi="宋体"/>
          <w:kern w:val="0"/>
          <w:sz w:val="24"/>
        </w:rPr>
        <w:t>）基金托管人业务资格批件、营业执照</w:t>
      </w:r>
    </w:p>
    <w:p w14:paraId="68A5D5D4" w14:textId="77777777" w:rsidR="00791BDD" w:rsidRDefault="00B75151">
      <w:pPr>
        <w:widowControl/>
        <w:adjustRightInd w:val="0"/>
        <w:snapToGrid w:val="0"/>
        <w:spacing w:line="360" w:lineRule="auto"/>
        <w:ind w:firstLineChars="200" w:firstLine="480"/>
      </w:pPr>
      <w:r>
        <w:rPr>
          <w:rFonts w:ascii="宋体" w:hAnsi="宋体"/>
          <w:kern w:val="0"/>
          <w:sz w:val="24"/>
        </w:rPr>
        <w:t>（</w:t>
      </w:r>
      <w:r>
        <w:rPr>
          <w:rFonts w:ascii="宋体" w:hAnsi="宋体" w:hint="eastAsia"/>
          <w:kern w:val="0"/>
          <w:sz w:val="24"/>
        </w:rPr>
        <w:t>六</w:t>
      </w:r>
      <w:r>
        <w:rPr>
          <w:rFonts w:ascii="宋体" w:hAnsi="宋体"/>
          <w:kern w:val="0"/>
          <w:sz w:val="24"/>
        </w:rPr>
        <w:t>）关于</w:t>
      </w:r>
      <w:r>
        <w:rPr>
          <w:rFonts w:ascii="宋体" w:hAnsi="宋体" w:hint="eastAsia"/>
          <w:kern w:val="0"/>
          <w:sz w:val="24"/>
        </w:rPr>
        <w:t>申请</w:t>
      </w:r>
      <w:r>
        <w:rPr>
          <w:rFonts w:ascii="宋体" w:hAnsi="宋体"/>
          <w:kern w:val="0"/>
          <w:sz w:val="24"/>
        </w:rPr>
        <w:t>募集</w:t>
      </w:r>
      <w:r>
        <w:rPr>
          <w:rFonts w:ascii="宋体" w:hAnsi="宋体" w:hint="eastAsia"/>
          <w:kern w:val="0"/>
          <w:sz w:val="24"/>
          <w:szCs w:val="24"/>
        </w:rPr>
        <w:t>注册</w:t>
      </w:r>
      <w:r>
        <w:rPr>
          <w:rFonts w:ascii="宋体" w:hAnsi="宋体"/>
          <w:kern w:val="0"/>
          <w:sz w:val="24"/>
        </w:rPr>
        <w:t>交银施罗德智远量化选股股票型发起式证券投资基金</w:t>
      </w:r>
      <w:r>
        <w:rPr>
          <w:rFonts w:ascii="宋体" w:hAnsi="宋体" w:hint="eastAsia"/>
          <w:kern w:val="0"/>
          <w:sz w:val="24"/>
        </w:rPr>
        <w:t>的</w:t>
      </w:r>
      <w:r>
        <w:rPr>
          <w:rFonts w:ascii="宋体" w:hAnsi="宋体"/>
          <w:kern w:val="0"/>
          <w:sz w:val="24"/>
        </w:rPr>
        <w:t>法律意见书</w:t>
      </w:r>
    </w:p>
    <w:sectPr w:rsidR="00791BDD">
      <w:headerReference w:type="default" r:id="rId10"/>
      <w:footerReference w:type="default" r:id="rId11"/>
      <w:pgSz w:w="12240" w:h="15840"/>
      <w:pgMar w:top="1440" w:right="1800" w:bottom="1440" w:left="1800" w:header="720" w:footer="720" w:gutter="0"/>
      <w:cols w:space="720"/>
      <w:titlePg/>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C923E" w14:textId="77777777" w:rsidR="002B4315" w:rsidRDefault="002B4315">
      <w:r>
        <w:separator/>
      </w:r>
    </w:p>
  </w:endnote>
  <w:endnote w:type="continuationSeparator" w:id="0">
    <w:p w14:paraId="2A6F382E" w14:textId="77777777" w:rsidR="002B4315" w:rsidRDefault="002B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default"/>
    <w:sig w:usb0="00000000" w:usb1="00000000" w:usb2="00000000" w:usb3="00000000" w:csb0="003E0000" w:csb1="00000000"/>
  </w:font>
  <w:font w:name="五">
    <w:altName w:val="等线"/>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02395" w14:textId="65361695" w:rsidR="00791BDD" w:rsidRDefault="00B75151">
    <w:pPr>
      <w:pStyle w:val="af"/>
      <w:jc w:val="center"/>
    </w:pPr>
    <w:r>
      <w:fldChar w:fldCharType="begin"/>
    </w:r>
    <w:r>
      <w:instrText xml:space="preserve"> PAGE   \* MERGEFORMAT </w:instrText>
    </w:r>
    <w:r>
      <w:fldChar w:fldCharType="separate"/>
    </w:r>
    <w:r w:rsidR="00F6409E">
      <w:rPr>
        <w:noProof/>
      </w:rPr>
      <w:t>48</w:t>
    </w:r>
    <w:r>
      <w:fldChar w:fldCharType="end"/>
    </w:r>
  </w:p>
  <w:p w14:paraId="4451CBCB" w14:textId="77777777" w:rsidR="00791BDD" w:rsidRDefault="00791BD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456F0" w14:textId="77777777" w:rsidR="002B4315" w:rsidRDefault="002B4315">
      <w:r>
        <w:separator/>
      </w:r>
    </w:p>
  </w:footnote>
  <w:footnote w:type="continuationSeparator" w:id="0">
    <w:p w14:paraId="75D3193B" w14:textId="77777777" w:rsidR="002B4315" w:rsidRDefault="002B4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812F3" w14:textId="77777777" w:rsidR="00791BDD" w:rsidRDefault="00B75151">
    <w:pPr>
      <w:pStyle w:val="af1"/>
      <w:jc w:val="right"/>
    </w:pPr>
    <w:r>
      <w:rPr>
        <w:rFonts w:hint="eastAsia"/>
      </w:rPr>
      <w:t>交银施罗德智远量化选股股票型发起式证券投资基金招募说明书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NeedToUniquify" w:val="false"/>
    <w:docVar w:name="APWAFVersion" w:val="5.0"/>
  </w:docVars>
  <w:rsids>
    <w:rsidRoot w:val="00172A27"/>
    <w:rsid w:val="00000E8F"/>
    <w:rsid w:val="00000F69"/>
    <w:rsid w:val="00001D25"/>
    <w:rsid w:val="00002218"/>
    <w:rsid w:val="000023B4"/>
    <w:rsid w:val="00002D5D"/>
    <w:rsid w:val="000036ED"/>
    <w:rsid w:val="000039F8"/>
    <w:rsid w:val="00004BC7"/>
    <w:rsid w:val="00004F21"/>
    <w:rsid w:val="00005A37"/>
    <w:rsid w:val="00006546"/>
    <w:rsid w:val="00007374"/>
    <w:rsid w:val="000073BB"/>
    <w:rsid w:val="000077E2"/>
    <w:rsid w:val="00007B19"/>
    <w:rsid w:val="00010E2D"/>
    <w:rsid w:val="00012036"/>
    <w:rsid w:val="0001215B"/>
    <w:rsid w:val="000129AD"/>
    <w:rsid w:val="00013380"/>
    <w:rsid w:val="00013CF1"/>
    <w:rsid w:val="000140E2"/>
    <w:rsid w:val="00014138"/>
    <w:rsid w:val="000141E9"/>
    <w:rsid w:val="000142D4"/>
    <w:rsid w:val="000142FC"/>
    <w:rsid w:val="00014A8B"/>
    <w:rsid w:val="00015379"/>
    <w:rsid w:val="00015550"/>
    <w:rsid w:val="00015DB8"/>
    <w:rsid w:val="00016BA8"/>
    <w:rsid w:val="000170DF"/>
    <w:rsid w:val="000207B0"/>
    <w:rsid w:val="00020C01"/>
    <w:rsid w:val="00021207"/>
    <w:rsid w:val="00021295"/>
    <w:rsid w:val="0002132B"/>
    <w:rsid w:val="00021950"/>
    <w:rsid w:val="00022409"/>
    <w:rsid w:val="00023E32"/>
    <w:rsid w:val="00023E75"/>
    <w:rsid w:val="000248AB"/>
    <w:rsid w:val="00024B0D"/>
    <w:rsid w:val="0002530E"/>
    <w:rsid w:val="00025854"/>
    <w:rsid w:val="00025D7E"/>
    <w:rsid w:val="00026566"/>
    <w:rsid w:val="00026FD2"/>
    <w:rsid w:val="00027709"/>
    <w:rsid w:val="0003244B"/>
    <w:rsid w:val="00032B65"/>
    <w:rsid w:val="00032ED5"/>
    <w:rsid w:val="00033305"/>
    <w:rsid w:val="00033D71"/>
    <w:rsid w:val="00034E9C"/>
    <w:rsid w:val="00034F61"/>
    <w:rsid w:val="0003520D"/>
    <w:rsid w:val="000353CE"/>
    <w:rsid w:val="00035769"/>
    <w:rsid w:val="000359D6"/>
    <w:rsid w:val="0003639E"/>
    <w:rsid w:val="00037275"/>
    <w:rsid w:val="000376EB"/>
    <w:rsid w:val="000404B6"/>
    <w:rsid w:val="0004125B"/>
    <w:rsid w:val="00041E92"/>
    <w:rsid w:val="00042121"/>
    <w:rsid w:val="000437B3"/>
    <w:rsid w:val="00043A36"/>
    <w:rsid w:val="00044478"/>
    <w:rsid w:val="000447E8"/>
    <w:rsid w:val="00044E71"/>
    <w:rsid w:val="0004506F"/>
    <w:rsid w:val="00045328"/>
    <w:rsid w:val="000461B1"/>
    <w:rsid w:val="000467E8"/>
    <w:rsid w:val="000469CF"/>
    <w:rsid w:val="00047E47"/>
    <w:rsid w:val="00050316"/>
    <w:rsid w:val="000507CD"/>
    <w:rsid w:val="00051857"/>
    <w:rsid w:val="00051A7C"/>
    <w:rsid w:val="00051C43"/>
    <w:rsid w:val="0005284A"/>
    <w:rsid w:val="000531A3"/>
    <w:rsid w:val="00053490"/>
    <w:rsid w:val="00054043"/>
    <w:rsid w:val="00055357"/>
    <w:rsid w:val="000563F7"/>
    <w:rsid w:val="00056533"/>
    <w:rsid w:val="0005668A"/>
    <w:rsid w:val="00057796"/>
    <w:rsid w:val="00061974"/>
    <w:rsid w:val="00061F72"/>
    <w:rsid w:val="000635F3"/>
    <w:rsid w:val="00063797"/>
    <w:rsid w:val="0006571C"/>
    <w:rsid w:val="00065B95"/>
    <w:rsid w:val="000663E4"/>
    <w:rsid w:val="0006649F"/>
    <w:rsid w:val="00066B5D"/>
    <w:rsid w:val="00066E62"/>
    <w:rsid w:val="0006727E"/>
    <w:rsid w:val="0006731B"/>
    <w:rsid w:val="00067769"/>
    <w:rsid w:val="00067AC9"/>
    <w:rsid w:val="000706E3"/>
    <w:rsid w:val="000708B0"/>
    <w:rsid w:val="00070905"/>
    <w:rsid w:val="0007099B"/>
    <w:rsid w:val="00070B46"/>
    <w:rsid w:val="00070FCE"/>
    <w:rsid w:val="000712BC"/>
    <w:rsid w:val="00071F2F"/>
    <w:rsid w:val="00072162"/>
    <w:rsid w:val="0007227C"/>
    <w:rsid w:val="00072525"/>
    <w:rsid w:val="00073820"/>
    <w:rsid w:val="00073EE0"/>
    <w:rsid w:val="0007459F"/>
    <w:rsid w:val="000746DA"/>
    <w:rsid w:val="00074E2E"/>
    <w:rsid w:val="00075DD9"/>
    <w:rsid w:val="000760FB"/>
    <w:rsid w:val="000766E4"/>
    <w:rsid w:val="00077067"/>
    <w:rsid w:val="00080148"/>
    <w:rsid w:val="0008018D"/>
    <w:rsid w:val="000808ED"/>
    <w:rsid w:val="000816D0"/>
    <w:rsid w:val="00081717"/>
    <w:rsid w:val="000825D3"/>
    <w:rsid w:val="00082AB1"/>
    <w:rsid w:val="00082BA8"/>
    <w:rsid w:val="00084506"/>
    <w:rsid w:val="000845B2"/>
    <w:rsid w:val="000846AD"/>
    <w:rsid w:val="00084CED"/>
    <w:rsid w:val="0008593A"/>
    <w:rsid w:val="000866EF"/>
    <w:rsid w:val="00086F98"/>
    <w:rsid w:val="00087169"/>
    <w:rsid w:val="00087B7B"/>
    <w:rsid w:val="0009088F"/>
    <w:rsid w:val="000910DF"/>
    <w:rsid w:val="000915E8"/>
    <w:rsid w:val="00091D59"/>
    <w:rsid w:val="00091EA8"/>
    <w:rsid w:val="000925B0"/>
    <w:rsid w:val="00092E94"/>
    <w:rsid w:val="00092EBF"/>
    <w:rsid w:val="00093020"/>
    <w:rsid w:val="00093082"/>
    <w:rsid w:val="0009347A"/>
    <w:rsid w:val="00093761"/>
    <w:rsid w:val="000940DD"/>
    <w:rsid w:val="000949D2"/>
    <w:rsid w:val="00094D28"/>
    <w:rsid w:val="00094F99"/>
    <w:rsid w:val="000951DC"/>
    <w:rsid w:val="000957B2"/>
    <w:rsid w:val="00095A8B"/>
    <w:rsid w:val="00096172"/>
    <w:rsid w:val="00096665"/>
    <w:rsid w:val="000967C1"/>
    <w:rsid w:val="0009775F"/>
    <w:rsid w:val="00097984"/>
    <w:rsid w:val="000A1656"/>
    <w:rsid w:val="000A1D6B"/>
    <w:rsid w:val="000A1DC7"/>
    <w:rsid w:val="000A21D3"/>
    <w:rsid w:val="000A277C"/>
    <w:rsid w:val="000A2FD3"/>
    <w:rsid w:val="000A3044"/>
    <w:rsid w:val="000A365C"/>
    <w:rsid w:val="000A36E6"/>
    <w:rsid w:val="000A3CA6"/>
    <w:rsid w:val="000A3FB4"/>
    <w:rsid w:val="000A5051"/>
    <w:rsid w:val="000A5E5E"/>
    <w:rsid w:val="000A7264"/>
    <w:rsid w:val="000A775B"/>
    <w:rsid w:val="000B07CA"/>
    <w:rsid w:val="000B086A"/>
    <w:rsid w:val="000B0A66"/>
    <w:rsid w:val="000B1A18"/>
    <w:rsid w:val="000B26A8"/>
    <w:rsid w:val="000B31B4"/>
    <w:rsid w:val="000B3D39"/>
    <w:rsid w:val="000B4C2D"/>
    <w:rsid w:val="000B4FB6"/>
    <w:rsid w:val="000B5B3D"/>
    <w:rsid w:val="000B6967"/>
    <w:rsid w:val="000B78FB"/>
    <w:rsid w:val="000C0148"/>
    <w:rsid w:val="000C0BE8"/>
    <w:rsid w:val="000C1A8D"/>
    <w:rsid w:val="000C2295"/>
    <w:rsid w:val="000C2DD2"/>
    <w:rsid w:val="000C33E0"/>
    <w:rsid w:val="000C4E01"/>
    <w:rsid w:val="000C650A"/>
    <w:rsid w:val="000C7711"/>
    <w:rsid w:val="000C7F7F"/>
    <w:rsid w:val="000D0205"/>
    <w:rsid w:val="000D0D52"/>
    <w:rsid w:val="000D0ED3"/>
    <w:rsid w:val="000D1375"/>
    <w:rsid w:val="000D2EDE"/>
    <w:rsid w:val="000D37C6"/>
    <w:rsid w:val="000D3A89"/>
    <w:rsid w:val="000D49D5"/>
    <w:rsid w:val="000D52A6"/>
    <w:rsid w:val="000D5329"/>
    <w:rsid w:val="000D5EB3"/>
    <w:rsid w:val="000D6B73"/>
    <w:rsid w:val="000D6FC7"/>
    <w:rsid w:val="000D76D1"/>
    <w:rsid w:val="000E03C3"/>
    <w:rsid w:val="000E1F82"/>
    <w:rsid w:val="000E32F8"/>
    <w:rsid w:val="000E3675"/>
    <w:rsid w:val="000E3794"/>
    <w:rsid w:val="000E3A6B"/>
    <w:rsid w:val="000E4049"/>
    <w:rsid w:val="000E4073"/>
    <w:rsid w:val="000E410D"/>
    <w:rsid w:val="000E456C"/>
    <w:rsid w:val="000E53EB"/>
    <w:rsid w:val="000E57A1"/>
    <w:rsid w:val="000E7980"/>
    <w:rsid w:val="000F1411"/>
    <w:rsid w:val="000F1899"/>
    <w:rsid w:val="000F2783"/>
    <w:rsid w:val="000F5072"/>
    <w:rsid w:val="000F525A"/>
    <w:rsid w:val="000F5363"/>
    <w:rsid w:val="000F603F"/>
    <w:rsid w:val="000F6855"/>
    <w:rsid w:val="000F7635"/>
    <w:rsid w:val="00100052"/>
    <w:rsid w:val="001005E7"/>
    <w:rsid w:val="0010062F"/>
    <w:rsid w:val="00100DB6"/>
    <w:rsid w:val="00100FB6"/>
    <w:rsid w:val="00101DDD"/>
    <w:rsid w:val="0010207E"/>
    <w:rsid w:val="00102F17"/>
    <w:rsid w:val="001032A4"/>
    <w:rsid w:val="0010389E"/>
    <w:rsid w:val="00103B2F"/>
    <w:rsid w:val="00104092"/>
    <w:rsid w:val="0010554E"/>
    <w:rsid w:val="00105E2F"/>
    <w:rsid w:val="00106936"/>
    <w:rsid w:val="00106E70"/>
    <w:rsid w:val="0010779D"/>
    <w:rsid w:val="00107C20"/>
    <w:rsid w:val="00107D4B"/>
    <w:rsid w:val="00107D54"/>
    <w:rsid w:val="00107EED"/>
    <w:rsid w:val="00107F16"/>
    <w:rsid w:val="001103F7"/>
    <w:rsid w:val="00110805"/>
    <w:rsid w:val="001110CF"/>
    <w:rsid w:val="00111562"/>
    <w:rsid w:val="00111801"/>
    <w:rsid w:val="00112984"/>
    <w:rsid w:val="00115252"/>
    <w:rsid w:val="0011591F"/>
    <w:rsid w:val="0011593B"/>
    <w:rsid w:val="00115C4B"/>
    <w:rsid w:val="00115DD2"/>
    <w:rsid w:val="001166C2"/>
    <w:rsid w:val="00116B1B"/>
    <w:rsid w:val="00116BB8"/>
    <w:rsid w:val="00117D50"/>
    <w:rsid w:val="00120A92"/>
    <w:rsid w:val="001211C6"/>
    <w:rsid w:val="001213A9"/>
    <w:rsid w:val="001214B9"/>
    <w:rsid w:val="00122CF1"/>
    <w:rsid w:val="00122E51"/>
    <w:rsid w:val="00122FD4"/>
    <w:rsid w:val="0012405D"/>
    <w:rsid w:val="001242AF"/>
    <w:rsid w:val="0012435E"/>
    <w:rsid w:val="00124732"/>
    <w:rsid w:val="0012504C"/>
    <w:rsid w:val="00125194"/>
    <w:rsid w:val="00125F07"/>
    <w:rsid w:val="001266C3"/>
    <w:rsid w:val="0012671A"/>
    <w:rsid w:val="00126BA9"/>
    <w:rsid w:val="001274C7"/>
    <w:rsid w:val="00131F2A"/>
    <w:rsid w:val="00132012"/>
    <w:rsid w:val="001325E6"/>
    <w:rsid w:val="00132970"/>
    <w:rsid w:val="00132F24"/>
    <w:rsid w:val="001336A1"/>
    <w:rsid w:val="00134304"/>
    <w:rsid w:val="001347F3"/>
    <w:rsid w:val="00135C44"/>
    <w:rsid w:val="00136501"/>
    <w:rsid w:val="00136C37"/>
    <w:rsid w:val="0013750E"/>
    <w:rsid w:val="00140449"/>
    <w:rsid w:val="00140C46"/>
    <w:rsid w:val="001411CF"/>
    <w:rsid w:val="001417CC"/>
    <w:rsid w:val="00141A31"/>
    <w:rsid w:val="00141A52"/>
    <w:rsid w:val="001435CB"/>
    <w:rsid w:val="001448F2"/>
    <w:rsid w:val="00145F60"/>
    <w:rsid w:val="001467EE"/>
    <w:rsid w:val="00146C8F"/>
    <w:rsid w:val="0014735A"/>
    <w:rsid w:val="001473F8"/>
    <w:rsid w:val="001479F5"/>
    <w:rsid w:val="0015001D"/>
    <w:rsid w:val="001504A3"/>
    <w:rsid w:val="0015091E"/>
    <w:rsid w:val="00150999"/>
    <w:rsid w:val="00150B74"/>
    <w:rsid w:val="00151D76"/>
    <w:rsid w:val="00151FEC"/>
    <w:rsid w:val="0015360B"/>
    <w:rsid w:val="00153CA3"/>
    <w:rsid w:val="00153D9D"/>
    <w:rsid w:val="00154076"/>
    <w:rsid w:val="00154147"/>
    <w:rsid w:val="001541E5"/>
    <w:rsid w:val="001544C5"/>
    <w:rsid w:val="00154516"/>
    <w:rsid w:val="0015477B"/>
    <w:rsid w:val="001551F2"/>
    <w:rsid w:val="00155489"/>
    <w:rsid w:val="0015580D"/>
    <w:rsid w:val="0015580E"/>
    <w:rsid w:val="00155C90"/>
    <w:rsid w:val="00155C9F"/>
    <w:rsid w:val="001560E8"/>
    <w:rsid w:val="00156CDE"/>
    <w:rsid w:val="001577C7"/>
    <w:rsid w:val="00157AAF"/>
    <w:rsid w:val="00160163"/>
    <w:rsid w:val="00160996"/>
    <w:rsid w:val="00160A24"/>
    <w:rsid w:val="00160DEF"/>
    <w:rsid w:val="001623B0"/>
    <w:rsid w:val="001629C9"/>
    <w:rsid w:val="001629DE"/>
    <w:rsid w:val="00163272"/>
    <w:rsid w:val="00163E0D"/>
    <w:rsid w:val="001648AA"/>
    <w:rsid w:val="001651A4"/>
    <w:rsid w:val="00165F32"/>
    <w:rsid w:val="0016659C"/>
    <w:rsid w:val="00166E4B"/>
    <w:rsid w:val="00167015"/>
    <w:rsid w:val="001670ED"/>
    <w:rsid w:val="0017072D"/>
    <w:rsid w:val="001723A3"/>
    <w:rsid w:val="00172632"/>
    <w:rsid w:val="00172A27"/>
    <w:rsid w:val="00172E25"/>
    <w:rsid w:val="00172E34"/>
    <w:rsid w:val="00172FA0"/>
    <w:rsid w:val="001732A9"/>
    <w:rsid w:val="00174853"/>
    <w:rsid w:val="00175439"/>
    <w:rsid w:val="00175E1A"/>
    <w:rsid w:val="001760E1"/>
    <w:rsid w:val="00176574"/>
    <w:rsid w:val="00176AA3"/>
    <w:rsid w:val="00176E01"/>
    <w:rsid w:val="00176E24"/>
    <w:rsid w:val="00176E7D"/>
    <w:rsid w:val="001773F2"/>
    <w:rsid w:val="00177923"/>
    <w:rsid w:val="00180387"/>
    <w:rsid w:val="0018056C"/>
    <w:rsid w:val="00180E0A"/>
    <w:rsid w:val="00181528"/>
    <w:rsid w:val="001820F6"/>
    <w:rsid w:val="00182281"/>
    <w:rsid w:val="001829F1"/>
    <w:rsid w:val="00182BCF"/>
    <w:rsid w:val="00184093"/>
    <w:rsid w:val="001843FC"/>
    <w:rsid w:val="00184B24"/>
    <w:rsid w:val="00184DB7"/>
    <w:rsid w:val="001854DC"/>
    <w:rsid w:val="001859DE"/>
    <w:rsid w:val="00185FFD"/>
    <w:rsid w:val="00186102"/>
    <w:rsid w:val="00186FD4"/>
    <w:rsid w:val="001902A2"/>
    <w:rsid w:val="00190429"/>
    <w:rsid w:val="001907EB"/>
    <w:rsid w:val="0019090C"/>
    <w:rsid w:val="00190E90"/>
    <w:rsid w:val="00191CCD"/>
    <w:rsid w:val="0019213F"/>
    <w:rsid w:val="001923D6"/>
    <w:rsid w:val="001926B6"/>
    <w:rsid w:val="00193A52"/>
    <w:rsid w:val="001940CA"/>
    <w:rsid w:val="0019505F"/>
    <w:rsid w:val="001952C3"/>
    <w:rsid w:val="00195AEF"/>
    <w:rsid w:val="001961EE"/>
    <w:rsid w:val="0019658D"/>
    <w:rsid w:val="0019719A"/>
    <w:rsid w:val="001A1652"/>
    <w:rsid w:val="001A191E"/>
    <w:rsid w:val="001A2DD1"/>
    <w:rsid w:val="001A3878"/>
    <w:rsid w:val="001A39CE"/>
    <w:rsid w:val="001A401D"/>
    <w:rsid w:val="001A49AE"/>
    <w:rsid w:val="001A57CF"/>
    <w:rsid w:val="001A58FE"/>
    <w:rsid w:val="001B1552"/>
    <w:rsid w:val="001B1F5F"/>
    <w:rsid w:val="001B2567"/>
    <w:rsid w:val="001B30C8"/>
    <w:rsid w:val="001B33A8"/>
    <w:rsid w:val="001B35B2"/>
    <w:rsid w:val="001B4357"/>
    <w:rsid w:val="001B46A1"/>
    <w:rsid w:val="001B480D"/>
    <w:rsid w:val="001B4BBF"/>
    <w:rsid w:val="001B5948"/>
    <w:rsid w:val="001B63A2"/>
    <w:rsid w:val="001B65BB"/>
    <w:rsid w:val="001B7CA2"/>
    <w:rsid w:val="001C3484"/>
    <w:rsid w:val="001C3695"/>
    <w:rsid w:val="001C3EAB"/>
    <w:rsid w:val="001C53B5"/>
    <w:rsid w:val="001C5648"/>
    <w:rsid w:val="001C651B"/>
    <w:rsid w:val="001C6BF8"/>
    <w:rsid w:val="001C6FE4"/>
    <w:rsid w:val="001C7106"/>
    <w:rsid w:val="001C7C8C"/>
    <w:rsid w:val="001D06DB"/>
    <w:rsid w:val="001D0792"/>
    <w:rsid w:val="001D0A65"/>
    <w:rsid w:val="001D115D"/>
    <w:rsid w:val="001D125E"/>
    <w:rsid w:val="001D187F"/>
    <w:rsid w:val="001D1B9E"/>
    <w:rsid w:val="001D2137"/>
    <w:rsid w:val="001D23C8"/>
    <w:rsid w:val="001D25DC"/>
    <w:rsid w:val="001D3529"/>
    <w:rsid w:val="001D3549"/>
    <w:rsid w:val="001D39C0"/>
    <w:rsid w:val="001D498F"/>
    <w:rsid w:val="001D49D6"/>
    <w:rsid w:val="001D55B4"/>
    <w:rsid w:val="001D5F76"/>
    <w:rsid w:val="001D614D"/>
    <w:rsid w:val="001D6690"/>
    <w:rsid w:val="001D6A3A"/>
    <w:rsid w:val="001D6A52"/>
    <w:rsid w:val="001D7E20"/>
    <w:rsid w:val="001E073C"/>
    <w:rsid w:val="001E0A5A"/>
    <w:rsid w:val="001E1159"/>
    <w:rsid w:val="001E37BB"/>
    <w:rsid w:val="001E3944"/>
    <w:rsid w:val="001E3D28"/>
    <w:rsid w:val="001E3FDB"/>
    <w:rsid w:val="001E4091"/>
    <w:rsid w:val="001E4801"/>
    <w:rsid w:val="001E48D3"/>
    <w:rsid w:val="001E58CD"/>
    <w:rsid w:val="001E5D8C"/>
    <w:rsid w:val="001E7026"/>
    <w:rsid w:val="001F103E"/>
    <w:rsid w:val="001F1BCF"/>
    <w:rsid w:val="001F267C"/>
    <w:rsid w:val="001F2812"/>
    <w:rsid w:val="001F3D5E"/>
    <w:rsid w:val="001F4DF7"/>
    <w:rsid w:val="001F52BC"/>
    <w:rsid w:val="001F6638"/>
    <w:rsid w:val="001F6E63"/>
    <w:rsid w:val="00200729"/>
    <w:rsid w:val="0020102F"/>
    <w:rsid w:val="00201A69"/>
    <w:rsid w:val="00201F37"/>
    <w:rsid w:val="002022D7"/>
    <w:rsid w:val="002027A1"/>
    <w:rsid w:val="00202A26"/>
    <w:rsid w:val="00204157"/>
    <w:rsid w:val="0020442C"/>
    <w:rsid w:val="00204B5D"/>
    <w:rsid w:val="002053F4"/>
    <w:rsid w:val="00205728"/>
    <w:rsid w:val="00205F87"/>
    <w:rsid w:val="002065B3"/>
    <w:rsid w:val="00206F43"/>
    <w:rsid w:val="00207118"/>
    <w:rsid w:val="00207297"/>
    <w:rsid w:val="002074B1"/>
    <w:rsid w:val="00210B24"/>
    <w:rsid w:val="00210B5D"/>
    <w:rsid w:val="002112D0"/>
    <w:rsid w:val="00211327"/>
    <w:rsid w:val="0021175A"/>
    <w:rsid w:val="00211DDD"/>
    <w:rsid w:val="00211F3B"/>
    <w:rsid w:val="002130F3"/>
    <w:rsid w:val="00213CA7"/>
    <w:rsid w:val="002140ED"/>
    <w:rsid w:val="002148CD"/>
    <w:rsid w:val="002159EF"/>
    <w:rsid w:val="00215C80"/>
    <w:rsid w:val="002164DD"/>
    <w:rsid w:val="002172D5"/>
    <w:rsid w:val="00217B49"/>
    <w:rsid w:val="00217E1A"/>
    <w:rsid w:val="002201B8"/>
    <w:rsid w:val="0022028D"/>
    <w:rsid w:val="00220FBF"/>
    <w:rsid w:val="00221058"/>
    <w:rsid w:val="00221127"/>
    <w:rsid w:val="002213BF"/>
    <w:rsid w:val="00221D33"/>
    <w:rsid w:val="00221F92"/>
    <w:rsid w:val="002224EC"/>
    <w:rsid w:val="00222727"/>
    <w:rsid w:val="002229B0"/>
    <w:rsid w:val="00222DC0"/>
    <w:rsid w:val="00223DD8"/>
    <w:rsid w:val="002244C7"/>
    <w:rsid w:val="0022464C"/>
    <w:rsid w:val="00225114"/>
    <w:rsid w:val="0022516E"/>
    <w:rsid w:val="0022586B"/>
    <w:rsid w:val="00227112"/>
    <w:rsid w:val="0022796A"/>
    <w:rsid w:val="00227CDA"/>
    <w:rsid w:val="00231247"/>
    <w:rsid w:val="00233758"/>
    <w:rsid w:val="002339A6"/>
    <w:rsid w:val="002344C9"/>
    <w:rsid w:val="00234677"/>
    <w:rsid w:val="0023502A"/>
    <w:rsid w:val="00236DFE"/>
    <w:rsid w:val="0023706F"/>
    <w:rsid w:val="00237621"/>
    <w:rsid w:val="0023763D"/>
    <w:rsid w:val="00237DF6"/>
    <w:rsid w:val="00240E2A"/>
    <w:rsid w:val="002413EE"/>
    <w:rsid w:val="00241652"/>
    <w:rsid w:val="00242ABA"/>
    <w:rsid w:val="00243B84"/>
    <w:rsid w:val="002445B0"/>
    <w:rsid w:val="00244946"/>
    <w:rsid w:val="0024511C"/>
    <w:rsid w:val="00245F2B"/>
    <w:rsid w:val="002466BD"/>
    <w:rsid w:val="00246BFC"/>
    <w:rsid w:val="00246F1D"/>
    <w:rsid w:val="00246FAA"/>
    <w:rsid w:val="00247917"/>
    <w:rsid w:val="00247E3B"/>
    <w:rsid w:val="00250E84"/>
    <w:rsid w:val="00251639"/>
    <w:rsid w:val="00251677"/>
    <w:rsid w:val="0025234F"/>
    <w:rsid w:val="00253250"/>
    <w:rsid w:val="0025340B"/>
    <w:rsid w:val="002535F7"/>
    <w:rsid w:val="00253CD8"/>
    <w:rsid w:val="002553F3"/>
    <w:rsid w:val="00255856"/>
    <w:rsid w:val="00256021"/>
    <w:rsid w:val="002564B8"/>
    <w:rsid w:val="00256ACE"/>
    <w:rsid w:val="0025795A"/>
    <w:rsid w:val="00261278"/>
    <w:rsid w:val="00261B98"/>
    <w:rsid w:val="0026254E"/>
    <w:rsid w:val="002635A6"/>
    <w:rsid w:val="002635EC"/>
    <w:rsid w:val="00264191"/>
    <w:rsid w:val="00264AD1"/>
    <w:rsid w:val="00265A1F"/>
    <w:rsid w:val="00265FD2"/>
    <w:rsid w:val="00266078"/>
    <w:rsid w:val="002661A3"/>
    <w:rsid w:val="00266ACE"/>
    <w:rsid w:val="00266B21"/>
    <w:rsid w:val="00267D31"/>
    <w:rsid w:val="00270FEE"/>
    <w:rsid w:val="00271716"/>
    <w:rsid w:val="00272220"/>
    <w:rsid w:val="002724C0"/>
    <w:rsid w:val="00273181"/>
    <w:rsid w:val="00273234"/>
    <w:rsid w:val="00274044"/>
    <w:rsid w:val="002802E4"/>
    <w:rsid w:val="00281F8E"/>
    <w:rsid w:val="00282F4D"/>
    <w:rsid w:val="0028312E"/>
    <w:rsid w:val="00283237"/>
    <w:rsid w:val="002860B5"/>
    <w:rsid w:val="002869FF"/>
    <w:rsid w:val="00286B1F"/>
    <w:rsid w:val="00287E74"/>
    <w:rsid w:val="00290B48"/>
    <w:rsid w:val="002920F3"/>
    <w:rsid w:val="00292156"/>
    <w:rsid w:val="00292A42"/>
    <w:rsid w:val="002933B5"/>
    <w:rsid w:val="0029355B"/>
    <w:rsid w:val="00293BC8"/>
    <w:rsid w:val="00296193"/>
    <w:rsid w:val="0029691D"/>
    <w:rsid w:val="00296B45"/>
    <w:rsid w:val="002979EB"/>
    <w:rsid w:val="002A071E"/>
    <w:rsid w:val="002A1944"/>
    <w:rsid w:val="002A25B1"/>
    <w:rsid w:val="002A2657"/>
    <w:rsid w:val="002A4A10"/>
    <w:rsid w:val="002A4E3E"/>
    <w:rsid w:val="002A4FE0"/>
    <w:rsid w:val="002A5387"/>
    <w:rsid w:val="002A6364"/>
    <w:rsid w:val="002A6B5C"/>
    <w:rsid w:val="002B02A1"/>
    <w:rsid w:val="002B0DD7"/>
    <w:rsid w:val="002B0F37"/>
    <w:rsid w:val="002B180D"/>
    <w:rsid w:val="002B21F1"/>
    <w:rsid w:val="002B2AC2"/>
    <w:rsid w:val="002B2F63"/>
    <w:rsid w:val="002B37CD"/>
    <w:rsid w:val="002B3EBC"/>
    <w:rsid w:val="002B4315"/>
    <w:rsid w:val="002B44A3"/>
    <w:rsid w:val="002B537B"/>
    <w:rsid w:val="002B7181"/>
    <w:rsid w:val="002B74A2"/>
    <w:rsid w:val="002B78F9"/>
    <w:rsid w:val="002C01CE"/>
    <w:rsid w:val="002C08AA"/>
    <w:rsid w:val="002C0BB9"/>
    <w:rsid w:val="002C1CD9"/>
    <w:rsid w:val="002C4278"/>
    <w:rsid w:val="002C51B6"/>
    <w:rsid w:val="002C57E7"/>
    <w:rsid w:val="002C5B7B"/>
    <w:rsid w:val="002C6411"/>
    <w:rsid w:val="002C650B"/>
    <w:rsid w:val="002C7039"/>
    <w:rsid w:val="002C77BA"/>
    <w:rsid w:val="002C7A89"/>
    <w:rsid w:val="002C7C77"/>
    <w:rsid w:val="002D0F97"/>
    <w:rsid w:val="002D17E5"/>
    <w:rsid w:val="002D193A"/>
    <w:rsid w:val="002D19CB"/>
    <w:rsid w:val="002D1C44"/>
    <w:rsid w:val="002D1D28"/>
    <w:rsid w:val="002D2527"/>
    <w:rsid w:val="002D355B"/>
    <w:rsid w:val="002D3C9F"/>
    <w:rsid w:val="002D4CAA"/>
    <w:rsid w:val="002D541C"/>
    <w:rsid w:val="002D55B3"/>
    <w:rsid w:val="002D5E5D"/>
    <w:rsid w:val="002D781E"/>
    <w:rsid w:val="002D7F04"/>
    <w:rsid w:val="002D7F32"/>
    <w:rsid w:val="002E0AE6"/>
    <w:rsid w:val="002E0C24"/>
    <w:rsid w:val="002E14C0"/>
    <w:rsid w:val="002E1513"/>
    <w:rsid w:val="002E1AC9"/>
    <w:rsid w:val="002E2738"/>
    <w:rsid w:val="002E298C"/>
    <w:rsid w:val="002E4571"/>
    <w:rsid w:val="002E4942"/>
    <w:rsid w:val="002E4A43"/>
    <w:rsid w:val="002E50C1"/>
    <w:rsid w:val="002E609E"/>
    <w:rsid w:val="002E6305"/>
    <w:rsid w:val="002E71E9"/>
    <w:rsid w:val="002E72C3"/>
    <w:rsid w:val="002E7F7C"/>
    <w:rsid w:val="002F0134"/>
    <w:rsid w:val="002F0BA6"/>
    <w:rsid w:val="002F12C9"/>
    <w:rsid w:val="002F2ADF"/>
    <w:rsid w:val="002F3CDD"/>
    <w:rsid w:val="002F3D6F"/>
    <w:rsid w:val="002F3DC0"/>
    <w:rsid w:val="002F51FE"/>
    <w:rsid w:val="002F529A"/>
    <w:rsid w:val="002F5679"/>
    <w:rsid w:val="002F579F"/>
    <w:rsid w:val="002F5CD3"/>
    <w:rsid w:val="002F60EF"/>
    <w:rsid w:val="002F63F1"/>
    <w:rsid w:val="002F677D"/>
    <w:rsid w:val="0030037A"/>
    <w:rsid w:val="00301328"/>
    <w:rsid w:val="00301E2D"/>
    <w:rsid w:val="00302ABF"/>
    <w:rsid w:val="00302D39"/>
    <w:rsid w:val="00302EB3"/>
    <w:rsid w:val="00304168"/>
    <w:rsid w:val="00304456"/>
    <w:rsid w:val="00306876"/>
    <w:rsid w:val="00310001"/>
    <w:rsid w:val="00310863"/>
    <w:rsid w:val="00310868"/>
    <w:rsid w:val="00310C7F"/>
    <w:rsid w:val="003117F5"/>
    <w:rsid w:val="003122E8"/>
    <w:rsid w:val="003122FA"/>
    <w:rsid w:val="00312A59"/>
    <w:rsid w:val="00312D62"/>
    <w:rsid w:val="00314068"/>
    <w:rsid w:val="0031526E"/>
    <w:rsid w:val="00315B95"/>
    <w:rsid w:val="00316510"/>
    <w:rsid w:val="003166AE"/>
    <w:rsid w:val="00316FC1"/>
    <w:rsid w:val="0032089C"/>
    <w:rsid w:val="00320B50"/>
    <w:rsid w:val="003221C1"/>
    <w:rsid w:val="00322B67"/>
    <w:rsid w:val="00322DA4"/>
    <w:rsid w:val="00323072"/>
    <w:rsid w:val="00323087"/>
    <w:rsid w:val="00323779"/>
    <w:rsid w:val="0032438F"/>
    <w:rsid w:val="00324B77"/>
    <w:rsid w:val="003255EA"/>
    <w:rsid w:val="00327520"/>
    <w:rsid w:val="00327D52"/>
    <w:rsid w:val="0033022C"/>
    <w:rsid w:val="00330610"/>
    <w:rsid w:val="003306ED"/>
    <w:rsid w:val="00330B7B"/>
    <w:rsid w:val="0033142F"/>
    <w:rsid w:val="003315C6"/>
    <w:rsid w:val="00332351"/>
    <w:rsid w:val="00332FA9"/>
    <w:rsid w:val="0033329C"/>
    <w:rsid w:val="00333470"/>
    <w:rsid w:val="0033396F"/>
    <w:rsid w:val="0033398B"/>
    <w:rsid w:val="00333C94"/>
    <w:rsid w:val="00334386"/>
    <w:rsid w:val="003343B7"/>
    <w:rsid w:val="00334DC0"/>
    <w:rsid w:val="00335497"/>
    <w:rsid w:val="00335EC0"/>
    <w:rsid w:val="003365C0"/>
    <w:rsid w:val="003403CE"/>
    <w:rsid w:val="00340B73"/>
    <w:rsid w:val="00341663"/>
    <w:rsid w:val="00341688"/>
    <w:rsid w:val="0034195A"/>
    <w:rsid w:val="00342792"/>
    <w:rsid w:val="00343650"/>
    <w:rsid w:val="003447A5"/>
    <w:rsid w:val="00344829"/>
    <w:rsid w:val="00344A3B"/>
    <w:rsid w:val="00345B63"/>
    <w:rsid w:val="00345EBD"/>
    <w:rsid w:val="00347CC6"/>
    <w:rsid w:val="003500D3"/>
    <w:rsid w:val="003517A0"/>
    <w:rsid w:val="00352C90"/>
    <w:rsid w:val="003536C0"/>
    <w:rsid w:val="00353AE2"/>
    <w:rsid w:val="00354040"/>
    <w:rsid w:val="003540D3"/>
    <w:rsid w:val="00354142"/>
    <w:rsid w:val="00354164"/>
    <w:rsid w:val="00354B5F"/>
    <w:rsid w:val="003550FC"/>
    <w:rsid w:val="0035527F"/>
    <w:rsid w:val="00355952"/>
    <w:rsid w:val="00355C70"/>
    <w:rsid w:val="00355F44"/>
    <w:rsid w:val="003560DC"/>
    <w:rsid w:val="003575F1"/>
    <w:rsid w:val="00357DC4"/>
    <w:rsid w:val="00357EBD"/>
    <w:rsid w:val="00360AFF"/>
    <w:rsid w:val="003612DB"/>
    <w:rsid w:val="003613ED"/>
    <w:rsid w:val="00362C07"/>
    <w:rsid w:val="00362F93"/>
    <w:rsid w:val="003634CE"/>
    <w:rsid w:val="003636C2"/>
    <w:rsid w:val="00363BA1"/>
    <w:rsid w:val="00364553"/>
    <w:rsid w:val="00365456"/>
    <w:rsid w:val="00365D8B"/>
    <w:rsid w:val="00366043"/>
    <w:rsid w:val="00366575"/>
    <w:rsid w:val="003665B0"/>
    <w:rsid w:val="0036688E"/>
    <w:rsid w:val="00366FE2"/>
    <w:rsid w:val="00367342"/>
    <w:rsid w:val="003677A2"/>
    <w:rsid w:val="003709B2"/>
    <w:rsid w:val="003716A6"/>
    <w:rsid w:val="00372916"/>
    <w:rsid w:val="00372E5D"/>
    <w:rsid w:val="00372E9D"/>
    <w:rsid w:val="0037356F"/>
    <w:rsid w:val="003745A7"/>
    <w:rsid w:val="00374ABC"/>
    <w:rsid w:val="003750FA"/>
    <w:rsid w:val="00375104"/>
    <w:rsid w:val="00375A29"/>
    <w:rsid w:val="00375DCF"/>
    <w:rsid w:val="00375ECD"/>
    <w:rsid w:val="0037714B"/>
    <w:rsid w:val="003775BF"/>
    <w:rsid w:val="00380AF9"/>
    <w:rsid w:val="00381452"/>
    <w:rsid w:val="0038287E"/>
    <w:rsid w:val="00383134"/>
    <w:rsid w:val="0038394E"/>
    <w:rsid w:val="00384AEF"/>
    <w:rsid w:val="00384D22"/>
    <w:rsid w:val="00385221"/>
    <w:rsid w:val="00385C62"/>
    <w:rsid w:val="00385CDC"/>
    <w:rsid w:val="003863F0"/>
    <w:rsid w:val="00387671"/>
    <w:rsid w:val="00387ABE"/>
    <w:rsid w:val="003909E2"/>
    <w:rsid w:val="00391677"/>
    <w:rsid w:val="00392C8E"/>
    <w:rsid w:val="00393344"/>
    <w:rsid w:val="003938FC"/>
    <w:rsid w:val="003946F2"/>
    <w:rsid w:val="003950D0"/>
    <w:rsid w:val="003956C4"/>
    <w:rsid w:val="003957F2"/>
    <w:rsid w:val="00395800"/>
    <w:rsid w:val="00395B30"/>
    <w:rsid w:val="00395CB2"/>
    <w:rsid w:val="00396121"/>
    <w:rsid w:val="00396296"/>
    <w:rsid w:val="00397050"/>
    <w:rsid w:val="0039755A"/>
    <w:rsid w:val="00397941"/>
    <w:rsid w:val="003A0F7F"/>
    <w:rsid w:val="003A13EF"/>
    <w:rsid w:val="003A167C"/>
    <w:rsid w:val="003A189F"/>
    <w:rsid w:val="003A1D49"/>
    <w:rsid w:val="003A1FE0"/>
    <w:rsid w:val="003A2026"/>
    <w:rsid w:val="003A2405"/>
    <w:rsid w:val="003A2955"/>
    <w:rsid w:val="003A2B26"/>
    <w:rsid w:val="003A2B4A"/>
    <w:rsid w:val="003A333A"/>
    <w:rsid w:val="003A36DB"/>
    <w:rsid w:val="003A4B60"/>
    <w:rsid w:val="003A5CAC"/>
    <w:rsid w:val="003A63FD"/>
    <w:rsid w:val="003A74EE"/>
    <w:rsid w:val="003B0B0C"/>
    <w:rsid w:val="003B2538"/>
    <w:rsid w:val="003B28BE"/>
    <w:rsid w:val="003B2C40"/>
    <w:rsid w:val="003B37E7"/>
    <w:rsid w:val="003B4153"/>
    <w:rsid w:val="003B4E47"/>
    <w:rsid w:val="003B64DF"/>
    <w:rsid w:val="003B66E3"/>
    <w:rsid w:val="003B7286"/>
    <w:rsid w:val="003C048E"/>
    <w:rsid w:val="003C0901"/>
    <w:rsid w:val="003C0ED9"/>
    <w:rsid w:val="003C0F87"/>
    <w:rsid w:val="003C250D"/>
    <w:rsid w:val="003C2778"/>
    <w:rsid w:val="003C2DAE"/>
    <w:rsid w:val="003C2E24"/>
    <w:rsid w:val="003C32EA"/>
    <w:rsid w:val="003C354F"/>
    <w:rsid w:val="003C36A1"/>
    <w:rsid w:val="003C3F39"/>
    <w:rsid w:val="003C4CAC"/>
    <w:rsid w:val="003C4D79"/>
    <w:rsid w:val="003C539F"/>
    <w:rsid w:val="003C6226"/>
    <w:rsid w:val="003C7623"/>
    <w:rsid w:val="003D0009"/>
    <w:rsid w:val="003D00C6"/>
    <w:rsid w:val="003D08F8"/>
    <w:rsid w:val="003D0EF7"/>
    <w:rsid w:val="003D1A34"/>
    <w:rsid w:val="003D1D93"/>
    <w:rsid w:val="003D1E48"/>
    <w:rsid w:val="003D24DF"/>
    <w:rsid w:val="003D375B"/>
    <w:rsid w:val="003D4A8C"/>
    <w:rsid w:val="003D5261"/>
    <w:rsid w:val="003D5457"/>
    <w:rsid w:val="003D54ED"/>
    <w:rsid w:val="003D5728"/>
    <w:rsid w:val="003D5A80"/>
    <w:rsid w:val="003D686E"/>
    <w:rsid w:val="003D6B6B"/>
    <w:rsid w:val="003D7221"/>
    <w:rsid w:val="003E125F"/>
    <w:rsid w:val="003E1676"/>
    <w:rsid w:val="003E1CAC"/>
    <w:rsid w:val="003E21B6"/>
    <w:rsid w:val="003E2863"/>
    <w:rsid w:val="003E3F93"/>
    <w:rsid w:val="003E44F3"/>
    <w:rsid w:val="003E4554"/>
    <w:rsid w:val="003E47F7"/>
    <w:rsid w:val="003E5507"/>
    <w:rsid w:val="003E5FEA"/>
    <w:rsid w:val="003E63B2"/>
    <w:rsid w:val="003E6434"/>
    <w:rsid w:val="003E6C43"/>
    <w:rsid w:val="003F0417"/>
    <w:rsid w:val="003F0623"/>
    <w:rsid w:val="003F0BB2"/>
    <w:rsid w:val="003F0BCA"/>
    <w:rsid w:val="003F0EB4"/>
    <w:rsid w:val="003F14E9"/>
    <w:rsid w:val="003F1B62"/>
    <w:rsid w:val="003F4168"/>
    <w:rsid w:val="003F416E"/>
    <w:rsid w:val="003F5225"/>
    <w:rsid w:val="003F54A3"/>
    <w:rsid w:val="003F5FB7"/>
    <w:rsid w:val="003F65CD"/>
    <w:rsid w:val="003F6A96"/>
    <w:rsid w:val="003F6DDA"/>
    <w:rsid w:val="003F6DDC"/>
    <w:rsid w:val="003F7198"/>
    <w:rsid w:val="003F71DE"/>
    <w:rsid w:val="003F75C9"/>
    <w:rsid w:val="003F774F"/>
    <w:rsid w:val="003F7C6A"/>
    <w:rsid w:val="0040058D"/>
    <w:rsid w:val="004007B8"/>
    <w:rsid w:val="0040380B"/>
    <w:rsid w:val="004058F5"/>
    <w:rsid w:val="00406408"/>
    <w:rsid w:val="00407006"/>
    <w:rsid w:val="004071E4"/>
    <w:rsid w:val="004071F6"/>
    <w:rsid w:val="00407976"/>
    <w:rsid w:val="00407A35"/>
    <w:rsid w:val="00407B72"/>
    <w:rsid w:val="004104FD"/>
    <w:rsid w:val="004106AA"/>
    <w:rsid w:val="004106FE"/>
    <w:rsid w:val="004112DB"/>
    <w:rsid w:val="00411CED"/>
    <w:rsid w:val="00412865"/>
    <w:rsid w:val="00413E5F"/>
    <w:rsid w:val="0041460D"/>
    <w:rsid w:val="004151D7"/>
    <w:rsid w:val="0041611F"/>
    <w:rsid w:val="004170DE"/>
    <w:rsid w:val="00417302"/>
    <w:rsid w:val="00417462"/>
    <w:rsid w:val="00420BF4"/>
    <w:rsid w:val="00423237"/>
    <w:rsid w:val="00424032"/>
    <w:rsid w:val="00424BE4"/>
    <w:rsid w:val="00424ED2"/>
    <w:rsid w:val="004250A5"/>
    <w:rsid w:val="0042524B"/>
    <w:rsid w:val="00425EA8"/>
    <w:rsid w:val="004260C7"/>
    <w:rsid w:val="0042613C"/>
    <w:rsid w:val="00426254"/>
    <w:rsid w:val="004265D9"/>
    <w:rsid w:val="004276F1"/>
    <w:rsid w:val="00427CBF"/>
    <w:rsid w:val="0043062F"/>
    <w:rsid w:val="00430A2C"/>
    <w:rsid w:val="00431A31"/>
    <w:rsid w:val="00431D0B"/>
    <w:rsid w:val="00431FE5"/>
    <w:rsid w:val="0043218B"/>
    <w:rsid w:val="004326E3"/>
    <w:rsid w:val="00432883"/>
    <w:rsid w:val="00434113"/>
    <w:rsid w:val="00434203"/>
    <w:rsid w:val="004359C3"/>
    <w:rsid w:val="00435C3A"/>
    <w:rsid w:val="00437030"/>
    <w:rsid w:val="004370A4"/>
    <w:rsid w:val="00437AD4"/>
    <w:rsid w:val="004403D5"/>
    <w:rsid w:val="0044052F"/>
    <w:rsid w:val="00440BB2"/>
    <w:rsid w:val="00440F8C"/>
    <w:rsid w:val="004414C4"/>
    <w:rsid w:val="0044187C"/>
    <w:rsid w:val="004419AE"/>
    <w:rsid w:val="004437EB"/>
    <w:rsid w:val="0044390E"/>
    <w:rsid w:val="00443C68"/>
    <w:rsid w:val="00443D1C"/>
    <w:rsid w:val="0044415F"/>
    <w:rsid w:val="004452BC"/>
    <w:rsid w:val="004457B1"/>
    <w:rsid w:val="00445D20"/>
    <w:rsid w:val="00445E44"/>
    <w:rsid w:val="004461DC"/>
    <w:rsid w:val="004465B3"/>
    <w:rsid w:val="00447B3F"/>
    <w:rsid w:val="004509A7"/>
    <w:rsid w:val="004517A6"/>
    <w:rsid w:val="0045195C"/>
    <w:rsid w:val="0045254B"/>
    <w:rsid w:val="00453126"/>
    <w:rsid w:val="00453CD5"/>
    <w:rsid w:val="0045443A"/>
    <w:rsid w:val="00454AED"/>
    <w:rsid w:val="00454D7C"/>
    <w:rsid w:val="00456C57"/>
    <w:rsid w:val="00456E6D"/>
    <w:rsid w:val="00456FD9"/>
    <w:rsid w:val="004575A1"/>
    <w:rsid w:val="00457F1F"/>
    <w:rsid w:val="00460D07"/>
    <w:rsid w:val="00461527"/>
    <w:rsid w:val="00463671"/>
    <w:rsid w:val="00463C82"/>
    <w:rsid w:val="00463CC8"/>
    <w:rsid w:val="004645F7"/>
    <w:rsid w:val="004647A4"/>
    <w:rsid w:val="00464A24"/>
    <w:rsid w:val="00464FF1"/>
    <w:rsid w:val="00465A95"/>
    <w:rsid w:val="00465F6F"/>
    <w:rsid w:val="004660D4"/>
    <w:rsid w:val="00466384"/>
    <w:rsid w:val="00467282"/>
    <w:rsid w:val="00470D6C"/>
    <w:rsid w:val="0047104C"/>
    <w:rsid w:val="00471F0A"/>
    <w:rsid w:val="0047231B"/>
    <w:rsid w:val="0047277B"/>
    <w:rsid w:val="00472839"/>
    <w:rsid w:val="00473C4C"/>
    <w:rsid w:val="00473F40"/>
    <w:rsid w:val="004742B0"/>
    <w:rsid w:val="00474423"/>
    <w:rsid w:val="00474FD3"/>
    <w:rsid w:val="00475BF2"/>
    <w:rsid w:val="00476194"/>
    <w:rsid w:val="00476370"/>
    <w:rsid w:val="00477B4F"/>
    <w:rsid w:val="004804E2"/>
    <w:rsid w:val="00482082"/>
    <w:rsid w:val="00482544"/>
    <w:rsid w:val="004851F1"/>
    <w:rsid w:val="00485CB4"/>
    <w:rsid w:val="00486983"/>
    <w:rsid w:val="00486AEC"/>
    <w:rsid w:val="00486C3B"/>
    <w:rsid w:val="00487F1C"/>
    <w:rsid w:val="00490819"/>
    <w:rsid w:val="00490994"/>
    <w:rsid w:val="00490A0E"/>
    <w:rsid w:val="004915F3"/>
    <w:rsid w:val="00491993"/>
    <w:rsid w:val="00492FCB"/>
    <w:rsid w:val="00494682"/>
    <w:rsid w:val="004955C1"/>
    <w:rsid w:val="00495EAB"/>
    <w:rsid w:val="0049628D"/>
    <w:rsid w:val="0049664E"/>
    <w:rsid w:val="0049680E"/>
    <w:rsid w:val="00496815"/>
    <w:rsid w:val="00496FF0"/>
    <w:rsid w:val="0049701D"/>
    <w:rsid w:val="004971B4"/>
    <w:rsid w:val="004974EB"/>
    <w:rsid w:val="004978F0"/>
    <w:rsid w:val="004979B6"/>
    <w:rsid w:val="004A07F8"/>
    <w:rsid w:val="004A1D8A"/>
    <w:rsid w:val="004A1DE3"/>
    <w:rsid w:val="004A2724"/>
    <w:rsid w:val="004A32C4"/>
    <w:rsid w:val="004A3306"/>
    <w:rsid w:val="004A4461"/>
    <w:rsid w:val="004A4FD3"/>
    <w:rsid w:val="004A5896"/>
    <w:rsid w:val="004A59D6"/>
    <w:rsid w:val="004A5A4F"/>
    <w:rsid w:val="004A5ACF"/>
    <w:rsid w:val="004A60D8"/>
    <w:rsid w:val="004A6F6A"/>
    <w:rsid w:val="004A6FB2"/>
    <w:rsid w:val="004A70BC"/>
    <w:rsid w:val="004A7D37"/>
    <w:rsid w:val="004B0A0B"/>
    <w:rsid w:val="004B10BE"/>
    <w:rsid w:val="004B1225"/>
    <w:rsid w:val="004B1B07"/>
    <w:rsid w:val="004B3236"/>
    <w:rsid w:val="004B35FB"/>
    <w:rsid w:val="004B3EF9"/>
    <w:rsid w:val="004B45FE"/>
    <w:rsid w:val="004B4A08"/>
    <w:rsid w:val="004B4AB0"/>
    <w:rsid w:val="004B550D"/>
    <w:rsid w:val="004B5FD6"/>
    <w:rsid w:val="004B7D31"/>
    <w:rsid w:val="004B7DC4"/>
    <w:rsid w:val="004C1ADB"/>
    <w:rsid w:val="004C36B3"/>
    <w:rsid w:val="004C36BB"/>
    <w:rsid w:val="004C3A7E"/>
    <w:rsid w:val="004C3BF1"/>
    <w:rsid w:val="004C3D0A"/>
    <w:rsid w:val="004C5241"/>
    <w:rsid w:val="004C5F6D"/>
    <w:rsid w:val="004C7D74"/>
    <w:rsid w:val="004C7F8A"/>
    <w:rsid w:val="004D340D"/>
    <w:rsid w:val="004D34F3"/>
    <w:rsid w:val="004D4851"/>
    <w:rsid w:val="004D5C36"/>
    <w:rsid w:val="004D5DE3"/>
    <w:rsid w:val="004D5FBE"/>
    <w:rsid w:val="004D711C"/>
    <w:rsid w:val="004D7630"/>
    <w:rsid w:val="004E0CB8"/>
    <w:rsid w:val="004E192B"/>
    <w:rsid w:val="004E1A24"/>
    <w:rsid w:val="004E2222"/>
    <w:rsid w:val="004E29FD"/>
    <w:rsid w:val="004E365D"/>
    <w:rsid w:val="004E3A88"/>
    <w:rsid w:val="004E47B0"/>
    <w:rsid w:val="004E5302"/>
    <w:rsid w:val="004E592A"/>
    <w:rsid w:val="004E6341"/>
    <w:rsid w:val="004E66D9"/>
    <w:rsid w:val="004E6CFB"/>
    <w:rsid w:val="004E708A"/>
    <w:rsid w:val="004E7380"/>
    <w:rsid w:val="004E758C"/>
    <w:rsid w:val="004E7A10"/>
    <w:rsid w:val="004E7F44"/>
    <w:rsid w:val="004E7FB4"/>
    <w:rsid w:val="004F00C9"/>
    <w:rsid w:val="004F0BCF"/>
    <w:rsid w:val="004F0D4B"/>
    <w:rsid w:val="004F2C9E"/>
    <w:rsid w:val="004F3089"/>
    <w:rsid w:val="004F30F2"/>
    <w:rsid w:val="004F3CB8"/>
    <w:rsid w:val="004F495B"/>
    <w:rsid w:val="004F4D77"/>
    <w:rsid w:val="004F5D44"/>
    <w:rsid w:val="004F72EB"/>
    <w:rsid w:val="004F7BFD"/>
    <w:rsid w:val="004F7F45"/>
    <w:rsid w:val="005008D9"/>
    <w:rsid w:val="005019DC"/>
    <w:rsid w:val="00501C88"/>
    <w:rsid w:val="0050281E"/>
    <w:rsid w:val="00502B26"/>
    <w:rsid w:val="00502BC0"/>
    <w:rsid w:val="00502BFA"/>
    <w:rsid w:val="00503097"/>
    <w:rsid w:val="005036C2"/>
    <w:rsid w:val="00503FFA"/>
    <w:rsid w:val="00504BDF"/>
    <w:rsid w:val="00505214"/>
    <w:rsid w:val="00505A18"/>
    <w:rsid w:val="00505AE1"/>
    <w:rsid w:val="00505F1A"/>
    <w:rsid w:val="0050666F"/>
    <w:rsid w:val="00506A30"/>
    <w:rsid w:val="00506A86"/>
    <w:rsid w:val="005119F7"/>
    <w:rsid w:val="005120D4"/>
    <w:rsid w:val="0051246D"/>
    <w:rsid w:val="005135AA"/>
    <w:rsid w:val="005137F7"/>
    <w:rsid w:val="00513D96"/>
    <w:rsid w:val="005145B4"/>
    <w:rsid w:val="005158B6"/>
    <w:rsid w:val="00515D02"/>
    <w:rsid w:val="005176CA"/>
    <w:rsid w:val="00517AF3"/>
    <w:rsid w:val="00517BB4"/>
    <w:rsid w:val="005204D3"/>
    <w:rsid w:val="0052209D"/>
    <w:rsid w:val="00522C75"/>
    <w:rsid w:val="00522E7B"/>
    <w:rsid w:val="0052347F"/>
    <w:rsid w:val="0052375E"/>
    <w:rsid w:val="005243A5"/>
    <w:rsid w:val="00526D70"/>
    <w:rsid w:val="00530A28"/>
    <w:rsid w:val="00531600"/>
    <w:rsid w:val="00531CA1"/>
    <w:rsid w:val="005329E6"/>
    <w:rsid w:val="00533A67"/>
    <w:rsid w:val="00533B6B"/>
    <w:rsid w:val="00534271"/>
    <w:rsid w:val="00534733"/>
    <w:rsid w:val="005358B3"/>
    <w:rsid w:val="00536575"/>
    <w:rsid w:val="005368C2"/>
    <w:rsid w:val="00540141"/>
    <w:rsid w:val="00540761"/>
    <w:rsid w:val="0054149C"/>
    <w:rsid w:val="00541B25"/>
    <w:rsid w:val="00542069"/>
    <w:rsid w:val="005435A1"/>
    <w:rsid w:val="00543A59"/>
    <w:rsid w:val="00543CBF"/>
    <w:rsid w:val="00544353"/>
    <w:rsid w:val="00544A92"/>
    <w:rsid w:val="00544B58"/>
    <w:rsid w:val="00544B5A"/>
    <w:rsid w:val="00544D2E"/>
    <w:rsid w:val="00544E5D"/>
    <w:rsid w:val="0054537D"/>
    <w:rsid w:val="00545921"/>
    <w:rsid w:val="00545B39"/>
    <w:rsid w:val="00545D93"/>
    <w:rsid w:val="00547CBE"/>
    <w:rsid w:val="0055062D"/>
    <w:rsid w:val="0055069B"/>
    <w:rsid w:val="00550BC2"/>
    <w:rsid w:val="00551290"/>
    <w:rsid w:val="00551870"/>
    <w:rsid w:val="00552A56"/>
    <w:rsid w:val="00552FC3"/>
    <w:rsid w:val="00552FD0"/>
    <w:rsid w:val="00553881"/>
    <w:rsid w:val="00554639"/>
    <w:rsid w:val="00554780"/>
    <w:rsid w:val="00554C85"/>
    <w:rsid w:val="00555081"/>
    <w:rsid w:val="005550E5"/>
    <w:rsid w:val="0055516B"/>
    <w:rsid w:val="005552C2"/>
    <w:rsid w:val="00555503"/>
    <w:rsid w:val="00555B84"/>
    <w:rsid w:val="00555F2C"/>
    <w:rsid w:val="005565C9"/>
    <w:rsid w:val="00556A03"/>
    <w:rsid w:val="00557B43"/>
    <w:rsid w:val="00557E93"/>
    <w:rsid w:val="00560B59"/>
    <w:rsid w:val="00560C9F"/>
    <w:rsid w:val="005616E3"/>
    <w:rsid w:val="00561BD1"/>
    <w:rsid w:val="005621CB"/>
    <w:rsid w:val="005635C8"/>
    <w:rsid w:val="00563FF2"/>
    <w:rsid w:val="005643A7"/>
    <w:rsid w:val="0056490B"/>
    <w:rsid w:val="00565375"/>
    <w:rsid w:val="005658AE"/>
    <w:rsid w:val="005658C2"/>
    <w:rsid w:val="005662EC"/>
    <w:rsid w:val="00566FCD"/>
    <w:rsid w:val="005677CB"/>
    <w:rsid w:val="0056784C"/>
    <w:rsid w:val="00567B83"/>
    <w:rsid w:val="00567C65"/>
    <w:rsid w:val="00570788"/>
    <w:rsid w:val="00571009"/>
    <w:rsid w:val="00571221"/>
    <w:rsid w:val="00571556"/>
    <w:rsid w:val="00571B4E"/>
    <w:rsid w:val="005723FD"/>
    <w:rsid w:val="00572BF8"/>
    <w:rsid w:val="00572EF5"/>
    <w:rsid w:val="005732A2"/>
    <w:rsid w:val="0057377B"/>
    <w:rsid w:val="00574190"/>
    <w:rsid w:val="00574893"/>
    <w:rsid w:val="00575FD9"/>
    <w:rsid w:val="00576842"/>
    <w:rsid w:val="005778A7"/>
    <w:rsid w:val="0058033F"/>
    <w:rsid w:val="005814BD"/>
    <w:rsid w:val="00582518"/>
    <w:rsid w:val="005829DC"/>
    <w:rsid w:val="00582EF1"/>
    <w:rsid w:val="00583947"/>
    <w:rsid w:val="00583F3A"/>
    <w:rsid w:val="00585772"/>
    <w:rsid w:val="005857B3"/>
    <w:rsid w:val="0058672E"/>
    <w:rsid w:val="00586C7D"/>
    <w:rsid w:val="0058765F"/>
    <w:rsid w:val="0059002B"/>
    <w:rsid w:val="005906B2"/>
    <w:rsid w:val="005907BE"/>
    <w:rsid w:val="0059094D"/>
    <w:rsid w:val="005914C2"/>
    <w:rsid w:val="00592EA6"/>
    <w:rsid w:val="00594537"/>
    <w:rsid w:val="00594CF0"/>
    <w:rsid w:val="0059512B"/>
    <w:rsid w:val="005955CB"/>
    <w:rsid w:val="0059588C"/>
    <w:rsid w:val="005960F3"/>
    <w:rsid w:val="0059618D"/>
    <w:rsid w:val="0059638A"/>
    <w:rsid w:val="00597184"/>
    <w:rsid w:val="00597F66"/>
    <w:rsid w:val="005A030B"/>
    <w:rsid w:val="005A1727"/>
    <w:rsid w:val="005A19FA"/>
    <w:rsid w:val="005A1C30"/>
    <w:rsid w:val="005A248A"/>
    <w:rsid w:val="005A27A0"/>
    <w:rsid w:val="005A2945"/>
    <w:rsid w:val="005A3655"/>
    <w:rsid w:val="005A392B"/>
    <w:rsid w:val="005A3F7F"/>
    <w:rsid w:val="005A5571"/>
    <w:rsid w:val="005A647E"/>
    <w:rsid w:val="005B037D"/>
    <w:rsid w:val="005B045A"/>
    <w:rsid w:val="005B08C1"/>
    <w:rsid w:val="005B1595"/>
    <w:rsid w:val="005B17F8"/>
    <w:rsid w:val="005B1812"/>
    <w:rsid w:val="005B1A6B"/>
    <w:rsid w:val="005B1E60"/>
    <w:rsid w:val="005B20B8"/>
    <w:rsid w:val="005B2470"/>
    <w:rsid w:val="005B31F6"/>
    <w:rsid w:val="005B3B1D"/>
    <w:rsid w:val="005B4BF0"/>
    <w:rsid w:val="005B554D"/>
    <w:rsid w:val="005B5BA9"/>
    <w:rsid w:val="005B64C2"/>
    <w:rsid w:val="005B65AC"/>
    <w:rsid w:val="005B7856"/>
    <w:rsid w:val="005C1554"/>
    <w:rsid w:val="005C1EA1"/>
    <w:rsid w:val="005C1F8C"/>
    <w:rsid w:val="005C1FF8"/>
    <w:rsid w:val="005C3188"/>
    <w:rsid w:val="005C3296"/>
    <w:rsid w:val="005C59EB"/>
    <w:rsid w:val="005C68CC"/>
    <w:rsid w:val="005C69D8"/>
    <w:rsid w:val="005C6C99"/>
    <w:rsid w:val="005C6EB8"/>
    <w:rsid w:val="005C79D9"/>
    <w:rsid w:val="005D0045"/>
    <w:rsid w:val="005D03FE"/>
    <w:rsid w:val="005D04D6"/>
    <w:rsid w:val="005D0A1C"/>
    <w:rsid w:val="005D0FAA"/>
    <w:rsid w:val="005D1849"/>
    <w:rsid w:val="005D1922"/>
    <w:rsid w:val="005D1F48"/>
    <w:rsid w:val="005D1FA3"/>
    <w:rsid w:val="005D244A"/>
    <w:rsid w:val="005D2D1F"/>
    <w:rsid w:val="005D3E58"/>
    <w:rsid w:val="005D44BD"/>
    <w:rsid w:val="005D50DE"/>
    <w:rsid w:val="005D5D38"/>
    <w:rsid w:val="005D7F7E"/>
    <w:rsid w:val="005E114F"/>
    <w:rsid w:val="005E1585"/>
    <w:rsid w:val="005E1A3B"/>
    <w:rsid w:val="005E2182"/>
    <w:rsid w:val="005E23A3"/>
    <w:rsid w:val="005E23C6"/>
    <w:rsid w:val="005E25A0"/>
    <w:rsid w:val="005E4189"/>
    <w:rsid w:val="005E4237"/>
    <w:rsid w:val="005E4D0A"/>
    <w:rsid w:val="005E5357"/>
    <w:rsid w:val="005E5BAA"/>
    <w:rsid w:val="005E672A"/>
    <w:rsid w:val="005E6C6B"/>
    <w:rsid w:val="005F0530"/>
    <w:rsid w:val="005F083B"/>
    <w:rsid w:val="005F1408"/>
    <w:rsid w:val="005F1A0A"/>
    <w:rsid w:val="005F2387"/>
    <w:rsid w:val="005F2CE0"/>
    <w:rsid w:val="005F32FD"/>
    <w:rsid w:val="005F3A68"/>
    <w:rsid w:val="005F3BD1"/>
    <w:rsid w:val="005F4D9E"/>
    <w:rsid w:val="005F505B"/>
    <w:rsid w:val="005F6B8E"/>
    <w:rsid w:val="005F7265"/>
    <w:rsid w:val="00601868"/>
    <w:rsid w:val="0060212D"/>
    <w:rsid w:val="006022FE"/>
    <w:rsid w:val="00602DB2"/>
    <w:rsid w:val="00602EFA"/>
    <w:rsid w:val="00605792"/>
    <w:rsid w:val="00606059"/>
    <w:rsid w:val="006061EC"/>
    <w:rsid w:val="006066A1"/>
    <w:rsid w:val="00607BFE"/>
    <w:rsid w:val="0061036D"/>
    <w:rsid w:val="006104C3"/>
    <w:rsid w:val="00611F66"/>
    <w:rsid w:val="00612C6B"/>
    <w:rsid w:val="00613A1C"/>
    <w:rsid w:val="00614214"/>
    <w:rsid w:val="00614256"/>
    <w:rsid w:val="006147DD"/>
    <w:rsid w:val="00614933"/>
    <w:rsid w:val="00614FB2"/>
    <w:rsid w:val="00615406"/>
    <w:rsid w:val="006165FC"/>
    <w:rsid w:val="00616768"/>
    <w:rsid w:val="006175E7"/>
    <w:rsid w:val="00620F08"/>
    <w:rsid w:val="00621D49"/>
    <w:rsid w:val="0062244C"/>
    <w:rsid w:val="00622862"/>
    <w:rsid w:val="00623283"/>
    <w:rsid w:val="0062463B"/>
    <w:rsid w:val="00624A86"/>
    <w:rsid w:val="00626415"/>
    <w:rsid w:val="00626C74"/>
    <w:rsid w:val="00626E14"/>
    <w:rsid w:val="00627D7E"/>
    <w:rsid w:val="00630233"/>
    <w:rsid w:val="006317D8"/>
    <w:rsid w:val="00631AE9"/>
    <w:rsid w:val="0063306A"/>
    <w:rsid w:val="006336B5"/>
    <w:rsid w:val="006342EB"/>
    <w:rsid w:val="0063466A"/>
    <w:rsid w:val="006346AA"/>
    <w:rsid w:val="00634A6B"/>
    <w:rsid w:val="0063532E"/>
    <w:rsid w:val="006360B2"/>
    <w:rsid w:val="0063638D"/>
    <w:rsid w:val="00636754"/>
    <w:rsid w:val="00636B31"/>
    <w:rsid w:val="00637CC7"/>
    <w:rsid w:val="0064002B"/>
    <w:rsid w:val="00641789"/>
    <w:rsid w:val="0064179F"/>
    <w:rsid w:val="006423D5"/>
    <w:rsid w:val="00643AD4"/>
    <w:rsid w:val="00643F16"/>
    <w:rsid w:val="00645542"/>
    <w:rsid w:val="006456EC"/>
    <w:rsid w:val="00645D5F"/>
    <w:rsid w:val="0064774A"/>
    <w:rsid w:val="00647D8A"/>
    <w:rsid w:val="0065008F"/>
    <w:rsid w:val="00650D60"/>
    <w:rsid w:val="00650E37"/>
    <w:rsid w:val="006519E1"/>
    <w:rsid w:val="00652829"/>
    <w:rsid w:val="006529B8"/>
    <w:rsid w:val="00652EE1"/>
    <w:rsid w:val="00653919"/>
    <w:rsid w:val="00653AE2"/>
    <w:rsid w:val="00654817"/>
    <w:rsid w:val="00654F6A"/>
    <w:rsid w:val="00654FC7"/>
    <w:rsid w:val="00655AEC"/>
    <w:rsid w:val="00655BE9"/>
    <w:rsid w:val="00655D4D"/>
    <w:rsid w:val="00655FDD"/>
    <w:rsid w:val="00657EB0"/>
    <w:rsid w:val="00660F7D"/>
    <w:rsid w:val="0066106E"/>
    <w:rsid w:val="006618D8"/>
    <w:rsid w:val="00661B3B"/>
    <w:rsid w:val="006621AB"/>
    <w:rsid w:val="006621F2"/>
    <w:rsid w:val="006626B7"/>
    <w:rsid w:val="0066308B"/>
    <w:rsid w:val="00663FAA"/>
    <w:rsid w:val="0066474C"/>
    <w:rsid w:val="00664B05"/>
    <w:rsid w:val="006652DE"/>
    <w:rsid w:val="00665BB1"/>
    <w:rsid w:val="00665BEB"/>
    <w:rsid w:val="00665F50"/>
    <w:rsid w:val="00666A5B"/>
    <w:rsid w:val="00666AB3"/>
    <w:rsid w:val="006674A2"/>
    <w:rsid w:val="00667B1A"/>
    <w:rsid w:val="00667F13"/>
    <w:rsid w:val="0067024D"/>
    <w:rsid w:val="0067087C"/>
    <w:rsid w:val="00670F48"/>
    <w:rsid w:val="00671603"/>
    <w:rsid w:val="00673D17"/>
    <w:rsid w:val="0067415B"/>
    <w:rsid w:val="006744F8"/>
    <w:rsid w:val="00675402"/>
    <w:rsid w:val="00675DC1"/>
    <w:rsid w:val="0068073C"/>
    <w:rsid w:val="006810C8"/>
    <w:rsid w:val="006811F4"/>
    <w:rsid w:val="00681610"/>
    <w:rsid w:val="00681F76"/>
    <w:rsid w:val="00681F9A"/>
    <w:rsid w:val="00681FB1"/>
    <w:rsid w:val="00682FDA"/>
    <w:rsid w:val="006835E7"/>
    <w:rsid w:val="006837D9"/>
    <w:rsid w:val="00684E95"/>
    <w:rsid w:val="0068511A"/>
    <w:rsid w:val="0068614B"/>
    <w:rsid w:val="006861DF"/>
    <w:rsid w:val="006867BC"/>
    <w:rsid w:val="00687099"/>
    <w:rsid w:val="00687B38"/>
    <w:rsid w:val="00687DFE"/>
    <w:rsid w:val="00690134"/>
    <w:rsid w:val="00690EB7"/>
    <w:rsid w:val="00691107"/>
    <w:rsid w:val="006912A9"/>
    <w:rsid w:val="00691AAD"/>
    <w:rsid w:val="006922A5"/>
    <w:rsid w:val="0069270D"/>
    <w:rsid w:val="00693C8C"/>
    <w:rsid w:val="00693D40"/>
    <w:rsid w:val="00693DAD"/>
    <w:rsid w:val="0069403C"/>
    <w:rsid w:val="00694B0C"/>
    <w:rsid w:val="006950ED"/>
    <w:rsid w:val="006956D6"/>
    <w:rsid w:val="00695B1F"/>
    <w:rsid w:val="00695F84"/>
    <w:rsid w:val="00696172"/>
    <w:rsid w:val="006972ED"/>
    <w:rsid w:val="006975C8"/>
    <w:rsid w:val="0069768D"/>
    <w:rsid w:val="00697B8E"/>
    <w:rsid w:val="00697E15"/>
    <w:rsid w:val="006A009A"/>
    <w:rsid w:val="006A1BA1"/>
    <w:rsid w:val="006A2AFC"/>
    <w:rsid w:val="006A3192"/>
    <w:rsid w:val="006A3CDB"/>
    <w:rsid w:val="006A5AC9"/>
    <w:rsid w:val="006A5B90"/>
    <w:rsid w:val="006B06C5"/>
    <w:rsid w:val="006B11B3"/>
    <w:rsid w:val="006B15AB"/>
    <w:rsid w:val="006B162C"/>
    <w:rsid w:val="006B1DEF"/>
    <w:rsid w:val="006B2501"/>
    <w:rsid w:val="006B2B50"/>
    <w:rsid w:val="006B357C"/>
    <w:rsid w:val="006B3BF6"/>
    <w:rsid w:val="006B4139"/>
    <w:rsid w:val="006B4FA1"/>
    <w:rsid w:val="006B5339"/>
    <w:rsid w:val="006C0116"/>
    <w:rsid w:val="006C0D67"/>
    <w:rsid w:val="006C0F9E"/>
    <w:rsid w:val="006C33BB"/>
    <w:rsid w:val="006C45F1"/>
    <w:rsid w:val="006C45F9"/>
    <w:rsid w:val="006C4928"/>
    <w:rsid w:val="006D0A89"/>
    <w:rsid w:val="006D1496"/>
    <w:rsid w:val="006D167E"/>
    <w:rsid w:val="006D17E1"/>
    <w:rsid w:val="006D1865"/>
    <w:rsid w:val="006D18E5"/>
    <w:rsid w:val="006D1D14"/>
    <w:rsid w:val="006D2436"/>
    <w:rsid w:val="006D276C"/>
    <w:rsid w:val="006D30C2"/>
    <w:rsid w:val="006D362F"/>
    <w:rsid w:val="006D39E6"/>
    <w:rsid w:val="006D3C17"/>
    <w:rsid w:val="006D3EA1"/>
    <w:rsid w:val="006D5E6E"/>
    <w:rsid w:val="006D6764"/>
    <w:rsid w:val="006D79B7"/>
    <w:rsid w:val="006E13E3"/>
    <w:rsid w:val="006E196F"/>
    <w:rsid w:val="006E1DD9"/>
    <w:rsid w:val="006E1EBA"/>
    <w:rsid w:val="006E23CD"/>
    <w:rsid w:val="006E24E1"/>
    <w:rsid w:val="006E2884"/>
    <w:rsid w:val="006E3951"/>
    <w:rsid w:val="006E3C75"/>
    <w:rsid w:val="006E4796"/>
    <w:rsid w:val="006E4820"/>
    <w:rsid w:val="006E540A"/>
    <w:rsid w:val="006E65C1"/>
    <w:rsid w:val="006E6CE2"/>
    <w:rsid w:val="006E6E62"/>
    <w:rsid w:val="006E7A6C"/>
    <w:rsid w:val="006E7E55"/>
    <w:rsid w:val="006F187D"/>
    <w:rsid w:val="006F18CA"/>
    <w:rsid w:val="006F2D10"/>
    <w:rsid w:val="006F3CCD"/>
    <w:rsid w:val="006F3EB0"/>
    <w:rsid w:val="006F3F15"/>
    <w:rsid w:val="006F4975"/>
    <w:rsid w:val="006F4E34"/>
    <w:rsid w:val="006F4EF5"/>
    <w:rsid w:val="006F538A"/>
    <w:rsid w:val="006F5559"/>
    <w:rsid w:val="006F576D"/>
    <w:rsid w:val="006F64C1"/>
    <w:rsid w:val="006F6BBA"/>
    <w:rsid w:val="006F724A"/>
    <w:rsid w:val="0070029F"/>
    <w:rsid w:val="00700C70"/>
    <w:rsid w:val="00700FE8"/>
    <w:rsid w:val="007012B3"/>
    <w:rsid w:val="007023A3"/>
    <w:rsid w:val="00702BB7"/>
    <w:rsid w:val="00703C5F"/>
    <w:rsid w:val="00703FB6"/>
    <w:rsid w:val="007051FF"/>
    <w:rsid w:val="00705F08"/>
    <w:rsid w:val="00706531"/>
    <w:rsid w:val="0070663B"/>
    <w:rsid w:val="00706AA1"/>
    <w:rsid w:val="00706E7C"/>
    <w:rsid w:val="00707BDA"/>
    <w:rsid w:val="00707E9E"/>
    <w:rsid w:val="0071188A"/>
    <w:rsid w:val="00711EE1"/>
    <w:rsid w:val="00712521"/>
    <w:rsid w:val="0071254D"/>
    <w:rsid w:val="00712ECE"/>
    <w:rsid w:val="00713E7D"/>
    <w:rsid w:val="00714750"/>
    <w:rsid w:val="00715310"/>
    <w:rsid w:val="007153D6"/>
    <w:rsid w:val="00716394"/>
    <w:rsid w:val="00717AA3"/>
    <w:rsid w:val="007206F2"/>
    <w:rsid w:val="00720FC0"/>
    <w:rsid w:val="007216BB"/>
    <w:rsid w:val="007222F5"/>
    <w:rsid w:val="007222F9"/>
    <w:rsid w:val="007224C2"/>
    <w:rsid w:val="0072299B"/>
    <w:rsid w:val="0072353D"/>
    <w:rsid w:val="00723A1D"/>
    <w:rsid w:val="007240FE"/>
    <w:rsid w:val="00724315"/>
    <w:rsid w:val="0072481B"/>
    <w:rsid w:val="007248A7"/>
    <w:rsid w:val="007254A0"/>
    <w:rsid w:val="00726653"/>
    <w:rsid w:val="00726CD6"/>
    <w:rsid w:val="00727095"/>
    <w:rsid w:val="0073053D"/>
    <w:rsid w:val="00731BD2"/>
    <w:rsid w:val="00731E43"/>
    <w:rsid w:val="007337DC"/>
    <w:rsid w:val="00733902"/>
    <w:rsid w:val="007347DE"/>
    <w:rsid w:val="00735259"/>
    <w:rsid w:val="007358C7"/>
    <w:rsid w:val="00735D1E"/>
    <w:rsid w:val="00736156"/>
    <w:rsid w:val="00736301"/>
    <w:rsid w:val="0073641B"/>
    <w:rsid w:val="00736743"/>
    <w:rsid w:val="00736F61"/>
    <w:rsid w:val="00737281"/>
    <w:rsid w:val="007377B7"/>
    <w:rsid w:val="007405DF"/>
    <w:rsid w:val="00741040"/>
    <w:rsid w:val="00741F61"/>
    <w:rsid w:val="0074221D"/>
    <w:rsid w:val="0074238D"/>
    <w:rsid w:val="0074310A"/>
    <w:rsid w:val="00743B8C"/>
    <w:rsid w:val="007441F1"/>
    <w:rsid w:val="007446C7"/>
    <w:rsid w:val="007449B8"/>
    <w:rsid w:val="00744C7A"/>
    <w:rsid w:val="00744FD3"/>
    <w:rsid w:val="00745274"/>
    <w:rsid w:val="0074594A"/>
    <w:rsid w:val="00746952"/>
    <w:rsid w:val="00746D1D"/>
    <w:rsid w:val="0074704E"/>
    <w:rsid w:val="00747056"/>
    <w:rsid w:val="00747151"/>
    <w:rsid w:val="0074728F"/>
    <w:rsid w:val="00747734"/>
    <w:rsid w:val="00750309"/>
    <w:rsid w:val="0075164F"/>
    <w:rsid w:val="00751A15"/>
    <w:rsid w:val="00752092"/>
    <w:rsid w:val="007522E0"/>
    <w:rsid w:val="007527FC"/>
    <w:rsid w:val="007530F0"/>
    <w:rsid w:val="007538AE"/>
    <w:rsid w:val="00753CCB"/>
    <w:rsid w:val="00753F0A"/>
    <w:rsid w:val="00754872"/>
    <w:rsid w:val="00754CB4"/>
    <w:rsid w:val="0075555E"/>
    <w:rsid w:val="00755BA7"/>
    <w:rsid w:val="00755D95"/>
    <w:rsid w:val="00755DB0"/>
    <w:rsid w:val="00756F74"/>
    <w:rsid w:val="00757019"/>
    <w:rsid w:val="00757CF4"/>
    <w:rsid w:val="00757E1A"/>
    <w:rsid w:val="0076002B"/>
    <w:rsid w:val="00760815"/>
    <w:rsid w:val="00760E00"/>
    <w:rsid w:val="00762287"/>
    <w:rsid w:val="00762762"/>
    <w:rsid w:val="00762D6D"/>
    <w:rsid w:val="00763B7C"/>
    <w:rsid w:val="00763D25"/>
    <w:rsid w:val="00763E9F"/>
    <w:rsid w:val="0076403F"/>
    <w:rsid w:val="007643FD"/>
    <w:rsid w:val="00764CC6"/>
    <w:rsid w:val="0076584E"/>
    <w:rsid w:val="00765AF8"/>
    <w:rsid w:val="00766468"/>
    <w:rsid w:val="0076679C"/>
    <w:rsid w:val="00766E93"/>
    <w:rsid w:val="00767778"/>
    <w:rsid w:val="007677D7"/>
    <w:rsid w:val="0077031C"/>
    <w:rsid w:val="007704DC"/>
    <w:rsid w:val="00770A7A"/>
    <w:rsid w:val="00771068"/>
    <w:rsid w:val="0077192E"/>
    <w:rsid w:val="00771D8C"/>
    <w:rsid w:val="00772D3A"/>
    <w:rsid w:val="0077427F"/>
    <w:rsid w:val="007745F5"/>
    <w:rsid w:val="00774F6B"/>
    <w:rsid w:val="00775D35"/>
    <w:rsid w:val="007766F4"/>
    <w:rsid w:val="00777A67"/>
    <w:rsid w:val="0078022D"/>
    <w:rsid w:val="00781A39"/>
    <w:rsid w:val="00782355"/>
    <w:rsid w:val="007826AD"/>
    <w:rsid w:val="00783313"/>
    <w:rsid w:val="00783C52"/>
    <w:rsid w:val="00785158"/>
    <w:rsid w:val="007867E8"/>
    <w:rsid w:val="00786C14"/>
    <w:rsid w:val="00786E0E"/>
    <w:rsid w:val="007875DD"/>
    <w:rsid w:val="00790DE4"/>
    <w:rsid w:val="00790E3F"/>
    <w:rsid w:val="0079179D"/>
    <w:rsid w:val="00791BDD"/>
    <w:rsid w:val="00792185"/>
    <w:rsid w:val="007929A8"/>
    <w:rsid w:val="00792D39"/>
    <w:rsid w:val="00793126"/>
    <w:rsid w:val="007932DD"/>
    <w:rsid w:val="00793F2F"/>
    <w:rsid w:val="007946CC"/>
    <w:rsid w:val="00794788"/>
    <w:rsid w:val="00795E0C"/>
    <w:rsid w:val="00795EB8"/>
    <w:rsid w:val="007960FA"/>
    <w:rsid w:val="007967CF"/>
    <w:rsid w:val="00796883"/>
    <w:rsid w:val="00797147"/>
    <w:rsid w:val="00797902"/>
    <w:rsid w:val="007A087F"/>
    <w:rsid w:val="007A1A8E"/>
    <w:rsid w:val="007A1CBF"/>
    <w:rsid w:val="007A2D64"/>
    <w:rsid w:val="007A32D9"/>
    <w:rsid w:val="007A39DC"/>
    <w:rsid w:val="007A3C08"/>
    <w:rsid w:val="007A3D6D"/>
    <w:rsid w:val="007A446D"/>
    <w:rsid w:val="007A4519"/>
    <w:rsid w:val="007A54EE"/>
    <w:rsid w:val="007A583D"/>
    <w:rsid w:val="007A5B28"/>
    <w:rsid w:val="007A6203"/>
    <w:rsid w:val="007A6400"/>
    <w:rsid w:val="007A6585"/>
    <w:rsid w:val="007A6D9C"/>
    <w:rsid w:val="007A73AC"/>
    <w:rsid w:val="007A752D"/>
    <w:rsid w:val="007A75A4"/>
    <w:rsid w:val="007A7819"/>
    <w:rsid w:val="007B040E"/>
    <w:rsid w:val="007B0E13"/>
    <w:rsid w:val="007B1EB1"/>
    <w:rsid w:val="007B23B6"/>
    <w:rsid w:val="007B2608"/>
    <w:rsid w:val="007B2E8B"/>
    <w:rsid w:val="007B38C4"/>
    <w:rsid w:val="007B41B8"/>
    <w:rsid w:val="007B45A6"/>
    <w:rsid w:val="007B4935"/>
    <w:rsid w:val="007B531A"/>
    <w:rsid w:val="007B586C"/>
    <w:rsid w:val="007B6C48"/>
    <w:rsid w:val="007B7049"/>
    <w:rsid w:val="007B709A"/>
    <w:rsid w:val="007B7594"/>
    <w:rsid w:val="007C0B05"/>
    <w:rsid w:val="007C19C3"/>
    <w:rsid w:val="007C21CF"/>
    <w:rsid w:val="007C31F5"/>
    <w:rsid w:val="007C345B"/>
    <w:rsid w:val="007C38C9"/>
    <w:rsid w:val="007C39DF"/>
    <w:rsid w:val="007C3C47"/>
    <w:rsid w:val="007C3D3A"/>
    <w:rsid w:val="007C5B7B"/>
    <w:rsid w:val="007C5EC1"/>
    <w:rsid w:val="007C654B"/>
    <w:rsid w:val="007C67B3"/>
    <w:rsid w:val="007C68BD"/>
    <w:rsid w:val="007C70F0"/>
    <w:rsid w:val="007C7C47"/>
    <w:rsid w:val="007D07A0"/>
    <w:rsid w:val="007D124E"/>
    <w:rsid w:val="007D12B8"/>
    <w:rsid w:val="007D34CA"/>
    <w:rsid w:val="007D4016"/>
    <w:rsid w:val="007D4397"/>
    <w:rsid w:val="007D44A5"/>
    <w:rsid w:val="007D4786"/>
    <w:rsid w:val="007D4BAB"/>
    <w:rsid w:val="007D679D"/>
    <w:rsid w:val="007D6818"/>
    <w:rsid w:val="007D6863"/>
    <w:rsid w:val="007D78E3"/>
    <w:rsid w:val="007E053E"/>
    <w:rsid w:val="007E0C0D"/>
    <w:rsid w:val="007E0EC6"/>
    <w:rsid w:val="007E0ED1"/>
    <w:rsid w:val="007E1C5A"/>
    <w:rsid w:val="007E20B7"/>
    <w:rsid w:val="007E28A0"/>
    <w:rsid w:val="007E3F4C"/>
    <w:rsid w:val="007E453F"/>
    <w:rsid w:val="007E46DA"/>
    <w:rsid w:val="007E4883"/>
    <w:rsid w:val="007E4CA5"/>
    <w:rsid w:val="007E5337"/>
    <w:rsid w:val="007E5806"/>
    <w:rsid w:val="007E5850"/>
    <w:rsid w:val="007E6824"/>
    <w:rsid w:val="007E6D33"/>
    <w:rsid w:val="007E74CF"/>
    <w:rsid w:val="007E7AFD"/>
    <w:rsid w:val="007E7DA7"/>
    <w:rsid w:val="007F0561"/>
    <w:rsid w:val="007F142D"/>
    <w:rsid w:val="007F2154"/>
    <w:rsid w:val="007F2457"/>
    <w:rsid w:val="007F30AB"/>
    <w:rsid w:val="007F39FA"/>
    <w:rsid w:val="007F3A04"/>
    <w:rsid w:val="007F491D"/>
    <w:rsid w:val="007F4FE6"/>
    <w:rsid w:val="007F6178"/>
    <w:rsid w:val="007F6E59"/>
    <w:rsid w:val="007F7A67"/>
    <w:rsid w:val="008002FF"/>
    <w:rsid w:val="00800FEF"/>
    <w:rsid w:val="00801694"/>
    <w:rsid w:val="00801752"/>
    <w:rsid w:val="00801FF2"/>
    <w:rsid w:val="00802335"/>
    <w:rsid w:val="0080244C"/>
    <w:rsid w:val="00802616"/>
    <w:rsid w:val="00802901"/>
    <w:rsid w:val="00802B1A"/>
    <w:rsid w:val="00803291"/>
    <w:rsid w:val="008034A0"/>
    <w:rsid w:val="008034E1"/>
    <w:rsid w:val="00803832"/>
    <w:rsid w:val="00804079"/>
    <w:rsid w:val="0080472B"/>
    <w:rsid w:val="00804F95"/>
    <w:rsid w:val="00806848"/>
    <w:rsid w:val="00806A8D"/>
    <w:rsid w:val="008070C9"/>
    <w:rsid w:val="00807795"/>
    <w:rsid w:val="00810770"/>
    <w:rsid w:val="00810C57"/>
    <w:rsid w:val="008121DC"/>
    <w:rsid w:val="00812530"/>
    <w:rsid w:val="00813C00"/>
    <w:rsid w:val="00813E21"/>
    <w:rsid w:val="00814089"/>
    <w:rsid w:val="00814D01"/>
    <w:rsid w:val="00814E15"/>
    <w:rsid w:val="008151B6"/>
    <w:rsid w:val="00815D36"/>
    <w:rsid w:val="00815FAA"/>
    <w:rsid w:val="00816291"/>
    <w:rsid w:val="00817689"/>
    <w:rsid w:val="0081784C"/>
    <w:rsid w:val="008178D3"/>
    <w:rsid w:val="008208F1"/>
    <w:rsid w:val="00821779"/>
    <w:rsid w:val="0082285D"/>
    <w:rsid w:val="0082331F"/>
    <w:rsid w:val="00823DAC"/>
    <w:rsid w:val="008245F5"/>
    <w:rsid w:val="0082493F"/>
    <w:rsid w:val="00824C78"/>
    <w:rsid w:val="008264FD"/>
    <w:rsid w:val="00826C9B"/>
    <w:rsid w:val="00827184"/>
    <w:rsid w:val="0082751E"/>
    <w:rsid w:val="00827B78"/>
    <w:rsid w:val="008302D0"/>
    <w:rsid w:val="00830307"/>
    <w:rsid w:val="00831027"/>
    <w:rsid w:val="00833A06"/>
    <w:rsid w:val="00834DBD"/>
    <w:rsid w:val="00834F62"/>
    <w:rsid w:val="00835298"/>
    <w:rsid w:val="008358C7"/>
    <w:rsid w:val="00836205"/>
    <w:rsid w:val="00836272"/>
    <w:rsid w:val="008362C4"/>
    <w:rsid w:val="008363F4"/>
    <w:rsid w:val="00836C67"/>
    <w:rsid w:val="00840261"/>
    <w:rsid w:val="00840A02"/>
    <w:rsid w:val="00840CBE"/>
    <w:rsid w:val="00840FFD"/>
    <w:rsid w:val="00841356"/>
    <w:rsid w:val="0084140C"/>
    <w:rsid w:val="00842CAD"/>
    <w:rsid w:val="00842E10"/>
    <w:rsid w:val="00842F1A"/>
    <w:rsid w:val="0084333E"/>
    <w:rsid w:val="008433DA"/>
    <w:rsid w:val="00844263"/>
    <w:rsid w:val="008445DA"/>
    <w:rsid w:val="00844886"/>
    <w:rsid w:val="00844FE8"/>
    <w:rsid w:val="008455DF"/>
    <w:rsid w:val="0084592E"/>
    <w:rsid w:val="00846FED"/>
    <w:rsid w:val="00847B3F"/>
    <w:rsid w:val="00850D31"/>
    <w:rsid w:val="0085161C"/>
    <w:rsid w:val="00851999"/>
    <w:rsid w:val="00851A7D"/>
    <w:rsid w:val="00851E70"/>
    <w:rsid w:val="00851F67"/>
    <w:rsid w:val="00851FF5"/>
    <w:rsid w:val="00853D16"/>
    <w:rsid w:val="0085414E"/>
    <w:rsid w:val="00854347"/>
    <w:rsid w:val="008543A1"/>
    <w:rsid w:val="00854F1C"/>
    <w:rsid w:val="00856DCD"/>
    <w:rsid w:val="00857A8E"/>
    <w:rsid w:val="00857DEF"/>
    <w:rsid w:val="0086069E"/>
    <w:rsid w:val="00861213"/>
    <w:rsid w:val="00861580"/>
    <w:rsid w:val="00862C3D"/>
    <w:rsid w:val="0086454A"/>
    <w:rsid w:val="00864858"/>
    <w:rsid w:val="008653A5"/>
    <w:rsid w:val="00865690"/>
    <w:rsid w:val="00866CDF"/>
    <w:rsid w:val="00867EBF"/>
    <w:rsid w:val="00870343"/>
    <w:rsid w:val="00870BF4"/>
    <w:rsid w:val="00871931"/>
    <w:rsid w:val="00871AF4"/>
    <w:rsid w:val="00872066"/>
    <w:rsid w:val="00872192"/>
    <w:rsid w:val="00872620"/>
    <w:rsid w:val="00872EFB"/>
    <w:rsid w:val="00873F21"/>
    <w:rsid w:val="00876A5E"/>
    <w:rsid w:val="00877EF5"/>
    <w:rsid w:val="0088033A"/>
    <w:rsid w:val="00880954"/>
    <w:rsid w:val="00880A7E"/>
    <w:rsid w:val="00881466"/>
    <w:rsid w:val="0088178D"/>
    <w:rsid w:val="00881894"/>
    <w:rsid w:val="00881B12"/>
    <w:rsid w:val="00881EEB"/>
    <w:rsid w:val="00881F31"/>
    <w:rsid w:val="008822D1"/>
    <w:rsid w:val="008827EB"/>
    <w:rsid w:val="00882B18"/>
    <w:rsid w:val="008837D8"/>
    <w:rsid w:val="008844BC"/>
    <w:rsid w:val="008846E3"/>
    <w:rsid w:val="00884821"/>
    <w:rsid w:val="00884E42"/>
    <w:rsid w:val="008854F2"/>
    <w:rsid w:val="00885AC5"/>
    <w:rsid w:val="008864F9"/>
    <w:rsid w:val="008865D6"/>
    <w:rsid w:val="008874E8"/>
    <w:rsid w:val="00890820"/>
    <w:rsid w:val="00891237"/>
    <w:rsid w:val="008917A2"/>
    <w:rsid w:val="00891EA3"/>
    <w:rsid w:val="00892ADA"/>
    <w:rsid w:val="00892E65"/>
    <w:rsid w:val="00893094"/>
    <w:rsid w:val="00894500"/>
    <w:rsid w:val="008945FB"/>
    <w:rsid w:val="008948E9"/>
    <w:rsid w:val="00894D2A"/>
    <w:rsid w:val="00894E12"/>
    <w:rsid w:val="00895608"/>
    <w:rsid w:val="0089579F"/>
    <w:rsid w:val="00896629"/>
    <w:rsid w:val="0089666C"/>
    <w:rsid w:val="008975F8"/>
    <w:rsid w:val="00897661"/>
    <w:rsid w:val="008A0CCB"/>
    <w:rsid w:val="008A151A"/>
    <w:rsid w:val="008A2915"/>
    <w:rsid w:val="008A2B9F"/>
    <w:rsid w:val="008A302A"/>
    <w:rsid w:val="008A4E76"/>
    <w:rsid w:val="008A5275"/>
    <w:rsid w:val="008A6943"/>
    <w:rsid w:val="008B03F9"/>
    <w:rsid w:val="008B064D"/>
    <w:rsid w:val="008B0B9D"/>
    <w:rsid w:val="008B24DA"/>
    <w:rsid w:val="008B4EF3"/>
    <w:rsid w:val="008B5E6E"/>
    <w:rsid w:val="008B6F27"/>
    <w:rsid w:val="008B7423"/>
    <w:rsid w:val="008B7A5D"/>
    <w:rsid w:val="008B7EBB"/>
    <w:rsid w:val="008C08C9"/>
    <w:rsid w:val="008C14F3"/>
    <w:rsid w:val="008C2A0F"/>
    <w:rsid w:val="008C3274"/>
    <w:rsid w:val="008C3356"/>
    <w:rsid w:val="008C35AD"/>
    <w:rsid w:val="008C35D5"/>
    <w:rsid w:val="008C41CA"/>
    <w:rsid w:val="008C44A1"/>
    <w:rsid w:val="008C451C"/>
    <w:rsid w:val="008C47AB"/>
    <w:rsid w:val="008C4BE2"/>
    <w:rsid w:val="008C4DFF"/>
    <w:rsid w:val="008C55B3"/>
    <w:rsid w:val="008C56D8"/>
    <w:rsid w:val="008C5931"/>
    <w:rsid w:val="008C6C60"/>
    <w:rsid w:val="008C6CF0"/>
    <w:rsid w:val="008C780B"/>
    <w:rsid w:val="008C7C0C"/>
    <w:rsid w:val="008D02E0"/>
    <w:rsid w:val="008D0349"/>
    <w:rsid w:val="008D0B42"/>
    <w:rsid w:val="008D0F82"/>
    <w:rsid w:val="008D2C09"/>
    <w:rsid w:val="008D319B"/>
    <w:rsid w:val="008D35A3"/>
    <w:rsid w:val="008D3A2B"/>
    <w:rsid w:val="008D3BDC"/>
    <w:rsid w:val="008D4293"/>
    <w:rsid w:val="008D484D"/>
    <w:rsid w:val="008D59D5"/>
    <w:rsid w:val="008D5FB4"/>
    <w:rsid w:val="008D7744"/>
    <w:rsid w:val="008E0605"/>
    <w:rsid w:val="008E1A59"/>
    <w:rsid w:val="008E4285"/>
    <w:rsid w:val="008E57BE"/>
    <w:rsid w:val="008E5973"/>
    <w:rsid w:val="008E5AD7"/>
    <w:rsid w:val="008E5C7F"/>
    <w:rsid w:val="008E5CFF"/>
    <w:rsid w:val="008E6539"/>
    <w:rsid w:val="008E7213"/>
    <w:rsid w:val="008E7649"/>
    <w:rsid w:val="008E79BC"/>
    <w:rsid w:val="008F0327"/>
    <w:rsid w:val="008F11E1"/>
    <w:rsid w:val="008F216B"/>
    <w:rsid w:val="008F2CA9"/>
    <w:rsid w:val="008F3866"/>
    <w:rsid w:val="008F41B8"/>
    <w:rsid w:val="008F494C"/>
    <w:rsid w:val="008F4DE2"/>
    <w:rsid w:val="008F527B"/>
    <w:rsid w:val="008F534F"/>
    <w:rsid w:val="008F5642"/>
    <w:rsid w:val="008F5CC1"/>
    <w:rsid w:val="008F6210"/>
    <w:rsid w:val="008F6407"/>
    <w:rsid w:val="008F66A7"/>
    <w:rsid w:val="008F66F7"/>
    <w:rsid w:val="008F674F"/>
    <w:rsid w:val="008F766D"/>
    <w:rsid w:val="00900079"/>
    <w:rsid w:val="00900654"/>
    <w:rsid w:val="00900E5D"/>
    <w:rsid w:val="009018CF"/>
    <w:rsid w:val="00902AA8"/>
    <w:rsid w:val="009035A7"/>
    <w:rsid w:val="009041CC"/>
    <w:rsid w:val="009047C8"/>
    <w:rsid w:val="009050E8"/>
    <w:rsid w:val="009053C6"/>
    <w:rsid w:val="00905DDB"/>
    <w:rsid w:val="0090615F"/>
    <w:rsid w:val="00907F7D"/>
    <w:rsid w:val="00911418"/>
    <w:rsid w:val="00911504"/>
    <w:rsid w:val="00912550"/>
    <w:rsid w:val="00912F7B"/>
    <w:rsid w:val="00913A29"/>
    <w:rsid w:val="009145E2"/>
    <w:rsid w:val="00914FFD"/>
    <w:rsid w:val="0091538A"/>
    <w:rsid w:val="0091597C"/>
    <w:rsid w:val="009166E5"/>
    <w:rsid w:val="00917019"/>
    <w:rsid w:val="0091747B"/>
    <w:rsid w:val="00917AF0"/>
    <w:rsid w:val="0092030B"/>
    <w:rsid w:val="009212F5"/>
    <w:rsid w:val="00921510"/>
    <w:rsid w:val="00922324"/>
    <w:rsid w:val="009227B3"/>
    <w:rsid w:val="00923AE5"/>
    <w:rsid w:val="00925609"/>
    <w:rsid w:val="00925BCC"/>
    <w:rsid w:val="009267E3"/>
    <w:rsid w:val="00926E3E"/>
    <w:rsid w:val="00927BE1"/>
    <w:rsid w:val="00927DE8"/>
    <w:rsid w:val="00930269"/>
    <w:rsid w:val="00930A07"/>
    <w:rsid w:val="00930A86"/>
    <w:rsid w:val="00930AFB"/>
    <w:rsid w:val="00931065"/>
    <w:rsid w:val="00931347"/>
    <w:rsid w:val="00931B0D"/>
    <w:rsid w:val="009320E8"/>
    <w:rsid w:val="0093337B"/>
    <w:rsid w:val="00934191"/>
    <w:rsid w:val="009342C2"/>
    <w:rsid w:val="00934753"/>
    <w:rsid w:val="00935199"/>
    <w:rsid w:val="00935698"/>
    <w:rsid w:val="00935E71"/>
    <w:rsid w:val="00935FCD"/>
    <w:rsid w:val="00936D91"/>
    <w:rsid w:val="0093721C"/>
    <w:rsid w:val="00937392"/>
    <w:rsid w:val="0093773C"/>
    <w:rsid w:val="00941251"/>
    <w:rsid w:val="009417A9"/>
    <w:rsid w:val="00942248"/>
    <w:rsid w:val="0094265C"/>
    <w:rsid w:val="00943260"/>
    <w:rsid w:val="00943CD2"/>
    <w:rsid w:val="009441AE"/>
    <w:rsid w:val="00944C73"/>
    <w:rsid w:val="00946148"/>
    <w:rsid w:val="009464E1"/>
    <w:rsid w:val="00947216"/>
    <w:rsid w:val="00951235"/>
    <w:rsid w:val="00951F20"/>
    <w:rsid w:val="009522EB"/>
    <w:rsid w:val="0095275C"/>
    <w:rsid w:val="00954085"/>
    <w:rsid w:val="0095444F"/>
    <w:rsid w:val="00954955"/>
    <w:rsid w:val="00954BCC"/>
    <w:rsid w:val="00954E4D"/>
    <w:rsid w:val="00956AB6"/>
    <w:rsid w:val="009570F1"/>
    <w:rsid w:val="009577D8"/>
    <w:rsid w:val="00957E9F"/>
    <w:rsid w:val="0096001B"/>
    <w:rsid w:val="009606FC"/>
    <w:rsid w:val="00960781"/>
    <w:rsid w:val="00960B05"/>
    <w:rsid w:val="00961812"/>
    <w:rsid w:val="00962149"/>
    <w:rsid w:val="0096290E"/>
    <w:rsid w:val="00962AEA"/>
    <w:rsid w:val="00962C78"/>
    <w:rsid w:val="0096420F"/>
    <w:rsid w:val="00964438"/>
    <w:rsid w:val="00965A2B"/>
    <w:rsid w:val="00965FEE"/>
    <w:rsid w:val="00966277"/>
    <w:rsid w:val="009666A9"/>
    <w:rsid w:val="0096689D"/>
    <w:rsid w:val="0096764F"/>
    <w:rsid w:val="00970694"/>
    <w:rsid w:val="00970C82"/>
    <w:rsid w:val="009719D3"/>
    <w:rsid w:val="00971F19"/>
    <w:rsid w:val="009729BF"/>
    <w:rsid w:val="00972B2E"/>
    <w:rsid w:val="00972C56"/>
    <w:rsid w:val="00972C9A"/>
    <w:rsid w:val="009732C0"/>
    <w:rsid w:val="009732D5"/>
    <w:rsid w:val="00973DE3"/>
    <w:rsid w:val="00973E80"/>
    <w:rsid w:val="00974289"/>
    <w:rsid w:val="00974680"/>
    <w:rsid w:val="00974A38"/>
    <w:rsid w:val="00975BF1"/>
    <w:rsid w:val="00975F26"/>
    <w:rsid w:val="00975FEB"/>
    <w:rsid w:val="00976388"/>
    <w:rsid w:val="009769B8"/>
    <w:rsid w:val="00977365"/>
    <w:rsid w:val="0097778C"/>
    <w:rsid w:val="00977CCB"/>
    <w:rsid w:val="0098193A"/>
    <w:rsid w:val="0098299E"/>
    <w:rsid w:val="00983575"/>
    <w:rsid w:val="00984906"/>
    <w:rsid w:val="00985ADA"/>
    <w:rsid w:val="009863A5"/>
    <w:rsid w:val="00986B33"/>
    <w:rsid w:val="00987842"/>
    <w:rsid w:val="0099090C"/>
    <w:rsid w:val="00991A13"/>
    <w:rsid w:val="00992C1D"/>
    <w:rsid w:val="0099382D"/>
    <w:rsid w:val="00994F1E"/>
    <w:rsid w:val="00994F5F"/>
    <w:rsid w:val="009956EE"/>
    <w:rsid w:val="00995F4A"/>
    <w:rsid w:val="00996727"/>
    <w:rsid w:val="009968F4"/>
    <w:rsid w:val="009969D8"/>
    <w:rsid w:val="00996BC2"/>
    <w:rsid w:val="00996CCF"/>
    <w:rsid w:val="00997DAE"/>
    <w:rsid w:val="009A10BE"/>
    <w:rsid w:val="009A264F"/>
    <w:rsid w:val="009A286B"/>
    <w:rsid w:val="009A2AB7"/>
    <w:rsid w:val="009A31BD"/>
    <w:rsid w:val="009A4148"/>
    <w:rsid w:val="009A4FE5"/>
    <w:rsid w:val="009A5886"/>
    <w:rsid w:val="009A58B1"/>
    <w:rsid w:val="009A69B1"/>
    <w:rsid w:val="009A6A83"/>
    <w:rsid w:val="009A6DBB"/>
    <w:rsid w:val="009A6E55"/>
    <w:rsid w:val="009A7A2F"/>
    <w:rsid w:val="009A7D78"/>
    <w:rsid w:val="009A7F7D"/>
    <w:rsid w:val="009B0279"/>
    <w:rsid w:val="009B14CE"/>
    <w:rsid w:val="009B24AF"/>
    <w:rsid w:val="009B256E"/>
    <w:rsid w:val="009B31BA"/>
    <w:rsid w:val="009B3DC8"/>
    <w:rsid w:val="009B52EC"/>
    <w:rsid w:val="009B5743"/>
    <w:rsid w:val="009B5DB5"/>
    <w:rsid w:val="009B69BB"/>
    <w:rsid w:val="009B7283"/>
    <w:rsid w:val="009B736B"/>
    <w:rsid w:val="009B7FCE"/>
    <w:rsid w:val="009C082A"/>
    <w:rsid w:val="009C0CFD"/>
    <w:rsid w:val="009C0FF4"/>
    <w:rsid w:val="009C1C4F"/>
    <w:rsid w:val="009C1D6F"/>
    <w:rsid w:val="009C27C2"/>
    <w:rsid w:val="009C3318"/>
    <w:rsid w:val="009C3468"/>
    <w:rsid w:val="009C43A7"/>
    <w:rsid w:val="009C4A09"/>
    <w:rsid w:val="009C505E"/>
    <w:rsid w:val="009C5587"/>
    <w:rsid w:val="009C66A3"/>
    <w:rsid w:val="009C67B4"/>
    <w:rsid w:val="009C7638"/>
    <w:rsid w:val="009D0289"/>
    <w:rsid w:val="009D0DD2"/>
    <w:rsid w:val="009D1F6D"/>
    <w:rsid w:val="009D25A2"/>
    <w:rsid w:val="009D2718"/>
    <w:rsid w:val="009D2C30"/>
    <w:rsid w:val="009D3728"/>
    <w:rsid w:val="009D4469"/>
    <w:rsid w:val="009D4988"/>
    <w:rsid w:val="009D5B81"/>
    <w:rsid w:val="009D5D26"/>
    <w:rsid w:val="009D68C2"/>
    <w:rsid w:val="009D72F4"/>
    <w:rsid w:val="009E0420"/>
    <w:rsid w:val="009E0C8B"/>
    <w:rsid w:val="009E282B"/>
    <w:rsid w:val="009E3A70"/>
    <w:rsid w:val="009E3F28"/>
    <w:rsid w:val="009E4209"/>
    <w:rsid w:val="009E4883"/>
    <w:rsid w:val="009E4F2B"/>
    <w:rsid w:val="009E5541"/>
    <w:rsid w:val="009E6BD3"/>
    <w:rsid w:val="009E7A88"/>
    <w:rsid w:val="009F057F"/>
    <w:rsid w:val="009F14E8"/>
    <w:rsid w:val="009F1980"/>
    <w:rsid w:val="009F1F21"/>
    <w:rsid w:val="009F2DE9"/>
    <w:rsid w:val="009F2F79"/>
    <w:rsid w:val="009F3094"/>
    <w:rsid w:val="009F384E"/>
    <w:rsid w:val="009F40F3"/>
    <w:rsid w:val="009F494E"/>
    <w:rsid w:val="009F4EB8"/>
    <w:rsid w:val="009F5613"/>
    <w:rsid w:val="009F5982"/>
    <w:rsid w:val="009F5EB4"/>
    <w:rsid w:val="009F6DF8"/>
    <w:rsid w:val="009F6FC9"/>
    <w:rsid w:val="009F78F8"/>
    <w:rsid w:val="009F7A63"/>
    <w:rsid w:val="00A0085F"/>
    <w:rsid w:val="00A027E6"/>
    <w:rsid w:val="00A02D54"/>
    <w:rsid w:val="00A03254"/>
    <w:rsid w:val="00A044D2"/>
    <w:rsid w:val="00A04962"/>
    <w:rsid w:val="00A059B6"/>
    <w:rsid w:val="00A05B29"/>
    <w:rsid w:val="00A05DCC"/>
    <w:rsid w:val="00A0619B"/>
    <w:rsid w:val="00A06743"/>
    <w:rsid w:val="00A06FA7"/>
    <w:rsid w:val="00A077B1"/>
    <w:rsid w:val="00A07BC4"/>
    <w:rsid w:val="00A07D16"/>
    <w:rsid w:val="00A105E9"/>
    <w:rsid w:val="00A109AD"/>
    <w:rsid w:val="00A10A7A"/>
    <w:rsid w:val="00A10BC1"/>
    <w:rsid w:val="00A120B2"/>
    <w:rsid w:val="00A120C8"/>
    <w:rsid w:val="00A12146"/>
    <w:rsid w:val="00A12A96"/>
    <w:rsid w:val="00A14E37"/>
    <w:rsid w:val="00A1557C"/>
    <w:rsid w:val="00A155FA"/>
    <w:rsid w:val="00A15C8B"/>
    <w:rsid w:val="00A16886"/>
    <w:rsid w:val="00A168A3"/>
    <w:rsid w:val="00A202D0"/>
    <w:rsid w:val="00A20831"/>
    <w:rsid w:val="00A21E48"/>
    <w:rsid w:val="00A2304C"/>
    <w:rsid w:val="00A23836"/>
    <w:rsid w:val="00A23E52"/>
    <w:rsid w:val="00A23F8D"/>
    <w:rsid w:val="00A245DE"/>
    <w:rsid w:val="00A24BAA"/>
    <w:rsid w:val="00A25767"/>
    <w:rsid w:val="00A25A37"/>
    <w:rsid w:val="00A266F4"/>
    <w:rsid w:val="00A26CD4"/>
    <w:rsid w:val="00A27360"/>
    <w:rsid w:val="00A2763E"/>
    <w:rsid w:val="00A30308"/>
    <w:rsid w:val="00A303E2"/>
    <w:rsid w:val="00A30CE1"/>
    <w:rsid w:val="00A30D69"/>
    <w:rsid w:val="00A31184"/>
    <w:rsid w:val="00A31FEB"/>
    <w:rsid w:val="00A32067"/>
    <w:rsid w:val="00A32D93"/>
    <w:rsid w:val="00A333B7"/>
    <w:rsid w:val="00A3346B"/>
    <w:rsid w:val="00A33AFD"/>
    <w:rsid w:val="00A33FEC"/>
    <w:rsid w:val="00A34743"/>
    <w:rsid w:val="00A34D66"/>
    <w:rsid w:val="00A35636"/>
    <w:rsid w:val="00A372ED"/>
    <w:rsid w:val="00A379AC"/>
    <w:rsid w:val="00A4012E"/>
    <w:rsid w:val="00A40665"/>
    <w:rsid w:val="00A40BA6"/>
    <w:rsid w:val="00A41C13"/>
    <w:rsid w:val="00A43CB0"/>
    <w:rsid w:val="00A44A3C"/>
    <w:rsid w:val="00A44DE5"/>
    <w:rsid w:val="00A450C8"/>
    <w:rsid w:val="00A455B4"/>
    <w:rsid w:val="00A457AE"/>
    <w:rsid w:val="00A457B5"/>
    <w:rsid w:val="00A45D3B"/>
    <w:rsid w:val="00A47447"/>
    <w:rsid w:val="00A50977"/>
    <w:rsid w:val="00A50FA4"/>
    <w:rsid w:val="00A5152F"/>
    <w:rsid w:val="00A51D39"/>
    <w:rsid w:val="00A522B5"/>
    <w:rsid w:val="00A524DA"/>
    <w:rsid w:val="00A52CA1"/>
    <w:rsid w:val="00A52DD8"/>
    <w:rsid w:val="00A5341D"/>
    <w:rsid w:val="00A53987"/>
    <w:rsid w:val="00A53DCD"/>
    <w:rsid w:val="00A53ED4"/>
    <w:rsid w:val="00A543DA"/>
    <w:rsid w:val="00A54664"/>
    <w:rsid w:val="00A54FDF"/>
    <w:rsid w:val="00A5611C"/>
    <w:rsid w:val="00A568AB"/>
    <w:rsid w:val="00A578C7"/>
    <w:rsid w:val="00A600DF"/>
    <w:rsid w:val="00A60149"/>
    <w:rsid w:val="00A6071A"/>
    <w:rsid w:val="00A60AF2"/>
    <w:rsid w:val="00A60F46"/>
    <w:rsid w:val="00A60F8D"/>
    <w:rsid w:val="00A611E5"/>
    <w:rsid w:val="00A616D5"/>
    <w:rsid w:val="00A6252A"/>
    <w:rsid w:val="00A6254C"/>
    <w:rsid w:val="00A62782"/>
    <w:rsid w:val="00A62A1C"/>
    <w:rsid w:val="00A631AD"/>
    <w:rsid w:val="00A632CC"/>
    <w:rsid w:val="00A63A48"/>
    <w:rsid w:val="00A64913"/>
    <w:rsid w:val="00A64F60"/>
    <w:rsid w:val="00A65065"/>
    <w:rsid w:val="00A65278"/>
    <w:rsid w:val="00A6533B"/>
    <w:rsid w:val="00A65D59"/>
    <w:rsid w:val="00A65D79"/>
    <w:rsid w:val="00A660F0"/>
    <w:rsid w:val="00A66338"/>
    <w:rsid w:val="00A6697E"/>
    <w:rsid w:val="00A67595"/>
    <w:rsid w:val="00A677E6"/>
    <w:rsid w:val="00A67FC8"/>
    <w:rsid w:val="00A7010E"/>
    <w:rsid w:val="00A70231"/>
    <w:rsid w:val="00A7170B"/>
    <w:rsid w:val="00A71AEF"/>
    <w:rsid w:val="00A725EC"/>
    <w:rsid w:val="00A726A0"/>
    <w:rsid w:val="00A72B47"/>
    <w:rsid w:val="00A73D44"/>
    <w:rsid w:val="00A7451C"/>
    <w:rsid w:val="00A74910"/>
    <w:rsid w:val="00A759A6"/>
    <w:rsid w:val="00A75D15"/>
    <w:rsid w:val="00A76054"/>
    <w:rsid w:val="00A768E3"/>
    <w:rsid w:val="00A76CC4"/>
    <w:rsid w:val="00A773A8"/>
    <w:rsid w:val="00A77974"/>
    <w:rsid w:val="00A77BCF"/>
    <w:rsid w:val="00A80573"/>
    <w:rsid w:val="00A8065C"/>
    <w:rsid w:val="00A809CE"/>
    <w:rsid w:val="00A81333"/>
    <w:rsid w:val="00A81C7A"/>
    <w:rsid w:val="00A81D1B"/>
    <w:rsid w:val="00A821D1"/>
    <w:rsid w:val="00A83273"/>
    <w:rsid w:val="00A832CE"/>
    <w:rsid w:val="00A83F38"/>
    <w:rsid w:val="00A84008"/>
    <w:rsid w:val="00A84363"/>
    <w:rsid w:val="00A851E7"/>
    <w:rsid w:val="00A8593E"/>
    <w:rsid w:val="00A8651E"/>
    <w:rsid w:val="00A8673B"/>
    <w:rsid w:val="00A872BA"/>
    <w:rsid w:val="00A878EB"/>
    <w:rsid w:val="00A903C7"/>
    <w:rsid w:val="00A904D5"/>
    <w:rsid w:val="00A91AB3"/>
    <w:rsid w:val="00A9242D"/>
    <w:rsid w:val="00A926D8"/>
    <w:rsid w:val="00A927B4"/>
    <w:rsid w:val="00A9410C"/>
    <w:rsid w:val="00A954D4"/>
    <w:rsid w:val="00A95A2D"/>
    <w:rsid w:val="00A968B3"/>
    <w:rsid w:val="00A96FA3"/>
    <w:rsid w:val="00AA0571"/>
    <w:rsid w:val="00AA077C"/>
    <w:rsid w:val="00AA08FD"/>
    <w:rsid w:val="00AA0C8B"/>
    <w:rsid w:val="00AA0F51"/>
    <w:rsid w:val="00AA1C1F"/>
    <w:rsid w:val="00AA1E9F"/>
    <w:rsid w:val="00AA4069"/>
    <w:rsid w:val="00AA5352"/>
    <w:rsid w:val="00AA6377"/>
    <w:rsid w:val="00AA7076"/>
    <w:rsid w:val="00AA783A"/>
    <w:rsid w:val="00AA7C3C"/>
    <w:rsid w:val="00AA7FA1"/>
    <w:rsid w:val="00AB0E92"/>
    <w:rsid w:val="00AB1B6C"/>
    <w:rsid w:val="00AB1C08"/>
    <w:rsid w:val="00AB1C41"/>
    <w:rsid w:val="00AB1D77"/>
    <w:rsid w:val="00AB21D7"/>
    <w:rsid w:val="00AB246F"/>
    <w:rsid w:val="00AB2D12"/>
    <w:rsid w:val="00AB32E3"/>
    <w:rsid w:val="00AB4C1C"/>
    <w:rsid w:val="00AB4CEF"/>
    <w:rsid w:val="00AB4D3A"/>
    <w:rsid w:val="00AB4E46"/>
    <w:rsid w:val="00AB5210"/>
    <w:rsid w:val="00AB5262"/>
    <w:rsid w:val="00AB5375"/>
    <w:rsid w:val="00AB6B8C"/>
    <w:rsid w:val="00AB6CF0"/>
    <w:rsid w:val="00AB6E44"/>
    <w:rsid w:val="00AB6ED2"/>
    <w:rsid w:val="00AB7168"/>
    <w:rsid w:val="00AC12A2"/>
    <w:rsid w:val="00AC1440"/>
    <w:rsid w:val="00AC145B"/>
    <w:rsid w:val="00AC15C3"/>
    <w:rsid w:val="00AC26EA"/>
    <w:rsid w:val="00AC2D76"/>
    <w:rsid w:val="00AC3B8E"/>
    <w:rsid w:val="00AC3E40"/>
    <w:rsid w:val="00AC4232"/>
    <w:rsid w:val="00AC4D64"/>
    <w:rsid w:val="00AC4FC4"/>
    <w:rsid w:val="00AC5000"/>
    <w:rsid w:val="00AC6709"/>
    <w:rsid w:val="00AC6E10"/>
    <w:rsid w:val="00AC6E43"/>
    <w:rsid w:val="00AC7D3F"/>
    <w:rsid w:val="00AD00CA"/>
    <w:rsid w:val="00AD093E"/>
    <w:rsid w:val="00AD0AE7"/>
    <w:rsid w:val="00AD105A"/>
    <w:rsid w:val="00AD1621"/>
    <w:rsid w:val="00AD2FC6"/>
    <w:rsid w:val="00AD3181"/>
    <w:rsid w:val="00AD3EE3"/>
    <w:rsid w:val="00AD4936"/>
    <w:rsid w:val="00AD49DF"/>
    <w:rsid w:val="00AD4B99"/>
    <w:rsid w:val="00AD4EA7"/>
    <w:rsid w:val="00AD5C9E"/>
    <w:rsid w:val="00AD5D67"/>
    <w:rsid w:val="00AE06AA"/>
    <w:rsid w:val="00AE15D5"/>
    <w:rsid w:val="00AE16FA"/>
    <w:rsid w:val="00AE1CC8"/>
    <w:rsid w:val="00AE25F4"/>
    <w:rsid w:val="00AE2794"/>
    <w:rsid w:val="00AE2CB9"/>
    <w:rsid w:val="00AE408C"/>
    <w:rsid w:val="00AE499C"/>
    <w:rsid w:val="00AE5F1B"/>
    <w:rsid w:val="00AE6227"/>
    <w:rsid w:val="00AE66BF"/>
    <w:rsid w:val="00AE6741"/>
    <w:rsid w:val="00AE675E"/>
    <w:rsid w:val="00AE6D55"/>
    <w:rsid w:val="00AE7B92"/>
    <w:rsid w:val="00AF05B0"/>
    <w:rsid w:val="00AF1B7B"/>
    <w:rsid w:val="00AF2A52"/>
    <w:rsid w:val="00AF30A5"/>
    <w:rsid w:val="00AF3253"/>
    <w:rsid w:val="00AF35E7"/>
    <w:rsid w:val="00AF4996"/>
    <w:rsid w:val="00AF4B39"/>
    <w:rsid w:val="00AF6A69"/>
    <w:rsid w:val="00AF6BAA"/>
    <w:rsid w:val="00AF6C35"/>
    <w:rsid w:val="00AF78D8"/>
    <w:rsid w:val="00B001ED"/>
    <w:rsid w:val="00B01D05"/>
    <w:rsid w:val="00B02A41"/>
    <w:rsid w:val="00B0460F"/>
    <w:rsid w:val="00B0494F"/>
    <w:rsid w:val="00B0504C"/>
    <w:rsid w:val="00B053EF"/>
    <w:rsid w:val="00B054DF"/>
    <w:rsid w:val="00B0551E"/>
    <w:rsid w:val="00B055FA"/>
    <w:rsid w:val="00B0564F"/>
    <w:rsid w:val="00B059A9"/>
    <w:rsid w:val="00B06260"/>
    <w:rsid w:val="00B07069"/>
    <w:rsid w:val="00B073D5"/>
    <w:rsid w:val="00B128E2"/>
    <w:rsid w:val="00B12DCB"/>
    <w:rsid w:val="00B1303D"/>
    <w:rsid w:val="00B1379A"/>
    <w:rsid w:val="00B13CA6"/>
    <w:rsid w:val="00B15CA2"/>
    <w:rsid w:val="00B16313"/>
    <w:rsid w:val="00B16428"/>
    <w:rsid w:val="00B16C63"/>
    <w:rsid w:val="00B20E02"/>
    <w:rsid w:val="00B21A7B"/>
    <w:rsid w:val="00B21DE1"/>
    <w:rsid w:val="00B2294C"/>
    <w:rsid w:val="00B22951"/>
    <w:rsid w:val="00B22E33"/>
    <w:rsid w:val="00B2384B"/>
    <w:rsid w:val="00B248AC"/>
    <w:rsid w:val="00B24EE0"/>
    <w:rsid w:val="00B259E8"/>
    <w:rsid w:val="00B26448"/>
    <w:rsid w:val="00B27A66"/>
    <w:rsid w:val="00B322DF"/>
    <w:rsid w:val="00B325D4"/>
    <w:rsid w:val="00B32605"/>
    <w:rsid w:val="00B34375"/>
    <w:rsid w:val="00B3463E"/>
    <w:rsid w:val="00B352D1"/>
    <w:rsid w:val="00B35E4D"/>
    <w:rsid w:val="00B36727"/>
    <w:rsid w:val="00B36CBE"/>
    <w:rsid w:val="00B36EF1"/>
    <w:rsid w:val="00B3700E"/>
    <w:rsid w:val="00B37096"/>
    <w:rsid w:val="00B370EF"/>
    <w:rsid w:val="00B37FCF"/>
    <w:rsid w:val="00B4085C"/>
    <w:rsid w:val="00B411A7"/>
    <w:rsid w:val="00B41977"/>
    <w:rsid w:val="00B42973"/>
    <w:rsid w:val="00B42C8A"/>
    <w:rsid w:val="00B430E7"/>
    <w:rsid w:val="00B43360"/>
    <w:rsid w:val="00B44032"/>
    <w:rsid w:val="00B44DEE"/>
    <w:rsid w:val="00B45190"/>
    <w:rsid w:val="00B45283"/>
    <w:rsid w:val="00B45981"/>
    <w:rsid w:val="00B465BD"/>
    <w:rsid w:val="00B47E88"/>
    <w:rsid w:val="00B5044B"/>
    <w:rsid w:val="00B52F38"/>
    <w:rsid w:val="00B5396E"/>
    <w:rsid w:val="00B54625"/>
    <w:rsid w:val="00B54A3F"/>
    <w:rsid w:val="00B54EC6"/>
    <w:rsid w:val="00B55077"/>
    <w:rsid w:val="00B553C3"/>
    <w:rsid w:val="00B55824"/>
    <w:rsid w:val="00B5587D"/>
    <w:rsid w:val="00B5639A"/>
    <w:rsid w:val="00B56586"/>
    <w:rsid w:val="00B56A7E"/>
    <w:rsid w:val="00B57DCF"/>
    <w:rsid w:val="00B57DDC"/>
    <w:rsid w:val="00B636B6"/>
    <w:rsid w:val="00B6426B"/>
    <w:rsid w:val="00B64865"/>
    <w:rsid w:val="00B65E77"/>
    <w:rsid w:val="00B666E8"/>
    <w:rsid w:val="00B674E1"/>
    <w:rsid w:val="00B679F2"/>
    <w:rsid w:val="00B67BE8"/>
    <w:rsid w:val="00B67DAF"/>
    <w:rsid w:val="00B67EF2"/>
    <w:rsid w:val="00B70FCC"/>
    <w:rsid w:val="00B7113B"/>
    <w:rsid w:val="00B71C8B"/>
    <w:rsid w:val="00B72629"/>
    <w:rsid w:val="00B726EB"/>
    <w:rsid w:val="00B736A3"/>
    <w:rsid w:val="00B7397A"/>
    <w:rsid w:val="00B73E12"/>
    <w:rsid w:val="00B748FC"/>
    <w:rsid w:val="00B74F98"/>
    <w:rsid w:val="00B75151"/>
    <w:rsid w:val="00B75485"/>
    <w:rsid w:val="00B76609"/>
    <w:rsid w:val="00B76AC6"/>
    <w:rsid w:val="00B76F56"/>
    <w:rsid w:val="00B771F2"/>
    <w:rsid w:val="00B772DC"/>
    <w:rsid w:val="00B77495"/>
    <w:rsid w:val="00B77584"/>
    <w:rsid w:val="00B778F4"/>
    <w:rsid w:val="00B8084F"/>
    <w:rsid w:val="00B809ED"/>
    <w:rsid w:val="00B80A14"/>
    <w:rsid w:val="00B80BDA"/>
    <w:rsid w:val="00B80D70"/>
    <w:rsid w:val="00B81433"/>
    <w:rsid w:val="00B81793"/>
    <w:rsid w:val="00B8196F"/>
    <w:rsid w:val="00B8225E"/>
    <w:rsid w:val="00B82710"/>
    <w:rsid w:val="00B82766"/>
    <w:rsid w:val="00B82D23"/>
    <w:rsid w:val="00B84E21"/>
    <w:rsid w:val="00B85566"/>
    <w:rsid w:val="00B86109"/>
    <w:rsid w:val="00B8669F"/>
    <w:rsid w:val="00B866CD"/>
    <w:rsid w:val="00B867FB"/>
    <w:rsid w:val="00B87008"/>
    <w:rsid w:val="00B876B5"/>
    <w:rsid w:val="00B876B6"/>
    <w:rsid w:val="00B877AC"/>
    <w:rsid w:val="00B877F7"/>
    <w:rsid w:val="00B910C7"/>
    <w:rsid w:val="00B91625"/>
    <w:rsid w:val="00B919E6"/>
    <w:rsid w:val="00B92CDA"/>
    <w:rsid w:val="00B93021"/>
    <w:rsid w:val="00B9445E"/>
    <w:rsid w:val="00B951C7"/>
    <w:rsid w:val="00B95204"/>
    <w:rsid w:val="00B9566F"/>
    <w:rsid w:val="00B95ECA"/>
    <w:rsid w:val="00B966E8"/>
    <w:rsid w:val="00B96D5B"/>
    <w:rsid w:val="00B970AD"/>
    <w:rsid w:val="00B97956"/>
    <w:rsid w:val="00B97F94"/>
    <w:rsid w:val="00BA0318"/>
    <w:rsid w:val="00BA09B9"/>
    <w:rsid w:val="00BA0B4C"/>
    <w:rsid w:val="00BA1B67"/>
    <w:rsid w:val="00BA250C"/>
    <w:rsid w:val="00BA2B07"/>
    <w:rsid w:val="00BA2DBF"/>
    <w:rsid w:val="00BA2F6C"/>
    <w:rsid w:val="00BA2F9E"/>
    <w:rsid w:val="00BA31CC"/>
    <w:rsid w:val="00BA3E15"/>
    <w:rsid w:val="00BA4137"/>
    <w:rsid w:val="00BA414E"/>
    <w:rsid w:val="00BA4DAC"/>
    <w:rsid w:val="00BA5855"/>
    <w:rsid w:val="00BA67A5"/>
    <w:rsid w:val="00BA7EF2"/>
    <w:rsid w:val="00BB0619"/>
    <w:rsid w:val="00BB0776"/>
    <w:rsid w:val="00BB09F8"/>
    <w:rsid w:val="00BB0B91"/>
    <w:rsid w:val="00BB114A"/>
    <w:rsid w:val="00BB23E5"/>
    <w:rsid w:val="00BB27BC"/>
    <w:rsid w:val="00BB2D18"/>
    <w:rsid w:val="00BB37E5"/>
    <w:rsid w:val="00BB4757"/>
    <w:rsid w:val="00BB4AE7"/>
    <w:rsid w:val="00BB4F39"/>
    <w:rsid w:val="00BB4F91"/>
    <w:rsid w:val="00BB4FB7"/>
    <w:rsid w:val="00BB5179"/>
    <w:rsid w:val="00BB544F"/>
    <w:rsid w:val="00BB6CC4"/>
    <w:rsid w:val="00BB71FF"/>
    <w:rsid w:val="00BC10BF"/>
    <w:rsid w:val="00BC3AC1"/>
    <w:rsid w:val="00BC4DBC"/>
    <w:rsid w:val="00BC59BD"/>
    <w:rsid w:val="00BC5C7B"/>
    <w:rsid w:val="00BC710B"/>
    <w:rsid w:val="00BC7181"/>
    <w:rsid w:val="00BC7ECA"/>
    <w:rsid w:val="00BD05EF"/>
    <w:rsid w:val="00BD07B0"/>
    <w:rsid w:val="00BD0B3B"/>
    <w:rsid w:val="00BD0D9C"/>
    <w:rsid w:val="00BD0FC2"/>
    <w:rsid w:val="00BD297F"/>
    <w:rsid w:val="00BD35EB"/>
    <w:rsid w:val="00BD3F02"/>
    <w:rsid w:val="00BD4638"/>
    <w:rsid w:val="00BD486A"/>
    <w:rsid w:val="00BD4DE7"/>
    <w:rsid w:val="00BD504C"/>
    <w:rsid w:val="00BD5675"/>
    <w:rsid w:val="00BD5692"/>
    <w:rsid w:val="00BD5A9C"/>
    <w:rsid w:val="00BD5FCD"/>
    <w:rsid w:val="00BD772E"/>
    <w:rsid w:val="00BE0AF5"/>
    <w:rsid w:val="00BE0DA8"/>
    <w:rsid w:val="00BE0FC4"/>
    <w:rsid w:val="00BE1950"/>
    <w:rsid w:val="00BE2601"/>
    <w:rsid w:val="00BE304E"/>
    <w:rsid w:val="00BE36CD"/>
    <w:rsid w:val="00BE3C37"/>
    <w:rsid w:val="00BE3C45"/>
    <w:rsid w:val="00BE3C5B"/>
    <w:rsid w:val="00BE41F4"/>
    <w:rsid w:val="00BE47E9"/>
    <w:rsid w:val="00BE71CB"/>
    <w:rsid w:val="00BE7375"/>
    <w:rsid w:val="00BE7C20"/>
    <w:rsid w:val="00BE7FBE"/>
    <w:rsid w:val="00BF03A0"/>
    <w:rsid w:val="00BF088A"/>
    <w:rsid w:val="00BF0EB0"/>
    <w:rsid w:val="00BF0F73"/>
    <w:rsid w:val="00BF14FB"/>
    <w:rsid w:val="00BF2D81"/>
    <w:rsid w:val="00BF30DC"/>
    <w:rsid w:val="00BF30E8"/>
    <w:rsid w:val="00BF49E1"/>
    <w:rsid w:val="00BF4A7B"/>
    <w:rsid w:val="00BF4B10"/>
    <w:rsid w:val="00BF4D49"/>
    <w:rsid w:val="00BF515F"/>
    <w:rsid w:val="00BF5A0B"/>
    <w:rsid w:val="00BF5C04"/>
    <w:rsid w:val="00BF7176"/>
    <w:rsid w:val="00BF74E5"/>
    <w:rsid w:val="00BF751D"/>
    <w:rsid w:val="00BF7BF3"/>
    <w:rsid w:val="00C00698"/>
    <w:rsid w:val="00C00C23"/>
    <w:rsid w:val="00C02B1F"/>
    <w:rsid w:val="00C02B30"/>
    <w:rsid w:val="00C032E3"/>
    <w:rsid w:val="00C04C75"/>
    <w:rsid w:val="00C04F9E"/>
    <w:rsid w:val="00C05402"/>
    <w:rsid w:val="00C0540D"/>
    <w:rsid w:val="00C05A0F"/>
    <w:rsid w:val="00C06468"/>
    <w:rsid w:val="00C067BD"/>
    <w:rsid w:val="00C076ED"/>
    <w:rsid w:val="00C0779D"/>
    <w:rsid w:val="00C10758"/>
    <w:rsid w:val="00C107FA"/>
    <w:rsid w:val="00C109B2"/>
    <w:rsid w:val="00C11963"/>
    <w:rsid w:val="00C1229F"/>
    <w:rsid w:val="00C1263B"/>
    <w:rsid w:val="00C133AD"/>
    <w:rsid w:val="00C13671"/>
    <w:rsid w:val="00C136E3"/>
    <w:rsid w:val="00C136F7"/>
    <w:rsid w:val="00C139D5"/>
    <w:rsid w:val="00C13C02"/>
    <w:rsid w:val="00C13C48"/>
    <w:rsid w:val="00C1553E"/>
    <w:rsid w:val="00C16291"/>
    <w:rsid w:val="00C171B2"/>
    <w:rsid w:val="00C1765E"/>
    <w:rsid w:val="00C177F5"/>
    <w:rsid w:val="00C20625"/>
    <w:rsid w:val="00C20931"/>
    <w:rsid w:val="00C2097C"/>
    <w:rsid w:val="00C21A8A"/>
    <w:rsid w:val="00C21BAF"/>
    <w:rsid w:val="00C22852"/>
    <w:rsid w:val="00C22B1A"/>
    <w:rsid w:val="00C22E02"/>
    <w:rsid w:val="00C23DEB"/>
    <w:rsid w:val="00C24137"/>
    <w:rsid w:val="00C244B1"/>
    <w:rsid w:val="00C244C8"/>
    <w:rsid w:val="00C246CA"/>
    <w:rsid w:val="00C25CCC"/>
    <w:rsid w:val="00C260B4"/>
    <w:rsid w:val="00C26677"/>
    <w:rsid w:val="00C2682D"/>
    <w:rsid w:val="00C27B8C"/>
    <w:rsid w:val="00C306ED"/>
    <w:rsid w:val="00C30735"/>
    <w:rsid w:val="00C309F3"/>
    <w:rsid w:val="00C31011"/>
    <w:rsid w:val="00C32402"/>
    <w:rsid w:val="00C33DD7"/>
    <w:rsid w:val="00C33FEA"/>
    <w:rsid w:val="00C3459A"/>
    <w:rsid w:val="00C3588D"/>
    <w:rsid w:val="00C36293"/>
    <w:rsid w:val="00C372DC"/>
    <w:rsid w:val="00C37CB0"/>
    <w:rsid w:val="00C40B0A"/>
    <w:rsid w:val="00C414B5"/>
    <w:rsid w:val="00C423FE"/>
    <w:rsid w:val="00C43ACA"/>
    <w:rsid w:val="00C43FD1"/>
    <w:rsid w:val="00C44CB8"/>
    <w:rsid w:val="00C450B8"/>
    <w:rsid w:val="00C455EB"/>
    <w:rsid w:val="00C46539"/>
    <w:rsid w:val="00C46685"/>
    <w:rsid w:val="00C46D9E"/>
    <w:rsid w:val="00C507DD"/>
    <w:rsid w:val="00C50C84"/>
    <w:rsid w:val="00C51BC3"/>
    <w:rsid w:val="00C5200A"/>
    <w:rsid w:val="00C52B09"/>
    <w:rsid w:val="00C52BA4"/>
    <w:rsid w:val="00C53244"/>
    <w:rsid w:val="00C53A0A"/>
    <w:rsid w:val="00C5476B"/>
    <w:rsid w:val="00C54819"/>
    <w:rsid w:val="00C548E5"/>
    <w:rsid w:val="00C54F96"/>
    <w:rsid w:val="00C564BB"/>
    <w:rsid w:val="00C565FF"/>
    <w:rsid w:val="00C57261"/>
    <w:rsid w:val="00C5796F"/>
    <w:rsid w:val="00C579A8"/>
    <w:rsid w:val="00C57E4F"/>
    <w:rsid w:val="00C57F67"/>
    <w:rsid w:val="00C600C9"/>
    <w:rsid w:val="00C60503"/>
    <w:rsid w:val="00C60715"/>
    <w:rsid w:val="00C60C8C"/>
    <w:rsid w:val="00C61E34"/>
    <w:rsid w:val="00C61EA2"/>
    <w:rsid w:val="00C621FA"/>
    <w:rsid w:val="00C636AF"/>
    <w:rsid w:val="00C6413A"/>
    <w:rsid w:val="00C643E7"/>
    <w:rsid w:val="00C64C16"/>
    <w:rsid w:val="00C65558"/>
    <w:rsid w:val="00C65D0B"/>
    <w:rsid w:val="00C66358"/>
    <w:rsid w:val="00C66A76"/>
    <w:rsid w:val="00C67EAB"/>
    <w:rsid w:val="00C708AB"/>
    <w:rsid w:val="00C70E50"/>
    <w:rsid w:val="00C729E5"/>
    <w:rsid w:val="00C731F6"/>
    <w:rsid w:val="00C73A63"/>
    <w:rsid w:val="00C73C4C"/>
    <w:rsid w:val="00C7451C"/>
    <w:rsid w:val="00C75204"/>
    <w:rsid w:val="00C764FB"/>
    <w:rsid w:val="00C765DA"/>
    <w:rsid w:val="00C80AF3"/>
    <w:rsid w:val="00C8105A"/>
    <w:rsid w:val="00C82979"/>
    <w:rsid w:val="00C82DAF"/>
    <w:rsid w:val="00C83EB0"/>
    <w:rsid w:val="00C8431F"/>
    <w:rsid w:val="00C84995"/>
    <w:rsid w:val="00C84EF4"/>
    <w:rsid w:val="00C8570D"/>
    <w:rsid w:val="00C86062"/>
    <w:rsid w:val="00C86858"/>
    <w:rsid w:val="00C86F83"/>
    <w:rsid w:val="00C8718C"/>
    <w:rsid w:val="00C873E1"/>
    <w:rsid w:val="00C87C3C"/>
    <w:rsid w:val="00C90067"/>
    <w:rsid w:val="00C9016A"/>
    <w:rsid w:val="00C90BEB"/>
    <w:rsid w:val="00C90C07"/>
    <w:rsid w:val="00C90CBC"/>
    <w:rsid w:val="00C90DEF"/>
    <w:rsid w:val="00C91529"/>
    <w:rsid w:val="00C920FE"/>
    <w:rsid w:val="00C92A46"/>
    <w:rsid w:val="00C92FC0"/>
    <w:rsid w:val="00C93E00"/>
    <w:rsid w:val="00C94836"/>
    <w:rsid w:val="00C9543D"/>
    <w:rsid w:val="00C957B2"/>
    <w:rsid w:val="00C9609D"/>
    <w:rsid w:val="00C9611C"/>
    <w:rsid w:val="00C9637C"/>
    <w:rsid w:val="00C96692"/>
    <w:rsid w:val="00C976AA"/>
    <w:rsid w:val="00C97BE9"/>
    <w:rsid w:val="00C97BED"/>
    <w:rsid w:val="00CA0011"/>
    <w:rsid w:val="00CA1A0E"/>
    <w:rsid w:val="00CA2A0D"/>
    <w:rsid w:val="00CA3FE2"/>
    <w:rsid w:val="00CA4C6D"/>
    <w:rsid w:val="00CA4F3F"/>
    <w:rsid w:val="00CA5EED"/>
    <w:rsid w:val="00CA6660"/>
    <w:rsid w:val="00CA6EBA"/>
    <w:rsid w:val="00CA702D"/>
    <w:rsid w:val="00CA7454"/>
    <w:rsid w:val="00CA77CA"/>
    <w:rsid w:val="00CB012A"/>
    <w:rsid w:val="00CB0669"/>
    <w:rsid w:val="00CB0978"/>
    <w:rsid w:val="00CB1BE7"/>
    <w:rsid w:val="00CB1DBD"/>
    <w:rsid w:val="00CB2742"/>
    <w:rsid w:val="00CB3114"/>
    <w:rsid w:val="00CB3DB8"/>
    <w:rsid w:val="00CB44D3"/>
    <w:rsid w:val="00CB5DB2"/>
    <w:rsid w:val="00CB61FE"/>
    <w:rsid w:val="00CB6411"/>
    <w:rsid w:val="00CB656D"/>
    <w:rsid w:val="00CB6E24"/>
    <w:rsid w:val="00CB6F61"/>
    <w:rsid w:val="00CB7433"/>
    <w:rsid w:val="00CB7459"/>
    <w:rsid w:val="00CB78EE"/>
    <w:rsid w:val="00CB7A3D"/>
    <w:rsid w:val="00CB7D02"/>
    <w:rsid w:val="00CC0C35"/>
    <w:rsid w:val="00CC0F22"/>
    <w:rsid w:val="00CC1820"/>
    <w:rsid w:val="00CC2431"/>
    <w:rsid w:val="00CC26A9"/>
    <w:rsid w:val="00CC2AB9"/>
    <w:rsid w:val="00CC2ADC"/>
    <w:rsid w:val="00CC2AFA"/>
    <w:rsid w:val="00CC2C4E"/>
    <w:rsid w:val="00CC3602"/>
    <w:rsid w:val="00CC3F1F"/>
    <w:rsid w:val="00CC3F34"/>
    <w:rsid w:val="00CC426E"/>
    <w:rsid w:val="00CC46B9"/>
    <w:rsid w:val="00CC492E"/>
    <w:rsid w:val="00CC5DA3"/>
    <w:rsid w:val="00CC6206"/>
    <w:rsid w:val="00CC6B9F"/>
    <w:rsid w:val="00CC6BE9"/>
    <w:rsid w:val="00CC7753"/>
    <w:rsid w:val="00CC7BC2"/>
    <w:rsid w:val="00CD1201"/>
    <w:rsid w:val="00CD16D1"/>
    <w:rsid w:val="00CD183A"/>
    <w:rsid w:val="00CD19E2"/>
    <w:rsid w:val="00CD1E5A"/>
    <w:rsid w:val="00CD23CE"/>
    <w:rsid w:val="00CD3215"/>
    <w:rsid w:val="00CD3561"/>
    <w:rsid w:val="00CD3825"/>
    <w:rsid w:val="00CD3FF3"/>
    <w:rsid w:val="00CD41D8"/>
    <w:rsid w:val="00CD49D1"/>
    <w:rsid w:val="00CD4FE0"/>
    <w:rsid w:val="00CD5ACE"/>
    <w:rsid w:val="00CD6316"/>
    <w:rsid w:val="00CD63A1"/>
    <w:rsid w:val="00CD6A81"/>
    <w:rsid w:val="00CD75E6"/>
    <w:rsid w:val="00CD77B5"/>
    <w:rsid w:val="00CD7EAF"/>
    <w:rsid w:val="00CE0D76"/>
    <w:rsid w:val="00CE191E"/>
    <w:rsid w:val="00CE2152"/>
    <w:rsid w:val="00CE2189"/>
    <w:rsid w:val="00CE2315"/>
    <w:rsid w:val="00CE24FC"/>
    <w:rsid w:val="00CE2ADF"/>
    <w:rsid w:val="00CE2C57"/>
    <w:rsid w:val="00CE33A0"/>
    <w:rsid w:val="00CE3484"/>
    <w:rsid w:val="00CE42D0"/>
    <w:rsid w:val="00CE6A0A"/>
    <w:rsid w:val="00CE6CF1"/>
    <w:rsid w:val="00CE767B"/>
    <w:rsid w:val="00CF0256"/>
    <w:rsid w:val="00CF0594"/>
    <w:rsid w:val="00CF1C61"/>
    <w:rsid w:val="00CF1D22"/>
    <w:rsid w:val="00CF1E73"/>
    <w:rsid w:val="00CF269F"/>
    <w:rsid w:val="00CF2735"/>
    <w:rsid w:val="00CF28B5"/>
    <w:rsid w:val="00CF3309"/>
    <w:rsid w:val="00CF3784"/>
    <w:rsid w:val="00CF5041"/>
    <w:rsid w:val="00CF628F"/>
    <w:rsid w:val="00CF6892"/>
    <w:rsid w:val="00CF6B92"/>
    <w:rsid w:val="00CF6D08"/>
    <w:rsid w:val="00CF7667"/>
    <w:rsid w:val="00CF7CDF"/>
    <w:rsid w:val="00D00B45"/>
    <w:rsid w:val="00D01726"/>
    <w:rsid w:val="00D02C8B"/>
    <w:rsid w:val="00D02E65"/>
    <w:rsid w:val="00D0355B"/>
    <w:rsid w:val="00D04279"/>
    <w:rsid w:val="00D042E4"/>
    <w:rsid w:val="00D04693"/>
    <w:rsid w:val="00D046F9"/>
    <w:rsid w:val="00D04B59"/>
    <w:rsid w:val="00D0515E"/>
    <w:rsid w:val="00D05419"/>
    <w:rsid w:val="00D05889"/>
    <w:rsid w:val="00D05B41"/>
    <w:rsid w:val="00D071CA"/>
    <w:rsid w:val="00D0766A"/>
    <w:rsid w:val="00D07BC2"/>
    <w:rsid w:val="00D07F30"/>
    <w:rsid w:val="00D10F9C"/>
    <w:rsid w:val="00D11495"/>
    <w:rsid w:val="00D1170B"/>
    <w:rsid w:val="00D118FD"/>
    <w:rsid w:val="00D13089"/>
    <w:rsid w:val="00D13F58"/>
    <w:rsid w:val="00D142B7"/>
    <w:rsid w:val="00D14393"/>
    <w:rsid w:val="00D14E23"/>
    <w:rsid w:val="00D15497"/>
    <w:rsid w:val="00D154BF"/>
    <w:rsid w:val="00D15A96"/>
    <w:rsid w:val="00D15B43"/>
    <w:rsid w:val="00D15F66"/>
    <w:rsid w:val="00D16449"/>
    <w:rsid w:val="00D16590"/>
    <w:rsid w:val="00D168F5"/>
    <w:rsid w:val="00D16AA6"/>
    <w:rsid w:val="00D174AD"/>
    <w:rsid w:val="00D17AED"/>
    <w:rsid w:val="00D208BF"/>
    <w:rsid w:val="00D2155A"/>
    <w:rsid w:val="00D22043"/>
    <w:rsid w:val="00D221F8"/>
    <w:rsid w:val="00D23C32"/>
    <w:rsid w:val="00D23D35"/>
    <w:rsid w:val="00D2435A"/>
    <w:rsid w:val="00D24A5E"/>
    <w:rsid w:val="00D24C6A"/>
    <w:rsid w:val="00D2594A"/>
    <w:rsid w:val="00D26AEB"/>
    <w:rsid w:val="00D27021"/>
    <w:rsid w:val="00D273F2"/>
    <w:rsid w:val="00D30B76"/>
    <w:rsid w:val="00D31076"/>
    <w:rsid w:val="00D31412"/>
    <w:rsid w:val="00D31414"/>
    <w:rsid w:val="00D3199E"/>
    <w:rsid w:val="00D32A2D"/>
    <w:rsid w:val="00D33790"/>
    <w:rsid w:val="00D33CFE"/>
    <w:rsid w:val="00D340D9"/>
    <w:rsid w:val="00D35F03"/>
    <w:rsid w:val="00D3601A"/>
    <w:rsid w:val="00D3608D"/>
    <w:rsid w:val="00D36742"/>
    <w:rsid w:val="00D36C25"/>
    <w:rsid w:val="00D3771F"/>
    <w:rsid w:val="00D379EF"/>
    <w:rsid w:val="00D37FAB"/>
    <w:rsid w:val="00D4029F"/>
    <w:rsid w:val="00D40709"/>
    <w:rsid w:val="00D40C3E"/>
    <w:rsid w:val="00D41FCE"/>
    <w:rsid w:val="00D422C4"/>
    <w:rsid w:val="00D42640"/>
    <w:rsid w:val="00D4283C"/>
    <w:rsid w:val="00D42A31"/>
    <w:rsid w:val="00D43F8C"/>
    <w:rsid w:val="00D46FC3"/>
    <w:rsid w:val="00D47362"/>
    <w:rsid w:val="00D47749"/>
    <w:rsid w:val="00D47AFA"/>
    <w:rsid w:val="00D504CB"/>
    <w:rsid w:val="00D51887"/>
    <w:rsid w:val="00D5262B"/>
    <w:rsid w:val="00D53368"/>
    <w:rsid w:val="00D535B9"/>
    <w:rsid w:val="00D53D55"/>
    <w:rsid w:val="00D551BB"/>
    <w:rsid w:val="00D55B36"/>
    <w:rsid w:val="00D560B9"/>
    <w:rsid w:val="00D566F5"/>
    <w:rsid w:val="00D57AAF"/>
    <w:rsid w:val="00D57B27"/>
    <w:rsid w:val="00D611E2"/>
    <w:rsid w:val="00D6121A"/>
    <w:rsid w:val="00D635EB"/>
    <w:rsid w:val="00D63D03"/>
    <w:rsid w:val="00D64071"/>
    <w:rsid w:val="00D643D7"/>
    <w:rsid w:val="00D6489B"/>
    <w:rsid w:val="00D65582"/>
    <w:rsid w:val="00D65737"/>
    <w:rsid w:val="00D658C0"/>
    <w:rsid w:val="00D65CE3"/>
    <w:rsid w:val="00D65EC3"/>
    <w:rsid w:val="00D66349"/>
    <w:rsid w:val="00D66466"/>
    <w:rsid w:val="00D67922"/>
    <w:rsid w:val="00D714B5"/>
    <w:rsid w:val="00D7177C"/>
    <w:rsid w:val="00D717A8"/>
    <w:rsid w:val="00D71ABD"/>
    <w:rsid w:val="00D71D79"/>
    <w:rsid w:val="00D734A7"/>
    <w:rsid w:val="00D75552"/>
    <w:rsid w:val="00D75FAC"/>
    <w:rsid w:val="00D76DF0"/>
    <w:rsid w:val="00D76F31"/>
    <w:rsid w:val="00D77782"/>
    <w:rsid w:val="00D802B6"/>
    <w:rsid w:val="00D80D2D"/>
    <w:rsid w:val="00D81C4E"/>
    <w:rsid w:val="00D821E2"/>
    <w:rsid w:val="00D82888"/>
    <w:rsid w:val="00D82EC0"/>
    <w:rsid w:val="00D8338C"/>
    <w:rsid w:val="00D83BC9"/>
    <w:rsid w:val="00D84459"/>
    <w:rsid w:val="00D84C0F"/>
    <w:rsid w:val="00D855D9"/>
    <w:rsid w:val="00D8603E"/>
    <w:rsid w:val="00D86EA2"/>
    <w:rsid w:val="00D90F8C"/>
    <w:rsid w:val="00D910C9"/>
    <w:rsid w:val="00D92DEB"/>
    <w:rsid w:val="00D92E04"/>
    <w:rsid w:val="00D956FB"/>
    <w:rsid w:val="00D95F2E"/>
    <w:rsid w:val="00D96050"/>
    <w:rsid w:val="00D963A1"/>
    <w:rsid w:val="00D965DD"/>
    <w:rsid w:val="00D968FC"/>
    <w:rsid w:val="00D97234"/>
    <w:rsid w:val="00D97B43"/>
    <w:rsid w:val="00D97D75"/>
    <w:rsid w:val="00DA01B3"/>
    <w:rsid w:val="00DA0C75"/>
    <w:rsid w:val="00DA0E28"/>
    <w:rsid w:val="00DA16B2"/>
    <w:rsid w:val="00DA1A0A"/>
    <w:rsid w:val="00DA1E29"/>
    <w:rsid w:val="00DA2F32"/>
    <w:rsid w:val="00DA325E"/>
    <w:rsid w:val="00DA3DAC"/>
    <w:rsid w:val="00DA53DF"/>
    <w:rsid w:val="00DA57FC"/>
    <w:rsid w:val="00DA59CC"/>
    <w:rsid w:val="00DA5F54"/>
    <w:rsid w:val="00DA60EC"/>
    <w:rsid w:val="00DA7EA2"/>
    <w:rsid w:val="00DB0999"/>
    <w:rsid w:val="00DB0FA2"/>
    <w:rsid w:val="00DB1D80"/>
    <w:rsid w:val="00DB1E03"/>
    <w:rsid w:val="00DB1F56"/>
    <w:rsid w:val="00DB2204"/>
    <w:rsid w:val="00DB22EE"/>
    <w:rsid w:val="00DB272A"/>
    <w:rsid w:val="00DB3AED"/>
    <w:rsid w:val="00DB3F2E"/>
    <w:rsid w:val="00DB429A"/>
    <w:rsid w:val="00DB5713"/>
    <w:rsid w:val="00DC0905"/>
    <w:rsid w:val="00DC10B8"/>
    <w:rsid w:val="00DC2BAE"/>
    <w:rsid w:val="00DC2E5F"/>
    <w:rsid w:val="00DC3323"/>
    <w:rsid w:val="00DC34F0"/>
    <w:rsid w:val="00DC516A"/>
    <w:rsid w:val="00DC51D4"/>
    <w:rsid w:val="00DC5A19"/>
    <w:rsid w:val="00DC7796"/>
    <w:rsid w:val="00DC7C4C"/>
    <w:rsid w:val="00DD04EC"/>
    <w:rsid w:val="00DD0508"/>
    <w:rsid w:val="00DD099C"/>
    <w:rsid w:val="00DD0B15"/>
    <w:rsid w:val="00DD1444"/>
    <w:rsid w:val="00DD2240"/>
    <w:rsid w:val="00DD2DB1"/>
    <w:rsid w:val="00DD31ED"/>
    <w:rsid w:val="00DD3AAC"/>
    <w:rsid w:val="00DD446A"/>
    <w:rsid w:val="00DD45C1"/>
    <w:rsid w:val="00DD4734"/>
    <w:rsid w:val="00DD48A7"/>
    <w:rsid w:val="00DD4C5F"/>
    <w:rsid w:val="00DD6F66"/>
    <w:rsid w:val="00DE01A9"/>
    <w:rsid w:val="00DE0279"/>
    <w:rsid w:val="00DE187A"/>
    <w:rsid w:val="00DE2175"/>
    <w:rsid w:val="00DE2FBC"/>
    <w:rsid w:val="00DE44C7"/>
    <w:rsid w:val="00DE4720"/>
    <w:rsid w:val="00DE4E18"/>
    <w:rsid w:val="00DE5090"/>
    <w:rsid w:val="00DE57B7"/>
    <w:rsid w:val="00DE5A6D"/>
    <w:rsid w:val="00DE628B"/>
    <w:rsid w:val="00DE6322"/>
    <w:rsid w:val="00DE6D58"/>
    <w:rsid w:val="00DE7250"/>
    <w:rsid w:val="00DE7FBB"/>
    <w:rsid w:val="00DF013D"/>
    <w:rsid w:val="00DF0356"/>
    <w:rsid w:val="00DF05F8"/>
    <w:rsid w:val="00DF0EDB"/>
    <w:rsid w:val="00DF1093"/>
    <w:rsid w:val="00DF1252"/>
    <w:rsid w:val="00DF2A11"/>
    <w:rsid w:val="00DF3540"/>
    <w:rsid w:val="00DF3A1D"/>
    <w:rsid w:val="00DF4043"/>
    <w:rsid w:val="00DF580A"/>
    <w:rsid w:val="00DF59BE"/>
    <w:rsid w:val="00DF5E16"/>
    <w:rsid w:val="00DF5E88"/>
    <w:rsid w:val="00DF63B6"/>
    <w:rsid w:val="00DF6733"/>
    <w:rsid w:val="00DF6FB0"/>
    <w:rsid w:val="00DF765E"/>
    <w:rsid w:val="00DF7C26"/>
    <w:rsid w:val="00E00466"/>
    <w:rsid w:val="00E00770"/>
    <w:rsid w:val="00E009C0"/>
    <w:rsid w:val="00E00DB6"/>
    <w:rsid w:val="00E03677"/>
    <w:rsid w:val="00E03A2F"/>
    <w:rsid w:val="00E03E25"/>
    <w:rsid w:val="00E03F2E"/>
    <w:rsid w:val="00E0470C"/>
    <w:rsid w:val="00E04C10"/>
    <w:rsid w:val="00E0621C"/>
    <w:rsid w:val="00E069DF"/>
    <w:rsid w:val="00E07AA6"/>
    <w:rsid w:val="00E104C7"/>
    <w:rsid w:val="00E10B82"/>
    <w:rsid w:val="00E11B56"/>
    <w:rsid w:val="00E123CE"/>
    <w:rsid w:val="00E1341D"/>
    <w:rsid w:val="00E13C75"/>
    <w:rsid w:val="00E13DAE"/>
    <w:rsid w:val="00E14957"/>
    <w:rsid w:val="00E14C9F"/>
    <w:rsid w:val="00E1506C"/>
    <w:rsid w:val="00E15940"/>
    <w:rsid w:val="00E15D46"/>
    <w:rsid w:val="00E17246"/>
    <w:rsid w:val="00E17BC0"/>
    <w:rsid w:val="00E20112"/>
    <w:rsid w:val="00E2030D"/>
    <w:rsid w:val="00E20C4D"/>
    <w:rsid w:val="00E20FEE"/>
    <w:rsid w:val="00E21692"/>
    <w:rsid w:val="00E22450"/>
    <w:rsid w:val="00E226F1"/>
    <w:rsid w:val="00E23493"/>
    <w:rsid w:val="00E2356B"/>
    <w:rsid w:val="00E23843"/>
    <w:rsid w:val="00E239FF"/>
    <w:rsid w:val="00E23B66"/>
    <w:rsid w:val="00E23B69"/>
    <w:rsid w:val="00E243DC"/>
    <w:rsid w:val="00E24A75"/>
    <w:rsid w:val="00E24C21"/>
    <w:rsid w:val="00E24FAE"/>
    <w:rsid w:val="00E25241"/>
    <w:rsid w:val="00E25DE4"/>
    <w:rsid w:val="00E265A3"/>
    <w:rsid w:val="00E27A96"/>
    <w:rsid w:val="00E27B48"/>
    <w:rsid w:val="00E30B03"/>
    <w:rsid w:val="00E30B49"/>
    <w:rsid w:val="00E3102E"/>
    <w:rsid w:val="00E311BA"/>
    <w:rsid w:val="00E312C1"/>
    <w:rsid w:val="00E315D4"/>
    <w:rsid w:val="00E315FE"/>
    <w:rsid w:val="00E31DC1"/>
    <w:rsid w:val="00E322C5"/>
    <w:rsid w:val="00E33381"/>
    <w:rsid w:val="00E33A82"/>
    <w:rsid w:val="00E33EBC"/>
    <w:rsid w:val="00E33ECD"/>
    <w:rsid w:val="00E346FD"/>
    <w:rsid w:val="00E34760"/>
    <w:rsid w:val="00E34B39"/>
    <w:rsid w:val="00E35036"/>
    <w:rsid w:val="00E358E9"/>
    <w:rsid w:val="00E3727D"/>
    <w:rsid w:val="00E4017C"/>
    <w:rsid w:val="00E40213"/>
    <w:rsid w:val="00E413CD"/>
    <w:rsid w:val="00E4185B"/>
    <w:rsid w:val="00E41934"/>
    <w:rsid w:val="00E41AC6"/>
    <w:rsid w:val="00E423AA"/>
    <w:rsid w:val="00E42755"/>
    <w:rsid w:val="00E428D0"/>
    <w:rsid w:val="00E430C0"/>
    <w:rsid w:val="00E43424"/>
    <w:rsid w:val="00E43CF8"/>
    <w:rsid w:val="00E43EED"/>
    <w:rsid w:val="00E442AA"/>
    <w:rsid w:val="00E442C8"/>
    <w:rsid w:val="00E45BBE"/>
    <w:rsid w:val="00E46472"/>
    <w:rsid w:val="00E466A2"/>
    <w:rsid w:val="00E47853"/>
    <w:rsid w:val="00E47EA0"/>
    <w:rsid w:val="00E50D38"/>
    <w:rsid w:val="00E516A1"/>
    <w:rsid w:val="00E51AB2"/>
    <w:rsid w:val="00E53724"/>
    <w:rsid w:val="00E53C8F"/>
    <w:rsid w:val="00E5438D"/>
    <w:rsid w:val="00E56110"/>
    <w:rsid w:val="00E56285"/>
    <w:rsid w:val="00E568B5"/>
    <w:rsid w:val="00E56D1B"/>
    <w:rsid w:val="00E5716B"/>
    <w:rsid w:val="00E5779D"/>
    <w:rsid w:val="00E6010F"/>
    <w:rsid w:val="00E60199"/>
    <w:rsid w:val="00E60795"/>
    <w:rsid w:val="00E60A51"/>
    <w:rsid w:val="00E611EA"/>
    <w:rsid w:val="00E61E1A"/>
    <w:rsid w:val="00E621A3"/>
    <w:rsid w:val="00E6377B"/>
    <w:rsid w:val="00E64FBC"/>
    <w:rsid w:val="00E654C0"/>
    <w:rsid w:val="00E656E9"/>
    <w:rsid w:val="00E66087"/>
    <w:rsid w:val="00E67269"/>
    <w:rsid w:val="00E67F75"/>
    <w:rsid w:val="00E7010D"/>
    <w:rsid w:val="00E7041A"/>
    <w:rsid w:val="00E70691"/>
    <w:rsid w:val="00E7078C"/>
    <w:rsid w:val="00E70A78"/>
    <w:rsid w:val="00E7100B"/>
    <w:rsid w:val="00E718AC"/>
    <w:rsid w:val="00E71EE2"/>
    <w:rsid w:val="00E72992"/>
    <w:rsid w:val="00E72EF2"/>
    <w:rsid w:val="00E73428"/>
    <w:rsid w:val="00E735AC"/>
    <w:rsid w:val="00E7460D"/>
    <w:rsid w:val="00E74A06"/>
    <w:rsid w:val="00E74ACA"/>
    <w:rsid w:val="00E75325"/>
    <w:rsid w:val="00E7619B"/>
    <w:rsid w:val="00E765D0"/>
    <w:rsid w:val="00E7674A"/>
    <w:rsid w:val="00E77AA8"/>
    <w:rsid w:val="00E8065F"/>
    <w:rsid w:val="00E81A9C"/>
    <w:rsid w:val="00E82420"/>
    <w:rsid w:val="00E82DFA"/>
    <w:rsid w:val="00E82E60"/>
    <w:rsid w:val="00E8302D"/>
    <w:rsid w:val="00E83149"/>
    <w:rsid w:val="00E83620"/>
    <w:rsid w:val="00E83ED5"/>
    <w:rsid w:val="00E843FD"/>
    <w:rsid w:val="00E84ACE"/>
    <w:rsid w:val="00E85277"/>
    <w:rsid w:val="00E86632"/>
    <w:rsid w:val="00E8691A"/>
    <w:rsid w:val="00E86AD9"/>
    <w:rsid w:val="00E87D9E"/>
    <w:rsid w:val="00E901D5"/>
    <w:rsid w:val="00E918D1"/>
    <w:rsid w:val="00E921AB"/>
    <w:rsid w:val="00E92447"/>
    <w:rsid w:val="00E9395F"/>
    <w:rsid w:val="00E93F0B"/>
    <w:rsid w:val="00E94E84"/>
    <w:rsid w:val="00E9502F"/>
    <w:rsid w:val="00E95439"/>
    <w:rsid w:val="00E96582"/>
    <w:rsid w:val="00EA0374"/>
    <w:rsid w:val="00EA10C3"/>
    <w:rsid w:val="00EA1A62"/>
    <w:rsid w:val="00EA1F33"/>
    <w:rsid w:val="00EA2470"/>
    <w:rsid w:val="00EA259C"/>
    <w:rsid w:val="00EA28EE"/>
    <w:rsid w:val="00EA3AF3"/>
    <w:rsid w:val="00EA3CE8"/>
    <w:rsid w:val="00EA4118"/>
    <w:rsid w:val="00EA479E"/>
    <w:rsid w:val="00EA54B7"/>
    <w:rsid w:val="00EA71C2"/>
    <w:rsid w:val="00EA7517"/>
    <w:rsid w:val="00EB0137"/>
    <w:rsid w:val="00EB0841"/>
    <w:rsid w:val="00EB11ED"/>
    <w:rsid w:val="00EB130D"/>
    <w:rsid w:val="00EB15F3"/>
    <w:rsid w:val="00EB1FDF"/>
    <w:rsid w:val="00EB2DEC"/>
    <w:rsid w:val="00EB32D4"/>
    <w:rsid w:val="00EB37A7"/>
    <w:rsid w:val="00EB3900"/>
    <w:rsid w:val="00EB4C37"/>
    <w:rsid w:val="00EB4D22"/>
    <w:rsid w:val="00EB5A67"/>
    <w:rsid w:val="00EB6B22"/>
    <w:rsid w:val="00EB744A"/>
    <w:rsid w:val="00EB78E0"/>
    <w:rsid w:val="00EB7D34"/>
    <w:rsid w:val="00EC17C9"/>
    <w:rsid w:val="00EC1EC0"/>
    <w:rsid w:val="00EC1F35"/>
    <w:rsid w:val="00EC2D2E"/>
    <w:rsid w:val="00EC3F68"/>
    <w:rsid w:val="00EC447E"/>
    <w:rsid w:val="00EC52CA"/>
    <w:rsid w:val="00EC5CDC"/>
    <w:rsid w:val="00EC5E09"/>
    <w:rsid w:val="00ED0181"/>
    <w:rsid w:val="00ED099E"/>
    <w:rsid w:val="00ED0A7C"/>
    <w:rsid w:val="00ED2361"/>
    <w:rsid w:val="00ED2F51"/>
    <w:rsid w:val="00ED3825"/>
    <w:rsid w:val="00ED3B38"/>
    <w:rsid w:val="00ED4537"/>
    <w:rsid w:val="00ED528B"/>
    <w:rsid w:val="00ED5292"/>
    <w:rsid w:val="00ED5322"/>
    <w:rsid w:val="00ED555D"/>
    <w:rsid w:val="00ED5679"/>
    <w:rsid w:val="00ED5F98"/>
    <w:rsid w:val="00ED60D6"/>
    <w:rsid w:val="00ED62BD"/>
    <w:rsid w:val="00ED6D8B"/>
    <w:rsid w:val="00ED7C85"/>
    <w:rsid w:val="00EE12B0"/>
    <w:rsid w:val="00EE2057"/>
    <w:rsid w:val="00EE2804"/>
    <w:rsid w:val="00EE2D3F"/>
    <w:rsid w:val="00EE2EEA"/>
    <w:rsid w:val="00EE37C0"/>
    <w:rsid w:val="00EE3835"/>
    <w:rsid w:val="00EE3958"/>
    <w:rsid w:val="00EE40DF"/>
    <w:rsid w:val="00EE4676"/>
    <w:rsid w:val="00EE51BC"/>
    <w:rsid w:val="00EE51DF"/>
    <w:rsid w:val="00EE57FA"/>
    <w:rsid w:val="00EE61D5"/>
    <w:rsid w:val="00EE6366"/>
    <w:rsid w:val="00EE6CA8"/>
    <w:rsid w:val="00EE7251"/>
    <w:rsid w:val="00EE790C"/>
    <w:rsid w:val="00EF0042"/>
    <w:rsid w:val="00EF04CD"/>
    <w:rsid w:val="00EF0A71"/>
    <w:rsid w:val="00EF1570"/>
    <w:rsid w:val="00EF25C2"/>
    <w:rsid w:val="00EF26F8"/>
    <w:rsid w:val="00EF2A6B"/>
    <w:rsid w:val="00EF34AA"/>
    <w:rsid w:val="00EF3FB5"/>
    <w:rsid w:val="00EF5A20"/>
    <w:rsid w:val="00EF5FD9"/>
    <w:rsid w:val="00EF656E"/>
    <w:rsid w:val="00EF6B4D"/>
    <w:rsid w:val="00EF709E"/>
    <w:rsid w:val="00EF7420"/>
    <w:rsid w:val="00EF797C"/>
    <w:rsid w:val="00F00549"/>
    <w:rsid w:val="00F013AE"/>
    <w:rsid w:val="00F01FAA"/>
    <w:rsid w:val="00F021E3"/>
    <w:rsid w:val="00F0245B"/>
    <w:rsid w:val="00F03026"/>
    <w:rsid w:val="00F04591"/>
    <w:rsid w:val="00F04D95"/>
    <w:rsid w:val="00F053DA"/>
    <w:rsid w:val="00F056A1"/>
    <w:rsid w:val="00F05AB1"/>
    <w:rsid w:val="00F060A7"/>
    <w:rsid w:val="00F06388"/>
    <w:rsid w:val="00F0674A"/>
    <w:rsid w:val="00F067C2"/>
    <w:rsid w:val="00F0680F"/>
    <w:rsid w:val="00F075A2"/>
    <w:rsid w:val="00F10872"/>
    <w:rsid w:val="00F11162"/>
    <w:rsid w:val="00F11244"/>
    <w:rsid w:val="00F11E2C"/>
    <w:rsid w:val="00F12245"/>
    <w:rsid w:val="00F127FB"/>
    <w:rsid w:val="00F129D2"/>
    <w:rsid w:val="00F129E8"/>
    <w:rsid w:val="00F12A2F"/>
    <w:rsid w:val="00F12EF3"/>
    <w:rsid w:val="00F13638"/>
    <w:rsid w:val="00F13B2B"/>
    <w:rsid w:val="00F1448B"/>
    <w:rsid w:val="00F14759"/>
    <w:rsid w:val="00F1590C"/>
    <w:rsid w:val="00F15FF9"/>
    <w:rsid w:val="00F165E3"/>
    <w:rsid w:val="00F16EF5"/>
    <w:rsid w:val="00F17C25"/>
    <w:rsid w:val="00F17C5D"/>
    <w:rsid w:val="00F17D61"/>
    <w:rsid w:val="00F17EEC"/>
    <w:rsid w:val="00F212AD"/>
    <w:rsid w:val="00F21712"/>
    <w:rsid w:val="00F2184C"/>
    <w:rsid w:val="00F21F15"/>
    <w:rsid w:val="00F224FD"/>
    <w:rsid w:val="00F2389D"/>
    <w:rsid w:val="00F23BE7"/>
    <w:rsid w:val="00F23F5C"/>
    <w:rsid w:val="00F259B1"/>
    <w:rsid w:val="00F30453"/>
    <w:rsid w:val="00F318CF"/>
    <w:rsid w:val="00F31D01"/>
    <w:rsid w:val="00F3212D"/>
    <w:rsid w:val="00F32C3F"/>
    <w:rsid w:val="00F32D89"/>
    <w:rsid w:val="00F32EE9"/>
    <w:rsid w:val="00F33DDC"/>
    <w:rsid w:val="00F34FEF"/>
    <w:rsid w:val="00F35597"/>
    <w:rsid w:val="00F3561D"/>
    <w:rsid w:val="00F356CC"/>
    <w:rsid w:val="00F36763"/>
    <w:rsid w:val="00F36D68"/>
    <w:rsid w:val="00F36DAD"/>
    <w:rsid w:val="00F370F5"/>
    <w:rsid w:val="00F37A2E"/>
    <w:rsid w:val="00F400C8"/>
    <w:rsid w:val="00F4025A"/>
    <w:rsid w:val="00F405F5"/>
    <w:rsid w:val="00F40F49"/>
    <w:rsid w:val="00F4154F"/>
    <w:rsid w:val="00F41935"/>
    <w:rsid w:val="00F4315F"/>
    <w:rsid w:val="00F43227"/>
    <w:rsid w:val="00F45029"/>
    <w:rsid w:val="00F46411"/>
    <w:rsid w:val="00F46D01"/>
    <w:rsid w:val="00F46EC7"/>
    <w:rsid w:val="00F4770C"/>
    <w:rsid w:val="00F47BB4"/>
    <w:rsid w:val="00F47E16"/>
    <w:rsid w:val="00F51877"/>
    <w:rsid w:val="00F51D4A"/>
    <w:rsid w:val="00F51EBD"/>
    <w:rsid w:val="00F5211B"/>
    <w:rsid w:val="00F527DF"/>
    <w:rsid w:val="00F52851"/>
    <w:rsid w:val="00F541B7"/>
    <w:rsid w:val="00F54582"/>
    <w:rsid w:val="00F55166"/>
    <w:rsid w:val="00F5686D"/>
    <w:rsid w:val="00F56F2E"/>
    <w:rsid w:val="00F577CB"/>
    <w:rsid w:val="00F57AD3"/>
    <w:rsid w:val="00F61699"/>
    <w:rsid w:val="00F61CD0"/>
    <w:rsid w:val="00F62810"/>
    <w:rsid w:val="00F63591"/>
    <w:rsid w:val="00F63EEB"/>
    <w:rsid w:val="00F6409E"/>
    <w:rsid w:val="00F64C0C"/>
    <w:rsid w:val="00F65362"/>
    <w:rsid w:val="00F666BE"/>
    <w:rsid w:val="00F66871"/>
    <w:rsid w:val="00F66A6C"/>
    <w:rsid w:val="00F66C02"/>
    <w:rsid w:val="00F6708C"/>
    <w:rsid w:val="00F67B7E"/>
    <w:rsid w:val="00F7049A"/>
    <w:rsid w:val="00F706BE"/>
    <w:rsid w:val="00F7097A"/>
    <w:rsid w:val="00F71409"/>
    <w:rsid w:val="00F71451"/>
    <w:rsid w:val="00F71526"/>
    <w:rsid w:val="00F72477"/>
    <w:rsid w:val="00F73403"/>
    <w:rsid w:val="00F74454"/>
    <w:rsid w:val="00F7487D"/>
    <w:rsid w:val="00F758F2"/>
    <w:rsid w:val="00F75937"/>
    <w:rsid w:val="00F75F11"/>
    <w:rsid w:val="00F761F5"/>
    <w:rsid w:val="00F773B5"/>
    <w:rsid w:val="00F77AF8"/>
    <w:rsid w:val="00F77B02"/>
    <w:rsid w:val="00F77B96"/>
    <w:rsid w:val="00F77E47"/>
    <w:rsid w:val="00F77E9D"/>
    <w:rsid w:val="00F806D0"/>
    <w:rsid w:val="00F80DEF"/>
    <w:rsid w:val="00F81713"/>
    <w:rsid w:val="00F81B74"/>
    <w:rsid w:val="00F82600"/>
    <w:rsid w:val="00F82613"/>
    <w:rsid w:val="00F831B2"/>
    <w:rsid w:val="00F84B69"/>
    <w:rsid w:val="00F84EF1"/>
    <w:rsid w:val="00F85645"/>
    <w:rsid w:val="00F86646"/>
    <w:rsid w:val="00F86FBB"/>
    <w:rsid w:val="00F87930"/>
    <w:rsid w:val="00F9038C"/>
    <w:rsid w:val="00F9087F"/>
    <w:rsid w:val="00F91184"/>
    <w:rsid w:val="00F9128D"/>
    <w:rsid w:val="00F916DB"/>
    <w:rsid w:val="00F91843"/>
    <w:rsid w:val="00F91B79"/>
    <w:rsid w:val="00F92B5B"/>
    <w:rsid w:val="00F92D84"/>
    <w:rsid w:val="00F9417B"/>
    <w:rsid w:val="00F942D1"/>
    <w:rsid w:val="00F94A47"/>
    <w:rsid w:val="00F94D75"/>
    <w:rsid w:val="00F953C6"/>
    <w:rsid w:val="00F956FC"/>
    <w:rsid w:val="00F9644C"/>
    <w:rsid w:val="00F96638"/>
    <w:rsid w:val="00FA02B5"/>
    <w:rsid w:val="00FA09D4"/>
    <w:rsid w:val="00FA1253"/>
    <w:rsid w:val="00FA174A"/>
    <w:rsid w:val="00FA181D"/>
    <w:rsid w:val="00FA18B1"/>
    <w:rsid w:val="00FA18C5"/>
    <w:rsid w:val="00FA19E5"/>
    <w:rsid w:val="00FA2C7C"/>
    <w:rsid w:val="00FA2D8D"/>
    <w:rsid w:val="00FA452A"/>
    <w:rsid w:val="00FA4AD5"/>
    <w:rsid w:val="00FA5760"/>
    <w:rsid w:val="00FA5C30"/>
    <w:rsid w:val="00FA6485"/>
    <w:rsid w:val="00FA6A90"/>
    <w:rsid w:val="00FA7945"/>
    <w:rsid w:val="00FB01F3"/>
    <w:rsid w:val="00FB04CE"/>
    <w:rsid w:val="00FB0AD2"/>
    <w:rsid w:val="00FB179C"/>
    <w:rsid w:val="00FB2640"/>
    <w:rsid w:val="00FB38F8"/>
    <w:rsid w:val="00FB3D8D"/>
    <w:rsid w:val="00FB5898"/>
    <w:rsid w:val="00FB5A2E"/>
    <w:rsid w:val="00FB5C28"/>
    <w:rsid w:val="00FB6954"/>
    <w:rsid w:val="00FB702A"/>
    <w:rsid w:val="00FB732E"/>
    <w:rsid w:val="00FB7412"/>
    <w:rsid w:val="00FB7F99"/>
    <w:rsid w:val="00FC0092"/>
    <w:rsid w:val="00FC0874"/>
    <w:rsid w:val="00FC0DC2"/>
    <w:rsid w:val="00FC3966"/>
    <w:rsid w:val="00FC3D1D"/>
    <w:rsid w:val="00FC3E5D"/>
    <w:rsid w:val="00FC49AB"/>
    <w:rsid w:val="00FC59D9"/>
    <w:rsid w:val="00FC6EE3"/>
    <w:rsid w:val="00FC7025"/>
    <w:rsid w:val="00FC7B08"/>
    <w:rsid w:val="00FD0A26"/>
    <w:rsid w:val="00FD2BCD"/>
    <w:rsid w:val="00FD37C1"/>
    <w:rsid w:val="00FD3890"/>
    <w:rsid w:val="00FD430F"/>
    <w:rsid w:val="00FD5CEE"/>
    <w:rsid w:val="00FD62A1"/>
    <w:rsid w:val="00FD640D"/>
    <w:rsid w:val="00FD6D61"/>
    <w:rsid w:val="00FE01F5"/>
    <w:rsid w:val="00FE051B"/>
    <w:rsid w:val="00FE1934"/>
    <w:rsid w:val="00FE2904"/>
    <w:rsid w:val="00FE2C11"/>
    <w:rsid w:val="00FE31FC"/>
    <w:rsid w:val="00FE4074"/>
    <w:rsid w:val="00FE4EAF"/>
    <w:rsid w:val="00FE5107"/>
    <w:rsid w:val="00FE5338"/>
    <w:rsid w:val="00FE5605"/>
    <w:rsid w:val="00FE5B92"/>
    <w:rsid w:val="00FE6072"/>
    <w:rsid w:val="00FE6711"/>
    <w:rsid w:val="00FE6D0F"/>
    <w:rsid w:val="00FE70AC"/>
    <w:rsid w:val="00FE734A"/>
    <w:rsid w:val="00FE7C56"/>
    <w:rsid w:val="00FF0E6F"/>
    <w:rsid w:val="00FF11B3"/>
    <w:rsid w:val="00FF13DE"/>
    <w:rsid w:val="00FF1437"/>
    <w:rsid w:val="00FF16AB"/>
    <w:rsid w:val="00FF1749"/>
    <w:rsid w:val="00FF2039"/>
    <w:rsid w:val="00FF21C1"/>
    <w:rsid w:val="00FF4695"/>
    <w:rsid w:val="00FF4778"/>
    <w:rsid w:val="00FF48B5"/>
    <w:rsid w:val="00FF52EB"/>
    <w:rsid w:val="00FF5EC7"/>
    <w:rsid w:val="00FF73F9"/>
    <w:rsid w:val="00FF7AD8"/>
    <w:rsid w:val="01D051CE"/>
    <w:rsid w:val="029B2097"/>
    <w:rsid w:val="071F36EB"/>
    <w:rsid w:val="08FB36E6"/>
    <w:rsid w:val="0F0F3CF4"/>
    <w:rsid w:val="0F765F22"/>
    <w:rsid w:val="0F83612D"/>
    <w:rsid w:val="0F8F2F1A"/>
    <w:rsid w:val="103A2DBE"/>
    <w:rsid w:val="11B42C1A"/>
    <w:rsid w:val="14520113"/>
    <w:rsid w:val="1492362B"/>
    <w:rsid w:val="1993319B"/>
    <w:rsid w:val="1A3049D4"/>
    <w:rsid w:val="1BBE5203"/>
    <w:rsid w:val="20323FCB"/>
    <w:rsid w:val="22C143A8"/>
    <w:rsid w:val="24A4042D"/>
    <w:rsid w:val="286E4C68"/>
    <w:rsid w:val="2AA67D20"/>
    <w:rsid w:val="2B4177CC"/>
    <w:rsid w:val="2E051D0E"/>
    <w:rsid w:val="3864718F"/>
    <w:rsid w:val="3D8E3852"/>
    <w:rsid w:val="3F8B74A4"/>
    <w:rsid w:val="420666B4"/>
    <w:rsid w:val="422261C6"/>
    <w:rsid w:val="426D74C6"/>
    <w:rsid w:val="43426837"/>
    <w:rsid w:val="43886DCB"/>
    <w:rsid w:val="482C3E5C"/>
    <w:rsid w:val="4AC14F2F"/>
    <w:rsid w:val="4ACE0B3E"/>
    <w:rsid w:val="4D732F03"/>
    <w:rsid w:val="4EC72AD8"/>
    <w:rsid w:val="4EE706EC"/>
    <w:rsid w:val="54311D59"/>
    <w:rsid w:val="546B21C8"/>
    <w:rsid w:val="569357FD"/>
    <w:rsid w:val="58907EDA"/>
    <w:rsid w:val="5A8364A8"/>
    <w:rsid w:val="5B35700F"/>
    <w:rsid w:val="5C2B361F"/>
    <w:rsid w:val="5CDE319B"/>
    <w:rsid w:val="5D223C09"/>
    <w:rsid w:val="5DF42947"/>
    <w:rsid w:val="62A327C3"/>
    <w:rsid w:val="63205730"/>
    <w:rsid w:val="63656540"/>
    <w:rsid w:val="636D0DD0"/>
    <w:rsid w:val="648C3426"/>
    <w:rsid w:val="65532CC4"/>
    <w:rsid w:val="662A6197"/>
    <w:rsid w:val="672C1A82"/>
    <w:rsid w:val="679333EB"/>
    <w:rsid w:val="6B6B74C9"/>
    <w:rsid w:val="6BE62939"/>
    <w:rsid w:val="6C4A0F71"/>
    <w:rsid w:val="707D0E0A"/>
    <w:rsid w:val="70C2162B"/>
    <w:rsid w:val="7254044A"/>
    <w:rsid w:val="745F1DAA"/>
    <w:rsid w:val="74DA38D0"/>
    <w:rsid w:val="76056D16"/>
    <w:rsid w:val="76383BD9"/>
    <w:rsid w:val="77757F8C"/>
    <w:rsid w:val="7A873AA1"/>
    <w:rsid w:val="7AC66CAD"/>
    <w:rsid w:val="7EA15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355930"/>
  <w15:docId w15:val="{F43D0843-132B-419B-8FBD-4EED202C0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tabs>
        <w:tab w:val="left" w:pos="1182"/>
      </w:tabs>
      <w:spacing w:beforeLines="100" w:afterLines="100" w:line="360" w:lineRule="auto"/>
      <w:ind w:left="527" w:hanging="425"/>
      <w:jc w:val="center"/>
      <w:outlineLvl w:val="0"/>
    </w:pPr>
    <w:rPr>
      <w:rFonts w:eastAsia="楷体_GB2312"/>
      <w:b/>
      <w:kern w:val="44"/>
      <w:sz w:val="32"/>
    </w:rPr>
  </w:style>
  <w:style w:type="paragraph" w:styleId="2">
    <w:name w:val="heading 2"/>
    <w:basedOn w:val="a"/>
    <w:next w:val="a0"/>
    <w:qFormat/>
    <w:pPr>
      <w:keepNext/>
      <w:keepLines/>
      <w:tabs>
        <w:tab w:val="left" w:pos="456"/>
      </w:tabs>
      <w:spacing w:beforeLines="100" w:afterLines="100" w:line="360" w:lineRule="auto"/>
      <w:ind w:left="456" w:hanging="454"/>
      <w:outlineLvl w:val="1"/>
    </w:pPr>
    <w:rPr>
      <w:b/>
      <w:sz w:val="24"/>
    </w:rPr>
  </w:style>
  <w:style w:type="paragraph" w:styleId="3">
    <w:name w:val="heading 3"/>
    <w:basedOn w:val="a"/>
    <w:next w:val="a0"/>
    <w:qFormat/>
    <w:pPr>
      <w:keepNext/>
      <w:keepLines/>
      <w:tabs>
        <w:tab w:val="left" w:pos="475"/>
      </w:tabs>
      <w:spacing w:beforeLines="50" w:afterLines="50" w:line="360" w:lineRule="auto"/>
      <w:ind w:left="102" w:firstLine="13"/>
      <w:outlineLvl w:val="2"/>
    </w:pPr>
    <w:rPr>
      <w:b/>
      <w:sz w:val="24"/>
    </w:rPr>
  </w:style>
  <w:style w:type="paragraph" w:styleId="4">
    <w:name w:val="heading 4"/>
    <w:basedOn w:val="a"/>
    <w:next w:val="a"/>
    <w:qFormat/>
    <w:pPr>
      <w:keepNext/>
      <w:keepLines/>
      <w:spacing w:before="280" w:after="290" w:line="372" w:lineRule="auto"/>
      <w:outlineLvl w:val="3"/>
    </w:pPr>
    <w:rPr>
      <w:rFonts w:ascii="Arial" w:eastAsia="黑体" w:hAnsi="Arial"/>
      <w:b/>
      <w:sz w:val="28"/>
    </w:rPr>
  </w:style>
  <w:style w:type="paragraph" w:styleId="5">
    <w:name w:val="heading 5"/>
    <w:basedOn w:val="a"/>
    <w:next w:val="a0"/>
    <w:qFormat/>
    <w:pPr>
      <w:keepNext/>
      <w:keepLines/>
      <w:tabs>
        <w:tab w:val="left" w:pos="462"/>
      </w:tabs>
      <w:spacing w:before="100" w:beforeAutospacing="1" w:after="100" w:afterAutospacing="1" w:line="360" w:lineRule="auto"/>
      <w:ind w:left="102"/>
      <w:outlineLvl w:val="4"/>
    </w:pPr>
    <w:rPr>
      <w:b/>
      <w:sz w:val="24"/>
    </w:rPr>
  </w:style>
  <w:style w:type="paragraph" w:styleId="6">
    <w:name w:val="heading 6"/>
    <w:basedOn w:val="a"/>
    <w:next w:val="a0"/>
    <w:qFormat/>
    <w:pPr>
      <w:keepNext/>
      <w:keepLines/>
      <w:tabs>
        <w:tab w:val="left" w:pos="462"/>
      </w:tabs>
      <w:spacing w:before="100" w:beforeAutospacing="1" w:after="100" w:afterAutospacing="1" w:line="360" w:lineRule="auto"/>
      <w:ind w:left="102"/>
      <w:outlineLvl w:val="5"/>
    </w:pPr>
    <w:rPr>
      <w:b/>
    </w:rPr>
  </w:style>
  <w:style w:type="paragraph" w:styleId="7">
    <w:name w:val="heading 7"/>
    <w:basedOn w:val="a"/>
    <w:next w:val="a"/>
    <w:qFormat/>
    <w:pPr>
      <w:keepNext/>
      <w:keepLines/>
      <w:spacing w:before="240" w:after="64" w:line="317" w:lineRule="auto"/>
      <w:outlineLvl w:val="6"/>
    </w:pPr>
    <w:rPr>
      <w:b/>
      <w:sz w:val="24"/>
    </w:rPr>
  </w:style>
  <w:style w:type="paragraph" w:styleId="8">
    <w:name w:val="heading 8"/>
    <w:basedOn w:val="a"/>
    <w:next w:val="a"/>
    <w:qFormat/>
    <w:pPr>
      <w:keepNext/>
      <w:keepLines/>
      <w:spacing w:before="240" w:after="64" w:line="317" w:lineRule="auto"/>
      <w:outlineLvl w:val="7"/>
    </w:pPr>
    <w:rPr>
      <w:rFonts w:ascii="Arial" w:eastAsia="黑体" w:hAnsi="Arial"/>
      <w:sz w:val="24"/>
    </w:rPr>
  </w:style>
  <w:style w:type="paragraph" w:styleId="9">
    <w:name w:val="heading 9"/>
    <w:basedOn w:val="a"/>
    <w:next w:val="a"/>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a5"/>
    <w:uiPriority w:val="99"/>
    <w:semiHidden/>
    <w:unhideWhenUsed/>
    <w:qFormat/>
    <w:rPr>
      <w:rFonts w:ascii="宋体"/>
      <w:sz w:val="18"/>
      <w:szCs w:val="18"/>
      <w:lang w:val="zh-CN"/>
    </w:rPr>
  </w:style>
  <w:style w:type="paragraph" w:styleId="a6">
    <w:name w:val="annotation text"/>
    <w:basedOn w:val="a"/>
    <w:link w:val="a7"/>
    <w:qFormat/>
    <w:pPr>
      <w:jc w:val="left"/>
    </w:pPr>
    <w:rPr>
      <w:lang w:val="zh-CN"/>
    </w:rPr>
  </w:style>
  <w:style w:type="paragraph" w:styleId="a8">
    <w:name w:val="Body Text"/>
    <w:basedOn w:val="a"/>
    <w:qFormat/>
    <w:pPr>
      <w:spacing w:after="120"/>
    </w:pPr>
  </w:style>
  <w:style w:type="paragraph" w:styleId="a9">
    <w:name w:val="Body Text Indent"/>
    <w:basedOn w:val="a"/>
    <w:qFormat/>
    <w:pPr>
      <w:widowControl/>
      <w:spacing w:line="360" w:lineRule="auto"/>
      <w:ind w:rightChars="-85" w:right="-85" w:firstLineChars="150" w:firstLine="360"/>
      <w:jc w:val="left"/>
    </w:pPr>
    <w:rPr>
      <w:rFonts w:ascii="宋体" w:hAnsi="宋体"/>
      <w:sz w:val="24"/>
    </w:rPr>
  </w:style>
  <w:style w:type="paragraph" w:styleId="aa">
    <w:name w:val="Plain Text"/>
    <w:basedOn w:val="a"/>
    <w:link w:val="ab"/>
    <w:uiPriority w:val="99"/>
    <w:qFormat/>
    <w:pPr>
      <w:widowControl/>
      <w:jc w:val="left"/>
    </w:pPr>
    <w:rPr>
      <w:rFonts w:ascii="Courier New" w:hAnsi="Courier New"/>
      <w:kern w:val="0"/>
      <w:sz w:val="20"/>
      <w:lang w:val="zh-CN"/>
    </w:rPr>
  </w:style>
  <w:style w:type="paragraph" w:styleId="ac">
    <w:name w:val="Date"/>
    <w:basedOn w:val="a"/>
    <w:next w:val="a"/>
    <w:link w:val="ad"/>
    <w:uiPriority w:val="99"/>
    <w:semiHidden/>
    <w:unhideWhenUsed/>
    <w:qFormat/>
    <w:pPr>
      <w:ind w:leftChars="2500" w:left="100"/>
    </w:pPr>
    <w:rPr>
      <w:lang w:val="zh-CN"/>
    </w:rPr>
  </w:style>
  <w:style w:type="paragraph" w:styleId="20">
    <w:name w:val="Body Text Indent 2"/>
    <w:basedOn w:val="a"/>
    <w:qFormat/>
    <w:pPr>
      <w:widowControl/>
      <w:spacing w:before="100" w:beforeAutospacing="1" w:after="100" w:afterAutospacing="1"/>
      <w:ind w:rightChars="-85" w:right="-85" w:firstLine="480"/>
      <w:outlineLvl w:val="0"/>
    </w:pPr>
    <w:rPr>
      <w:rFonts w:ascii="宋体" w:hAnsi="宋体"/>
      <w:color w:val="000000"/>
      <w:sz w:val="24"/>
    </w:rPr>
  </w:style>
  <w:style w:type="paragraph" w:styleId="ae">
    <w:name w:val="Balloon Text"/>
    <w:basedOn w:val="a"/>
    <w:qFormat/>
    <w:rPr>
      <w:sz w:val="18"/>
    </w:rPr>
  </w:style>
  <w:style w:type="paragraph" w:styleId="af">
    <w:name w:val="footer"/>
    <w:basedOn w:val="a"/>
    <w:link w:val="af0"/>
    <w:uiPriority w:val="99"/>
    <w:qFormat/>
    <w:pPr>
      <w:tabs>
        <w:tab w:val="center" w:pos="4153"/>
        <w:tab w:val="right" w:pos="8306"/>
      </w:tabs>
      <w:snapToGrid w:val="0"/>
      <w:jc w:val="left"/>
    </w:pPr>
    <w:rPr>
      <w:sz w:val="18"/>
      <w:lang w:val="zh-CN"/>
    </w:rPr>
  </w:style>
  <w:style w:type="paragraph" w:styleId="af1">
    <w:name w:val="header"/>
    <w:basedOn w:val="a"/>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450"/>
      </w:tabs>
      <w:spacing w:line="360" w:lineRule="auto"/>
    </w:pPr>
    <w:rPr>
      <w:rFonts w:ascii="黑体" w:eastAsia="黑体" w:hAnsi="宋体"/>
      <w:sz w:val="24"/>
    </w:rPr>
  </w:style>
  <w:style w:type="paragraph" w:styleId="21">
    <w:name w:val="toc 2"/>
    <w:basedOn w:val="a"/>
    <w:next w:val="a"/>
    <w:qFormat/>
    <w:pPr>
      <w:ind w:leftChars="200" w:left="420"/>
    </w:pPr>
  </w:style>
  <w:style w:type="paragraph" w:styleId="af2">
    <w:name w:val="Normal (Web)"/>
    <w:basedOn w:val="a"/>
    <w:qFormat/>
    <w:pPr>
      <w:widowControl/>
      <w:tabs>
        <w:tab w:val="left" w:pos="360"/>
      </w:tabs>
      <w:spacing w:before="100" w:beforeAutospacing="1" w:after="100" w:afterAutospacing="1"/>
      <w:jc w:val="left"/>
    </w:pPr>
    <w:rPr>
      <w:rFonts w:ascii="Arial Unicode MS" w:eastAsia="Arial Unicode MS" w:hAnsi="Arial Unicode MS"/>
      <w:kern w:val="0"/>
      <w:sz w:val="24"/>
    </w:rPr>
  </w:style>
  <w:style w:type="paragraph" w:styleId="af3">
    <w:name w:val="Title"/>
    <w:basedOn w:val="a8"/>
    <w:next w:val="a8"/>
    <w:qFormat/>
    <w:pPr>
      <w:tabs>
        <w:tab w:val="left" w:pos="-540"/>
        <w:tab w:val="left" w:pos="1182"/>
      </w:tabs>
      <w:snapToGrid w:val="0"/>
      <w:spacing w:before="240" w:after="60" w:line="360" w:lineRule="auto"/>
      <w:ind w:left="527" w:hanging="425"/>
      <w:jc w:val="center"/>
      <w:outlineLvl w:val="0"/>
    </w:pPr>
    <w:rPr>
      <w:b/>
      <w:sz w:val="36"/>
    </w:rPr>
  </w:style>
  <w:style w:type="paragraph" w:styleId="af4">
    <w:name w:val="annotation subject"/>
    <w:basedOn w:val="a6"/>
    <w:next w:val="a6"/>
    <w:qFormat/>
    <w:rPr>
      <w:b/>
    </w:rPr>
  </w:style>
  <w:style w:type="paragraph" w:styleId="af5">
    <w:name w:val="Body Text First Indent"/>
    <w:basedOn w:val="a8"/>
    <w:qFormat/>
    <w:pPr>
      <w:spacing w:line="300" w:lineRule="auto"/>
      <w:ind w:firstLine="425"/>
    </w:pPr>
  </w:style>
  <w:style w:type="character" w:styleId="af6">
    <w:name w:val="page number"/>
    <w:basedOn w:val="a1"/>
    <w:qFormat/>
  </w:style>
  <w:style w:type="character" w:styleId="af7">
    <w:name w:val="Hyperlink"/>
    <w:uiPriority w:val="99"/>
    <w:qFormat/>
    <w:rPr>
      <w:color w:val="0000FF"/>
      <w:u w:val="single"/>
    </w:rPr>
  </w:style>
  <w:style w:type="character" w:styleId="af8">
    <w:name w:val="annotation reference"/>
    <w:qFormat/>
    <w:rPr>
      <w:sz w:val="21"/>
    </w:rPr>
  </w:style>
  <w:style w:type="character" w:customStyle="1" w:styleId="read">
    <w:name w:val="read"/>
    <w:basedOn w:val="a1"/>
    <w:qFormat/>
  </w:style>
  <w:style w:type="character" w:customStyle="1" w:styleId="11">
    <w:name w:val="已访问的超链接1"/>
    <w:qFormat/>
    <w:rPr>
      <w:color w:val="800080"/>
      <w:u w:val="single"/>
    </w:rPr>
  </w:style>
  <w:style w:type="character" w:customStyle="1" w:styleId="big1">
    <w:name w:val="big1"/>
    <w:qFormat/>
    <w:rPr>
      <w:sz w:val="22"/>
    </w:rPr>
  </w:style>
  <w:style w:type="character" w:customStyle="1" w:styleId="ab">
    <w:name w:val="纯文本 字符"/>
    <w:link w:val="aa"/>
    <w:uiPriority w:val="99"/>
    <w:qFormat/>
    <w:rPr>
      <w:rFonts w:ascii="Courier New" w:hAnsi="Courier New"/>
    </w:rPr>
  </w:style>
  <w:style w:type="character" w:customStyle="1" w:styleId="ten51">
    <w:name w:val="ten51"/>
    <w:qFormat/>
    <w:rPr>
      <w:sz w:val="21"/>
    </w:rPr>
  </w:style>
  <w:style w:type="paragraph" w:customStyle="1" w:styleId="CharCharCharCharCharCharChar">
    <w:name w:val="Char Char Char Char Char Char Char"/>
    <w:basedOn w:val="a"/>
    <w:qFormat/>
  </w:style>
  <w:style w:type="paragraph" w:customStyle="1" w:styleId="22">
    <w:name w:val="编号正文2"/>
    <w:basedOn w:val="a"/>
    <w:qFormat/>
    <w:pPr>
      <w:tabs>
        <w:tab w:val="left" w:pos="648"/>
      </w:tabs>
      <w:autoSpaceDE w:val="0"/>
      <w:autoSpaceDN w:val="0"/>
      <w:adjustRightInd w:val="0"/>
      <w:spacing w:after="120" w:line="300" w:lineRule="auto"/>
      <w:ind w:firstLine="288"/>
      <w:textAlignment w:val="baseline"/>
    </w:pPr>
    <w:rPr>
      <w:rFonts w:ascii="宋体"/>
      <w:kern w:val="0"/>
    </w:rPr>
  </w:style>
  <w:style w:type="paragraph" w:customStyle="1" w:styleId="xl22">
    <w:name w:val="xl22"/>
    <w:basedOn w:val="a"/>
    <w:qFormat/>
    <w:pPr>
      <w:widowControl/>
      <w:spacing w:before="100" w:beforeAutospacing="1" w:after="100" w:afterAutospacing="1"/>
      <w:textAlignment w:val="top"/>
    </w:pPr>
    <w:rPr>
      <w:rFonts w:ascii="宋体" w:hAnsi="宋体" w:hint="eastAsia"/>
      <w:kern w:val="0"/>
      <w:sz w:val="18"/>
    </w:rPr>
  </w:style>
  <w:style w:type="paragraph" w:customStyle="1" w:styleId="af9">
    <w:name w:val="项目"/>
    <w:basedOn w:val="4"/>
    <w:qFormat/>
    <w:pPr>
      <w:snapToGrid w:val="0"/>
      <w:spacing w:before="120" w:after="120" w:line="360" w:lineRule="auto"/>
    </w:pPr>
    <w:rPr>
      <w:rFonts w:ascii="Times New Roman" w:eastAsia="楷体_GB2312" w:hAnsi="Times New Roman"/>
      <w:b w:val="0"/>
      <w:sz w:val="24"/>
    </w:rPr>
  </w:style>
  <w:style w:type="paragraph" w:customStyle="1" w:styleId="c">
    <w:name w:val="c_"/>
    <w:qFormat/>
    <w:pPr>
      <w:widowControl w:val="0"/>
      <w:autoSpaceDE w:val="0"/>
      <w:autoSpaceDN w:val="0"/>
      <w:adjustRightInd w:val="0"/>
      <w:jc w:val="both"/>
    </w:pPr>
    <w:rPr>
      <w:rFonts w:ascii="五" w:eastAsia="五"/>
      <w:sz w:val="24"/>
    </w:rPr>
  </w:style>
  <w:style w:type="paragraph" w:customStyle="1" w:styleId="afa">
    <w:name w:val="表格正文"/>
    <w:basedOn w:val="a0"/>
    <w:qFormat/>
    <w:pPr>
      <w:spacing w:beforeLines="50"/>
      <w:ind w:firstLineChars="0" w:firstLine="0"/>
      <w:jc w:val="center"/>
    </w:pPr>
    <w:rPr>
      <w:sz w:val="24"/>
    </w:rPr>
  </w:style>
  <w:style w:type="paragraph" w:customStyle="1" w:styleId="Char">
    <w:name w:val="Char"/>
    <w:basedOn w:val="a"/>
    <w:qFormat/>
  </w:style>
  <w:style w:type="paragraph" w:customStyle="1" w:styleId="CharCharCharChar1CharCharChar">
    <w:name w:val="Char Char Char Char1 Char Char Char"/>
    <w:basedOn w:val="a"/>
    <w:qFormat/>
  </w:style>
  <w:style w:type="paragraph" w:customStyle="1" w:styleId="ParaCharCharCharCharCharChar">
    <w:name w:val="默认段落字体 Para Char Char Char Char Char Char"/>
    <w:basedOn w:val="a"/>
    <w:qFormat/>
    <w:pPr>
      <w:tabs>
        <w:tab w:val="left" w:pos="840"/>
      </w:tabs>
      <w:ind w:left="840" w:hanging="360"/>
    </w:pPr>
    <w:rPr>
      <w:sz w:val="24"/>
    </w:rPr>
  </w:style>
  <w:style w:type="paragraph" w:customStyle="1" w:styleId="afb">
    <w:name w:val="报告署名"/>
    <w:basedOn w:val="a"/>
    <w:next w:val="a"/>
    <w:qFormat/>
    <w:pPr>
      <w:spacing w:line="360" w:lineRule="auto"/>
      <w:jc w:val="center"/>
    </w:pPr>
    <w:rPr>
      <w:rFonts w:ascii="宋体" w:hAnsi="宋体"/>
      <w:sz w:val="24"/>
    </w:rPr>
  </w:style>
  <w:style w:type="paragraph" w:customStyle="1" w:styleId="CharCharCharCharChar">
    <w:name w:val="Char Char Char Char Char"/>
    <w:basedOn w:val="a"/>
    <w:qFormat/>
    <w:pPr>
      <w:tabs>
        <w:tab w:val="left" w:pos="840"/>
      </w:tabs>
      <w:ind w:left="840" w:hanging="360"/>
    </w:pPr>
    <w:rPr>
      <w:sz w:val="24"/>
    </w:rPr>
  </w:style>
  <w:style w:type="paragraph" w:customStyle="1" w:styleId="23">
    <w:name w:val="列表2"/>
    <w:basedOn w:val="a"/>
    <w:next w:val="af3"/>
    <w:qFormat/>
    <w:pPr>
      <w:tabs>
        <w:tab w:val="left" w:pos="1125"/>
      </w:tabs>
      <w:spacing w:line="360" w:lineRule="auto"/>
      <w:ind w:left="1125" w:hanging="1125"/>
    </w:pPr>
    <w:rPr>
      <w:rFonts w:ascii="宋体"/>
    </w:rPr>
  </w:style>
  <w:style w:type="paragraph" w:styleId="afc">
    <w:name w:val="List Paragraph"/>
    <w:basedOn w:val="a"/>
    <w:qFormat/>
    <w:pPr>
      <w:ind w:firstLineChars="200" w:firstLine="420"/>
    </w:pPr>
  </w:style>
  <w:style w:type="character" w:customStyle="1" w:styleId="a7">
    <w:name w:val="批注文字 字符"/>
    <w:link w:val="a6"/>
    <w:qFormat/>
    <w:rPr>
      <w:kern w:val="2"/>
      <w:sz w:val="21"/>
    </w:rPr>
  </w:style>
  <w:style w:type="paragraph" w:customStyle="1" w:styleId="CharChar">
    <w:name w:val="Char Char"/>
    <w:basedOn w:val="a"/>
    <w:qFormat/>
    <w:pPr>
      <w:tabs>
        <w:tab w:val="left" w:pos="840"/>
      </w:tabs>
      <w:ind w:left="840" w:hanging="360"/>
    </w:pPr>
    <w:rPr>
      <w:sz w:val="24"/>
      <w:szCs w:val="24"/>
    </w:rPr>
  </w:style>
  <w:style w:type="paragraph" w:customStyle="1" w:styleId="1Char">
    <w:name w:val="1 Char"/>
    <w:basedOn w:val="a"/>
    <w:semiHidden/>
    <w:qFormat/>
    <w:pPr>
      <w:tabs>
        <w:tab w:val="left" w:pos="360"/>
      </w:tabs>
    </w:pPr>
    <w:rPr>
      <w:sz w:val="24"/>
      <w:szCs w:val="24"/>
    </w:rPr>
  </w:style>
  <w:style w:type="paragraph" w:customStyle="1" w:styleId="12">
    <w:name w:val="修订1"/>
    <w:hidden/>
    <w:uiPriority w:val="99"/>
    <w:semiHidden/>
    <w:qFormat/>
    <w:rPr>
      <w:kern w:val="2"/>
      <w:sz w:val="21"/>
    </w:rPr>
  </w:style>
  <w:style w:type="character" w:customStyle="1" w:styleId="unnamed11">
    <w:name w:val="unnamed11"/>
    <w:qFormat/>
    <w:rPr>
      <w:rFonts w:ascii="宋体" w:eastAsia="宋体" w:hAnsi="宋体" w:hint="eastAsia"/>
      <w:sz w:val="18"/>
      <w:szCs w:val="18"/>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af0">
    <w:name w:val="页脚 字符"/>
    <w:link w:val="af"/>
    <w:uiPriority w:val="99"/>
    <w:qFormat/>
    <w:rPr>
      <w:kern w:val="2"/>
      <w:sz w:val="18"/>
    </w:rPr>
  </w:style>
  <w:style w:type="paragraph" w:customStyle="1" w:styleId="Char1">
    <w:name w:val="Char1"/>
    <w:basedOn w:val="a"/>
    <w:qFormat/>
  </w:style>
  <w:style w:type="character" w:customStyle="1" w:styleId="a5">
    <w:name w:val="文档结构图 字符"/>
    <w:link w:val="a4"/>
    <w:uiPriority w:val="99"/>
    <w:semiHidden/>
    <w:qFormat/>
    <w:rPr>
      <w:rFonts w:ascii="宋体"/>
      <w:kern w:val="2"/>
      <w:sz w:val="18"/>
      <w:szCs w:val="18"/>
    </w:rPr>
  </w:style>
  <w:style w:type="character" w:customStyle="1" w:styleId="13">
    <w:name w:val="批注引用1"/>
    <w:qFormat/>
    <w:rPr>
      <w:sz w:val="21"/>
    </w:rPr>
  </w:style>
  <w:style w:type="paragraph" w:customStyle="1" w:styleId="CharCharChar1">
    <w:name w:val="Char Char Char1"/>
    <w:basedOn w:val="a"/>
    <w:qFormat/>
  </w:style>
  <w:style w:type="character" w:customStyle="1" w:styleId="24">
    <w:name w:val="批注引用2"/>
    <w:qFormat/>
    <w:rPr>
      <w:sz w:val="21"/>
      <w:szCs w:val="21"/>
    </w:rPr>
  </w:style>
  <w:style w:type="character" w:customStyle="1" w:styleId="ad">
    <w:name w:val="日期 字符"/>
    <w:link w:val="ac"/>
    <w:uiPriority w:val="99"/>
    <w:semiHidden/>
    <w:qFormat/>
    <w:rPr>
      <w:kern w:val="2"/>
      <w:sz w:val="21"/>
    </w:rPr>
  </w:style>
  <w:style w:type="character" w:customStyle="1" w:styleId="Char10">
    <w:name w:val="批注文字 Char1"/>
    <w:qFormat/>
    <w:rPr>
      <w:kern w:val="2"/>
      <w:sz w:val="21"/>
      <w:szCs w:val="22"/>
    </w:rPr>
  </w:style>
  <w:style w:type="paragraph" w:customStyle="1" w:styleId="25">
    <w:name w:val="修订2"/>
    <w:hidden/>
    <w:uiPriority w:val="99"/>
    <w:semiHidden/>
    <w:qFormat/>
    <w:rPr>
      <w:kern w:val="2"/>
      <w:sz w:val="21"/>
    </w:rPr>
  </w:style>
  <w:style w:type="character" w:customStyle="1" w:styleId="14">
    <w:name w:val="批注文字 字符1"/>
    <w:basedOn w:val="a1"/>
    <w:qFormat/>
    <w:rPr>
      <w:kern w:val="2"/>
      <w:sz w:val="21"/>
    </w:rPr>
  </w:style>
  <w:style w:type="paragraph" w:customStyle="1" w:styleId="30">
    <w:name w:val="修订3"/>
    <w:hidden/>
    <w:uiPriority w:val="99"/>
    <w:semiHidden/>
    <w:qFormat/>
    <w:rPr>
      <w:kern w:val="2"/>
      <w:sz w:val="21"/>
    </w:rPr>
  </w:style>
  <w:style w:type="paragraph" w:customStyle="1" w:styleId="40">
    <w:name w:val="修订4"/>
    <w:hidden/>
    <w:uiPriority w:val="99"/>
    <w:semiHidden/>
    <w:qFormat/>
    <w:rPr>
      <w:kern w:val="2"/>
      <w:sz w:val="21"/>
    </w:rPr>
  </w:style>
  <w:style w:type="paragraph" w:customStyle="1" w:styleId="50">
    <w:name w:val="修订5"/>
    <w:hidden/>
    <w:uiPriority w:val="99"/>
    <w:semiHidden/>
    <w:qFormat/>
    <w:rPr>
      <w:kern w:val="2"/>
      <w:sz w:val="21"/>
    </w:rPr>
  </w:style>
  <w:style w:type="paragraph" w:customStyle="1" w:styleId="60">
    <w:name w:val="修订6"/>
    <w:hidden/>
    <w:uiPriority w:val="99"/>
    <w:semiHidden/>
    <w:qFormat/>
    <w:rPr>
      <w:kern w:val="2"/>
      <w:sz w:val="21"/>
    </w:rPr>
  </w:style>
  <w:style w:type="paragraph" w:customStyle="1" w:styleId="70">
    <w:name w:val="修订7"/>
    <w:hidden/>
    <w:uiPriority w:val="99"/>
    <w:semiHidden/>
    <w:rPr>
      <w:kern w:val="2"/>
      <w:sz w:val="21"/>
    </w:rPr>
  </w:style>
  <w:style w:type="paragraph" w:styleId="afd">
    <w:name w:val="Revision"/>
    <w:hidden/>
    <w:uiPriority w:val="99"/>
    <w:semiHidden/>
    <w:rsid w:val="00F6409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650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jysld.com&#25110;www.bocomschrod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ysld.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und001.com&#65292;www.bocomschroder.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0D929E-4F1A-431B-8347-B129892D9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49</Pages>
  <Words>12988</Words>
  <Characters>74033</Characters>
  <Application>Microsoft Office Word</Application>
  <DocSecurity>0</DocSecurity>
  <Lines>616</Lines>
  <Paragraphs>173</Paragraphs>
  <ScaleCrop>false</ScaleCrop>
  <Company>Microsoft</Company>
  <LinksUpToDate>false</LinksUpToDate>
  <CharactersWithSpaces>86848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creator>张敏峻</dc:creator>
  <cp:lastModifiedBy>张婕茹</cp:lastModifiedBy>
  <cp:revision>51</cp:revision>
  <cp:lastPrinted>2024-03-01T07:20:00Z</cp:lastPrinted>
  <dcterms:created xsi:type="dcterms:W3CDTF">2026-01-15T03:08:00Z</dcterms:created>
  <dcterms:modified xsi:type="dcterms:W3CDTF">2026-04-28T06:27:00Z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628F7F34DD764765AD4400EC35503FF4</vt:lpwstr>
  </property>
  <property fmtid="{D5CDD505-2E9C-101B-9397-08002B2CF9AE}" pid="4" name="KSOTemplateDocerSaveRecord">
    <vt:lpwstr>eyJoZGlkIjoiYmJlMTM1OTQzNjc4MDU2M2Q4N2QwZWU0ZjYyZTMyZmIiLCJ1c2VySWQiOiI2NTE1MDQyNjQifQ==</vt:lpwstr>
  </property>
</Properties>
</file>