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2F62D" w14:textId="77777777" w:rsidR="00AE2A54" w:rsidRDefault="00AE2A54">
      <w:pPr>
        <w:rPr>
          <w:sz w:val="32"/>
        </w:rPr>
      </w:pPr>
    </w:p>
    <w:p w14:paraId="114AD05A" w14:textId="77777777" w:rsidR="00AE2A54" w:rsidRDefault="00AE2A54">
      <w:pPr>
        <w:rPr>
          <w:sz w:val="32"/>
        </w:rPr>
      </w:pPr>
    </w:p>
    <w:p w14:paraId="7E27C26A" w14:textId="77777777" w:rsidR="00AE2A54" w:rsidRDefault="00AE2A54">
      <w:pPr>
        <w:rPr>
          <w:sz w:val="32"/>
        </w:rPr>
      </w:pPr>
    </w:p>
    <w:p w14:paraId="7FA55717" w14:textId="77777777" w:rsidR="00AD5B50" w:rsidRDefault="00AD5B50">
      <w:pPr>
        <w:jc w:val="center"/>
      </w:pPr>
    </w:p>
    <w:p w14:paraId="565A65C7" w14:textId="580410F1" w:rsidR="00AE2A54" w:rsidRDefault="00AE2A54">
      <w:pPr>
        <w:jc w:val="center"/>
        <w:rPr>
          <w:sz w:val="32"/>
        </w:rPr>
      </w:pPr>
    </w:p>
    <w:p w14:paraId="4447406C" w14:textId="77777777" w:rsidR="00AE2A54" w:rsidRDefault="00AE2A5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14:paraId="7C7F4F10" w14:textId="77777777" w:rsidR="00AE2A54" w:rsidRDefault="00AE2A5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14:paraId="3B09253B" w14:textId="77777777" w:rsidR="00AE2A54" w:rsidRDefault="002F705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交银施罗德环球精选价值证券投资基金</w:t>
      </w:r>
    </w:p>
    <w:p w14:paraId="68E60B31" w14:textId="77777777" w:rsidR="00AE2A54" w:rsidRDefault="002F705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14:paraId="5C4850EF" w14:textId="77777777" w:rsidR="00AE2A54" w:rsidRDefault="00AE2A54">
      <w:pPr>
        <w:snapToGrid w:val="0"/>
        <w:spacing w:line="360" w:lineRule="auto"/>
        <w:jc w:val="center"/>
        <w:rPr>
          <w:rFonts w:ascii="宋体" w:hAnsi="宋体"/>
          <w:b/>
          <w:sz w:val="30"/>
          <w:szCs w:val="30"/>
        </w:rPr>
      </w:pPr>
    </w:p>
    <w:p w14:paraId="5D55BD82"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3D541884"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5E3D5632"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7220989F"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678C1182"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03888AE9"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2845C897" w14:textId="77777777" w:rsidR="00AE2A54" w:rsidRDefault="002F705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182D0853" w14:textId="77777777" w:rsidR="00AE2A54" w:rsidRDefault="002F705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14:paraId="12A505DD"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5FDE9B1E" w14:textId="77777777" w:rsidR="00AE2A54" w:rsidRDefault="00AE2A54">
      <w:pPr>
        <w:autoSpaceDE w:val="0"/>
        <w:autoSpaceDN w:val="0"/>
        <w:adjustRightInd w:val="0"/>
        <w:snapToGrid w:val="0"/>
        <w:spacing w:line="360" w:lineRule="auto"/>
        <w:ind w:rightChars="6" w:right="13"/>
        <w:jc w:val="center"/>
        <w:rPr>
          <w:rFonts w:ascii="宋体" w:hAnsi="宋体"/>
          <w:spacing w:val="2"/>
          <w:w w:val="99"/>
          <w:kern w:val="0"/>
          <w:sz w:val="32"/>
          <w:szCs w:val="32"/>
        </w:rPr>
      </w:pPr>
    </w:p>
    <w:p w14:paraId="79F1B1B3" w14:textId="2CBF22B2" w:rsidR="00AE2A54" w:rsidRDefault="002F705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w:t>
      </w:r>
      <w:r>
        <w:rPr>
          <w:rFonts w:ascii="Times New Roman" w:hAnsi="Times New Roman" w:hint="eastAsia"/>
          <w:b/>
          <w:spacing w:val="2"/>
          <w:w w:val="99"/>
          <w:kern w:val="0"/>
          <w:sz w:val="28"/>
          <w:szCs w:val="32"/>
        </w:rPr>
        <w:t>四</w:t>
      </w:r>
      <w:r>
        <w:rPr>
          <w:rFonts w:ascii="Times New Roman" w:hAnsi="Times New Roman"/>
          <w:b/>
          <w:spacing w:val="2"/>
          <w:w w:val="99"/>
          <w:kern w:val="0"/>
          <w:sz w:val="28"/>
          <w:szCs w:val="32"/>
        </w:rPr>
        <w:t>月</w:t>
      </w:r>
    </w:p>
    <w:p w14:paraId="287543D8" w14:textId="77777777" w:rsidR="00AE2A54" w:rsidRDefault="00AE2A54">
      <w:pPr>
        <w:autoSpaceDE w:val="0"/>
        <w:autoSpaceDN w:val="0"/>
        <w:adjustRightInd w:val="0"/>
        <w:snapToGrid w:val="0"/>
        <w:spacing w:line="360" w:lineRule="auto"/>
        <w:ind w:left="1347" w:rightChars="6" w:right="13"/>
        <w:rPr>
          <w:rFonts w:ascii="宋体" w:hAnsi="宋体"/>
          <w:kern w:val="0"/>
          <w:sz w:val="32"/>
          <w:szCs w:val="32"/>
        </w:rPr>
        <w:sectPr w:rsidR="00AE2A54">
          <w:headerReference w:type="default" r:id="rId8"/>
          <w:footerReference w:type="default" r:id="rId9"/>
          <w:headerReference w:type="first" r:id="rId10"/>
          <w:pgSz w:w="11920" w:h="16840"/>
          <w:pgMar w:top="1560" w:right="1680" w:bottom="280" w:left="1680" w:header="0" w:footer="1073" w:gutter="0"/>
          <w:pgNumType w:start="1"/>
          <w:cols w:space="720"/>
          <w:titlePg/>
          <w:docGrid w:linePitch="286"/>
        </w:sectPr>
      </w:pPr>
    </w:p>
    <w:p w14:paraId="35B8832C" w14:textId="77777777" w:rsidR="00AE2A54" w:rsidRDefault="002F705F">
      <w:pPr>
        <w:pStyle w:val="1"/>
        <w:snapToGrid w:val="0"/>
        <w:spacing w:beforeLines="0" w:before="240" w:after="240"/>
        <w:rPr>
          <w:rFonts w:ascii="宋体" w:hAnsi="宋体"/>
          <w:kern w:val="0"/>
        </w:rPr>
      </w:pPr>
      <w:bookmarkStart w:id="0" w:name="_Toc220317694"/>
      <w:bookmarkStart w:id="1" w:name="_Toc496884613"/>
      <w:bookmarkStart w:id="2" w:name="_Toc324920538"/>
      <w:r>
        <w:rPr>
          <w:rFonts w:ascii="Times New Roman" w:hAnsi="Times New Roman"/>
          <w:kern w:val="0"/>
        </w:rPr>
        <w:lastRenderedPageBreak/>
        <w:t>重要提示</w:t>
      </w:r>
      <w:bookmarkEnd w:id="0"/>
      <w:bookmarkEnd w:id="1"/>
      <w:bookmarkEnd w:id="2"/>
    </w:p>
    <w:p w14:paraId="028CF053" w14:textId="77777777"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交银施罗德环球精选价值证券投资基金（以下简称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日中国证券监督管理委员会证监许可【</w:t>
      </w:r>
      <w:r>
        <w:rPr>
          <w:rFonts w:ascii="Times New Roman" w:hAnsi="Times New Roman"/>
          <w:kern w:val="0"/>
          <w:sz w:val="24"/>
        </w:rPr>
        <w:t>2008</w:t>
      </w:r>
      <w:r>
        <w:rPr>
          <w:rFonts w:ascii="Times New Roman" w:hAnsi="Times New Roman"/>
          <w:kern w:val="0"/>
          <w:sz w:val="24"/>
        </w:rPr>
        <w:t>】</w:t>
      </w:r>
      <w:r>
        <w:rPr>
          <w:rFonts w:ascii="Times New Roman" w:hAnsi="Times New Roman"/>
          <w:kern w:val="0"/>
          <w:sz w:val="24"/>
        </w:rPr>
        <w:t>635</w:t>
      </w:r>
      <w:r>
        <w:rPr>
          <w:rFonts w:ascii="Times New Roman" w:hAnsi="Times New Roman"/>
          <w:kern w:val="0"/>
          <w:sz w:val="24"/>
        </w:rPr>
        <w:t>号文核准募集。本基金基金合同于</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14:paraId="73EC629C" w14:textId="77777777"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14:paraId="4E8FFF4C" w14:textId="77777777"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0541E480" w14:textId="77777777"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境外证券市场，基金净值会因为境外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本基金股票资产占基金资产的</w:t>
      </w:r>
      <w:r>
        <w:rPr>
          <w:rFonts w:ascii="Times New Roman" w:hAnsi="Times New Roman"/>
          <w:kern w:val="0"/>
          <w:sz w:val="24"/>
        </w:rPr>
        <w:t>60%-100%</w:t>
      </w:r>
      <w:r>
        <w:rPr>
          <w:rFonts w:ascii="Times New Roman" w:hAnsi="Times New Roman"/>
          <w:kern w:val="0"/>
          <w:sz w:val="24"/>
        </w:rPr>
        <w:t>，重点投资于香港、欧洲、美国和新兴市场的权益类资产，其中投资于香港证券市场公开发行的股票占基金资产的比例为</w:t>
      </w:r>
      <w:r>
        <w:rPr>
          <w:rFonts w:ascii="Times New Roman" w:hAnsi="Times New Roman"/>
          <w:kern w:val="0"/>
          <w:sz w:val="24"/>
        </w:rPr>
        <w:t>10%-50%</w:t>
      </w:r>
      <w:r>
        <w:rPr>
          <w:rFonts w:ascii="Times New Roman" w:hAnsi="Times New Roman"/>
          <w:kern w:val="0"/>
          <w:sz w:val="24"/>
        </w:rPr>
        <w:t>，投资于全球其他证券市场的股票和基金占基金资产的比例为</w:t>
      </w:r>
      <w:r>
        <w:rPr>
          <w:rFonts w:ascii="Times New Roman" w:hAnsi="Times New Roman"/>
          <w:kern w:val="0"/>
          <w:sz w:val="24"/>
        </w:rPr>
        <w:t>40%-70%</w:t>
      </w:r>
      <w:r>
        <w:rPr>
          <w:rFonts w:ascii="Times New Roman" w:hAnsi="Times New Roman"/>
          <w:kern w:val="0"/>
          <w:sz w:val="24"/>
        </w:rPr>
        <w:t>，上述主要投资证券市场的波动将会影响本基金的净值表现。投资本基金可能遇到的风险一是境外投资产品风险，包括海外市场风险、汇率风险、政治风险等；二是开放式基金风险，包括：因政治、经济、社会等因素对证券价格波动产生影响而引发的系统性风险，个别证券特有的非系统性风险，流动性风险</w:t>
      </w:r>
      <w:r>
        <w:rPr>
          <w:rFonts w:ascii="Times New Roman" w:hAnsi="Times New Roman" w:hint="eastAsia"/>
          <w:kern w:val="0"/>
          <w:sz w:val="24"/>
        </w:rPr>
        <w:t>（包括实施侧袋机制时的特定风险）</w:t>
      </w:r>
      <w:r>
        <w:rPr>
          <w:rFonts w:ascii="Times New Roman" w:hAnsi="Times New Roman"/>
          <w:kern w:val="0"/>
          <w:sz w:val="24"/>
        </w:rPr>
        <w:t>，基金管理人在基金管理实施过程中产生的基金管理风险，本基金投资债券引发的信用风险，以及本基金投资策略所特有的风险等等。</w:t>
      </w:r>
    </w:p>
    <w:p w14:paraId="4BE7A677" w14:textId="77777777"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认（申）购本基金前应认真阅读本基金的《招募说明书》和《基金合同》、基金产品资料概要。过往业绩并不代表将来表现。基金管理人管理的其他基金的业绩并不构成对本基金业绩表现的保证。基金管理人建议投资人根据自身的风险承受能力，选择适合自己的基金产品，并且中长期持有。</w:t>
      </w:r>
    </w:p>
    <w:p w14:paraId="10EA0444" w14:textId="77777777" w:rsidR="00AE2A54" w:rsidRDefault="002F705F">
      <w:pPr>
        <w:widowControl/>
        <w:adjustRightInd w:val="0"/>
        <w:snapToGrid w:val="0"/>
        <w:spacing w:line="360" w:lineRule="auto"/>
        <w:ind w:firstLineChars="200" w:firstLine="480"/>
        <w:rPr>
          <w:rFonts w:ascii="宋体" w:hAnsi="宋体"/>
          <w:kern w:val="0"/>
          <w:sz w:val="24"/>
        </w:rPr>
      </w:pPr>
      <w:r>
        <w:rPr>
          <w:rFonts w:ascii="宋体" w:hAnsi="宋体" w:hint="eastAsia"/>
          <w:kern w:val="0"/>
          <w:sz w:val="24"/>
        </w:rPr>
        <w:lastRenderedPageBreak/>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14:paraId="7CB260CB" w14:textId="2B424965" w:rsidR="00AE2A54" w:rsidRDefault="002F705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w:t>
      </w:r>
      <w:r>
        <w:rPr>
          <w:rFonts w:ascii="Times New Roman" w:hAnsi="Times New Roman" w:hint="eastAsia"/>
          <w:kern w:val="0"/>
          <w:sz w:val="24"/>
        </w:rPr>
        <w:t>本基金管理人于</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w:t>
      </w:r>
      <w:r>
        <w:rPr>
          <w:rFonts w:ascii="Times New Roman" w:hAnsi="Times New Roman" w:hint="eastAsia"/>
          <w:kern w:val="0"/>
          <w:sz w:val="24"/>
        </w:rPr>
        <w:t>发布的《交银施罗德基金管理有限公司关于交银施罗德环球精选价值证券投资基金增加</w:t>
      </w:r>
      <w:r>
        <w:rPr>
          <w:rFonts w:ascii="Times New Roman" w:hAnsi="Times New Roman" w:hint="eastAsia"/>
          <w:kern w:val="0"/>
          <w:sz w:val="24"/>
        </w:rPr>
        <w:t>C</w:t>
      </w:r>
      <w:r>
        <w:rPr>
          <w:rFonts w:ascii="Times New Roman" w:hAnsi="Times New Roman" w:hint="eastAsia"/>
          <w:kern w:val="0"/>
          <w:sz w:val="24"/>
        </w:rPr>
        <w:t>类基金份额、增加侧袋机制、调整基金份额净值计算小数点后保留位数并修改基金合同和托管协议的公告》中涉及的</w:t>
      </w:r>
      <w:r>
        <w:rPr>
          <w:rFonts w:ascii="Times New Roman" w:hAnsi="Times New Roman"/>
          <w:kern w:val="0"/>
          <w:sz w:val="24"/>
        </w:rPr>
        <w:t>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hint="eastAsia"/>
          <w:kern w:val="0"/>
          <w:sz w:val="24"/>
        </w:rPr>
        <w:t>4</w:t>
      </w:r>
      <w:r>
        <w:rPr>
          <w:rFonts w:ascii="Times New Roman" w:hAnsi="Times New Roman"/>
          <w:kern w:val="0"/>
          <w:sz w:val="24"/>
        </w:rPr>
        <w:t>月</w:t>
      </w:r>
      <w:r>
        <w:rPr>
          <w:rFonts w:ascii="Times New Roman" w:hAnsi="Times New Roman"/>
          <w:kern w:val="0"/>
          <w:sz w:val="24"/>
        </w:rPr>
        <w:t>1</w:t>
      </w:r>
      <w:r>
        <w:rPr>
          <w:rFonts w:ascii="Times New Roman" w:hAnsi="Times New Roman" w:hint="eastAsia"/>
          <w:kern w:val="0"/>
          <w:sz w:val="24"/>
        </w:rPr>
        <w:t>5</w:t>
      </w:r>
      <w:r>
        <w:rPr>
          <w:rFonts w:ascii="Times New Roman" w:hAnsi="Times New Roman"/>
          <w:kern w:val="0"/>
          <w:sz w:val="24"/>
        </w:rPr>
        <w:t>日，除非另有说明，</w:t>
      </w:r>
      <w:r>
        <w:rPr>
          <w:rFonts w:ascii="Times New Roman" w:hAnsi="Times New Roman" w:hint="eastAsia"/>
          <w:kern w:val="0"/>
          <w:sz w:val="24"/>
        </w:rPr>
        <w:t>基金经理变更相关事项</w:t>
      </w:r>
      <w:r>
        <w:rPr>
          <w:rFonts w:ascii="Times New Roman" w:hAnsi="Times New Roman"/>
          <w:kern w:val="0"/>
          <w:sz w:val="24"/>
        </w:rPr>
        <w:t>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w:t>
      </w:r>
      <w:r>
        <w:rPr>
          <w:rFonts w:ascii="Times New Roman" w:hAnsi="Times New Roman" w:hint="eastAsia"/>
          <w:kern w:val="0"/>
          <w:sz w:val="24"/>
        </w:rPr>
        <w:t>，</w:t>
      </w:r>
      <w:r>
        <w:rPr>
          <w:rFonts w:ascii="Times New Roman" w:hAnsi="Times New Roman"/>
          <w:kern w:val="0"/>
          <w:sz w:val="24"/>
        </w:rPr>
        <w:t>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14:paraId="6A02E5E2" w14:textId="77777777" w:rsidR="00AE2A54" w:rsidRDefault="00AE2A54">
      <w:pPr>
        <w:autoSpaceDE w:val="0"/>
        <w:autoSpaceDN w:val="0"/>
        <w:adjustRightInd w:val="0"/>
        <w:snapToGrid w:val="0"/>
        <w:spacing w:before="51" w:line="360" w:lineRule="auto"/>
        <w:ind w:left="120" w:rightChars="6" w:right="13" w:firstLine="480"/>
        <w:rPr>
          <w:rFonts w:ascii="宋体" w:hAnsi="宋体"/>
          <w:kern w:val="0"/>
          <w:szCs w:val="24"/>
        </w:rPr>
        <w:sectPr w:rsidR="00AE2A54">
          <w:headerReference w:type="default" r:id="rId11"/>
          <w:pgSz w:w="11920" w:h="16840"/>
          <w:pgMar w:top="1440" w:right="1680" w:bottom="280" w:left="1680" w:header="0" w:footer="1073" w:gutter="0"/>
          <w:pgNumType w:start="1"/>
          <w:cols w:space="720"/>
        </w:sectPr>
      </w:pPr>
    </w:p>
    <w:p w14:paraId="0C39F023" w14:textId="77777777" w:rsidR="00AE2A54" w:rsidRDefault="002F705F">
      <w:pPr>
        <w:pStyle w:val="Style19"/>
        <w:snapToGrid w:val="0"/>
        <w:spacing w:after="240" w:line="360" w:lineRule="auto"/>
        <w:jc w:val="center"/>
        <w:rPr>
          <w:rFonts w:ascii="宋体" w:hAnsi="宋体"/>
          <w:noProof/>
          <w:sz w:val="24"/>
        </w:rPr>
      </w:pPr>
      <w:r>
        <w:rPr>
          <w:rFonts w:ascii="宋体" w:hAnsi="宋体"/>
          <w:color w:val="000000"/>
          <w:position w:val="-4"/>
          <w:sz w:val="24"/>
          <w:szCs w:val="30"/>
        </w:rPr>
        <w:lastRenderedPageBreak/>
        <w:t>目</w:t>
      </w:r>
      <w:r>
        <w:rPr>
          <w:rFonts w:ascii="宋体" w:hAnsi="宋体"/>
          <w:color w:val="000000"/>
          <w:position w:val="-4"/>
          <w:sz w:val="24"/>
          <w:szCs w:val="30"/>
        </w:rPr>
        <w:tab/>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588C23C6" w14:textId="7999A2A1" w:rsidR="00AE2A54" w:rsidRDefault="002F705F">
      <w:pPr>
        <w:pStyle w:val="11"/>
        <w:tabs>
          <w:tab w:val="right" w:leader="dot" w:pos="8550"/>
        </w:tabs>
        <w:spacing w:line="360" w:lineRule="auto"/>
        <w:rPr>
          <w:rFonts w:ascii="宋体" w:hAnsi="宋体"/>
          <w:noProof/>
          <w:sz w:val="24"/>
        </w:rPr>
      </w:pPr>
      <w:hyperlink w:anchor="_Toc220317694" w:history="1">
        <w:r>
          <w:rPr>
            <w:rStyle w:val="af1"/>
            <w:rFonts w:ascii="宋体" w:hAnsi="宋体" w:hint="eastAsia"/>
            <w:noProof/>
            <w:kern w:val="0"/>
            <w:sz w:val="24"/>
          </w:rPr>
          <w:t>重要提示</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_Toc220317694 \h </w:instrText>
        </w:r>
        <w:r>
          <w:rPr>
            <w:rFonts w:ascii="宋体" w:hAnsi="宋体"/>
            <w:noProof/>
            <w:sz w:val="24"/>
          </w:rPr>
        </w:r>
        <w:r>
          <w:rPr>
            <w:rFonts w:ascii="宋体" w:hAnsi="宋体"/>
            <w:noProof/>
            <w:sz w:val="24"/>
          </w:rPr>
          <w:fldChar w:fldCharType="separate"/>
        </w:r>
        <w:r w:rsidR="001C367C">
          <w:rPr>
            <w:rFonts w:ascii="宋体" w:hAnsi="宋体"/>
            <w:noProof/>
            <w:sz w:val="24"/>
          </w:rPr>
          <w:t>1</w:t>
        </w:r>
        <w:r>
          <w:rPr>
            <w:rFonts w:ascii="宋体" w:hAnsi="宋体"/>
            <w:noProof/>
            <w:sz w:val="24"/>
          </w:rPr>
          <w:fldChar w:fldCharType="end"/>
        </w:r>
      </w:hyperlink>
    </w:p>
    <w:p w14:paraId="134535E1" w14:textId="70B3C7EA" w:rsidR="00AE2A54" w:rsidRDefault="002F705F">
      <w:pPr>
        <w:pStyle w:val="11"/>
        <w:tabs>
          <w:tab w:val="right" w:leader="dot" w:pos="8550"/>
        </w:tabs>
        <w:spacing w:line="360" w:lineRule="auto"/>
        <w:rPr>
          <w:rFonts w:ascii="宋体" w:hAnsi="宋体"/>
          <w:noProof/>
          <w:sz w:val="24"/>
        </w:rPr>
      </w:pPr>
      <w:hyperlink w:anchor="_Toc220317695" w:history="1">
        <w:r>
          <w:rPr>
            <w:rStyle w:val="af1"/>
            <w:rFonts w:ascii="宋体" w:hAnsi="宋体" w:hint="eastAsia"/>
            <w:noProof/>
            <w:sz w:val="24"/>
          </w:rPr>
          <w:t>一、绪言</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_Toc220317695 \h </w:instrText>
        </w:r>
        <w:r>
          <w:rPr>
            <w:rFonts w:ascii="宋体" w:hAnsi="宋体"/>
            <w:noProof/>
            <w:sz w:val="24"/>
          </w:rPr>
        </w:r>
        <w:r>
          <w:rPr>
            <w:rFonts w:ascii="宋体" w:hAnsi="宋体"/>
            <w:noProof/>
            <w:sz w:val="24"/>
          </w:rPr>
          <w:fldChar w:fldCharType="separate"/>
        </w:r>
        <w:r w:rsidR="001C367C">
          <w:rPr>
            <w:rFonts w:ascii="宋体" w:hAnsi="宋体"/>
            <w:noProof/>
            <w:sz w:val="24"/>
          </w:rPr>
          <w:t>4</w:t>
        </w:r>
        <w:r>
          <w:rPr>
            <w:rFonts w:ascii="宋体" w:hAnsi="宋体"/>
            <w:noProof/>
            <w:sz w:val="24"/>
          </w:rPr>
          <w:fldChar w:fldCharType="end"/>
        </w:r>
      </w:hyperlink>
    </w:p>
    <w:p w14:paraId="6130AF22" w14:textId="1D65C17B" w:rsidR="00AE2A54" w:rsidRDefault="002F705F">
      <w:pPr>
        <w:pStyle w:val="11"/>
        <w:tabs>
          <w:tab w:val="right" w:leader="dot" w:pos="8550"/>
        </w:tabs>
        <w:spacing w:line="360" w:lineRule="auto"/>
        <w:rPr>
          <w:rFonts w:ascii="宋体" w:hAnsi="宋体"/>
          <w:noProof/>
          <w:sz w:val="24"/>
        </w:rPr>
      </w:pPr>
      <w:hyperlink w:anchor="_Toc220317696" w:history="1">
        <w:r>
          <w:rPr>
            <w:rStyle w:val="af1"/>
            <w:rFonts w:ascii="宋体" w:hAnsi="宋体" w:hint="eastAsia"/>
            <w:noProof/>
            <w:sz w:val="24"/>
          </w:rPr>
          <w:t>二、释义</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_Toc220317696 \h </w:instrText>
        </w:r>
        <w:r>
          <w:rPr>
            <w:rFonts w:ascii="宋体" w:hAnsi="宋体"/>
            <w:noProof/>
            <w:sz w:val="24"/>
          </w:rPr>
        </w:r>
        <w:r>
          <w:rPr>
            <w:rFonts w:ascii="宋体" w:hAnsi="宋体"/>
            <w:noProof/>
            <w:sz w:val="24"/>
          </w:rPr>
          <w:fldChar w:fldCharType="separate"/>
        </w:r>
        <w:r w:rsidR="001C367C">
          <w:rPr>
            <w:rFonts w:ascii="宋体" w:hAnsi="宋体"/>
            <w:noProof/>
            <w:sz w:val="24"/>
          </w:rPr>
          <w:t>5</w:t>
        </w:r>
        <w:r>
          <w:rPr>
            <w:rFonts w:ascii="宋体" w:hAnsi="宋体"/>
            <w:noProof/>
            <w:sz w:val="24"/>
          </w:rPr>
          <w:fldChar w:fldCharType="end"/>
        </w:r>
      </w:hyperlink>
    </w:p>
    <w:p w14:paraId="23BBA69C" w14:textId="20C635C5" w:rsidR="00AE2A54" w:rsidRDefault="002F705F">
      <w:pPr>
        <w:pStyle w:val="11"/>
        <w:tabs>
          <w:tab w:val="right" w:leader="dot" w:pos="8550"/>
        </w:tabs>
        <w:spacing w:line="360" w:lineRule="auto"/>
        <w:rPr>
          <w:rFonts w:ascii="宋体" w:hAnsi="宋体"/>
          <w:noProof/>
          <w:sz w:val="24"/>
        </w:rPr>
      </w:pPr>
      <w:hyperlink w:anchor="_Toc220317697" w:history="1">
        <w:r>
          <w:rPr>
            <w:rStyle w:val="af1"/>
            <w:rFonts w:ascii="宋体" w:hAnsi="宋体" w:hint="eastAsia"/>
            <w:noProof/>
            <w:sz w:val="24"/>
          </w:rPr>
          <w:t>三、风险揭示</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_Toc220317697 \h </w:instrText>
        </w:r>
        <w:r>
          <w:rPr>
            <w:rFonts w:ascii="宋体" w:hAnsi="宋体"/>
            <w:noProof/>
            <w:sz w:val="24"/>
          </w:rPr>
        </w:r>
        <w:r>
          <w:rPr>
            <w:rFonts w:ascii="宋体" w:hAnsi="宋体"/>
            <w:noProof/>
            <w:sz w:val="24"/>
          </w:rPr>
          <w:fldChar w:fldCharType="separate"/>
        </w:r>
        <w:r w:rsidR="001C367C">
          <w:rPr>
            <w:rFonts w:ascii="宋体" w:hAnsi="宋体"/>
            <w:noProof/>
            <w:sz w:val="24"/>
          </w:rPr>
          <w:t>10</w:t>
        </w:r>
        <w:r>
          <w:rPr>
            <w:rFonts w:ascii="宋体" w:hAnsi="宋体"/>
            <w:noProof/>
            <w:sz w:val="24"/>
          </w:rPr>
          <w:fldChar w:fldCharType="end"/>
        </w:r>
      </w:hyperlink>
    </w:p>
    <w:p w14:paraId="70F380CA" w14:textId="461208FD" w:rsidR="00AE2A54" w:rsidRDefault="002F705F">
      <w:pPr>
        <w:pStyle w:val="11"/>
        <w:tabs>
          <w:tab w:val="right" w:leader="dot" w:pos="8550"/>
        </w:tabs>
        <w:spacing w:line="360" w:lineRule="auto"/>
        <w:rPr>
          <w:rFonts w:ascii="宋体" w:hAnsi="宋体"/>
          <w:noProof/>
          <w:sz w:val="24"/>
        </w:rPr>
      </w:pPr>
      <w:hyperlink w:anchor="_Toc220317698" w:history="1">
        <w:r>
          <w:rPr>
            <w:rStyle w:val="af1"/>
            <w:rFonts w:ascii="宋体" w:hAnsi="宋体" w:hint="eastAsia"/>
            <w:noProof/>
            <w:sz w:val="24"/>
          </w:rPr>
          <w:t>四、基金的投资</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_Toc220317698 \h </w:instrText>
        </w:r>
        <w:r>
          <w:rPr>
            <w:rFonts w:ascii="宋体" w:hAnsi="宋体"/>
            <w:noProof/>
            <w:sz w:val="24"/>
          </w:rPr>
        </w:r>
        <w:r>
          <w:rPr>
            <w:rFonts w:ascii="宋体" w:hAnsi="宋体"/>
            <w:noProof/>
            <w:sz w:val="24"/>
          </w:rPr>
          <w:fldChar w:fldCharType="separate"/>
        </w:r>
        <w:r w:rsidR="001C367C">
          <w:rPr>
            <w:rFonts w:ascii="宋体" w:hAnsi="宋体"/>
            <w:noProof/>
            <w:sz w:val="24"/>
          </w:rPr>
          <w:t>19</w:t>
        </w:r>
        <w:r>
          <w:rPr>
            <w:rFonts w:ascii="宋体" w:hAnsi="宋体"/>
            <w:noProof/>
            <w:sz w:val="24"/>
          </w:rPr>
          <w:fldChar w:fldCharType="end"/>
        </w:r>
      </w:hyperlink>
    </w:p>
    <w:p w14:paraId="48A0C895" w14:textId="1BF9DD5B" w:rsidR="00AE2A54" w:rsidRDefault="002F705F">
      <w:pPr>
        <w:pStyle w:val="11"/>
        <w:tabs>
          <w:tab w:val="right" w:leader="dot" w:pos="8550"/>
        </w:tabs>
        <w:spacing w:line="360" w:lineRule="auto"/>
        <w:rPr>
          <w:rFonts w:ascii="宋体" w:hAnsi="宋体"/>
          <w:noProof/>
          <w:sz w:val="24"/>
        </w:rPr>
      </w:pPr>
      <w:hyperlink w:anchor="_Toc220317699" w:history="1">
        <w:r>
          <w:rPr>
            <w:rStyle w:val="af1"/>
            <w:rFonts w:ascii="宋体" w:hAnsi="宋体" w:hint="eastAsia"/>
            <w:noProof/>
            <w:sz w:val="24"/>
          </w:rPr>
          <w:t>五、基金的业绩</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_Toc220317699 \h </w:instrText>
        </w:r>
        <w:r>
          <w:rPr>
            <w:rFonts w:ascii="宋体" w:hAnsi="宋体"/>
            <w:noProof/>
            <w:sz w:val="24"/>
          </w:rPr>
        </w:r>
        <w:r>
          <w:rPr>
            <w:rFonts w:ascii="宋体" w:hAnsi="宋体"/>
            <w:noProof/>
            <w:sz w:val="24"/>
          </w:rPr>
          <w:fldChar w:fldCharType="separate"/>
        </w:r>
        <w:r w:rsidR="001C367C">
          <w:rPr>
            <w:rFonts w:ascii="宋体" w:hAnsi="宋体"/>
            <w:noProof/>
            <w:sz w:val="24"/>
          </w:rPr>
          <w:t>37</w:t>
        </w:r>
        <w:r>
          <w:rPr>
            <w:rFonts w:ascii="宋体" w:hAnsi="宋体"/>
            <w:noProof/>
            <w:sz w:val="24"/>
          </w:rPr>
          <w:fldChar w:fldCharType="end"/>
        </w:r>
      </w:hyperlink>
    </w:p>
    <w:p w14:paraId="5B3BD811" w14:textId="00C0F913" w:rsidR="00AE2A54" w:rsidRDefault="002F705F">
      <w:pPr>
        <w:pStyle w:val="11"/>
        <w:tabs>
          <w:tab w:val="right" w:leader="dot" w:pos="8550"/>
        </w:tabs>
        <w:spacing w:line="360" w:lineRule="auto"/>
        <w:rPr>
          <w:rFonts w:ascii="宋体" w:hAnsi="宋体"/>
          <w:noProof/>
          <w:sz w:val="24"/>
        </w:rPr>
      </w:pPr>
      <w:hyperlink w:anchor="_Toc220317700" w:history="1">
        <w:r>
          <w:rPr>
            <w:rStyle w:val="af1"/>
            <w:rFonts w:ascii="宋体" w:hAnsi="宋体" w:hint="eastAsia"/>
            <w:noProof/>
            <w:sz w:val="24"/>
          </w:rPr>
          <w:t>六、基金管理人</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_Toc220317700 \h </w:instrText>
        </w:r>
        <w:r>
          <w:rPr>
            <w:rFonts w:ascii="宋体" w:hAnsi="宋体"/>
            <w:noProof/>
            <w:sz w:val="24"/>
          </w:rPr>
        </w:r>
        <w:r>
          <w:rPr>
            <w:rFonts w:ascii="宋体" w:hAnsi="宋体"/>
            <w:noProof/>
            <w:sz w:val="24"/>
          </w:rPr>
          <w:fldChar w:fldCharType="separate"/>
        </w:r>
        <w:r w:rsidR="001C367C">
          <w:rPr>
            <w:rFonts w:ascii="宋体" w:hAnsi="宋体"/>
            <w:noProof/>
            <w:sz w:val="24"/>
          </w:rPr>
          <w:t>39</w:t>
        </w:r>
        <w:r>
          <w:rPr>
            <w:rFonts w:ascii="宋体" w:hAnsi="宋体"/>
            <w:noProof/>
            <w:sz w:val="24"/>
          </w:rPr>
          <w:fldChar w:fldCharType="end"/>
        </w:r>
      </w:hyperlink>
    </w:p>
    <w:p w14:paraId="21DCD926" w14:textId="5FEA7C9A" w:rsidR="00AE2A54" w:rsidRDefault="002F705F">
      <w:pPr>
        <w:pStyle w:val="11"/>
        <w:tabs>
          <w:tab w:val="right" w:leader="dot" w:pos="8550"/>
        </w:tabs>
        <w:spacing w:line="360" w:lineRule="auto"/>
        <w:rPr>
          <w:rFonts w:ascii="宋体" w:hAnsi="宋体"/>
          <w:noProof/>
          <w:sz w:val="24"/>
        </w:rPr>
      </w:pPr>
      <w:hyperlink w:anchor="_Toc220317701" w:history="1">
        <w:r>
          <w:rPr>
            <w:rStyle w:val="af1"/>
            <w:rFonts w:ascii="宋体" w:hAnsi="宋体" w:hint="eastAsia"/>
            <w:noProof/>
            <w:sz w:val="24"/>
          </w:rPr>
          <w:t>七、境外投资顾问</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_Toc220317701 \h </w:instrText>
        </w:r>
        <w:r>
          <w:rPr>
            <w:rFonts w:ascii="宋体" w:hAnsi="宋体"/>
            <w:noProof/>
            <w:sz w:val="24"/>
          </w:rPr>
        </w:r>
        <w:r>
          <w:rPr>
            <w:rFonts w:ascii="宋体" w:hAnsi="宋体"/>
            <w:noProof/>
            <w:sz w:val="24"/>
          </w:rPr>
          <w:fldChar w:fldCharType="separate"/>
        </w:r>
        <w:r w:rsidR="001C367C">
          <w:rPr>
            <w:rFonts w:ascii="宋体" w:hAnsi="宋体"/>
            <w:noProof/>
            <w:sz w:val="24"/>
          </w:rPr>
          <w:t>48</w:t>
        </w:r>
        <w:r>
          <w:rPr>
            <w:rFonts w:ascii="宋体" w:hAnsi="宋体"/>
            <w:noProof/>
            <w:sz w:val="24"/>
          </w:rPr>
          <w:fldChar w:fldCharType="end"/>
        </w:r>
      </w:hyperlink>
    </w:p>
    <w:p w14:paraId="30833988" w14:textId="61287D41" w:rsidR="00AE2A54" w:rsidRDefault="002F705F">
      <w:pPr>
        <w:pStyle w:val="11"/>
        <w:tabs>
          <w:tab w:val="right" w:leader="dot" w:pos="8550"/>
        </w:tabs>
        <w:spacing w:line="360" w:lineRule="auto"/>
        <w:rPr>
          <w:rFonts w:ascii="宋体" w:hAnsi="宋体"/>
          <w:noProof/>
          <w:sz w:val="24"/>
        </w:rPr>
      </w:pPr>
      <w:hyperlink w:anchor="_Toc220317702" w:history="1">
        <w:r>
          <w:rPr>
            <w:rStyle w:val="af1"/>
            <w:rFonts w:ascii="宋体" w:hAnsi="宋体" w:hint="eastAsia"/>
            <w:noProof/>
            <w:sz w:val="24"/>
          </w:rPr>
          <w:t>八、基金的历史沿革</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_Toc220317702 \h </w:instrText>
        </w:r>
        <w:r>
          <w:rPr>
            <w:rFonts w:ascii="宋体" w:hAnsi="宋体"/>
            <w:noProof/>
            <w:sz w:val="24"/>
          </w:rPr>
        </w:r>
        <w:r>
          <w:rPr>
            <w:rFonts w:ascii="宋体" w:hAnsi="宋体"/>
            <w:noProof/>
            <w:sz w:val="24"/>
          </w:rPr>
          <w:fldChar w:fldCharType="separate"/>
        </w:r>
        <w:r w:rsidR="001C367C">
          <w:rPr>
            <w:rFonts w:ascii="宋体" w:hAnsi="宋体"/>
            <w:noProof/>
            <w:sz w:val="24"/>
          </w:rPr>
          <w:t>49</w:t>
        </w:r>
        <w:r>
          <w:rPr>
            <w:rFonts w:ascii="宋体" w:hAnsi="宋体"/>
            <w:noProof/>
            <w:sz w:val="24"/>
          </w:rPr>
          <w:fldChar w:fldCharType="end"/>
        </w:r>
      </w:hyperlink>
    </w:p>
    <w:p w14:paraId="3542EF1F" w14:textId="41250BDF" w:rsidR="00AE2A54" w:rsidRDefault="002F705F">
      <w:pPr>
        <w:pStyle w:val="11"/>
        <w:tabs>
          <w:tab w:val="right" w:leader="dot" w:pos="8550"/>
        </w:tabs>
        <w:spacing w:line="360" w:lineRule="auto"/>
        <w:rPr>
          <w:rFonts w:ascii="宋体" w:hAnsi="宋体"/>
          <w:noProof/>
          <w:sz w:val="24"/>
        </w:rPr>
      </w:pPr>
      <w:hyperlink w:anchor="_Toc220317703" w:history="1">
        <w:r>
          <w:rPr>
            <w:rStyle w:val="af1"/>
            <w:rFonts w:ascii="宋体" w:hAnsi="宋体" w:hint="eastAsia"/>
            <w:noProof/>
            <w:sz w:val="24"/>
          </w:rPr>
          <w:t>九、基金的存续</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_Toc220317703 \h </w:instrText>
        </w:r>
        <w:r>
          <w:rPr>
            <w:rFonts w:ascii="宋体" w:hAnsi="宋体"/>
            <w:noProof/>
            <w:sz w:val="24"/>
          </w:rPr>
        </w:r>
        <w:r>
          <w:rPr>
            <w:rFonts w:ascii="宋体" w:hAnsi="宋体"/>
            <w:noProof/>
            <w:sz w:val="24"/>
          </w:rPr>
          <w:fldChar w:fldCharType="separate"/>
        </w:r>
        <w:r w:rsidR="001C367C">
          <w:rPr>
            <w:rFonts w:ascii="宋体" w:hAnsi="宋体"/>
            <w:noProof/>
            <w:sz w:val="24"/>
          </w:rPr>
          <w:t>50</w:t>
        </w:r>
        <w:r>
          <w:rPr>
            <w:rFonts w:ascii="宋体" w:hAnsi="宋体"/>
            <w:noProof/>
            <w:sz w:val="24"/>
          </w:rPr>
          <w:fldChar w:fldCharType="end"/>
        </w:r>
      </w:hyperlink>
    </w:p>
    <w:p w14:paraId="63DC547F" w14:textId="14ADCF86" w:rsidR="00AE2A54" w:rsidRDefault="002F705F">
      <w:pPr>
        <w:pStyle w:val="11"/>
        <w:tabs>
          <w:tab w:val="right" w:leader="dot" w:pos="8550"/>
        </w:tabs>
        <w:spacing w:line="360" w:lineRule="auto"/>
        <w:rPr>
          <w:rFonts w:ascii="宋体" w:hAnsi="宋体"/>
          <w:noProof/>
          <w:sz w:val="24"/>
        </w:rPr>
      </w:pPr>
      <w:hyperlink w:anchor="_Toc220317704" w:history="1">
        <w:r>
          <w:rPr>
            <w:rStyle w:val="af1"/>
            <w:rFonts w:ascii="宋体" w:hAnsi="宋体" w:hint="eastAsia"/>
            <w:noProof/>
            <w:sz w:val="24"/>
          </w:rPr>
          <w:t>十、基金份额的申购与赎回</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_Toc220317704 \h </w:instrText>
        </w:r>
        <w:r>
          <w:rPr>
            <w:rFonts w:ascii="宋体" w:hAnsi="宋体"/>
            <w:noProof/>
            <w:sz w:val="24"/>
          </w:rPr>
        </w:r>
        <w:r>
          <w:rPr>
            <w:rFonts w:ascii="宋体" w:hAnsi="宋体"/>
            <w:noProof/>
            <w:sz w:val="24"/>
          </w:rPr>
          <w:fldChar w:fldCharType="separate"/>
        </w:r>
        <w:r w:rsidR="001C367C">
          <w:rPr>
            <w:rFonts w:ascii="宋体" w:hAnsi="宋体"/>
            <w:noProof/>
            <w:sz w:val="24"/>
          </w:rPr>
          <w:t>51</w:t>
        </w:r>
        <w:r>
          <w:rPr>
            <w:rFonts w:ascii="宋体" w:hAnsi="宋体"/>
            <w:noProof/>
            <w:sz w:val="24"/>
          </w:rPr>
          <w:fldChar w:fldCharType="end"/>
        </w:r>
      </w:hyperlink>
    </w:p>
    <w:p w14:paraId="16A27CFB" w14:textId="3C1B26D0" w:rsidR="00AE2A54" w:rsidRDefault="002F705F">
      <w:pPr>
        <w:pStyle w:val="11"/>
        <w:tabs>
          <w:tab w:val="right" w:leader="dot" w:pos="8550"/>
        </w:tabs>
        <w:spacing w:line="360" w:lineRule="auto"/>
        <w:rPr>
          <w:rFonts w:ascii="宋体" w:hAnsi="宋体"/>
          <w:noProof/>
          <w:sz w:val="24"/>
        </w:rPr>
      </w:pPr>
      <w:hyperlink w:anchor="_Toc220317705" w:history="1">
        <w:r>
          <w:rPr>
            <w:rStyle w:val="af1"/>
            <w:rFonts w:ascii="宋体" w:hAnsi="宋体" w:hint="eastAsia"/>
            <w:noProof/>
            <w:sz w:val="24"/>
          </w:rPr>
          <w:t>十一、基金的费用与税收</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_Toc220317705 \h </w:instrText>
        </w:r>
        <w:r>
          <w:rPr>
            <w:rFonts w:ascii="宋体" w:hAnsi="宋体"/>
            <w:noProof/>
            <w:sz w:val="24"/>
          </w:rPr>
        </w:r>
        <w:r>
          <w:rPr>
            <w:rFonts w:ascii="宋体" w:hAnsi="宋体"/>
            <w:noProof/>
            <w:sz w:val="24"/>
          </w:rPr>
          <w:fldChar w:fldCharType="separate"/>
        </w:r>
        <w:r w:rsidR="001C367C">
          <w:rPr>
            <w:rFonts w:ascii="宋体" w:hAnsi="宋体"/>
            <w:noProof/>
            <w:sz w:val="24"/>
          </w:rPr>
          <w:t>64</w:t>
        </w:r>
        <w:r>
          <w:rPr>
            <w:rFonts w:ascii="宋体" w:hAnsi="宋体"/>
            <w:noProof/>
            <w:sz w:val="24"/>
          </w:rPr>
          <w:fldChar w:fldCharType="end"/>
        </w:r>
      </w:hyperlink>
    </w:p>
    <w:p w14:paraId="72A171C9" w14:textId="0C5C334C" w:rsidR="00AE2A54" w:rsidRDefault="002F705F">
      <w:pPr>
        <w:pStyle w:val="11"/>
        <w:tabs>
          <w:tab w:val="right" w:leader="dot" w:pos="8550"/>
        </w:tabs>
        <w:spacing w:line="360" w:lineRule="auto"/>
        <w:rPr>
          <w:rFonts w:ascii="宋体" w:hAnsi="宋体"/>
          <w:noProof/>
          <w:sz w:val="24"/>
        </w:rPr>
      </w:pPr>
      <w:hyperlink w:anchor="_Toc220317706" w:history="1">
        <w:r>
          <w:rPr>
            <w:rStyle w:val="af1"/>
            <w:rFonts w:ascii="宋体" w:hAnsi="宋体" w:hint="eastAsia"/>
            <w:noProof/>
            <w:sz w:val="24"/>
          </w:rPr>
          <w:t>十二、基金的财产</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_Toc220317706 \h </w:instrText>
        </w:r>
        <w:r>
          <w:rPr>
            <w:rFonts w:ascii="宋体" w:hAnsi="宋体"/>
            <w:noProof/>
            <w:sz w:val="24"/>
          </w:rPr>
        </w:r>
        <w:r>
          <w:rPr>
            <w:rFonts w:ascii="宋体" w:hAnsi="宋体"/>
            <w:noProof/>
            <w:sz w:val="24"/>
          </w:rPr>
          <w:fldChar w:fldCharType="separate"/>
        </w:r>
        <w:r w:rsidR="001C367C">
          <w:rPr>
            <w:rFonts w:ascii="宋体" w:hAnsi="宋体"/>
            <w:noProof/>
            <w:sz w:val="24"/>
          </w:rPr>
          <w:t>68</w:t>
        </w:r>
        <w:r>
          <w:rPr>
            <w:rFonts w:ascii="宋体" w:hAnsi="宋体"/>
            <w:noProof/>
            <w:sz w:val="24"/>
          </w:rPr>
          <w:fldChar w:fldCharType="end"/>
        </w:r>
      </w:hyperlink>
    </w:p>
    <w:p w14:paraId="36972C99" w14:textId="75D6BA5C" w:rsidR="00AE2A54" w:rsidRDefault="002F705F">
      <w:pPr>
        <w:pStyle w:val="11"/>
        <w:tabs>
          <w:tab w:val="right" w:leader="dot" w:pos="8550"/>
        </w:tabs>
        <w:spacing w:line="360" w:lineRule="auto"/>
        <w:rPr>
          <w:rFonts w:ascii="宋体" w:hAnsi="宋体"/>
          <w:noProof/>
          <w:sz w:val="24"/>
        </w:rPr>
      </w:pPr>
      <w:hyperlink w:anchor="_Toc220317707" w:history="1">
        <w:r>
          <w:rPr>
            <w:rStyle w:val="af1"/>
            <w:rFonts w:ascii="宋体" w:hAnsi="宋体" w:hint="eastAsia"/>
            <w:noProof/>
            <w:sz w:val="24"/>
          </w:rPr>
          <w:t>十三、基金资产的估值</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_Toc220317707 \h </w:instrText>
        </w:r>
        <w:r>
          <w:rPr>
            <w:rFonts w:ascii="宋体" w:hAnsi="宋体"/>
            <w:noProof/>
            <w:sz w:val="24"/>
          </w:rPr>
        </w:r>
        <w:r>
          <w:rPr>
            <w:rFonts w:ascii="宋体" w:hAnsi="宋体"/>
            <w:noProof/>
            <w:sz w:val="24"/>
          </w:rPr>
          <w:fldChar w:fldCharType="separate"/>
        </w:r>
        <w:r w:rsidR="001C367C">
          <w:rPr>
            <w:rFonts w:ascii="宋体" w:hAnsi="宋体"/>
            <w:noProof/>
            <w:sz w:val="24"/>
          </w:rPr>
          <w:t>69</w:t>
        </w:r>
        <w:r>
          <w:rPr>
            <w:rFonts w:ascii="宋体" w:hAnsi="宋体"/>
            <w:noProof/>
            <w:sz w:val="24"/>
          </w:rPr>
          <w:fldChar w:fldCharType="end"/>
        </w:r>
      </w:hyperlink>
    </w:p>
    <w:p w14:paraId="6096B7BB" w14:textId="6B741955" w:rsidR="00AE2A54" w:rsidRDefault="002F705F">
      <w:pPr>
        <w:pStyle w:val="11"/>
        <w:tabs>
          <w:tab w:val="right" w:leader="dot" w:pos="8550"/>
        </w:tabs>
        <w:spacing w:line="360" w:lineRule="auto"/>
        <w:rPr>
          <w:rFonts w:ascii="宋体" w:hAnsi="宋体"/>
          <w:noProof/>
          <w:sz w:val="24"/>
        </w:rPr>
      </w:pPr>
      <w:hyperlink w:anchor="_Toc220317708" w:history="1">
        <w:r>
          <w:rPr>
            <w:rStyle w:val="af1"/>
            <w:rFonts w:ascii="宋体" w:hAnsi="宋体" w:hint="eastAsia"/>
            <w:noProof/>
            <w:sz w:val="24"/>
          </w:rPr>
          <w:t>十四、基金的收益与分配</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_Toc220317708 \h </w:instrText>
        </w:r>
        <w:r>
          <w:rPr>
            <w:rFonts w:ascii="宋体" w:hAnsi="宋体"/>
            <w:noProof/>
            <w:sz w:val="24"/>
          </w:rPr>
        </w:r>
        <w:r>
          <w:rPr>
            <w:rFonts w:ascii="宋体" w:hAnsi="宋体"/>
            <w:noProof/>
            <w:sz w:val="24"/>
          </w:rPr>
          <w:fldChar w:fldCharType="separate"/>
        </w:r>
        <w:r w:rsidR="001C367C">
          <w:rPr>
            <w:rFonts w:ascii="宋体" w:hAnsi="宋体"/>
            <w:noProof/>
            <w:sz w:val="24"/>
          </w:rPr>
          <w:t>75</w:t>
        </w:r>
        <w:r>
          <w:rPr>
            <w:rFonts w:ascii="宋体" w:hAnsi="宋体"/>
            <w:noProof/>
            <w:sz w:val="24"/>
          </w:rPr>
          <w:fldChar w:fldCharType="end"/>
        </w:r>
      </w:hyperlink>
    </w:p>
    <w:p w14:paraId="11136C16" w14:textId="2363D708" w:rsidR="00AE2A54" w:rsidRDefault="002F705F">
      <w:pPr>
        <w:pStyle w:val="11"/>
        <w:tabs>
          <w:tab w:val="right" w:leader="dot" w:pos="8550"/>
        </w:tabs>
        <w:spacing w:line="360" w:lineRule="auto"/>
        <w:rPr>
          <w:rFonts w:ascii="宋体" w:hAnsi="宋体"/>
          <w:noProof/>
          <w:sz w:val="24"/>
        </w:rPr>
      </w:pPr>
      <w:hyperlink w:anchor="_Toc220317709" w:history="1">
        <w:r>
          <w:rPr>
            <w:rStyle w:val="af1"/>
            <w:rFonts w:ascii="宋体" w:hAnsi="宋体" w:hint="eastAsia"/>
            <w:noProof/>
            <w:sz w:val="24"/>
          </w:rPr>
          <w:t>十五、基金的会计与审计</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_Toc220317709 \h </w:instrText>
        </w:r>
        <w:r>
          <w:rPr>
            <w:rFonts w:ascii="宋体" w:hAnsi="宋体"/>
            <w:noProof/>
            <w:sz w:val="24"/>
          </w:rPr>
        </w:r>
        <w:r>
          <w:rPr>
            <w:rFonts w:ascii="宋体" w:hAnsi="宋体"/>
            <w:noProof/>
            <w:sz w:val="24"/>
          </w:rPr>
          <w:fldChar w:fldCharType="separate"/>
        </w:r>
        <w:r w:rsidR="001C367C">
          <w:rPr>
            <w:rFonts w:ascii="宋体" w:hAnsi="宋体"/>
            <w:noProof/>
            <w:sz w:val="24"/>
          </w:rPr>
          <w:t>77</w:t>
        </w:r>
        <w:r>
          <w:rPr>
            <w:rFonts w:ascii="宋体" w:hAnsi="宋体"/>
            <w:noProof/>
            <w:sz w:val="24"/>
          </w:rPr>
          <w:fldChar w:fldCharType="end"/>
        </w:r>
      </w:hyperlink>
    </w:p>
    <w:p w14:paraId="312631BA" w14:textId="5C2DADA3" w:rsidR="00AE2A54" w:rsidRDefault="002F705F">
      <w:pPr>
        <w:pStyle w:val="11"/>
        <w:tabs>
          <w:tab w:val="right" w:leader="dot" w:pos="8550"/>
        </w:tabs>
        <w:spacing w:line="360" w:lineRule="auto"/>
        <w:rPr>
          <w:rFonts w:ascii="宋体" w:hAnsi="宋体"/>
          <w:noProof/>
          <w:sz w:val="24"/>
        </w:rPr>
      </w:pPr>
      <w:hyperlink w:anchor="_Toc220317710" w:history="1">
        <w:r>
          <w:rPr>
            <w:rStyle w:val="af1"/>
            <w:rFonts w:ascii="宋体" w:hAnsi="宋体" w:hint="eastAsia"/>
            <w:noProof/>
            <w:sz w:val="24"/>
          </w:rPr>
          <w:t>十六、基金的信息披露</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_Toc220317710 \h </w:instrText>
        </w:r>
        <w:r>
          <w:rPr>
            <w:rFonts w:ascii="宋体" w:hAnsi="宋体"/>
            <w:noProof/>
            <w:sz w:val="24"/>
          </w:rPr>
        </w:r>
        <w:r>
          <w:rPr>
            <w:rFonts w:ascii="宋体" w:hAnsi="宋体"/>
            <w:noProof/>
            <w:sz w:val="24"/>
          </w:rPr>
          <w:fldChar w:fldCharType="separate"/>
        </w:r>
        <w:r w:rsidR="001C367C">
          <w:rPr>
            <w:rFonts w:ascii="宋体" w:hAnsi="宋体"/>
            <w:noProof/>
            <w:sz w:val="24"/>
          </w:rPr>
          <w:t>78</w:t>
        </w:r>
        <w:r>
          <w:rPr>
            <w:rFonts w:ascii="宋体" w:hAnsi="宋体"/>
            <w:noProof/>
            <w:sz w:val="24"/>
          </w:rPr>
          <w:fldChar w:fldCharType="end"/>
        </w:r>
      </w:hyperlink>
    </w:p>
    <w:p w14:paraId="214E8D15" w14:textId="52259CE5" w:rsidR="00AE2A54" w:rsidRDefault="002F705F">
      <w:pPr>
        <w:pStyle w:val="11"/>
        <w:tabs>
          <w:tab w:val="right" w:leader="dot" w:pos="8550"/>
        </w:tabs>
        <w:spacing w:line="360" w:lineRule="auto"/>
        <w:rPr>
          <w:rFonts w:ascii="宋体" w:hAnsi="宋体"/>
          <w:noProof/>
          <w:sz w:val="24"/>
        </w:rPr>
      </w:pPr>
      <w:hyperlink w:anchor="_Toc220317711" w:history="1">
        <w:r>
          <w:rPr>
            <w:rStyle w:val="af1"/>
            <w:rFonts w:ascii="宋体" w:hAnsi="宋体" w:hint="eastAsia"/>
            <w:noProof/>
            <w:sz w:val="24"/>
          </w:rPr>
          <w:t>十七、基金合同的终止与基金财产的清算</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_Toc220317711 \h </w:instrText>
        </w:r>
        <w:r>
          <w:rPr>
            <w:rFonts w:ascii="宋体" w:hAnsi="宋体"/>
            <w:noProof/>
            <w:sz w:val="24"/>
          </w:rPr>
        </w:r>
        <w:r>
          <w:rPr>
            <w:rFonts w:ascii="宋体" w:hAnsi="宋体"/>
            <w:noProof/>
            <w:sz w:val="24"/>
          </w:rPr>
          <w:fldChar w:fldCharType="separate"/>
        </w:r>
        <w:r w:rsidR="001C367C">
          <w:rPr>
            <w:rFonts w:ascii="宋体" w:hAnsi="宋体"/>
            <w:noProof/>
            <w:sz w:val="24"/>
          </w:rPr>
          <w:t>84</w:t>
        </w:r>
        <w:r>
          <w:rPr>
            <w:rFonts w:ascii="宋体" w:hAnsi="宋体"/>
            <w:noProof/>
            <w:sz w:val="24"/>
          </w:rPr>
          <w:fldChar w:fldCharType="end"/>
        </w:r>
      </w:hyperlink>
    </w:p>
    <w:p w14:paraId="5D87104E" w14:textId="5B93A032" w:rsidR="00AE2A54" w:rsidRDefault="002F705F">
      <w:pPr>
        <w:pStyle w:val="11"/>
        <w:tabs>
          <w:tab w:val="right" w:leader="dot" w:pos="8550"/>
        </w:tabs>
        <w:spacing w:line="360" w:lineRule="auto"/>
        <w:rPr>
          <w:rFonts w:ascii="宋体" w:hAnsi="宋体"/>
          <w:noProof/>
          <w:sz w:val="24"/>
        </w:rPr>
      </w:pPr>
      <w:hyperlink w:anchor="_Toc220317712" w:history="1">
        <w:r>
          <w:rPr>
            <w:rStyle w:val="af1"/>
            <w:rFonts w:ascii="宋体" w:hAnsi="宋体" w:hint="eastAsia"/>
            <w:noProof/>
            <w:sz w:val="24"/>
          </w:rPr>
          <w:t>十八、基金托管人</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_Toc220317712 \h </w:instrText>
        </w:r>
        <w:r>
          <w:rPr>
            <w:rFonts w:ascii="宋体" w:hAnsi="宋体"/>
            <w:noProof/>
            <w:sz w:val="24"/>
          </w:rPr>
        </w:r>
        <w:r>
          <w:rPr>
            <w:rFonts w:ascii="宋体" w:hAnsi="宋体"/>
            <w:noProof/>
            <w:sz w:val="24"/>
          </w:rPr>
          <w:fldChar w:fldCharType="separate"/>
        </w:r>
        <w:r w:rsidR="001C367C">
          <w:rPr>
            <w:rFonts w:ascii="宋体" w:hAnsi="宋体"/>
            <w:noProof/>
            <w:sz w:val="24"/>
          </w:rPr>
          <w:t>89</w:t>
        </w:r>
        <w:r>
          <w:rPr>
            <w:rFonts w:ascii="宋体" w:hAnsi="宋体"/>
            <w:noProof/>
            <w:sz w:val="24"/>
          </w:rPr>
          <w:fldChar w:fldCharType="end"/>
        </w:r>
      </w:hyperlink>
    </w:p>
    <w:p w14:paraId="21896A96" w14:textId="10F083C7" w:rsidR="00AE2A54" w:rsidRDefault="002F705F">
      <w:pPr>
        <w:pStyle w:val="11"/>
        <w:tabs>
          <w:tab w:val="right" w:leader="dot" w:pos="8550"/>
        </w:tabs>
        <w:spacing w:line="360" w:lineRule="auto"/>
        <w:rPr>
          <w:rFonts w:ascii="宋体" w:hAnsi="宋体"/>
          <w:noProof/>
          <w:sz w:val="24"/>
        </w:rPr>
      </w:pPr>
      <w:hyperlink w:anchor="_Toc220317713" w:history="1">
        <w:r>
          <w:rPr>
            <w:rStyle w:val="af1"/>
            <w:rFonts w:ascii="宋体" w:hAnsi="宋体" w:hint="eastAsia"/>
            <w:noProof/>
            <w:sz w:val="24"/>
          </w:rPr>
          <w:t>十九、境外资产托管人</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_Toc220317713 \h </w:instrText>
        </w:r>
        <w:r>
          <w:rPr>
            <w:rFonts w:ascii="宋体" w:hAnsi="宋体"/>
            <w:noProof/>
            <w:sz w:val="24"/>
          </w:rPr>
        </w:r>
        <w:r>
          <w:rPr>
            <w:rFonts w:ascii="宋体" w:hAnsi="宋体"/>
            <w:noProof/>
            <w:sz w:val="24"/>
          </w:rPr>
          <w:fldChar w:fldCharType="separate"/>
        </w:r>
        <w:r w:rsidR="001C367C">
          <w:rPr>
            <w:rFonts w:ascii="宋体" w:hAnsi="宋体"/>
            <w:noProof/>
            <w:sz w:val="24"/>
          </w:rPr>
          <w:t>92</w:t>
        </w:r>
        <w:r>
          <w:rPr>
            <w:rFonts w:ascii="宋体" w:hAnsi="宋体"/>
            <w:noProof/>
            <w:sz w:val="24"/>
          </w:rPr>
          <w:fldChar w:fldCharType="end"/>
        </w:r>
      </w:hyperlink>
    </w:p>
    <w:p w14:paraId="2FCAC5B3" w14:textId="7936B535" w:rsidR="00AE2A54" w:rsidRDefault="002F705F">
      <w:pPr>
        <w:pStyle w:val="11"/>
        <w:tabs>
          <w:tab w:val="right" w:leader="dot" w:pos="8550"/>
        </w:tabs>
        <w:spacing w:line="360" w:lineRule="auto"/>
        <w:rPr>
          <w:rFonts w:ascii="宋体" w:hAnsi="宋体"/>
          <w:noProof/>
          <w:sz w:val="24"/>
        </w:rPr>
      </w:pPr>
      <w:hyperlink w:anchor="_Toc220317714" w:history="1">
        <w:r>
          <w:rPr>
            <w:rStyle w:val="af1"/>
            <w:rFonts w:ascii="宋体" w:hAnsi="宋体" w:hint="eastAsia"/>
            <w:noProof/>
            <w:sz w:val="24"/>
          </w:rPr>
          <w:t>二十、相关服务机构</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_Toc220317714 \h </w:instrText>
        </w:r>
        <w:r>
          <w:rPr>
            <w:rFonts w:ascii="宋体" w:hAnsi="宋体"/>
            <w:noProof/>
            <w:sz w:val="24"/>
          </w:rPr>
        </w:r>
        <w:r>
          <w:rPr>
            <w:rFonts w:ascii="宋体" w:hAnsi="宋体"/>
            <w:noProof/>
            <w:sz w:val="24"/>
          </w:rPr>
          <w:fldChar w:fldCharType="separate"/>
        </w:r>
        <w:r w:rsidR="001C367C">
          <w:rPr>
            <w:rFonts w:ascii="宋体" w:hAnsi="宋体"/>
            <w:noProof/>
            <w:sz w:val="24"/>
          </w:rPr>
          <w:t>94</w:t>
        </w:r>
        <w:r>
          <w:rPr>
            <w:rFonts w:ascii="宋体" w:hAnsi="宋体"/>
            <w:noProof/>
            <w:sz w:val="24"/>
          </w:rPr>
          <w:fldChar w:fldCharType="end"/>
        </w:r>
      </w:hyperlink>
    </w:p>
    <w:p w14:paraId="110F2944" w14:textId="045830DE" w:rsidR="00AE2A54" w:rsidRDefault="002F705F">
      <w:pPr>
        <w:pStyle w:val="11"/>
        <w:tabs>
          <w:tab w:val="right" w:leader="dot" w:pos="8550"/>
        </w:tabs>
        <w:spacing w:line="360" w:lineRule="auto"/>
        <w:rPr>
          <w:rFonts w:ascii="宋体" w:hAnsi="宋体"/>
          <w:noProof/>
          <w:sz w:val="24"/>
        </w:rPr>
      </w:pPr>
      <w:hyperlink w:anchor="_Toc220317715" w:history="1">
        <w:r>
          <w:rPr>
            <w:rStyle w:val="af1"/>
            <w:rFonts w:ascii="宋体" w:hAnsi="宋体" w:hint="eastAsia"/>
            <w:noProof/>
            <w:sz w:val="24"/>
          </w:rPr>
          <w:t>二十一、基金合同内容摘要</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_Toc220317715 \h </w:instrText>
        </w:r>
        <w:r>
          <w:rPr>
            <w:rFonts w:ascii="宋体" w:hAnsi="宋体"/>
            <w:noProof/>
            <w:sz w:val="24"/>
          </w:rPr>
        </w:r>
        <w:r>
          <w:rPr>
            <w:rFonts w:ascii="宋体" w:hAnsi="宋体"/>
            <w:noProof/>
            <w:sz w:val="24"/>
          </w:rPr>
          <w:fldChar w:fldCharType="separate"/>
        </w:r>
        <w:r w:rsidR="001C367C">
          <w:rPr>
            <w:rFonts w:ascii="宋体" w:hAnsi="宋体"/>
            <w:noProof/>
            <w:sz w:val="24"/>
          </w:rPr>
          <w:t>131</w:t>
        </w:r>
        <w:r>
          <w:rPr>
            <w:rFonts w:ascii="宋体" w:hAnsi="宋体"/>
            <w:noProof/>
            <w:sz w:val="24"/>
          </w:rPr>
          <w:fldChar w:fldCharType="end"/>
        </w:r>
      </w:hyperlink>
    </w:p>
    <w:p w14:paraId="0DAEC2E3" w14:textId="46576E6B" w:rsidR="00AE2A54" w:rsidRDefault="002F705F">
      <w:pPr>
        <w:pStyle w:val="11"/>
        <w:tabs>
          <w:tab w:val="right" w:leader="dot" w:pos="8550"/>
        </w:tabs>
        <w:spacing w:line="360" w:lineRule="auto"/>
        <w:rPr>
          <w:rFonts w:ascii="宋体" w:hAnsi="宋体"/>
          <w:noProof/>
          <w:sz w:val="24"/>
        </w:rPr>
      </w:pPr>
      <w:hyperlink w:anchor="_Toc220317716" w:history="1">
        <w:r>
          <w:rPr>
            <w:rStyle w:val="af1"/>
            <w:rFonts w:ascii="宋体" w:hAnsi="宋体" w:hint="eastAsia"/>
            <w:noProof/>
            <w:sz w:val="24"/>
          </w:rPr>
          <w:t>二十二、托管协议的内容摘要</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_Toc220317716 \h </w:instrText>
        </w:r>
        <w:r>
          <w:rPr>
            <w:rFonts w:ascii="宋体" w:hAnsi="宋体"/>
            <w:noProof/>
            <w:sz w:val="24"/>
          </w:rPr>
        </w:r>
        <w:r>
          <w:rPr>
            <w:rFonts w:ascii="宋体" w:hAnsi="宋体"/>
            <w:noProof/>
            <w:sz w:val="24"/>
          </w:rPr>
          <w:fldChar w:fldCharType="separate"/>
        </w:r>
        <w:r w:rsidR="001C367C">
          <w:rPr>
            <w:rFonts w:ascii="宋体" w:hAnsi="宋体"/>
            <w:noProof/>
            <w:sz w:val="24"/>
          </w:rPr>
          <w:t>149</w:t>
        </w:r>
        <w:r>
          <w:rPr>
            <w:rFonts w:ascii="宋体" w:hAnsi="宋体"/>
            <w:noProof/>
            <w:sz w:val="24"/>
          </w:rPr>
          <w:fldChar w:fldCharType="end"/>
        </w:r>
      </w:hyperlink>
    </w:p>
    <w:p w14:paraId="04774640" w14:textId="2333DA70" w:rsidR="00AE2A54" w:rsidRDefault="002F705F">
      <w:pPr>
        <w:pStyle w:val="11"/>
        <w:tabs>
          <w:tab w:val="right" w:leader="dot" w:pos="8550"/>
        </w:tabs>
        <w:spacing w:line="360" w:lineRule="auto"/>
        <w:rPr>
          <w:rFonts w:ascii="宋体" w:hAnsi="宋体"/>
          <w:noProof/>
          <w:sz w:val="24"/>
        </w:rPr>
      </w:pPr>
      <w:hyperlink w:anchor="_Toc220317717" w:history="1">
        <w:r>
          <w:rPr>
            <w:rStyle w:val="af1"/>
            <w:rFonts w:ascii="宋体" w:hAnsi="宋体" w:hint="eastAsia"/>
            <w:noProof/>
            <w:sz w:val="24"/>
          </w:rPr>
          <w:t>二十三、对基金份额持有人的服务</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_Toc220317717 \h </w:instrText>
        </w:r>
        <w:r>
          <w:rPr>
            <w:rFonts w:ascii="宋体" w:hAnsi="宋体"/>
            <w:noProof/>
            <w:sz w:val="24"/>
          </w:rPr>
        </w:r>
        <w:r>
          <w:rPr>
            <w:rFonts w:ascii="宋体" w:hAnsi="宋体"/>
            <w:noProof/>
            <w:sz w:val="24"/>
          </w:rPr>
          <w:fldChar w:fldCharType="separate"/>
        </w:r>
        <w:r w:rsidR="001C367C">
          <w:rPr>
            <w:rFonts w:ascii="宋体" w:hAnsi="宋体"/>
            <w:noProof/>
            <w:sz w:val="24"/>
          </w:rPr>
          <w:t>159</w:t>
        </w:r>
        <w:r>
          <w:rPr>
            <w:rFonts w:ascii="宋体" w:hAnsi="宋体"/>
            <w:noProof/>
            <w:sz w:val="24"/>
          </w:rPr>
          <w:fldChar w:fldCharType="end"/>
        </w:r>
      </w:hyperlink>
    </w:p>
    <w:p w14:paraId="6ECEB92C" w14:textId="174FACD1" w:rsidR="00AE2A54" w:rsidRDefault="002F705F">
      <w:pPr>
        <w:pStyle w:val="11"/>
        <w:tabs>
          <w:tab w:val="right" w:leader="dot" w:pos="8550"/>
        </w:tabs>
        <w:spacing w:line="360" w:lineRule="auto"/>
        <w:rPr>
          <w:rFonts w:ascii="宋体" w:hAnsi="宋体"/>
          <w:noProof/>
          <w:sz w:val="24"/>
        </w:rPr>
      </w:pPr>
      <w:hyperlink w:anchor="_Toc220317718" w:history="1">
        <w:r>
          <w:rPr>
            <w:rStyle w:val="af1"/>
            <w:rFonts w:ascii="宋体" w:hAnsi="宋体" w:hint="eastAsia"/>
            <w:noProof/>
            <w:sz w:val="24"/>
          </w:rPr>
          <w:t>二十四、其他应披露事项</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_Toc220317718 \h </w:instrText>
        </w:r>
        <w:r>
          <w:rPr>
            <w:rFonts w:ascii="宋体" w:hAnsi="宋体"/>
            <w:noProof/>
            <w:sz w:val="24"/>
          </w:rPr>
        </w:r>
        <w:r>
          <w:rPr>
            <w:rFonts w:ascii="宋体" w:hAnsi="宋体"/>
            <w:noProof/>
            <w:sz w:val="24"/>
          </w:rPr>
          <w:fldChar w:fldCharType="separate"/>
        </w:r>
        <w:r w:rsidR="001C367C">
          <w:rPr>
            <w:rFonts w:ascii="宋体" w:hAnsi="宋体"/>
            <w:noProof/>
            <w:sz w:val="24"/>
          </w:rPr>
          <w:t>161</w:t>
        </w:r>
        <w:r>
          <w:rPr>
            <w:rFonts w:ascii="宋体" w:hAnsi="宋体"/>
            <w:noProof/>
            <w:sz w:val="24"/>
          </w:rPr>
          <w:fldChar w:fldCharType="end"/>
        </w:r>
      </w:hyperlink>
    </w:p>
    <w:p w14:paraId="0BA2C878" w14:textId="66A59541" w:rsidR="00AE2A54" w:rsidRDefault="002F705F">
      <w:pPr>
        <w:pStyle w:val="11"/>
        <w:tabs>
          <w:tab w:val="right" w:leader="dot" w:pos="8550"/>
        </w:tabs>
        <w:spacing w:line="360" w:lineRule="auto"/>
        <w:rPr>
          <w:rFonts w:ascii="宋体" w:hAnsi="宋体"/>
          <w:noProof/>
          <w:sz w:val="24"/>
        </w:rPr>
      </w:pPr>
      <w:hyperlink w:anchor="_Toc220317719" w:history="1">
        <w:r>
          <w:rPr>
            <w:rStyle w:val="af1"/>
            <w:rFonts w:ascii="宋体" w:hAnsi="宋体" w:hint="eastAsia"/>
            <w:noProof/>
            <w:sz w:val="24"/>
          </w:rPr>
          <w:t>二十五、招募说明书的存放及查阅方式</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_Toc220317719 \h </w:instrText>
        </w:r>
        <w:r>
          <w:rPr>
            <w:rFonts w:ascii="宋体" w:hAnsi="宋体"/>
            <w:noProof/>
            <w:sz w:val="24"/>
          </w:rPr>
        </w:r>
        <w:r>
          <w:rPr>
            <w:rFonts w:ascii="宋体" w:hAnsi="宋体"/>
            <w:noProof/>
            <w:sz w:val="24"/>
          </w:rPr>
          <w:fldChar w:fldCharType="separate"/>
        </w:r>
        <w:r w:rsidR="001C367C">
          <w:rPr>
            <w:rFonts w:ascii="宋体" w:hAnsi="宋体"/>
            <w:noProof/>
            <w:sz w:val="24"/>
          </w:rPr>
          <w:t>165</w:t>
        </w:r>
        <w:r>
          <w:rPr>
            <w:rFonts w:ascii="宋体" w:hAnsi="宋体"/>
            <w:noProof/>
            <w:sz w:val="24"/>
          </w:rPr>
          <w:fldChar w:fldCharType="end"/>
        </w:r>
      </w:hyperlink>
    </w:p>
    <w:p w14:paraId="7EF16441" w14:textId="795BDBD1" w:rsidR="00AE2A54" w:rsidRDefault="002F705F">
      <w:pPr>
        <w:pStyle w:val="11"/>
        <w:tabs>
          <w:tab w:val="right" w:leader="dot" w:pos="8550"/>
        </w:tabs>
        <w:spacing w:line="360" w:lineRule="auto"/>
        <w:rPr>
          <w:rFonts w:ascii="宋体" w:hAnsi="宋体"/>
          <w:noProof/>
          <w:sz w:val="24"/>
        </w:rPr>
      </w:pPr>
      <w:hyperlink w:anchor="_Toc220317720" w:history="1">
        <w:r>
          <w:rPr>
            <w:rStyle w:val="af1"/>
            <w:rFonts w:ascii="宋体" w:hAnsi="宋体" w:hint="eastAsia"/>
            <w:noProof/>
            <w:sz w:val="24"/>
          </w:rPr>
          <w:t>二十六、备查文件</w:t>
        </w:r>
        <w:r>
          <w:rPr>
            <w:rFonts w:ascii="宋体" w:hAnsi="宋体"/>
            <w:noProof/>
            <w:sz w:val="24"/>
          </w:rPr>
          <w:tab/>
        </w:r>
        <w:r>
          <w:rPr>
            <w:rFonts w:ascii="宋体" w:hAnsi="宋体"/>
            <w:noProof/>
            <w:sz w:val="24"/>
          </w:rPr>
          <w:fldChar w:fldCharType="begin"/>
        </w:r>
        <w:r>
          <w:rPr>
            <w:rFonts w:ascii="宋体" w:hAnsi="宋体"/>
            <w:noProof/>
            <w:sz w:val="24"/>
          </w:rPr>
          <w:instrText xml:space="preserve"> PAGEREF _Toc220317720 \h </w:instrText>
        </w:r>
        <w:r>
          <w:rPr>
            <w:rFonts w:ascii="宋体" w:hAnsi="宋体"/>
            <w:noProof/>
            <w:sz w:val="24"/>
          </w:rPr>
        </w:r>
        <w:r>
          <w:rPr>
            <w:rFonts w:ascii="宋体" w:hAnsi="宋体"/>
            <w:noProof/>
            <w:sz w:val="24"/>
          </w:rPr>
          <w:fldChar w:fldCharType="separate"/>
        </w:r>
        <w:r w:rsidR="001C367C">
          <w:rPr>
            <w:rFonts w:ascii="宋体" w:hAnsi="宋体"/>
            <w:noProof/>
            <w:sz w:val="24"/>
          </w:rPr>
          <w:t>166</w:t>
        </w:r>
        <w:r>
          <w:rPr>
            <w:rFonts w:ascii="宋体" w:hAnsi="宋体"/>
            <w:noProof/>
            <w:sz w:val="24"/>
          </w:rPr>
          <w:fldChar w:fldCharType="end"/>
        </w:r>
      </w:hyperlink>
    </w:p>
    <w:p w14:paraId="0DA00874" w14:textId="77777777" w:rsidR="00AE2A54" w:rsidRDefault="002F705F">
      <w:pPr>
        <w:pStyle w:val="Style19"/>
        <w:snapToGrid w:val="0"/>
        <w:spacing w:after="240" w:line="360" w:lineRule="auto"/>
        <w:jc w:val="center"/>
        <w:rPr>
          <w:rFonts w:ascii="宋体" w:hAnsi="宋体"/>
          <w:color w:val="000000"/>
          <w:sz w:val="24"/>
        </w:rPr>
      </w:pPr>
      <w:r>
        <w:rPr>
          <w:rFonts w:ascii="宋体" w:hAnsi="宋体"/>
          <w:color w:val="000000"/>
          <w:position w:val="-4"/>
          <w:sz w:val="24"/>
          <w:szCs w:val="30"/>
        </w:rPr>
        <w:lastRenderedPageBreak/>
        <w:fldChar w:fldCharType="end"/>
      </w:r>
    </w:p>
    <w:p w14:paraId="4F7100EA" w14:textId="77777777" w:rsidR="00AE2A54" w:rsidRDefault="002F705F">
      <w:pPr>
        <w:pStyle w:val="1"/>
        <w:snapToGrid w:val="0"/>
        <w:spacing w:beforeLines="0" w:before="240" w:after="240"/>
        <w:rPr>
          <w:rFonts w:ascii="宋体" w:hAnsi="宋体"/>
          <w:szCs w:val="30"/>
        </w:rPr>
      </w:pPr>
      <w:bookmarkStart w:id="3" w:name="_Toc220317695"/>
      <w:r>
        <w:rPr>
          <w:rFonts w:ascii="Times New Roman" w:hAnsi="Times New Roman"/>
          <w:sz w:val="30"/>
        </w:rPr>
        <w:t>一、绪言</w:t>
      </w:r>
      <w:bookmarkEnd w:id="3"/>
    </w:p>
    <w:p w14:paraId="3D3CE2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合格境内机构投资者境外证券投资管理试行办法》（以下简称《试行办法》）、《关于实施&lt;合格境内机构投资者境外证券投资管理试行办法&gt;有关问题的通知》（以下简称《通知》）、《公开募集开放式证券投资基金流动性风险管理规定》（以下简称“《流动性规定》”）和其他相关法律法规的规定以及《交银施罗德环球精选价值证券投资基金基金合同》（以下简称“基金合同”）编写。</w:t>
      </w:r>
    </w:p>
    <w:p w14:paraId="63C587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2BDD68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6802F2EC"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42E4829" w14:textId="77777777" w:rsidR="00AE2A54" w:rsidRDefault="002F705F">
      <w:pPr>
        <w:pStyle w:val="1"/>
        <w:snapToGrid w:val="0"/>
        <w:spacing w:beforeLines="0" w:before="240" w:after="240"/>
        <w:rPr>
          <w:rFonts w:ascii="宋体" w:hAnsi="宋体"/>
          <w:szCs w:val="30"/>
        </w:rPr>
      </w:pPr>
      <w:bookmarkStart w:id="4" w:name="_Toc220317696"/>
      <w:r>
        <w:rPr>
          <w:rFonts w:ascii="Times New Roman" w:hAnsi="Times New Roman"/>
          <w:sz w:val="30"/>
        </w:rPr>
        <w:t>二、释义</w:t>
      </w:r>
      <w:bookmarkEnd w:id="4"/>
    </w:p>
    <w:p w14:paraId="0E9333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14:paraId="402A75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基金或本基金 指交银施罗德环球精选价值证券投资基金</w:t>
      </w:r>
    </w:p>
    <w:p w14:paraId="37FD13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 指交银施罗德基金管理有限公司</w:t>
      </w:r>
    </w:p>
    <w:p w14:paraId="02F11FB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 指中国建设银行股份有限公司（以下简称“中国建设银行”）</w:t>
      </w:r>
    </w:p>
    <w:p w14:paraId="775B96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基金合同或本基金合同 指《交银施罗德环球精选价值证券投资基金基金合同》及对本基金合同的任何有效修订和补充</w:t>
      </w:r>
    </w:p>
    <w:p w14:paraId="0FB94F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托管协议 指基金管理人与基金托管人就本基金签订之《交银施罗德环球精选价值证券投资基金托管协议》及对该托管协议的任何有效修订和补充</w:t>
      </w:r>
    </w:p>
    <w:p w14:paraId="531E41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 指《交银施罗德环球精选价值证券投资基金招募说明书》及其更新</w:t>
      </w:r>
    </w:p>
    <w:p w14:paraId="4AD48B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基金份额发售公告 指本基金根据《运作办法》变更为混合型基金前的《交银施罗德环球精选价值证券投资基金份额发售公告》</w:t>
      </w:r>
    </w:p>
    <w:p w14:paraId="5708C0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 指《交银施罗德环球精选价值证券投资基金基金产品资料概要》及其更新</w:t>
      </w:r>
    </w:p>
    <w:p w14:paraId="05D225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 指中国现行有效并公布实施的法律、行政法规、部门规章及规范性文件</w:t>
      </w:r>
    </w:p>
    <w:p w14:paraId="69FEDA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《基金法》 指2003年10月28日经第十届全国人民代表大会常务委员会第五次会议通过，自2004年6月1日起实施的《中华人民共和国证券投资基金法》及颁布机关对其不时做出的修订</w:t>
      </w:r>
    </w:p>
    <w:p w14:paraId="71169F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《销售办法》 指中国证监会于2011年6月9日颁布、自同年10月1日起实施的《证券投资基金销售管理办法》及颁布机关对其不时做出的修订</w:t>
      </w:r>
    </w:p>
    <w:p w14:paraId="0BF73D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《信息披露办法》 指中国证监会于2019年7月26日颁布、自同年9月1日起实施的《公开募集证券投资基金信息披露管理办法》及颁布机关对其不时做出的修订</w:t>
      </w:r>
    </w:p>
    <w:p w14:paraId="26F1F4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《运作办法》 指中国证监会于2004年6月29日颁布、自同年7月1日起实施的《证券投资基金运作管理办法》及颁布机关对其不时做出的修订</w:t>
      </w:r>
    </w:p>
    <w:p w14:paraId="2B42C1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《试行办法》 指中国证监会于2007年6月18日公布、自同年7月5日起实施的《合格境内机构投资者境外证券投资管理试行办法》及发布机关对其不时做出的修</w:t>
      </w:r>
      <w:r>
        <w:rPr>
          <w:rFonts w:ascii="宋体" w:hAnsi="宋体"/>
          <w:sz w:val="24"/>
        </w:rPr>
        <w:lastRenderedPageBreak/>
        <w:t>订</w:t>
      </w:r>
    </w:p>
    <w:p w14:paraId="3AF972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《通知》 指中国证监会于2007年6月18日公布、自同年7月5日起实施的《关于实施&lt;合格境内机构投资者境外证券投资管理试行办法&gt;有关问题的通知》及发布机关对其不时做出的修订</w:t>
      </w:r>
    </w:p>
    <w:p w14:paraId="0E9937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《流动性规定》 指中国证监会2017年8月31日颁布、同年10月1日实施的《公开募集开放式证券投资基金流动性风险管理规定》及颁布机关对其不时做出的修订</w:t>
      </w:r>
    </w:p>
    <w:p w14:paraId="2705A1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 就本基金合同之目的，指中华人民共和国，但不包</w:t>
      </w:r>
    </w:p>
    <w:p w14:paraId="1E128F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括香港特别行政区、澳门特别行政区和台湾地区</w:t>
      </w:r>
    </w:p>
    <w:p w14:paraId="4925C0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中国证监会 指中国证券监督管理委员会</w:t>
      </w:r>
    </w:p>
    <w:p w14:paraId="484DC6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银行业监督管理机构 中国银行业监督管理委员会</w:t>
      </w:r>
    </w:p>
    <w:p w14:paraId="6ABC2F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国家外汇局 指国家外汇管理局或其授权的代表机构</w:t>
      </w:r>
    </w:p>
    <w:p w14:paraId="50789F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基金合同当事人 指受基金合同约束，根据基金合同享有权利并承担义务的法律主体，包括基金管理人、基金托管人和基金份额持有人</w:t>
      </w:r>
    </w:p>
    <w:p w14:paraId="3E81EC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 指年满18周岁，合法持有现时有效的中华人民共和国居民身份证、军人证件等有效身份证的中国公民，以及中国证监会批准的其他可以投资基金的自然人</w:t>
      </w:r>
    </w:p>
    <w:p w14:paraId="1964A3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机构投资者 指依法可以投资开放式证券投资基金的、在中华人民共和国境内合法注册登记并存续或经有关政府部门批准设立并存续的企业法人、事业法人、社会团体或其他组织</w:t>
      </w:r>
    </w:p>
    <w:p w14:paraId="44D3A6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 指个人投资者、机构投资者以及法律法规或中国证监会允许购买证券投资基金的其他投资人的合称</w:t>
      </w:r>
    </w:p>
    <w:p w14:paraId="0694F7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 指依基金合同和招募说明书合法取得基金份额的投资人</w:t>
      </w:r>
    </w:p>
    <w:p w14:paraId="1BD52F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基金销售业务 指基金管理人或代销机构宣传推介基金，发售基金份额，办理基金份额的申购、赎回、转换、非交易过户、转托管及定期定额投资等业务</w:t>
      </w:r>
    </w:p>
    <w:p w14:paraId="5C8043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 指直销机构和代销机构</w:t>
      </w:r>
    </w:p>
    <w:p w14:paraId="3FA53B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 指交银施罗德基金管理有限公司</w:t>
      </w:r>
    </w:p>
    <w:p w14:paraId="40E67D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代销机构 指符合《销售办法》和中国证监会规定的其他条件，取得基金代销业务资格并与基金管理人签订了基金销售服务代理协议，代为办理基金销售业务的机构</w:t>
      </w:r>
    </w:p>
    <w:p w14:paraId="65695F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基金销售网点 指直销机构的直销中心及代销机构的代销网点</w:t>
      </w:r>
    </w:p>
    <w:p w14:paraId="167C07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登记结算业务 指基金登记、存管、过户、清算和结算业务，具体内容包括投资人基金账户的建立和管理、基金份额注册登记、基金销售业务的确认、清算和结算、代理发放红利、建立并保管基金份额持有人名册等</w:t>
      </w:r>
    </w:p>
    <w:p w14:paraId="2F317F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登记结算机构 指办理登记结算业务的机构。基金的登记结算机构为交银施罗德基金管理有限公司或接受交银施罗德基金管理有限公司委托代为办理登记结算业务的机构</w:t>
      </w:r>
    </w:p>
    <w:p w14:paraId="18F239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境外投资顾问 指符合《试行办法》规定的条件，为本基金境外证券投资提供证券买卖建议或投资组合管理等服务的境外金融机构；境外投资顾问由基金管理人选择、更换和撤销</w:t>
      </w:r>
    </w:p>
    <w:p w14:paraId="1F99EF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境外资产托管人 指符合《试行办法》规定的条件，接受基金托管人委托，负责本基金境外资产托管业务的境外金融机构；境外资产托管人由基金托管人选择、更换和撤销</w:t>
      </w:r>
    </w:p>
    <w:p w14:paraId="6F790D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基金账户 指登记结算机构为投资人开立的、记录其持有的、基金管理人所管理的基金份额余额及其变动情况的账户</w:t>
      </w:r>
    </w:p>
    <w:p w14:paraId="11F4A4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基金交易账户 指销售机构为投资人开立的、记录投资人通过该销售机构买卖本基金的基金份额变动及结余情况的账户</w:t>
      </w:r>
    </w:p>
    <w:p w14:paraId="715E35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基金合同生效日 指基金募集达到法律法规规定及基金合同规定的条件，基金管理人向中国证监会办理基金备案手续完毕，并获得中国证监会书面确认的日期</w:t>
      </w:r>
    </w:p>
    <w:p w14:paraId="4626E4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基金合同终止日 指基金合同规定的基金合同终止事由出现后，基金财产清算完毕，清算结果报中国证监会备案并予以公告的日期</w:t>
      </w:r>
    </w:p>
    <w:p w14:paraId="5D1A0B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 指自基金份额发售之日起至发售结束之日止的期间，最长不得超过3个月</w:t>
      </w:r>
    </w:p>
    <w:p w14:paraId="4B493B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 指基金合同生效至终止之间的不定期期限</w:t>
      </w:r>
    </w:p>
    <w:p w14:paraId="5372D5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工作日 指上海证券交易所、深圳证券交易所的正常交易日</w:t>
      </w:r>
    </w:p>
    <w:p w14:paraId="7767F6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开放日 指为投资人办理基金份额申购、赎回或其他业务的工作日</w:t>
      </w:r>
    </w:p>
    <w:p w14:paraId="6A7815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 指销售机构在规定时间受理投资人申购、赎回或其他业务申请的工作日</w:t>
      </w:r>
    </w:p>
    <w:p w14:paraId="1BECD6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T+n日 指自T日起第n个工作日(不包含T日)</w:t>
      </w:r>
    </w:p>
    <w:p w14:paraId="67EE8E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交易时间 指开放日基金接受申购、赎回或其他交易的时间段</w:t>
      </w:r>
    </w:p>
    <w:p w14:paraId="45DC8F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认购 指在基金募集期内，投资人申请购买基金份额的行为</w:t>
      </w:r>
    </w:p>
    <w:p w14:paraId="398754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 指基金合同生效后，投资人根据招募说明书和基金合同的规定申请购买</w:t>
      </w:r>
      <w:r>
        <w:rPr>
          <w:rFonts w:ascii="宋体" w:hAnsi="宋体"/>
          <w:sz w:val="24"/>
        </w:rPr>
        <w:lastRenderedPageBreak/>
        <w:t>基金份额的行为</w:t>
      </w:r>
    </w:p>
    <w:p w14:paraId="17B3E0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 指基金合同生效后，基金份额持有人按基金合同规定的条件要求将基金份额兑换为现金的行为</w:t>
      </w:r>
    </w:p>
    <w:p w14:paraId="6AC74F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转托管 指基金份额持有人在本基金的不同销售机构之间实施的变更所持基金份额销售机构的操作</w:t>
      </w:r>
    </w:p>
    <w:p w14:paraId="7B3A8A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 指投资人通过向有关销售机构提交申请，约定每期申购日、扣款金额及扣款方式，由指定的销售机构在投资人指定资金账户内自动扣款并于每期约定的申购日提交基金申购申请的一种投资方式</w:t>
      </w:r>
    </w:p>
    <w:p w14:paraId="0FE5F3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 指本基金单个开放日，基金净赎回申请(赎回申请份</w:t>
      </w:r>
    </w:p>
    <w:p w14:paraId="03B661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额总数加上基金转换中转出申请份额总数后扣除申购申请份额总数及基金转换中转入申请份额总数后的余额)超过上一开放日基金总份额的10%</w:t>
      </w:r>
    </w:p>
    <w:p w14:paraId="06B7D0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元 指人民币元</w:t>
      </w:r>
    </w:p>
    <w:p w14:paraId="54D5F9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 指基金投资所得红利、股息、债券利息、买卖证券价差、银行存款利息、其他合法收入及因运用基金财产带来的成本和费用的节约</w:t>
      </w:r>
    </w:p>
    <w:p w14:paraId="2FC108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 指基金拥有的各类有价证券、银行存款本息、基金应收申购款及其他资产的价值总和</w:t>
      </w:r>
    </w:p>
    <w:p w14:paraId="1B6FCBA0" w14:textId="07A8669D"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 指基金份额持有人按照本基金合同和基金管理人届 时有效公告规定的条件，申请将其持有基金管理人管理的、某一基金的基金份额转换为</w:t>
      </w:r>
      <w:r>
        <w:rPr>
          <w:rFonts w:ascii="宋体" w:hAnsi="宋体" w:hint="eastAsia"/>
          <w:sz w:val="24"/>
        </w:rPr>
        <w:t>该基金其他份额（如有）或</w:t>
      </w:r>
      <w:r>
        <w:rPr>
          <w:rFonts w:ascii="宋体" w:hAnsi="宋体"/>
          <w:sz w:val="24"/>
        </w:rPr>
        <w:t>基金管理人管理的其他基金基金份额的行为</w:t>
      </w:r>
    </w:p>
    <w:p w14:paraId="2AE38A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 指基金资产总值减去基金负债后的价值</w:t>
      </w:r>
    </w:p>
    <w:p w14:paraId="764ACD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 指计算日基金资产净值除以计算日基金份额总数</w:t>
      </w:r>
    </w:p>
    <w:p w14:paraId="2EC461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 指计算评估基金资产和负债的价值，以确定基金资产净值和基金份额净值的过程</w:t>
      </w:r>
    </w:p>
    <w:p w14:paraId="3EEE4C1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销售服务费：指从基金财产中计提的，用于本基金市场推广、销售以及基金份额持有人服务的费用</w:t>
      </w:r>
    </w:p>
    <w:p w14:paraId="56E9092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A类基金份额：指在投资人申购时收取申购费用且不从本类别基金资产中计提销售服务费的基金份额</w:t>
      </w:r>
    </w:p>
    <w:p w14:paraId="451038D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C类基金份额：指在投资人申购时不收取申购费用，并从本类别基金资产中计提销售服务费的基金份额（其中，对于投资人通过直销机构申购的C类基金份额，计提的销售服务费将在投资人赎回相应基金份额或基金合同终止时随赎回款或清算</w:t>
      </w:r>
      <w:r>
        <w:rPr>
          <w:rFonts w:ascii="宋体" w:hAnsi="宋体" w:hint="eastAsia"/>
          <w:sz w:val="24"/>
        </w:rPr>
        <w:lastRenderedPageBreak/>
        <w:t>款一并返还给投资人；对于投资人通过其他销售机构申购的C类基金份额，持续持有超过一年（即365天，下同）后计提的销售服务费将在投资人赎回相应基金份额或基金合同终止时随赎回款或清算款一并返还给投资人）</w:t>
      </w:r>
    </w:p>
    <w:p w14:paraId="1A6161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流动性受限资产 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24EB28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指定媒介 指中国证监会指定的用以进行信息披露的全国性报刊及指定互联网网站（包括基金管理人网站、基金托管人网站、中国证监会基金电子披露网站）等媒介公司行为信息 指证券发行人所公告的会或将会影响到基金资产的价值及权益的任何未完成或已完成的行动，及其他与本基金持仓证券所投资的发行公司有关的重大信息，包括但不限于权益派发、配股、提前赎回等信息</w:t>
      </w:r>
    </w:p>
    <w:p w14:paraId="6C8E7C04"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313896D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62FEC9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不可抗力 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14:paraId="63809F4C" w14:textId="77777777" w:rsidR="00AE2A54" w:rsidRPr="00F3029D" w:rsidRDefault="002F705F" w:rsidP="00F3029D">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公司行为信息：指证券发行人所公告的会或将会影响到基金资产的价值及权益的任何未完成或已完成的行动，及其他与本基金持仓证券所投资的发行公司有关的重大信息，包括但不限于权益派发、配股、提前赎回等信息</w:t>
      </w:r>
    </w:p>
    <w:p w14:paraId="461FE1FF"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02DC96E" w14:textId="77777777" w:rsidR="00AE2A54" w:rsidRDefault="002F705F">
      <w:pPr>
        <w:pStyle w:val="1"/>
        <w:snapToGrid w:val="0"/>
        <w:spacing w:beforeLines="0" w:before="240" w:after="240"/>
        <w:rPr>
          <w:rFonts w:ascii="宋体" w:hAnsi="宋体"/>
          <w:szCs w:val="30"/>
        </w:rPr>
      </w:pPr>
      <w:bookmarkStart w:id="5" w:name="_Toc220317697"/>
      <w:r>
        <w:rPr>
          <w:rFonts w:ascii="Times New Roman" w:hAnsi="Times New Roman"/>
          <w:sz w:val="30"/>
        </w:rPr>
        <w:t>三、风险揭示</w:t>
      </w:r>
      <w:bookmarkEnd w:id="5"/>
    </w:p>
    <w:p w14:paraId="079559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07A99D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14:paraId="110EA4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14:paraId="79B7B7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1802AA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3940B0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14:paraId="01CC34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14:paraId="120975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境外证券市场，基金净值会因为境外证券市场波动等因素产生波动。本基金股票资产占基金资产的60%-100%，重点投资于香港、欧洲、美国和新兴市场的权益类资产，其中投资于香港证券市场的股票占基金资产的比例为10%-50%，投资于全球其他证券市场的股票和基金占基金资产的比例为40%-70%，上述主要投资证券市场的波动将会影响本基金的净值表现。基金投资中出现的风险分为如下两类，一是境外投资产品风险，包括海外市场风险、汇率风险、政治风险等；二是基金投资的一般风险，包括利率风险、信用风险、流动性风险、衍生品风险等等。</w:t>
      </w:r>
    </w:p>
    <w:p w14:paraId="0FDCF7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（一）全球投资的特殊风险</w:t>
      </w:r>
    </w:p>
    <w:p w14:paraId="2B12B0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1、海外市场风险</w:t>
      </w:r>
    </w:p>
    <w:p w14:paraId="070BC5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市场风险是指由于市场因素如基础利率、汇率、股票价格和商品价格的变化或由于这些市场因素的波动率的变化而引起的证券价格的非预期变化，并产生损失的可能性。</w:t>
      </w:r>
    </w:p>
    <w:p w14:paraId="699717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将投资于海外股票市场，因此一方面基金净值会因全球股市的整体变化而出现价格波动。另一方面，各国各地区处于不同的产业经济循环周期之中，这也将对基金的投资绩效产生影响。具体而言，海外股票市场对于负面的特定事件的反映各不相同；各国或地区有其独特的政治因素、法律法规、市场状况、经济发展趋势；并且美国、英国、香港等证券交易市场对每日证券交易价格并无涨跌幅上下限的规定，使得这些国家或地区证券的每日涨跌幅空间相对较大。以上所述因素都可能会带来市场的急剧下跌，从而导致投资风险的增加。</w:t>
      </w:r>
    </w:p>
    <w:p w14:paraId="647D9F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14:paraId="4266CC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方面，本基金每日的净资产价值以人民币计价，因此当汇率发生变动时，将会影响到人民币计价的净资产价值。另一方面，本基金国际投资部分以美元计价，对应资产可能投资于以非美元报价的各类资产，因此非美元资产的表现将受资产所持货币兑美元的汇率变动所影响。</w:t>
      </w:r>
    </w:p>
    <w:p w14:paraId="7CB8F6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3、法律及政治管制风险</w:t>
      </w:r>
    </w:p>
    <w:p w14:paraId="5EC414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由于各个国家/地区适用不同法律法规的原因，可能导致本基金的某些投资行为在部分国家/地区受到限制或合同不能正常执行，从而使得基金资产面临损失的</w:t>
      </w:r>
      <w:r>
        <w:rPr>
          <w:rFonts w:ascii="宋体" w:hAnsi="宋体"/>
          <w:sz w:val="24"/>
        </w:rPr>
        <w:lastRenderedPageBreak/>
        <w:t>可能性。</w:t>
      </w:r>
    </w:p>
    <w:p w14:paraId="23462E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同时，在本基金所投资国家或地区中，包含成熟市场以及新兴市场。新兴市场国家一般对外汇的管制较严格，因此存在一定的外汇管制风险，可能导致汇兑损益。</w:t>
      </w:r>
    </w:p>
    <w:p w14:paraId="56789A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4、政治风险</w:t>
      </w:r>
    </w:p>
    <w:p w14:paraId="6BD0E3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或地区的财政政策、货币政策、产业政策、地区发展政策等宏观政策发生变化，导致市场波动而影响基金收益，也会产生风险，称之为政治风险。例如，外国政府可能会鉴于政治上的优先考虑，改变支付政策；新政府或许会拒绝承担前任政府的债务。</w:t>
      </w:r>
    </w:p>
    <w:p w14:paraId="47BF72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全球市场为主要的投资地区，因此全球的政治、社会或经济情势的变动(包括天然灾害、战争、暴动或罢工等)，都可能对本基金所参与的投资市场或投资产品造成直接或者是间接的负面冲击。本基金将在内部及外部研究机构的支持下，密切关注各国政治、经济和产业政策的变化，适时调整投资策略以应对政治风险的变化。</w:t>
      </w:r>
    </w:p>
    <w:p w14:paraId="16A8F7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5、境外上市公司经营风险</w:t>
      </w:r>
    </w:p>
    <w:p w14:paraId="6B23C2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14:paraId="55DB23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6、新兴市场风险</w:t>
      </w:r>
    </w:p>
    <w:p w14:paraId="52E2A3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本基金可投资于海外新兴市场，鉴于各新兴市场特有的监管制度以及特点，包括市场准入制度、外汇管制制度等，可能对本基金参与新兴市场的投资收益产生直接或间接的影响。</w:t>
      </w:r>
    </w:p>
    <w:p w14:paraId="5BA7AA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7、初级产品风险</w:t>
      </w:r>
    </w:p>
    <w:p w14:paraId="4A4CE4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本基金不直接投资于钢材、石油、煤炭、有色金属等初级产品，但上述初级产品价格的不利变化可能对本基金部分投资标的带来负面影响，从而对本基金参与相关证券投资的收益带来间接的影响。</w:t>
      </w:r>
    </w:p>
    <w:p w14:paraId="02F840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8、税务风险</w:t>
      </w:r>
    </w:p>
    <w:p w14:paraId="08CF62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在投资各国或地区市场时，因各国、地区税务法律法规的不同，可能会就股</w:t>
      </w:r>
      <w:r>
        <w:rPr>
          <w:rFonts w:ascii="宋体" w:hAnsi="宋体"/>
          <w:sz w:val="24"/>
        </w:rPr>
        <w:lastRenderedPageBreak/>
        <w:t>息、利息、资本利得等收益向各国、地区税务机构缴纳税金，包括预扣税，该行为可能会使得资产回报受到一定影响。各国、地区的税收法律法规的规定可能变化，或者加以具有追溯力的修订，所以可能须向该等国家或地区缴纳本基金销售、估值或者出售投资当日并未预计的额外税项。</w:t>
      </w:r>
    </w:p>
    <w:p w14:paraId="171095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本基金在投资海外市场时会事先了解清楚各地区的税务法律法规，同时，在境外投资顾问和境外资产托管人的协助下，完成投资所在国家或地区的税务扣缴工作。</w:t>
      </w:r>
    </w:p>
    <w:p w14:paraId="724418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9、会计核算风险</w:t>
      </w:r>
    </w:p>
    <w:p w14:paraId="396BA1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由于各个国家/地区对上市公司日常经营活动的会计处理、财务报表披露等会计核算标准的规定存在一定差异，可能导致基金经理对公司盈利能力、投资价值的判断产生偏差，从而给本基金投资带来潜在风险。</w:t>
      </w:r>
    </w:p>
    <w:p w14:paraId="711BBA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（二）基金投资的一般风险</w:t>
      </w:r>
    </w:p>
    <w:p w14:paraId="4FD137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1、利率风险</w:t>
      </w:r>
    </w:p>
    <w:p w14:paraId="285769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金融市场利率的波动会导致证券市场价格和收益率的变动。利率直接影响着债券的价格和收益率，影响着企业的融资成本和利润。基金投资于债券和债券回购，其收益水平会受到利率变化和货币市场供求状况的影响。 各个国家或地区的利率变动还将影响该地区的经济与汇率等。</w:t>
      </w:r>
    </w:p>
    <w:p w14:paraId="3C868B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但本基金主要投资于基金与股票，而利率的波动仅间接影响到股市，因此利率风险对本基金的影响相对较低。</w:t>
      </w:r>
    </w:p>
    <w:p w14:paraId="108F4E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2、管理风险</w:t>
      </w:r>
    </w:p>
    <w:p w14:paraId="64CED3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6D859B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3、流动性风险</w:t>
      </w:r>
    </w:p>
    <w:p w14:paraId="39A4F4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08499B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由于境外市场的交易日、交易时间、结算规则等与国内存在一定的差异，本基金有关申购、赎回的开放与交易确认的安排不同于国内一般开放式基金。本基金赎回款项到达投资人指定账户需要更长的时间。</w:t>
      </w:r>
    </w:p>
    <w:p w14:paraId="0AEFD2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14:paraId="2D64A4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0900EC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14:paraId="038771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14:paraId="7E18DB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14:paraId="1AB3B9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14:paraId="7BE078D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14:paraId="6D885D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14:paraId="237B5E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14:paraId="4EE027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08533E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14:paraId="7C9490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14:paraId="6A6B00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14:paraId="26023A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14:paraId="3E98BE8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04D1E1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02CFC4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w:t>
      </w:r>
      <w:r>
        <w:rPr>
          <w:rFonts w:ascii="宋体" w:hAnsi="宋体"/>
          <w:sz w:val="24"/>
        </w:rPr>
        <w:lastRenderedPageBreak/>
        <w:t>基金定期报告中披露报告期末特定资产可变现净值或净值区间的，也不作为特定资产最终变现价格的承诺，因此对于特定资产的公允价值和最终变现价格，基金管理人不承担任何保证和承诺的责任。</w:t>
      </w:r>
    </w:p>
    <w:p w14:paraId="77AB51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14:paraId="0267978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3A8CCF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w:t>
      </w:r>
    </w:p>
    <w:p w14:paraId="47125F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（1）交易结算风险</w:t>
      </w:r>
    </w:p>
    <w:p w14:paraId="26DE74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基金在证券交割或现金交割过程中,由于交易对手违约而引发的风险。</w:t>
      </w:r>
    </w:p>
    <w:p w14:paraId="3F2FB0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（2）债券投资的信用风险</w:t>
      </w:r>
    </w:p>
    <w:p w14:paraId="23875E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基金所投资债券之发行人出现违约、拒绝支付到期本息，可能导致基金资产损失和收益变化，从而产生风险。</w:t>
      </w:r>
    </w:p>
    <w:p w14:paraId="1B4918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5、本基金投资策略所特有的风险</w:t>
      </w:r>
    </w:p>
    <w:p w14:paraId="5E4B27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本基金为混合型基金，故股票持仓比例将维持较高水平。如果投资目标市场的股票市场出现整体下跌，本基金的净值表现将受到影响。</w:t>
      </w:r>
    </w:p>
    <w:p w14:paraId="043859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14:paraId="00BD67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6、衍生品风险</w:t>
      </w:r>
    </w:p>
    <w:p w14:paraId="7D318A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衍生工具是为了有效管理金融风险而设计的工具，一般是一种私人合约，其价值是从一些基础资产价格、参考利率或指数中派生出来的。由于事先涉及的现金流相对较少，所以衍生工具有杠杆作用，即涉及借款问题。然而，杠杆作用是一把双刃剑。一方面，由于交易成本非常低，杠杆作用可使衍生工具成为一种对冲风险和投机的有效工具；另一方面，由于事先涉及的现金支付较少，因此就更加难以评估</w:t>
      </w:r>
      <w:r>
        <w:rPr>
          <w:rFonts w:ascii="宋体" w:hAnsi="宋体"/>
          <w:sz w:val="24"/>
        </w:rPr>
        <w:lastRenderedPageBreak/>
        <w:t>潜在的下跌风险。</w:t>
      </w:r>
    </w:p>
    <w:p w14:paraId="709E4F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本基金投资衍生品的目的是为了对冲风险，而不是投机，会通过控制规模、计算风险价值等手段来有效控制风险。</w:t>
      </w:r>
    </w:p>
    <w:p w14:paraId="044F1B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7、正回购/逆回购</w:t>
      </w:r>
    </w:p>
    <w:p w14:paraId="69E78D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在回购交易中，交易对手方可能因财务状况或其它原因不能履行付款或结算的义务，从而对基金资产价值造成不利影响。</w:t>
      </w:r>
    </w:p>
    <w:p w14:paraId="733DAC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8、证券借贷</w:t>
      </w:r>
    </w:p>
    <w:p w14:paraId="2005C8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作为证券借出方，如果交易对手方（即证券借入方）违约，则基金可能面临到期无法获得证券借贷收入甚至借出证券无法归还的风险，从而导致基金资产发生损失。</w:t>
      </w:r>
    </w:p>
    <w:p w14:paraId="18DF1C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9、操作风险</w:t>
      </w:r>
    </w:p>
    <w:p w14:paraId="425E0C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境外投资涉及复杂的业务环节及不同的当事方，在各业务环节的操作过程中，可能因内部控制不到位或者人为因素造成操作失误或违反操作规程而引致风险；本基金后台运作中，可能因为技术系统故障或者差错而影响交易的正常进行甚至导致基金份额持有人利益受到影响。</w:t>
      </w:r>
    </w:p>
    <w:p w14:paraId="2D161B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（1）系统故障风险</w:t>
      </w:r>
    </w:p>
    <w:p w14:paraId="441D86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当计算机系统、通信网络等技术保障系统出现异常情况，可能导致基金日常的赎回无法按正常时限完成、注册登记系统瘫痪、核算系统无法按正常时限产生净值、基金的投资交易指令无法及时传输等风险。</w:t>
      </w:r>
    </w:p>
    <w:p w14:paraId="3BAF98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（2）金融模型风险</w:t>
      </w:r>
    </w:p>
    <w:p w14:paraId="5A81D6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金融模型风险是指由于投资决策或风险管理依赖的金融模型错误或参数不准确而引发的风险。</w:t>
      </w:r>
    </w:p>
    <w:p w14:paraId="420B23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（3）人为操作失误风险</w:t>
      </w:r>
    </w:p>
    <w:p w14:paraId="405550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基金经理或交易员在境外证券投资管理业务过程中由于人为失误，造成错误指令或错误交易，从而引发操作风险，给投资人带来损失。</w:t>
      </w:r>
    </w:p>
    <w:p w14:paraId="23F5AC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10、其他风险</w:t>
      </w:r>
    </w:p>
    <w:p w14:paraId="22F31B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（1）因人为因素而产生的风险、如内幕交易、欺诈行为等产生的风险；</w:t>
      </w:r>
    </w:p>
    <w:p w14:paraId="637B6D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（2）对主要业务人员如基金经理的依赖而可能产生的风险；</w:t>
      </w:r>
    </w:p>
    <w:p w14:paraId="1127E4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（3）因业务竞争压力可能产生的风险；</w:t>
      </w:r>
    </w:p>
    <w:p w14:paraId="426717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（4）战争、自然灾害等不可抗力可能导致基金财产的损失，影响基金收益水</w:t>
      </w:r>
      <w:r>
        <w:rPr>
          <w:rFonts w:ascii="宋体" w:hAnsi="宋体"/>
          <w:sz w:val="24"/>
        </w:rPr>
        <w:lastRenderedPageBreak/>
        <w:t>平，从而带来风险；</w:t>
      </w:r>
    </w:p>
    <w:p w14:paraId="07FBC5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（5）其他意外导致的风险。</w:t>
      </w:r>
    </w:p>
    <w:p w14:paraId="60C3BD51"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042C9B5" w14:textId="77777777" w:rsidR="00AE2A54" w:rsidRDefault="002F705F">
      <w:pPr>
        <w:pStyle w:val="1"/>
        <w:snapToGrid w:val="0"/>
        <w:spacing w:beforeLines="0" w:before="240" w:after="240"/>
        <w:rPr>
          <w:rFonts w:ascii="宋体" w:hAnsi="宋体"/>
          <w:szCs w:val="30"/>
        </w:rPr>
      </w:pPr>
      <w:bookmarkStart w:id="6" w:name="_Toc220317698"/>
      <w:r>
        <w:rPr>
          <w:rFonts w:ascii="Times New Roman" w:hAnsi="Times New Roman"/>
          <w:sz w:val="30"/>
        </w:rPr>
        <w:t>四、基金的投资</w:t>
      </w:r>
      <w:bookmarkEnd w:id="6"/>
    </w:p>
    <w:p w14:paraId="2D40F3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（一）投资理念</w:t>
      </w:r>
    </w:p>
    <w:p w14:paraId="2FBEF2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坚持价值投资理念，通过深入的基本面研究，在全球范围内对基金资产进行有效配置以降低组合风险，同时积极挖掘非完全有效市场中的投资机会获取超额收益率，帮助投资人实现长期资本增值的目标。该理念至少包含以下几个方面的含义：</w:t>
      </w:r>
    </w:p>
    <w:p w14:paraId="4B6BCA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1、不同国家和地区的股票市场之间显示着或强或弱的相关性，其中中国A股市场与其他国家市场的相关性较低，通过跨境投资，可以分散单一市场集中投资的风险，改善收益。</w:t>
      </w:r>
    </w:p>
    <w:p w14:paraId="015155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市场通常并非完全有效，例如短期内的市场情绪可能比股票的基本面更能影响股票资产价格，使其产生更大幅度的波动，即过度反应使得股票价格倾向于过度上涨或者过度下跌。我们认为，在非完全有效的市场中，通过专业研究可以获得信息优势，获取超额收益。</w:t>
      </w:r>
    </w:p>
    <w:p w14:paraId="285370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全球范围内，投资于具备良好成长前景、持续竞争优势、定价合理的高质量上市公司能创造长期卓越的投资回报。我们相信深入的基本面研究配合全面的宏观经济分析是挖掘具有上述资质的上述公司的最有效的方法，有助于我们识别市场中的估值洼地。</w:t>
      </w:r>
    </w:p>
    <w:p w14:paraId="24178D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14:paraId="36AD59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通过全球资产配置和灵活分散投资，在有效分散和控制风险的前提下，实现长期资本增值。</w:t>
      </w:r>
    </w:p>
    <w:p w14:paraId="334087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14:paraId="4DA32E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14:paraId="084C23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14:paraId="6C0714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14:paraId="66A815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本基金的基金资产将投资于全球主要证券市场，其中投资于与中国证监会签订了双边监管合作谅解备忘录国家或地区以外的其他国家或地区证券市场挂牌交易的证券资产的比例不超过基金资产净值的10%。</w:t>
      </w:r>
    </w:p>
    <w:p w14:paraId="593F8A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14:paraId="75AB5F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本基金对基金的投资限于除香港以外的国际市场。</w:t>
      </w:r>
    </w:p>
    <w:p w14:paraId="4A847C3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tbl>
      <w:tblPr>
        <w:tblW w:w="5000" w:type="pct"/>
        <w:tblCellMar>
          <w:left w:w="0" w:type="dxa"/>
          <w:right w:w="0" w:type="dxa"/>
        </w:tblCellMar>
        <w:tblLook w:val="04A0" w:firstRow="1" w:lastRow="0" w:firstColumn="1" w:lastColumn="0" w:noHBand="0" w:noVBand="1"/>
      </w:tblPr>
      <w:tblGrid>
        <w:gridCol w:w="2167"/>
        <w:gridCol w:w="6503"/>
      </w:tblGrid>
      <w:tr w:rsidR="00AE2A54" w14:paraId="38C0C84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79F6BB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14:paraId="19F3CB0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rsidR="00AE2A54" w14:paraId="5BD5050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6D0F60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股票资产</w:t>
            </w:r>
          </w:p>
        </w:tc>
        <w:tc>
          <w:tcPr>
            <w:tcW w:w="750" w:type="pct"/>
            <w:tcBorders>
              <w:top w:val="single" w:sz="4" w:space="0" w:color="auto"/>
              <w:left w:val="single" w:sz="4" w:space="0" w:color="auto"/>
              <w:bottom w:val="single" w:sz="4" w:space="0" w:color="auto"/>
              <w:right w:val="single" w:sz="4" w:space="0" w:color="auto"/>
            </w:tcBorders>
            <w:vAlign w:val="center"/>
          </w:tcPr>
          <w:p w14:paraId="297A81D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60-100%</w:t>
            </w:r>
          </w:p>
        </w:tc>
      </w:tr>
      <w:tr w:rsidR="00AE2A54" w14:paraId="4CB296C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62DCBA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债券、货币市场工具以及中国证监会允许基金投资的其他金融工具</w:t>
            </w:r>
          </w:p>
        </w:tc>
        <w:tc>
          <w:tcPr>
            <w:tcW w:w="750" w:type="pct"/>
            <w:tcBorders>
              <w:top w:val="single" w:sz="4" w:space="0" w:color="auto"/>
              <w:left w:val="single" w:sz="4" w:space="0" w:color="auto"/>
              <w:bottom w:val="single" w:sz="4" w:space="0" w:color="auto"/>
              <w:right w:val="single" w:sz="4" w:space="0" w:color="auto"/>
            </w:tcBorders>
            <w:vAlign w:val="center"/>
          </w:tcPr>
          <w:p w14:paraId="75EAD32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bl>
    <w:p w14:paraId="7A4FC2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14:paraId="60ECA4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本基金的业绩比较基准为：70%×标准普尔全球大中盘指数(S&amp;P Global LargeMidCap Index)+30%×恒生指数。</w:t>
      </w:r>
    </w:p>
    <w:p w14:paraId="7177E5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标准普尔全球大中盘指数(S&amp;P Global LargeMidCap Index)属于标准普尔全球BMI指数系列（S&amp;P Global BMI Indices），该系列指数包含了全球行业分类标准33500多家公司中最大的1万家公司（每家市值均超过1亿美元），这1万家公司占据了全球证券市场97%的份额。其中标准普尔全球大中盘指数(S&amp;P Global LargeMidCap Index)覆盖全球46个市场最大的2000多家上市公司，包括25个发达市场和21个发展中市场，占据了全球证券市场约78%的份额。该指数系列较好的代表了全球市场走势，在国际上被广泛采用为有关投资产品的业绩基准。</w:t>
      </w:r>
    </w:p>
    <w:p w14:paraId="1F9D3A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恒生指数是由恒生银行附属的恒指服务公司编制，它是香港蓝筹股价变化的指标。恒生指数成份股分别纳入工商业、金融、地产和公用事业四个分类指数。</w:t>
      </w:r>
    </w:p>
    <w:p w14:paraId="6DE711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本基金采取70%的标准普尔全球大中盘指数与30%的恒生指数之和作为基金的投资基准，该业绩基准涵盖了本基金重点投资的主要股票市场，充分反映上述股票市场的综合表现，是市场中兼具代表性与权威性的指数。</w:t>
      </w:r>
    </w:p>
    <w:p w14:paraId="549D6C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如果上述基准指数停止计算编制或更改名称，或今后法律法规发生变化，或基金变更投资范围，或市场出现更具权威、且更能够表征本基金风险收益特征的指</w:t>
      </w:r>
      <w:r>
        <w:rPr>
          <w:rFonts w:ascii="宋体" w:hAnsi="宋体"/>
          <w:sz w:val="24"/>
        </w:rPr>
        <w:lastRenderedPageBreak/>
        <w:t>数，则本基金管理人将视情况调整本基金的业绩评价基准，并及时公告。</w:t>
      </w:r>
    </w:p>
    <w:p w14:paraId="364A82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（六）投资策略</w:t>
      </w:r>
    </w:p>
    <w:p w14:paraId="63854D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14:paraId="0BFE93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1、资产的类别配置</w:t>
      </w:r>
    </w:p>
    <w:p w14:paraId="405ACF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本基金充分运用施罗德集团全球研究团队的优势，通过深入分析全球宏观经济和区域经济环境，把握全球资本市场的变化趋势，结合定性分析和定量分析进行大类资产的配置。</w:t>
      </w:r>
    </w:p>
    <w:p w14:paraId="76CEB3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大类资产的配置过程中本基金运用了施罗德集团的全球资产配置模型，该模型输入了来自资产类别分析专家、宏观经济分析师和多元化资产专家对宏观经济的周期性因素、各类资产的估值因素以及市场趋势的分析和判断，并通过量化模型确定大类资产的配置比例范围。</w:t>
      </w:r>
    </w:p>
    <w:p w14:paraId="72D982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有效分散和降低投资组合的整体风险，在不影响组合收益的情况下降低波动率或者增加组合收益为正的可能性，本基金对于资产类别的选择亦会根据对市场趋势的研判适时考虑投资具有以下特点的特殊资产，即与全球主要证券市场的股票的相关性较低的产业或资产，如房地产基金（REITS）和能源、资源类商品期货基金等。</w:t>
      </w:r>
    </w:p>
    <w:p w14:paraId="1D7D09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2、资产的国家/地区配置</w:t>
      </w:r>
    </w:p>
    <w:p w14:paraId="60DEC7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全球经济以及区域化经济发展、不同国家或地区经济体的宏观经济变化和经济增长情况，以及各证券市场的表现和全球资本的流动情况，本基金将挑选一些特定国家或地区的股票或基金作为重点投资对象，增加相应目标市场在资产组合中的配置比例，包括的目标市场有：香港市场、欧洲市场、美国市场、新兴市场等。其中，本基金投资于香港证券市场公开发行上市的股票占基金资产的比例为10%-50%；投资于全球其他证券市场的股票和基金占基金资产的比例为40%-70%。在基金实际管理过程中，管理人将借鉴施罗德集团的全球资产配置模型，根据各地区宏观经济情况和证券市场的变化，对上述重点投资的目标市场适时进行阶段性调整，实现资产在国家或地区间的有效配置，构建具备持续增长潜力的资产组合。</w:t>
      </w:r>
    </w:p>
    <w:p w14:paraId="5D9868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3、股票及公募基金的选择</w:t>
      </w:r>
    </w:p>
    <w:p w14:paraId="3AFAFD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本基金在确定国家配置比例的基础上，将根据目标证券市场的特点选择品质优</w:t>
      </w:r>
      <w:r>
        <w:rPr>
          <w:rFonts w:ascii="宋体" w:hAnsi="宋体"/>
          <w:sz w:val="24"/>
        </w:rPr>
        <w:lastRenderedPageBreak/>
        <w:t>良、估值合理的上市公司股票，或业绩优良、符合本基金组合投资需求的基金进行投资。</w:t>
      </w:r>
    </w:p>
    <w:p w14:paraId="49CEED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（1）股票的选择</w:t>
      </w:r>
    </w:p>
    <w:p w14:paraId="2285BE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本基金管理人将综合运用交银施罗德的股票研究分析方法和其它投资分析工具，自下而上精选品质优良、具备持续竞争优势、定价合理的上市公司股票进行投资。</w:t>
      </w:r>
    </w:p>
    <w:p w14:paraId="7FE9CC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利用施罗德集团的全球投资研究网络和分析方法，本基金管理人将本土专业化研究和全球视角审视相结合，采取“二维矩阵”方法来保证选股安全和质量，构建高质量的投资组合。具体分以下三个层次进行：</w:t>
      </w:r>
    </w:p>
    <w:p w14:paraId="475C02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1）本土研究和全球视角相结合的品质筛选</w:t>
      </w:r>
    </w:p>
    <w:p w14:paraId="2FE048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市公司股票的品质筛选分为两个步骤进行，首先是基于本土研究的品质筛选。通过各个市场本土分析师的定量的筛选技术以及定性的分析研究，挑选出规模适合、流动性充足和财务状况良好的上市公司。然后对上述通过初选的上市公司股票进行进一步深入的研究分析，根据每一家上市公司在其当地市场的表现，分1-4级进行评级。筛选和评级主要考察的因素和指标包括：</w:t>
      </w:r>
    </w:p>
    <w:p w14:paraId="4A3C99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①规模和流动性：如市值和换手率等，对于规模过小或流动性差的股票进行剔除；</w:t>
      </w:r>
    </w:p>
    <w:p w14:paraId="11D3A0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②盈利能力：如P/E、P/Cash Flow、P/FCF、P/S、P/EBIT等；</w:t>
      </w:r>
    </w:p>
    <w:p w14:paraId="7EAE3A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③经营效率：如ROE、ROA、Return on operating assets等；</w:t>
      </w:r>
    </w:p>
    <w:p w14:paraId="7D12AE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④财务状况：如D/A、流动比率等。</w:t>
      </w:r>
    </w:p>
    <w:p w14:paraId="50C310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于本土研究的品质筛选后，利用施罗德集团的全球投资研究网络，由全球行业研究专家在其覆盖的行业研究领域内，针对上一步骤中评级为1级和2级的上市公司进行二次筛选。与上一步骤本土研究中关注当地市场环境不同，这一步骤主要对于上市公司相对于全球行业动态增长的相对表现进行评估，挑选行业中最具增长潜力的上市公司。</w:t>
      </w:r>
    </w:p>
    <w:p w14:paraId="666E94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2）公司质量评价</w:t>
      </w:r>
    </w:p>
    <w:p w14:paraId="3B4576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上市公司直接接触和实地调研，了解并评估公司治理结构、公司战略、所处行业的竞争动力、公司的财务特点，以决定股票的合理估值中应该考虑的折价或溢价水平。在调研基础上，分析员依据公司成长性、盈利能力可预见性、盈利质量、管理层素质、流通股东受关注程度等五大质量排名标准给每个目标公司进行评</w:t>
      </w:r>
      <w:r>
        <w:rPr>
          <w:rFonts w:ascii="宋体" w:hAnsi="宋体"/>
          <w:sz w:val="24"/>
        </w:rPr>
        <w:lastRenderedPageBreak/>
        <w:t>分，挑选出具有持续的竞争优势、良好的中期成长性，以及优良的管理质量和财务状况的上市公司。</w:t>
      </w:r>
    </w:p>
    <w:p w14:paraId="72EF77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14:paraId="67B60B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在质量评估的基础上，根据上市公司所处的不同行业特点，综合运用多元化的股票估值指标，对股票进行合理估值，并评定投资级别。在明确的价值评估基础上选择定价合理或价值被低估的投资标的。</w:t>
      </w:r>
    </w:p>
    <w:p w14:paraId="4DECC3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（2）基金的选择</w:t>
      </w:r>
    </w:p>
    <w:p w14:paraId="0F2052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根据本基金的投资组合策略确定拟投资的地区或类别，通过定性与定量相结合的分析，寻找在投资目标、投资策略及风险和收益等方面符合本基金组合投资需求的基金。</w:t>
      </w:r>
    </w:p>
    <w:p w14:paraId="65FCBB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对基金的考察主要包括以下几个方面：</w:t>
      </w:r>
    </w:p>
    <w:p w14:paraId="2BB97C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①基金管理人所管理基金的长期历史业绩良好，主要管理人员相对稳定，其中，对于基金业绩的衡量包括对于收益、风险以及风险和收益的配比等多方面的考察；</w:t>
      </w:r>
    </w:p>
    <w:p w14:paraId="05E8FB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②基金管理人的财务状况稳健，具有严格的风险控制体系；</w:t>
      </w:r>
    </w:p>
    <w:p w14:paraId="560583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③基金的投资风格和业绩表现具有可持续性。</w:t>
      </w:r>
    </w:p>
    <w:p w14:paraId="2CA571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14:paraId="621261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（1）债券投资策略</w:t>
      </w:r>
    </w:p>
    <w:p w14:paraId="762CC7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全球宏观经济运行趋势及其引致不同国家或地区的财政货币政策变化作出判断，运用数量化工具，对不同国家及地区未来市场利率趋势及市场信用环境变化作出预测，并综合考虑利率变化对债券品种的影响、收益率水平、信用风险的大小、流动性的好坏等因素，构造债券组合。</w:t>
      </w:r>
    </w:p>
    <w:p w14:paraId="2EF720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主要的债券投资策略是：久期调整策略、收益率曲线策略、债券类属配置策略、骑乘策略、相对价值策略、信用利差策略、回购放大策略以及资产支持证券投资策略等。具体如下：</w:t>
      </w:r>
    </w:p>
    <w:p w14:paraId="599B71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久期调整策略</w:t>
      </w:r>
    </w:p>
    <w:p w14:paraId="3B70BD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本基金将根据对利率水平的预期，在预期利率下降时，增加组合久期，以较多地获得债券价格上升带来的收益，在预期利率上升时，减小组合久期，以规避债券价格下降的风险。</w:t>
      </w:r>
    </w:p>
    <w:p w14:paraId="6F2268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收益率曲线策略</w:t>
      </w:r>
    </w:p>
    <w:p w14:paraId="1615E5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在久期确定的基础上，根据对收益率曲线形状变化的预测，采用子弹型策略、哑铃型策略或梯形策略，在长期、中期和短期债券间进行配置，以从长、中、短期债券的相对价格变化中获利。</w:t>
      </w:r>
    </w:p>
    <w:p w14:paraId="611ACB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债券类属配置策略</w:t>
      </w:r>
    </w:p>
    <w:p w14:paraId="5BF3C5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根据国债、金融债、企业债等不同债券板块之间的相对投资价值分析，增持价值被相对低估的债券板块，减持价值被相对高估的债券板块，借以取得较高收益。</w:t>
      </w:r>
    </w:p>
    <w:p w14:paraId="31F10B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骑乘策略</w:t>
      </w:r>
    </w:p>
    <w:p w14:paraId="075E83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分析收益率曲线各期限段的利差情况(通常是收益率曲线短端的1-3年)，买入收益率曲线最陡峭处所对应的期限债券，随着基金持有债券时间的延长，债券的剩余期限将缩短，到期收益率将下降，基金从而可获得资本利得收入。</w:t>
      </w:r>
    </w:p>
    <w:p w14:paraId="4FDFF3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相对价值策略</w:t>
      </w:r>
    </w:p>
    <w:p w14:paraId="5D9D5B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对价值策略包括研究国债与金融债之间的信用利差、交易所与银行间的市场利差等。金融债与国债的利差由税收因素形成，利差的大小主要受市场资金供给充裕程度决定，资金供给越充分上述利差将越小。交易所与银行间的联动性随着市场改革势必渐渐加强，两市之间的利差能够提供一些增值机会。</w:t>
      </w:r>
    </w:p>
    <w:p w14:paraId="78BDFC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 信用利差策略</w:t>
      </w:r>
    </w:p>
    <w:p w14:paraId="2B82CF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企业债与国债的利差曲线理论上受经济波动与企业生命周期影响，相同资信等级的公司债在利差期限结构上服从凸性回归均衡的规律。内外部评级的差别与信用等级的变动会造成相对利差的波动，另外在经济上升或下降的周期中企业债利差将缩小或扩大。管理人可以通过对内外部评级、利差曲线研究和经济周期的判断主动采用相对利差投资策略。</w:t>
      </w:r>
    </w:p>
    <w:p w14:paraId="544C5C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 回购放大策略</w:t>
      </w:r>
    </w:p>
    <w:p w14:paraId="1087DC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策略在资金相对充裕的情况下是风险很低的投资策略。即在基础组合的基础上，使用基础组合持有的债券进行回购放大融入短期资金滚动操作，同时选择2年以下的交易所和银行间品种进行投资以获取骑乘及短期债券与货币市场利率的利差。</w:t>
      </w:r>
    </w:p>
    <w:p w14:paraId="471678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 资产支持证券投资策略</w:t>
      </w:r>
    </w:p>
    <w:p w14:paraId="4413CB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资产抵押贷款支持证券(ABS)、住房抵押贷款支持证券(MBS)等资产支持证券，其定价受多种因素影响，包括市场利率、发行条款、支持资产的构成及质量、提前偿还率等。本基金将深入分析上述基本面因素，并辅助采用蒙特卡洛方法等数</w:t>
      </w:r>
      <w:r>
        <w:rPr>
          <w:rFonts w:ascii="宋体" w:hAnsi="宋体"/>
          <w:sz w:val="24"/>
        </w:rPr>
        <w:lastRenderedPageBreak/>
        <w:t>量化定价模型，评估其内在价值。</w:t>
      </w:r>
    </w:p>
    <w:p w14:paraId="46746B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（2）债券投资组合构建流程</w:t>
      </w:r>
    </w:p>
    <w:p w14:paraId="7B59D0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固定收益分析师在全球经济框架下，及时根据宏观经济运行、货币政策及财政政策导向做出分析判断，并预测未来市场利率的变化情况。在此基础上，结合使用债券信用评级体系，对影响债券收益率的各种因素进行详尽的跟踪分析，决定债券组合的久期以及债券组合的期限结构配置，完成债券的类属配置和个券精选，构建债券投资组合。</w:t>
      </w:r>
    </w:p>
    <w:p w14:paraId="3FA09D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5、金融衍生品投资</w:t>
      </w:r>
    </w:p>
    <w:p w14:paraId="0FCA4A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金融衍生品仅限于投资组合避险和有效管理。如通过选择恰当的金融衍生品降低因市场风险大幅增加给投资组合带来的不利影响；利用金融衍生品交易成本低、流动性好等特点，有效帮助投资组合及时调整仓位，提高投资组合的运作效率等。</w:t>
      </w:r>
    </w:p>
    <w:p w14:paraId="5E9138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6、制定阶段性投资策略</w:t>
      </w:r>
    </w:p>
    <w:p w14:paraId="042D85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基金管理人将根据各地区宏观经济情况和证券市场的阶段性变化，确定阶段性的投资策略，包括资产在类别以及地区间的配置比例。</w:t>
      </w:r>
    </w:p>
    <w:p w14:paraId="6162E2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在符合有关法律法规规定的前提下，本基金还可通过证券借贷交易和回购交易等投资增加收益。未来，随着全球证券市场投资工具的发展和丰富，基金可相应调整和更新相关投资策略，并在更新招募说明书中公告。</w:t>
      </w:r>
    </w:p>
    <w:p w14:paraId="29A204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（七）投资决策依据及流程</w:t>
      </w:r>
    </w:p>
    <w:p w14:paraId="478E66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14:paraId="3CFD8E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14:paraId="66497D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14:paraId="2C702E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(2)全球宏观经济和各区域经济体发展态势、各国证券市场运行环境和走势，以及上市公司的基本面，本基金将在对宏观经济和上市公司的基本面进行深入研究的基础上进行投资；</w:t>
      </w:r>
    </w:p>
    <w:p w14:paraId="66AA7E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(3)投资对象的预期收益和预期风险的匹配关系，本基金将在承担适度风险的范围内，选择收益风险配比最佳的品种进行投资。</w:t>
      </w:r>
    </w:p>
    <w:p w14:paraId="35C0F2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2、投资流程</w:t>
      </w:r>
    </w:p>
    <w:p w14:paraId="461621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本基金采用投资决策委员会领导下的基金经理负责制。投资决策委员会定期就</w:t>
      </w:r>
      <w:r>
        <w:rPr>
          <w:rFonts w:ascii="宋体" w:hAnsi="宋体"/>
          <w:sz w:val="24"/>
        </w:rPr>
        <w:lastRenderedPageBreak/>
        <w:t>投资管理业务的重大问题进行讨论。基金经理、分析师、交易员在投资管理过程中既密切合作，又责任明确，在各自职责内按照业务程序独立工作并合理地相互制衡。具体的投资决策程序如下：</w:t>
      </w:r>
    </w:p>
    <w:p w14:paraId="59FEBE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研究将境外投资顾问的全球投资研究平台以及公司自身的投资研究平台相结合，由全球投资专家密切配合当地股票分析师的研究,对全球宏观经济和各区域经济体发展态势、各国证券市场运行环境和走势，以及上市公司的基本面进行分析，形成宏观经济、行业以及个股的投资分析报告，为投资策略提供依据；</w:t>
      </w:r>
    </w:p>
    <w:p w14:paraId="1CE3BD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投资决策委员会每月召开投资策略会议，决定基金的资产配置策略，包括在资产类别和区域间的配置比例。基金管理人可与境外投资顾问定期或不定期地举行会议，就全球宏观经济形势、各资产类别的市场表现以及各国资本市场的发展态势况等方面进行交流，境外投资顾问定期向基金管理人提供资产配置策略分析报告及相关建议；</w:t>
      </w:r>
    </w:p>
    <w:p w14:paraId="67F7BA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构建具体的投资组合；</w:t>
      </w:r>
    </w:p>
    <w:p w14:paraId="25C9EDD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(4)基金经理根据基金投资组合方案，下达交易指令，投资交易指令通过选定的交易券商的全球交易平台执行；</w:t>
      </w:r>
    </w:p>
    <w:p w14:paraId="4EB4F9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对基金的风险与绩效进行评估。根据事先约定,境外投资顾问向基金管理人提供有关基金组合的各种风险与绩效评估报告，基金管理人可根据上述报告对业绩贡献的构成、基金的投资策略以及执行情况进行评价，从而为资产配置和组合调整提供依据；</w:t>
      </w:r>
    </w:p>
    <w:p w14:paraId="0FD026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(6)基金管理人与境外投资顾问成立联合风险管理小组，根据中国证监会和境外相关市场的监管要求，建立相应的风险管理体系，实施有效的风险管理。</w:t>
      </w:r>
    </w:p>
    <w:p w14:paraId="3F7420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基金管理人可根据市场变化和实际情况的需要，对上述投资管理程序作出调整。如果更换或撤销境外投资顾问，本基金将在遵循上述投资策略的前提下，对其投资决策程序进行适当调整。</w:t>
      </w:r>
    </w:p>
    <w:p w14:paraId="651987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14:paraId="1F6DF9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14:paraId="5909A2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本基金在投资策略上兼顾投资原则以及开放式基金的固有特点，通过分散投资降低基金财产的非系统性风险，保持基金组合良好的流动性。基金的投资组合将遵循以下限制：</w:t>
      </w:r>
    </w:p>
    <w:p w14:paraId="61AEE4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本基金持有同一家银行的存款不得超过基金净值的20%。银行应当是中资商业银行在境外设立的分行或在最近一个会计年度达到中国证监会认可的信用评级机构评级的境外银行，但在基金托管账户的存款不受此限制。</w:t>
      </w:r>
    </w:p>
    <w:p w14:paraId="0D6DC4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本基金持有同一机构(政府、国际金融组织除外)发行的证券市值不得超过基金净值的10%。</w:t>
      </w:r>
    </w:p>
    <w:p w14:paraId="47255B1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14:paraId="7F23C2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(4)基金管理人管理的全部基金不得持有同一机构10%以上具有投票权的证券发行总量。</w:t>
      </w:r>
    </w:p>
    <w:p w14:paraId="19DAC7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前项投资比例限制应当合并计算同一机构境内外上市的总股本，同时应当一并计算全球存托凭证和美国存托凭证所代表的基础证券，并假设对持有的股本权证行使转换。</w:t>
      </w:r>
    </w:p>
    <w:p w14:paraId="791302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本基金持有非流动性资产市值不得超过基金净值的10%。</w:t>
      </w:r>
    </w:p>
    <w:p w14:paraId="6956E5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前项非流动性资产是指法律或基金合同规定的流通受限证券以及中国证监会认定的其他资产。</w:t>
      </w:r>
    </w:p>
    <w:p w14:paraId="45A38B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本基金持有境外基金的市值合计不得超过基金净值的10%，持有货币市场基金可以不受上述限制。</w:t>
      </w:r>
    </w:p>
    <w:p w14:paraId="2E3338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基金管理人管理的全部基金持有任何一只境外基金，不得超过该境外基金总份额的20%。</w:t>
      </w:r>
    </w:p>
    <w:p w14:paraId="7E06BF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为应付赎回、交易清算等临时用途，借入现金的比例不得超过基金资产净值的10%。</w:t>
      </w:r>
    </w:p>
    <w:p w14:paraId="63F5F7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E34D8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本基金与私募类证券资管产品及中国证监会认定的其他主体为交易对手</w:t>
      </w:r>
      <w:r>
        <w:rPr>
          <w:rFonts w:ascii="宋体" w:hAnsi="宋体"/>
          <w:sz w:val="24"/>
        </w:rPr>
        <w:lastRenderedPageBreak/>
        <w:t>开展逆回购交易的，可接受质押品的资质要求应当与基金合同约定的投资范围保持一致。</w:t>
      </w:r>
    </w:p>
    <w:p w14:paraId="7C6DEF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法律法规和基金合同规定的其他限制。</w:t>
      </w:r>
    </w:p>
    <w:p w14:paraId="208C3F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除上述第(9)、(10)项外，若基金超过上述投资比例限制，应当在超过比例后30个工作日内采用合理的商业措施减仓以符合投资比例限制要求。</w:t>
      </w:r>
    </w:p>
    <w:p w14:paraId="3F5BCA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14:paraId="3F75CA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14:paraId="24E39D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除中国证监会另有规定外，基金不得有下列行为：</w:t>
      </w:r>
    </w:p>
    <w:p w14:paraId="4B20F2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购买不动产。</w:t>
      </w:r>
    </w:p>
    <w:p w14:paraId="4A0070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购买房地产抵押按揭。</w:t>
      </w:r>
    </w:p>
    <w:p w14:paraId="0DD953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购买贵重金属或代表贵重金属的凭证。</w:t>
      </w:r>
    </w:p>
    <w:p w14:paraId="656A64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购买实物商品。</w:t>
      </w:r>
    </w:p>
    <w:p w14:paraId="3DAE30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除应付赎回、交易清算等临时用途以外，借入现金。</w:t>
      </w:r>
    </w:p>
    <w:p w14:paraId="5E88D5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利用融资购买证券，但投资金融衍生品除外。</w:t>
      </w:r>
    </w:p>
    <w:p w14:paraId="426819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参与未持有基础资产的卖空交易。</w:t>
      </w:r>
    </w:p>
    <w:p w14:paraId="2E9927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从事证券承销业务。</w:t>
      </w:r>
    </w:p>
    <w:p w14:paraId="447E3D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不得购买证券用于控制或影响发行该证券的机构或其管理层。</w:t>
      </w:r>
    </w:p>
    <w:p w14:paraId="3A0594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中国证监会禁止的其他行为。</w:t>
      </w:r>
    </w:p>
    <w:p w14:paraId="03291D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基金管理人和境外投资顾问不得有下列行为：</w:t>
      </w:r>
    </w:p>
    <w:p w14:paraId="5B6E47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不公平对待不同客户或不同投资组合。</w:t>
      </w:r>
    </w:p>
    <w:p w14:paraId="30C8EF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除法律法规规定以外，向任何第三方泄露客户资料。</w:t>
      </w:r>
    </w:p>
    <w:p w14:paraId="279964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中国证监会禁止的其他行为。</w:t>
      </w:r>
    </w:p>
    <w:p w14:paraId="42BE1C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3、金融衍生品投资</w:t>
      </w:r>
    </w:p>
    <w:p w14:paraId="126A04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本基金投资衍生品应当仅限于投资组合避险或有效管理，不得用于投机或放大交易，同时应当严格遵守下列规定：</w:t>
      </w:r>
    </w:p>
    <w:p w14:paraId="083D60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本基金的金融衍生品全部敞口不得高于基金资产净值的100%。</w:t>
      </w:r>
    </w:p>
    <w:p w14:paraId="35A723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本基金投资期货支付的初始保证金、投资期权支付或收取的期权费、投资</w:t>
      </w:r>
      <w:r>
        <w:rPr>
          <w:rFonts w:ascii="宋体" w:hAnsi="宋体"/>
          <w:sz w:val="24"/>
        </w:rPr>
        <w:lastRenderedPageBreak/>
        <w:t>柜台交易衍生品支付的初始费用的总额不得高于基金资产净值的10%。</w:t>
      </w:r>
    </w:p>
    <w:p w14:paraId="68167D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本基金投资于远期合约、互换等柜台交易金融衍生品，应当符合以下要求：</w:t>
      </w:r>
    </w:p>
    <w:p w14:paraId="41E77F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所有参与交易的对手方（中资商业银行除外）应当具有不低于中国证监会认可的信用评级机构评级。</w:t>
      </w:r>
    </w:p>
    <w:p w14:paraId="690686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交易对手方应当至少每个工作日对交易进行估值，并且基金可在任何时候以公允价值终止交易。</w:t>
      </w:r>
    </w:p>
    <w:p w14:paraId="3A604D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任一交易对手方的市值计价敞口不得超过基金资产净值的20%。</w:t>
      </w:r>
    </w:p>
    <w:p w14:paraId="1B7CC2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基金管理人应当在本基金会计年度结束后60个工作日内向中国证监会提交包括衍生品头寸及风险分析年度报告。</w:t>
      </w:r>
    </w:p>
    <w:p w14:paraId="1C3FD4C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(5)本基金不得直接投资与实物商品相关的衍生品。</w:t>
      </w:r>
    </w:p>
    <w:p w14:paraId="57D32D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4、本基金可以参与证券借贷交易，并且应当遵守下列规定：</w:t>
      </w:r>
    </w:p>
    <w:p w14:paraId="5B7682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所有参与交易的对手方（中资商业银行除外）应当具有中国证监会认可的信用评级机构评级。</w:t>
      </w:r>
    </w:p>
    <w:p w14:paraId="6C71E3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应当采取市值计价制度进行调整以确保担保物市值不低于已借出证券市值的102%。</w:t>
      </w:r>
    </w:p>
    <w:p w14:paraId="6825CE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14:paraId="0D6F0B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除中国证监会另有规定外，担保物可以是以下金融工具或品种：</w:t>
      </w:r>
    </w:p>
    <w:p w14:paraId="7829EC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现金；</w:t>
      </w:r>
    </w:p>
    <w:p w14:paraId="7B5FDD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2）存款证明；</w:t>
      </w:r>
    </w:p>
    <w:p w14:paraId="27B5D2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3）商业票据；</w:t>
      </w:r>
    </w:p>
    <w:p w14:paraId="054660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4）政府债券；</w:t>
      </w:r>
    </w:p>
    <w:p w14:paraId="77F218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5）中资商业银行或由不低于中国证监会认可的信用评级机构评级的境外金融机构（作为交易对手方或其关联方的除外）出具的不可撤销信用证。</w:t>
      </w:r>
    </w:p>
    <w:p w14:paraId="1D90771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本基金有权在任何时候终止证券借贷交易并在正常市场惯例的合理期限内要求归还任一或所有已借出的证券。</w:t>
      </w:r>
    </w:p>
    <w:p w14:paraId="4A36AB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基金管理人应当对基金参与证券借贷交易中发生的任何损失负相应责任。</w:t>
      </w:r>
    </w:p>
    <w:p w14:paraId="2E4F62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(7)本基金参与证券借贷交易，所有已借出而未归还证券总市值不得超过基金</w:t>
      </w:r>
      <w:r>
        <w:rPr>
          <w:rFonts w:ascii="宋体" w:hAnsi="宋体"/>
          <w:sz w:val="24"/>
        </w:rPr>
        <w:lastRenderedPageBreak/>
        <w:t>总资产的50%。</w:t>
      </w:r>
    </w:p>
    <w:p w14:paraId="369523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上述比例限制计算，基金因参与证券借贷交易而持有的担保物不得计入基金总资产。</w:t>
      </w:r>
    </w:p>
    <w:p w14:paraId="127285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5、基金可以根据正常市场惯例参与正回购交易、逆回购交易，并且应当遵守下列规定：</w:t>
      </w:r>
    </w:p>
    <w:p w14:paraId="4E7A72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所有参与正回购交易的对手方（中资商业银行除外）应当具有中国证监会认可的信用评级机构信用评级。</w:t>
      </w:r>
    </w:p>
    <w:p w14:paraId="4A7911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参与正回购交易，应当采取市值计价制度对卖出收益进行调整以确保现金不低于已售出证券市值的102%。一旦买方违约，本基金根据协议和有关法律有权保留或处置卖出收益以满足索赔需要。</w:t>
      </w:r>
    </w:p>
    <w:p w14:paraId="21AC35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买方应当在正回购交易期内及时向本基金支付售出证券产生的所有股息、利息和分红。</w:t>
      </w:r>
    </w:p>
    <w:p w14:paraId="669C5E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参与逆回购交易，应当对购入证券采取市值计价制度进行调整以确保已购入证券市值不低于支付现金的102%。一旦卖方违约，本基金根据协议和有关法律有权保留或处置已购入证券以满足索赔需要。</w:t>
      </w:r>
    </w:p>
    <w:p w14:paraId="17F237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基金管理人应当对基金参与证券正回购交易、逆回购交易中发生的任何损失负相应责任。</w:t>
      </w:r>
    </w:p>
    <w:p w14:paraId="423CE4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(6)基金参与正回购交易，所有已售出而未回购证券总市值均不得超过基金总资产的50%。</w:t>
      </w:r>
    </w:p>
    <w:p w14:paraId="350EC4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上述比例限制计算，基金因参与正回购交易而持有的现金不得计入基金总资产。</w:t>
      </w:r>
    </w:p>
    <w:p w14:paraId="128C7F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中国证监会的相关规定发生修改或变更，致使本款前述1-5项的投资限制和禁止行为被修改或取消的，基金管理人在履行适当程序后，本基金可相应调整投资限制和禁止行为规定，不需经基金份额持有人大会审议。</w:t>
      </w:r>
    </w:p>
    <w:p w14:paraId="330A1B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（九）风险收益特征</w:t>
      </w:r>
    </w:p>
    <w:p w14:paraId="25D8BA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w:t>
      </w:r>
      <w:r>
        <w:rPr>
          <w:rFonts w:ascii="宋体" w:hAnsi="宋体"/>
          <w:sz w:val="24"/>
        </w:rPr>
        <w:lastRenderedPageBreak/>
        <w:t>体风险评级结果应以基金管理人和销售机构提供的评级结果为准。此外，本基金在全球范围内进行投资，除了需要承担国际市场的市场波动风险之外，还面临汇率风险、国别风险、新兴市场风险等海外市场投资所面临的特别投资风险。</w:t>
      </w:r>
    </w:p>
    <w:p w14:paraId="06644C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（十）基金管理人代表基金行使股东及债权人权利的处理原则及方法</w:t>
      </w:r>
    </w:p>
    <w:p w14:paraId="50D85E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14:paraId="17BB0D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14:paraId="7DFD5A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14:paraId="7B7431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14:paraId="33AE70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（十一）代理投票</w:t>
      </w:r>
    </w:p>
    <w:p w14:paraId="46145F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作为基金份额持有人的代理人，行使所投资股票的投票权。基金管理人将本着维护持有人利益的原则，勤勉尽职地代理基金份额持有人行使投票权。在履行代理投票职责过程中，基金管理人可根据操作需要，委托境外投资顾问、境外资产托管人或其他专业机构提供代理投票的建议、协助完成代理投票的程序等。基金管理人应对代理机构的行为进行必要的监督，并承担相应责任。</w:t>
      </w:r>
    </w:p>
    <w:p w14:paraId="16A54E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（十二）证券交易</w:t>
      </w:r>
    </w:p>
    <w:p w14:paraId="5ED281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1、券商的交易执行能力、研究实力和提供的研究服务，这是选择券商以及分配交易量最主要的原则和标准，包括以下几个方面：</w:t>
      </w:r>
    </w:p>
    <w:p w14:paraId="4CB4ED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（1）交易执行能力：主要指券商是否对投资指令进行了有效的执行以及能否取得较高质量的成交结果。衡量交易执行能力的指标主要有：是否完成交易、成交的及时性、成交价格、对市场的影响等；</w:t>
      </w:r>
    </w:p>
    <w:p w14:paraId="540860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（2）研究机构的实力和水平：主要是指券商能否所提供高质量的宏观经济研究、行业研究及市场走向、个股分析报告和专题研究报告，报告内容是否详实，投资建议是否准确；</w:t>
      </w:r>
    </w:p>
    <w:p w14:paraId="6073AA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（3）提供研究服务的质量：主要指券商承接调研课题的态度、协助安排上市公司调研、以及就有关专题提供研究报告和讲座；</w:t>
      </w:r>
    </w:p>
    <w:p w14:paraId="506EE4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（4）股票配售情况：主要指券商在股票配售时提供的服务等。</w:t>
      </w:r>
    </w:p>
    <w:p w14:paraId="4947E5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2、基金管理人根据上述标准对境外券商进行遴选，拟定交易量分仓比例，并每季度进行调整。</w:t>
      </w:r>
    </w:p>
    <w:p w14:paraId="664941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考核内容包括：服务质量、证券推荐的成功率、交易的执行力等因素。</w:t>
      </w:r>
    </w:p>
    <w:p w14:paraId="2371D1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考核采取打分制，打分采取加权平均的办法，主要有以下方面：交易执行能力（30%）、研究能力（30%）、服务质量（25%）和股票配售情况（15%）。</w:t>
      </w:r>
    </w:p>
    <w:p w14:paraId="607AFC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3、对于在券商选择和分仓中存在或潜在的利益冲突，基金管理人应该本着维护持有人的利益出发进行妥善处理，并及时进行披露。</w:t>
      </w:r>
    </w:p>
    <w:p w14:paraId="6932377C" w14:textId="627540C1" w:rsidR="00AE2A54" w:rsidRDefault="002F705F">
      <w:pPr>
        <w:adjustRightInd w:val="0"/>
        <w:snapToGrid w:val="0"/>
        <w:spacing w:line="360" w:lineRule="auto"/>
        <w:ind w:firstLineChars="200" w:firstLine="480"/>
        <w:rPr>
          <w:rFonts w:hAnsi="宋体"/>
          <w:b/>
          <w:sz w:val="24"/>
          <w:szCs w:val="24"/>
        </w:rPr>
      </w:pPr>
      <w:r>
        <w:rPr>
          <w:rFonts w:hAnsi="宋体"/>
          <w:b/>
          <w:sz w:val="24"/>
          <w:szCs w:val="24"/>
        </w:rPr>
        <w:t>（</w:t>
      </w:r>
      <w:r>
        <w:rPr>
          <w:rFonts w:hAnsi="宋体" w:hint="eastAsia"/>
          <w:b/>
          <w:sz w:val="24"/>
          <w:szCs w:val="24"/>
        </w:rPr>
        <w:t>十三</w:t>
      </w:r>
      <w:r>
        <w:rPr>
          <w:rFonts w:hAnsi="宋体"/>
          <w:b/>
          <w:sz w:val="24"/>
          <w:szCs w:val="24"/>
        </w:rPr>
        <w:t>）</w:t>
      </w:r>
      <w:r>
        <w:rPr>
          <w:rFonts w:hAnsi="宋体" w:hint="eastAsia"/>
          <w:b/>
          <w:sz w:val="24"/>
          <w:szCs w:val="24"/>
        </w:rPr>
        <w:t>侧袋机制的实施和投资运作安排</w:t>
      </w:r>
    </w:p>
    <w:p w14:paraId="46878D1A" w14:textId="77777777" w:rsidR="00AE2A54" w:rsidRDefault="002F705F">
      <w:pPr>
        <w:adjustRightInd w:val="0"/>
        <w:snapToGrid w:val="0"/>
        <w:spacing w:line="360" w:lineRule="auto"/>
        <w:ind w:firstLineChars="200" w:firstLine="480"/>
        <w:rPr>
          <w:rFonts w:hAnsi="宋体"/>
          <w:bCs/>
          <w:sz w:val="24"/>
          <w:szCs w:val="24"/>
        </w:rPr>
      </w:pPr>
      <w:r>
        <w:rPr>
          <w:rFonts w:hAnsi="宋体" w:hint="eastAsia"/>
          <w:bCs/>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593CFE5A" w14:textId="77777777" w:rsidR="00AE2A54" w:rsidRDefault="002F705F">
      <w:pPr>
        <w:adjustRightInd w:val="0"/>
        <w:snapToGrid w:val="0"/>
        <w:spacing w:line="360" w:lineRule="auto"/>
        <w:ind w:firstLineChars="200" w:firstLine="480"/>
        <w:rPr>
          <w:rFonts w:hAnsi="宋体"/>
          <w:bCs/>
          <w:sz w:val="24"/>
          <w:szCs w:val="24"/>
        </w:rPr>
      </w:pPr>
      <w:r>
        <w:rPr>
          <w:rFonts w:hAnsi="宋体" w:hint="eastAsia"/>
          <w:bCs/>
          <w:sz w:val="24"/>
          <w:szCs w:val="24"/>
        </w:rPr>
        <w:t>侧袋机制实施期间，本部分约定的投资组合比例、投资策略、组合限制、业绩比较基准、风险收益特征等约定仅适用于主袋账户。</w:t>
      </w:r>
    </w:p>
    <w:p w14:paraId="13F6AFB8" w14:textId="77777777" w:rsidR="00AE2A54" w:rsidRDefault="002F705F">
      <w:pPr>
        <w:adjustRightInd w:val="0"/>
        <w:snapToGrid w:val="0"/>
        <w:spacing w:line="360" w:lineRule="auto"/>
        <w:ind w:firstLineChars="200" w:firstLine="480"/>
        <w:rPr>
          <w:rFonts w:hAnsi="宋体"/>
          <w:bCs/>
          <w:sz w:val="24"/>
          <w:szCs w:val="24"/>
        </w:rPr>
      </w:pPr>
      <w:r>
        <w:rPr>
          <w:rFonts w:hAnsi="宋体" w:hint="eastAsia"/>
          <w:bCs/>
          <w:sz w:val="24"/>
          <w:szCs w:val="24"/>
        </w:rPr>
        <w:t>侧袋账户的实施条件、实施程序、运作安排、投资安排、特定资产的处置变现和支付等对投资者权益有重大影响的事项详见本招募说明书“侧袋</w:t>
      </w:r>
      <w:r>
        <w:rPr>
          <w:rFonts w:hAnsi="宋体"/>
          <w:bCs/>
          <w:sz w:val="24"/>
          <w:szCs w:val="24"/>
        </w:rPr>
        <w:t>机制”</w:t>
      </w:r>
      <w:r>
        <w:rPr>
          <w:rFonts w:hAnsi="宋体" w:hint="eastAsia"/>
          <w:bCs/>
          <w:sz w:val="24"/>
          <w:szCs w:val="24"/>
        </w:rPr>
        <w:t>部分的规定。</w:t>
      </w:r>
    </w:p>
    <w:p w14:paraId="79BFE455" w14:textId="474218A6"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w:t>
      </w:r>
      <w:r>
        <w:rPr>
          <w:rFonts w:ascii="宋体" w:hAnsi="宋体" w:hint="eastAsia"/>
          <w:sz w:val="24"/>
        </w:rPr>
        <w:t>四</w:t>
      </w:r>
      <w:r>
        <w:rPr>
          <w:rFonts w:ascii="宋体" w:hAnsi="宋体"/>
          <w:sz w:val="24"/>
        </w:rPr>
        <w:t>）基金投资组合报告</w:t>
      </w:r>
    </w:p>
    <w:p w14:paraId="51A77D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218486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本基金托管人中国建设银行根据本基金合同规定，于2025年04月18日复核了本报告中的财务指标、净值表现和投资组合报告等内容，保证复核内容不存在虚假记载、误导性陈述或者重大遗漏。</w:t>
      </w:r>
    </w:p>
    <w:p w14:paraId="741F77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本报告期为2025年01月01日起至03月31日。本报告财务资料未经审计师审计。</w:t>
      </w:r>
    </w:p>
    <w:p w14:paraId="7646CD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AE2A54" w14:paraId="0C0D601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1551197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6349EF4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266D278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44910F8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E2A54" w14:paraId="63B8C5B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82C5F7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5956736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14:paraId="6495177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346,636,291.69</w:t>
            </w:r>
          </w:p>
        </w:tc>
        <w:tc>
          <w:tcPr>
            <w:tcW w:w="400" w:type="pct"/>
            <w:tcBorders>
              <w:top w:val="single" w:sz="4" w:space="0" w:color="auto"/>
              <w:left w:val="single" w:sz="4" w:space="0" w:color="auto"/>
              <w:bottom w:val="single" w:sz="4" w:space="0" w:color="auto"/>
              <w:right w:val="single" w:sz="4" w:space="0" w:color="auto"/>
            </w:tcBorders>
            <w:vAlign w:val="center"/>
          </w:tcPr>
          <w:p w14:paraId="46B3330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83.39</w:t>
            </w:r>
          </w:p>
        </w:tc>
      </w:tr>
      <w:tr w:rsidR="00AE2A54" w14:paraId="28F95F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284FBB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02B9118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其中：普通股</w:t>
            </w:r>
          </w:p>
        </w:tc>
        <w:tc>
          <w:tcPr>
            <w:tcW w:w="750" w:type="pct"/>
            <w:tcBorders>
              <w:top w:val="single" w:sz="4" w:space="0" w:color="auto"/>
              <w:left w:val="single" w:sz="4" w:space="0" w:color="auto"/>
              <w:bottom w:val="single" w:sz="4" w:space="0" w:color="auto"/>
              <w:right w:val="single" w:sz="4" w:space="0" w:color="auto"/>
            </w:tcBorders>
            <w:vAlign w:val="center"/>
          </w:tcPr>
          <w:p w14:paraId="10E1C8B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346,636,291.69</w:t>
            </w:r>
          </w:p>
        </w:tc>
        <w:tc>
          <w:tcPr>
            <w:tcW w:w="400" w:type="pct"/>
            <w:tcBorders>
              <w:top w:val="single" w:sz="4" w:space="0" w:color="auto"/>
              <w:left w:val="single" w:sz="4" w:space="0" w:color="auto"/>
              <w:bottom w:val="single" w:sz="4" w:space="0" w:color="auto"/>
              <w:right w:val="single" w:sz="4" w:space="0" w:color="auto"/>
            </w:tcBorders>
            <w:vAlign w:val="center"/>
          </w:tcPr>
          <w:p w14:paraId="40DE3DE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83.39</w:t>
            </w:r>
          </w:p>
        </w:tc>
      </w:tr>
      <w:tr w:rsidR="00AE2A54" w14:paraId="69E5C70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1C2F57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2F4EA6F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优先股</w:t>
            </w:r>
          </w:p>
        </w:tc>
        <w:tc>
          <w:tcPr>
            <w:tcW w:w="750" w:type="pct"/>
            <w:tcBorders>
              <w:top w:val="single" w:sz="4" w:space="0" w:color="auto"/>
              <w:left w:val="single" w:sz="4" w:space="0" w:color="auto"/>
              <w:bottom w:val="single" w:sz="4" w:space="0" w:color="auto"/>
              <w:right w:val="single" w:sz="4" w:space="0" w:color="auto"/>
            </w:tcBorders>
            <w:vAlign w:val="center"/>
          </w:tcPr>
          <w:p w14:paraId="77687DC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7EADBAD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4D699BA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F10902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2976649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存托凭证</w:t>
            </w:r>
          </w:p>
        </w:tc>
        <w:tc>
          <w:tcPr>
            <w:tcW w:w="750" w:type="pct"/>
            <w:tcBorders>
              <w:top w:val="single" w:sz="4" w:space="0" w:color="auto"/>
              <w:left w:val="single" w:sz="4" w:space="0" w:color="auto"/>
              <w:bottom w:val="single" w:sz="4" w:space="0" w:color="auto"/>
              <w:right w:val="single" w:sz="4" w:space="0" w:color="auto"/>
            </w:tcBorders>
            <w:vAlign w:val="center"/>
          </w:tcPr>
          <w:p w14:paraId="3DFD881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425B8E2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69DCC28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784361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561B2E6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房地产信托凭证</w:t>
            </w:r>
          </w:p>
        </w:tc>
        <w:tc>
          <w:tcPr>
            <w:tcW w:w="750" w:type="pct"/>
            <w:tcBorders>
              <w:top w:val="single" w:sz="4" w:space="0" w:color="auto"/>
              <w:left w:val="single" w:sz="4" w:space="0" w:color="auto"/>
              <w:bottom w:val="single" w:sz="4" w:space="0" w:color="auto"/>
              <w:right w:val="single" w:sz="4" w:space="0" w:color="auto"/>
            </w:tcBorders>
            <w:vAlign w:val="center"/>
          </w:tcPr>
          <w:p w14:paraId="6BD0D5E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45ABC62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6799FF7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51F3CA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2A67F3A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14:paraId="70FAD44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1ADE79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3A1A566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9EB5FB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75C49CC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14:paraId="12BEF38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42906FB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2B98BA9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F71C3F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6A7717E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14:paraId="75DC852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27EC342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6A740EC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D3C171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254DAE9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14:paraId="302F67F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25B34BE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2DA4F1D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1688A3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228A4AB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14:paraId="2E617BA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CD11F2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5156475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BDDF50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7D0D20E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其中：远期</w:t>
            </w:r>
          </w:p>
        </w:tc>
        <w:tc>
          <w:tcPr>
            <w:tcW w:w="750" w:type="pct"/>
            <w:tcBorders>
              <w:top w:val="single" w:sz="4" w:space="0" w:color="auto"/>
              <w:left w:val="single" w:sz="4" w:space="0" w:color="auto"/>
              <w:bottom w:val="single" w:sz="4" w:space="0" w:color="auto"/>
              <w:right w:val="single" w:sz="4" w:space="0" w:color="auto"/>
            </w:tcBorders>
            <w:vAlign w:val="center"/>
          </w:tcPr>
          <w:p w14:paraId="7BB3E2DB"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3F12DA8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369187B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5FB5CF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472B89A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期货</w:t>
            </w:r>
          </w:p>
        </w:tc>
        <w:tc>
          <w:tcPr>
            <w:tcW w:w="750" w:type="pct"/>
            <w:tcBorders>
              <w:top w:val="single" w:sz="4" w:space="0" w:color="auto"/>
              <w:left w:val="single" w:sz="4" w:space="0" w:color="auto"/>
              <w:bottom w:val="single" w:sz="4" w:space="0" w:color="auto"/>
              <w:right w:val="single" w:sz="4" w:space="0" w:color="auto"/>
            </w:tcBorders>
            <w:vAlign w:val="center"/>
          </w:tcPr>
          <w:p w14:paraId="6C4D0F4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351074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098F2C4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810253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6E6F74A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期权</w:t>
            </w:r>
          </w:p>
        </w:tc>
        <w:tc>
          <w:tcPr>
            <w:tcW w:w="750" w:type="pct"/>
            <w:tcBorders>
              <w:top w:val="single" w:sz="4" w:space="0" w:color="auto"/>
              <w:left w:val="single" w:sz="4" w:space="0" w:color="auto"/>
              <w:bottom w:val="single" w:sz="4" w:space="0" w:color="auto"/>
              <w:right w:val="single" w:sz="4" w:space="0" w:color="auto"/>
            </w:tcBorders>
            <w:vAlign w:val="center"/>
          </w:tcPr>
          <w:p w14:paraId="44DA4EA8"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06085AC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0BAF45B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4A3860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20597E4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权证</w:t>
            </w:r>
          </w:p>
        </w:tc>
        <w:tc>
          <w:tcPr>
            <w:tcW w:w="750" w:type="pct"/>
            <w:tcBorders>
              <w:top w:val="single" w:sz="4" w:space="0" w:color="auto"/>
              <w:left w:val="single" w:sz="4" w:space="0" w:color="auto"/>
              <w:bottom w:val="single" w:sz="4" w:space="0" w:color="auto"/>
              <w:right w:val="single" w:sz="4" w:space="0" w:color="auto"/>
            </w:tcBorders>
            <w:vAlign w:val="center"/>
          </w:tcPr>
          <w:p w14:paraId="244E4B6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6AB0621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3C98F7C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E11B2DA"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6807325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14:paraId="7722B83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0A03532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53BDB32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3663827"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14:paraId="1385061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14:paraId="7148471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7CDD6020"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0A022C7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F8F6917"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2BBF637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14:paraId="68585480"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14:paraId="1FAEA52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76ECDFD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070E1F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559AA46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14:paraId="28A259D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59,934,470.77</w:t>
            </w:r>
          </w:p>
        </w:tc>
        <w:tc>
          <w:tcPr>
            <w:tcW w:w="400" w:type="pct"/>
            <w:tcBorders>
              <w:top w:val="single" w:sz="4" w:space="0" w:color="auto"/>
              <w:left w:val="single" w:sz="4" w:space="0" w:color="auto"/>
              <w:bottom w:val="single" w:sz="4" w:space="0" w:color="auto"/>
              <w:right w:val="single" w:sz="4" w:space="0" w:color="auto"/>
            </w:tcBorders>
            <w:vAlign w:val="center"/>
          </w:tcPr>
          <w:p w14:paraId="775E479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14.42</w:t>
            </w:r>
          </w:p>
        </w:tc>
      </w:tr>
      <w:tr w:rsidR="00AE2A54" w14:paraId="61E89EE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8551F1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74968E4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14:paraId="4EDDC47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9,103,165.48</w:t>
            </w:r>
          </w:p>
        </w:tc>
        <w:tc>
          <w:tcPr>
            <w:tcW w:w="400" w:type="pct"/>
            <w:tcBorders>
              <w:top w:val="single" w:sz="4" w:space="0" w:color="auto"/>
              <w:left w:val="single" w:sz="4" w:space="0" w:color="auto"/>
              <w:bottom w:val="single" w:sz="4" w:space="0" w:color="auto"/>
              <w:right w:val="single" w:sz="4" w:space="0" w:color="auto"/>
            </w:tcBorders>
            <w:vAlign w:val="center"/>
          </w:tcPr>
          <w:p w14:paraId="2CC6CE6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2.19</w:t>
            </w:r>
          </w:p>
        </w:tc>
      </w:tr>
      <w:tr w:rsidR="00AE2A54" w14:paraId="41B8AA6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424F62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090542F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29E7BC8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415,673,927.94</w:t>
            </w:r>
          </w:p>
        </w:tc>
        <w:tc>
          <w:tcPr>
            <w:tcW w:w="400" w:type="pct"/>
            <w:tcBorders>
              <w:top w:val="single" w:sz="4" w:space="0" w:color="auto"/>
              <w:left w:val="single" w:sz="4" w:space="0" w:color="auto"/>
              <w:bottom w:val="single" w:sz="4" w:space="0" w:color="auto"/>
              <w:right w:val="single" w:sz="4" w:space="0" w:color="auto"/>
            </w:tcBorders>
            <w:vAlign w:val="center"/>
          </w:tcPr>
          <w:p w14:paraId="3A39427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646CED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报告期末在各个国家（地区）证券市场的股票及存托凭证投资分布</w:t>
      </w:r>
    </w:p>
    <w:tbl>
      <w:tblPr>
        <w:tblW w:w="5000" w:type="pct"/>
        <w:tblCellMar>
          <w:left w:w="0" w:type="dxa"/>
          <w:right w:w="0" w:type="dxa"/>
        </w:tblCellMar>
        <w:tblLook w:val="04A0" w:firstRow="1" w:lastRow="0" w:firstColumn="1" w:lastColumn="0" w:noHBand="0" w:noVBand="1"/>
      </w:tblPr>
      <w:tblGrid>
        <w:gridCol w:w="1547"/>
        <w:gridCol w:w="4645"/>
        <w:gridCol w:w="2478"/>
      </w:tblGrid>
      <w:tr w:rsidR="00AE2A54" w14:paraId="3C862F6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41D1028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A5B714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71148D8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E2A54" w14:paraId="66D9820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2D4BD6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367333D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173,587,917.72</w:t>
            </w:r>
          </w:p>
        </w:tc>
        <w:tc>
          <w:tcPr>
            <w:tcW w:w="400" w:type="pct"/>
            <w:tcBorders>
              <w:top w:val="single" w:sz="4" w:space="0" w:color="auto"/>
              <w:left w:val="single" w:sz="4" w:space="0" w:color="auto"/>
              <w:bottom w:val="single" w:sz="4" w:space="0" w:color="auto"/>
              <w:right w:val="single" w:sz="4" w:space="0" w:color="auto"/>
            </w:tcBorders>
            <w:vAlign w:val="center"/>
          </w:tcPr>
          <w:p w14:paraId="7C97CE7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41.98</w:t>
            </w:r>
          </w:p>
        </w:tc>
      </w:tr>
      <w:tr w:rsidR="00AE2A54" w14:paraId="7C47AE5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15E20A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14:paraId="5318A0C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120,072,981.76</w:t>
            </w:r>
          </w:p>
        </w:tc>
        <w:tc>
          <w:tcPr>
            <w:tcW w:w="400" w:type="pct"/>
            <w:tcBorders>
              <w:top w:val="single" w:sz="4" w:space="0" w:color="auto"/>
              <w:left w:val="single" w:sz="4" w:space="0" w:color="auto"/>
              <w:bottom w:val="single" w:sz="4" w:space="0" w:color="auto"/>
              <w:right w:val="single" w:sz="4" w:space="0" w:color="auto"/>
            </w:tcBorders>
            <w:vAlign w:val="center"/>
          </w:tcPr>
          <w:p w14:paraId="72DBFB6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29.04</w:t>
            </w:r>
          </w:p>
        </w:tc>
      </w:tr>
      <w:tr w:rsidR="00AE2A54" w14:paraId="402C310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4F78A2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德国</w:t>
            </w:r>
          </w:p>
        </w:tc>
        <w:tc>
          <w:tcPr>
            <w:tcW w:w="750" w:type="pct"/>
            <w:tcBorders>
              <w:top w:val="single" w:sz="4" w:space="0" w:color="auto"/>
              <w:left w:val="single" w:sz="4" w:space="0" w:color="auto"/>
              <w:bottom w:val="single" w:sz="4" w:space="0" w:color="auto"/>
              <w:right w:val="single" w:sz="4" w:space="0" w:color="auto"/>
            </w:tcBorders>
            <w:vAlign w:val="center"/>
          </w:tcPr>
          <w:p w14:paraId="077CF370"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8,991,818.35</w:t>
            </w:r>
          </w:p>
        </w:tc>
        <w:tc>
          <w:tcPr>
            <w:tcW w:w="400" w:type="pct"/>
            <w:tcBorders>
              <w:top w:val="single" w:sz="4" w:space="0" w:color="auto"/>
              <w:left w:val="single" w:sz="4" w:space="0" w:color="auto"/>
              <w:bottom w:val="single" w:sz="4" w:space="0" w:color="auto"/>
              <w:right w:val="single" w:sz="4" w:space="0" w:color="auto"/>
            </w:tcBorders>
            <w:vAlign w:val="center"/>
          </w:tcPr>
          <w:p w14:paraId="5F93B24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rsidR="00AE2A54" w14:paraId="0B288CD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A61B97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英国</w:t>
            </w:r>
          </w:p>
        </w:tc>
        <w:tc>
          <w:tcPr>
            <w:tcW w:w="750" w:type="pct"/>
            <w:tcBorders>
              <w:top w:val="single" w:sz="4" w:space="0" w:color="auto"/>
              <w:left w:val="single" w:sz="4" w:space="0" w:color="auto"/>
              <w:bottom w:val="single" w:sz="4" w:space="0" w:color="auto"/>
              <w:right w:val="single" w:sz="4" w:space="0" w:color="auto"/>
            </w:tcBorders>
            <w:vAlign w:val="center"/>
          </w:tcPr>
          <w:p w14:paraId="12145DC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8,469,834.53</w:t>
            </w:r>
          </w:p>
        </w:tc>
        <w:tc>
          <w:tcPr>
            <w:tcW w:w="400" w:type="pct"/>
            <w:tcBorders>
              <w:top w:val="single" w:sz="4" w:space="0" w:color="auto"/>
              <w:left w:val="single" w:sz="4" w:space="0" w:color="auto"/>
              <w:bottom w:val="single" w:sz="4" w:space="0" w:color="auto"/>
              <w:right w:val="single" w:sz="4" w:space="0" w:color="auto"/>
            </w:tcBorders>
            <w:vAlign w:val="center"/>
          </w:tcPr>
          <w:p w14:paraId="325F400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2.05</w:t>
            </w:r>
          </w:p>
        </w:tc>
      </w:tr>
      <w:tr w:rsidR="00AE2A54" w14:paraId="75AB1C1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DAEBE7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日本</w:t>
            </w:r>
          </w:p>
        </w:tc>
        <w:tc>
          <w:tcPr>
            <w:tcW w:w="750" w:type="pct"/>
            <w:tcBorders>
              <w:top w:val="single" w:sz="4" w:space="0" w:color="auto"/>
              <w:left w:val="single" w:sz="4" w:space="0" w:color="auto"/>
              <w:bottom w:val="single" w:sz="4" w:space="0" w:color="auto"/>
              <w:right w:val="single" w:sz="4" w:space="0" w:color="auto"/>
            </w:tcBorders>
            <w:vAlign w:val="center"/>
          </w:tcPr>
          <w:p w14:paraId="23CE7A5C"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8,232,255.24</w:t>
            </w:r>
          </w:p>
        </w:tc>
        <w:tc>
          <w:tcPr>
            <w:tcW w:w="400" w:type="pct"/>
            <w:tcBorders>
              <w:top w:val="single" w:sz="4" w:space="0" w:color="auto"/>
              <w:left w:val="single" w:sz="4" w:space="0" w:color="auto"/>
              <w:bottom w:val="single" w:sz="4" w:space="0" w:color="auto"/>
              <w:right w:val="single" w:sz="4" w:space="0" w:color="auto"/>
            </w:tcBorders>
            <w:vAlign w:val="center"/>
          </w:tcPr>
          <w:p w14:paraId="4338D0B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AE2A54" w14:paraId="0F15179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062BAD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法国</w:t>
            </w:r>
          </w:p>
        </w:tc>
        <w:tc>
          <w:tcPr>
            <w:tcW w:w="750" w:type="pct"/>
            <w:tcBorders>
              <w:top w:val="single" w:sz="4" w:space="0" w:color="auto"/>
              <w:left w:val="single" w:sz="4" w:space="0" w:color="auto"/>
              <w:bottom w:val="single" w:sz="4" w:space="0" w:color="auto"/>
              <w:right w:val="single" w:sz="4" w:space="0" w:color="auto"/>
            </w:tcBorders>
            <w:vAlign w:val="center"/>
          </w:tcPr>
          <w:p w14:paraId="26A67B0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6,802,314.14</w:t>
            </w:r>
          </w:p>
        </w:tc>
        <w:tc>
          <w:tcPr>
            <w:tcW w:w="400" w:type="pct"/>
            <w:tcBorders>
              <w:top w:val="single" w:sz="4" w:space="0" w:color="auto"/>
              <w:left w:val="single" w:sz="4" w:space="0" w:color="auto"/>
              <w:bottom w:val="single" w:sz="4" w:space="0" w:color="auto"/>
              <w:right w:val="single" w:sz="4" w:space="0" w:color="auto"/>
            </w:tcBorders>
            <w:vAlign w:val="center"/>
          </w:tcPr>
          <w:p w14:paraId="5BCAD33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1.64</w:t>
            </w:r>
          </w:p>
        </w:tc>
      </w:tr>
      <w:tr w:rsidR="00AE2A54" w14:paraId="59C5D68B"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736709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意大利</w:t>
            </w:r>
          </w:p>
        </w:tc>
        <w:tc>
          <w:tcPr>
            <w:tcW w:w="750" w:type="pct"/>
            <w:tcBorders>
              <w:top w:val="single" w:sz="4" w:space="0" w:color="auto"/>
              <w:left w:val="single" w:sz="4" w:space="0" w:color="auto"/>
              <w:bottom w:val="single" w:sz="4" w:space="0" w:color="auto"/>
              <w:right w:val="single" w:sz="4" w:space="0" w:color="auto"/>
            </w:tcBorders>
            <w:vAlign w:val="center"/>
          </w:tcPr>
          <w:p w14:paraId="3E8B2DCC"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6,119,189.27</w:t>
            </w:r>
          </w:p>
        </w:tc>
        <w:tc>
          <w:tcPr>
            <w:tcW w:w="400" w:type="pct"/>
            <w:tcBorders>
              <w:top w:val="single" w:sz="4" w:space="0" w:color="auto"/>
              <w:left w:val="single" w:sz="4" w:space="0" w:color="auto"/>
              <w:bottom w:val="single" w:sz="4" w:space="0" w:color="auto"/>
              <w:right w:val="single" w:sz="4" w:space="0" w:color="auto"/>
            </w:tcBorders>
            <w:vAlign w:val="center"/>
          </w:tcPr>
          <w:p w14:paraId="7C68C120"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1.48</w:t>
            </w:r>
          </w:p>
        </w:tc>
      </w:tr>
      <w:tr w:rsidR="00AE2A54" w14:paraId="2213B9F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5C47E5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西班牙</w:t>
            </w:r>
          </w:p>
        </w:tc>
        <w:tc>
          <w:tcPr>
            <w:tcW w:w="750" w:type="pct"/>
            <w:tcBorders>
              <w:top w:val="single" w:sz="4" w:space="0" w:color="auto"/>
              <w:left w:val="single" w:sz="4" w:space="0" w:color="auto"/>
              <w:bottom w:val="single" w:sz="4" w:space="0" w:color="auto"/>
              <w:right w:val="single" w:sz="4" w:space="0" w:color="auto"/>
            </w:tcBorders>
            <w:vAlign w:val="center"/>
          </w:tcPr>
          <w:p w14:paraId="2E2ED1E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5,882,502.29</w:t>
            </w:r>
          </w:p>
        </w:tc>
        <w:tc>
          <w:tcPr>
            <w:tcW w:w="400" w:type="pct"/>
            <w:tcBorders>
              <w:top w:val="single" w:sz="4" w:space="0" w:color="auto"/>
              <w:left w:val="single" w:sz="4" w:space="0" w:color="auto"/>
              <w:bottom w:val="single" w:sz="4" w:space="0" w:color="auto"/>
              <w:right w:val="single" w:sz="4" w:space="0" w:color="auto"/>
            </w:tcBorders>
            <w:vAlign w:val="center"/>
          </w:tcPr>
          <w:p w14:paraId="55366028"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rsidR="00AE2A54" w14:paraId="102DB80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9D1437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瑞士</w:t>
            </w:r>
          </w:p>
        </w:tc>
        <w:tc>
          <w:tcPr>
            <w:tcW w:w="750" w:type="pct"/>
            <w:tcBorders>
              <w:top w:val="single" w:sz="4" w:space="0" w:color="auto"/>
              <w:left w:val="single" w:sz="4" w:space="0" w:color="auto"/>
              <w:bottom w:val="single" w:sz="4" w:space="0" w:color="auto"/>
              <w:right w:val="single" w:sz="4" w:space="0" w:color="auto"/>
            </w:tcBorders>
            <w:vAlign w:val="center"/>
          </w:tcPr>
          <w:p w14:paraId="1C16222C"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5,602,309.53</w:t>
            </w:r>
          </w:p>
        </w:tc>
        <w:tc>
          <w:tcPr>
            <w:tcW w:w="400" w:type="pct"/>
            <w:tcBorders>
              <w:top w:val="single" w:sz="4" w:space="0" w:color="auto"/>
              <w:left w:val="single" w:sz="4" w:space="0" w:color="auto"/>
              <w:bottom w:val="single" w:sz="4" w:space="0" w:color="auto"/>
              <w:right w:val="single" w:sz="4" w:space="0" w:color="auto"/>
            </w:tcBorders>
            <w:vAlign w:val="center"/>
          </w:tcPr>
          <w:p w14:paraId="1829A1B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rsidR="00AE2A54" w14:paraId="19A7B9E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4F8E5F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荷兰</w:t>
            </w:r>
          </w:p>
        </w:tc>
        <w:tc>
          <w:tcPr>
            <w:tcW w:w="750" w:type="pct"/>
            <w:tcBorders>
              <w:top w:val="single" w:sz="4" w:space="0" w:color="auto"/>
              <w:left w:val="single" w:sz="4" w:space="0" w:color="auto"/>
              <w:bottom w:val="single" w:sz="4" w:space="0" w:color="auto"/>
              <w:right w:val="single" w:sz="4" w:space="0" w:color="auto"/>
            </w:tcBorders>
            <w:vAlign w:val="center"/>
          </w:tcPr>
          <w:p w14:paraId="1B9BFCC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2,875,168.86</w:t>
            </w:r>
          </w:p>
        </w:tc>
        <w:tc>
          <w:tcPr>
            <w:tcW w:w="400" w:type="pct"/>
            <w:tcBorders>
              <w:top w:val="single" w:sz="4" w:space="0" w:color="auto"/>
              <w:left w:val="single" w:sz="4" w:space="0" w:color="auto"/>
              <w:bottom w:val="single" w:sz="4" w:space="0" w:color="auto"/>
              <w:right w:val="single" w:sz="4" w:space="0" w:color="auto"/>
            </w:tcBorders>
            <w:vAlign w:val="center"/>
          </w:tcPr>
          <w:p w14:paraId="4A3CCD9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AE2A54" w14:paraId="2E563F8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294890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275A63E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346,636,291.69</w:t>
            </w:r>
          </w:p>
        </w:tc>
        <w:tc>
          <w:tcPr>
            <w:tcW w:w="400" w:type="pct"/>
            <w:tcBorders>
              <w:top w:val="single" w:sz="4" w:space="0" w:color="auto"/>
              <w:left w:val="single" w:sz="4" w:space="0" w:color="auto"/>
              <w:bottom w:val="single" w:sz="4" w:space="0" w:color="auto"/>
              <w:right w:val="single" w:sz="4" w:space="0" w:color="auto"/>
            </w:tcBorders>
            <w:vAlign w:val="center"/>
          </w:tcPr>
          <w:p w14:paraId="51B881B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83.82</w:t>
            </w:r>
          </w:p>
        </w:tc>
      </w:tr>
    </w:tbl>
    <w:p w14:paraId="3DCFC7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注：1、国家（地区）类别根据其所在的证券交易所确定；　　2、ADR、GDR按照存托凭证本身挂牌的证券交易所确定。</w:t>
      </w:r>
    </w:p>
    <w:p w14:paraId="6735BD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3、报告期末按行业分类的股票及存托凭证投资组合</w:t>
      </w:r>
    </w:p>
    <w:tbl>
      <w:tblPr>
        <w:tblW w:w="5000" w:type="pct"/>
        <w:tblCellMar>
          <w:left w:w="0" w:type="dxa"/>
          <w:right w:w="0" w:type="dxa"/>
        </w:tblCellMar>
        <w:tblLook w:val="04A0" w:firstRow="1" w:lastRow="0" w:firstColumn="1" w:lastColumn="0" w:noHBand="0" w:noVBand="1"/>
      </w:tblPr>
      <w:tblGrid>
        <w:gridCol w:w="1547"/>
        <w:gridCol w:w="4645"/>
        <w:gridCol w:w="2478"/>
      </w:tblGrid>
      <w:tr w:rsidR="00AE2A54" w14:paraId="2EE3251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13B54D4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2D63213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4EFF300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AE2A54" w14:paraId="148F5DC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B137A7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通讯</w:t>
            </w:r>
          </w:p>
        </w:tc>
        <w:tc>
          <w:tcPr>
            <w:tcW w:w="750" w:type="pct"/>
            <w:tcBorders>
              <w:top w:val="single" w:sz="4" w:space="0" w:color="auto"/>
              <w:left w:val="single" w:sz="4" w:space="0" w:color="auto"/>
              <w:bottom w:val="single" w:sz="4" w:space="0" w:color="auto"/>
              <w:right w:val="single" w:sz="4" w:space="0" w:color="auto"/>
            </w:tcBorders>
            <w:vAlign w:val="center"/>
          </w:tcPr>
          <w:p w14:paraId="154DF22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58,536,292.41</w:t>
            </w:r>
          </w:p>
        </w:tc>
        <w:tc>
          <w:tcPr>
            <w:tcW w:w="400" w:type="pct"/>
            <w:tcBorders>
              <w:top w:val="single" w:sz="4" w:space="0" w:color="auto"/>
              <w:left w:val="single" w:sz="4" w:space="0" w:color="auto"/>
              <w:bottom w:val="single" w:sz="4" w:space="0" w:color="auto"/>
              <w:right w:val="single" w:sz="4" w:space="0" w:color="auto"/>
            </w:tcBorders>
            <w:vAlign w:val="center"/>
          </w:tcPr>
          <w:p w14:paraId="6A4FDAF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14.16</w:t>
            </w:r>
          </w:p>
        </w:tc>
      </w:tr>
      <w:tr w:rsidR="00AE2A54" w14:paraId="5A88644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B0CF89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非必需消费品</w:t>
            </w:r>
          </w:p>
        </w:tc>
        <w:tc>
          <w:tcPr>
            <w:tcW w:w="750" w:type="pct"/>
            <w:tcBorders>
              <w:top w:val="single" w:sz="4" w:space="0" w:color="auto"/>
              <w:left w:val="single" w:sz="4" w:space="0" w:color="auto"/>
              <w:bottom w:val="single" w:sz="4" w:space="0" w:color="auto"/>
              <w:right w:val="single" w:sz="4" w:space="0" w:color="auto"/>
            </w:tcBorders>
            <w:vAlign w:val="center"/>
          </w:tcPr>
          <w:p w14:paraId="1BAA01F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44,911,492.91</w:t>
            </w:r>
          </w:p>
        </w:tc>
        <w:tc>
          <w:tcPr>
            <w:tcW w:w="400" w:type="pct"/>
            <w:tcBorders>
              <w:top w:val="single" w:sz="4" w:space="0" w:color="auto"/>
              <w:left w:val="single" w:sz="4" w:space="0" w:color="auto"/>
              <w:bottom w:val="single" w:sz="4" w:space="0" w:color="auto"/>
              <w:right w:val="single" w:sz="4" w:space="0" w:color="auto"/>
            </w:tcBorders>
            <w:vAlign w:val="center"/>
          </w:tcPr>
          <w:p w14:paraId="641A284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10.86</w:t>
            </w:r>
          </w:p>
        </w:tc>
      </w:tr>
      <w:tr w:rsidR="00AE2A54" w14:paraId="2C6BA10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D7B662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必需消费品</w:t>
            </w:r>
          </w:p>
        </w:tc>
        <w:tc>
          <w:tcPr>
            <w:tcW w:w="750" w:type="pct"/>
            <w:tcBorders>
              <w:top w:val="single" w:sz="4" w:space="0" w:color="auto"/>
              <w:left w:val="single" w:sz="4" w:space="0" w:color="auto"/>
              <w:bottom w:val="single" w:sz="4" w:space="0" w:color="auto"/>
              <w:right w:val="single" w:sz="4" w:space="0" w:color="auto"/>
            </w:tcBorders>
            <w:vAlign w:val="center"/>
          </w:tcPr>
          <w:p w14:paraId="420BFEF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30,857,089.80</w:t>
            </w:r>
          </w:p>
        </w:tc>
        <w:tc>
          <w:tcPr>
            <w:tcW w:w="400" w:type="pct"/>
            <w:tcBorders>
              <w:top w:val="single" w:sz="4" w:space="0" w:color="auto"/>
              <w:left w:val="single" w:sz="4" w:space="0" w:color="auto"/>
              <w:bottom w:val="single" w:sz="4" w:space="0" w:color="auto"/>
              <w:right w:val="single" w:sz="4" w:space="0" w:color="auto"/>
            </w:tcBorders>
            <w:vAlign w:val="center"/>
          </w:tcPr>
          <w:p w14:paraId="614197DB"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7.46</w:t>
            </w:r>
          </w:p>
        </w:tc>
      </w:tr>
      <w:tr w:rsidR="00AE2A54" w14:paraId="67FAB9F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80C3AD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14:paraId="4839382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6,981,416.04</w:t>
            </w:r>
          </w:p>
        </w:tc>
        <w:tc>
          <w:tcPr>
            <w:tcW w:w="400" w:type="pct"/>
            <w:tcBorders>
              <w:top w:val="single" w:sz="4" w:space="0" w:color="auto"/>
              <w:left w:val="single" w:sz="4" w:space="0" w:color="auto"/>
              <w:bottom w:val="single" w:sz="4" w:space="0" w:color="auto"/>
              <w:right w:val="single" w:sz="4" w:space="0" w:color="auto"/>
            </w:tcBorders>
            <w:vAlign w:val="center"/>
          </w:tcPr>
          <w:p w14:paraId="562BC39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1.69</w:t>
            </w:r>
          </w:p>
        </w:tc>
      </w:tr>
      <w:tr w:rsidR="00AE2A54" w14:paraId="735904C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8BD113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金融</w:t>
            </w:r>
          </w:p>
        </w:tc>
        <w:tc>
          <w:tcPr>
            <w:tcW w:w="750" w:type="pct"/>
            <w:tcBorders>
              <w:top w:val="single" w:sz="4" w:space="0" w:color="auto"/>
              <w:left w:val="single" w:sz="4" w:space="0" w:color="auto"/>
              <w:bottom w:val="single" w:sz="4" w:space="0" w:color="auto"/>
              <w:right w:val="single" w:sz="4" w:space="0" w:color="auto"/>
            </w:tcBorders>
            <w:vAlign w:val="center"/>
          </w:tcPr>
          <w:p w14:paraId="284A7F0A"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36,815,662.89</w:t>
            </w:r>
          </w:p>
        </w:tc>
        <w:tc>
          <w:tcPr>
            <w:tcW w:w="400" w:type="pct"/>
            <w:tcBorders>
              <w:top w:val="single" w:sz="4" w:space="0" w:color="auto"/>
              <w:left w:val="single" w:sz="4" w:space="0" w:color="auto"/>
              <w:bottom w:val="single" w:sz="4" w:space="0" w:color="auto"/>
              <w:right w:val="single" w:sz="4" w:space="0" w:color="auto"/>
            </w:tcBorders>
            <w:vAlign w:val="center"/>
          </w:tcPr>
          <w:p w14:paraId="4CF8797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8.90</w:t>
            </w:r>
          </w:p>
        </w:tc>
      </w:tr>
      <w:tr w:rsidR="00AE2A54" w14:paraId="0C5A02A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91A114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医疗保健</w:t>
            </w:r>
          </w:p>
        </w:tc>
        <w:tc>
          <w:tcPr>
            <w:tcW w:w="750" w:type="pct"/>
            <w:tcBorders>
              <w:top w:val="single" w:sz="4" w:space="0" w:color="auto"/>
              <w:left w:val="single" w:sz="4" w:space="0" w:color="auto"/>
              <w:bottom w:val="single" w:sz="4" w:space="0" w:color="auto"/>
              <w:right w:val="single" w:sz="4" w:space="0" w:color="auto"/>
            </w:tcBorders>
            <w:vAlign w:val="center"/>
          </w:tcPr>
          <w:p w14:paraId="3814A9E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20,788,534.72</w:t>
            </w:r>
          </w:p>
        </w:tc>
        <w:tc>
          <w:tcPr>
            <w:tcW w:w="400" w:type="pct"/>
            <w:tcBorders>
              <w:top w:val="single" w:sz="4" w:space="0" w:color="auto"/>
              <w:left w:val="single" w:sz="4" w:space="0" w:color="auto"/>
              <w:bottom w:val="single" w:sz="4" w:space="0" w:color="auto"/>
              <w:right w:val="single" w:sz="4" w:space="0" w:color="auto"/>
            </w:tcBorders>
            <w:vAlign w:val="center"/>
          </w:tcPr>
          <w:p w14:paraId="0BC7D59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5.03</w:t>
            </w:r>
          </w:p>
        </w:tc>
      </w:tr>
      <w:tr w:rsidR="00AE2A54" w14:paraId="530DA0C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424CA1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14:paraId="42698CC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26,370,333.10</w:t>
            </w:r>
          </w:p>
        </w:tc>
        <w:tc>
          <w:tcPr>
            <w:tcW w:w="400" w:type="pct"/>
            <w:tcBorders>
              <w:top w:val="single" w:sz="4" w:space="0" w:color="auto"/>
              <w:left w:val="single" w:sz="4" w:space="0" w:color="auto"/>
              <w:bottom w:val="single" w:sz="4" w:space="0" w:color="auto"/>
              <w:right w:val="single" w:sz="4" w:space="0" w:color="auto"/>
            </w:tcBorders>
            <w:vAlign w:val="center"/>
          </w:tcPr>
          <w:p w14:paraId="664A7F97"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6.38</w:t>
            </w:r>
          </w:p>
        </w:tc>
      </w:tr>
      <w:tr w:rsidR="00AE2A54" w14:paraId="37E7292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CDD620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材料</w:t>
            </w:r>
          </w:p>
        </w:tc>
        <w:tc>
          <w:tcPr>
            <w:tcW w:w="750" w:type="pct"/>
            <w:tcBorders>
              <w:top w:val="single" w:sz="4" w:space="0" w:color="auto"/>
              <w:left w:val="single" w:sz="4" w:space="0" w:color="auto"/>
              <w:bottom w:val="single" w:sz="4" w:space="0" w:color="auto"/>
              <w:right w:val="single" w:sz="4" w:space="0" w:color="auto"/>
            </w:tcBorders>
            <w:vAlign w:val="center"/>
          </w:tcPr>
          <w:p w14:paraId="6406BD2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15,555,763.37</w:t>
            </w:r>
          </w:p>
        </w:tc>
        <w:tc>
          <w:tcPr>
            <w:tcW w:w="400" w:type="pct"/>
            <w:tcBorders>
              <w:top w:val="single" w:sz="4" w:space="0" w:color="auto"/>
              <w:left w:val="single" w:sz="4" w:space="0" w:color="auto"/>
              <w:bottom w:val="single" w:sz="4" w:space="0" w:color="auto"/>
              <w:right w:val="single" w:sz="4" w:space="0" w:color="auto"/>
            </w:tcBorders>
            <w:vAlign w:val="center"/>
          </w:tcPr>
          <w:p w14:paraId="7193386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rsidR="00AE2A54" w14:paraId="6E6BEF1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A2261F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14:paraId="5414D4F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8,842,698.04</w:t>
            </w:r>
          </w:p>
        </w:tc>
        <w:tc>
          <w:tcPr>
            <w:tcW w:w="400" w:type="pct"/>
            <w:tcBorders>
              <w:top w:val="single" w:sz="4" w:space="0" w:color="auto"/>
              <w:left w:val="single" w:sz="4" w:space="0" w:color="auto"/>
              <w:bottom w:val="single" w:sz="4" w:space="0" w:color="auto"/>
              <w:right w:val="single" w:sz="4" w:space="0" w:color="auto"/>
            </w:tcBorders>
            <w:vAlign w:val="center"/>
          </w:tcPr>
          <w:p w14:paraId="3E3ABCDB"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2.14</w:t>
            </w:r>
          </w:p>
        </w:tc>
      </w:tr>
      <w:tr w:rsidR="00AE2A54" w14:paraId="754C5AE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DBFC41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科技</w:t>
            </w:r>
          </w:p>
        </w:tc>
        <w:tc>
          <w:tcPr>
            <w:tcW w:w="750" w:type="pct"/>
            <w:tcBorders>
              <w:top w:val="single" w:sz="4" w:space="0" w:color="auto"/>
              <w:left w:val="single" w:sz="4" w:space="0" w:color="auto"/>
              <w:bottom w:val="single" w:sz="4" w:space="0" w:color="auto"/>
              <w:right w:val="single" w:sz="4" w:space="0" w:color="auto"/>
            </w:tcBorders>
            <w:vAlign w:val="center"/>
          </w:tcPr>
          <w:p w14:paraId="00D2302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93,767,936.77</w:t>
            </w:r>
          </w:p>
        </w:tc>
        <w:tc>
          <w:tcPr>
            <w:tcW w:w="400" w:type="pct"/>
            <w:tcBorders>
              <w:top w:val="single" w:sz="4" w:space="0" w:color="auto"/>
              <w:left w:val="single" w:sz="4" w:space="0" w:color="auto"/>
              <w:bottom w:val="single" w:sz="4" w:space="0" w:color="auto"/>
              <w:right w:val="single" w:sz="4" w:space="0" w:color="auto"/>
            </w:tcBorders>
            <w:vAlign w:val="center"/>
          </w:tcPr>
          <w:p w14:paraId="1A8ED9F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22.68</w:t>
            </w:r>
          </w:p>
        </w:tc>
      </w:tr>
      <w:tr w:rsidR="00AE2A54" w14:paraId="3157D43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D483F8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sz="4" w:space="0" w:color="auto"/>
              <w:left w:val="single" w:sz="4" w:space="0" w:color="auto"/>
              <w:bottom w:val="single" w:sz="4" w:space="0" w:color="auto"/>
              <w:right w:val="single" w:sz="4" w:space="0" w:color="auto"/>
            </w:tcBorders>
            <w:vAlign w:val="center"/>
          </w:tcPr>
          <w:p w14:paraId="27B9D39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3,209,071.64</w:t>
            </w:r>
          </w:p>
        </w:tc>
        <w:tc>
          <w:tcPr>
            <w:tcW w:w="400" w:type="pct"/>
            <w:tcBorders>
              <w:top w:val="single" w:sz="4" w:space="0" w:color="auto"/>
              <w:left w:val="single" w:sz="4" w:space="0" w:color="auto"/>
              <w:bottom w:val="single" w:sz="4" w:space="0" w:color="auto"/>
              <w:right w:val="single" w:sz="4" w:space="0" w:color="auto"/>
            </w:tcBorders>
            <w:vAlign w:val="center"/>
          </w:tcPr>
          <w:p w14:paraId="1EF8295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AE2A54" w14:paraId="539292B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17600E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14:paraId="770C6D9C"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346,636,291.69</w:t>
            </w:r>
          </w:p>
        </w:tc>
        <w:tc>
          <w:tcPr>
            <w:tcW w:w="400" w:type="pct"/>
            <w:tcBorders>
              <w:top w:val="single" w:sz="4" w:space="0" w:color="auto"/>
              <w:left w:val="single" w:sz="4" w:space="0" w:color="auto"/>
              <w:bottom w:val="single" w:sz="4" w:space="0" w:color="auto"/>
              <w:right w:val="single" w:sz="4" w:space="0" w:color="auto"/>
            </w:tcBorders>
            <w:vAlign w:val="center"/>
          </w:tcPr>
          <w:p w14:paraId="32D5EA8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83.82</w:t>
            </w:r>
          </w:p>
        </w:tc>
      </w:tr>
    </w:tbl>
    <w:p w14:paraId="391311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注：本报告采用彭博BICS一级分类标准编制。</w:t>
      </w:r>
    </w:p>
    <w:p w14:paraId="2BA2B7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4、期末按公允价值占基金资产净值比例大小排序的权益投资明细</w:t>
      </w:r>
    </w:p>
    <w:p w14:paraId="1C5A98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 报告期末按公允价值占基金资产净值比例大小排序的前十名股票及存托凭证投资明细</w:t>
      </w:r>
    </w:p>
    <w:tbl>
      <w:tblPr>
        <w:tblW w:w="5000" w:type="pct"/>
        <w:tblCellMar>
          <w:left w:w="0" w:type="dxa"/>
          <w:right w:w="0" w:type="dxa"/>
        </w:tblCellMar>
        <w:tblLook w:val="04A0" w:firstRow="1" w:lastRow="0" w:firstColumn="1" w:lastColumn="0" w:noHBand="0" w:noVBand="1"/>
      </w:tblPr>
      <w:tblGrid>
        <w:gridCol w:w="848"/>
        <w:gridCol w:w="1524"/>
        <w:gridCol w:w="848"/>
        <w:gridCol w:w="848"/>
        <w:gridCol w:w="848"/>
        <w:gridCol w:w="848"/>
        <w:gridCol w:w="1010"/>
        <w:gridCol w:w="1448"/>
        <w:gridCol w:w="448"/>
      </w:tblGrid>
      <w:tr w:rsidR="00AE2A54" w14:paraId="4DB88D70" w14:textId="77777777">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5A92E44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504D154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英文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3835D3D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中文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40D3F9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0B4D653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所在证券市场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332FBA6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所属国家（地区）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490EE4B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w:t>
            </w:r>
            <w:r>
              <w:rPr>
                <w:rFonts w:ascii="Times New Roman" w:hAnsi="Times New Roman"/>
                <w:color w:val="000000"/>
                <w:kern w:val="0"/>
                <w:sz w:val="25"/>
                <w:szCs w:val="24"/>
              </w:rPr>
              <w:t>(</w:t>
            </w:r>
            <w:r>
              <w:rPr>
                <w:rFonts w:ascii="Times New Roman" w:hAnsi="Times New Roman"/>
                <w:color w:val="000000"/>
                <w:kern w:val="0"/>
                <w:sz w:val="25"/>
                <w:szCs w:val="24"/>
              </w:rPr>
              <w:t>股</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5B68745A"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51448BE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AE2A54" w14:paraId="0EAA5B9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3C16DE1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5452575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TCL Electronics Holdings Ltd</w:t>
            </w:r>
          </w:p>
        </w:tc>
        <w:tc>
          <w:tcPr>
            <w:tcW w:w="750" w:type="pct"/>
            <w:tcBorders>
              <w:top w:val="single" w:sz="4" w:space="0" w:color="auto"/>
              <w:left w:val="single" w:sz="4" w:space="0" w:color="auto"/>
              <w:bottom w:val="single" w:sz="4" w:space="0" w:color="auto"/>
              <w:right w:val="single" w:sz="4" w:space="0" w:color="auto"/>
            </w:tcBorders>
            <w:vAlign w:val="center"/>
          </w:tcPr>
          <w:p w14:paraId="75ECA52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TCL</w:t>
            </w:r>
            <w:r>
              <w:rPr>
                <w:rFonts w:ascii="Times New Roman" w:hAnsi="Times New Roman"/>
                <w:color w:val="000000"/>
                <w:kern w:val="0"/>
                <w:sz w:val="25"/>
                <w:szCs w:val="24"/>
              </w:rPr>
              <w:t>电子控股有限公司</w:t>
            </w:r>
          </w:p>
        </w:tc>
        <w:tc>
          <w:tcPr>
            <w:tcW w:w="750" w:type="pct"/>
            <w:tcBorders>
              <w:top w:val="single" w:sz="4" w:space="0" w:color="auto"/>
              <w:left w:val="single" w:sz="4" w:space="0" w:color="auto"/>
              <w:bottom w:val="single" w:sz="4" w:space="0" w:color="auto"/>
              <w:right w:val="single" w:sz="4" w:space="0" w:color="auto"/>
            </w:tcBorders>
            <w:vAlign w:val="center"/>
          </w:tcPr>
          <w:p w14:paraId="1288A42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1070 HK</w:t>
            </w:r>
          </w:p>
        </w:tc>
        <w:tc>
          <w:tcPr>
            <w:tcW w:w="750" w:type="pct"/>
            <w:tcBorders>
              <w:top w:val="single" w:sz="4" w:space="0" w:color="auto"/>
              <w:left w:val="single" w:sz="4" w:space="0" w:color="auto"/>
              <w:bottom w:val="single" w:sz="4" w:space="0" w:color="auto"/>
              <w:right w:val="single" w:sz="4" w:space="0" w:color="auto"/>
            </w:tcBorders>
            <w:vAlign w:val="center"/>
          </w:tcPr>
          <w:p w14:paraId="1F0D739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6218F78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72DD817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2,753,000</w:t>
            </w:r>
          </w:p>
        </w:tc>
        <w:tc>
          <w:tcPr>
            <w:tcW w:w="750" w:type="pct"/>
            <w:tcBorders>
              <w:top w:val="single" w:sz="4" w:space="0" w:color="auto"/>
              <w:left w:val="single" w:sz="4" w:space="0" w:color="auto"/>
              <w:bottom w:val="single" w:sz="4" w:space="0" w:color="auto"/>
              <w:right w:val="single" w:sz="4" w:space="0" w:color="auto"/>
            </w:tcBorders>
            <w:vAlign w:val="center"/>
          </w:tcPr>
          <w:p w14:paraId="36BC704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23,801,243.77</w:t>
            </w:r>
          </w:p>
        </w:tc>
        <w:tc>
          <w:tcPr>
            <w:tcW w:w="750" w:type="pct"/>
            <w:tcBorders>
              <w:top w:val="single" w:sz="4" w:space="0" w:color="auto"/>
              <w:left w:val="single" w:sz="4" w:space="0" w:color="auto"/>
              <w:bottom w:val="single" w:sz="4" w:space="0" w:color="auto"/>
              <w:right w:val="single" w:sz="4" w:space="0" w:color="auto"/>
            </w:tcBorders>
            <w:vAlign w:val="center"/>
          </w:tcPr>
          <w:p w14:paraId="762BF030"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5.76</w:t>
            </w:r>
          </w:p>
        </w:tc>
      </w:tr>
      <w:tr w:rsidR="00AE2A54" w14:paraId="37B029CC"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3887CCE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4CCB893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Tencent Holdings Ltd</w:t>
            </w:r>
          </w:p>
        </w:tc>
        <w:tc>
          <w:tcPr>
            <w:tcW w:w="750" w:type="pct"/>
            <w:tcBorders>
              <w:top w:val="single" w:sz="4" w:space="0" w:color="auto"/>
              <w:left w:val="single" w:sz="4" w:space="0" w:color="auto"/>
              <w:bottom w:val="single" w:sz="4" w:space="0" w:color="auto"/>
              <w:right w:val="single" w:sz="4" w:space="0" w:color="auto"/>
            </w:tcBorders>
            <w:vAlign w:val="center"/>
          </w:tcPr>
          <w:p w14:paraId="375CB72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14:paraId="7AEB7D1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700 HK</w:t>
            </w:r>
          </w:p>
        </w:tc>
        <w:tc>
          <w:tcPr>
            <w:tcW w:w="750" w:type="pct"/>
            <w:tcBorders>
              <w:top w:val="single" w:sz="4" w:space="0" w:color="auto"/>
              <w:left w:val="single" w:sz="4" w:space="0" w:color="auto"/>
              <w:bottom w:val="single" w:sz="4" w:space="0" w:color="auto"/>
              <w:right w:val="single" w:sz="4" w:space="0" w:color="auto"/>
            </w:tcBorders>
            <w:vAlign w:val="center"/>
          </w:tcPr>
          <w:p w14:paraId="372B4D2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133B8AA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6E42754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45,600</w:t>
            </w:r>
          </w:p>
        </w:tc>
        <w:tc>
          <w:tcPr>
            <w:tcW w:w="750" w:type="pct"/>
            <w:tcBorders>
              <w:top w:val="single" w:sz="4" w:space="0" w:color="auto"/>
              <w:left w:val="single" w:sz="4" w:space="0" w:color="auto"/>
              <w:bottom w:val="single" w:sz="4" w:space="0" w:color="auto"/>
              <w:right w:val="single" w:sz="4" w:space="0" w:color="auto"/>
            </w:tcBorders>
            <w:vAlign w:val="center"/>
          </w:tcPr>
          <w:p w14:paraId="06999AA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20,911,013.46</w:t>
            </w:r>
          </w:p>
        </w:tc>
        <w:tc>
          <w:tcPr>
            <w:tcW w:w="750" w:type="pct"/>
            <w:tcBorders>
              <w:top w:val="single" w:sz="4" w:space="0" w:color="auto"/>
              <w:left w:val="single" w:sz="4" w:space="0" w:color="auto"/>
              <w:bottom w:val="single" w:sz="4" w:space="0" w:color="auto"/>
              <w:right w:val="single" w:sz="4" w:space="0" w:color="auto"/>
            </w:tcBorders>
            <w:vAlign w:val="center"/>
          </w:tcPr>
          <w:p w14:paraId="4DCFCB1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AE2A54" w14:paraId="0B1392B0"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C40402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47EA68E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Xiaomi Corp</w:t>
            </w:r>
          </w:p>
        </w:tc>
        <w:tc>
          <w:tcPr>
            <w:tcW w:w="750" w:type="pct"/>
            <w:tcBorders>
              <w:top w:val="single" w:sz="4" w:space="0" w:color="auto"/>
              <w:left w:val="single" w:sz="4" w:space="0" w:color="auto"/>
              <w:bottom w:val="single" w:sz="4" w:space="0" w:color="auto"/>
              <w:right w:val="single" w:sz="4" w:space="0" w:color="auto"/>
            </w:tcBorders>
            <w:vAlign w:val="center"/>
          </w:tcPr>
          <w:p w14:paraId="06C7DB5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小米集团</w:t>
            </w:r>
          </w:p>
        </w:tc>
        <w:tc>
          <w:tcPr>
            <w:tcW w:w="750" w:type="pct"/>
            <w:tcBorders>
              <w:top w:val="single" w:sz="4" w:space="0" w:color="auto"/>
              <w:left w:val="single" w:sz="4" w:space="0" w:color="auto"/>
              <w:bottom w:val="single" w:sz="4" w:space="0" w:color="auto"/>
              <w:right w:val="single" w:sz="4" w:space="0" w:color="auto"/>
            </w:tcBorders>
            <w:vAlign w:val="center"/>
          </w:tcPr>
          <w:p w14:paraId="3C353AA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1810 HK</w:t>
            </w:r>
          </w:p>
        </w:tc>
        <w:tc>
          <w:tcPr>
            <w:tcW w:w="750" w:type="pct"/>
            <w:tcBorders>
              <w:top w:val="single" w:sz="4" w:space="0" w:color="auto"/>
              <w:left w:val="single" w:sz="4" w:space="0" w:color="auto"/>
              <w:bottom w:val="single" w:sz="4" w:space="0" w:color="auto"/>
              <w:right w:val="single" w:sz="4" w:space="0" w:color="auto"/>
            </w:tcBorders>
            <w:vAlign w:val="center"/>
          </w:tcPr>
          <w:p w14:paraId="61188B3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05A16F5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1D38EC1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277,800</w:t>
            </w:r>
          </w:p>
        </w:tc>
        <w:tc>
          <w:tcPr>
            <w:tcW w:w="750" w:type="pct"/>
            <w:tcBorders>
              <w:top w:val="single" w:sz="4" w:space="0" w:color="auto"/>
              <w:left w:val="single" w:sz="4" w:space="0" w:color="auto"/>
              <w:bottom w:val="single" w:sz="4" w:space="0" w:color="auto"/>
              <w:right w:val="single" w:sz="4" w:space="0" w:color="auto"/>
            </w:tcBorders>
            <w:vAlign w:val="center"/>
          </w:tcPr>
          <w:p w14:paraId="2BC7056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12,611,048.45</w:t>
            </w:r>
          </w:p>
        </w:tc>
        <w:tc>
          <w:tcPr>
            <w:tcW w:w="750" w:type="pct"/>
            <w:tcBorders>
              <w:top w:val="single" w:sz="4" w:space="0" w:color="auto"/>
              <w:left w:val="single" w:sz="4" w:space="0" w:color="auto"/>
              <w:bottom w:val="single" w:sz="4" w:space="0" w:color="auto"/>
              <w:right w:val="single" w:sz="4" w:space="0" w:color="auto"/>
            </w:tcBorders>
            <w:vAlign w:val="center"/>
          </w:tcPr>
          <w:p w14:paraId="0D2622D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AE2A54" w14:paraId="17740746"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08EF11BA"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5687D15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Giant Biogene Holding Co ltd</w:t>
            </w:r>
          </w:p>
        </w:tc>
        <w:tc>
          <w:tcPr>
            <w:tcW w:w="750" w:type="pct"/>
            <w:tcBorders>
              <w:top w:val="single" w:sz="4" w:space="0" w:color="auto"/>
              <w:left w:val="single" w:sz="4" w:space="0" w:color="auto"/>
              <w:bottom w:val="single" w:sz="4" w:space="0" w:color="auto"/>
              <w:right w:val="single" w:sz="4" w:space="0" w:color="auto"/>
            </w:tcBorders>
            <w:vAlign w:val="center"/>
          </w:tcPr>
          <w:p w14:paraId="3377602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巨子生物</w:t>
            </w:r>
          </w:p>
        </w:tc>
        <w:tc>
          <w:tcPr>
            <w:tcW w:w="750" w:type="pct"/>
            <w:tcBorders>
              <w:top w:val="single" w:sz="4" w:space="0" w:color="auto"/>
              <w:left w:val="single" w:sz="4" w:space="0" w:color="auto"/>
              <w:bottom w:val="single" w:sz="4" w:space="0" w:color="auto"/>
              <w:right w:val="single" w:sz="4" w:space="0" w:color="auto"/>
            </w:tcBorders>
            <w:vAlign w:val="center"/>
          </w:tcPr>
          <w:p w14:paraId="05B0BF0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2367 HK</w:t>
            </w:r>
          </w:p>
        </w:tc>
        <w:tc>
          <w:tcPr>
            <w:tcW w:w="750" w:type="pct"/>
            <w:tcBorders>
              <w:top w:val="single" w:sz="4" w:space="0" w:color="auto"/>
              <w:left w:val="single" w:sz="4" w:space="0" w:color="auto"/>
              <w:bottom w:val="single" w:sz="4" w:space="0" w:color="auto"/>
              <w:right w:val="single" w:sz="4" w:space="0" w:color="auto"/>
            </w:tcBorders>
            <w:vAlign w:val="center"/>
          </w:tcPr>
          <w:p w14:paraId="689DBAA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060F42B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127FEF8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170,600</w:t>
            </w:r>
          </w:p>
        </w:tc>
        <w:tc>
          <w:tcPr>
            <w:tcW w:w="750" w:type="pct"/>
            <w:tcBorders>
              <w:top w:val="single" w:sz="4" w:space="0" w:color="auto"/>
              <w:left w:val="single" w:sz="4" w:space="0" w:color="auto"/>
              <w:bottom w:val="single" w:sz="4" w:space="0" w:color="auto"/>
              <w:right w:val="single" w:sz="4" w:space="0" w:color="auto"/>
            </w:tcBorders>
            <w:vAlign w:val="center"/>
          </w:tcPr>
          <w:p w14:paraId="5113ED19"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11,089,548.75</w:t>
            </w:r>
          </w:p>
        </w:tc>
        <w:tc>
          <w:tcPr>
            <w:tcW w:w="750" w:type="pct"/>
            <w:tcBorders>
              <w:top w:val="single" w:sz="4" w:space="0" w:color="auto"/>
              <w:left w:val="single" w:sz="4" w:space="0" w:color="auto"/>
              <w:bottom w:val="single" w:sz="4" w:space="0" w:color="auto"/>
              <w:right w:val="single" w:sz="4" w:space="0" w:color="auto"/>
            </w:tcBorders>
            <w:vAlign w:val="center"/>
          </w:tcPr>
          <w:p w14:paraId="047BABA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2.68</w:t>
            </w:r>
          </w:p>
        </w:tc>
      </w:tr>
      <w:tr w:rsidR="00AE2A54" w14:paraId="6476772D"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5947BC5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3011C42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China Hongqiao Group Ltd</w:t>
            </w:r>
          </w:p>
        </w:tc>
        <w:tc>
          <w:tcPr>
            <w:tcW w:w="750" w:type="pct"/>
            <w:tcBorders>
              <w:top w:val="single" w:sz="4" w:space="0" w:color="auto"/>
              <w:left w:val="single" w:sz="4" w:space="0" w:color="auto"/>
              <w:bottom w:val="single" w:sz="4" w:space="0" w:color="auto"/>
              <w:right w:val="single" w:sz="4" w:space="0" w:color="auto"/>
            </w:tcBorders>
            <w:vAlign w:val="center"/>
          </w:tcPr>
          <w:p w14:paraId="349FD96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中国宏桥</w:t>
            </w:r>
          </w:p>
        </w:tc>
        <w:tc>
          <w:tcPr>
            <w:tcW w:w="750" w:type="pct"/>
            <w:tcBorders>
              <w:top w:val="single" w:sz="4" w:space="0" w:color="auto"/>
              <w:left w:val="single" w:sz="4" w:space="0" w:color="auto"/>
              <w:bottom w:val="single" w:sz="4" w:space="0" w:color="auto"/>
              <w:right w:val="single" w:sz="4" w:space="0" w:color="auto"/>
            </w:tcBorders>
            <w:vAlign w:val="center"/>
          </w:tcPr>
          <w:p w14:paraId="7363085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1378 HK</w:t>
            </w:r>
          </w:p>
        </w:tc>
        <w:tc>
          <w:tcPr>
            <w:tcW w:w="750" w:type="pct"/>
            <w:tcBorders>
              <w:top w:val="single" w:sz="4" w:space="0" w:color="auto"/>
              <w:left w:val="single" w:sz="4" w:space="0" w:color="auto"/>
              <w:bottom w:val="single" w:sz="4" w:space="0" w:color="auto"/>
              <w:right w:val="single" w:sz="4" w:space="0" w:color="auto"/>
            </w:tcBorders>
            <w:vAlign w:val="center"/>
          </w:tcPr>
          <w:p w14:paraId="39441B5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04D8DC4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0E8842B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719,000</w:t>
            </w:r>
          </w:p>
        </w:tc>
        <w:tc>
          <w:tcPr>
            <w:tcW w:w="750" w:type="pct"/>
            <w:tcBorders>
              <w:top w:val="single" w:sz="4" w:space="0" w:color="auto"/>
              <w:left w:val="single" w:sz="4" w:space="0" w:color="auto"/>
              <w:bottom w:val="single" w:sz="4" w:space="0" w:color="auto"/>
              <w:right w:val="single" w:sz="4" w:space="0" w:color="auto"/>
            </w:tcBorders>
            <w:vAlign w:val="center"/>
          </w:tcPr>
          <w:p w14:paraId="1C73A6D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10,614,577.77</w:t>
            </w:r>
          </w:p>
        </w:tc>
        <w:tc>
          <w:tcPr>
            <w:tcW w:w="750" w:type="pct"/>
            <w:tcBorders>
              <w:top w:val="single" w:sz="4" w:space="0" w:color="auto"/>
              <w:left w:val="single" w:sz="4" w:space="0" w:color="auto"/>
              <w:bottom w:val="single" w:sz="4" w:space="0" w:color="auto"/>
              <w:right w:val="single" w:sz="4" w:space="0" w:color="auto"/>
            </w:tcBorders>
            <w:vAlign w:val="center"/>
          </w:tcPr>
          <w:p w14:paraId="1BD5645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2.57</w:t>
            </w:r>
          </w:p>
        </w:tc>
      </w:tr>
      <w:tr w:rsidR="00AE2A54" w14:paraId="76BBDC0C"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2FC6EDF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14:paraId="7DA2DBF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Geely Automobile Holdings Ltd</w:t>
            </w:r>
          </w:p>
        </w:tc>
        <w:tc>
          <w:tcPr>
            <w:tcW w:w="750" w:type="pct"/>
            <w:tcBorders>
              <w:top w:val="single" w:sz="4" w:space="0" w:color="auto"/>
              <w:left w:val="single" w:sz="4" w:space="0" w:color="auto"/>
              <w:bottom w:val="single" w:sz="4" w:space="0" w:color="auto"/>
              <w:right w:val="single" w:sz="4" w:space="0" w:color="auto"/>
            </w:tcBorders>
            <w:vAlign w:val="center"/>
          </w:tcPr>
          <w:p w14:paraId="6BDC788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吉利汽车</w:t>
            </w:r>
          </w:p>
        </w:tc>
        <w:tc>
          <w:tcPr>
            <w:tcW w:w="750" w:type="pct"/>
            <w:tcBorders>
              <w:top w:val="single" w:sz="4" w:space="0" w:color="auto"/>
              <w:left w:val="single" w:sz="4" w:space="0" w:color="auto"/>
              <w:bottom w:val="single" w:sz="4" w:space="0" w:color="auto"/>
              <w:right w:val="single" w:sz="4" w:space="0" w:color="auto"/>
            </w:tcBorders>
            <w:vAlign w:val="center"/>
          </w:tcPr>
          <w:p w14:paraId="0408B41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175 HK</w:t>
            </w:r>
          </w:p>
        </w:tc>
        <w:tc>
          <w:tcPr>
            <w:tcW w:w="750" w:type="pct"/>
            <w:tcBorders>
              <w:top w:val="single" w:sz="4" w:space="0" w:color="auto"/>
              <w:left w:val="single" w:sz="4" w:space="0" w:color="auto"/>
              <w:bottom w:val="single" w:sz="4" w:space="0" w:color="auto"/>
              <w:right w:val="single" w:sz="4" w:space="0" w:color="auto"/>
            </w:tcBorders>
            <w:vAlign w:val="center"/>
          </w:tcPr>
          <w:p w14:paraId="5CF11F6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294FB9B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7293A95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647,000</w:t>
            </w:r>
          </w:p>
        </w:tc>
        <w:tc>
          <w:tcPr>
            <w:tcW w:w="750" w:type="pct"/>
            <w:tcBorders>
              <w:top w:val="single" w:sz="4" w:space="0" w:color="auto"/>
              <w:left w:val="single" w:sz="4" w:space="0" w:color="auto"/>
              <w:bottom w:val="single" w:sz="4" w:space="0" w:color="auto"/>
              <w:right w:val="single" w:sz="4" w:space="0" w:color="auto"/>
            </w:tcBorders>
            <w:vAlign w:val="center"/>
          </w:tcPr>
          <w:p w14:paraId="25D574D5"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9,933,709.44</w:t>
            </w:r>
          </w:p>
        </w:tc>
        <w:tc>
          <w:tcPr>
            <w:tcW w:w="750" w:type="pct"/>
            <w:tcBorders>
              <w:top w:val="single" w:sz="4" w:space="0" w:color="auto"/>
              <w:left w:val="single" w:sz="4" w:space="0" w:color="auto"/>
              <w:bottom w:val="single" w:sz="4" w:space="0" w:color="auto"/>
              <w:right w:val="single" w:sz="4" w:space="0" w:color="auto"/>
            </w:tcBorders>
            <w:vAlign w:val="center"/>
          </w:tcPr>
          <w:p w14:paraId="08EFE89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2.40</w:t>
            </w:r>
          </w:p>
        </w:tc>
      </w:tr>
      <w:tr w:rsidR="00AE2A54" w14:paraId="478FDBE8"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FF5B2B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2FD6082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Fuyao Glass Industry Group Co Ltd</w:t>
            </w:r>
          </w:p>
        </w:tc>
        <w:tc>
          <w:tcPr>
            <w:tcW w:w="750" w:type="pct"/>
            <w:tcBorders>
              <w:top w:val="single" w:sz="4" w:space="0" w:color="auto"/>
              <w:left w:val="single" w:sz="4" w:space="0" w:color="auto"/>
              <w:bottom w:val="single" w:sz="4" w:space="0" w:color="auto"/>
              <w:right w:val="single" w:sz="4" w:space="0" w:color="auto"/>
            </w:tcBorders>
            <w:vAlign w:val="center"/>
          </w:tcPr>
          <w:p w14:paraId="4103625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福耀玻璃</w:t>
            </w:r>
          </w:p>
        </w:tc>
        <w:tc>
          <w:tcPr>
            <w:tcW w:w="750" w:type="pct"/>
            <w:tcBorders>
              <w:top w:val="single" w:sz="4" w:space="0" w:color="auto"/>
              <w:left w:val="single" w:sz="4" w:space="0" w:color="auto"/>
              <w:bottom w:val="single" w:sz="4" w:space="0" w:color="auto"/>
              <w:right w:val="single" w:sz="4" w:space="0" w:color="auto"/>
            </w:tcBorders>
            <w:vAlign w:val="center"/>
          </w:tcPr>
          <w:p w14:paraId="39E0507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3606 HK</w:t>
            </w:r>
          </w:p>
        </w:tc>
        <w:tc>
          <w:tcPr>
            <w:tcW w:w="750" w:type="pct"/>
            <w:tcBorders>
              <w:top w:val="single" w:sz="4" w:space="0" w:color="auto"/>
              <w:left w:val="single" w:sz="4" w:space="0" w:color="auto"/>
              <w:bottom w:val="single" w:sz="4" w:space="0" w:color="auto"/>
              <w:right w:val="single" w:sz="4" w:space="0" w:color="auto"/>
            </w:tcBorders>
            <w:vAlign w:val="center"/>
          </w:tcPr>
          <w:p w14:paraId="6D7C9DA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60BA06F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5BAAC53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189,200</w:t>
            </w:r>
          </w:p>
        </w:tc>
        <w:tc>
          <w:tcPr>
            <w:tcW w:w="750" w:type="pct"/>
            <w:tcBorders>
              <w:top w:val="single" w:sz="4" w:space="0" w:color="auto"/>
              <w:left w:val="single" w:sz="4" w:space="0" w:color="auto"/>
              <w:bottom w:val="single" w:sz="4" w:space="0" w:color="auto"/>
              <w:right w:val="single" w:sz="4" w:space="0" w:color="auto"/>
            </w:tcBorders>
            <w:vAlign w:val="center"/>
          </w:tcPr>
          <w:p w14:paraId="415DB13E"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9,688,754.81</w:t>
            </w:r>
          </w:p>
        </w:tc>
        <w:tc>
          <w:tcPr>
            <w:tcW w:w="750" w:type="pct"/>
            <w:tcBorders>
              <w:top w:val="single" w:sz="4" w:space="0" w:color="auto"/>
              <w:left w:val="single" w:sz="4" w:space="0" w:color="auto"/>
              <w:bottom w:val="single" w:sz="4" w:space="0" w:color="auto"/>
              <w:right w:val="single" w:sz="4" w:space="0" w:color="auto"/>
            </w:tcBorders>
            <w:vAlign w:val="center"/>
          </w:tcPr>
          <w:p w14:paraId="4265699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2.34</w:t>
            </w:r>
          </w:p>
        </w:tc>
      </w:tr>
      <w:tr w:rsidR="00AE2A54" w14:paraId="6F1F43CB"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4F4334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575F855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Semiconductor Manufacturing International Corp</w:t>
            </w:r>
          </w:p>
        </w:tc>
        <w:tc>
          <w:tcPr>
            <w:tcW w:w="750" w:type="pct"/>
            <w:tcBorders>
              <w:top w:val="single" w:sz="4" w:space="0" w:color="auto"/>
              <w:left w:val="single" w:sz="4" w:space="0" w:color="auto"/>
              <w:bottom w:val="single" w:sz="4" w:space="0" w:color="auto"/>
              <w:right w:val="single" w:sz="4" w:space="0" w:color="auto"/>
            </w:tcBorders>
            <w:vAlign w:val="center"/>
          </w:tcPr>
          <w:p w14:paraId="068AC84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中芯国际</w:t>
            </w:r>
          </w:p>
        </w:tc>
        <w:tc>
          <w:tcPr>
            <w:tcW w:w="750" w:type="pct"/>
            <w:tcBorders>
              <w:top w:val="single" w:sz="4" w:space="0" w:color="auto"/>
              <w:left w:val="single" w:sz="4" w:space="0" w:color="auto"/>
              <w:bottom w:val="single" w:sz="4" w:space="0" w:color="auto"/>
              <w:right w:val="single" w:sz="4" w:space="0" w:color="auto"/>
            </w:tcBorders>
            <w:vAlign w:val="center"/>
          </w:tcPr>
          <w:p w14:paraId="153105D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981 HK</w:t>
            </w:r>
          </w:p>
        </w:tc>
        <w:tc>
          <w:tcPr>
            <w:tcW w:w="750" w:type="pct"/>
            <w:tcBorders>
              <w:top w:val="single" w:sz="4" w:space="0" w:color="auto"/>
              <w:left w:val="single" w:sz="4" w:space="0" w:color="auto"/>
              <w:bottom w:val="single" w:sz="4" w:space="0" w:color="auto"/>
              <w:right w:val="single" w:sz="4" w:space="0" w:color="auto"/>
            </w:tcBorders>
            <w:vAlign w:val="center"/>
          </w:tcPr>
          <w:p w14:paraId="14B99A4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2F5FED0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0E152CF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220,500</w:t>
            </w:r>
          </w:p>
        </w:tc>
        <w:tc>
          <w:tcPr>
            <w:tcW w:w="750" w:type="pct"/>
            <w:tcBorders>
              <w:top w:val="single" w:sz="4" w:space="0" w:color="auto"/>
              <w:left w:val="single" w:sz="4" w:space="0" w:color="auto"/>
              <w:bottom w:val="single" w:sz="4" w:space="0" w:color="auto"/>
              <w:right w:val="single" w:sz="4" w:space="0" w:color="auto"/>
            </w:tcBorders>
            <w:vAlign w:val="center"/>
          </w:tcPr>
          <w:p w14:paraId="5D69D5A4"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9,379,147.58</w:t>
            </w:r>
          </w:p>
        </w:tc>
        <w:tc>
          <w:tcPr>
            <w:tcW w:w="750" w:type="pct"/>
            <w:tcBorders>
              <w:top w:val="single" w:sz="4" w:space="0" w:color="auto"/>
              <w:left w:val="single" w:sz="4" w:space="0" w:color="auto"/>
              <w:bottom w:val="single" w:sz="4" w:space="0" w:color="auto"/>
              <w:right w:val="single" w:sz="4" w:space="0" w:color="auto"/>
            </w:tcBorders>
            <w:vAlign w:val="center"/>
          </w:tcPr>
          <w:p w14:paraId="4035E858"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AE2A54" w14:paraId="2CE63764"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D78BC0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3BD341E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Cowell e Holdings Inc</w:t>
            </w:r>
          </w:p>
        </w:tc>
        <w:tc>
          <w:tcPr>
            <w:tcW w:w="750" w:type="pct"/>
            <w:tcBorders>
              <w:top w:val="single" w:sz="4" w:space="0" w:color="auto"/>
              <w:left w:val="single" w:sz="4" w:space="0" w:color="auto"/>
              <w:bottom w:val="single" w:sz="4" w:space="0" w:color="auto"/>
              <w:right w:val="single" w:sz="4" w:space="0" w:color="auto"/>
            </w:tcBorders>
            <w:vAlign w:val="center"/>
          </w:tcPr>
          <w:p w14:paraId="3294D69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高伟电子</w:t>
            </w:r>
          </w:p>
        </w:tc>
        <w:tc>
          <w:tcPr>
            <w:tcW w:w="750" w:type="pct"/>
            <w:tcBorders>
              <w:top w:val="single" w:sz="4" w:space="0" w:color="auto"/>
              <w:left w:val="single" w:sz="4" w:space="0" w:color="auto"/>
              <w:bottom w:val="single" w:sz="4" w:space="0" w:color="auto"/>
              <w:right w:val="single" w:sz="4" w:space="0" w:color="auto"/>
            </w:tcBorders>
            <w:vAlign w:val="center"/>
          </w:tcPr>
          <w:p w14:paraId="12F9799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1415 HK</w:t>
            </w:r>
          </w:p>
        </w:tc>
        <w:tc>
          <w:tcPr>
            <w:tcW w:w="750" w:type="pct"/>
            <w:tcBorders>
              <w:top w:val="single" w:sz="4" w:space="0" w:color="auto"/>
              <w:left w:val="single" w:sz="4" w:space="0" w:color="auto"/>
              <w:bottom w:val="single" w:sz="4" w:space="0" w:color="auto"/>
              <w:right w:val="single" w:sz="4" w:space="0" w:color="auto"/>
            </w:tcBorders>
            <w:vAlign w:val="center"/>
          </w:tcPr>
          <w:p w14:paraId="07BA265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14:paraId="0B5DAFF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14:paraId="2433B6A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350,000</w:t>
            </w:r>
          </w:p>
        </w:tc>
        <w:tc>
          <w:tcPr>
            <w:tcW w:w="750" w:type="pct"/>
            <w:tcBorders>
              <w:top w:val="single" w:sz="4" w:space="0" w:color="auto"/>
              <w:left w:val="single" w:sz="4" w:space="0" w:color="auto"/>
              <w:bottom w:val="single" w:sz="4" w:space="0" w:color="auto"/>
              <w:right w:val="single" w:sz="4" w:space="0" w:color="auto"/>
            </w:tcBorders>
            <w:vAlign w:val="center"/>
          </w:tcPr>
          <w:p w14:paraId="6EF3C39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9,268,379.14</w:t>
            </w:r>
          </w:p>
        </w:tc>
        <w:tc>
          <w:tcPr>
            <w:tcW w:w="750" w:type="pct"/>
            <w:tcBorders>
              <w:top w:val="single" w:sz="4" w:space="0" w:color="auto"/>
              <w:left w:val="single" w:sz="4" w:space="0" w:color="auto"/>
              <w:bottom w:val="single" w:sz="4" w:space="0" w:color="auto"/>
              <w:right w:val="single" w:sz="4" w:space="0" w:color="auto"/>
            </w:tcBorders>
            <w:vAlign w:val="center"/>
          </w:tcPr>
          <w:p w14:paraId="18A27EC6"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r w:rsidR="00AE2A54" w14:paraId="0A6DCBF8"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6E7B96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14:paraId="52C0F94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Microsoft Corp</w:t>
            </w:r>
          </w:p>
        </w:tc>
        <w:tc>
          <w:tcPr>
            <w:tcW w:w="750" w:type="pct"/>
            <w:tcBorders>
              <w:top w:val="single" w:sz="4" w:space="0" w:color="auto"/>
              <w:left w:val="single" w:sz="4" w:space="0" w:color="auto"/>
              <w:bottom w:val="single" w:sz="4" w:space="0" w:color="auto"/>
              <w:right w:val="single" w:sz="4" w:space="0" w:color="auto"/>
            </w:tcBorders>
            <w:vAlign w:val="center"/>
          </w:tcPr>
          <w:p w14:paraId="5028674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微软</w:t>
            </w:r>
          </w:p>
        </w:tc>
        <w:tc>
          <w:tcPr>
            <w:tcW w:w="750" w:type="pct"/>
            <w:tcBorders>
              <w:top w:val="single" w:sz="4" w:space="0" w:color="auto"/>
              <w:left w:val="single" w:sz="4" w:space="0" w:color="auto"/>
              <w:bottom w:val="single" w:sz="4" w:space="0" w:color="auto"/>
              <w:right w:val="single" w:sz="4" w:space="0" w:color="auto"/>
            </w:tcBorders>
            <w:vAlign w:val="center"/>
          </w:tcPr>
          <w:p w14:paraId="390F992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MSFT US</w:t>
            </w:r>
          </w:p>
        </w:tc>
        <w:tc>
          <w:tcPr>
            <w:tcW w:w="750" w:type="pct"/>
            <w:tcBorders>
              <w:top w:val="single" w:sz="4" w:space="0" w:color="auto"/>
              <w:left w:val="single" w:sz="4" w:space="0" w:color="auto"/>
              <w:bottom w:val="single" w:sz="4" w:space="0" w:color="auto"/>
              <w:right w:val="single" w:sz="4" w:space="0" w:color="auto"/>
            </w:tcBorders>
            <w:vAlign w:val="center"/>
          </w:tcPr>
          <w:p w14:paraId="2673AFD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14:paraId="3F2D547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14:paraId="490E747B"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3,353</w:t>
            </w:r>
          </w:p>
        </w:tc>
        <w:tc>
          <w:tcPr>
            <w:tcW w:w="750" w:type="pct"/>
            <w:tcBorders>
              <w:top w:val="single" w:sz="4" w:space="0" w:color="auto"/>
              <w:left w:val="single" w:sz="4" w:space="0" w:color="auto"/>
              <w:bottom w:val="single" w:sz="4" w:space="0" w:color="auto"/>
              <w:right w:val="single" w:sz="4" w:space="0" w:color="auto"/>
            </w:tcBorders>
            <w:vAlign w:val="center"/>
          </w:tcPr>
          <w:p w14:paraId="4A977A4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9,035,075.94</w:t>
            </w:r>
          </w:p>
        </w:tc>
        <w:tc>
          <w:tcPr>
            <w:tcW w:w="750" w:type="pct"/>
            <w:tcBorders>
              <w:top w:val="single" w:sz="4" w:space="0" w:color="auto"/>
              <w:left w:val="single" w:sz="4" w:space="0" w:color="auto"/>
              <w:bottom w:val="single" w:sz="4" w:space="0" w:color="auto"/>
              <w:right w:val="single" w:sz="4" w:space="0" w:color="auto"/>
            </w:tcBorders>
            <w:vAlign w:val="center"/>
          </w:tcPr>
          <w:p w14:paraId="303C0A8F"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2.18</w:t>
            </w:r>
          </w:p>
        </w:tc>
      </w:tr>
    </w:tbl>
    <w:p w14:paraId="3136AF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5、报告期末按债券信用等级分类的债券投资组合</w:t>
      </w:r>
    </w:p>
    <w:p w14:paraId="19F89D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71D1EB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6、报告期末按公允价值占基金资产净值比例大小排名的前五名债券投资明细</w:t>
      </w:r>
    </w:p>
    <w:p w14:paraId="1D519D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5F1DB8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7、报告期末按公允价值占基金资产净值比例大小排名的前十名资产支持证券投资明细</w:t>
      </w:r>
    </w:p>
    <w:p w14:paraId="12351F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1B0143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8、报告期末按公允价值占基金资产净值比例大小排名的前五名金融衍生品投资明细</w:t>
      </w:r>
    </w:p>
    <w:p w14:paraId="1A8649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2CB05E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p w14:paraId="0524CF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702BCF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14:paraId="5BC174A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27A4B5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14:paraId="74C3C9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14:paraId="16289C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14:paraId="2F15CB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10.3 其他资产构成</w:t>
      </w:r>
    </w:p>
    <w:tbl>
      <w:tblPr>
        <w:tblW w:w="5000" w:type="pct"/>
        <w:tblCellMar>
          <w:left w:w="0" w:type="dxa"/>
          <w:right w:w="0" w:type="dxa"/>
        </w:tblCellMar>
        <w:tblLook w:val="04A0" w:firstRow="1" w:lastRow="0" w:firstColumn="1" w:lastColumn="0" w:noHBand="0" w:noVBand="1"/>
      </w:tblPr>
      <w:tblGrid>
        <w:gridCol w:w="1547"/>
        <w:gridCol w:w="4645"/>
        <w:gridCol w:w="2478"/>
      </w:tblGrid>
      <w:tr w:rsidR="00AE2A54" w14:paraId="53995EE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14:paraId="7224679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14:paraId="79A5FA6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6F84C57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r>
      <w:tr w:rsidR="00AE2A54" w14:paraId="7D089C2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DDA553A"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7C046A5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14:paraId="50703E08"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09E8F62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E5CAAC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540FE61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14:paraId="00F9CAE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6,096,663.65</w:t>
            </w:r>
          </w:p>
        </w:tc>
      </w:tr>
      <w:tr w:rsidR="00AE2A54" w14:paraId="0E9A3F3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937020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5E562BD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14:paraId="2ADD809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135,327.48</w:t>
            </w:r>
          </w:p>
        </w:tc>
      </w:tr>
      <w:tr w:rsidR="00AE2A54" w14:paraId="7EFFB2F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E7853E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7937E23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14:paraId="6FED55C1"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79D11D0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2809BB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0AE1D4E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14:paraId="14B18893"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2,871,174.35</w:t>
            </w:r>
          </w:p>
        </w:tc>
      </w:tr>
      <w:tr w:rsidR="00AE2A54" w14:paraId="18B8B09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653AD7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3333C91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14:paraId="64B5422D"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72EA961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05C189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6828B42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14:paraId="7C94C8DC"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E2A54" w14:paraId="65AFE77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C8C8EB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274B589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14:paraId="1092AAD2" w14:textId="77777777" w:rsidR="00AE2A54" w:rsidRDefault="002F705F">
            <w:pPr>
              <w:widowControl/>
              <w:snapToGrid w:val="0"/>
              <w:jc w:val="right"/>
              <w:rPr>
                <w:rFonts w:ascii="宋体" w:hAnsi="宋体"/>
                <w:color w:val="000000"/>
                <w:kern w:val="0"/>
                <w:sz w:val="25"/>
                <w:szCs w:val="24"/>
              </w:rPr>
            </w:pPr>
            <w:r>
              <w:rPr>
                <w:rFonts w:ascii="Times New Roman" w:hAnsi="Times New Roman"/>
                <w:color w:val="000000"/>
                <w:kern w:val="0"/>
                <w:sz w:val="25"/>
                <w:szCs w:val="24"/>
              </w:rPr>
              <w:t>9,103,165.48</w:t>
            </w:r>
          </w:p>
        </w:tc>
      </w:tr>
    </w:tbl>
    <w:p w14:paraId="284FD4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14:paraId="19A130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57DFAF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14:paraId="3B589C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14:paraId="51810F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14:paraId="5F3573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14:paraId="20996CF2"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8F545AC" w14:textId="77777777" w:rsidR="00AE2A54" w:rsidRDefault="002F705F">
      <w:pPr>
        <w:pStyle w:val="1"/>
        <w:snapToGrid w:val="0"/>
        <w:spacing w:beforeLines="0" w:before="240" w:after="240"/>
        <w:rPr>
          <w:rFonts w:ascii="宋体" w:hAnsi="宋体"/>
          <w:szCs w:val="30"/>
        </w:rPr>
      </w:pPr>
      <w:bookmarkStart w:id="7" w:name="_Toc220317699"/>
      <w:r>
        <w:rPr>
          <w:rFonts w:ascii="Times New Roman" w:hAnsi="Times New Roman"/>
          <w:sz w:val="30"/>
        </w:rPr>
        <w:t>五、基金的业绩</w:t>
      </w:r>
      <w:bookmarkEnd w:id="7"/>
    </w:p>
    <w:p w14:paraId="347EB5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基金业绩截止日为2025年03月31日，所载财务数据未经审计师审计。</w:t>
      </w:r>
    </w:p>
    <w:p w14:paraId="7C03A7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14:paraId="3345CE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4A0" w:firstRow="1" w:lastRow="0" w:firstColumn="1" w:lastColumn="0" w:noHBand="0" w:noVBand="1"/>
      </w:tblPr>
      <w:tblGrid>
        <w:gridCol w:w="1300"/>
        <w:gridCol w:w="1300"/>
        <w:gridCol w:w="1300"/>
        <w:gridCol w:w="1301"/>
        <w:gridCol w:w="1301"/>
        <w:gridCol w:w="1301"/>
        <w:gridCol w:w="867"/>
      </w:tblGrid>
      <w:tr w:rsidR="00AE2A54" w14:paraId="37DCC596"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7FDC56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14:paraId="7D89BDC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14:paraId="284172B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14:paraId="71DA11E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14:paraId="55EE5CD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14:paraId="346D1A6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14:paraId="589A708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AE2A54" w14:paraId="592D9DEB"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2B94E8B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14:paraId="0AB019B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14:paraId="20D7FAB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14:paraId="18B9376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14:paraId="148E97B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14:paraId="3D5E737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sz="4" w:space="0" w:color="auto"/>
              <w:left w:val="single" w:sz="4" w:space="0" w:color="auto"/>
              <w:bottom w:val="single" w:sz="4" w:space="0" w:color="auto"/>
              <w:right w:val="single" w:sz="4" w:space="0" w:color="auto"/>
            </w:tcBorders>
            <w:vAlign w:val="center"/>
          </w:tcPr>
          <w:p w14:paraId="6B81447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AE2A54" w14:paraId="4C52B18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6101BD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7309987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14.46%</w:t>
            </w:r>
          </w:p>
        </w:tc>
        <w:tc>
          <w:tcPr>
            <w:tcW w:w="750" w:type="pct"/>
            <w:tcBorders>
              <w:top w:val="single" w:sz="4" w:space="0" w:color="auto"/>
              <w:left w:val="single" w:sz="4" w:space="0" w:color="auto"/>
              <w:bottom w:val="single" w:sz="4" w:space="0" w:color="auto"/>
              <w:right w:val="single" w:sz="4" w:space="0" w:color="auto"/>
            </w:tcBorders>
            <w:vAlign w:val="center"/>
          </w:tcPr>
          <w:p w14:paraId="522A18D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14:paraId="3408D33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17.14%</w:t>
            </w:r>
          </w:p>
        </w:tc>
        <w:tc>
          <w:tcPr>
            <w:tcW w:w="750" w:type="pct"/>
            <w:tcBorders>
              <w:top w:val="single" w:sz="4" w:space="0" w:color="auto"/>
              <w:left w:val="single" w:sz="4" w:space="0" w:color="auto"/>
              <w:bottom w:val="single" w:sz="4" w:space="0" w:color="auto"/>
              <w:right w:val="single" w:sz="4" w:space="0" w:color="auto"/>
            </w:tcBorders>
            <w:vAlign w:val="center"/>
          </w:tcPr>
          <w:p w14:paraId="519AD0C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14:paraId="3B480AD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14:paraId="55D44B1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AE2A54" w14:paraId="7E8D74BD"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B70D2D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525583A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6.84%</w:t>
            </w:r>
          </w:p>
        </w:tc>
        <w:tc>
          <w:tcPr>
            <w:tcW w:w="750" w:type="pct"/>
            <w:tcBorders>
              <w:top w:val="single" w:sz="4" w:space="0" w:color="auto"/>
              <w:left w:val="single" w:sz="4" w:space="0" w:color="auto"/>
              <w:bottom w:val="single" w:sz="4" w:space="0" w:color="auto"/>
              <w:right w:val="single" w:sz="4" w:space="0" w:color="auto"/>
            </w:tcBorders>
            <w:vAlign w:val="center"/>
          </w:tcPr>
          <w:p w14:paraId="35A8A00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14:paraId="2110A1E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9.22%</w:t>
            </w:r>
          </w:p>
        </w:tc>
        <w:tc>
          <w:tcPr>
            <w:tcW w:w="750" w:type="pct"/>
            <w:tcBorders>
              <w:top w:val="single" w:sz="4" w:space="0" w:color="auto"/>
              <w:left w:val="single" w:sz="4" w:space="0" w:color="auto"/>
              <w:bottom w:val="single" w:sz="4" w:space="0" w:color="auto"/>
              <w:right w:val="single" w:sz="4" w:space="0" w:color="auto"/>
            </w:tcBorders>
            <w:vAlign w:val="center"/>
          </w:tcPr>
          <w:p w14:paraId="162122C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14:paraId="10409ED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14:paraId="1A1A507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AE2A54" w14:paraId="5519D658"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3C4678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70C3889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-10.47%</w:t>
            </w:r>
          </w:p>
        </w:tc>
        <w:tc>
          <w:tcPr>
            <w:tcW w:w="750" w:type="pct"/>
            <w:tcBorders>
              <w:top w:val="single" w:sz="4" w:space="0" w:color="auto"/>
              <w:left w:val="single" w:sz="4" w:space="0" w:color="auto"/>
              <w:bottom w:val="single" w:sz="4" w:space="0" w:color="auto"/>
              <w:right w:val="single" w:sz="4" w:space="0" w:color="auto"/>
            </w:tcBorders>
            <w:vAlign w:val="center"/>
          </w:tcPr>
          <w:p w14:paraId="185CFD8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14:paraId="4277D04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-17.86%</w:t>
            </w:r>
          </w:p>
        </w:tc>
        <w:tc>
          <w:tcPr>
            <w:tcW w:w="750" w:type="pct"/>
            <w:tcBorders>
              <w:top w:val="single" w:sz="4" w:space="0" w:color="auto"/>
              <w:left w:val="single" w:sz="4" w:space="0" w:color="auto"/>
              <w:bottom w:val="single" w:sz="4" w:space="0" w:color="auto"/>
              <w:right w:val="single" w:sz="4" w:space="0" w:color="auto"/>
            </w:tcBorders>
            <w:vAlign w:val="center"/>
          </w:tcPr>
          <w:p w14:paraId="097E2DA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14:paraId="48A93A4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7.39%</w:t>
            </w:r>
          </w:p>
        </w:tc>
        <w:tc>
          <w:tcPr>
            <w:tcW w:w="750" w:type="pct"/>
            <w:tcBorders>
              <w:top w:val="single" w:sz="4" w:space="0" w:color="auto"/>
              <w:left w:val="single" w:sz="4" w:space="0" w:color="auto"/>
              <w:bottom w:val="single" w:sz="4" w:space="0" w:color="auto"/>
              <w:right w:val="single" w:sz="4" w:space="0" w:color="auto"/>
            </w:tcBorders>
            <w:vAlign w:val="center"/>
          </w:tcPr>
          <w:p w14:paraId="1F2E7A6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AE2A54" w14:paraId="36A3CE55"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5B40D88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61BF250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14:paraId="7CFC7F0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14:paraId="7DA1B7D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sz="4" w:space="0" w:color="auto"/>
              <w:left w:val="single" w:sz="4" w:space="0" w:color="auto"/>
              <w:bottom w:val="single" w:sz="4" w:space="0" w:color="auto"/>
              <w:right w:val="single" w:sz="4" w:space="0" w:color="auto"/>
            </w:tcBorders>
            <w:vAlign w:val="center"/>
          </w:tcPr>
          <w:p w14:paraId="4017530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14:paraId="59DA1BB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14:paraId="1F6667A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AE2A54" w14:paraId="3A3F1C2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52F6A1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4706050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23.72%</w:t>
            </w:r>
          </w:p>
        </w:tc>
        <w:tc>
          <w:tcPr>
            <w:tcW w:w="750" w:type="pct"/>
            <w:tcBorders>
              <w:top w:val="single" w:sz="4" w:space="0" w:color="auto"/>
              <w:left w:val="single" w:sz="4" w:space="0" w:color="auto"/>
              <w:bottom w:val="single" w:sz="4" w:space="0" w:color="auto"/>
              <w:right w:val="single" w:sz="4" w:space="0" w:color="auto"/>
            </w:tcBorders>
            <w:vAlign w:val="center"/>
          </w:tcPr>
          <w:p w14:paraId="4CFC472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14:paraId="0543241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9.49%</w:t>
            </w:r>
          </w:p>
        </w:tc>
        <w:tc>
          <w:tcPr>
            <w:tcW w:w="750" w:type="pct"/>
            <w:tcBorders>
              <w:top w:val="single" w:sz="4" w:space="0" w:color="auto"/>
              <w:left w:val="single" w:sz="4" w:space="0" w:color="auto"/>
              <w:bottom w:val="single" w:sz="4" w:space="0" w:color="auto"/>
              <w:right w:val="single" w:sz="4" w:space="0" w:color="auto"/>
            </w:tcBorders>
            <w:vAlign w:val="center"/>
          </w:tcPr>
          <w:p w14:paraId="7BCCA70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14:paraId="752F959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14.23%</w:t>
            </w:r>
          </w:p>
        </w:tc>
        <w:tc>
          <w:tcPr>
            <w:tcW w:w="750" w:type="pct"/>
            <w:tcBorders>
              <w:top w:val="single" w:sz="4" w:space="0" w:color="auto"/>
              <w:left w:val="single" w:sz="4" w:space="0" w:color="auto"/>
              <w:bottom w:val="single" w:sz="4" w:space="0" w:color="auto"/>
              <w:right w:val="single" w:sz="4" w:space="0" w:color="auto"/>
            </w:tcBorders>
            <w:vAlign w:val="center"/>
          </w:tcPr>
          <w:p w14:paraId="3D8BE0E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AE2A54" w14:paraId="220A4F8B"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222742F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57416FF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24.99%</w:t>
            </w:r>
          </w:p>
        </w:tc>
        <w:tc>
          <w:tcPr>
            <w:tcW w:w="750" w:type="pct"/>
            <w:tcBorders>
              <w:top w:val="single" w:sz="4" w:space="0" w:color="auto"/>
              <w:left w:val="single" w:sz="4" w:space="0" w:color="auto"/>
              <w:bottom w:val="single" w:sz="4" w:space="0" w:color="auto"/>
              <w:right w:val="single" w:sz="4" w:space="0" w:color="auto"/>
            </w:tcBorders>
            <w:vAlign w:val="center"/>
          </w:tcPr>
          <w:p w14:paraId="047186A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14:paraId="1247EE1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19.62%</w:t>
            </w:r>
          </w:p>
        </w:tc>
        <w:tc>
          <w:tcPr>
            <w:tcW w:w="750" w:type="pct"/>
            <w:tcBorders>
              <w:top w:val="single" w:sz="4" w:space="0" w:color="auto"/>
              <w:left w:val="single" w:sz="4" w:space="0" w:color="auto"/>
              <w:bottom w:val="single" w:sz="4" w:space="0" w:color="auto"/>
              <w:right w:val="single" w:sz="4" w:space="0" w:color="auto"/>
            </w:tcBorders>
            <w:vAlign w:val="center"/>
          </w:tcPr>
          <w:p w14:paraId="6C86BDE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14:paraId="082F376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5.37%</w:t>
            </w:r>
          </w:p>
        </w:tc>
        <w:tc>
          <w:tcPr>
            <w:tcW w:w="750" w:type="pct"/>
            <w:tcBorders>
              <w:top w:val="single" w:sz="4" w:space="0" w:color="auto"/>
              <w:left w:val="single" w:sz="4" w:space="0" w:color="auto"/>
              <w:bottom w:val="single" w:sz="4" w:space="0" w:color="auto"/>
              <w:right w:val="single" w:sz="4" w:space="0" w:color="auto"/>
            </w:tcBorders>
            <w:vAlign w:val="center"/>
          </w:tcPr>
          <w:p w14:paraId="166E56F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AE2A54" w14:paraId="4C0CB737"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009A41D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38DDA83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14:paraId="2A8BBD5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14:paraId="4DEAC89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-11.64%</w:t>
            </w:r>
          </w:p>
        </w:tc>
        <w:tc>
          <w:tcPr>
            <w:tcW w:w="750" w:type="pct"/>
            <w:tcBorders>
              <w:top w:val="single" w:sz="4" w:space="0" w:color="auto"/>
              <w:left w:val="single" w:sz="4" w:space="0" w:color="auto"/>
              <w:bottom w:val="single" w:sz="4" w:space="0" w:color="auto"/>
              <w:right w:val="single" w:sz="4" w:space="0" w:color="auto"/>
            </w:tcBorders>
            <w:vAlign w:val="center"/>
          </w:tcPr>
          <w:p w14:paraId="431DD52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14:paraId="6A86BE3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sz="4" w:space="0" w:color="auto"/>
              <w:left w:val="single" w:sz="4" w:space="0" w:color="auto"/>
              <w:bottom w:val="single" w:sz="4" w:space="0" w:color="auto"/>
              <w:right w:val="single" w:sz="4" w:space="0" w:color="auto"/>
            </w:tcBorders>
            <w:vAlign w:val="center"/>
          </w:tcPr>
          <w:p w14:paraId="4E3B17C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AE2A54" w14:paraId="2883B9E9"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1EDD851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33484BA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19.20%</w:t>
            </w:r>
          </w:p>
        </w:tc>
        <w:tc>
          <w:tcPr>
            <w:tcW w:w="750" w:type="pct"/>
            <w:tcBorders>
              <w:top w:val="single" w:sz="4" w:space="0" w:color="auto"/>
              <w:left w:val="single" w:sz="4" w:space="0" w:color="auto"/>
              <w:bottom w:val="single" w:sz="4" w:space="0" w:color="auto"/>
              <w:right w:val="single" w:sz="4" w:space="0" w:color="auto"/>
            </w:tcBorders>
            <w:vAlign w:val="center"/>
          </w:tcPr>
          <w:p w14:paraId="778A2BC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14:paraId="0ABDD49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25.73%</w:t>
            </w:r>
          </w:p>
        </w:tc>
        <w:tc>
          <w:tcPr>
            <w:tcW w:w="750" w:type="pct"/>
            <w:tcBorders>
              <w:top w:val="single" w:sz="4" w:space="0" w:color="auto"/>
              <w:left w:val="single" w:sz="4" w:space="0" w:color="auto"/>
              <w:bottom w:val="single" w:sz="4" w:space="0" w:color="auto"/>
              <w:right w:val="single" w:sz="4" w:space="0" w:color="auto"/>
            </w:tcBorders>
            <w:vAlign w:val="center"/>
          </w:tcPr>
          <w:p w14:paraId="2F91B5B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14:paraId="03F4256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-6.53%</w:t>
            </w:r>
          </w:p>
        </w:tc>
        <w:tc>
          <w:tcPr>
            <w:tcW w:w="750" w:type="pct"/>
            <w:tcBorders>
              <w:top w:val="single" w:sz="4" w:space="0" w:color="auto"/>
              <w:left w:val="single" w:sz="4" w:space="0" w:color="auto"/>
              <w:bottom w:val="single" w:sz="4" w:space="0" w:color="auto"/>
              <w:right w:val="single" w:sz="4" w:space="0" w:color="auto"/>
            </w:tcBorders>
            <w:vAlign w:val="center"/>
          </w:tcPr>
          <w:p w14:paraId="484C0C6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AE2A54" w14:paraId="5B08DFF3"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07FDCD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2448CD2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7.08%</w:t>
            </w:r>
          </w:p>
        </w:tc>
        <w:tc>
          <w:tcPr>
            <w:tcW w:w="750" w:type="pct"/>
            <w:tcBorders>
              <w:top w:val="single" w:sz="4" w:space="0" w:color="auto"/>
              <w:left w:val="single" w:sz="4" w:space="0" w:color="auto"/>
              <w:bottom w:val="single" w:sz="4" w:space="0" w:color="auto"/>
              <w:right w:val="single" w:sz="4" w:space="0" w:color="auto"/>
            </w:tcBorders>
            <w:vAlign w:val="center"/>
          </w:tcPr>
          <w:p w14:paraId="17F1F90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14:paraId="38EA4D9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sz="4" w:space="0" w:color="auto"/>
              <w:left w:val="single" w:sz="4" w:space="0" w:color="auto"/>
              <w:bottom w:val="single" w:sz="4" w:space="0" w:color="auto"/>
              <w:right w:val="single" w:sz="4" w:space="0" w:color="auto"/>
            </w:tcBorders>
            <w:vAlign w:val="center"/>
          </w:tcPr>
          <w:p w14:paraId="0FAE81F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14:paraId="34BD268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2.86%</w:t>
            </w:r>
          </w:p>
        </w:tc>
        <w:tc>
          <w:tcPr>
            <w:tcW w:w="750" w:type="pct"/>
            <w:tcBorders>
              <w:top w:val="single" w:sz="4" w:space="0" w:color="auto"/>
              <w:left w:val="single" w:sz="4" w:space="0" w:color="auto"/>
              <w:bottom w:val="single" w:sz="4" w:space="0" w:color="auto"/>
              <w:right w:val="single" w:sz="4" w:space="0" w:color="auto"/>
            </w:tcBorders>
            <w:vAlign w:val="center"/>
          </w:tcPr>
          <w:p w14:paraId="577C6A5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AE2A54" w14:paraId="6FDC6891"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E8464A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3815A89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14:paraId="31F2825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14:paraId="3F7F7F1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14:paraId="193AE79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14:paraId="03D2CCE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14:paraId="490C170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AE2A54" w14:paraId="41110E62"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5A47AA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420191B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6.38%</w:t>
            </w:r>
          </w:p>
        </w:tc>
        <w:tc>
          <w:tcPr>
            <w:tcW w:w="750" w:type="pct"/>
            <w:tcBorders>
              <w:top w:val="single" w:sz="4" w:space="0" w:color="auto"/>
              <w:left w:val="single" w:sz="4" w:space="0" w:color="auto"/>
              <w:bottom w:val="single" w:sz="4" w:space="0" w:color="auto"/>
              <w:right w:val="single" w:sz="4" w:space="0" w:color="auto"/>
            </w:tcBorders>
            <w:vAlign w:val="center"/>
          </w:tcPr>
          <w:p w14:paraId="513FCC8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14:paraId="1795657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14:paraId="5961DEE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14:paraId="1AB0C32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sz="4" w:space="0" w:color="auto"/>
              <w:left w:val="single" w:sz="4" w:space="0" w:color="auto"/>
              <w:bottom w:val="single" w:sz="4" w:space="0" w:color="auto"/>
              <w:right w:val="single" w:sz="4" w:space="0" w:color="auto"/>
            </w:tcBorders>
            <w:vAlign w:val="center"/>
          </w:tcPr>
          <w:p w14:paraId="0A3C298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AE2A54" w14:paraId="147EB706"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6619B3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298D8AF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20.01%</w:t>
            </w:r>
          </w:p>
        </w:tc>
        <w:tc>
          <w:tcPr>
            <w:tcW w:w="750" w:type="pct"/>
            <w:tcBorders>
              <w:top w:val="single" w:sz="4" w:space="0" w:color="auto"/>
              <w:left w:val="single" w:sz="4" w:space="0" w:color="auto"/>
              <w:bottom w:val="single" w:sz="4" w:space="0" w:color="auto"/>
              <w:right w:val="single" w:sz="4" w:space="0" w:color="auto"/>
            </w:tcBorders>
            <w:vAlign w:val="center"/>
          </w:tcPr>
          <w:p w14:paraId="3618FFB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14:paraId="7817157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14.89%</w:t>
            </w:r>
          </w:p>
        </w:tc>
        <w:tc>
          <w:tcPr>
            <w:tcW w:w="750" w:type="pct"/>
            <w:tcBorders>
              <w:top w:val="single" w:sz="4" w:space="0" w:color="auto"/>
              <w:left w:val="single" w:sz="4" w:space="0" w:color="auto"/>
              <w:bottom w:val="single" w:sz="4" w:space="0" w:color="auto"/>
              <w:right w:val="single" w:sz="4" w:space="0" w:color="auto"/>
            </w:tcBorders>
            <w:vAlign w:val="center"/>
          </w:tcPr>
          <w:p w14:paraId="289ED44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14:paraId="7042E9E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sz="4" w:space="0" w:color="auto"/>
              <w:left w:val="single" w:sz="4" w:space="0" w:color="auto"/>
              <w:bottom w:val="single" w:sz="4" w:space="0" w:color="auto"/>
              <w:right w:val="single" w:sz="4" w:space="0" w:color="auto"/>
            </w:tcBorders>
            <w:vAlign w:val="center"/>
          </w:tcPr>
          <w:p w14:paraId="5215418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AE2A54" w14:paraId="03A1D436"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5C402DC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2528376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15.61%</w:t>
            </w:r>
          </w:p>
        </w:tc>
        <w:tc>
          <w:tcPr>
            <w:tcW w:w="750" w:type="pct"/>
            <w:tcBorders>
              <w:top w:val="single" w:sz="4" w:space="0" w:color="auto"/>
              <w:left w:val="single" w:sz="4" w:space="0" w:color="auto"/>
              <w:bottom w:val="single" w:sz="4" w:space="0" w:color="auto"/>
              <w:right w:val="single" w:sz="4" w:space="0" w:color="auto"/>
            </w:tcBorders>
            <w:vAlign w:val="center"/>
          </w:tcPr>
          <w:p w14:paraId="12E15E2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14:paraId="6AE5D6C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16.65%</w:t>
            </w:r>
          </w:p>
        </w:tc>
        <w:tc>
          <w:tcPr>
            <w:tcW w:w="750" w:type="pct"/>
            <w:tcBorders>
              <w:top w:val="single" w:sz="4" w:space="0" w:color="auto"/>
              <w:left w:val="single" w:sz="4" w:space="0" w:color="auto"/>
              <w:bottom w:val="single" w:sz="4" w:space="0" w:color="auto"/>
              <w:right w:val="single" w:sz="4" w:space="0" w:color="auto"/>
            </w:tcBorders>
            <w:vAlign w:val="center"/>
          </w:tcPr>
          <w:p w14:paraId="0E6E987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14:paraId="43DC025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14:paraId="6A52C02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AE2A54" w14:paraId="0443F85E"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7256D8C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08C66CB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-23.90%</w:t>
            </w:r>
          </w:p>
        </w:tc>
        <w:tc>
          <w:tcPr>
            <w:tcW w:w="750" w:type="pct"/>
            <w:tcBorders>
              <w:top w:val="single" w:sz="4" w:space="0" w:color="auto"/>
              <w:left w:val="single" w:sz="4" w:space="0" w:color="auto"/>
              <w:bottom w:val="single" w:sz="4" w:space="0" w:color="auto"/>
              <w:right w:val="single" w:sz="4" w:space="0" w:color="auto"/>
            </w:tcBorders>
            <w:vAlign w:val="center"/>
          </w:tcPr>
          <w:p w14:paraId="3F453AB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14:paraId="5DE9511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-12.27%</w:t>
            </w:r>
          </w:p>
        </w:tc>
        <w:tc>
          <w:tcPr>
            <w:tcW w:w="750" w:type="pct"/>
            <w:tcBorders>
              <w:top w:val="single" w:sz="4" w:space="0" w:color="auto"/>
              <w:left w:val="single" w:sz="4" w:space="0" w:color="auto"/>
              <w:bottom w:val="single" w:sz="4" w:space="0" w:color="auto"/>
              <w:right w:val="single" w:sz="4" w:space="0" w:color="auto"/>
            </w:tcBorders>
            <w:vAlign w:val="center"/>
          </w:tcPr>
          <w:p w14:paraId="5AD8F9C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14:paraId="50F3555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-11.63%</w:t>
            </w:r>
          </w:p>
        </w:tc>
        <w:tc>
          <w:tcPr>
            <w:tcW w:w="750" w:type="pct"/>
            <w:tcBorders>
              <w:top w:val="single" w:sz="4" w:space="0" w:color="auto"/>
              <w:left w:val="single" w:sz="4" w:space="0" w:color="auto"/>
              <w:bottom w:val="single" w:sz="4" w:space="0" w:color="auto"/>
              <w:right w:val="single" w:sz="4" w:space="0" w:color="auto"/>
            </w:tcBorders>
            <w:vAlign w:val="center"/>
          </w:tcPr>
          <w:p w14:paraId="221E6CE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AE2A54" w14:paraId="146D546F"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3E9BCE9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7A5169A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14:paraId="204EC34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14:paraId="08A6104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14:paraId="65CC127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14:paraId="60ED5DC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-7.79%</w:t>
            </w:r>
          </w:p>
        </w:tc>
        <w:tc>
          <w:tcPr>
            <w:tcW w:w="750" w:type="pct"/>
            <w:tcBorders>
              <w:top w:val="single" w:sz="4" w:space="0" w:color="auto"/>
              <w:left w:val="single" w:sz="4" w:space="0" w:color="auto"/>
              <w:bottom w:val="single" w:sz="4" w:space="0" w:color="auto"/>
              <w:right w:val="single" w:sz="4" w:space="0" w:color="auto"/>
            </w:tcBorders>
            <w:vAlign w:val="center"/>
          </w:tcPr>
          <w:p w14:paraId="0D33B9D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AE2A54" w14:paraId="70A0FA02"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414CEC4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14:paraId="3F125F3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72.31%</w:t>
            </w:r>
          </w:p>
        </w:tc>
        <w:tc>
          <w:tcPr>
            <w:tcW w:w="750" w:type="pct"/>
            <w:tcBorders>
              <w:top w:val="single" w:sz="4" w:space="0" w:color="auto"/>
              <w:left w:val="single" w:sz="4" w:space="0" w:color="auto"/>
              <w:bottom w:val="single" w:sz="4" w:space="0" w:color="auto"/>
              <w:right w:val="single" w:sz="4" w:space="0" w:color="auto"/>
            </w:tcBorders>
            <w:vAlign w:val="center"/>
          </w:tcPr>
          <w:p w14:paraId="3EDB12D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14:paraId="756E06A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39.14%</w:t>
            </w:r>
          </w:p>
        </w:tc>
        <w:tc>
          <w:tcPr>
            <w:tcW w:w="750" w:type="pct"/>
            <w:tcBorders>
              <w:top w:val="single" w:sz="4" w:space="0" w:color="auto"/>
              <w:left w:val="single" w:sz="4" w:space="0" w:color="auto"/>
              <w:bottom w:val="single" w:sz="4" w:space="0" w:color="auto"/>
              <w:right w:val="single" w:sz="4" w:space="0" w:color="auto"/>
            </w:tcBorders>
            <w:vAlign w:val="center"/>
          </w:tcPr>
          <w:p w14:paraId="1903663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14:paraId="3274B1D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33.17%</w:t>
            </w:r>
          </w:p>
        </w:tc>
        <w:tc>
          <w:tcPr>
            <w:tcW w:w="750" w:type="pct"/>
            <w:tcBorders>
              <w:top w:val="single" w:sz="4" w:space="0" w:color="auto"/>
              <w:left w:val="single" w:sz="4" w:space="0" w:color="auto"/>
              <w:bottom w:val="single" w:sz="4" w:space="0" w:color="auto"/>
              <w:right w:val="single" w:sz="4" w:space="0" w:color="auto"/>
            </w:tcBorders>
            <w:vAlign w:val="center"/>
          </w:tcPr>
          <w:p w14:paraId="41D7032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AE2A54" w14:paraId="49C7EE76" w14:textId="777777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14:paraId="6AA40ED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08</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14:paraId="32D95DF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14:paraId="57F59D3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14:paraId="049E6AA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-30.12%</w:t>
            </w:r>
          </w:p>
        </w:tc>
        <w:tc>
          <w:tcPr>
            <w:tcW w:w="750" w:type="pct"/>
            <w:tcBorders>
              <w:top w:val="single" w:sz="4" w:space="0" w:color="auto"/>
              <w:left w:val="single" w:sz="4" w:space="0" w:color="auto"/>
              <w:bottom w:val="single" w:sz="4" w:space="0" w:color="auto"/>
              <w:right w:val="single" w:sz="4" w:space="0" w:color="auto"/>
            </w:tcBorders>
            <w:vAlign w:val="center"/>
          </w:tcPr>
          <w:p w14:paraId="4C6E70A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sz="4" w:space="0" w:color="auto"/>
              <w:left w:val="single" w:sz="4" w:space="0" w:color="auto"/>
              <w:bottom w:val="single" w:sz="4" w:space="0" w:color="auto"/>
              <w:right w:val="single" w:sz="4" w:space="0" w:color="auto"/>
            </w:tcBorders>
            <w:vAlign w:val="center"/>
          </w:tcPr>
          <w:p w14:paraId="43E52E7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27.42%</w:t>
            </w:r>
          </w:p>
        </w:tc>
        <w:tc>
          <w:tcPr>
            <w:tcW w:w="750" w:type="pct"/>
            <w:tcBorders>
              <w:top w:val="single" w:sz="4" w:space="0" w:color="auto"/>
              <w:left w:val="single" w:sz="4" w:space="0" w:color="auto"/>
              <w:bottom w:val="single" w:sz="4" w:space="0" w:color="auto"/>
              <w:right w:val="single" w:sz="4" w:space="0" w:color="auto"/>
            </w:tcBorders>
            <w:vAlign w:val="center"/>
          </w:tcPr>
          <w:p w14:paraId="4A340C4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-2.99%</w:t>
            </w:r>
          </w:p>
        </w:tc>
      </w:tr>
    </w:tbl>
    <w:p w14:paraId="1614099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19C004AD" w14:textId="77777777" w:rsidR="00AE2A54" w:rsidRDefault="002F705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交银施罗德环球精选价值证券投资基金</w:t>
      </w:r>
    </w:p>
    <w:p w14:paraId="76802421" w14:textId="77777777" w:rsidR="00AE2A54" w:rsidRDefault="002F705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份额累计净值增长率与业绩比较基准收益率历史走势对比图</w:t>
      </w:r>
    </w:p>
    <w:p w14:paraId="2CF70A8A" w14:textId="77777777" w:rsidR="00AE2A54" w:rsidRDefault="002F705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（2008年8月22日至2025年03月31日）</w:t>
      </w:r>
    </w:p>
    <w:p w14:paraId="1C5C100D" w14:textId="77777777" w:rsidR="00AE2A54" w:rsidRDefault="004761C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w14:anchorId="33893E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9.5pt;height:269.25pt">
            <v:imagedata r:id="rId12" o:title="1521256610242020828"/>
          </v:shape>
        </w:pict>
      </w:r>
    </w:p>
    <w:p w14:paraId="08C3BE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14:paraId="586DABF9"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26B4EC5" w14:textId="77777777" w:rsidR="00AE2A54" w:rsidRDefault="002F705F">
      <w:pPr>
        <w:pStyle w:val="1"/>
        <w:snapToGrid w:val="0"/>
        <w:spacing w:beforeLines="0" w:before="240" w:after="240"/>
        <w:rPr>
          <w:rFonts w:ascii="宋体" w:hAnsi="宋体"/>
          <w:szCs w:val="30"/>
        </w:rPr>
      </w:pPr>
      <w:bookmarkStart w:id="8" w:name="_Toc220317700"/>
      <w:r>
        <w:rPr>
          <w:rFonts w:ascii="Times New Roman" w:hAnsi="Times New Roman"/>
          <w:sz w:val="30"/>
        </w:rPr>
        <w:t>六、基金管理人</w:t>
      </w:r>
      <w:bookmarkEnd w:id="8"/>
    </w:p>
    <w:p w14:paraId="69B990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14:paraId="0EF667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1DEFFF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1B389B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65C4B0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14:paraId="45C5EA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54B63A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14:paraId="6DE7C0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14:paraId="6ED9FC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3BC840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14:paraId="0C4C13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14:paraId="5D8B2A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14:paraId="3EDD2B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4A0" w:firstRow="1" w:lastRow="0" w:firstColumn="1" w:lastColumn="0" w:noHBand="0" w:noVBand="1"/>
      </w:tblPr>
      <w:tblGrid>
        <w:gridCol w:w="2167"/>
        <w:gridCol w:w="6503"/>
      </w:tblGrid>
      <w:tr w:rsidR="00AE2A54" w14:paraId="66C4C54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5D322F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14:paraId="4FF0DFC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E2A54" w14:paraId="04846E6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5D130A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14:paraId="654433C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E2A54" w14:paraId="601C208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78D50D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14:paraId="3362607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E2A54" w14:paraId="03EF308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217DC3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14:paraId="586709C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0A2549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14:paraId="5385EA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14:paraId="42BA473A"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7F4B4413"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lastRenderedPageBreak/>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14:paraId="057F7C1A"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06C893D7"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57DC60E4"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3C7DF71A"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单锋先生，独立董事，博士。现任南京大学法学教授职务。历任南京大学法学院助教、讲师、副教授。</w:t>
      </w:r>
    </w:p>
    <w:p w14:paraId="477D65FB"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刘凤元先生，独立董事，博士。现任华东政法大学国际金融法律学院教授，资本市场研究中心主任，兼任多家香港和大陆上市公司（非证券基金经营机构）独立董事。</w:t>
      </w:r>
    </w:p>
    <w:p w14:paraId="30BE173D"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宋若坤女士，独立董事，学士。英格兰及威尔士特许会计师协会和香港会计师公会特许会计师。历任毕马威会计师事务所香港分所审计部副经理，摩根资产管理（香港）亚太区资产管理合规主管等。</w:t>
      </w:r>
    </w:p>
    <w:p w14:paraId="078E5CD3"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2、基金管理人高级管理人员</w:t>
      </w:r>
    </w:p>
    <w:p w14:paraId="7B8BC013"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袁庆伟女士，总经理。简历同上。</w:t>
      </w:r>
    </w:p>
    <w:p w14:paraId="3B54864C"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34B0F2F1" w14:textId="77777777" w:rsidR="001B5817" w:rsidRPr="001B5817" w:rsidRDefault="001B5817" w:rsidP="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马俊先生，副总经理，硕士。历任交通银行总行投资管理部高级投资分析、副高级经理，交银施罗德基金管理有限公司总裁办公室总经理、研究部副总经理、研</w:t>
      </w:r>
      <w:r w:rsidRPr="001B5817">
        <w:rPr>
          <w:rFonts w:ascii="宋体" w:hAnsi="宋体" w:hint="eastAsia"/>
          <w:sz w:val="24"/>
        </w:rPr>
        <w:lastRenderedPageBreak/>
        <w:t>究总监、综合管理部总经理。</w:t>
      </w:r>
    </w:p>
    <w:p w14:paraId="406EC1EF" w14:textId="77777777" w:rsidR="001B5817" w:rsidRDefault="001B5817">
      <w:pPr>
        <w:autoSpaceDE w:val="0"/>
        <w:autoSpaceDN w:val="0"/>
        <w:adjustRightInd w:val="0"/>
        <w:snapToGrid w:val="0"/>
        <w:spacing w:line="360" w:lineRule="auto"/>
        <w:ind w:firstLineChars="200" w:firstLine="480"/>
        <w:jc w:val="left"/>
        <w:rPr>
          <w:rFonts w:ascii="宋体" w:hAnsi="宋体"/>
          <w:sz w:val="24"/>
        </w:rPr>
      </w:pPr>
      <w:r w:rsidRPr="001B5817">
        <w:rPr>
          <w:rFonts w:ascii="宋体" w:hAnsi="宋体" w:hint="eastAsia"/>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6A259F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14:paraId="406FC4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交银施罗德沪深300行业分层等权重指数证券投资基金(2012年12月27日至2015年06月30日)、交银施罗德深证300价值交易型开放式指数证券投资基金联接基金(2012年12月27日至2021年04月30日)、交银施罗德消费新驱动股票型证券投资基金(2012年12月27日至2015年06月30日)、上证180公司治理交易型开放式指数证券投资基金(2012年12月27日至2021年04月30日)、交银施罗德上证180公司治理交易型开放式指数证券投资基金联接基金(2012年12月27日至2021年04月30日)、深证300价值交易型开放式指数证券投资基金(2012年12月27日至2021年04月30日)、交银施罗德国证新能源指数证券投资基金（LOF）(2015年03月26日至2021年04月30日)、交银施罗德环球精选价值证券投资基金(2015年04月22日至2017年03月25日)、交银施罗德全球自然资源证券投资基金(2015年04月22日至2017年03月24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(2018年05月18日至2020年07月17日)、交银施罗德创业板50指数型证券投资基金(2019年11月20日至2021年04月30日)、交银施罗德养老目标日期2035三年持有期混合型基金中基金（FOF）(2021年04月30日至2025年01月22日)、交银施罗德安享稳健养老目标一年持有期混合型基金中基金（FOF）(2021年04月30日至2025年01月22日)的基金经理。现任交银施罗德创业板50指数型证券投资基金(2025年02月27日至</w:t>
      </w:r>
      <w:r>
        <w:rPr>
          <w:rFonts w:ascii="宋体" w:hAnsi="宋体"/>
          <w:sz w:val="24"/>
        </w:rPr>
        <w:lastRenderedPageBreak/>
        <w:t>今)、交银施罗德中证海外中国互联网指数型证券投资基金(LOF)(2025年02月27日至今)、交银施罗德上证180公司治理交易型开放式指数证券投资基金联接基金(2025年02月27日至今)、交银施罗德中证红利低波动100指数型证券投资基金(2025年02月27日至今)、上证180公司治理交易型开放式指数证券投资基金(2025年02月27日至今)、交银施罗德中证智选沪深港科技50交易型开放式指数证券投资基金(2025年12月10日至今)、交银施罗德环球精选价值证券投资基金(2026年01月22日至今)的基金经理。</w:t>
      </w:r>
    </w:p>
    <w:p w14:paraId="1AC5CA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舒薇女士:基金经理。宾夕法尼亚大学MBA、上海交通大学金融硕士、上海交通大学学士，17年证券投资行业从业经验。历任东方证券分析师、中金公司分析师、光大证券分析师、香港瑞士信贷分析师。2019年加入交银施罗德基金管理有限公司，现任跨境投资部基金经理。曾任交银施罗德鸿泰一年持有期混合型证券投资基金(2024年01月18日至2025年08月29日)的基金经理。现任交银施罗德环球精选价值证券投资基金(2020年01月08日至今)、交银施罗德港股通优质精选混合型证券投资基金(2025年09月23日至今)的基金经理。</w:t>
      </w:r>
    </w:p>
    <w:p w14:paraId="30EC62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14:paraId="778A8D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郑伟辉先生(2008年08月22日至2013年03月04日)；</w:t>
      </w:r>
    </w:p>
    <w:p w14:paraId="195F93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饶超先生(2012年04月09日至2014年01月23日)；</w:t>
      </w:r>
    </w:p>
    <w:p w14:paraId="02A172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晏青先生(2012年04月09日至2015年04月21日)；</w:t>
      </w:r>
    </w:p>
    <w:p w14:paraId="06B031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蔡铮先生(2015年04月22日至2017年03月25日)；</w:t>
      </w:r>
    </w:p>
    <w:p w14:paraId="306C48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陈俊华女士(2015年11月21日至2026年01月22日)；</w:t>
      </w:r>
    </w:p>
    <w:p w14:paraId="452DE4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周中先生(2015年12月12日至2024年06月06日)。</w:t>
      </w:r>
    </w:p>
    <w:p w14:paraId="0CAD22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14:paraId="6921D4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14:paraId="51ECF2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14:paraId="0A0F68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14:paraId="0C1DF1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14:paraId="73C0EE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14:paraId="4B921D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14:paraId="3F75FA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14:paraId="2C0D435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w:t>
      </w:r>
      <w:r>
        <w:rPr>
          <w:rFonts w:ascii="宋体" w:hAnsi="宋体"/>
          <w:sz w:val="24"/>
        </w:rPr>
        <w:lastRenderedPageBreak/>
        <w:t>份额的发售、申购、赎回和登记事宜；</w:t>
      </w:r>
    </w:p>
    <w:p w14:paraId="13DDF4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14:paraId="44F678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14:paraId="3E6A3F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14:paraId="0D0007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14:paraId="551CF5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14:paraId="530776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14:paraId="60535C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14:paraId="7919B1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14:paraId="69CAAC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14:paraId="1F4202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14:paraId="42624A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12、选择、更换或撤销境外投资顾问；</w:t>
      </w:r>
    </w:p>
    <w:p w14:paraId="4FD8EB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13、有关法律法规和中国证监会规定的其他职责。</w:t>
      </w:r>
    </w:p>
    <w:p w14:paraId="4FC30C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14:paraId="08D638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14:paraId="1D416FB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7268BA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14:paraId="36C93D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14:paraId="61401A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14:paraId="734058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14:paraId="0694A8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14:paraId="101A91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3、基金管理人承诺严格遵守基金合同，并承诺建立健全内部控制制度，采取有效措施，保证基金财产不用于下列投资或者活动：</w:t>
      </w:r>
    </w:p>
    <w:p w14:paraId="664384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（1）购买不动产；</w:t>
      </w:r>
    </w:p>
    <w:p w14:paraId="472E5A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（2）购买房地产抵押按揭；</w:t>
      </w:r>
    </w:p>
    <w:p w14:paraId="58401D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（3）购买贵重金属或代表贵重金属的凭证；</w:t>
      </w:r>
    </w:p>
    <w:p w14:paraId="2EAA2E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（4）购买实物商品；</w:t>
      </w:r>
    </w:p>
    <w:p w14:paraId="51B41D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（5）除应付赎回、交易清算等临时用途以外，借入现金；</w:t>
      </w:r>
    </w:p>
    <w:p w14:paraId="05E367F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（6）利用融资购买证券，但投资金融衍生品除外；</w:t>
      </w:r>
    </w:p>
    <w:p w14:paraId="00183A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（7）参与未持有基础资产的卖空交易；</w:t>
      </w:r>
    </w:p>
    <w:p w14:paraId="3C9112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（8）从事证券承销业务；</w:t>
      </w:r>
    </w:p>
    <w:p w14:paraId="2484CB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（9）中国证监会禁止的其他行为。</w:t>
      </w:r>
    </w:p>
    <w:p w14:paraId="1588CE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3C69D1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14:paraId="42874A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14:paraId="5B44E6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14:paraId="7D5855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14:paraId="40DF18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14:paraId="49C04C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4、在法律法规禁止的范围内，不以任何形式为其他组织或个人进行证券交易。</w:t>
      </w:r>
    </w:p>
    <w:p w14:paraId="713542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14:paraId="234861F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1、内部控制的原则</w:t>
      </w:r>
    </w:p>
    <w:p w14:paraId="2AE302BE"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（1）健全性原则</w:t>
      </w:r>
    </w:p>
    <w:p w14:paraId="61ED0DD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内部控制应当包括公司的各项业务、各个部门或机构和各级人员，并涵盖到决策、执行、监督、反馈等各个环节。</w:t>
      </w:r>
    </w:p>
    <w:p w14:paraId="5E38AA4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（2）有效性原则</w:t>
      </w:r>
    </w:p>
    <w:p w14:paraId="3EE92FF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通过科学的内控手段和方法，建立合理的内控程序，维护内控制度的有效执行。</w:t>
      </w:r>
    </w:p>
    <w:p w14:paraId="12E2368E"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（3）独立性原则</w:t>
      </w:r>
    </w:p>
    <w:p w14:paraId="0B53A9E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公司各机构、部门和岗位职责应当保持相对独立，除非法律法规另有规定，公司基金资产、自有资产、其他资产的运作应当分离。</w:t>
      </w:r>
    </w:p>
    <w:p w14:paraId="23AA8F6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（4）相互制约原则</w:t>
      </w:r>
    </w:p>
    <w:p w14:paraId="614B9BD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公司内部部门和岗位的设置应当体现权责分明、相互制衡。</w:t>
      </w:r>
    </w:p>
    <w:p w14:paraId="2CA6368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lastRenderedPageBreak/>
        <w:t>（5）成本效益原则</w:t>
      </w:r>
    </w:p>
    <w:p w14:paraId="7F86FEC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公司运用科学化的经营管理方法降低运作成本，提高经济效益，力争以合理的控制成本达到最佳的内部控制效果。</w:t>
      </w:r>
    </w:p>
    <w:p w14:paraId="78E936C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2、风险管理和内部风险控制体系结构</w:t>
      </w:r>
    </w:p>
    <w:p w14:paraId="25E6DDA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24D1875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（1）董事会</w:t>
      </w:r>
    </w:p>
    <w:p w14:paraId="1542C9C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负责制定公司风险偏好（含风险容忍度）、风险管理和内部控制政策，审议并通过与公司内部风险管理和合规有关的重大事项。</w:t>
      </w:r>
    </w:p>
    <w:p w14:paraId="3E43028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（2）合规风险及审计委员会</w:t>
      </w:r>
    </w:p>
    <w:p w14:paraId="2BC5A45B"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583EF55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（3）风险控制委员会</w:t>
      </w:r>
    </w:p>
    <w:p w14:paraId="025648D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433467B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（4）督察长</w:t>
      </w:r>
    </w:p>
    <w:p w14:paraId="4C7AF57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独立行使督察权利；直接对董事会负责；就内部控制制度和执行情况独立地履行检查、评价、报告、建议职能；定期和不定期地向董事会报告公司内部控制执行情况。</w:t>
      </w:r>
    </w:p>
    <w:p w14:paraId="242823B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（5）风险管理部</w:t>
      </w:r>
    </w:p>
    <w:p w14:paraId="32EDCCA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风险管理部负责制定公司风险管理政策和防范及控制措施，汇总公司业务所有的风险信息，独立识别、评估各类风险，提出风险控制建议，使公司在一种风险管理和控制的环境中实现业务目标。</w:t>
      </w:r>
    </w:p>
    <w:p w14:paraId="67D1524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（6）审计部</w:t>
      </w:r>
    </w:p>
    <w:p w14:paraId="644F24D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审计部负责按照公司要求，根据国家法律法规及行业规范，结合公司战略发展</w:t>
      </w:r>
      <w:r>
        <w:rPr>
          <w:rFonts w:ascii="宋体" w:hAnsi="宋体" w:hint="eastAsia"/>
          <w:sz w:val="24"/>
        </w:rPr>
        <w:lastRenderedPageBreak/>
        <w:t>及管理目标，对公司内部控制体系的适当性及运行的效果和效率进行独立评价，协助促进公司风险管理、控制和治理过程的完善，实现合规经营目标。</w:t>
      </w:r>
    </w:p>
    <w:p w14:paraId="4B4465C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（7）内控合规及法律事务部</w:t>
      </w:r>
    </w:p>
    <w:p w14:paraId="1A00724F"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1E2E085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（8）业务部门</w:t>
      </w:r>
    </w:p>
    <w:p w14:paraId="6702713B"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风险管理是每一个业务部门首要的责任。部门负责人对本部门的风险负全部责任，负责履行公司的风险管理程序，负责本部门的风险管理系统的开发、执行和维护，用于识别、监控和降低风险。</w:t>
      </w:r>
    </w:p>
    <w:p w14:paraId="63BEC1CB"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3、风险管理和内部风险控制的措施</w:t>
      </w:r>
    </w:p>
    <w:p w14:paraId="281D6F0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（1）建立内控体系，完善内控制度</w:t>
      </w:r>
    </w:p>
    <w:p w14:paraId="0C3910B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公司建立、健全了内控体系，通过高管人员关于内控的明确分工，确保各项业务活动有恰当的组织和授权，确保监察活动独立，并得到高管人员的支持，同时置备操作手册，并定期更新。</w:t>
      </w:r>
    </w:p>
    <w:p w14:paraId="04425C8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（2）建立相互分离、相互制衡的内控机制</w:t>
      </w:r>
    </w:p>
    <w:p w14:paraId="00E35A3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建立、健全了各项制度，做到基金经理分开，投资决策分开，基金交易集中，形成不同部门、不同岗位之间的制衡机制，从制度上减少和防范风险。</w:t>
      </w:r>
    </w:p>
    <w:p w14:paraId="2D07CC6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（3）建立、健全岗位责任制</w:t>
      </w:r>
    </w:p>
    <w:p w14:paraId="1F39C45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建立、健全了岗位责任制，使每个员工都明确自己的任务、职责，并及时将各自工作领域中的风险隐患上报，以防范和减少风险。</w:t>
      </w:r>
    </w:p>
    <w:p w14:paraId="062E2E0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（4）建立风险分类、识别、评估、报告、提示程序</w:t>
      </w:r>
    </w:p>
    <w:p w14:paraId="34A8EB1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4F4FD56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（5）建立有效的内部监控系统</w:t>
      </w:r>
    </w:p>
    <w:p w14:paraId="44BB35F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建立了足够、有效的内部监控系统，对可能出现的各种风险进行全面和实时的监控。</w:t>
      </w:r>
    </w:p>
    <w:p w14:paraId="5D11F67B"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（6）使用数量化的风险管理手段</w:t>
      </w:r>
    </w:p>
    <w:p w14:paraId="1529BDE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采取数量化、技术化的风险控制手段，建立数量化的风险管理模型，用以提示</w:t>
      </w:r>
      <w:r>
        <w:rPr>
          <w:rFonts w:ascii="宋体" w:hAnsi="宋体" w:hint="eastAsia"/>
          <w:sz w:val="24"/>
        </w:rPr>
        <w:lastRenderedPageBreak/>
        <w:t>指数趋势、行业及个券的风险，以便公司及时采取有效的措施，对风险进行分散、控制和规避，尽可能地减少损失。</w:t>
      </w:r>
    </w:p>
    <w:p w14:paraId="7D670C0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（7）提供足够的培训</w:t>
      </w:r>
    </w:p>
    <w:p w14:paraId="754447F8"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hint="eastAsia"/>
          <w:sz w:val="24"/>
        </w:rPr>
        <w:t>制定了完整的培训计划，为所有员工提供足够和适当的培训，使员工明确其职责所在，控制风险。</w:t>
      </w:r>
    </w:p>
    <w:p w14:paraId="5789EB8E" w14:textId="77777777" w:rsidR="00AE2A54" w:rsidRDefault="002F705F">
      <w:pPr>
        <w:pStyle w:val="1"/>
        <w:snapToGrid w:val="0"/>
        <w:spacing w:beforeLines="0" w:before="240" w:after="240"/>
        <w:rPr>
          <w:rFonts w:ascii="宋体" w:hAnsi="宋体"/>
          <w:szCs w:val="30"/>
        </w:rPr>
      </w:pPr>
      <w:bookmarkStart w:id="9" w:name="_Toc220317701"/>
      <w:r>
        <w:rPr>
          <w:rFonts w:ascii="Times New Roman" w:hAnsi="Times New Roman"/>
          <w:sz w:val="30"/>
        </w:rPr>
        <w:br w:type="page"/>
      </w:r>
      <w:r>
        <w:rPr>
          <w:rFonts w:ascii="Times New Roman" w:hAnsi="Times New Roman"/>
          <w:sz w:val="30"/>
        </w:rPr>
        <w:lastRenderedPageBreak/>
        <w:t>七、境外投资顾问</w:t>
      </w:r>
      <w:bookmarkEnd w:id="9"/>
    </w:p>
    <w:p w14:paraId="611E872B"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hint="eastAsia"/>
          <w:sz w:val="24"/>
        </w:rPr>
        <w:t>本基金暂不设境外投资顾问。</w:t>
      </w:r>
      <w:r>
        <w:rPr>
          <w:rFonts w:ascii="宋体" w:hAnsi="宋体"/>
          <w:sz w:val="24"/>
        </w:rPr>
        <w:br w:type="page"/>
      </w:r>
    </w:p>
    <w:p w14:paraId="6B345BA1" w14:textId="77777777" w:rsidR="00AE2A54" w:rsidRDefault="002F705F">
      <w:pPr>
        <w:pStyle w:val="1"/>
        <w:snapToGrid w:val="0"/>
        <w:spacing w:beforeLines="0" w:before="240" w:after="240"/>
        <w:rPr>
          <w:rFonts w:ascii="宋体" w:hAnsi="宋体"/>
          <w:szCs w:val="30"/>
        </w:rPr>
      </w:pPr>
      <w:bookmarkStart w:id="10" w:name="_Toc220317702"/>
      <w:r>
        <w:rPr>
          <w:rFonts w:ascii="Times New Roman" w:hAnsi="Times New Roman"/>
          <w:sz w:val="30"/>
        </w:rPr>
        <w:t>八、基金的历史沿革</w:t>
      </w:r>
      <w:bookmarkEnd w:id="10"/>
    </w:p>
    <w:p w14:paraId="52AC15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2008年5月5日中国证券监督管理委员会证监许可【2008】635号文批准募集发售。基金管理人为交银施罗德基金管理有限公司，基金托管人为中国建设银行股份有限公司。</w:t>
      </w:r>
    </w:p>
    <w:p w14:paraId="2EC618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本基金自2015年8月8日起由契约型开放式股票型基金变更为契约型开放式混合型基金。基金存续期间为不定期。</w:t>
      </w:r>
    </w:p>
    <w:p w14:paraId="009599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14:paraId="0638D5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本基金于2008年7月15日进行发售。本基金设立募集期共募集508,425,627.85份基金份额，有效认购户数为13,842户。</w:t>
      </w:r>
    </w:p>
    <w:p w14:paraId="4D5F00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等相关法律法规及基金合同的约定，经基金管理人与基金托管人协商一致，报中国证监会备案并公告，自2015年8月8日起，本基金类型变更为混合型基金，相应修改基金合同和托管协议相关表述，无需召开基金份额持有人大会，修改后的基金合同自同日起生效。</w:t>
      </w:r>
    </w:p>
    <w:p w14:paraId="50B6074B"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72429BDD" w14:textId="77777777" w:rsidR="00AE2A54" w:rsidRDefault="002F705F">
      <w:pPr>
        <w:pStyle w:val="1"/>
        <w:snapToGrid w:val="0"/>
        <w:spacing w:beforeLines="0" w:before="240" w:after="240"/>
        <w:rPr>
          <w:rFonts w:ascii="宋体" w:hAnsi="宋体"/>
          <w:szCs w:val="30"/>
        </w:rPr>
      </w:pPr>
      <w:bookmarkStart w:id="11" w:name="_Toc220317703"/>
      <w:r>
        <w:rPr>
          <w:rFonts w:ascii="Times New Roman" w:hAnsi="Times New Roman"/>
          <w:sz w:val="30"/>
        </w:rPr>
        <w:t>九、基金的存续</w:t>
      </w:r>
      <w:bookmarkEnd w:id="11"/>
    </w:p>
    <w:p w14:paraId="006262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14:paraId="5965B94C"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2E827513" w14:textId="77777777" w:rsidR="00AE2A54" w:rsidRDefault="002F705F">
      <w:pPr>
        <w:pStyle w:val="1"/>
        <w:snapToGrid w:val="0"/>
        <w:spacing w:beforeLines="0" w:before="240" w:after="240"/>
        <w:rPr>
          <w:rFonts w:ascii="宋体" w:hAnsi="宋体"/>
          <w:szCs w:val="30"/>
        </w:rPr>
      </w:pPr>
      <w:bookmarkStart w:id="12" w:name="_Toc220317704"/>
      <w:r>
        <w:rPr>
          <w:rFonts w:ascii="Times New Roman" w:hAnsi="Times New Roman"/>
          <w:sz w:val="30"/>
        </w:rPr>
        <w:t>十、基金份额的申购与赎回</w:t>
      </w:r>
      <w:bookmarkEnd w:id="12"/>
    </w:p>
    <w:p w14:paraId="5DD221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（一）申购和赎回的场所</w:t>
      </w:r>
    </w:p>
    <w:p w14:paraId="6154B1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14:paraId="092AB1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14:paraId="45F99C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14:paraId="13F30A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6DD518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2329CF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1615E2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14:paraId="60B1AC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14:paraId="1B3455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14:paraId="41BCA6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14:paraId="7D4ABB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36F9DF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个人投资者可以通过本公司网上直销交易平台办理开户、本基金的申购、赎回及定期定额投资等业务，具体交易细则请参阅本公司网站。网上直销交易平台网址：www.fund001.com</w:t>
      </w:r>
    </w:p>
    <w:p w14:paraId="2AED8A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14:paraId="75E24A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本基金的代销机构的代销网点请见本招募说明书“二十、相关服务机构”章节或拨打本公司客户服务电话进行咨询。</w:t>
      </w:r>
    </w:p>
    <w:p w14:paraId="0547A7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14:paraId="28F0197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14:paraId="1E0E65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（二）申购和赎回的开放日及时间</w:t>
      </w:r>
    </w:p>
    <w:p w14:paraId="296001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14:paraId="631CFF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人办理基金申购、赎回等业务的证券交易所交易日（基金管理人根据法律法规或基金合同的规定公告暂停申购、赎回时除外）。代销网点在开放日的具体业务办理时间为上海证券交易所、深圳证券交易所交易日的交</w:t>
      </w:r>
      <w:r>
        <w:rPr>
          <w:rFonts w:ascii="宋体" w:hAnsi="宋体"/>
          <w:sz w:val="24"/>
        </w:rPr>
        <w:lastRenderedPageBreak/>
        <w:t>易时间。如遇下列情况则开放日顺延：</w:t>
      </w:r>
    </w:p>
    <w:p w14:paraId="6A75E5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1）国内的节假日；</w:t>
      </w:r>
    </w:p>
    <w:p w14:paraId="47EB46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所投资的主要市场暂停交易。一般情况下，如由于一个或多个市场暂停交易，致使本基金资产净值20%以上的资产无法交易或估值（资产净值比例以本基金在决定暂停申购或赎回前一个估值日的投资组合为基础），本基金将决定是否暂停申购或赎回。</w:t>
      </w:r>
    </w:p>
    <w:p w14:paraId="27F56E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0DAADB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14:paraId="6EA6D404"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本基金</w:t>
      </w:r>
      <w:r>
        <w:rPr>
          <w:rFonts w:ascii="宋体" w:hAnsi="宋体" w:hint="eastAsia"/>
          <w:sz w:val="24"/>
        </w:rPr>
        <w:t>A类基金份额</w:t>
      </w:r>
      <w:r>
        <w:rPr>
          <w:rFonts w:ascii="宋体" w:hAnsi="宋体"/>
          <w:sz w:val="24"/>
        </w:rPr>
        <w:t>已于2008年11月21日开放日常申购业务。</w:t>
      </w:r>
    </w:p>
    <w:p w14:paraId="11207DAA" w14:textId="77777777" w:rsidR="00AE2A54" w:rsidRPr="00F3029D"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本基金C类基金份额于202</w:t>
      </w:r>
      <w:r>
        <w:rPr>
          <w:rFonts w:ascii="宋体" w:hAnsi="宋体"/>
          <w:sz w:val="24"/>
        </w:rPr>
        <w:t>6</w:t>
      </w:r>
      <w:r>
        <w:rPr>
          <w:rFonts w:ascii="宋体" w:hAnsi="宋体" w:hint="eastAsia"/>
          <w:sz w:val="24"/>
        </w:rPr>
        <w:t>年</w:t>
      </w:r>
      <w:r>
        <w:rPr>
          <w:rFonts w:ascii="宋体" w:hAnsi="宋体"/>
          <w:sz w:val="24"/>
        </w:rPr>
        <w:t>4</w:t>
      </w:r>
      <w:r>
        <w:rPr>
          <w:rFonts w:ascii="宋体" w:hAnsi="宋体" w:hint="eastAsia"/>
          <w:sz w:val="24"/>
        </w:rPr>
        <w:t>月</w:t>
      </w:r>
      <w:r>
        <w:rPr>
          <w:rFonts w:ascii="宋体" w:hAnsi="宋体"/>
          <w:sz w:val="24"/>
        </w:rPr>
        <w:t>15</w:t>
      </w:r>
      <w:r>
        <w:rPr>
          <w:rFonts w:ascii="宋体" w:hAnsi="宋体" w:hint="eastAsia"/>
          <w:sz w:val="24"/>
        </w:rPr>
        <w:t>日起开放日常申购业务。</w:t>
      </w:r>
    </w:p>
    <w:p w14:paraId="26819E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14:paraId="55BABE7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本基金</w:t>
      </w:r>
      <w:r>
        <w:rPr>
          <w:rFonts w:ascii="宋体" w:hAnsi="宋体" w:hint="eastAsia"/>
          <w:sz w:val="24"/>
        </w:rPr>
        <w:t>A类基金份额</w:t>
      </w:r>
      <w:r>
        <w:rPr>
          <w:rFonts w:ascii="宋体" w:hAnsi="宋体"/>
          <w:sz w:val="24"/>
        </w:rPr>
        <w:t>已于2008年11月5日开放日常赎回业务。</w:t>
      </w:r>
    </w:p>
    <w:p w14:paraId="7829C94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本基金C类基金份额于202</w:t>
      </w:r>
      <w:r>
        <w:rPr>
          <w:rFonts w:ascii="宋体" w:hAnsi="宋体"/>
          <w:sz w:val="24"/>
        </w:rPr>
        <w:t>6</w:t>
      </w:r>
      <w:r>
        <w:rPr>
          <w:rFonts w:ascii="宋体" w:hAnsi="宋体" w:hint="eastAsia"/>
          <w:sz w:val="24"/>
        </w:rPr>
        <w:t>年</w:t>
      </w:r>
      <w:r>
        <w:rPr>
          <w:rFonts w:ascii="宋体" w:hAnsi="宋体"/>
          <w:sz w:val="24"/>
        </w:rPr>
        <w:t>4</w:t>
      </w:r>
      <w:r>
        <w:rPr>
          <w:rFonts w:ascii="宋体" w:hAnsi="宋体" w:hint="eastAsia"/>
          <w:sz w:val="24"/>
        </w:rPr>
        <w:t>月</w:t>
      </w:r>
      <w:r>
        <w:rPr>
          <w:rFonts w:ascii="宋体" w:hAnsi="宋体"/>
          <w:sz w:val="24"/>
        </w:rPr>
        <w:t>15</w:t>
      </w:r>
      <w:r>
        <w:rPr>
          <w:rFonts w:ascii="宋体" w:hAnsi="宋体" w:hint="eastAsia"/>
          <w:sz w:val="24"/>
        </w:rPr>
        <w:t>日起开放日常赎回业务。</w:t>
      </w:r>
    </w:p>
    <w:p w14:paraId="39F3B07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（三）申购和赎回的原则</w:t>
      </w:r>
    </w:p>
    <w:p w14:paraId="54C66B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w:t>
      </w:r>
      <w:r>
        <w:rPr>
          <w:rFonts w:ascii="宋体" w:hAnsi="宋体" w:hint="eastAsia"/>
          <w:sz w:val="24"/>
        </w:rPr>
        <w:t>该类</w:t>
      </w:r>
      <w:r>
        <w:rPr>
          <w:rFonts w:ascii="宋体" w:hAnsi="宋体"/>
          <w:sz w:val="24"/>
        </w:rPr>
        <w:t>基金份额净值为基准进行计算；</w:t>
      </w:r>
    </w:p>
    <w:p w14:paraId="5B2165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14:paraId="2B4EC9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14:paraId="088D50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14:paraId="3065CE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14:paraId="4CAF75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14:paraId="022AD6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（四）申购和赎回的数额限定</w:t>
      </w:r>
    </w:p>
    <w:p w14:paraId="408631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14:paraId="77315E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代销网点每个账户申购最低金额为单笔1元，如果代销机构业务规则规定的最低单笔申购金额高于1元，以代销机构的规定为准。</w:t>
      </w:r>
    </w:p>
    <w:p w14:paraId="3BFFEA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直销网点每个账户首次申购的最低金额为单笔100万元，追加申购的最低金额为单笔10万元；已在直销网点有认购或申购过本基金管理人管理的任一基金（包括本基金）记录的投资人不受首次申购最低金额的限制。通过本公司网上直销交易平台办理基金申购业务的不受直销网点单笔申购最低金额的限制，申购最低金额为单笔1元。本基金直销网点单笔申购最低金额可由基金管理人酌情调整。</w:t>
      </w:r>
    </w:p>
    <w:p w14:paraId="63CBF4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14:paraId="226AB2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14:paraId="723CCE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14:paraId="21D365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14:paraId="45F069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32F905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14:paraId="166663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（五）申购和赎回的程序</w:t>
      </w:r>
    </w:p>
    <w:p w14:paraId="7103AA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14:paraId="34A8F1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14:paraId="5034C9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14:paraId="141D7A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投资人在提交赎回申请时，必须持有足够的基金份额余额，否则所提交的赎回申请无效而不予成交。</w:t>
      </w:r>
    </w:p>
    <w:p w14:paraId="49DF53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14:paraId="179EE9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结算机构应以交易时间结束前受理申购和赎回申请的当天作为申购或赎回申请日(T日)，正常情况下，本基金登记结算机构在T+2日内对该交易的有效性进行确认。T日提交的有效申请，投资人可在T+3日后（包括该日）到销售网点柜台或以销售机构规定的其他方式查询申请的确认情况。</w:t>
      </w:r>
    </w:p>
    <w:p w14:paraId="46818F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3、申购和赎回的款项支付</w:t>
      </w:r>
    </w:p>
    <w:p w14:paraId="73768F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14:paraId="2674AD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10个工作日（包括该日）内从托管账户将赎回款项划出，经销售机构划往基金份额持有人银行账户；在发生巨额赎回时，款项的支付办法参照基金合同的有关条款处理。</w:t>
      </w:r>
    </w:p>
    <w:p w14:paraId="653AC7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14:paraId="1B06C2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投资人申购基金成功后，登记结算机构在T+2日为投资人登记权益并办理份额注册登记手续，投资人自T+3日（含该日）后有权赎回该部分基金份额。</w:t>
      </w:r>
    </w:p>
    <w:p w14:paraId="6D55AF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投资人赎回基金成功后，登记结算机构在T+2日为投资人办理扣除权益的份额注册登记手续。</w:t>
      </w:r>
    </w:p>
    <w:p w14:paraId="0B2EC4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14:paraId="1C2C3A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（六）基金的申购费和赎回费</w:t>
      </w:r>
    </w:p>
    <w:p w14:paraId="67BBB3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14:paraId="7ECAD10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本基金基金份额分为A类基金份额和C类基金份额。投资人申购A类基金份额在申购时支付申购费用；申购C类基金份额不支付申购费用。</w:t>
      </w:r>
    </w:p>
    <w:p w14:paraId="45C2414D" w14:textId="7732B490"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w:t>
      </w:r>
      <w:r>
        <w:rPr>
          <w:rFonts w:ascii="宋体" w:hAnsi="宋体" w:hint="eastAsia"/>
          <w:sz w:val="24"/>
        </w:rPr>
        <w:t>A类基金份额</w:t>
      </w:r>
      <w:r>
        <w:rPr>
          <w:rFonts w:ascii="宋体" w:hAnsi="宋体"/>
          <w:sz w:val="24"/>
        </w:rPr>
        <w:t>的申购费用由</w:t>
      </w:r>
      <w:r>
        <w:rPr>
          <w:rFonts w:ascii="宋体" w:hAnsi="宋体" w:hint="eastAsia"/>
          <w:sz w:val="24"/>
        </w:rPr>
        <w:t>申购A类基金份额的</w:t>
      </w:r>
      <w:r>
        <w:rPr>
          <w:rFonts w:ascii="宋体" w:hAnsi="宋体"/>
          <w:sz w:val="24"/>
        </w:rPr>
        <w:t>申购人承担，不列入基金财产，主要用于本基金的市场推广、销售、登记结算等各项费用。</w:t>
      </w:r>
    </w:p>
    <w:p w14:paraId="48500A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w:t>
      </w:r>
      <w:r>
        <w:rPr>
          <w:rFonts w:ascii="宋体" w:hAnsi="宋体" w:hint="eastAsia"/>
          <w:sz w:val="24"/>
        </w:rPr>
        <w:t>A类基金份额（非养老金客户）</w:t>
      </w:r>
      <w:r>
        <w:rPr>
          <w:rFonts w:ascii="宋体" w:hAnsi="宋体"/>
          <w:sz w:val="24"/>
        </w:rPr>
        <w:t>的申购费率如下：</w:t>
      </w:r>
    </w:p>
    <w:tbl>
      <w:tblPr>
        <w:tblW w:w="5000" w:type="pct"/>
        <w:tblCellMar>
          <w:left w:w="0" w:type="dxa"/>
          <w:right w:w="0" w:type="dxa"/>
        </w:tblCellMar>
        <w:tblLook w:val="04A0" w:firstRow="1" w:lastRow="0" w:firstColumn="1" w:lastColumn="0" w:noHBand="0" w:noVBand="1"/>
      </w:tblPr>
      <w:tblGrid>
        <w:gridCol w:w="4117"/>
        <w:gridCol w:w="4553"/>
      </w:tblGrid>
      <w:tr w:rsidR="00AE2A54" w14:paraId="5F291A6D"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41B76C2A" w14:textId="77777777" w:rsidR="00AE2A54" w:rsidRDefault="002F705F" w:rsidP="00F3029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2626" w:type="pct"/>
            <w:tcBorders>
              <w:top w:val="single" w:sz="4" w:space="0" w:color="auto"/>
              <w:left w:val="single" w:sz="4" w:space="0" w:color="auto"/>
              <w:bottom w:val="single" w:sz="4" w:space="0" w:color="auto"/>
              <w:right w:val="single" w:sz="4" w:space="0" w:color="auto"/>
            </w:tcBorders>
            <w:vAlign w:val="center"/>
          </w:tcPr>
          <w:p w14:paraId="34BD59C1" w14:textId="77777777" w:rsidR="00AE2A54" w:rsidRDefault="002F705F" w:rsidP="00F3029D">
            <w:pPr>
              <w:widowControl/>
              <w:snapToGrid w:val="0"/>
              <w:jc w:val="center"/>
              <w:rPr>
                <w:rFonts w:ascii="宋体" w:hAnsi="宋体"/>
                <w:color w:val="000000"/>
                <w:kern w:val="0"/>
                <w:sz w:val="25"/>
                <w:szCs w:val="24"/>
              </w:rPr>
            </w:pPr>
            <w:r>
              <w:rPr>
                <w:rFonts w:ascii="Times New Roman" w:hAnsi="Times New Roman" w:hint="eastAsia"/>
                <w:color w:val="000000"/>
                <w:kern w:val="0"/>
                <w:sz w:val="25"/>
                <w:szCs w:val="24"/>
              </w:rPr>
              <w:t>A</w:t>
            </w:r>
            <w:r>
              <w:rPr>
                <w:rFonts w:ascii="Times New Roman" w:hAnsi="Times New Roman" w:hint="eastAsia"/>
                <w:color w:val="000000"/>
                <w:kern w:val="0"/>
                <w:sz w:val="25"/>
                <w:szCs w:val="24"/>
              </w:rPr>
              <w:t>类基金份额</w:t>
            </w:r>
            <w:r>
              <w:rPr>
                <w:rFonts w:ascii="Times New Roman" w:hAnsi="Times New Roman"/>
                <w:color w:val="000000"/>
                <w:kern w:val="0"/>
                <w:sz w:val="25"/>
                <w:szCs w:val="24"/>
              </w:rPr>
              <w:t>申购费率</w:t>
            </w:r>
          </w:p>
        </w:tc>
      </w:tr>
      <w:tr w:rsidR="00AE2A54" w14:paraId="5F0F30F2"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46E7B53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2626" w:type="pct"/>
            <w:tcBorders>
              <w:top w:val="single" w:sz="4" w:space="0" w:color="auto"/>
              <w:left w:val="single" w:sz="4" w:space="0" w:color="auto"/>
              <w:bottom w:val="single" w:sz="4" w:space="0" w:color="auto"/>
              <w:right w:val="single" w:sz="4" w:space="0" w:color="auto"/>
            </w:tcBorders>
            <w:vAlign w:val="center"/>
          </w:tcPr>
          <w:p w14:paraId="421FF53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E2A54" w14:paraId="6FEFA8FD"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64D5985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2626" w:type="pct"/>
            <w:tcBorders>
              <w:top w:val="single" w:sz="4" w:space="0" w:color="auto"/>
              <w:left w:val="single" w:sz="4" w:space="0" w:color="auto"/>
              <w:bottom w:val="single" w:sz="4" w:space="0" w:color="auto"/>
              <w:right w:val="single" w:sz="4" w:space="0" w:color="auto"/>
            </w:tcBorders>
            <w:vAlign w:val="center"/>
          </w:tcPr>
          <w:p w14:paraId="7141448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E2A54" w14:paraId="223A7A25"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5832F51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2626" w:type="pct"/>
            <w:tcBorders>
              <w:top w:val="single" w:sz="4" w:space="0" w:color="auto"/>
              <w:left w:val="single" w:sz="4" w:space="0" w:color="auto"/>
              <w:bottom w:val="single" w:sz="4" w:space="0" w:color="auto"/>
              <w:right w:val="single" w:sz="4" w:space="0" w:color="auto"/>
            </w:tcBorders>
            <w:vAlign w:val="center"/>
          </w:tcPr>
          <w:p w14:paraId="35F20F1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AE2A54" w14:paraId="31A4B17B"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386C902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2626" w:type="pct"/>
            <w:tcBorders>
              <w:top w:val="single" w:sz="4" w:space="0" w:color="auto"/>
              <w:left w:val="single" w:sz="4" w:space="0" w:color="auto"/>
              <w:bottom w:val="single" w:sz="4" w:space="0" w:color="auto"/>
              <w:right w:val="single" w:sz="4" w:space="0" w:color="auto"/>
            </w:tcBorders>
            <w:vAlign w:val="center"/>
          </w:tcPr>
          <w:p w14:paraId="37E39A5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E2A54" w14:paraId="2B061580" w14:textId="77777777" w:rsidTr="00F3029D">
        <w:trPr>
          <w:cantSplit/>
          <w:trHeight w:val="375"/>
        </w:trPr>
        <w:tc>
          <w:tcPr>
            <w:tcW w:w="2374" w:type="pct"/>
            <w:tcBorders>
              <w:top w:val="single" w:sz="4" w:space="0" w:color="auto"/>
              <w:left w:val="single" w:sz="4" w:space="0" w:color="auto"/>
              <w:bottom w:val="single" w:sz="4" w:space="0" w:color="auto"/>
              <w:right w:val="single" w:sz="4" w:space="0" w:color="auto"/>
            </w:tcBorders>
            <w:vAlign w:val="center"/>
          </w:tcPr>
          <w:p w14:paraId="1639862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2626" w:type="pct"/>
            <w:tcBorders>
              <w:top w:val="single" w:sz="4" w:space="0" w:color="auto"/>
              <w:left w:val="single" w:sz="4" w:space="0" w:color="auto"/>
              <w:bottom w:val="single" w:sz="4" w:space="0" w:color="auto"/>
              <w:right w:val="single" w:sz="4" w:space="0" w:color="auto"/>
            </w:tcBorders>
            <w:vAlign w:val="center"/>
          </w:tcPr>
          <w:p w14:paraId="37DCC1D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14:paraId="23739D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持有A类基金份额的投资人</w:t>
      </w:r>
      <w:r>
        <w:rPr>
          <w:rFonts w:ascii="宋体" w:hAnsi="宋体"/>
          <w:sz w:val="24"/>
        </w:rPr>
        <w:t>因红利自动再投资而产生的</w:t>
      </w:r>
      <w:r>
        <w:rPr>
          <w:rFonts w:ascii="宋体" w:hAnsi="宋体" w:hint="eastAsia"/>
          <w:sz w:val="24"/>
        </w:rPr>
        <w:t>A类</w:t>
      </w:r>
      <w:r>
        <w:rPr>
          <w:rFonts w:ascii="宋体" w:hAnsi="宋体"/>
          <w:sz w:val="24"/>
        </w:rPr>
        <w:t>基金份额，不收取相应的申购费用。</w:t>
      </w:r>
    </w:p>
    <w:p w14:paraId="2573D4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w:t>
      </w:r>
      <w:r>
        <w:rPr>
          <w:rFonts w:ascii="宋体" w:hAnsi="宋体" w:hint="eastAsia"/>
          <w:sz w:val="24"/>
        </w:rPr>
        <w:t>A类基金份额</w:t>
      </w:r>
      <w:r>
        <w:rPr>
          <w:rFonts w:ascii="宋体" w:hAnsi="宋体"/>
          <w:sz w:val="24"/>
        </w:rPr>
        <w:t>的</w:t>
      </w:r>
      <w:r>
        <w:rPr>
          <w:rFonts w:ascii="宋体" w:hAnsi="宋体"/>
          <w:sz w:val="24"/>
        </w:rPr>
        <w:lastRenderedPageBreak/>
        <w:t>养老金客户实施特定申购费率。</w:t>
      </w:r>
    </w:p>
    <w:p w14:paraId="67AA36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14:paraId="07EFA2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w:t>
      </w:r>
      <w:r>
        <w:rPr>
          <w:rFonts w:ascii="宋体" w:hAnsi="宋体" w:hint="eastAsia"/>
          <w:sz w:val="24"/>
        </w:rPr>
        <w:t>A类</w:t>
      </w:r>
      <w:r>
        <w:rPr>
          <w:rFonts w:ascii="宋体" w:hAnsi="宋体"/>
          <w:sz w:val="24"/>
        </w:rPr>
        <w:t>基金份额的养老金客户特定申购费率如下表：</w:t>
      </w:r>
    </w:p>
    <w:tbl>
      <w:tblPr>
        <w:tblW w:w="5000" w:type="pct"/>
        <w:tblCellMar>
          <w:left w:w="0" w:type="dxa"/>
          <w:right w:w="0" w:type="dxa"/>
        </w:tblCellMar>
        <w:tblLook w:val="04A0" w:firstRow="1" w:lastRow="0" w:firstColumn="1" w:lastColumn="0" w:noHBand="0" w:noVBand="1"/>
      </w:tblPr>
      <w:tblGrid>
        <w:gridCol w:w="1238"/>
        <w:gridCol w:w="3716"/>
        <w:gridCol w:w="3716"/>
      </w:tblGrid>
      <w:tr w:rsidR="00AE2A54" w14:paraId="50A18A8A" w14:textId="777777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14:paraId="0F40522A" w14:textId="77777777" w:rsidR="00AE2A54" w:rsidRDefault="002F705F">
            <w:pPr>
              <w:widowControl/>
              <w:snapToGrid w:val="0"/>
              <w:jc w:val="left"/>
              <w:rPr>
                <w:rFonts w:ascii="宋体" w:hAnsi="宋体"/>
                <w:color w:val="000000"/>
                <w:kern w:val="0"/>
                <w:sz w:val="25"/>
                <w:szCs w:val="24"/>
              </w:rPr>
            </w:pPr>
            <w:r>
              <w:rPr>
                <w:rFonts w:ascii="Times New Roman" w:hAnsi="Times New Roman" w:hint="eastAsia"/>
                <w:color w:val="000000"/>
                <w:kern w:val="0"/>
                <w:sz w:val="25"/>
                <w:szCs w:val="24"/>
              </w:rPr>
              <w:t>A</w:t>
            </w:r>
            <w:r>
              <w:rPr>
                <w:rFonts w:ascii="Times New Roman" w:hAnsi="Times New Roman" w:hint="eastAsia"/>
                <w:color w:val="000000"/>
                <w:kern w:val="0"/>
                <w:sz w:val="25"/>
                <w:szCs w:val="24"/>
              </w:rPr>
              <w:t>类基金份额</w:t>
            </w:r>
            <w:r>
              <w:rPr>
                <w:rFonts w:ascii="Times New Roman" w:hAnsi="Times New Roman"/>
                <w:color w:val="000000"/>
                <w:kern w:val="0"/>
                <w:sz w:val="25"/>
                <w:szCs w:val="24"/>
              </w:rPr>
              <w:t>特定申购费率</w:t>
            </w:r>
          </w:p>
        </w:tc>
        <w:tc>
          <w:tcPr>
            <w:tcW w:w="750" w:type="pct"/>
            <w:tcBorders>
              <w:top w:val="single" w:sz="4" w:space="0" w:color="auto"/>
              <w:left w:val="single" w:sz="4" w:space="0" w:color="auto"/>
              <w:bottom w:val="single" w:sz="4" w:space="0" w:color="auto"/>
              <w:right w:val="single" w:sz="4" w:space="0" w:color="auto"/>
            </w:tcBorders>
            <w:vAlign w:val="center"/>
          </w:tcPr>
          <w:p w14:paraId="319CD92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14:paraId="694329A5" w14:textId="77777777" w:rsidR="00AE2A54" w:rsidRDefault="002F705F">
            <w:pPr>
              <w:widowControl/>
              <w:snapToGrid w:val="0"/>
              <w:jc w:val="center"/>
              <w:rPr>
                <w:rFonts w:ascii="宋体" w:hAnsi="宋体"/>
                <w:color w:val="000000"/>
                <w:kern w:val="0"/>
                <w:sz w:val="25"/>
                <w:szCs w:val="24"/>
              </w:rPr>
            </w:pPr>
            <w:r>
              <w:rPr>
                <w:rFonts w:ascii="Times New Roman" w:hAnsi="Times New Roman" w:hint="eastAsia"/>
                <w:color w:val="000000"/>
                <w:kern w:val="0"/>
                <w:sz w:val="25"/>
                <w:szCs w:val="24"/>
              </w:rPr>
              <w:t>A</w:t>
            </w:r>
            <w:r>
              <w:rPr>
                <w:rFonts w:ascii="Times New Roman" w:hAnsi="Times New Roman" w:hint="eastAsia"/>
                <w:color w:val="000000"/>
                <w:kern w:val="0"/>
                <w:sz w:val="25"/>
                <w:szCs w:val="24"/>
              </w:rPr>
              <w:t>类基金份额</w:t>
            </w:r>
            <w:r>
              <w:rPr>
                <w:rFonts w:ascii="Times New Roman" w:hAnsi="Times New Roman"/>
                <w:color w:val="000000"/>
                <w:kern w:val="0"/>
                <w:sz w:val="25"/>
                <w:szCs w:val="24"/>
              </w:rPr>
              <w:t>特定申购费率</w:t>
            </w:r>
          </w:p>
        </w:tc>
      </w:tr>
      <w:tr w:rsidR="00AE2A54" w14:paraId="4BA7C481"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604CA3AD" w14:textId="77777777" w:rsidR="00AE2A54" w:rsidRDefault="00AE2A5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773011F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14:paraId="0A2F179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AE2A54" w14:paraId="2BACEF88"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7E2A76DB" w14:textId="77777777" w:rsidR="00AE2A54" w:rsidRDefault="00AE2A5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3E1EA24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384434D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AE2A54" w14:paraId="1DBEC965"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246E07CE" w14:textId="77777777" w:rsidR="00AE2A54" w:rsidRDefault="00AE2A5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2C2E23A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011BACB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AE2A54" w14:paraId="6BCFC077"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3B40EF66" w14:textId="77777777" w:rsidR="00AE2A54" w:rsidRDefault="00AE2A5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452CFAE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14:paraId="69A14B3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AE2A54" w14:paraId="05AAE46E" w14:textId="777777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14:paraId="1C17919D" w14:textId="77777777" w:rsidR="00AE2A54" w:rsidRDefault="00AE2A5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14:paraId="4F39FB9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14:paraId="7E75BB9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14:paraId="080A0F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14:paraId="05045C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1359F2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14:paraId="7CA98DA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（1）本基金A类基金份额的赎回费率</w:t>
      </w:r>
    </w:p>
    <w:p w14:paraId="0FAB76EA" w14:textId="6F45FF55"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本基金A类基金份额的</w:t>
      </w:r>
      <w:r>
        <w:rPr>
          <w:rFonts w:ascii="宋体" w:hAnsi="宋体"/>
          <w:sz w:val="24"/>
        </w:rPr>
        <w:t>赎回费用由赎回</w:t>
      </w:r>
      <w:r>
        <w:rPr>
          <w:rFonts w:ascii="宋体" w:hAnsi="宋体" w:hint="eastAsia"/>
          <w:sz w:val="24"/>
        </w:rPr>
        <w:t>A类</w:t>
      </w:r>
      <w:r>
        <w:rPr>
          <w:rFonts w:ascii="宋体" w:hAnsi="宋体"/>
          <w:sz w:val="24"/>
        </w:rPr>
        <w:t>基金份额的基金份额持有人承担，赎回费用的25%归基金财产，其余用于支付登记结算费和其他必要的手续费。其中，对持续持有期少于7日的基金份额持有人收取不低于1.5%的赎回费并全额计入基金财产。</w:t>
      </w:r>
    </w:p>
    <w:p w14:paraId="3FFDBA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w:t>
      </w:r>
      <w:r>
        <w:rPr>
          <w:rFonts w:ascii="宋体" w:hAnsi="宋体" w:hint="eastAsia"/>
          <w:sz w:val="24"/>
        </w:rPr>
        <w:t>A类基金份额</w:t>
      </w:r>
      <w:r>
        <w:rPr>
          <w:rFonts w:ascii="宋体" w:hAnsi="宋体"/>
          <w:sz w:val="24"/>
        </w:rPr>
        <w:t>的赎回费率如下：</w:t>
      </w:r>
    </w:p>
    <w:tbl>
      <w:tblPr>
        <w:tblW w:w="5000" w:type="pct"/>
        <w:tblCellMar>
          <w:left w:w="0" w:type="dxa"/>
          <w:right w:w="0" w:type="dxa"/>
        </w:tblCellMar>
        <w:tblLook w:val="04A0" w:firstRow="1" w:lastRow="0" w:firstColumn="1" w:lastColumn="0" w:noHBand="0" w:noVBand="1"/>
      </w:tblPr>
      <w:tblGrid>
        <w:gridCol w:w="1848"/>
        <w:gridCol w:w="3106"/>
        <w:gridCol w:w="3716"/>
      </w:tblGrid>
      <w:tr w:rsidR="00AE2A54" w14:paraId="6E94BEBF" w14:textId="77777777" w:rsidTr="00F3029D">
        <w:trPr>
          <w:cantSplit/>
          <w:trHeight w:val="375"/>
        </w:trPr>
        <w:tc>
          <w:tcPr>
            <w:tcW w:w="1066" w:type="pct"/>
            <w:vMerge w:val="restart"/>
            <w:tcBorders>
              <w:top w:val="single" w:sz="4" w:space="0" w:color="auto"/>
              <w:left w:val="single" w:sz="4" w:space="0" w:color="auto"/>
              <w:bottom w:val="single" w:sz="4" w:space="0" w:color="auto"/>
              <w:right w:val="single" w:sz="4" w:space="0" w:color="auto"/>
            </w:tcBorders>
            <w:vAlign w:val="center"/>
          </w:tcPr>
          <w:p w14:paraId="03ECD714" w14:textId="77777777" w:rsidR="00AE2A54" w:rsidRDefault="002F705F">
            <w:pPr>
              <w:widowControl/>
              <w:snapToGrid w:val="0"/>
              <w:jc w:val="left"/>
              <w:rPr>
                <w:rFonts w:ascii="宋体" w:hAnsi="宋体"/>
                <w:color w:val="000000"/>
                <w:kern w:val="0"/>
                <w:sz w:val="25"/>
                <w:szCs w:val="24"/>
              </w:rPr>
            </w:pPr>
            <w:r>
              <w:rPr>
                <w:rFonts w:ascii="Times New Roman" w:hAnsi="Times New Roman" w:hint="eastAsia"/>
                <w:color w:val="000000"/>
                <w:kern w:val="0"/>
                <w:sz w:val="25"/>
                <w:szCs w:val="24"/>
              </w:rPr>
              <w:t>A</w:t>
            </w:r>
            <w:r>
              <w:rPr>
                <w:rFonts w:ascii="Times New Roman" w:hAnsi="Times New Roman" w:hint="eastAsia"/>
                <w:color w:val="000000"/>
                <w:kern w:val="0"/>
                <w:sz w:val="25"/>
                <w:szCs w:val="24"/>
              </w:rPr>
              <w:t>类基金份额的</w:t>
            </w:r>
            <w:r>
              <w:rPr>
                <w:rFonts w:ascii="Times New Roman" w:hAnsi="Times New Roman"/>
                <w:color w:val="000000"/>
                <w:kern w:val="0"/>
                <w:sz w:val="25"/>
                <w:szCs w:val="24"/>
              </w:rPr>
              <w:t>赎回费率</w:t>
            </w:r>
          </w:p>
        </w:tc>
        <w:tc>
          <w:tcPr>
            <w:tcW w:w="1791" w:type="pct"/>
            <w:tcBorders>
              <w:top w:val="single" w:sz="4" w:space="0" w:color="auto"/>
              <w:left w:val="single" w:sz="4" w:space="0" w:color="auto"/>
              <w:bottom w:val="single" w:sz="4" w:space="0" w:color="auto"/>
              <w:right w:val="single" w:sz="4" w:space="0" w:color="auto"/>
            </w:tcBorders>
            <w:vAlign w:val="center"/>
          </w:tcPr>
          <w:p w14:paraId="3003DD0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2143" w:type="pct"/>
            <w:tcBorders>
              <w:top w:val="single" w:sz="4" w:space="0" w:color="auto"/>
              <w:left w:val="single" w:sz="4" w:space="0" w:color="auto"/>
              <w:bottom w:val="single" w:sz="4" w:space="0" w:color="auto"/>
              <w:right w:val="single" w:sz="4" w:space="0" w:color="auto"/>
            </w:tcBorders>
            <w:vAlign w:val="center"/>
          </w:tcPr>
          <w:p w14:paraId="1F432951" w14:textId="77777777" w:rsidR="00AE2A54" w:rsidRDefault="002F705F">
            <w:pPr>
              <w:widowControl/>
              <w:snapToGrid w:val="0"/>
              <w:jc w:val="center"/>
              <w:rPr>
                <w:rFonts w:ascii="宋体" w:hAnsi="宋体"/>
                <w:color w:val="000000"/>
                <w:kern w:val="0"/>
                <w:sz w:val="25"/>
                <w:szCs w:val="24"/>
              </w:rPr>
            </w:pPr>
            <w:r>
              <w:rPr>
                <w:rFonts w:ascii="Times New Roman" w:hAnsi="Times New Roman" w:hint="eastAsia"/>
                <w:color w:val="000000"/>
                <w:kern w:val="0"/>
                <w:sz w:val="25"/>
                <w:szCs w:val="24"/>
              </w:rPr>
              <w:t>A</w:t>
            </w:r>
            <w:r>
              <w:rPr>
                <w:rFonts w:ascii="Times New Roman" w:hAnsi="Times New Roman" w:hint="eastAsia"/>
                <w:color w:val="000000"/>
                <w:kern w:val="0"/>
                <w:sz w:val="25"/>
                <w:szCs w:val="24"/>
              </w:rPr>
              <w:t>类基金份额</w:t>
            </w:r>
            <w:r>
              <w:rPr>
                <w:rFonts w:ascii="Times New Roman" w:hAnsi="Times New Roman"/>
                <w:color w:val="000000"/>
                <w:kern w:val="0"/>
                <w:sz w:val="25"/>
                <w:szCs w:val="24"/>
              </w:rPr>
              <w:t>赎回费率</w:t>
            </w:r>
          </w:p>
        </w:tc>
      </w:tr>
      <w:tr w:rsidR="00AE2A54" w14:paraId="539B9F4F"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5B6699AD"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vAlign w:val="center"/>
          </w:tcPr>
          <w:p w14:paraId="0A22581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2143" w:type="pct"/>
            <w:tcBorders>
              <w:top w:val="single" w:sz="4" w:space="0" w:color="auto"/>
              <w:left w:val="single" w:sz="4" w:space="0" w:color="auto"/>
              <w:bottom w:val="single" w:sz="4" w:space="0" w:color="auto"/>
              <w:right w:val="single" w:sz="4" w:space="0" w:color="auto"/>
            </w:tcBorders>
            <w:vAlign w:val="center"/>
          </w:tcPr>
          <w:p w14:paraId="629A46D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E2A54" w14:paraId="6238F504"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143B7C4F"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vAlign w:val="center"/>
          </w:tcPr>
          <w:p w14:paraId="491C97A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2143" w:type="pct"/>
            <w:tcBorders>
              <w:top w:val="single" w:sz="4" w:space="0" w:color="auto"/>
              <w:left w:val="single" w:sz="4" w:space="0" w:color="auto"/>
              <w:bottom w:val="single" w:sz="4" w:space="0" w:color="auto"/>
              <w:right w:val="single" w:sz="4" w:space="0" w:color="auto"/>
            </w:tcBorders>
            <w:vAlign w:val="center"/>
          </w:tcPr>
          <w:p w14:paraId="68F38B6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E2A54" w14:paraId="08A245BC"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3E1C9689"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vAlign w:val="center"/>
          </w:tcPr>
          <w:p w14:paraId="69C7D7D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2143" w:type="pct"/>
            <w:tcBorders>
              <w:top w:val="single" w:sz="4" w:space="0" w:color="auto"/>
              <w:left w:val="single" w:sz="4" w:space="0" w:color="auto"/>
              <w:bottom w:val="single" w:sz="4" w:space="0" w:color="auto"/>
              <w:right w:val="single" w:sz="4" w:space="0" w:color="auto"/>
            </w:tcBorders>
            <w:vAlign w:val="center"/>
          </w:tcPr>
          <w:p w14:paraId="32AF42C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AE2A54" w14:paraId="61A48E6A"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5459E48F"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vAlign w:val="center"/>
          </w:tcPr>
          <w:p w14:paraId="17A222A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超过</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2143" w:type="pct"/>
            <w:tcBorders>
              <w:top w:val="single" w:sz="4" w:space="0" w:color="auto"/>
              <w:left w:val="single" w:sz="4" w:space="0" w:color="auto"/>
              <w:bottom w:val="single" w:sz="4" w:space="0" w:color="auto"/>
              <w:right w:val="single" w:sz="4" w:space="0" w:color="auto"/>
            </w:tcBorders>
            <w:vAlign w:val="center"/>
          </w:tcPr>
          <w:p w14:paraId="42195A2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00F86934"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（2）本基金C类基金份额的赎回费率如下：</w:t>
      </w:r>
    </w:p>
    <w:tbl>
      <w:tblPr>
        <w:tblW w:w="5000" w:type="pct"/>
        <w:tblCellMar>
          <w:left w:w="0" w:type="dxa"/>
          <w:right w:w="0" w:type="dxa"/>
        </w:tblCellMar>
        <w:tblLook w:val="04A0" w:firstRow="1" w:lastRow="0" w:firstColumn="1" w:lastColumn="0" w:noHBand="0" w:noVBand="1"/>
      </w:tblPr>
      <w:tblGrid>
        <w:gridCol w:w="1848"/>
        <w:gridCol w:w="3106"/>
        <w:gridCol w:w="3716"/>
      </w:tblGrid>
      <w:tr w:rsidR="00AE2A54" w14:paraId="0B29BC45" w14:textId="77777777" w:rsidTr="00F3029D">
        <w:trPr>
          <w:cantSplit/>
          <w:trHeight w:val="375"/>
        </w:trPr>
        <w:tc>
          <w:tcPr>
            <w:tcW w:w="1066" w:type="pct"/>
            <w:vMerge w:val="restart"/>
            <w:tcBorders>
              <w:top w:val="single" w:sz="4" w:space="0" w:color="auto"/>
              <w:left w:val="single" w:sz="4" w:space="0" w:color="auto"/>
              <w:bottom w:val="single" w:sz="4" w:space="0" w:color="auto"/>
              <w:right w:val="single" w:sz="4" w:space="0" w:color="auto"/>
            </w:tcBorders>
            <w:vAlign w:val="center"/>
          </w:tcPr>
          <w:p w14:paraId="54E8AA8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C</w:t>
            </w:r>
            <w:r>
              <w:rPr>
                <w:rFonts w:ascii="Times New Roman" w:hAnsi="Times New Roman" w:hint="eastAsia"/>
                <w:color w:val="000000"/>
                <w:kern w:val="0"/>
                <w:sz w:val="25"/>
                <w:szCs w:val="24"/>
              </w:rPr>
              <w:t>类基金份额的</w:t>
            </w:r>
            <w:r>
              <w:rPr>
                <w:rFonts w:ascii="Times New Roman" w:hAnsi="Times New Roman"/>
                <w:color w:val="000000"/>
                <w:kern w:val="0"/>
                <w:sz w:val="25"/>
                <w:szCs w:val="24"/>
              </w:rPr>
              <w:t>赎回费率</w:t>
            </w:r>
          </w:p>
        </w:tc>
        <w:tc>
          <w:tcPr>
            <w:tcW w:w="1791" w:type="pct"/>
            <w:tcBorders>
              <w:top w:val="single" w:sz="4" w:space="0" w:color="auto"/>
              <w:left w:val="single" w:sz="4" w:space="0" w:color="auto"/>
              <w:bottom w:val="single" w:sz="4" w:space="0" w:color="auto"/>
              <w:right w:val="single" w:sz="4" w:space="0" w:color="auto"/>
            </w:tcBorders>
            <w:vAlign w:val="center"/>
          </w:tcPr>
          <w:p w14:paraId="7CE4126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2143" w:type="pct"/>
            <w:tcBorders>
              <w:top w:val="single" w:sz="4" w:space="0" w:color="auto"/>
              <w:left w:val="single" w:sz="4" w:space="0" w:color="auto"/>
              <w:bottom w:val="single" w:sz="4" w:space="0" w:color="auto"/>
              <w:right w:val="single" w:sz="4" w:space="0" w:color="auto"/>
            </w:tcBorders>
            <w:vAlign w:val="center"/>
          </w:tcPr>
          <w:p w14:paraId="54A2F8A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hint="eastAsia"/>
                <w:color w:val="000000"/>
                <w:kern w:val="0"/>
                <w:sz w:val="25"/>
                <w:szCs w:val="24"/>
              </w:rPr>
              <w:t>类基金份额</w:t>
            </w:r>
            <w:r>
              <w:rPr>
                <w:rFonts w:ascii="Times New Roman" w:hAnsi="Times New Roman"/>
                <w:color w:val="000000"/>
                <w:kern w:val="0"/>
                <w:sz w:val="25"/>
                <w:szCs w:val="24"/>
              </w:rPr>
              <w:t>赎回费率</w:t>
            </w:r>
          </w:p>
        </w:tc>
      </w:tr>
      <w:tr w:rsidR="00AE2A54" w14:paraId="50B01A28"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5B284CE0"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tcPr>
          <w:p w14:paraId="341A14DA" w14:textId="77777777" w:rsidR="00AE2A54" w:rsidRPr="00F3029D" w:rsidRDefault="002F705F">
            <w:pPr>
              <w:widowControl/>
              <w:snapToGrid w:val="0"/>
              <w:jc w:val="left"/>
              <w:rPr>
                <w:rFonts w:ascii="Times New Roman" w:hAnsi="Times New Roman"/>
                <w:color w:val="000000"/>
                <w:kern w:val="0"/>
                <w:sz w:val="25"/>
                <w:szCs w:val="24"/>
              </w:rPr>
            </w:pPr>
            <w:r w:rsidRPr="00F3029D">
              <w:rPr>
                <w:rFonts w:ascii="Times New Roman" w:hAnsi="Times New Roman"/>
                <w:color w:val="000000"/>
                <w:kern w:val="0"/>
                <w:sz w:val="25"/>
                <w:szCs w:val="24"/>
              </w:rPr>
              <w:t>7</w:t>
            </w:r>
            <w:r w:rsidRPr="00F3029D">
              <w:rPr>
                <w:rFonts w:ascii="Times New Roman" w:hAnsi="Times New Roman" w:hint="eastAsia"/>
                <w:color w:val="000000"/>
                <w:kern w:val="0"/>
                <w:sz w:val="25"/>
                <w:szCs w:val="24"/>
              </w:rPr>
              <w:t>日以内</w:t>
            </w:r>
          </w:p>
        </w:tc>
        <w:tc>
          <w:tcPr>
            <w:tcW w:w="2143" w:type="pct"/>
            <w:tcBorders>
              <w:top w:val="single" w:sz="4" w:space="0" w:color="auto"/>
              <w:left w:val="single" w:sz="4" w:space="0" w:color="auto"/>
              <w:bottom w:val="single" w:sz="4" w:space="0" w:color="auto"/>
              <w:right w:val="single" w:sz="4" w:space="0" w:color="auto"/>
            </w:tcBorders>
          </w:tcPr>
          <w:p w14:paraId="679EC31D" w14:textId="77777777" w:rsidR="00AE2A54" w:rsidRPr="00F3029D" w:rsidRDefault="002F705F">
            <w:pPr>
              <w:widowControl/>
              <w:snapToGrid w:val="0"/>
              <w:jc w:val="center"/>
              <w:rPr>
                <w:rFonts w:ascii="Times New Roman" w:hAnsi="Times New Roman"/>
                <w:color w:val="000000"/>
                <w:kern w:val="0"/>
                <w:sz w:val="25"/>
                <w:szCs w:val="24"/>
              </w:rPr>
            </w:pPr>
            <w:r w:rsidRPr="00F3029D">
              <w:rPr>
                <w:rFonts w:ascii="Times New Roman" w:hAnsi="Times New Roman"/>
                <w:color w:val="000000"/>
                <w:kern w:val="0"/>
                <w:sz w:val="25"/>
                <w:szCs w:val="24"/>
              </w:rPr>
              <w:t>1.5%</w:t>
            </w:r>
          </w:p>
        </w:tc>
      </w:tr>
      <w:tr w:rsidR="00AE2A54" w14:paraId="7C8E08BA"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0EE85C95"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tcPr>
          <w:p w14:paraId="033470C3" w14:textId="77777777" w:rsidR="00AE2A54" w:rsidRPr="00F3029D" w:rsidRDefault="002F705F">
            <w:pPr>
              <w:widowControl/>
              <w:snapToGrid w:val="0"/>
              <w:jc w:val="left"/>
              <w:rPr>
                <w:rFonts w:ascii="Times New Roman" w:hAnsi="Times New Roman"/>
                <w:color w:val="000000"/>
                <w:kern w:val="0"/>
                <w:sz w:val="25"/>
                <w:szCs w:val="24"/>
              </w:rPr>
            </w:pPr>
            <w:r w:rsidRPr="00F3029D">
              <w:rPr>
                <w:rFonts w:ascii="Times New Roman" w:hAnsi="Times New Roman"/>
                <w:color w:val="000000"/>
                <w:kern w:val="0"/>
                <w:sz w:val="25"/>
                <w:szCs w:val="24"/>
              </w:rPr>
              <w:t>7</w:t>
            </w:r>
            <w:r w:rsidRPr="00F3029D">
              <w:rPr>
                <w:rFonts w:ascii="Times New Roman" w:hAnsi="Times New Roman" w:hint="eastAsia"/>
                <w:color w:val="000000"/>
                <w:kern w:val="0"/>
                <w:sz w:val="25"/>
                <w:szCs w:val="24"/>
              </w:rPr>
              <w:t>日（含）—</w:t>
            </w:r>
            <w:r w:rsidRPr="00F3029D">
              <w:rPr>
                <w:rFonts w:ascii="Times New Roman" w:hAnsi="Times New Roman"/>
                <w:color w:val="000000"/>
                <w:kern w:val="0"/>
                <w:sz w:val="25"/>
                <w:szCs w:val="24"/>
              </w:rPr>
              <w:t>30</w:t>
            </w:r>
            <w:r w:rsidRPr="00F3029D">
              <w:rPr>
                <w:rFonts w:ascii="Times New Roman" w:hAnsi="Times New Roman" w:hint="eastAsia"/>
                <w:color w:val="000000"/>
                <w:kern w:val="0"/>
                <w:sz w:val="25"/>
                <w:szCs w:val="24"/>
              </w:rPr>
              <w:t>日</w:t>
            </w:r>
          </w:p>
        </w:tc>
        <w:tc>
          <w:tcPr>
            <w:tcW w:w="2143" w:type="pct"/>
            <w:tcBorders>
              <w:top w:val="single" w:sz="4" w:space="0" w:color="auto"/>
              <w:left w:val="single" w:sz="4" w:space="0" w:color="auto"/>
              <w:bottom w:val="single" w:sz="4" w:space="0" w:color="auto"/>
              <w:right w:val="single" w:sz="4" w:space="0" w:color="auto"/>
            </w:tcBorders>
          </w:tcPr>
          <w:p w14:paraId="0DD697E6" w14:textId="77777777" w:rsidR="00AE2A54" w:rsidRPr="00F3029D" w:rsidRDefault="002F705F">
            <w:pPr>
              <w:widowControl/>
              <w:snapToGrid w:val="0"/>
              <w:jc w:val="center"/>
              <w:rPr>
                <w:rFonts w:ascii="Times New Roman" w:hAnsi="Times New Roman"/>
                <w:color w:val="000000"/>
                <w:kern w:val="0"/>
                <w:sz w:val="25"/>
                <w:szCs w:val="24"/>
              </w:rPr>
            </w:pPr>
            <w:r w:rsidRPr="00F3029D">
              <w:rPr>
                <w:rFonts w:ascii="Times New Roman" w:hAnsi="Times New Roman"/>
                <w:color w:val="000000"/>
                <w:kern w:val="0"/>
                <w:sz w:val="25"/>
                <w:szCs w:val="24"/>
              </w:rPr>
              <w:t>1.0%</w:t>
            </w:r>
          </w:p>
        </w:tc>
      </w:tr>
      <w:tr w:rsidR="00AE2A54" w14:paraId="4B203486"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6FF1C4EC"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tcPr>
          <w:p w14:paraId="291C8D98" w14:textId="77777777" w:rsidR="00AE2A54" w:rsidRPr="00F3029D" w:rsidRDefault="002F705F">
            <w:pPr>
              <w:widowControl/>
              <w:snapToGrid w:val="0"/>
              <w:jc w:val="left"/>
              <w:rPr>
                <w:rFonts w:ascii="Times New Roman" w:hAnsi="Times New Roman"/>
                <w:color w:val="000000"/>
                <w:kern w:val="0"/>
                <w:sz w:val="25"/>
                <w:szCs w:val="24"/>
              </w:rPr>
            </w:pPr>
            <w:r w:rsidRPr="00F3029D">
              <w:rPr>
                <w:rFonts w:ascii="Times New Roman" w:hAnsi="Times New Roman"/>
                <w:color w:val="000000"/>
                <w:kern w:val="0"/>
                <w:sz w:val="25"/>
                <w:szCs w:val="24"/>
              </w:rPr>
              <w:t>30</w:t>
            </w:r>
            <w:r w:rsidRPr="00F3029D">
              <w:rPr>
                <w:rFonts w:ascii="Times New Roman" w:hAnsi="Times New Roman" w:hint="eastAsia"/>
                <w:color w:val="000000"/>
                <w:kern w:val="0"/>
                <w:sz w:val="25"/>
                <w:szCs w:val="24"/>
              </w:rPr>
              <w:t>日（含）—</w:t>
            </w:r>
            <w:r w:rsidRPr="00F3029D">
              <w:rPr>
                <w:rFonts w:ascii="Times New Roman" w:hAnsi="Times New Roman"/>
                <w:color w:val="000000"/>
                <w:kern w:val="0"/>
                <w:sz w:val="25"/>
                <w:szCs w:val="24"/>
              </w:rPr>
              <w:t>180</w:t>
            </w:r>
            <w:r w:rsidRPr="00F3029D">
              <w:rPr>
                <w:rFonts w:ascii="Times New Roman" w:hAnsi="Times New Roman" w:hint="eastAsia"/>
                <w:color w:val="000000"/>
                <w:kern w:val="0"/>
                <w:sz w:val="25"/>
                <w:szCs w:val="24"/>
              </w:rPr>
              <w:t>日</w:t>
            </w:r>
          </w:p>
        </w:tc>
        <w:tc>
          <w:tcPr>
            <w:tcW w:w="2143" w:type="pct"/>
            <w:tcBorders>
              <w:top w:val="single" w:sz="4" w:space="0" w:color="auto"/>
              <w:left w:val="single" w:sz="4" w:space="0" w:color="auto"/>
              <w:bottom w:val="single" w:sz="4" w:space="0" w:color="auto"/>
              <w:right w:val="single" w:sz="4" w:space="0" w:color="auto"/>
            </w:tcBorders>
          </w:tcPr>
          <w:p w14:paraId="4770BD6F" w14:textId="77777777" w:rsidR="00AE2A54" w:rsidRPr="00F3029D" w:rsidRDefault="002F705F">
            <w:pPr>
              <w:widowControl/>
              <w:snapToGrid w:val="0"/>
              <w:jc w:val="center"/>
              <w:rPr>
                <w:rFonts w:ascii="Times New Roman" w:hAnsi="Times New Roman"/>
                <w:color w:val="000000"/>
                <w:kern w:val="0"/>
                <w:sz w:val="25"/>
                <w:szCs w:val="24"/>
              </w:rPr>
            </w:pPr>
            <w:r w:rsidRPr="00F3029D">
              <w:rPr>
                <w:rFonts w:ascii="Times New Roman" w:hAnsi="Times New Roman"/>
                <w:color w:val="000000"/>
                <w:kern w:val="0"/>
                <w:sz w:val="25"/>
                <w:szCs w:val="24"/>
              </w:rPr>
              <w:t>0.5%</w:t>
            </w:r>
          </w:p>
        </w:tc>
      </w:tr>
      <w:tr w:rsidR="00AE2A54" w14:paraId="5D9302A1" w14:textId="77777777" w:rsidTr="00F3029D">
        <w:trPr>
          <w:cantSplit/>
          <w:trHeight w:val="375"/>
        </w:trPr>
        <w:tc>
          <w:tcPr>
            <w:tcW w:w="1066" w:type="pct"/>
            <w:vMerge/>
            <w:tcBorders>
              <w:top w:val="single" w:sz="4" w:space="0" w:color="auto"/>
              <w:left w:val="single" w:sz="4" w:space="0" w:color="auto"/>
              <w:bottom w:val="single" w:sz="4" w:space="0" w:color="auto"/>
              <w:right w:val="single" w:sz="4" w:space="0" w:color="auto"/>
            </w:tcBorders>
            <w:vAlign w:val="center"/>
          </w:tcPr>
          <w:p w14:paraId="2D8BD36B" w14:textId="77777777" w:rsidR="00AE2A54" w:rsidRDefault="00AE2A54">
            <w:pPr>
              <w:widowControl/>
              <w:snapToGrid w:val="0"/>
              <w:jc w:val="left"/>
              <w:rPr>
                <w:rFonts w:ascii="宋体" w:hAnsi="宋体"/>
                <w:color w:val="000000"/>
                <w:kern w:val="0"/>
                <w:sz w:val="25"/>
                <w:szCs w:val="24"/>
              </w:rPr>
            </w:pPr>
          </w:p>
        </w:tc>
        <w:tc>
          <w:tcPr>
            <w:tcW w:w="1791" w:type="pct"/>
            <w:tcBorders>
              <w:top w:val="single" w:sz="4" w:space="0" w:color="auto"/>
              <w:left w:val="single" w:sz="4" w:space="0" w:color="auto"/>
              <w:bottom w:val="single" w:sz="4" w:space="0" w:color="auto"/>
              <w:right w:val="single" w:sz="4" w:space="0" w:color="auto"/>
            </w:tcBorders>
          </w:tcPr>
          <w:p w14:paraId="683A886F" w14:textId="77777777" w:rsidR="00AE2A54" w:rsidRPr="00F3029D" w:rsidRDefault="002F705F">
            <w:pPr>
              <w:widowControl/>
              <w:snapToGrid w:val="0"/>
              <w:jc w:val="left"/>
              <w:rPr>
                <w:rFonts w:ascii="Times New Roman" w:hAnsi="Times New Roman"/>
                <w:color w:val="000000"/>
                <w:kern w:val="0"/>
                <w:sz w:val="25"/>
                <w:szCs w:val="24"/>
              </w:rPr>
            </w:pPr>
            <w:r w:rsidRPr="00F3029D">
              <w:rPr>
                <w:rFonts w:ascii="Times New Roman" w:hAnsi="Times New Roman"/>
                <w:color w:val="000000"/>
                <w:kern w:val="0"/>
                <w:sz w:val="25"/>
                <w:szCs w:val="24"/>
              </w:rPr>
              <w:t>180</w:t>
            </w:r>
            <w:r w:rsidRPr="00F3029D">
              <w:rPr>
                <w:rFonts w:ascii="Times New Roman" w:hAnsi="Times New Roman" w:hint="eastAsia"/>
                <w:color w:val="000000"/>
                <w:kern w:val="0"/>
                <w:sz w:val="25"/>
                <w:szCs w:val="24"/>
              </w:rPr>
              <w:t>日以上（含）</w:t>
            </w:r>
          </w:p>
        </w:tc>
        <w:tc>
          <w:tcPr>
            <w:tcW w:w="2143" w:type="pct"/>
            <w:tcBorders>
              <w:top w:val="single" w:sz="4" w:space="0" w:color="auto"/>
              <w:left w:val="single" w:sz="4" w:space="0" w:color="auto"/>
              <w:bottom w:val="single" w:sz="4" w:space="0" w:color="auto"/>
              <w:right w:val="single" w:sz="4" w:space="0" w:color="auto"/>
            </w:tcBorders>
          </w:tcPr>
          <w:p w14:paraId="2890FEFD" w14:textId="77777777" w:rsidR="00AE2A54" w:rsidRPr="00F3029D" w:rsidRDefault="002F705F">
            <w:pPr>
              <w:widowControl/>
              <w:snapToGrid w:val="0"/>
              <w:jc w:val="center"/>
              <w:rPr>
                <w:rFonts w:ascii="Times New Roman" w:hAnsi="Times New Roman"/>
                <w:color w:val="000000"/>
                <w:kern w:val="0"/>
                <w:sz w:val="25"/>
                <w:szCs w:val="24"/>
              </w:rPr>
            </w:pPr>
            <w:r w:rsidRPr="00F3029D">
              <w:rPr>
                <w:rFonts w:ascii="Times New Roman" w:hAnsi="Times New Roman"/>
                <w:color w:val="000000"/>
                <w:kern w:val="0"/>
                <w:sz w:val="25"/>
                <w:szCs w:val="24"/>
              </w:rPr>
              <w:t>0</w:t>
            </w:r>
          </w:p>
        </w:tc>
      </w:tr>
    </w:tbl>
    <w:p w14:paraId="6BD8C8B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本基金C类基金份额的赎回费用由赎回C类基金份额的基金份额持有人承担，在基金份额持有人赎回C类基金份额时收取，对C类基金份额持有人收取的赎回费用全额计入基金财产。</w:t>
      </w:r>
    </w:p>
    <w:p w14:paraId="7698A9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申购费率和赎回费率，最新的申购费率和赎回费率在更新的招募说明书中列示。费率如发生变更，基金管理人最迟应于新的费率开始实施日前依照《信息披露办法》的有关规定在指定媒介上公告。</w:t>
      </w:r>
    </w:p>
    <w:p w14:paraId="5998A9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4、本基金申购、赎回的币种为人民币，基金管理人可以在不违反法律法规规定的情况下，接受其它币种的申购、赎回，并提前公告。</w:t>
      </w:r>
    </w:p>
    <w:p w14:paraId="50A158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（七）申购和赎回的数额和价格</w:t>
      </w:r>
    </w:p>
    <w:p w14:paraId="58C1DB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14:paraId="2006B7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w:t>
      </w:r>
      <w:r>
        <w:rPr>
          <w:rFonts w:ascii="宋体" w:hAnsi="宋体" w:hint="eastAsia"/>
          <w:sz w:val="24"/>
        </w:rPr>
        <w:t>A类基金份额或C类基金份额</w:t>
      </w:r>
      <w:r>
        <w:rPr>
          <w:rFonts w:ascii="宋体" w:hAnsi="宋体"/>
          <w:sz w:val="24"/>
        </w:rPr>
        <w:t>的有效份额为按实际确认的申购金额在扣除相应的费用后，以申请当日</w:t>
      </w:r>
      <w:r>
        <w:rPr>
          <w:rFonts w:ascii="Times New Roman" w:hAnsi="Times New Roman" w:hint="eastAsia"/>
          <w:sz w:val="24"/>
        </w:rPr>
        <w:t>该类基金份额的</w:t>
      </w:r>
      <w:r>
        <w:rPr>
          <w:rFonts w:ascii="宋体" w:hAnsi="宋体"/>
          <w:sz w:val="24"/>
        </w:rPr>
        <w:t>基金份额净值为基准计算，四舍五入保留到小数点后两位，由此误差产生的收益或损失由基金财产承担。</w:t>
      </w:r>
    </w:p>
    <w:p w14:paraId="3CBF0D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w:t>
      </w:r>
      <w:r>
        <w:rPr>
          <w:rFonts w:ascii="宋体" w:hAnsi="宋体" w:hint="eastAsia"/>
          <w:sz w:val="24"/>
        </w:rPr>
        <w:t>A类基金份额或C类基金份额</w:t>
      </w:r>
      <w:r>
        <w:rPr>
          <w:rFonts w:ascii="宋体" w:hAnsi="宋体"/>
          <w:sz w:val="24"/>
        </w:rPr>
        <w:t>有效赎回份额乘以申请当日</w:t>
      </w:r>
      <w:r>
        <w:rPr>
          <w:rFonts w:ascii="宋体" w:hAnsi="宋体" w:hint="eastAsia"/>
          <w:sz w:val="24"/>
        </w:rPr>
        <w:t>该类基金份额的</w:t>
      </w:r>
      <w:r>
        <w:rPr>
          <w:rFonts w:ascii="宋体" w:hAnsi="宋体"/>
          <w:sz w:val="24"/>
        </w:rPr>
        <w:t>基金份额净值并扣除</w:t>
      </w:r>
      <w:r>
        <w:rPr>
          <w:rFonts w:ascii="宋体" w:hAnsi="宋体" w:hint="eastAsia"/>
          <w:sz w:val="24"/>
        </w:rPr>
        <w:t>或加上</w:t>
      </w:r>
      <w:r>
        <w:rPr>
          <w:rFonts w:ascii="宋体" w:hAnsi="宋体"/>
          <w:sz w:val="24"/>
        </w:rPr>
        <w:t>相应的费用</w:t>
      </w:r>
      <w:r>
        <w:rPr>
          <w:rFonts w:ascii="宋体" w:hAnsi="宋体" w:hint="eastAsia"/>
          <w:sz w:val="24"/>
        </w:rPr>
        <w:t>（如有）</w:t>
      </w:r>
      <w:r>
        <w:rPr>
          <w:rFonts w:ascii="宋体" w:hAnsi="宋体"/>
          <w:sz w:val="24"/>
        </w:rPr>
        <w:t>，四舍五入保留到小数点后两位，由此误差产生的收益或损失由基金财产承担。</w:t>
      </w:r>
    </w:p>
    <w:p w14:paraId="0871FC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14:paraId="0BE9077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（1）A类基金份额的申购</w:t>
      </w:r>
    </w:p>
    <w:p w14:paraId="05D0C4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14:paraId="3510A7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14:paraId="5AEBD4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14:paraId="245564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w:t>
      </w:r>
      <w:r>
        <w:rPr>
          <w:rFonts w:ascii="宋体" w:hAnsi="宋体" w:hint="eastAsia"/>
          <w:sz w:val="24"/>
        </w:rPr>
        <w:t>A类</w:t>
      </w:r>
      <w:r>
        <w:rPr>
          <w:rFonts w:ascii="宋体" w:hAnsi="宋体"/>
          <w:sz w:val="24"/>
        </w:rPr>
        <w:t>基金份额净值</w:t>
      </w:r>
    </w:p>
    <w:p w14:paraId="7B03A7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例一：某投资人投资40,000元申购本基金</w:t>
      </w:r>
      <w:r>
        <w:rPr>
          <w:rFonts w:ascii="宋体" w:hAnsi="宋体" w:hint="eastAsia"/>
          <w:sz w:val="24"/>
        </w:rPr>
        <w:t>A类基金份额</w:t>
      </w:r>
      <w:r>
        <w:rPr>
          <w:rFonts w:ascii="宋体" w:hAnsi="宋体"/>
          <w:sz w:val="24"/>
        </w:rPr>
        <w:t>，申购费率为1.5%，假</w:t>
      </w:r>
      <w:r>
        <w:rPr>
          <w:rFonts w:ascii="宋体" w:hAnsi="宋体"/>
          <w:sz w:val="24"/>
        </w:rPr>
        <w:lastRenderedPageBreak/>
        <w:t>设申购当日</w:t>
      </w:r>
      <w:r>
        <w:rPr>
          <w:rFonts w:ascii="宋体" w:hAnsi="宋体" w:hint="eastAsia"/>
          <w:sz w:val="24"/>
        </w:rPr>
        <w:t>A类</w:t>
      </w:r>
      <w:r>
        <w:rPr>
          <w:rFonts w:ascii="宋体" w:hAnsi="宋体"/>
          <w:sz w:val="24"/>
        </w:rPr>
        <w:t>基金份额净值为1.0400元，则其可得到的申购份额为：</w:t>
      </w:r>
    </w:p>
    <w:p w14:paraId="5635EA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14:paraId="6D7C71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14:paraId="5A1E88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14:paraId="606828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14:paraId="16D5CE2C" w14:textId="6B614601"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即：投资人投资40,000元申购本基金</w:t>
      </w:r>
      <w:r>
        <w:rPr>
          <w:rFonts w:ascii="宋体" w:hAnsi="宋体" w:hint="eastAsia"/>
          <w:sz w:val="24"/>
        </w:rPr>
        <w:t>A类基金份额</w:t>
      </w:r>
      <w:r>
        <w:rPr>
          <w:rFonts w:ascii="宋体" w:hAnsi="宋体"/>
          <w:sz w:val="24"/>
        </w:rPr>
        <w:t>，假设申购当日</w:t>
      </w:r>
      <w:r>
        <w:rPr>
          <w:rFonts w:ascii="宋体" w:hAnsi="宋体" w:hint="eastAsia"/>
          <w:sz w:val="24"/>
        </w:rPr>
        <w:t>A类</w:t>
      </w:r>
      <w:r>
        <w:rPr>
          <w:rFonts w:ascii="宋体" w:hAnsi="宋体"/>
          <w:sz w:val="24"/>
        </w:rPr>
        <w:t>基金份额净值为1.0400元,则其可得到37,893.14份基金份额。</w:t>
      </w:r>
    </w:p>
    <w:p w14:paraId="2353381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（2）C类基金份额的申购</w:t>
      </w:r>
    </w:p>
    <w:p w14:paraId="4A9B967B" w14:textId="0DC78462"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如果投资人选择申购C类基金份额，则申购份额的计算方法如下：</w:t>
      </w:r>
    </w:p>
    <w:p w14:paraId="4DE8DB8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申购总金额=申请总金额</w:t>
      </w:r>
    </w:p>
    <w:p w14:paraId="7939B02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申购份额=申购总金额/T日C类基金份额净值</w:t>
      </w:r>
    </w:p>
    <w:p w14:paraId="35272B79" w14:textId="3A2E6C5C"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例二：某投资人投资100,000元申购本基金的C类基金份额，假设申购当日C类基金份额净值为1.0400元，则其可得到的申购份额为：</w:t>
      </w:r>
    </w:p>
    <w:p w14:paraId="3ABB851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申购总金额=100,000元</w:t>
      </w:r>
    </w:p>
    <w:p w14:paraId="46ECBB4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申购份额＝100,000/1.0400＝96,153.85份</w:t>
      </w:r>
    </w:p>
    <w:p w14:paraId="02D9BEC2" w14:textId="21FFC736"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即：投资人投资100,000元申购本基金的C类基金份额，假设申购当日C类基金份额净值为1.0400元，则其可得到96,153.85份C类基金份额。</w:t>
      </w:r>
    </w:p>
    <w:p w14:paraId="7677C6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14:paraId="6C11CA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w:t>
      </w:r>
      <w:r>
        <w:rPr>
          <w:rFonts w:ascii="宋体" w:hAnsi="宋体" w:hint="eastAsia"/>
          <w:sz w:val="24"/>
        </w:rPr>
        <w:t>A类基金份额或C类基金份额</w:t>
      </w:r>
      <w:r>
        <w:rPr>
          <w:rFonts w:ascii="宋体" w:hAnsi="宋体"/>
          <w:sz w:val="24"/>
        </w:rPr>
        <w:t>有效赎回份额乘以申请当日</w:t>
      </w:r>
      <w:r>
        <w:rPr>
          <w:rFonts w:ascii="宋体" w:hAnsi="宋体" w:hint="eastAsia"/>
          <w:sz w:val="24"/>
        </w:rPr>
        <w:t>该类</w:t>
      </w:r>
      <w:r>
        <w:rPr>
          <w:rFonts w:ascii="宋体" w:hAnsi="宋体"/>
          <w:sz w:val="24"/>
        </w:rPr>
        <w:t>基金份额净值并扣除</w:t>
      </w:r>
      <w:r>
        <w:rPr>
          <w:rFonts w:ascii="宋体" w:hAnsi="宋体" w:hint="eastAsia"/>
          <w:sz w:val="24"/>
        </w:rPr>
        <w:t>或加上</w:t>
      </w:r>
      <w:r>
        <w:rPr>
          <w:rFonts w:ascii="宋体" w:hAnsi="宋体"/>
          <w:sz w:val="24"/>
        </w:rPr>
        <w:t>相应的费用</w:t>
      </w:r>
      <w:r>
        <w:rPr>
          <w:rFonts w:ascii="宋体" w:hAnsi="宋体" w:hint="eastAsia"/>
          <w:sz w:val="24"/>
        </w:rPr>
        <w:t>（如有）</w:t>
      </w:r>
      <w:r>
        <w:rPr>
          <w:rFonts w:ascii="宋体" w:hAnsi="宋体"/>
          <w:sz w:val="24"/>
        </w:rPr>
        <w:t>，赎回金额单位为元，计算结果保留到小数点后两位，第三位四舍五入。</w:t>
      </w:r>
    </w:p>
    <w:p w14:paraId="018860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w:t>
      </w:r>
      <w:r>
        <w:rPr>
          <w:rFonts w:ascii="宋体" w:hAnsi="宋体" w:hint="eastAsia"/>
          <w:sz w:val="24"/>
        </w:rPr>
        <w:t>该类</w:t>
      </w:r>
      <w:r>
        <w:rPr>
          <w:rFonts w:ascii="宋体" w:hAnsi="宋体"/>
          <w:sz w:val="24"/>
        </w:rPr>
        <w:t>基金份额净值×赎回费率</w:t>
      </w:r>
    </w:p>
    <w:p w14:paraId="67D7B1B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w:t>
      </w:r>
      <w:r>
        <w:rPr>
          <w:rFonts w:ascii="宋体" w:hAnsi="宋体" w:hint="eastAsia"/>
          <w:sz w:val="24"/>
        </w:rPr>
        <w:t>该类</w:t>
      </w:r>
      <w:r>
        <w:rPr>
          <w:rFonts w:ascii="宋体" w:hAnsi="宋体"/>
          <w:sz w:val="24"/>
        </w:rPr>
        <w:t>基金份额净值-赎回费用</w:t>
      </w:r>
      <w:r>
        <w:rPr>
          <w:rFonts w:hAnsi="宋体" w:hint="eastAsia"/>
          <w:sz w:val="24"/>
          <w:szCs w:val="24"/>
        </w:rPr>
        <w:t>+</w:t>
      </w:r>
      <w:r>
        <w:rPr>
          <w:rFonts w:hAnsi="宋体" w:hint="eastAsia"/>
          <w:sz w:val="24"/>
          <w:szCs w:val="24"/>
        </w:rPr>
        <w:t>该笔赎回确认应返还投资者的销售服务费（如有）</w:t>
      </w:r>
    </w:p>
    <w:p w14:paraId="58CACCBF" w14:textId="700613F2"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对于投资人通过直销机构申购的C类基金份额所计提的销售服务费，或者通过其他销售机构申购的C类基金份额持续持有超过一年后所计提的销售服务费，将在投资者赎回相应基金份额时随赎回款一并返还给投资人。</w:t>
      </w:r>
    </w:p>
    <w:p w14:paraId="771D90F4" w14:textId="34382A5E"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w:t>
      </w:r>
      <w:r>
        <w:rPr>
          <w:rFonts w:ascii="宋体" w:hAnsi="宋体" w:hint="eastAsia"/>
          <w:sz w:val="24"/>
        </w:rPr>
        <w:t>三</w:t>
      </w:r>
      <w:r>
        <w:rPr>
          <w:rFonts w:ascii="宋体" w:hAnsi="宋体"/>
          <w:sz w:val="24"/>
        </w:rPr>
        <w:t>：某投资人赎回10,000份</w:t>
      </w:r>
      <w:r>
        <w:rPr>
          <w:rFonts w:ascii="宋体" w:hAnsi="宋体" w:hint="eastAsia"/>
          <w:sz w:val="24"/>
        </w:rPr>
        <w:t>A类</w:t>
      </w:r>
      <w:r>
        <w:rPr>
          <w:rFonts w:ascii="宋体" w:hAnsi="宋体"/>
          <w:sz w:val="24"/>
        </w:rPr>
        <w:t>基金份额，持有期限为30日，对应的赎回费率为0.5%，假设赎回当日</w:t>
      </w:r>
      <w:r>
        <w:rPr>
          <w:rFonts w:ascii="宋体" w:hAnsi="宋体" w:hint="eastAsia"/>
          <w:sz w:val="24"/>
        </w:rPr>
        <w:t>A类</w:t>
      </w:r>
      <w:r>
        <w:rPr>
          <w:rFonts w:ascii="宋体" w:hAnsi="宋体"/>
          <w:sz w:val="24"/>
        </w:rPr>
        <w:t>基金份额净值是1.016元，则其可得到的赎回金额为：</w:t>
      </w:r>
    </w:p>
    <w:p w14:paraId="444ECB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14:paraId="1DD2F5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 = 10,000×1.0160-50.80 ＝ 10,109.20元</w:t>
      </w:r>
    </w:p>
    <w:p w14:paraId="41297A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w:t>
      </w:r>
      <w:r>
        <w:rPr>
          <w:rFonts w:ascii="宋体" w:hAnsi="宋体" w:hint="eastAsia"/>
          <w:sz w:val="24"/>
        </w:rPr>
        <w:t>A类</w:t>
      </w:r>
      <w:r>
        <w:rPr>
          <w:rFonts w:ascii="宋体" w:hAnsi="宋体"/>
          <w:sz w:val="24"/>
        </w:rPr>
        <w:t>基金份额，持有期限为30日，假设赎回当日</w:t>
      </w:r>
      <w:r>
        <w:rPr>
          <w:rFonts w:ascii="宋体" w:hAnsi="宋体" w:hint="eastAsia"/>
          <w:sz w:val="24"/>
        </w:rPr>
        <w:t>A类</w:t>
      </w:r>
      <w:r>
        <w:rPr>
          <w:rFonts w:ascii="宋体" w:hAnsi="宋体"/>
          <w:sz w:val="24"/>
        </w:rPr>
        <w:t>基金份额净值是1.0160元，则其可得到的赎回金额为10,109.20元。</w:t>
      </w:r>
    </w:p>
    <w:p w14:paraId="6F3BEEE8" w14:textId="308A1F48"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例四：某投资人赎回持有的10,000.00份C类基金份额（通过直销机构申购获得），持有期限为30日，对应的赎回费率为0.5%，假设赎回当日C类基金份额净值是1.0160元，且假设该笔赎回确认应返还的销售服务费为5.00元（即通过直销机构申购的C类基金份额所计提的销售服务费，在投资人赎回相应基金份额时随赎回款一并返还），则其可得到的赎回金额为：</w:t>
      </w:r>
    </w:p>
    <w:p w14:paraId="69491E3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赎回费用=10,000.00×1.0160×0.5%＝50.80元</w:t>
      </w:r>
    </w:p>
    <w:p w14:paraId="3519C9A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赎回金额=10,000.00×1.0160-50.80+5.00＝10,114.20元</w:t>
      </w:r>
    </w:p>
    <w:p w14:paraId="3958D332" w14:textId="24F7CA1C"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即：该投资人赎回本基金10,000.00份C类基金份额（通过直销机构申购获得），持有期限为30日，对应的赎回费率为0.5%，假设赎回当日C类基金份额净值是1.0160元，且假设该笔赎回确认应返还的销售服务费为5.00元，则其可得到的赎回金额为10,114.20元。</w:t>
      </w:r>
    </w:p>
    <w:p w14:paraId="1FAAF75D" w14:textId="44F7A8CA"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例五：某投资人赎回持有的10,000.00份C类基金份额（通过其他销售机构申购获得），持有期限为450日，对应的赎回费率为0，假设赎回当日C类基金份额净值是1.0160元，且假设该笔赎回确认应返还的销售服务费为10.00元（即通过其他销售机构申购的C类基金份额持续持有超过一年后所计提的销售服务费，在投资人赎回相应基金份额时随赎回款一并返还），则其可得到的赎回金额为：</w:t>
      </w:r>
    </w:p>
    <w:p w14:paraId="7CE0683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赎回费用=10,000.00×1.0160×0＝0.00元</w:t>
      </w:r>
    </w:p>
    <w:p w14:paraId="480B50D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赎回金额=10,000.00×1.0160-0.00+10.00＝10,170.00元</w:t>
      </w:r>
    </w:p>
    <w:p w14:paraId="75280A02" w14:textId="7FEF7128"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即：该投资人赎回本基金10,000.00份C类基金份额（通过其他销售机构申购获得），持有期限为450日，对应的赎回费率为0，假设赎回当日C类基金份额净值是1.0160元，且假设该笔赎回确认应返还的销售服务费为10.00元，则其可得到的赎回金额为10,170.00元。</w:t>
      </w:r>
    </w:p>
    <w:p w14:paraId="1C14F5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14:paraId="6B24868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A类</w:t>
      </w:r>
      <w:r>
        <w:rPr>
          <w:rFonts w:ascii="宋体" w:hAnsi="宋体"/>
          <w:sz w:val="24"/>
        </w:rPr>
        <w:t>基金份额净值＝</w:t>
      </w:r>
      <w:r>
        <w:rPr>
          <w:rFonts w:ascii="宋体" w:hAnsi="宋体" w:hint="eastAsia"/>
          <w:sz w:val="24"/>
        </w:rPr>
        <w:t>A类基金份额的</w:t>
      </w:r>
      <w:r>
        <w:rPr>
          <w:rFonts w:ascii="宋体" w:hAnsi="宋体"/>
          <w:sz w:val="24"/>
        </w:rPr>
        <w:t>基金资产净值总额/发行在外的</w:t>
      </w:r>
      <w:r>
        <w:rPr>
          <w:rFonts w:ascii="宋体" w:hAnsi="宋体" w:hint="eastAsia"/>
          <w:sz w:val="24"/>
        </w:rPr>
        <w:t>A类</w:t>
      </w:r>
      <w:r>
        <w:rPr>
          <w:rFonts w:ascii="宋体" w:hAnsi="宋体"/>
          <w:sz w:val="24"/>
        </w:rPr>
        <w:t>基金份额总数</w:t>
      </w:r>
    </w:p>
    <w:p w14:paraId="73493F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C类基金份额净值＝C类基金份额的基金资产净值总额/发行在外的C类基金份额总数</w:t>
      </w:r>
    </w:p>
    <w:p w14:paraId="5C172C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lastRenderedPageBreak/>
        <w:t>（八）拒绝或暂停申购的情形及处理方式</w:t>
      </w:r>
    </w:p>
    <w:p w14:paraId="00180F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14:paraId="36231A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14:paraId="7BB19B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14:paraId="67AD3D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14:paraId="7C2967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14:paraId="5B6E94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5、因基金收益分配、或基金投资组合内某个或某些证券进行权益分派等原因，使基金管理人认为短期内继续接受申购可能会影响或损害现有基金份额持有人利益的；</w:t>
      </w:r>
    </w:p>
    <w:p w14:paraId="3C4F63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6、个别投资人的申购、赎回过于频繁，导致基金的交易费用和变现成本增加，或使得基金管理人无法顺利实施投资策略，继续接受其申购可能对其他基金份额持有人的利益产生损害；</w:t>
      </w:r>
    </w:p>
    <w:p w14:paraId="4CB475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7、基金财产规模过大，使基金管理人无法找到合适的投资品种，或其他可能对基金业绩产生负面影响，从而损害现有基金份额持有人的利益；</w:t>
      </w:r>
    </w:p>
    <w:p w14:paraId="420AD6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8、基金投资所处的主要市场休市时或本基金的资产组合中的重要部分发生暂停交易或其他重大事件，继续接受申购可能会影响或损害其他基金份额持有人利益时；</w:t>
      </w:r>
    </w:p>
    <w:p w14:paraId="34C0CF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9、当基金管理人继续接受申购申请会使基金资产规模超出国家外汇局的审批额度时；</w:t>
      </w:r>
    </w:p>
    <w:p w14:paraId="63EB64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10、基金管理人接受某笔或者某些申购申请有可能导致单一投资者持有基金份额的比例超过50%，或者变相规避50%集中度的情形。出现上述情形时，基金管理人有权将上述申购申请全部或部分确认失败；</w:t>
      </w:r>
    </w:p>
    <w:p w14:paraId="5878A8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14:paraId="27DA91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12、法律法规规定或中国证监会认定的其他可暂停申购的情形。</w:t>
      </w:r>
    </w:p>
    <w:p w14:paraId="071A88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发生上述第10项以外的暂停申购情形时，除拒绝或暂停接受特定申购申请外，基金管理人应当根据《信息披露办法》的有关规定在指定媒介上刊登暂停申购公</w:t>
      </w:r>
      <w:r>
        <w:rPr>
          <w:rFonts w:ascii="宋体" w:hAnsi="宋体"/>
          <w:sz w:val="24"/>
        </w:rPr>
        <w:lastRenderedPageBreak/>
        <w:t>告。如果投资人的申购申请被拒绝，被拒绝的申购款项将全额退还投资人。在暂停申购的情况消除时，基金管理人应及时恢复申购业务的办理。</w:t>
      </w:r>
    </w:p>
    <w:p w14:paraId="1FE520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（九）暂停赎回或者延缓支付赎回款项的情形及处理方式</w:t>
      </w:r>
    </w:p>
    <w:p w14:paraId="3416BF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14:paraId="67B636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14:paraId="545F6A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14:paraId="6B732E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14:paraId="3CD8AC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14:paraId="5F622F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5、基金投资所处的主要市场休市时或本基金的资产组合中的重要部分发生暂停交易或其他重大事件，继续接受赎回可能会影响或损害其他基金份额持有人利益时；</w:t>
      </w:r>
    </w:p>
    <w:p w14:paraId="54D5F9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14:paraId="2FD2AD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7、法律法规规定或中国证监会认定的其他情形。</w:t>
      </w:r>
    </w:p>
    <w:p w14:paraId="404777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14:paraId="10D311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（十）巨额赎回的情形及处理方式</w:t>
      </w:r>
    </w:p>
    <w:p w14:paraId="0C63BC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14:paraId="693C35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14:paraId="45E269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14:paraId="19ECE7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当基金出现巨额赎回时，基金管理人可以根据本基金当时的资产组合状况决定全额赎回或部分延期赎回。</w:t>
      </w:r>
    </w:p>
    <w:p w14:paraId="3089B4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14:paraId="2DEA10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ascii="宋体" w:hAnsi="宋体" w:hint="eastAsia"/>
          <w:sz w:val="24"/>
        </w:rPr>
        <w:t>该类</w:t>
      </w:r>
      <w:r>
        <w:rPr>
          <w:rFonts w:ascii="宋体" w:hAnsi="宋体"/>
          <w:sz w:val="24"/>
        </w:rPr>
        <w:t>基金份额净值为基础计算赎回金额，以此类推，直到全部赎回为止。如投资人在提交赎回申请时未作明确选择，投资人未能赎回部分作自动延期赎回处理。</w:t>
      </w:r>
    </w:p>
    <w:p w14:paraId="07893F79" w14:textId="3E15F346"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14:paraId="3754C7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14:paraId="4A7332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14:paraId="405709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14:paraId="660736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（十一）重新开放申购或赎回的公告</w:t>
      </w:r>
    </w:p>
    <w:p w14:paraId="3DBBCC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基金重新开放申购或赎回时，基金管理人应依照《信息披露办法》的有关规定在指定媒介上刊登基金重新开放申购或赎回公告，并在重新开放申购或赎回日公告最近一个开放日</w:t>
      </w:r>
      <w:r>
        <w:rPr>
          <w:rFonts w:ascii="宋体" w:hAnsi="宋体" w:hint="eastAsia"/>
          <w:sz w:val="24"/>
        </w:rPr>
        <w:t>各类基金份额</w:t>
      </w:r>
      <w:r>
        <w:rPr>
          <w:rFonts w:ascii="宋体" w:hAnsi="宋体"/>
          <w:sz w:val="24"/>
        </w:rPr>
        <w:t>的基金份额净值。</w:t>
      </w:r>
    </w:p>
    <w:p w14:paraId="68927D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（十二）基金转换</w:t>
      </w:r>
    </w:p>
    <w:p w14:paraId="56D459FA" w14:textId="6B22AC81"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本基金合同的规定决定开办本基金的转换业务，基金转换可以收取一定的转换费。基金转换的数额限制、转换费率、转换业务规则等具体规定请参见基金管理人届时公告。基金转换业务开始前，基金管理人应依照《信息披露办法》的有关规定在指定媒介上公告。</w:t>
      </w:r>
    </w:p>
    <w:p w14:paraId="2B8CA8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（十三）转托管</w:t>
      </w:r>
    </w:p>
    <w:p w14:paraId="4E1AF1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w:t>
      </w:r>
    </w:p>
    <w:p w14:paraId="7ABB09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14:paraId="7479D6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（十四）定期定额投资计划</w:t>
      </w:r>
    </w:p>
    <w:p w14:paraId="012A4F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2010年3月16日刊登公告自2010年3月16日起开通</w:t>
      </w:r>
      <w:r>
        <w:rPr>
          <w:rFonts w:ascii="宋体" w:hAnsi="宋体" w:hint="eastAsia"/>
          <w:sz w:val="24"/>
        </w:rPr>
        <w:t>A类基金份额的</w:t>
      </w:r>
      <w:r>
        <w:rPr>
          <w:rFonts w:ascii="宋体" w:hAnsi="宋体"/>
          <w:sz w:val="24"/>
        </w:rPr>
        <w:t>定期定额投资计划业务，</w:t>
      </w:r>
      <w:r>
        <w:rPr>
          <w:rFonts w:ascii="宋体" w:hAnsi="宋体" w:hint="eastAsia"/>
          <w:sz w:val="24"/>
        </w:rPr>
        <w:t>本基金202</w:t>
      </w:r>
      <w:r>
        <w:rPr>
          <w:rFonts w:ascii="宋体" w:hAnsi="宋体"/>
          <w:sz w:val="24"/>
        </w:rPr>
        <w:t>6</w:t>
      </w:r>
      <w:r>
        <w:rPr>
          <w:rFonts w:ascii="宋体" w:hAnsi="宋体" w:hint="eastAsia"/>
          <w:sz w:val="24"/>
        </w:rPr>
        <w:t>年</w:t>
      </w:r>
      <w:r>
        <w:rPr>
          <w:rFonts w:ascii="宋体" w:hAnsi="宋体"/>
          <w:sz w:val="24"/>
        </w:rPr>
        <w:t>4</w:t>
      </w:r>
      <w:r>
        <w:rPr>
          <w:rFonts w:ascii="宋体" w:hAnsi="宋体" w:hint="eastAsia"/>
          <w:sz w:val="24"/>
        </w:rPr>
        <w:t>月</w:t>
      </w:r>
      <w:r>
        <w:rPr>
          <w:rFonts w:ascii="宋体" w:hAnsi="宋体"/>
          <w:sz w:val="24"/>
        </w:rPr>
        <w:t>14</w:t>
      </w:r>
      <w:r>
        <w:rPr>
          <w:rFonts w:ascii="宋体" w:hAnsi="宋体" w:hint="eastAsia"/>
          <w:sz w:val="24"/>
        </w:rPr>
        <w:t>日刊登公告自202</w:t>
      </w:r>
      <w:r>
        <w:rPr>
          <w:rFonts w:ascii="宋体" w:hAnsi="宋体"/>
          <w:sz w:val="24"/>
        </w:rPr>
        <w:t>6</w:t>
      </w:r>
      <w:r>
        <w:rPr>
          <w:rFonts w:ascii="宋体" w:hAnsi="宋体" w:hint="eastAsia"/>
          <w:sz w:val="24"/>
        </w:rPr>
        <w:t>年4月1</w:t>
      </w:r>
      <w:r>
        <w:rPr>
          <w:rFonts w:ascii="宋体" w:hAnsi="宋体"/>
          <w:sz w:val="24"/>
        </w:rPr>
        <w:t>5</w:t>
      </w:r>
      <w:r>
        <w:rPr>
          <w:rFonts w:ascii="宋体" w:hAnsi="宋体" w:hint="eastAsia"/>
          <w:sz w:val="24"/>
        </w:rPr>
        <w:t>日起增设C类基金份额并开通C类基金份额的定期定额投资计划业务</w:t>
      </w:r>
      <w:r>
        <w:rPr>
          <w:rFonts w:ascii="宋体" w:hAnsi="宋体"/>
          <w:sz w:val="24"/>
        </w:rPr>
        <w:t>，具体开通销售机构名单和业务规则参见相关公告。</w:t>
      </w:r>
    </w:p>
    <w:p w14:paraId="3BA51ED3" w14:textId="41B96704"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（十五）基金的非交易过户</w:t>
      </w:r>
    </w:p>
    <w:p w14:paraId="2FA013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合格的投资人。</w:t>
      </w:r>
    </w:p>
    <w:p w14:paraId="2B169F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是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14:paraId="1DFC8B4F" w14:textId="00B1CF9C"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（十六）基金的冻结和解冻</w:t>
      </w:r>
    </w:p>
    <w:p w14:paraId="7C790C6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基金登记结算机构只受理国家有权机关依法要求的基金份额的冻结与解冻，以及登记结算机构、符合法律法规的其他情况下的基金份额的冻结与解冻。</w:t>
      </w:r>
    </w:p>
    <w:p w14:paraId="4ADD6F75" w14:textId="77777777" w:rsidR="00AE2A54" w:rsidRPr="00F3029D" w:rsidRDefault="002F705F" w:rsidP="00F3029D">
      <w:pPr>
        <w:autoSpaceDE w:val="0"/>
        <w:autoSpaceDN w:val="0"/>
        <w:adjustRightInd w:val="0"/>
        <w:snapToGrid w:val="0"/>
        <w:spacing w:line="360" w:lineRule="auto"/>
        <w:ind w:firstLineChars="200" w:firstLine="480"/>
        <w:jc w:val="left"/>
        <w:rPr>
          <w:rFonts w:ascii="宋体" w:hAnsi="宋体"/>
          <w:b/>
          <w:bCs/>
          <w:sz w:val="24"/>
        </w:rPr>
      </w:pPr>
      <w:r w:rsidRPr="00F3029D">
        <w:rPr>
          <w:rFonts w:ascii="宋体" w:hAnsi="宋体" w:hint="eastAsia"/>
          <w:b/>
          <w:bCs/>
          <w:sz w:val="24"/>
        </w:rPr>
        <w:t>（十七）实施侧袋机制期间本基金的申购与赎回</w:t>
      </w:r>
    </w:p>
    <w:p w14:paraId="2C09C395" w14:textId="77777777" w:rsidR="00AE2A54" w:rsidRPr="00F3029D" w:rsidRDefault="002F705F" w:rsidP="00F3029D">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本基金实施侧袋机制的，本基金的申购和赎回安排详见本招募说明书“侧袋机制”部分的规定或相关公告。</w:t>
      </w:r>
    </w:p>
    <w:p w14:paraId="0DA0EA12"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71407E31" w14:textId="77777777" w:rsidR="00AE2A54" w:rsidRDefault="002F705F">
      <w:pPr>
        <w:pStyle w:val="1"/>
        <w:snapToGrid w:val="0"/>
        <w:spacing w:beforeLines="0" w:before="240" w:after="240"/>
        <w:rPr>
          <w:rFonts w:ascii="宋体" w:hAnsi="宋体"/>
          <w:szCs w:val="30"/>
        </w:rPr>
      </w:pPr>
      <w:bookmarkStart w:id="13" w:name="_Toc220317705"/>
      <w:r>
        <w:rPr>
          <w:rFonts w:ascii="Times New Roman" w:hAnsi="Times New Roman"/>
          <w:sz w:val="30"/>
        </w:rPr>
        <w:t>十一、基金的费用与税收</w:t>
      </w:r>
      <w:bookmarkEnd w:id="13"/>
    </w:p>
    <w:p w14:paraId="52360C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14:paraId="7E979B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1、基金管理人的管理费，含境外投资顾问收取的费用；</w:t>
      </w:r>
    </w:p>
    <w:p w14:paraId="1940DF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2、基金托管人的托管费，含境外资产托管人收取的费用；</w:t>
      </w:r>
    </w:p>
    <w:p w14:paraId="68C8AF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14:paraId="75F2ED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14:paraId="038120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14:paraId="0BD709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6、基金合同生效后与基金有关的会计师费和律师费；</w:t>
      </w:r>
    </w:p>
    <w:p w14:paraId="538B52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7、基金的证券交易费用（包括但不限于经手费、印花税、征管费、过户费、手续费、券商佣金及其他性质类似的费用等）；</w:t>
      </w:r>
    </w:p>
    <w:p w14:paraId="22D634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8、外汇兑换交易的相关费用；</w:t>
      </w:r>
    </w:p>
    <w:p w14:paraId="0EB846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9、在中国证监会规定允许的前提下，本基金可以从基金财产中计提销售服务费，具体计提方法、计提标准在招募说明书或相关公告中载明；</w:t>
      </w:r>
    </w:p>
    <w:p w14:paraId="4E71B8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10、与基金缴纳税款有关的手续费、汇款费及顾问费；</w:t>
      </w:r>
    </w:p>
    <w:p w14:paraId="7BACEF5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11、</w:t>
      </w:r>
      <w:r>
        <w:rPr>
          <w:rFonts w:ascii="宋体" w:hAnsi="宋体" w:hint="eastAsia"/>
          <w:sz w:val="24"/>
        </w:rPr>
        <w:t>本基金从C类基金份额的基金财产中计提的销售服务费；</w:t>
      </w:r>
    </w:p>
    <w:p w14:paraId="34674C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w:t>
      </w:r>
      <w:r>
        <w:rPr>
          <w:rFonts w:ascii="宋体" w:hAnsi="宋体" w:hint="eastAsia"/>
          <w:sz w:val="24"/>
        </w:rPr>
        <w:t>、</w:t>
      </w:r>
      <w:r>
        <w:rPr>
          <w:rFonts w:ascii="宋体" w:hAnsi="宋体"/>
          <w:sz w:val="24"/>
        </w:rPr>
        <w:t>依法和依基金合同可以在基金财产中列支的其他费用。</w:t>
      </w:r>
    </w:p>
    <w:p w14:paraId="79F281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14:paraId="6771C3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14:paraId="12581C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14:paraId="593F1F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14:paraId="659C00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在通常情况下，基金管理费按前一日基金资产净值的1.2%年费率计提。计算方法如下：</w:t>
      </w:r>
    </w:p>
    <w:p w14:paraId="2CC092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14:paraId="72B66B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14:paraId="5B48C7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14:paraId="122229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w:t>
      </w:r>
      <w:r>
        <w:rPr>
          <w:rFonts w:ascii="宋体" w:hAnsi="宋体"/>
          <w:sz w:val="24"/>
        </w:rPr>
        <w:lastRenderedPageBreak/>
        <w:t>付给基金管理人，若遇法定节假日、休息日，支付日期顺延。</w:t>
      </w:r>
    </w:p>
    <w:p w14:paraId="4397FB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14:paraId="38AA10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14:paraId="6F3548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14:paraId="6A353C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14:paraId="175DF3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14:paraId="0A60E2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14:paraId="41E73FC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（3）</w:t>
      </w:r>
      <w:r>
        <w:rPr>
          <w:rFonts w:ascii="宋体" w:hAnsi="宋体" w:hint="eastAsia"/>
          <w:sz w:val="24"/>
        </w:rPr>
        <w:t>C类基金份额的销售服务费</w:t>
      </w:r>
    </w:p>
    <w:p w14:paraId="5F85B9CF"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本基金A类基金份额不收取销售服务费，C类基金份额的销售服务费按前一日C类基金资产净值的0.4%年费率计提。计算方法如下：</w:t>
      </w:r>
    </w:p>
    <w:p w14:paraId="28362D37"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H＝E×0.4%÷当年天数</w:t>
      </w:r>
    </w:p>
    <w:p w14:paraId="417169DA"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H为C类基金份额每日应计提的销售服务费</w:t>
      </w:r>
    </w:p>
    <w:p w14:paraId="36F6A5F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E为C类基金份额前一日基金资产净值</w:t>
      </w:r>
    </w:p>
    <w:p w14:paraId="2F4AB3E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C类基金份额的销售服务费具体收取/返还方式：</w:t>
      </w:r>
    </w:p>
    <w:p w14:paraId="5FE55CD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1）通过直销机构申购的C类基金份额</w:t>
      </w:r>
    </w:p>
    <w:p w14:paraId="7D27AAD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对于C类基金份额计提的销售服务费，在投资人赎回基金份额或基金合同终止时随赎回款或清算款一并返还给投资人。</w:t>
      </w:r>
    </w:p>
    <w:p w14:paraId="75D1511E"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2）通过其他销售机构申购的C类基金份额</w:t>
      </w:r>
    </w:p>
    <w:p w14:paraId="7A21DE7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对于投资人持续持有期限未超过一年的C类基金份额，销售服务费每日计提，逐日累计至每月月末，按月支付。由基金管理人向基金托管人发送基金销售服务费划款指令，于次月首日起5个工作日内从基金财产中一次性支付给销售机构。若遇法定节假日、休息日或不可抗力致使无法按时支付的，顺延至最近可支付日支付。</w:t>
      </w:r>
    </w:p>
    <w:p w14:paraId="00604AB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对于投资人持续持有期限超过一年的C类基金份额，持续持有超过一年后计提的销售服务费将在投资人赎回相应基金份额或基金合同终止时随赎回款或清算款一并返还给投资人。</w:t>
      </w:r>
    </w:p>
    <w:p w14:paraId="091FB723"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C类基金份额的销售服务费将专门用于本基金的推广、销售与基金份额持有人服务。</w:t>
      </w:r>
    </w:p>
    <w:p w14:paraId="20C16CF8" w14:textId="40764E44"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lastRenderedPageBreak/>
        <w:t>（4）</w:t>
      </w:r>
      <w:r>
        <w:rPr>
          <w:rFonts w:ascii="宋体" w:hAnsi="宋体"/>
          <w:sz w:val="24"/>
        </w:rPr>
        <w:t>除管理费</w:t>
      </w:r>
      <w:r>
        <w:rPr>
          <w:rFonts w:ascii="宋体" w:hAnsi="宋体" w:hint="eastAsia"/>
          <w:sz w:val="24"/>
        </w:rPr>
        <w:t>、</w:t>
      </w:r>
      <w:r>
        <w:rPr>
          <w:rFonts w:ascii="宋体" w:hAnsi="宋体"/>
          <w:sz w:val="24"/>
        </w:rPr>
        <w:t>托管费</w:t>
      </w:r>
      <w:r>
        <w:rPr>
          <w:rFonts w:ascii="宋体" w:hAnsi="宋体" w:hint="eastAsia"/>
          <w:sz w:val="24"/>
        </w:rPr>
        <w:t>和销售服务费</w:t>
      </w:r>
      <w:r>
        <w:rPr>
          <w:rFonts w:ascii="宋体" w:hAnsi="宋体"/>
          <w:sz w:val="24"/>
        </w:rPr>
        <w:t>之外的基金费用，由基金托管人根据其他有关法规及相应协议的规定，按费用支出金额支付，列入或摊入当期基金费用。</w:t>
      </w:r>
    </w:p>
    <w:p w14:paraId="377E31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14:paraId="7F33C2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14:paraId="7FC7AE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本基金申购费的费率水平、计算公式和收取方式详见“基金的申购与赎回”一章。</w:t>
      </w:r>
    </w:p>
    <w:p w14:paraId="2A877E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14:paraId="2B1369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本基金赎回费的费率水平、计算公式和收取方式详见“基金的申购与赎回”一章。</w:t>
      </w:r>
    </w:p>
    <w:p w14:paraId="2105DC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14:paraId="78DB41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14:paraId="0E7423BB" w14:textId="3F7E7E52"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w:t>
      </w:r>
      <w:r>
        <w:rPr>
          <w:rFonts w:ascii="宋体" w:hAnsi="宋体" w:hint="eastAsia"/>
          <w:sz w:val="24"/>
        </w:rPr>
        <w:t>、</w:t>
      </w:r>
      <w:r>
        <w:rPr>
          <w:rFonts w:ascii="宋体" w:hAnsi="宋体"/>
          <w:sz w:val="24"/>
        </w:rPr>
        <w:t>托管费</w:t>
      </w:r>
      <w:r>
        <w:rPr>
          <w:rFonts w:ascii="宋体" w:hAnsi="宋体" w:hint="eastAsia"/>
          <w:sz w:val="24"/>
        </w:rPr>
        <w:t>和销售服务费</w:t>
      </w:r>
      <w:r>
        <w:rPr>
          <w:rFonts w:ascii="宋体" w:hAnsi="宋体"/>
          <w:sz w:val="24"/>
        </w:rPr>
        <w:t>的调整</w:t>
      </w:r>
    </w:p>
    <w:p w14:paraId="188B7D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w:t>
      </w:r>
      <w:r>
        <w:rPr>
          <w:rFonts w:ascii="宋体" w:hAnsi="宋体" w:hint="eastAsia"/>
          <w:sz w:val="24"/>
        </w:rPr>
        <w:t>、销售服务费率</w:t>
      </w:r>
      <w:r>
        <w:rPr>
          <w:rFonts w:ascii="宋体" w:hAnsi="宋体"/>
          <w:sz w:val="24"/>
        </w:rPr>
        <w:t>等相关费率或改变收费模式。调低基金管理费率、基金托管费率</w:t>
      </w:r>
      <w:r>
        <w:rPr>
          <w:rFonts w:ascii="宋体" w:hAnsi="宋体" w:hint="eastAsia"/>
          <w:sz w:val="24"/>
        </w:rPr>
        <w:t>、销售服务费率</w:t>
      </w:r>
      <w:r>
        <w:rPr>
          <w:rFonts w:ascii="宋体" w:hAnsi="宋体"/>
          <w:sz w:val="24"/>
        </w:rPr>
        <w:t>等相关费率或在不提高整体费率水平的情况下改变收费模式，此项调整不需要基金份额持有人大会通过。</w:t>
      </w:r>
    </w:p>
    <w:p w14:paraId="3A52A79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监管机构许可本基金或本类型的基金采取持续性销售服务费模式，则本基金可依法引入持续性销售服务费收费模式；若引入该类收费模式，并没有增加现有基金份额持有人的费用负担，则无须召开基金份额持有人大会，法律法规或监管机构另有规定的除外。</w:t>
      </w:r>
    </w:p>
    <w:p w14:paraId="0FF379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14:paraId="0A895888" w14:textId="77777777" w:rsidR="00AE2A54" w:rsidRPr="00F3029D" w:rsidRDefault="002F705F">
      <w:pPr>
        <w:adjustRightInd w:val="0"/>
        <w:snapToGrid w:val="0"/>
        <w:spacing w:line="360" w:lineRule="auto"/>
        <w:ind w:firstLine="482"/>
        <w:rPr>
          <w:bCs/>
          <w:sz w:val="24"/>
        </w:rPr>
      </w:pPr>
      <w:r>
        <w:rPr>
          <w:rFonts w:ascii="宋体" w:hAnsi="宋体"/>
          <w:sz w:val="24"/>
        </w:rPr>
        <w:t>(五)</w:t>
      </w:r>
      <w:r w:rsidRPr="00F3029D">
        <w:rPr>
          <w:rFonts w:hint="eastAsia"/>
          <w:bCs/>
          <w:sz w:val="24"/>
        </w:rPr>
        <w:t>实施侧袋机制期间的基金费用</w:t>
      </w:r>
    </w:p>
    <w:p w14:paraId="521606E3" w14:textId="77777777" w:rsidR="00AE2A54" w:rsidRPr="00F3029D" w:rsidRDefault="002F705F" w:rsidP="00F3029D">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3213161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sidRPr="00F3029D">
        <w:rPr>
          <w:rFonts w:hint="eastAsia"/>
          <w:bCs/>
          <w:sz w:val="24"/>
        </w:rPr>
        <w:t>（六）</w:t>
      </w:r>
      <w:r>
        <w:rPr>
          <w:rFonts w:ascii="宋体" w:hAnsi="宋体"/>
          <w:sz w:val="24"/>
        </w:rPr>
        <w:t>基金税收</w:t>
      </w:r>
    </w:p>
    <w:p w14:paraId="21446D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基金根据国家法律法规和基金投资所在地的法律法规规定，履行纳税义务。</w:t>
      </w:r>
    </w:p>
    <w:p w14:paraId="5918FBC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基金份额持有人根据中国法律法规规定，履行纳税义务。</w:t>
      </w:r>
    </w:p>
    <w:p w14:paraId="2E8073B0"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0E2F1B8" w14:textId="77777777" w:rsidR="00AE2A54" w:rsidRDefault="002F705F">
      <w:pPr>
        <w:pStyle w:val="1"/>
        <w:snapToGrid w:val="0"/>
        <w:spacing w:beforeLines="0" w:before="240" w:after="240"/>
        <w:rPr>
          <w:rFonts w:ascii="宋体" w:hAnsi="宋体"/>
          <w:szCs w:val="30"/>
        </w:rPr>
      </w:pPr>
      <w:bookmarkStart w:id="14" w:name="_Toc220317706"/>
      <w:r>
        <w:rPr>
          <w:rFonts w:ascii="Times New Roman" w:hAnsi="Times New Roman"/>
          <w:sz w:val="30"/>
        </w:rPr>
        <w:t>十二、基金的财产</w:t>
      </w:r>
      <w:bookmarkEnd w:id="14"/>
    </w:p>
    <w:p w14:paraId="6D5FDD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14:paraId="11D2F0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14:paraId="6451BE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14:paraId="2F0EE8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基金资产净值是指基金资产总值减去负债（含各项有关税收）后的价值。</w:t>
      </w:r>
    </w:p>
    <w:p w14:paraId="6A0D49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14:paraId="1AB7EC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投资所在地规定及境外资产托管人的相关要求，基金托管人、境外资产托管人可以以基金名义或托管人名义开立证券账户和现金账户，并保证上述账户与托管人及境外资产托管人的财产独立，并与托管人及境外资产托管人的其他托管账户相独立。</w:t>
      </w:r>
    </w:p>
    <w:p w14:paraId="1CFDE1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14:paraId="52B4BC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固有财产，并由基金托管人和/或境外资产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14:paraId="7AA552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14:paraId="33529F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除依据《基金法》、《运作办法》、《试行办法》和基金合同及其他有关规定处分外，基金财产不得被处分。非因基金财产本身承担的债务，不得对基金财产强制执行。</w:t>
      </w:r>
    </w:p>
    <w:p w14:paraId="03B32C58"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BB8EF42" w14:textId="77777777" w:rsidR="00AE2A54" w:rsidRDefault="002F705F">
      <w:pPr>
        <w:pStyle w:val="1"/>
        <w:snapToGrid w:val="0"/>
        <w:spacing w:beforeLines="0" w:before="240" w:after="240"/>
        <w:rPr>
          <w:rFonts w:ascii="宋体" w:hAnsi="宋体"/>
          <w:szCs w:val="30"/>
        </w:rPr>
      </w:pPr>
      <w:bookmarkStart w:id="15" w:name="_Toc220317707"/>
      <w:r>
        <w:rPr>
          <w:rFonts w:ascii="Times New Roman" w:hAnsi="Times New Roman"/>
          <w:sz w:val="30"/>
        </w:rPr>
        <w:t>十三、基金资产的估值</w:t>
      </w:r>
      <w:bookmarkEnd w:id="15"/>
    </w:p>
    <w:p w14:paraId="50BF6E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14:paraId="5B0A6E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基金资产估值的目的是客观、准确地反映基金财产是否保值、增值，依据经基金资产估值后确定的基金资产净值而计算出的基金份额净值，是计算基金申购与赎回价格的基础。</w:t>
      </w:r>
    </w:p>
    <w:p w14:paraId="3A36C3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（二）估值时间</w:t>
      </w:r>
    </w:p>
    <w:p w14:paraId="61FB1B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本基金合同生效后，每个开放日对基金资产进行估值。</w:t>
      </w:r>
    </w:p>
    <w:p w14:paraId="795FAE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14:paraId="66C1DA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14:paraId="35FA36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14:paraId="5B0AE2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14:paraId="4B9EA7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①送股、转增股、配股和增发等方式发行的股票，按估值日在交易所挂牌的同一股票的收盘价估值，该日无交易的，以最近交易日的收盘价估值；</w:t>
      </w:r>
    </w:p>
    <w:p w14:paraId="209282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②首次发行且未上市的股票，按成本价估值；首次发行且有明确锁定期的股票，同一股票在交易所上市后，按交易所上市的同一股票的市价估值。</w:t>
      </w:r>
    </w:p>
    <w:p w14:paraId="2FB43A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14:paraId="303F7E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证券交易所市场未实行净价交易的债券按估值日收盘价减去债券收盘价中所含的债券应收利息得到的净价进行估值，估值日没有交易的，按最近交易日债券收盘价减去所含的最近交易日债券应收利息后得到的净价估值。未上市债券采用估值技术确定公允价值，在估值技术难以可靠计量公允价值的情况下，按成本进行后续计量。</w:t>
      </w:r>
    </w:p>
    <w:p w14:paraId="0EE57D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（2）在国内全国银行间债券市场交易的债券、资产支持证券等固定收益品种，采用估值技术确定公允价值。</w:t>
      </w:r>
    </w:p>
    <w:p w14:paraId="1518C2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3、衍生品估值方法</w:t>
      </w:r>
    </w:p>
    <w:p w14:paraId="71E686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（1）上市流通衍生品按估值日其所在证券交易所的收盘价估值；估值日无交易的，以最近交易日的收盘价估值。</w:t>
      </w:r>
    </w:p>
    <w:p w14:paraId="33B3F6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（2）未上市衍生品按成本价估值，如成本价不能反映公允价值，则采用估值技术确定公允价值。</w:t>
      </w:r>
    </w:p>
    <w:p w14:paraId="19F80F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（3）衍生品的估值，可以参照国际会计准则进行。</w:t>
      </w:r>
    </w:p>
    <w:p w14:paraId="5C66B6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4、存托凭证估值方法</w:t>
      </w:r>
    </w:p>
    <w:p w14:paraId="6B679C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公开挂牌的存托凭证按其所在证券交易所的最近交易日的收盘价估值。</w:t>
      </w:r>
    </w:p>
    <w:p w14:paraId="00E28D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5、基金估值方法</w:t>
      </w:r>
    </w:p>
    <w:p w14:paraId="0E68EA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（1）上市流通的基金按估值日其所在证券交易所的收盘价估值；估值日无交易的，以最近交易日的收盘价估值。</w:t>
      </w:r>
    </w:p>
    <w:p w14:paraId="69F4E4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（2）其他基金按最近交易日的基金份额净值估值。</w:t>
      </w:r>
    </w:p>
    <w:p w14:paraId="72EA51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6、非流动性资产或暂停交易的证券估值方法</w:t>
      </w:r>
    </w:p>
    <w:p w14:paraId="224DAE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未上市流通、或流通受限、或暂停交易的证券，应参照上述估值原则进行估值。如果上述估值方法不能客观反映公允价值的，基金管理人可根据具体情况，并与基金托管人商定后，按最能反映公允价值的价格估值。</w:t>
      </w:r>
    </w:p>
    <w:p w14:paraId="19190BA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对于流动性受限的证券估值可以参照国际会计准则进行。</w:t>
      </w:r>
    </w:p>
    <w:p w14:paraId="70E084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7、汇率</w:t>
      </w:r>
    </w:p>
    <w:p w14:paraId="70358D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外币资产价值计算中，所涉及人民币对美元的汇率应当以基金估值日中国人民银行或其授权机构公布的人民币汇率为准。涉及到其它币种与人民币之间的汇率，采用估值日伦敦时间下午四点（或能够取到的离下午四点最近时点）由彭博信息(Bloomberg)提供的其它币种对美元的汇率套算。基金管理人和托管人经协商可对所采用的汇率来源进行调整。</w:t>
      </w:r>
    </w:p>
    <w:p w14:paraId="518DF7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若无法取得上述汇率价格信息时，以基金托管人或境外托管人所提供的合理公开外汇市场交易价格为准。</w:t>
      </w:r>
    </w:p>
    <w:p w14:paraId="4E5D81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8、税收</w:t>
      </w:r>
    </w:p>
    <w:p w14:paraId="743E2A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0FDFF5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任何情况下，基金管理人如采用本款第1－8项规定的方法对基金资产进行估值，均应被认为采用了适当的估值方法。但是，如果基金管理人认为按本款第1－8项规定的方法对基金资产进行估值不能客观反映其公允价值的，基金管理人可</w:t>
      </w:r>
      <w:r>
        <w:rPr>
          <w:rFonts w:ascii="宋体" w:hAnsi="宋体"/>
          <w:sz w:val="24"/>
        </w:rPr>
        <w:lastRenderedPageBreak/>
        <w:t>根据具体情况，并与基金托管人商定后，按最能反映公允价值的价格估值。</w:t>
      </w:r>
    </w:p>
    <w:p w14:paraId="1DE126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10、法律法规或监管部门有最新规定的，按其规定进行估值。</w:t>
      </w:r>
    </w:p>
    <w:p w14:paraId="61A1D8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基金管理人或基金托管人按上述估值方法进行估值时，所造成的误差不作为基金资产估值错误处理。</w:t>
      </w:r>
    </w:p>
    <w:p w14:paraId="18EC6A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14:paraId="40D123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14:paraId="325D42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14:paraId="3ED683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管理人完成估值后，将估值结果加盖业务公章以书面形式加密传真至基金托管人，基金托管人按法律法规、基金合同规定的估值方法、时间、程序进行复核，复核无误后在基金管理人传真的书面估值结果上加盖业务公章返回给基金管理人；月末、年中和年末估值复核与基金会计账目的核对同时进行。</w:t>
      </w:r>
    </w:p>
    <w:p w14:paraId="46904C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在法律法规和中国证监会允许的情况下，基金管理人与基金托管人可以各自委托第三方机构进行基金资产估值，但不改变基金管理人与基金托管人对基金资产估值各自承担的责任。</w:t>
      </w:r>
    </w:p>
    <w:p w14:paraId="28E315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14:paraId="2AAAA8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14:paraId="702052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过程中，如果由于基金管理人或基金托管人、或登记结算机构、或代销机构、或投资人自身的原因造成差错，导致其他当事人遭受损失的，过错的责任人应当对由于该差错遭受损失的当事人（“受损方”）按下述“差错处理原则”给予赔偿并承担相关责任。</w:t>
      </w:r>
    </w:p>
    <w:p w14:paraId="230381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无法预见、无法避免、无法抗拒，则属不可抗力，按照下述规定执行。</w:t>
      </w:r>
    </w:p>
    <w:p w14:paraId="5898CB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78C108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14:paraId="207EC2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基金估值错误给基金投资人造成的损失应由基金托管人和基金管理人协商共同承担，基金托管人和基金管理人对不应由其承担的责任，有权根据过错原则，向过错人追偿，基金合同的当事人应将按照以下约定处理。</w:t>
      </w:r>
    </w:p>
    <w:p w14:paraId="3A0076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的损失由差错责任方承担；若差错责任方已经积极协调，并且有协助义务的当事人有足够的时间进行更正而未更正，则有协助义务的当事人应当承担相应赔偿责任。差错责任方应对更正的情况向有关当事人进行确认，确保差错已得到更正。</w:t>
      </w:r>
    </w:p>
    <w:p w14:paraId="3EC6DB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14:paraId="6DD56B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14:paraId="2F8184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（4）基金份额净值计算差错小于</w:t>
      </w:r>
      <w:r>
        <w:rPr>
          <w:rFonts w:ascii="宋体" w:hAnsi="宋体" w:hint="eastAsia"/>
          <w:sz w:val="24"/>
        </w:rPr>
        <w:t>该类</w:t>
      </w:r>
      <w:r>
        <w:rPr>
          <w:rFonts w:ascii="宋体" w:hAnsi="宋体"/>
          <w:sz w:val="24"/>
        </w:rPr>
        <w:t>基金份额净值0.5%时，基金管理人与基金托管人应在发现日对账务进行更正调整，不做追溯处理。</w:t>
      </w:r>
    </w:p>
    <w:p w14:paraId="16D31F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原因造成基金资产损失时，基金托管人应为基金的利益向基金管理人追偿，如果因基金托管人原因造成基金资产损失时，基金管理人应为基金的利益向基金托管人追偿。除基金管理人和托管人之外的第三方造成基金资产的损失，并拒绝进行赔偿时，由基金托管人负责向差错方追偿。</w:t>
      </w:r>
    </w:p>
    <w:p w14:paraId="3C5C01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14:paraId="30ACD7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14:paraId="71D9E2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3、差错处理程序</w:t>
      </w:r>
    </w:p>
    <w:p w14:paraId="4EC407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14:paraId="5169C7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14:paraId="620760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14:paraId="500529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（3）根据差错处理原则或当事人协商的方法由差错的责任方进行更正和赔偿损失；其中基金份额净值计算差错小于</w:t>
      </w:r>
      <w:r>
        <w:rPr>
          <w:rFonts w:ascii="宋体" w:hAnsi="宋体" w:hint="eastAsia"/>
          <w:sz w:val="24"/>
        </w:rPr>
        <w:t>该类</w:t>
      </w:r>
      <w:r>
        <w:rPr>
          <w:rFonts w:ascii="宋体" w:hAnsi="宋体"/>
          <w:sz w:val="24"/>
        </w:rPr>
        <w:t>基金份额净值0.5%时，基金管理人与基金托管人应在发现日对账务进行更正调整，不做追溯处理；基金份额净值计算差错达到或超过</w:t>
      </w:r>
      <w:r>
        <w:rPr>
          <w:rFonts w:ascii="宋体" w:hAnsi="宋体" w:hint="eastAsia"/>
          <w:sz w:val="24"/>
        </w:rPr>
        <w:t>该类</w:t>
      </w:r>
      <w:r>
        <w:rPr>
          <w:rFonts w:ascii="宋体" w:hAnsi="宋体"/>
          <w:sz w:val="24"/>
        </w:rPr>
        <w:t>基金份额净值0.5%时，基金管理人应当公告、通报基金托管人并报中国证监会备案；</w:t>
      </w:r>
    </w:p>
    <w:p w14:paraId="711AFB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（4）根据差错处理的方法，需要修改基金登记结算机构的交易数据的，由基金登记结算机构进行更正，并就差错的更正向有关当事人进行确认。</w:t>
      </w:r>
    </w:p>
    <w:p w14:paraId="33269A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4、基金净值的确认</w:t>
      </w:r>
    </w:p>
    <w:p w14:paraId="6B1333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w:t>
      </w:r>
      <w:r>
        <w:rPr>
          <w:rFonts w:ascii="宋体" w:hAnsi="宋体" w:hint="eastAsia"/>
          <w:sz w:val="24"/>
        </w:rPr>
        <w:t>各类基金份额的</w:t>
      </w:r>
      <w:r>
        <w:rPr>
          <w:rFonts w:ascii="宋体" w:hAnsi="宋体"/>
          <w:sz w:val="24"/>
        </w:rPr>
        <w:t>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14:paraId="5A9CF3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5、特殊情况的处理</w:t>
      </w:r>
    </w:p>
    <w:p w14:paraId="523FA4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（1）对于因税收规定调整或其他原因导致基金实际交纳税金与基金按照权责发生制进行估值的应交税金有差异的，相关估值调整不作为基金资产估值错误处理。</w:t>
      </w:r>
    </w:p>
    <w:p w14:paraId="6EA7F1D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各家数据服务机构发送的数据错误，本基金管理人和本基金托管人虽然已经采取必要、适当、合理的措施进行检查，但未能发现错误的，由此造成的基金资产估值错误，本基金管理人和本基金托管人可以免除赔偿责任。但基金托管人应当积极采取必要的措施消除由此造成的影响。</w:t>
      </w:r>
    </w:p>
    <w:p w14:paraId="3BF4BC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（七）暂停估值与公告基金份额净值的情形</w:t>
      </w:r>
    </w:p>
    <w:p w14:paraId="36E543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1、基金投资涉及的主要证券交易市场遇法定节假日或因其他原因停市时；</w:t>
      </w:r>
    </w:p>
    <w:p w14:paraId="144839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14:paraId="31D6CA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w:t>
      </w:r>
      <w:r>
        <w:rPr>
          <w:rFonts w:ascii="宋体" w:hAnsi="宋体"/>
          <w:sz w:val="24"/>
        </w:rPr>
        <w:lastRenderedPageBreak/>
        <w:t>资人的利益，已决定延迟估值；</w:t>
      </w:r>
    </w:p>
    <w:p w14:paraId="182905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4、如出现基金管理人认为属于紧急事故的任何情况，会导致基金管理人不能出售或无法评估基金资产的；</w:t>
      </w:r>
    </w:p>
    <w:p w14:paraId="78D3CF85" w14:textId="348BB1C0"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w:t>
      </w:r>
      <w:r>
        <w:rPr>
          <w:rFonts w:ascii="宋体" w:hAnsi="宋体" w:hint="eastAsia"/>
          <w:sz w:val="24"/>
        </w:rPr>
        <w:t>当特定资产占前一估值日基金资产净值50%以上的，经与基金托管人协商确认后，基金管理人应当暂停估值</w:t>
      </w:r>
      <w:r>
        <w:rPr>
          <w:rFonts w:ascii="宋体" w:hAnsi="宋体"/>
          <w:sz w:val="24"/>
        </w:rPr>
        <w:t>；</w:t>
      </w:r>
    </w:p>
    <w:p w14:paraId="70CD1D6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6、中国证监会和基金合同认定的其它情形。</w:t>
      </w:r>
    </w:p>
    <w:p w14:paraId="07EDA41B" w14:textId="77777777" w:rsidR="00AE2A54" w:rsidRPr="00F3029D" w:rsidRDefault="002F705F">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（八）实施侧袋机制期间的基金资产估值</w:t>
      </w:r>
    </w:p>
    <w:p w14:paraId="42BD4F63" w14:textId="77777777" w:rsidR="00AE2A54" w:rsidRPr="00F3029D" w:rsidRDefault="002F705F">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本基金实施侧袋机制的，应根据本部分的约定对主袋账户资产进行估值并披露主袋账户的基金净值信息，暂停披露侧袋账户份额净值。</w:t>
      </w:r>
    </w:p>
    <w:p w14:paraId="739B6FEA"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2D2153E1" w14:textId="77777777" w:rsidR="00AE2A54" w:rsidRDefault="002F705F">
      <w:pPr>
        <w:pStyle w:val="1"/>
        <w:snapToGrid w:val="0"/>
        <w:spacing w:beforeLines="0" w:before="240" w:after="240"/>
        <w:rPr>
          <w:rFonts w:ascii="宋体" w:hAnsi="宋体"/>
          <w:szCs w:val="30"/>
        </w:rPr>
      </w:pPr>
      <w:bookmarkStart w:id="16" w:name="_Toc220317708"/>
      <w:r>
        <w:rPr>
          <w:rFonts w:ascii="Times New Roman" w:hAnsi="Times New Roman"/>
          <w:sz w:val="30"/>
        </w:rPr>
        <w:t>十四、基金的收益与分配</w:t>
      </w:r>
      <w:bookmarkEnd w:id="16"/>
    </w:p>
    <w:p w14:paraId="729B998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14:paraId="565ECC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14:paraId="0DEA7E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14:paraId="77FDC2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3、银行存款利息；</w:t>
      </w:r>
    </w:p>
    <w:p w14:paraId="5D1D40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4、外汇兑换损益；</w:t>
      </w:r>
    </w:p>
    <w:p w14:paraId="464A52D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5、其他合法收入。</w:t>
      </w:r>
    </w:p>
    <w:p w14:paraId="2C586E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14:paraId="5798C1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14:paraId="1A3B69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基金净收益为基金收益扣除按国家有关规定应在基金收益中扣除的费用后的余额。</w:t>
      </w:r>
    </w:p>
    <w:p w14:paraId="74477F7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(三)收益分配原则</w:t>
      </w:r>
    </w:p>
    <w:p w14:paraId="75F2CD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14:paraId="7ED1FB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w:t>
      </w:r>
      <w:r>
        <w:rPr>
          <w:rFonts w:ascii="宋体" w:hAnsi="宋体" w:hint="eastAsia"/>
          <w:sz w:val="24"/>
        </w:rPr>
        <w:t>由于本基金A类基金份额不收取销售服务费，C类基金份额收取销售服务费，各基金份额类别对应的可供分配利润将有所不同；</w:t>
      </w:r>
      <w:r>
        <w:rPr>
          <w:rFonts w:ascii="宋体" w:hAnsi="宋体"/>
          <w:sz w:val="24"/>
        </w:rPr>
        <w:t>本基金</w:t>
      </w:r>
      <w:r>
        <w:rPr>
          <w:rFonts w:ascii="宋体" w:hAnsi="宋体" w:hint="eastAsia"/>
          <w:sz w:val="24"/>
        </w:rPr>
        <w:t>同一基金份额类别</w:t>
      </w:r>
      <w:r>
        <w:rPr>
          <w:rFonts w:ascii="宋体" w:hAnsi="宋体"/>
          <w:sz w:val="24"/>
        </w:rPr>
        <w:t>的每份基金份额享有同等分配权；</w:t>
      </w:r>
    </w:p>
    <w:p w14:paraId="58AC01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划款日的基金份额净值自动转为</w:t>
      </w:r>
      <w:r>
        <w:rPr>
          <w:rFonts w:ascii="宋体" w:hAnsi="宋体" w:hint="eastAsia"/>
          <w:sz w:val="24"/>
        </w:rPr>
        <w:t>相应类别的</w:t>
      </w:r>
      <w:r>
        <w:rPr>
          <w:rFonts w:ascii="宋体" w:hAnsi="宋体"/>
          <w:sz w:val="24"/>
        </w:rPr>
        <w:t>基金份额。</w:t>
      </w:r>
    </w:p>
    <w:p w14:paraId="59C63F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3、本基金收益每年最多分配10次，</w:t>
      </w:r>
      <w:r>
        <w:rPr>
          <w:rFonts w:ascii="宋体" w:hAnsi="宋体" w:hint="eastAsia"/>
          <w:sz w:val="24"/>
        </w:rPr>
        <w:t>任一类基金份额</w:t>
      </w:r>
      <w:r>
        <w:rPr>
          <w:rFonts w:ascii="宋体" w:hAnsi="宋体"/>
          <w:sz w:val="24"/>
        </w:rPr>
        <w:t>年度基金收益分配比例不低于</w:t>
      </w:r>
      <w:r>
        <w:rPr>
          <w:rFonts w:ascii="宋体" w:hAnsi="宋体" w:hint="eastAsia"/>
          <w:sz w:val="24"/>
        </w:rPr>
        <w:t>该类基金份额</w:t>
      </w:r>
      <w:r>
        <w:rPr>
          <w:rFonts w:ascii="宋体" w:hAnsi="宋体"/>
          <w:sz w:val="24"/>
        </w:rPr>
        <w:t>年度可分配收益的10%；</w:t>
      </w:r>
    </w:p>
    <w:p w14:paraId="1BD51A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4、在符合有关基金分红条件的前提下，本基金收益每年至少分配一次，但若基金合同生效不满3个月则可不进行收益分配；</w:t>
      </w:r>
    </w:p>
    <w:p w14:paraId="596E5B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5、本基金收益分配方式分为两种：现金分红与红利再投资，投资人可选择现金红利或将现金红利按红利再投日的基金份额净值自动转为</w:t>
      </w:r>
      <w:r>
        <w:rPr>
          <w:rFonts w:ascii="宋体" w:hAnsi="宋体" w:hint="eastAsia"/>
          <w:sz w:val="24"/>
        </w:rPr>
        <w:t>相应类别的</w:t>
      </w:r>
      <w:r>
        <w:rPr>
          <w:rFonts w:ascii="宋体" w:hAnsi="宋体"/>
          <w:sz w:val="24"/>
        </w:rPr>
        <w:t>基金份额进行再投资；若投资人不选择，本基金默认的收益分配方式是现金分红；</w:t>
      </w:r>
      <w:r>
        <w:rPr>
          <w:rFonts w:ascii="宋体" w:hAnsi="宋体" w:hint="eastAsia"/>
          <w:sz w:val="24"/>
        </w:rPr>
        <w:t>基金份额持有人可对其持有的A类基金份额和C类基金份额分别选择不同的收益分配方式；</w:t>
      </w:r>
    </w:p>
    <w:p w14:paraId="79C113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w:t>
      </w:r>
      <w:r>
        <w:rPr>
          <w:rFonts w:ascii="宋体" w:hAnsi="宋体" w:hint="eastAsia"/>
          <w:sz w:val="24"/>
        </w:rPr>
        <w:t>任一类基金份额</w:t>
      </w:r>
      <w:r>
        <w:rPr>
          <w:rFonts w:ascii="宋体" w:hAnsi="宋体"/>
          <w:sz w:val="24"/>
        </w:rPr>
        <w:t>投资当期出现净亏损，则</w:t>
      </w:r>
      <w:r>
        <w:rPr>
          <w:rFonts w:ascii="宋体" w:hAnsi="宋体" w:hint="eastAsia"/>
          <w:sz w:val="24"/>
        </w:rPr>
        <w:t>该类基金份额</w:t>
      </w:r>
      <w:r>
        <w:rPr>
          <w:rFonts w:ascii="宋体" w:hAnsi="宋体"/>
          <w:sz w:val="24"/>
        </w:rPr>
        <w:t>不进行收益分配；</w:t>
      </w:r>
    </w:p>
    <w:p w14:paraId="7F0E8E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w:t>
      </w:r>
      <w:r>
        <w:rPr>
          <w:rFonts w:ascii="宋体" w:hAnsi="宋体" w:hint="eastAsia"/>
          <w:sz w:val="24"/>
        </w:rPr>
        <w:t>任一类基金份额</w:t>
      </w:r>
      <w:r>
        <w:rPr>
          <w:rFonts w:ascii="宋体" w:hAnsi="宋体"/>
          <w:sz w:val="24"/>
        </w:rPr>
        <w:t>当期收益应先弥补上期亏损后，方可进行</w:t>
      </w:r>
      <w:r>
        <w:rPr>
          <w:rFonts w:ascii="宋体" w:hAnsi="宋体" w:hint="eastAsia"/>
          <w:sz w:val="24"/>
        </w:rPr>
        <w:t>该类基金份额</w:t>
      </w:r>
      <w:r>
        <w:rPr>
          <w:rFonts w:ascii="宋体" w:hAnsi="宋体"/>
          <w:sz w:val="24"/>
        </w:rPr>
        <w:t>当期收益分配；</w:t>
      </w:r>
    </w:p>
    <w:p w14:paraId="6C79AA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8、法律法规或监管机构另有规定的从其规定。</w:t>
      </w:r>
    </w:p>
    <w:p w14:paraId="1294D3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14:paraId="728312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基金收益分配方案中应载明基金收益分配对象、分配原则、分配时间、分配数额及比例、分配方式、支付方式等内容。</w:t>
      </w:r>
    </w:p>
    <w:p w14:paraId="296583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(五)收益分配的确定、公告与实施</w:t>
      </w:r>
    </w:p>
    <w:p w14:paraId="366B46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1.基金收益分配方案由基金管理人拟订，由基金托管人复核，依照《信息披露办法》的有关规定在指定媒介上公告；</w:t>
      </w:r>
    </w:p>
    <w:p w14:paraId="4C81CC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2.在收益分配方案公布后，基金管理人依据具体方案的规定就支付的现金红利向基金托管人发送划款指令，基金托管人按照基金管理人的指令及时进行分红资金的划付。</w:t>
      </w:r>
    </w:p>
    <w:p w14:paraId="2A89A3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（六）收益分配方式的修改</w:t>
      </w:r>
    </w:p>
    <w:p w14:paraId="7D53AED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投资人可至</w:t>
      </w:r>
      <w:bookmarkStart w:id="17" w:name="_GoBack"/>
      <w:bookmarkEnd w:id="17"/>
      <w:r>
        <w:rPr>
          <w:rFonts w:ascii="宋体" w:hAnsi="宋体"/>
          <w:sz w:val="24"/>
        </w:rPr>
        <w:t>销售机构办理收益分配方式的修改，投资人对不同的交易账户可设置不同的收益分配方式。投资者同一日多次申报分红方式变更的，按照《业务规则》执行，最终确认的分红方式以登记结算机构记录为准。</w:t>
      </w:r>
    </w:p>
    <w:p w14:paraId="0E6823F0" w14:textId="77777777" w:rsidR="00AE2A54" w:rsidRPr="00F3029D"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w:t>
      </w:r>
      <w:r>
        <w:rPr>
          <w:rFonts w:ascii="宋体" w:hAnsi="宋体" w:hint="eastAsia"/>
          <w:sz w:val="24"/>
        </w:rPr>
        <w:t>七</w:t>
      </w:r>
      <w:r>
        <w:rPr>
          <w:rFonts w:ascii="宋体" w:hAnsi="宋体"/>
          <w:sz w:val="24"/>
        </w:rPr>
        <w:t>）</w:t>
      </w:r>
      <w:r w:rsidRPr="00F3029D">
        <w:rPr>
          <w:rFonts w:ascii="宋体" w:hAnsi="宋体" w:hint="eastAsia"/>
          <w:sz w:val="24"/>
        </w:rPr>
        <w:t>实施侧袋机制期间的收益分配</w:t>
      </w:r>
    </w:p>
    <w:p w14:paraId="4C3764F6" w14:textId="77777777" w:rsidR="00AE2A54" w:rsidRPr="00F3029D" w:rsidRDefault="002F705F" w:rsidP="00F3029D">
      <w:pPr>
        <w:autoSpaceDE w:val="0"/>
        <w:autoSpaceDN w:val="0"/>
        <w:adjustRightInd w:val="0"/>
        <w:snapToGrid w:val="0"/>
        <w:spacing w:line="360" w:lineRule="auto"/>
        <w:ind w:firstLineChars="200" w:firstLine="480"/>
        <w:jc w:val="left"/>
        <w:rPr>
          <w:rFonts w:ascii="宋体" w:hAnsi="宋体"/>
          <w:sz w:val="24"/>
        </w:rPr>
      </w:pPr>
      <w:r w:rsidRPr="00F3029D">
        <w:rPr>
          <w:rFonts w:ascii="宋体" w:hAnsi="宋体" w:hint="eastAsia"/>
          <w:sz w:val="24"/>
        </w:rPr>
        <w:t>本基金实施侧袋机制的，侧袋账户不进行收益分配，详见招募说明书的规定。</w:t>
      </w:r>
    </w:p>
    <w:p w14:paraId="042902BE"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45AF08A" w14:textId="77777777" w:rsidR="00AE2A54" w:rsidRDefault="002F705F">
      <w:pPr>
        <w:pStyle w:val="1"/>
        <w:snapToGrid w:val="0"/>
        <w:spacing w:beforeLines="0" w:before="240" w:after="240"/>
        <w:rPr>
          <w:rFonts w:ascii="宋体" w:hAnsi="宋体"/>
          <w:szCs w:val="30"/>
        </w:rPr>
      </w:pPr>
      <w:bookmarkStart w:id="18" w:name="_Toc220317709"/>
      <w:r>
        <w:rPr>
          <w:rFonts w:ascii="Times New Roman" w:hAnsi="Times New Roman"/>
          <w:sz w:val="30"/>
        </w:rPr>
        <w:t>十五、基金的会计与审计</w:t>
      </w:r>
      <w:bookmarkEnd w:id="18"/>
    </w:p>
    <w:p w14:paraId="1FCABC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14:paraId="3FBB74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14:paraId="1579B7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14:paraId="7978B8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14:paraId="27505EF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4、会计制度执行国家有关会计制度，并可参考国际会计准则；</w:t>
      </w:r>
    </w:p>
    <w:p w14:paraId="51581F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14:paraId="3CBB19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14:paraId="70D203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14:paraId="43E9E8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14:paraId="7F97EC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14:paraId="024BB4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14:paraId="2D533B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14:paraId="6D0F8D85"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8B50AD3" w14:textId="77777777" w:rsidR="00AE2A54" w:rsidRDefault="002F705F">
      <w:pPr>
        <w:pStyle w:val="1"/>
        <w:snapToGrid w:val="0"/>
        <w:spacing w:beforeLines="0" w:before="240" w:after="240"/>
        <w:rPr>
          <w:rFonts w:ascii="宋体" w:hAnsi="宋体"/>
          <w:szCs w:val="30"/>
        </w:rPr>
      </w:pPr>
      <w:bookmarkStart w:id="19" w:name="_Toc220317710"/>
      <w:r>
        <w:rPr>
          <w:rFonts w:ascii="Times New Roman" w:hAnsi="Times New Roman"/>
          <w:sz w:val="30"/>
        </w:rPr>
        <w:t>十六、基金的信息披露</w:t>
      </w:r>
      <w:bookmarkEnd w:id="19"/>
    </w:p>
    <w:p w14:paraId="246CFC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按照法律法规和中国证监会的规定披露基金信息，并保证所披露信息的真实性、准确性、完整性、及时性、简明性和易得性。</w:t>
      </w:r>
    </w:p>
    <w:p w14:paraId="042059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14:paraId="6809EB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5F9DDE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14:paraId="467F1D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14:paraId="15AD79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14:paraId="3B0AC0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14:paraId="26920A8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14:paraId="4BA9AE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14:paraId="479996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14:paraId="6A1DB00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14:paraId="0FF812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人民币、美元等主要外汇币种计算并披露净值及相关信息。涉及币种之间转换的，应当披露汇率数据来源，并保持一致性。如果出现改变，应当予以披露并说明改变的理由。人民币对主要外汇的汇率应当以报告期末最后一个估值日中国人民银行或其授权机构公布的人民币汇率中间价为准。</w:t>
      </w:r>
    </w:p>
    <w:p w14:paraId="3AF07D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14:paraId="37072E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公开披露的基金信息包括：</w:t>
      </w:r>
    </w:p>
    <w:p w14:paraId="298863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w:t>
      </w:r>
    </w:p>
    <w:p w14:paraId="7059D3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14:paraId="410991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272BE3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2、基金合同、托管协议</w:t>
      </w:r>
    </w:p>
    <w:p w14:paraId="59D115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14:paraId="453BAA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3、基金产品资料概要</w:t>
      </w:r>
    </w:p>
    <w:p w14:paraId="1D0BF5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6ED3A5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4、基金份额发售公告</w:t>
      </w:r>
    </w:p>
    <w:p w14:paraId="487A40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14:paraId="150D8A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5、基金合同生效公告</w:t>
      </w:r>
    </w:p>
    <w:p w14:paraId="438329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14:paraId="19E925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14:paraId="205263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1）《基金合同》生效后，在开始办理基金份额申购或者赎回前，基金管理人应当至少每周在指定网站披露一次基金份额净值和基金份额累计净值；</w:t>
      </w:r>
    </w:p>
    <w:p w14:paraId="13B262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2）在开始办理基金份额申购或者赎回后，基金管理人应当在不晚于每个开放日后的2个工作日内，通过指定网站、基金销售机构网站或者营业网点</w:t>
      </w:r>
      <w:r>
        <w:rPr>
          <w:rFonts w:ascii="宋体" w:hAnsi="宋体" w:hint="eastAsia"/>
          <w:sz w:val="24"/>
        </w:rPr>
        <w:t>分别</w:t>
      </w:r>
      <w:r>
        <w:rPr>
          <w:rFonts w:ascii="宋体" w:hAnsi="宋体"/>
          <w:sz w:val="24"/>
        </w:rPr>
        <w:t>披露开放日</w:t>
      </w:r>
      <w:r>
        <w:rPr>
          <w:rFonts w:ascii="宋体" w:hAnsi="宋体" w:hint="eastAsia"/>
          <w:sz w:val="24"/>
        </w:rPr>
        <w:t>A类基金份额和C类基金份额所对应</w:t>
      </w:r>
      <w:r>
        <w:rPr>
          <w:rFonts w:ascii="宋体" w:hAnsi="宋体"/>
          <w:sz w:val="24"/>
        </w:rPr>
        <w:t>的基金份额净值和基金份额累计净值；</w:t>
      </w:r>
    </w:p>
    <w:p w14:paraId="3D87FC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3）基金管理人应当在不晚于半年度和年度最后一日后的2个工作日内，在指定</w:t>
      </w:r>
      <w:r>
        <w:rPr>
          <w:rFonts w:ascii="宋体" w:hAnsi="宋体"/>
          <w:sz w:val="24"/>
        </w:rPr>
        <w:lastRenderedPageBreak/>
        <w:t>网站披露半年度和年度最后一日</w:t>
      </w:r>
      <w:r>
        <w:rPr>
          <w:rFonts w:ascii="宋体" w:hAnsi="宋体" w:hint="eastAsia"/>
          <w:sz w:val="24"/>
        </w:rPr>
        <w:t>A类基金份额和C类基金份额所对应</w:t>
      </w:r>
      <w:r>
        <w:rPr>
          <w:rFonts w:ascii="宋体" w:hAnsi="宋体"/>
          <w:sz w:val="24"/>
        </w:rPr>
        <w:t>的基金份额净值和基金份额累计净值。</w:t>
      </w:r>
    </w:p>
    <w:p w14:paraId="24EC8F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7、基金份额申购、赎回价格公告</w:t>
      </w:r>
    </w:p>
    <w:p w14:paraId="2254DA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2C5CA5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8、基金年度报告、基金中期报告、基金季度报告</w:t>
      </w:r>
    </w:p>
    <w:p w14:paraId="795743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23C298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14:paraId="7B6F68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14:paraId="7C0D6B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14:paraId="29ECD7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E1665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14:paraId="3C34AC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7）法律法规或中国证监会另有规定的，从其规定。</w:t>
      </w:r>
    </w:p>
    <w:p w14:paraId="4BDA7C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9、临时报告与公告</w:t>
      </w:r>
    </w:p>
    <w:p w14:paraId="17D8BF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14:paraId="7141FB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14:paraId="0B4EBF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14:paraId="671281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14:paraId="4C04C1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14:paraId="6D798F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6B7B6A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14:paraId="78AC79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14:paraId="0BBD3B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14:paraId="75A912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14:paraId="7238BB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058104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14:paraId="419252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12）更换或撤销境外投资顾问；更换境外资产托管人；</w:t>
      </w:r>
    </w:p>
    <w:p w14:paraId="256A97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13）基金管理人、基金托管人、境外资产托管人或境外投资顾问受到监管部门的调查；</w:t>
      </w:r>
    </w:p>
    <w:p w14:paraId="053C33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14）基金管理人或其高级管理人员、基金经理因基金管理业务相关行为受到重大行政处罚、刑事处罚，基金托管人或其专门基金托管部门负责人因基金托管业务相关行为受到重大行政处罚、刑事处罚；</w:t>
      </w:r>
    </w:p>
    <w:p w14:paraId="719D1C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335504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16）基金收益分配事项；</w:t>
      </w:r>
    </w:p>
    <w:p w14:paraId="5FA06C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17）管理费、托管费、</w:t>
      </w:r>
      <w:r>
        <w:rPr>
          <w:rFonts w:ascii="宋体" w:hAnsi="宋体" w:hint="eastAsia"/>
          <w:sz w:val="24"/>
        </w:rPr>
        <w:t>销售服务费、</w:t>
      </w:r>
      <w:r>
        <w:rPr>
          <w:rFonts w:ascii="宋体" w:hAnsi="宋体"/>
          <w:sz w:val="24"/>
        </w:rPr>
        <w:t>申购费、赎回费等费用计提标准、计提方式和费率发生变更；</w:t>
      </w:r>
    </w:p>
    <w:p w14:paraId="287A27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w:t>
      </w:r>
      <w:r>
        <w:rPr>
          <w:rFonts w:ascii="宋体" w:hAnsi="宋体" w:hint="eastAsia"/>
          <w:sz w:val="24"/>
        </w:rPr>
        <w:t>任一类</w:t>
      </w:r>
      <w:r>
        <w:rPr>
          <w:rFonts w:ascii="宋体" w:hAnsi="宋体"/>
          <w:sz w:val="24"/>
        </w:rPr>
        <w:t>基金份额净值计价错误达</w:t>
      </w:r>
      <w:r>
        <w:rPr>
          <w:rFonts w:ascii="宋体" w:hAnsi="宋体" w:hint="eastAsia"/>
          <w:sz w:val="24"/>
        </w:rPr>
        <w:t>该类</w:t>
      </w:r>
      <w:r>
        <w:rPr>
          <w:rFonts w:ascii="宋体" w:hAnsi="宋体"/>
          <w:sz w:val="24"/>
        </w:rPr>
        <w:t>基金份额净值百分之零点五；</w:t>
      </w:r>
    </w:p>
    <w:p w14:paraId="7136E5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19）本基金开始办理申购、赎回；</w:t>
      </w:r>
    </w:p>
    <w:p w14:paraId="620FF3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20）本基金发生巨额赎回并延期办理；</w:t>
      </w:r>
    </w:p>
    <w:p w14:paraId="190A2E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21）本基金连续发生巨额赎回并暂停接受赎回申请或延缓支付赎回款项；</w:t>
      </w:r>
    </w:p>
    <w:p w14:paraId="36A257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22）本基金暂停接受申购、赎回申请或重新接受申购、赎回申请；</w:t>
      </w:r>
    </w:p>
    <w:p w14:paraId="0CF21A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23）基金份额的拆分；</w:t>
      </w:r>
    </w:p>
    <w:p w14:paraId="3F0215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24）本基金接受其它币种的申购、赎回；</w:t>
      </w:r>
    </w:p>
    <w:p w14:paraId="4DF270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25）基金推出新业务或服务；</w:t>
      </w:r>
    </w:p>
    <w:p w14:paraId="68D992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26）发生涉及基金申购、赎回事项调整或潜在影响投资者赎回等重大事项时；</w:t>
      </w:r>
    </w:p>
    <w:p w14:paraId="7DCA002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27）</w:t>
      </w:r>
      <w:r>
        <w:rPr>
          <w:rFonts w:ascii="宋体" w:hAnsi="宋体" w:hint="eastAsia"/>
          <w:sz w:val="24"/>
        </w:rPr>
        <w:t>本基金增加或调整基金份额类别；</w:t>
      </w:r>
    </w:p>
    <w:p w14:paraId="49747A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w:t>
      </w:r>
      <w:r>
        <w:rPr>
          <w:rFonts w:ascii="宋体" w:hAnsi="宋体" w:hint="eastAsia"/>
          <w:sz w:val="24"/>
        </w:rPr>
        <w:t>）</w:t>
      </w:r>
      <w:r>
        <w:rPr>
          <w:rFonts w:ascii="宋体" w:hAnsi="宋体"/>
          <w:sz w:val="24"/>
        </w:rPr>
        <w:t>基金信息披露义务人认为可能对基金份额持有人权益或者基金份额的价格产生重大影响的其他事项或中国证监会规定的其他事项。</w:t>
      </w:r>
    </w:p>
    <w:p w14:paraId="149D07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10、澄清公告</w:t>
      </w:r>
    </w:p>
    <w:p w14:paraId="6733C4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481200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11、基金份额持有人大会决议</w:t>
      </w:r>
    </w:p>
    <w:p w14:paraId="75AE181E"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12、</w:t>
      </w:r>
      <w:r>
        <w:rPr>
          <w:rFonts w:ascii="宋体" w:hAnsi="宋体" w:hint="eastAsia"/>
          <w:sz w:val="24"/>
        </w:rPr>
        <w:t>实施侧袋机制期间的信息披露</w:t>
      </w:r>
    </w:p>
    <w:p w14:paraId="32E020A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本基金实施侧袋机制的，相关信息披露义务人应当根据法律法规、基金合同和招募说明书的规定进行信息披露，详见招募说明书的规定。</w:t>
      </w:r>
    </w:p>
    <w:p w14:paraId="5B5058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1</w:t>
      </w:r>
      <w:r>
        <w:rPr>
          <w:rFonts w:ascii="宋体" w:hAnsi="宋体"/>
          <w:sz w:val="24"/>
        </w:rPr>
        <w:t>3</w:t>
      </w:r>
      <w:r>
        <w:rPr>
          <w:rFonts w:ascii="宋体" w:hAnsi="宋体" w:hint="eastAsia"/>
          <w:sz w:val="24"/>
        </w:rPr>
        <w:t>、</w:t>
      </w:r>
      <w:r>
        <w:rPr>
          <w:rFonts w:ascii="宋体" w:hAnsi="宋体"/>
          <w:sz w:val="24"/>
        </w:rPr>
        <w:t>信息披露事务管理</w:t>
      </w:r>
    </w:p>
    <w:p w14:paraId="3472CA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32E10C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14:paraId="7E9CAE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w:t>
      </w:r>
      <w:r>
        <w:rPr>
          <w:rFonts w:ascii="宋体" w:hAnsi="宋体" w:hint="eastAsia"/>
          <w:sz w:val="24"/>
        </w:rPr>
        <w:t>各类</w:t>
      </w:r>
      <w:r>
        <w:rPr>
          <w:rFonts w:ascii="宋体" w:hAnsi="宋体"/>
          <w:sz w:val="24"/>
        </w:rPr>
        <w:t>基金份额净值、基金份额申购赎回价格、基金定期报告、更新的招募说明书、基金产品资料概要、基金清算报告等公开披露的相关基金信息进行复核、审查，并向基金管理人进行书面或电子确认。</w:t>
      </w:r>
    </w:p>
    <w:p w14:paraId="5BDC7F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35149E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w:t>
      </w:r>
      <w:r>
        <w:rPr>
          <w:rFonts w:ascii="宋体" w:hAnsi="宋体"/>
          <w:sz w:val="24"/>
        </w:rPr>
        <w:lastRenderedPageBreak/>
        <w:t>其他公共媒介披露信息，但是其他公共媒介不得早于指定媒介披露信息，并且在不同媒介上披露同一信息的内容应当一致。</w:t>
      </w:r>
    </w:p>
    <w:p w14:paraId="730EB3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160E27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380443D3" w14:textId="6E2EDCB4"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14:paraId="16AAC8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30D5D2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（六）信息披露文件的存放与查阅</w:t>
      </w:r>
    </w:p>
    <w:p w14:paraId="160231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14:paraId="6D25F5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本基金的信息披露将严格按照法律法规和基金合同的规定进行。</w:t>
      </w:r>
    </w:p>
    <w:p w14:paraId="64537A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14:paraId="718FC08A"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32DA5CE1" w14:textId="77777777" w:rsidR="00AE2A54" w:rsidRDefault="002F705F">
      <w:pPr>
        <w:pStyle w:val="1"/>
        <w:snapToGrid w:val="0"/>
        <w:spacing w:beforeLines="0" w:before="240" w:after="240"/>
        <w:rPr>
          <w:rFonts w:ascii="Times New Roman" w:hAnsi="Times New Roman"/>
          <w:b w:val="0"/>
          <w:bCs w:val="0"/>
          <w:sz w:val="30"/>
        </w:rPr>
      </w:pPr>
      <w:bookmarkStart w:id="20" w:name="_Toc82171586"/>
      <w:bookmarkStart w:id="21" w:name="_Toc220317711"/>
      <w:r>
        <w:rPr>
          <w:rFonts w:ascii="Times New Roman" w:hAnsi="Times New Roman"/>
          <w:sz w:val="30"/>
        </w:rPr>
        <w:t>十</w:t>
      </w:r>
      <w:r>
        <w:rPr>
          <w:rFonts w:ascii="Times New Roman" w:hAnsi="Times New Roman" w:hint="eastAsia"/>
          <w:sz w:val="30"/>
        </w:rPr>
        <w:t>七</w:t>
      </w:r>
      <w:r>
        <w:rPr>
          <w:rFonts w:ascii="Times New Roman" w:hAnsi="Times New Roman"/>
          <w:sz w:val="30"/>
        </w:rPr>
        <w:t>、</w:t>
      </w:r>
      <w:r>
        <w:rPr>
          <w:rFonts w:ascii="Times New Roman" w:hAnsi="Times New Roman" w:hint="eastAsia"/>
          <w:sz w:val="30"/>
        </w:rPr>
        <w:t>侧袋机制</w:t>
      </w:r>
      <w:bookmarkEnd w:id="20"/>
    </w:p>
    <w:p w14:paraId="7E29E931"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（一）侧袋机制的实施条件</w:t>
      </w:r>
    </w:p>
    <w:p w14:paraId="28E40B9E" w14:textId="77777777" w:rsidR="00AE2A54" w:rsidRDefault="002F705F">
      <w:pPr>
        <w:snapToGrid w:val="0"/>
        <w:spacing w:line="360" w:lineRule="auto"/>
        <w:ind w:firstLineChars="200" w:firstLine="480"/>
        <w:rPr>
          <w:rFonts w:ascii="宋体" w:hAnsi="宋体"/>
          <w:bCs/>
          <w:sz w:val="24"/>
          <w:szCs w:val="24"/>
        </w:rPr>
      </w:pPr>
      <w:r>
        <w:rPr>
          <w:rFonts w:ascii="宋体" w:hAnsi="宋体" w:hint="eastAsia"/>
          <w:bCs/>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F9E67F7" w14:textId="77777777" w:rsidR="00AE2A54" w:rsidRDefault="002F705F">
      <w:pPr>
        <w:snapToGrid w:val="0"/>
        <w:spacing w:line="360" w:lineRule="auto"/>
        <w:ind w:firstLineChars="200" w:firstLine="480"/>
        <w:rPr>
          <w:rFonts w:ascii="宋体" w:hAnsi="宋体"/>
          <w:bCs/>
          <w:sz w:val="24"/>
          <w:szCs w:val="24"/>
        </w:rPr>
      </w:pPr>
      <w:r>
        <w:rPr>
          <w:rFonts w:ascii="宋体" w:hAnsi="宋体" w:hint="eastAsia"/>
          <w:bCs/>
          <w:sz w:val="24"/>
          <w:szCs w:val="24"/>
        </w:rPr>
        <w:t>基金管理人应当在启用侧袋机制后及时发布临时公告，并在五个工作日内聘请侧袋机制启用日发表意见且符合《中华人民共和国证券法》规定的会计师事务所进行审计并披露专项审计意见。</w:t>
      </w:r>
    </w:p>
    <w:p w14:paraId="0B075815"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（二）实施侧袋机制期间基金份额的申购与赎回</w:t>
      </w:r>
    </w:p>
    <w:p w14:paraId="33CADFF1" w14:textId="77777777" w:rsidR="00AE2A54" w:rsidRDefault="002F705F">
      <w:pPr>
        <w:snapToGrid w:val="0"/>
        <w:spacing w:line="360" w:lineRule="auto"/>
        <w:ind w:firstLineChars="200" w:firstLine="480"/>
        <w:rPr>
          <w:rFonts w:ascii="宋体" w:hAnsi="宋体"/>
          <w:bCs/>
          <w:sz w:val="24"/>
          <w:szCs w:val="24"/>
        </w:rPr>
      </w:pPr>
      <w:r>
        <w:rPr>
          <w:rFonts w:ascii="宋体" w:hAnsi="宋体"/>
          <w:bCs/>
          <w:sz w:val="24"/>
          <w:szCs w:val="24"/>
        </w:rPr>
        <w:t>1、启用</w:t>
      </w:r>
      <w:r>
        <w:rPr>
          <w:rFonts w:ascii="宋体" w:hAnsi="宋体" w:hint="eastAsia"/>
          <w:bCs/>
          <w:sz w:val="24"/>
          <w:szCs w:val="24"/>
        </w:rPr>
        <w:t>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08FDF0E1" w14:textId="77777777" w:rsidR="00AE2A54" w:rsidRDefault="002F705F">
      <w:pPr>
        <w:snapToGrid w:val="0"/>
        <w:spacing w:line="360" w:lineRule="auto"/>
        <w:ind w:firstLineChars="200" w:firstLine="480"/>
        <w:rPr>
          <w:rFonts w:ascii="宋体" w:hAnsi="宋体"/>
          <w:bCs/>
          <w:sz w:val="24"/>
          <w:szCs w:val="24"/>
        </w:rPr>
      </w:pPr>
      <w:r>
        <w:rPr>
          <w:rFonts w:ascii="宋体" w:hAnsi="宋体"/>
          <w:bCs/>
          <w:sz w:val="24"/>
          <w:szCs w:val="24"/>
        </w:rPr>
        <w:t>2、实施</w:t>
      </w:r>
      <w:r>
        <w:rPr>
          <w:rFonts w:ascii="宋体" w:hAnsi="宋体" w:hint="eastAsia"/>
          <w:bCs/>
          <w:sz w:val="24"/>
          <w:szCs w:val="24"/>
        </w:rPr>
        <w:t>侧袋机制期间，基金管理人不办理侧袋账户份额的申购、赎回和转换；同时，基金管理人按照基金合同和招募说明书的约定办理主袋账户份额的赎回，并根据主袋账户运作情况确定是否暂停申购。</w:t>
      </w:r>
    </w:p>
    <w:p w14:paraId="110E906D" w14:textId="77777777" w:rsidR="00AE2A54" w:rsidRDefault="002F705F">
      <w:pPr>
        <w:snapToGrid w:val="0"/>
        <w:spacing w:line="360" w:lineRule="auto"/>
        <w:ind w:firstLineChars="200" w:firstLine="480"/>
        <w:rPr>
          <w:rFonts w:ascii="宋体" w:hAnsi="宋体"/>
          <w:bCs/>
          <w:sz w:val="24"/>
          <w:szCs w:val="24"/>
        </w:rPr>
      </w:pPr>
      <w:r>
        <w:rPr>
          <w:rFonts w:ascii="宋体" w:hAnsi="宋体"/>
          <w:bCs/>
          <w:sz w:val="24"/>
          <w:szCs w:val="24"/>
        </w:rPr>
        <w:t>3、除基金管理人应</w:t>
      </w:r>
      <w:r>
        <w:rPr>
          <w:rFonts w:ascii="宋体" w:hAnsi="宋体" w:hint="eastAsia"/>
          <w:bCs/>
          <w:sz w:val="24"/>
          <w:szCs w:val="24"/>
        </w:rPr>
        <w:t>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w:t>
      </w:r>
      <w:r>
        <w:rPr>
          <w:rFonts w:ascii="宋体" w:hAnsi="宋体"/>
          <w:bCs/>
          <w:sz w:val="24"/>
          <w:szCs w:val="24"/>
        </w:rPr>
        <w:t>10%认定。</w:t>
      </w:r>
    </w:p>
    <w:p w14:paraId="76C77146"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（三）实施侧袋机制期间的基金投资</w:t>
      </w:r>
    </w:p>
    <w:p w14:paraId="5C5175CD"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侧袋机制实施期间，招募说明书“基金的投资”部分约定的</w:t>
      </w:r>
      <w:r>
        <w:rPr>
          <w:rFonts w:ascii="宋体" w:hAnsi="宋体"/>
          <w:bCs/>
          <w:sz w:val="24"/>
          <w:szCs w:val="24"/>
        </w:rPr>
        <w:t>投资组合比例</w:t>
      </w:r>
      <w:r>
        <w:rPr>
          <w:rFonts w:ascii="宋体" w:hAnsi="宋体" w:hint="eastAsia"/>
          <w:bCs/>
          <w:sz w:val="24"/>
          <w:szCs w:val="24"/>
        </w:rPr>
        <w:t>、投资策略、</w:t>
      </w:r>
      <w:r>
        <w:rPr>
          <w:rFonts w:ascii="宋体" w:hAnsi="宋体"/>
          <w:bCs/>
          <w:sz w:val="24"/>
          <w:szCs w:val="24"/>
        </w:rPr>
        <w:t>组合限制</w:t>
      </w:r>
      <w:r>
        <w:rPr>
          <w:rFonts w:ascii="宋体" w:hAnsi="宋体" w:hint="eastAsia"/>
          <w:bCs/>
          <w:sz w:val="24"/>
          <w:szCs w:val="24"/>
        </w:rPr>
        <w:t>、业绩比较基准、风险收益特征等约定仅适用于主袋账户。基金管理人计算各项投资运作指标和基金业绩指标时仅需考虑主袋账户资产。</w:t>
      </w:r>
    </w:p>
    <w:p w14:paraId="3C211E8D"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基金管理人原则上应当在侧袋</w:t>
      </w:r>
      <w:r>
        <w:rPr>
          <w:rFonts w:ascii="宋体" w:hAnsi="宋体"/>
          <w:bCs/>
          <w:sz w:val="24"/>
          <w:szCs w:val="24"/>
        </w:rPr>
        <w:t>机制启用后20个交易日内完成对主袋账户投资组合的调整，</w:t>
      </w:r>
      <w:r>
        <w:rPr>
          <w:rFonts w:ascii="宋体" w:hAnsi="宋体" w:hint="eastAsia"/>
          <w:bCs/>
          <w:sz w:val="24"/>
          <w:szCs w:val="24"/>
        </w:rPr>
        <w:t>因资产流动性受限等中国证监会规定的情形除外。</w:t>
      </w:r>
    </w:p>
    <w:p w14:paraId="5D9DE255" w14:textId="77777777" w:rsidR="00AE2A54" w:rsidRDefault="002F705F">
      <w:pPr>
        <w:snapToGrid w:val="0"/>
        <w:spacing w:line="360" w:lineRule="auto"/>
        <w:ind w:firstLineChars="200" w:firstLine="480"/>
        <w:rPr>
          <w:rFonts w:ascii="宋体" w:hAnsi="宋体"/>
          <w:bCs/>
          <w:sz w:val="24"/>
          <w:szCs w:val="24"/>
        </w:rPr>
      </w:pPr>
      <w:r>
        <w:rPr>
          <w:rFonts w:ascii="宋体" w:hAnsi="宋体" w:hint="eastAsia"/>
          <w:bCs/>
          <w:sz w:val="24"/>
          <w:szCs w:val="24"/>
        </w:rPr>
        <w:t>基金管理人不得在侧袋账户中进行除特定资产处置变现以外的其他投资操作。</w:t>
      </w:r>
    </w:p>
    <w:p w14:paraId="0D00D24A"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（四）实施侧袋机制期间的基金估值</w:t>
      </w:r>
    </w:p>
    <w:p w14:paraId="73901A93"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lastRenderedPageBreak/>
        <w:t>本基金实施侧袋机制的，基金管理人和基金托管人应对主袋账户资产进行估值并披露主袋账户的基金净值信息，暂停披露侧袋账户份额净值。侧袋账户的会计核算应符合《企业会计准则》的相关要求。</w:t>
      </w:r>
    </w:p>
    <w:p w14:paraId="7A58745B"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（五）实施侧袋账户期间的基金费用</w:t>
      </w:r>
    </w:p>
    <w:p w14:paraId="2E74CA1C"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1、本基金实施侧袋机制的，管理费和托管费按主袋账户基金资产净值作为基数计提。</w:t>
      </w:r>
    </w:p>
    <w:p w14:paraId="517A622C"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bCs/>
          <w:sz w:val="24"/>
          <w:szCs w:val="24"/>
        </w:rPr>
        <w:t>2</w:t>
      </w:r>
      <w:r>
        <w:rPr>
          <w:rFonts w:ascii="宋体" w:hAnsi="宋体" w:hint="eastAsia"/>
          <w:bCs/>
          <w:sz w:val="24"/>
          <w:szCs w:val="24"/>
        </w:rPr>
        <w:t>、与侧袋账户有关的费用可从侧袋账户中列支，但应待侧袋账户资产变现后方可列支，有关费用可酌情收取或减免，但不得收取管理费。</w:t>
      </w:r>
    </w:p>
    <w:p w14:paraId="5F150F32"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（六）侧袋账户中特定资产的处置变现和支付</w:t>
      </w:r>
    </w:p>
    <w:p w14:paraId="45F4C981"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5AE3399F"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5A2667D8"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侧袋账户资产全部完成变现并终止侧袋机制后，基金管理人应及时聘请符合《中华人民共和国证券法》规定的会计师事务所进行审计并披露专项审计意见。</w:t>
      </w:r>
    </w:p>
    <w:p w14:paraId="0E6AB691" w14:textId="77777777" w:rsidR="00AE2A54" w:rsidRDefault="002F705F">
      <w:pPr>
        <w:adjustRightInd w:val="0"/>
        <w:snapToGrid w:val="0"/>
        <w:spacing w:line="360" w:lineRule="auto"/>
        <w:ind w:firstLineChars="200" w:firstLine="480"/>
        <w:outlineLvl w:val="1"/>
        <w:rPr>
          <w:rFonts w:ascii="宋体" w:hAnsi="宋体"/>
          <w:bCs/>
          <w:sz w:val="24"/>
          <w:szCs w:val="24"/>
        </w:rPr>
      </w:pPr>
      <w:r>
        <w:rPr>
          <w:rFonts w:ascii="宋体" w:hAnsi="宋体" w:hint="eastAsia"/>
          <w:bCs/>
          <w:sz w:val="24"/>
          <w:szCs w:val="24"/>
        </w:rPr>
        <w:t>（七）侧袋机制的信息披露</w:t>
      </w:r>
    </w:p>
    <w:p w14:paraId="2EEA9E23" w14:textId="77777777" w:rsidR="00AE2A54" w:rsidRDefault="002F705F">
      <w:pPr>
        <w:adjustRightInd w:val="0"/>
        <w:snapToGrid w:val="0"/>
        <w:spacing w:line="360" w:lineRule="auto"/>
        <w:ind w:firstLineChars="200" w:firstLine="480"/>
        <w:outlineLvl w:val="2"/>
        <w:rPr>
          <w:rFonts w:ascii="宋体" w:hAnsi="宋体"/>
          <w:bCs/>
          <w:sz w:val="24"/>
          <w:szCs w:val="24"/>
        </w:rPr>
      </w:pPr>
      <w:r>
        <w:rPr>
          <w:rFonts w:ascii="宋体" w:hAnsi="宋体" w:hint="eastAsia"/>
          <w:bCs/>
          <w:sz w:val="24"/>
          <w:szCs w:val="24"/>
        </w:rPr>
        <w:t>1、临时公告</w:t>
      </w:r>
    </w:p>
    <w:p w14:paraId="79C166CC"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在启用侧袋机制、处置特定资产、终止侧袋机制以及发生其他可能对投资者利益产生重大影响的事项后基金管理人应及时发布临时公告。</w:t>
      </w:r>
    </w:p>
    <w:p w14:paraId="0B91A842" w14:textId="77777777" w:rsidR="00AE2A54" w:rsidRDefault="002F705F">
      <w:pPr>
        <w:adjustRightInd w:val="0"/>
        <w:snapToGrid w:val="0"/>
        <w:spacing w:line="360" w:lineRule="auto"/>
        <w:ind w:firstLineChars="200" w:firstLine="480"/>
        <w:outlineLvl w:val="2"/>
        <w:rPr>
          <w:rFonts w:ascii="宋体" w:hAnsi="宋体"/>
          <w:bCs/>
          <w:sz w:val="24"/>
          <w:szCs w:val="24"/>
        </w:rPr>
      </w:pPr>
      <w:r>
        <w:rPr>
          <w:rFonts w:ascii="宋体" w:hAnsi="宋体" w:hint="eastAsia"/>
          <w:bCs/>
          <w:sz w:val="24"/>
          <w:szCs w:val="24"/>
        </w:rPr>
        <w:t>2、基金净值信息</w:t>
      </w:r>
    </w:p>
    <w:p w14:paraId="6DF0A119"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基金管理人应按照招募说明书“基金的信息披露”部分规定的基金净值信息披露方式和频率披露主袋账户份额的基金净值信息。实施侧袋机制期间本基金暂停披露侧袋账户份额净值和累计净值。</w:t>
      </w:r>
    </w:p>
    <w:p w14:paraId="436133F8" w14:textId="77777777" w:rsidR="00AE2A54" w:rsidRDefault="002F705F">
      <w:pPr>
        <w:adjustRightInd w:val="0"/>
        <w:snapToGrid w:val="0"/>
        <w:spacing w:line="360" w:lineRule="auto"/>
        <w:ind w:firstLineChars="200" w:firstLine="480"/>
        <w:outlineLvl w:val="2"/>
        <w:rPr>
          <w:rFonts w:ascii="宋体" w:hAnsi="宋体"/>
          <w:bCs/>
          <w:sz w:val="24"/>
          <w:szCs w:val="24"/>
        </w:rPr>
      </w:pPr>
      <w:r>
        <w:rPr>
          <w:rFonts w:ascii="宋体" w:hAnsi="宋体" w:hint="eastAsia"/>
          <w:bCs/>
          <w:sz w:val="24"/>
          <w:szCs w:val="24"/>
        </w:rPr>
        <w:t>3、定期报告</w:t>
      </w:r>
    </w:p>
    <w:p w14:paraId="03137C8D" w14:textId="77777777" w:rsidR="00AE2A54" w:rsidRDefault="002F705F">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侧袋机制实施期间，基金管理人应当在基金定期报告中披露报告期内侧袋账户相关信息，基金定期报告中的基金会计报表仅需针对主袋账户进行编制。</w:t>
      </w:r>
      <w:bookmarkStart w:id="22" w:name="_Hlk45747214"/>
      <w:r>
        <w:rPr>
          <w:rFonts w:ascii="宋体" w:hAnsi="宋体" w:hint="eastAsia"/>
          <w:bCs/>
          <w:sz w:val="24"/>
          <w:szCs w:val="24"/>
        </w:rPr>
        <w:t>会计师事务所对基金年度报告进行审计时，应对报告期内基金侧袋机制运行相关的会计核算</w:t>
      </w:r>
      <w:r>
        <w:rPr>
          <w:rFonts w:ascii="宋体" w:hAnsi="宋体" w:hint="eastAsia"/>
          <w:bCs/>
          <w:sz w:val="24"/>
          <w:szCs w:val="24"/>
        </w:rPr>
        <w:lastRenderedPageBreak/>
        <w:t>和年度报告披露等发表审计意见。</w:t>
      </w:r>
      <w:bookmarkEnd w:id="22"/>
    </w:p>
    <w:p w14:paraId="1D9DDD54" w14:textId="16D5C9F2" w:rsidR="00AE2A54" w:rsidRDefault="002F705F">
      <w:pPr>
        <w:pStyle w:val="1"/>
        <w:snapToGrid w:val="0"/>
        <w:spacing w:beforeLines="0" w:before="240" w:after="240"/>
        <w:rPr>
          <w:rFonts w:ascii="宋体" w:hAnsi="宋体"/>
          <w:szCs w:val="30"/>
        </w:rPr>
      </w:pPr>
      <w:r>
        <w:rPr>
          <w:rFonts w:ascii="Times New Roman" w:hAnsi="Times New Roman"/>
          <w:sz w:val="30"/>
        </w:rPr>
        <w:br w:type="page"/>
      </w:r>
      <w:r>
        <w:rPr>
          <w:rFonts w:ascii="Times New Roman" w:hAnsi="Times New Roman"/>
          <w:sz w:val="30"/>
        </w:rPr>
        <w:lastRenderedPageBreak/>
        <w:t>十</w:t>
      </w:r>
      <w:r>
        <w:rPr>
          <w:rFonts w:ascii="Times New Roman" w:hAnsi="Times New Roman" w:hint="eastAsia"/>
          <w:sz w:val="30"/>
        </w:rPr>
        <w:t>八</w:t>
      </w:r>
      <w:r>
        <w:rPr>
          <w:rFonts w:ascii="Times New Roman" w:hAnsi="Times New Roman"/>
          <w:sz w:val="30"/>
        </w:rPr>
        <w:t>、基金合同的终止与基金财产的清算</w:t>
      </w:r>
      <w:bookmarkEnd w:id="21"/>
    </w:p>
    <w:p w14:paraId="4C40AA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14:paraId="67DA9A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14:paraId="485FD6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14:paraId="1FABE6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14:paraId="20BCDA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14:paraId="080AE9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14:paraId="259BAFD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14:paraId="60B527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14:paraId="20B9C2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1、基金财产清算小组：自出现基金合同终止事由之日起30个工作日内成立清算小组，基金财产清算小组在中国证监会的监督下进行基金清算。</w:t>
      </w:r>
    </w:p>
    <w:p w14:paraId="11574B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5D0810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14:paraId="197D06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14:paraId="6C71DF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14:paraId="679E41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14:paraId="3D3CA20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14:paraId="5A21E6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14:paraId="61A4E4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14:paraId="0DEDF4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14:paraId="7CB71A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14:paraId="1783E4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14:paraId="39D769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（8）参加与基金财产有关的民事诉讼；</w:t>
      </w:r>
    </w:p>
    <w:p w14:paraId="17E7D0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14:paraId="333F57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14:paraId="201DB9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14:paraId="2F6AF4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352379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（五）基金财产的清偿、分配顺序</w:t>
      </w:r>
    </w:p>
    <w:p w14:paraId="2D0BB2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14:paraId="34B8BB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14:paraId="2DED21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14:paraId="7D29A5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14:paraId="41AFAC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14:paraId="0B6F7941"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基金财产未按前款1、2、3项规定清偿前，不分配给基金份额持有人。</w:t>
      </w:r>
    </w:p>
    <w:p w14:paraId="4E8B64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14:paraId="54AD33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14:paraId="13AF7B9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14:paraId="4E247F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14:paraId="692949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14:paraId="700670B3"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21E6E2D" w14:textId="73FE6CDC" w:rsidR="00AE2A54" w:rsidRDefault="002F705F">
      <w:pPr>
        <w:pStyle w:val="1"/>
        <w:snapToGrid w:val="0"/>
        <w:spacing w:beforeLines="0" w:before="240" w:after="240"/>
        <w:rPr>
          <w:rFonts w:ascii="宋体" w:hAnsi="宋体"/>
          <w:szCs w:val="30"/>
        </w:rPr>
      </w:pPr>
      <w:bookmarkStart w:id="23" w:name="_Toc220317712"/>
      <w:r>
        <w:rPr>
          <w:rFonts w:ascii="Times New Roman" w:hAnsi="Times New Roman"/>
          <w:sz w:val="30"/>
        </w:rPr>
        <w:t>十</w:t>
      </w:r>
      <w:r>
        <w:rPr>
          <w:rFonts w:ascii="Times New Roman" w:hAnsi="Times New Roman" w:hint="eastAsia"/>
          <w:sz w:val="30"/>
        </w:rPr>
        <w:t>九</w:t>
      </w:r>
      <w:r>
        <w:rPr>
          <w:rFonts w:ascii="Times New Roman" w:hAnsi="Times New Roman"/>
          <w:sz w:val="30"/>
        </w:rPr>
        <w:t>、基金托管人</w:t>
      </w:r>
      <w:bookmarkEnd w:id="23"/>
    </w:p>
    <w:p w14:paraId="247584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（一）基金托管人情况</w:t>
      </w:r>
    </w:p>
    <w:p w14:paraId="4B6CA9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14:paraId="22B5AE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14:paraId="2EF668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14:paraId="3E1704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14:paraId="141A63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14:paraId="5364D7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14:paraId="5E9F31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14:paraId="1C2ECA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14:paraId="4A1B05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09A5AB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14:paraId="33BA47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14:paraId="0C5CA5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14:paraId="59503B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14:paraId="7618BA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14:paraId="2DC18A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14:paraId="74E686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w:t>
      </w:r>
      <w:r>
        <w:rPr>
          <w:rFonts w:ascii="宋体" w:hAnsi="宋体"/>
          <w:sz w:val="24"/>
        </w:rPr>
        <w:lastRenderedPageBreak/>
        <w:t>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14:paraId="4ABA1F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（二）基金托管人的内部控制制度</w:t>
      </w:r>
    </w:p>
    <w:p w14:paraId="61656B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14:paraId="0AEC37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14:paraId="232C49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14:paraId="7514A7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14:paraId="3467F8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14:paraId="13B198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w:t>
      </w:r>
      <w:r>
        <w:rPr>
          <w:rFonts w:ascii="宋体" w:hAnsi="宋体"/>
          <w:sz w:val="24"/>
        </w:rPr>
        <w:lastRenderedPageBreak/>
        <w:t>责，防止泄密；业务实现自动化操作，防止人为事故的发生，技术系统完整、独立。</w:t>
      </w:r>
    </w:p>
    <w:p w14:paraId="1F3C12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（三）基金托管人对基金管理人运作基金进行监督的方法和程序</w:t>
      </w:r>
    </w:p>
    <w:p w14:paraId="5EAFBA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14:paraId="169D87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3474D0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14:paraId="0074DD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14:paraId="1E7099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14:paraId="60D060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14:paraId="3522ECD4"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17E44DE5" w14:textId="55802D53" w:rsidR="00AE2A54" w:rsidRDefault="002F705F">
      <w:pPr>
        <w:pStyle w:val="1"/>
        <w:snapToGrid w:val="0"/>
        <w:spacing w:beforeLines="0" w:before="240" w:after="240"/>
        <w:rPr>
          <w:rFonts w:ascii="宋体" w:hAnsi="宋体"/>
          <w:szCs w:val="30"/>
        </w:rPr>
      </w:pPr>
      <w:bookmarkStart w:id="24" w:name="_Toc220317713"/>
      <w:r>
        <w:rPr>
          <w:rFonts w:ascii="Times New Roman" w:hAnsi="Times New Roman" w:hint="eastAsia"/>
          <w:sz w:val="30"/>
        </w:rPr>
        <w:t>二十</w:t>
      </w:r>
      <w:r>
        <w:rPr>
          <w:rFonts w:ascii="Times New Roman" w:hAnsi="Times New Roman"/>
          <w:sz w:val="30"/>
        </w:rPr>
        <w:t>、境外资产托管人</w:t>
      </w:r>
      <w:bookmarkEnd w:id="24"/>
    </w:p>
    <w:p w14:paraId="2C8D0B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（一）境外资产托管人基本情况</w:t>
      </w:r>
    </w:p>
    <w:p w14:paraId="3A0302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名称：摩根大通银行（JPMorgan Chase Bank, National Association）</w:t>
      </w:r>
    </w:p>
    <w:p w14:paraId="208CE6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注册地址：1111 Polaris Parkway, Columbus, Ohio 43240, U.S.A.</w:t>
      </w:r>
    </w:p>
    <w:p w14:paraId="587F0D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办公地址：383 Madison Avenue, New York, NY 10179-0001</w:t>
      </w:r>
    </w:p>
    <w:p w14:paraId="1D3BAE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法定代表人：James Dimon</w:t>
      </w:r>
    </w:p>
    <w:p w14:paraId="15B2FC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成立时间：1799年</w:t>
      </w:r>
    </w:p>
    <w:p w14:paraId="0E9D5A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总资产（截止2024年12月31日）：4.0万亿美元</w:t>
      </w:r>
    </w:p>
    <w:p w14:paraId="45AC65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实收资本（截止2024年12月31日）：1,214亿美元</w:t>
      </w:r>
    </w:p>
    <w:p w14:paraId="01B08B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托管资产规模（截止2024年12月31日）：35.3万亿美元</w:t>
      </w:r>
    </w:p>
    <w:p w14:paraId="6CDF49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信用等级：穆迪评级Aa2（高级信用债券）</w:t>
      </w:r>
    </w:p>
    <w:p w14:paraId="4D1752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领先的金融服务公司，摩根大通拥有4.0万亿美元资产，在超过60个国家经营。在投资银行业务、消费者金融服务、小企业和商业银行业务、金融交易处理、资产管理和私募股权投资基金等方面，摩根大通均为业界领导者。</w:t>
      </w:r>
    </w:p>
    <w:p w14:paraId="12B62A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自1946年开始为其美国客户提供托管服务。之后为响应客户投资海外的要求，该公司在1974年率先开展了一种综合性的服务–全球托管。此后，摩根大通继续扩展服务，以满足不断变化的客户需要。通过提供优质服务和创新的产品，摩根大通始终保持其领先地位。</w:t>
      </w:r>
    </w:p>
    <w:p w14:paraId="717931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作为全球托管行业的领先者，摩根大通托管资产达35.3万亿美元（截至2024年12月31日），为全世界最大的机构投资者提供创新的托管、基金会计和服务以及证券服务。</w:t>
      </w:r>
    </w:p>
    <w:p w14:paraId="5172E5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是一家真正的全球机构，在超过60个国家有实体运作。与很多竞争对手不同之处在于，摩根大通还可为客户提供市场领先的投资银行服务，包括外汇交易、全球期货与期权清算、股权及股权挂钩产品以及固定收益投资的交易与研究。同时，在资产负债表内和表外的现金和流动性方面，我们也有很强的解决方案能力。</w:t>
      </w:r>
    </w:p>
    <w:p w14:paraId="3FDD45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此外，摩根大通还是亚太地区全球托管的先行者之一，其历史可以追溯到1974 年，在亚太地区15 个国家/地区均有客户：日本、澳大利亚、文莱、中国大陆、中</w:t>
      </w:r>
      <w:r>
        <w:rPr>
          <w:rFonts w:ascii="宋体" w:hAnsi="宋体"/>
          <w:sz w:val="24"/>
        </w:rPr>
        <w:lastRenderedPageBreak/>
        <w:t>国香港、印度、马来西亚、新西兰、新加坡、韩国、中国台湾、菲律宾、泰国、东帝汶和越南。</w:t>
      </w:r>
    </w:p>
    <w:p w14:paraId="26B608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（二） 境外资产托管人的职责</w:t>
      </w:r>
    </w:p>
    <w:p w14:paraId="305EF0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1、安全保管基金的境外资产，及时办理清算、交割事宜。</w:t>
      </w:r>
    </w:p>
    <w:p w14:paraId="4544DC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2、准时将公司行为信息通知基金管理人和/或基金托管人，确保基金及时收取所有应得收入。</w:t>
      </w:r>
    </w:p>
    <w:p w14:paraId="7DBA63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3、其他由基金托管人委托其履行的职责。</w:t>
      </w:r>
    </w:p>
    <w:p w14:paraId="72915061"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BC589DB" w14:textId="77777777" w:rsidR="00AE2A54" w:rsidRDefault="002F705F">
      <w:pPr>
        <w:pStyle w:val="1"/>
        <w:snapToGrid w:val="0"/>
        <w:spacing w:beforeLines="0" w:before="240" w:after="240"/>
        <w:rPr>
          <w:rFonts w:ascii="宋体" w:hAnsi="宋体"/>
          <w:szCs w:val="30"/>
        </w:rPr>
      </w:pPr>
      <w:bookmarkStart w:id="25" w:name="_Toc220317714"/>
      <w:r>
        <w:rPr>
          <w:rFonts w:ascii="Times New Roman" w:hAnsi="Times New Roman"/>
          <w:sz w:val="30"/>
        </w:rPr>
        <w:t>二十</w:t>
      </w:r>
      <w:r>
        <w:rPr>
          <w:rFonts w:ascii="Times New Roman" w:hAnsi="Times New Roman" w:hint="eastAsia"/>
          <w:sz w:val="30"/>
        </w:rPr>
        <w:t>一</w:t>
      </w:r>
      <w:r>
        <w:rPr>
          <w:rFonts w:ascii="Times New Roman" w:hAnsi="Times New Roman"/>
          <w:sz w:val="30"/>
        </w:rPr>
        <w:t>、相关服务机构</w:t>
      </w:r>
      <w:bookmarkEnd w:id="25"/>
    </w:p>
    <w:p w14:paraId="744670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14:paraId="4D5E4A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14:paraId="3551C2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w:t>
      </w:r>
    </w:p>
    <w:p w14:paraId="1CA61E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14:paraId="2BDF4D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14:paraId="30A297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689991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667219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14:paraId="42409C1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14:paraId="43B052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14:paraId="5E4F66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14:paraId="271422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14:paraId="4A7533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0D439B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w:t>
      </w:r>
      <w:r>
        <w:rPr>
          <w:rFonts w:ascii="宋体" w:hAnsi="宋体" w:hint="eastAsia"/>
          <w:sz w:val="24"/>
        </w:rPr>
        <w:t>A类基金份额</w:t>
      </w:r>
      <w:r>
        <w:rPr>
          <w:rFonts w:ascii="宋体" w:hAnsi="宋体"/>
          <w:sz w:val="24"/>
        </w:rPr>
        <w:t>的申购、赎回及定期定额投资等业务，具体交易细则请参阅本公司网站。</w:t>
      </w:r>
    </w:p>
    <w:p w14:paraId="75A58D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14:paraId="6B334F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14:paraId="2A6AC6F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本基金A类基金份额除直销机构外的其他销售机构：</w:t>
      </w:r>
    </w:p>
    <w:p w14:paraId="5D6081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14:paraId="5A54B7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14:paraId="7F187B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14:paraId="6934F1C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14:paraId="2F2BE2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14:paraId="41A934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14:paraId="133D00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14:paraId="2649FF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14:paraId="7FE278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14:paraId="2E30BD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（2）名称：中国建设银行股份有限公司</w:t>
      </w:r>
    </w:p>
    <w:p w14:paraId="1ED98A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14:paraId="1AADF3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办公地址：北京市西城区金融大街25号</w:t>
      </w:r>
    </w:p>
    <w:p w14:paraId="1E641F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14:paraId="0218E7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14:paraId="106327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14:paraId="46ED13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14:paraId="101543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14:paraId="1AD6CE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14:paraId="3DCDA1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14:paraId="14B033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14:paraId="46A802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14:paraId="367FD7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14:paraId="616CB5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14:paraId="22689A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14:paraId="22033C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14:paraId="712306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14:paraId="67CC99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14:paraId="2F258A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14:paraId="4E446B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14:paraId="31EF2A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14:paraId="3F4680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14:paraId="0EC070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14:paraId="07B384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14:paraId="0CEFB0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14:paraId="624BF0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14:paraId="165B75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14:paraId="4DB9A8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14:paraId="667C17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14:paraId="418D3A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14:paraId="62164FB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电话：（021）68475888</w:t>
      </w:r>
    </w:p>
    <w:p w14:paraId="0CFE3A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14:paraId="102405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14:paraId="50F4C1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14:paraId="58A080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14:paraId="2065CD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14:paraId="7C7675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14:paraId="6784D8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14:paraId="6E606C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14:paraId="04228F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14:paraId="3CE71D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14:paraId="097108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14:paraId="50626A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14:paraId="6A9804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14:paraId="6501AAF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（7）名称：江苏常熟农村商业银行股份有限公司</w:t>
      </w:r>
    </w:p>
    <w:p w14:paraId="0C08F9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14:paraId="4F497B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14:paraId="5106EB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14:paraId="1192CB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14:paraId="479FA8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14:paraId="531D38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14:paraId="230836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14:paraId="0D0F85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14:paraId="2780FF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14:paraId="1ADC6B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14:paraId="1504CE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14:paraId="7461EF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14:paraId="6C313B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14:paraId="37B2B7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14:paraId="5E3DB8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14:paraId="00E281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客户服务电话：（0769）961122</w:t>
      </w:r>
    </w:p>
    <w:p w14:paraId="0C84EA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14:paraId="622286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14:paraId="617CC0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14:paraId="09FF48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14:paraId="218F55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14:paraId="12DDD6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14:paraId="638656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14:paraId="33A9D4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14:paraId="1545C2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14:paraId="30545D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14:paraId="2F8F5D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（10）名称：中国银行股份有限公司</w:t>
      </w:r>
    </w:p>
    <w:p w14:paraId="2A03F7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14:paraId="753DEC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14:paraId="63A37D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14:paraId="121E96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14:paraId="3A82F1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14:paraId="4C81FC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14:paraId="31B2C8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（11）名称：广发银行股份有限公司</w:t>
      </w:r>
    </w:p>
    <w:p w14:paraId="32BACF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14:paraId="43B9E4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14:paraId="4D74D3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14:paraId="15D313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14:paraId="5DA53E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14:paraId="276883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14:paraId="6F94B3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14:paraId="36B23F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14:paraId="6F32FC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14:paraId="12186B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14:paraId="4DCE0A5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14:paraId="747055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联系人：许野</w:t>
      </w:r>
    </w:p>
    <w:p w14:paraId="147C71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14:paraId="0523AC7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14:paraId="449CE8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（13）名称：中国光大银行股份有限公司</w:t>
      </w:r>
    </w:p>
    <w:p w14:paraId="5292BC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14:paraId="6248BD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14:paraId="1B9A73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14:paraId="0F5752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14:paraId="2408030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14:paraId="626A23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14:paraId="1CE58E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14:paraId="2D9531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14:paraId="4F970A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14:paraId="708553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14:paraId="45EAD6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14:paraId="5D2D05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14:paraId="2336B1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14:paraId="043E49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14:paraId="64842C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14:paraId="3DB26C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14:paraId="00FA00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（15）名称：北京银行股份有限公司</w:t>
      </w:r>
    </w:p>
    <w:p w14:paraId="11EBAA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14:paraId="19043F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14:paraId="5312A1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14:paraId="0CCC1F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14:paraId="0DE857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14:paraId="25844F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14:paraId="5FE957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14:paraId="15DA4F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（16）名称：平安银行股份有限公司</w:t>
      </w:r>
    </w:p>
    <w:p w14:paraId="73392B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14:paraId="73594A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办公地址：深圳市深南东路5047号</w:t>
      </w:r>
    </w:p>
    <w:p w14:paraId="437F5B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14:paraId="07F609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14:paraId="04D4B0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14:paraId="6E87F6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14:paraId="7108CF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14:paraId="79FA94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14:paraId="1D23FB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（17）名称：江苏银行股份有限公司</w:t>
      </w:r>
    </w:p>
    <w:p w14:paraId="0874BE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14:paraId="01BD6C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14:paraId="5B0A6D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14:paraId="3A2876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14:paraId="3D4742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14:paraId="71CB08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14:paraId="150132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14:paraId="6A0750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14:paraId="35979B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（18）名称：华夏银行股份有限公司</w:t>
      </w:r>
    </w:p>
    <w:p w14:paraId="143D28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14:paraId="093739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14:paraId="26933F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14:paraId="79FE6E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14:paraId="30E49C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14:paraId="4D5A5C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（19）名称：杭州银行股份有限公司</w:t>
      </w:r>
    </w:p>
    <w:p w14:paraId="1E97BB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14:paraId="3E114B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14:paraId="387C67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14:paraId="17AD37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14:paraId="6B47B7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14:paraId="39547D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14:paraId="796A29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14:paraId="78C767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网址：www.hzbank.com.cn</w:t>
      </w:r>
    </w:p>
    <w:p w14:paraId="14E7C0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（20）名称：中国邮政储蓄银行股份有限公司</w:t>
      </w:r>
    </w:p>
    <w:p w14:paraId="19E32C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14:paraId="3B24C5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14:paraId="0CB89E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14:paraId="219EE1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14:paraId="673E7F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14:paraId="63ACAB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14:paraId="722A31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14:paraId="57BD45F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（21）名称：光大证券股份有限公司</w:t>
      </w:r>
    </w:p>
    <w:p w14:paraId="13322C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14:paraId="06DABE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14:paraId="10BD7D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14:paraId="50811B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14:paraId="040A09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14:paraId="102C65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14:paraId="122E73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14:paraId="1B1C66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14:paraId="2B82A7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（22）名称：中信证券股份有限公司</w:t>
      </w:r>
    </w:p>
    <w:p w14:paraId="4E66A9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14:paraId="538937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14:paraId="522DC1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14:paraId="4073C6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14:paraId="34A08B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14:paraId="0E15E7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14:paraId="7964C6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（23）名称：中国中金财富证券有限公司</w:t>
      </w:r>
    </w:p>
    <w:p w14:paraId="2A13F5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14:paraId="5AADF1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14:paraId="5E2166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14:paraId="426A70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电话：（0755）88320851</w:t>
      </w:r>
    </w:p>
    <w:p w14:paraId="086B96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14:paraId="226E14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14:paraId="740F4A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14:paraId="09A775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（24）名称：华福证券有限责任公司</w:t>
      </w:r>
    </w:p>
    <w:p w14:paraId="785ADA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14:paraId="50793F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14:paraId="5681AB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14:paraId="47AF8F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14:paraId="350FE1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14:paraId="3D594D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14:paraId="2608B6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14:paraId="375BF6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（25）名称：东兴证券股份有限公司</w:t>
      </w:r>
    </w:p>
    <w:p w14:paraId="5E03F2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14:paraId="5871C0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14:paraId="1EF184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14:paraId="3263B3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14:paraId="35D6DD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14:paraId="0EF82F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14:paraId="624BC9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14:paraId="10862E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（26）名称：东方证券股份有限公司</w:t>
      </w:r>
    </w:p>
    <w:p w14:paraId="06B1AC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14:paraId="6929FA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14:paraId="0A7626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14:paraId="71A1E5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14:paraId="6AF148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14:paraId="458807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14:paraId="0EA279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14:paraId="0A2304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（27）名称：方正证券股份有限公司</w:t>
      </w:r>
    </w:p>
    <w:p w14:paraId="7C7402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14:paraId="099B51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办公地址：湖南长沙芙蓉中路二段华侨国际大厦22-24层</w:t>
      </w:r>
    </w:p>
    <w:p w14:paraId="26993B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14:paraId="5F8BAB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14:paraId="0C3216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14:paraId="789D531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14:paraId="468ACF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14:paraId="56513D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14:paraId="05A904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（28）名称：中国民族证券有限责任公司</w:t>
      </w:r>
    </w:p>
    <w:p w14:paraId="401964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14:paraId="293A71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14:paraId="4218FA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14:paraId="534BF9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14:paraId="24B224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14:paraId="613FEF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（29）名称：德邦证券股份有限公司</w:t>
      </w:r>
    </w:p>
    <w:p w14:paraId="6CCBDD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14:paraId="63FD35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14:paraId="03F618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14:paraId="131D1B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14:paraId="5EBCC2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14:paraId="0A7C8B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14:paraId="670059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14:paraId="136A35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（30）名称：国投证券股份有限公司</w:t>
      </w:r>
    </w:p>
    <w:p w14:paraId="6CA43E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14:paraId="73FFDB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14:paraId="399092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法定代表人：段文务</w:t>
      </w:r>
    </w:p>
    <w:p w14:paraId="7A4E26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14:paraId="231E70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14:paraId="61CD71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联系人：陈剑虹</w:t>
      </w:r>
    </w:p>
    <w:p w14:paraId="219966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14:paraId="1502B8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网址：http://www.essence.com.cn/</w:t>
      </w:r>
    </w:p>
    <w:p w14:paraId="246B1A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（31）名称：国元证券股份有限公司</w:t>
      </w:r>
    </w:p>
    <w:p w14:paraId="3BD32B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14:paraId="2F340D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14:paraId="7AE717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14:paraId="0E8DC0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14:paraId="6F1EF3C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14:paraId="117BB8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14:paraId="5258FC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14:paraId="3AEB92A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14:paraId="7A65A4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（32）名称：财通证券股份有限公司</w:t>
      </w:r>
    </w:p>
    <w:p w14:paraId="286587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14:paraId="5A1351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14:paraId="3219C2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14:paraId="21514E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14:paraId="47316C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14:paraId="4E257E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14:paraId="0F79A1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14:paraId="484489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（33）名称：中信建投证券股份有限公司</w:t>
      </w:r>
    </w:p>
    <w:p w14:paraId="0849021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14:paraId="73E324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14:paraId="6BF90F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14:paraId="4CE06A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14:paraId="5866F0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14:paraId="0036E4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14:paraId="54F1D2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14:paraId="5C1990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14:paraId="5BB9DF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（34）名称：民生证券股份有限公司</w:t>
      </w:r>
    </w:p>
    <w:p w14:paraId="04B987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14:paraId="5CA1B8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办公地址：北京市东城区建国门内大街28号民生金融中心A座16层--18层</w:t>
      </w:r>
    </w:p>
    <w:p w14:paraId="43230E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14:paraId="32E6BC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14:paraId="58CC73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14:paraId="367673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14:paraId="793AA6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14:paraId="5A167A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14:paraId="2B6EF3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（35）名称：中原证券股份有限公司</w:t>
      </w:r>
    </w:p>
    <w:p w14:paraId="5A7236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14:paraId="6AAA02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14:paraId="1737FA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14:paraId="59A34A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14:paraId="687BF3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14:paraId="763A43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14:paraId="343AA8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14:paraId="496FB2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（36）名称：东方财富证券股份有限公司</w:t>
      </w:r>
    </w:p>
    <w:p w14:paraId="5D3174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14:paraId="4D5EFD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14:paraId="503FC9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14:paraId="3A2AEE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14:paraId="1C1E40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14:paraId="4F8A9B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14:paraId="137AFF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14:paraId="709728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14:paraId="71FAB3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（37）名称：国信证券股份有限公司</w:t>
      </w:r>
    </w:p>
    <w:p w14:paraId="39C854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14:paraId="5567A9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14:paraId="04CB7D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14:paraId="0D8B44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14:paraId="32C859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14:paraId="4B2AC6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联系人：于智勇</w:t>
      </w:r>
    </w:p>
    <w:p w14:paraId="430638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14:paraId="60C035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14:paraId="48C99B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（38）名称：恒泰证券股份有限公司</w:t>
      </w:r>
    </w:p>
    <w:p w14:paraId="796301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住所：内蒙古呼和浩特市新城区新华东街111号</w:t>
      </w:r>
    </w:p>
    <w:p w14:paraId="662FA3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办公地址：内蒙古呼和浩特市新城区新华东街111号</w:t>
      </w:r>
    </w:p>
    <w:p w14:paraId="4CA56A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法定代表人：庞介民</w:t>
      </w:r>
    </w:p>
    <w:p w14:paraId="0101D1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电话：（0471）4979037</w:t>
      </w:r>
    </w:p>
    <w:p w14:paraId="3DDCF7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传真：（0471）4961259</w:t>
      </w:r>
    </w:p>
    <w:p w14:paraId="611D6D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联系人：王旭华</w:t>
      </w:r>
    </w:p>
    <w:p w14:paraId="411087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客户服务电话：（0471）4960762，（021）68405273</w:t>
      </w:r>
    </w:p>
    <w:p w14:paraId="321CD4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14:paraId="1702D9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（39）名称：华泰证券股份有限公司</w:t>
      </w:r>
    </w:p>
    <w:p w14:paraId="6358D9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14:paraId="6293C6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14:paraId="5A30B4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14:paraId="19891E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14:paraId="3C693D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14:paraId="2C64E7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14:paraId="36146F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14:paraId="48F459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14:paraId="610A1F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（40）名称：湘财证券股份有限公司</w:t>
      </w:r>
    </w:p>
    <w:p w14:paraId="5C69EC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14:paraId="66A570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14:paraId="73D172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14:paraId="452D9A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14:paraId="017FC4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14:paraId="1D97BA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14:paraId="60E5A9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14:paraId="65A1C2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14:paraId="09A8FF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（41）名称：兴业证券股份有限公司</w:t>
      </w:r>
    </w:p>
    <w:p w14:paraId="334FB2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14:paraId="138F51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14:paraId="7C24AF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14:paraId="266F49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14:paraId="165824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14:paraId="4E76C5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14:paraId="3D9397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14:paraId="622A95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（42）名称：广发证券股份有限公司</w:t>
      </w:r>
    </w:p>
    <w:p w14:paraId="16BC0A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14:paraId="46F719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14:paraId="10A800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14:paraId="1823AC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14:paraId="2B9529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14:paraId="14693A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14:paraId="23FFE1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14:paraId="2A6B2D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14:paraId="6CBEB6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（43）名称：海通证券股份有限公司</w:t>
      </w:r>
    </w:p>
    <w:p w14:paraId="6B5D4C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14:paraId="753D6C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14:paraId="5067B4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14:paraId="357CA5A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14:paraId="09EB83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14:paraId="2B1561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14:paraId="6E38C6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14:paraId="13187F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14:paraId="2DD683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（44）名称：华龙证券股份有限公司</w:t>
      </w:r>
    </w:p>
    <w:p w14:paraId="197825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14:paraId="313026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14:paraId="1F3EEA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14:paraId="4BBC03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电话：（0931）4890208</w:t>
      </w:r>
    </w:p>
    <w:p w14:paraId="06EB67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14:paraId="0FE50B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14:paraId="61061D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14:paraId="42A73C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14:paraId="24BC61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（45）名称：华宝证券股份有限公司</w:t>
      </w:r>
    </w:p>
    <w:p w14:paraId="69F1FB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14:paraId="035958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14:paraId="15A919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14:paraId="133249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14:paraId="0B3049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14:paraId="56900B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14:paraId="6F0B37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14:paraId="1C5110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14:paraId="6CE332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（46）名称：长城国瑞证券有限公司</w:t>
      </w:r>
    </w:p>
    <w:p w14:paraId="631BD5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14:paraId="3DC8B1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14:paraId="574D95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14:paraId="565FA7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14:paraId="2EBCCF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14:paraId="1C7646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14:paraId="007016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14:paraId="67127B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14:paraId="4B19C1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（47）名称：爱建证券有限责任公司</w:t>
      </w:r>
    </w:p>
    <w:p w14:paraId="3623763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14:paraId="097C2C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14:paraId="7BD431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14:paraId="168F02C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14:paraId="076AE2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14:paraId="2A8661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14:paraId="00474D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客户服务电话：（021）63340678</w:t>
      </w:r>
    </w:p>
    <w:p w14:paraId="4A827B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14:paraId="0ABF95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（48）名称：长江证券股份有限公司</w:t>
      </w:r>
    </w:p>
    <w:p w14:paraId="72DFE7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14:paraId="12BC09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14:paraId="52C31D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14:paraId="224E9A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14:paraId="3C8DD2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14:paraId="27C3CB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14:paraId="1D585E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14:paraId="62319D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14:paraId="2478C3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（49）名称：招商证券股份有限公司</w:t>
      </w:r>
    </w:p>
    <w:p w14:paraId="47F62D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14:paraId="4A2D96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14:paraId="51FD9FE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14:paraId="09EBBA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14:paraId="336393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14:paraId="0E1698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14:paraId="13D836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14:paraId="68B5BC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14:paraId="1EFDE8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（50）名称：国泰海通证券股份有限公司</w:t>
      </w:r>
    </w:p>
    <w:p w14:paraId="0DD0DD1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14:paraId="20BDCA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14:paraId="2C1A6E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14:paraId="0D0060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14:paraId="628101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14:paraId="0A32EA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14:paraId="5E68E1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14:paraId="78B2D8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14:paraId="00395F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（51）名称：中信证券华南股份有限公司</w:t>
      </w:r>
    </w:p>
    <w:p w14:paraId="34063D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14:paraId="6E5F5D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14:paraId="5BA155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14:paraId="5747FB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14:paraId="7F7833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14:paraId="414ADB6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14:paraId="6FCEDC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14:paraId="6DEDE0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14:paraId="59BE42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（52）名称：第一创业证券股份有限公司</w:t>
      </w:r>
    </w:p>
    <w:p w14:paraId="72FF1B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14:paraId="3FCB66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14:paraId="792486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14:paraId="09587E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14:paraId="22F5DC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14:paraId="4D1180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14:paraId="337EFC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14:paraId="29980E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14:paraId="495E3E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（53）名称：华西证券股份有限公司</w:t>
      </w:r>
    </w:p>
    <w:p w14:paraId="3F96D4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14:paraId="186BBC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14:paraId="783178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14:paraId="1CD9A6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14:paraId="64D1D4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14:paraId="60D9A6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14:paraId="18D938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14:paraId="6047A6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14:paraId="37BE34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（54）名称：粤开证券股份有限公司</w:t>
      </w:r>
    </w:p>
    <w:p w14:paraId="16E3C4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14:paraId="3AF1EC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14:paraId="6E04D8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法定代表人：崔洪军</w:t>
      </w:r>
    </w:p>
    <w:p w14:paraId="4AFCA7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客服电话：95564</w:t>
      </w:r>
    </w:p>
    <w:p w14:paraId="59A555D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14:paraId="36D9F3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（55）名称：国新证券股份有限公司</w:t>
      </w:r>
    </w:p>
    <w:p w14:paraId="626B57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14:paraId="4B1989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14:paraId="2DB047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14:paraId="5EC370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14:paraId="0ACCAE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14:paraId="695393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14:paraId="465FC6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14:paraId="633F41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14:paraId="0CADF6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（56）名称：西南证券股份有限公司</w:t>
      </w:r>
    </w:p>
    <w:p w14:paraId="08C5CC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14:paraId="2736F1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14:paraId="01C97E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14:paraId="29F755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14:paraId="10A2A5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14:paraId="4AA7F0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14:paraId="27C2B5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14:paraId="73C41A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14:paraId="454471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（57）名称：信达证券股份有限公司</w:t>
      </w:r>
    </w:p>
    <w:p w14:paraId="6DB5C0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14:paraId="70B27E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14:paraId="0AA3ECF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14:paraId="4DC6CB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14:paraId="5E72F1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14:paraId="7AB491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14:paraId="7C4E52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14:paraId="63B009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14:paraId="7378E3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（58）名称：渤海证券股份有限公司</w:t>
      </w:r>
    </w:p>
    <w:p w14:paraId="7FADED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住所：天津经济技术开发区第二大街42号写字楼101室</w:t>
      </w:r>
    </w:p>
    <w:p w14:paraId="4E8DC3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14:paraId="2F8CA3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14:paraId="4156E7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14:paraId="3E0207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14:paraId="6ED365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14:paraId="3EDEBD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14:paraId="020A86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14:paraId="68CB9C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（59）名称：国金证券股份有限公司</w:t>
      </w:r>
    </w:p>
    <w:p w14:paraId="6646C1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14:paraId="438BE9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14:paraId="6994A1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14:paraId="060B6C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14:paraId="7F3B03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14:paraId="15F02B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14:paraId="39B79B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14:paraId="53C9DD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14:paraId="024DE48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（60）名称：长城证券有限责任公司</w:t>
      </w:r>
    </w:p>
    <w:p w14:paraId="0143C7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14:paraId="20524A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14:paraId="100E1F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14:paraId="08D198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14:paraId="6BCDA7F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14:paraId="4BB0AD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14:paraId="53FAA5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14:paraId="519A34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（61）名称：瑞银证券有限责任公司</w:t>
      </w:r>
    </w:p>
    <w:p w14:paraId="23CC5C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14:paraId="71FDAD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14:paraId="2BF88B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14:paraId="79063F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14:paraId="7FB47D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传真：（010）58328740</w:t>
      </w:r>
    </w:p>
    <w:p w14:paraId="4A4D99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14:paraId="1E10F8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14:paraId="0C1E04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14:paraId="769464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（62）名称：中国国际金融股份有限公司</w:t>
      </w:r>
    </w:p>
    <w:p w14:paraId="35DCCC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14:paraId="72B0CC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14:paraId="03993C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14:paraId="28A16F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14:paraId="5433E5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14:paraId="65F352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14:paraId="42A8C67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14:paraId="5FD3689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（63）名称：江海证券有限公司</w:t>
      </w:r>
    </w:p>
    <w:p w14:paraId="4C5FAD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14:paraId="0DA199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14:paraId="0B7943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14:paraId="4625B6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14:paraId="2FDA6C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14:paraId="6983A2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14:paraId="79FE39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14:paraId="28DEBF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（64）名称：中泰证券股份有限公司</w:t>
      </w:r>
    </w:p>
    <w:p w14:paraId="046B11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14:paraId="1A94F9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14:paraId="603EE0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14:paraId="673916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14:paraId="14211C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14:paraId="555B62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14:paraId="2DDDD9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14:paraId="32E950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14:paraId="3BB3DF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（65）名称：中国银河证券股份有限公司</w:t>
      </w:r>
    </w:p>
    <w:p w14:paraId="7E8F1F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住所：北京市西城区金融大街35号国际企业大厦C座</w:t>
      </w:r>
    </w:p>
    <w:p w14:paraId="53B785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14:paraId="427930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14:paraId="3E48545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14:paraId="77D91D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14:paraId="5F5417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14:paraId="3818E5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14:paraId="2E2DFD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（66）名称：申万宏源证券有限公司</w:t>
      </w:r>
    </w:p>
    <w:p w14:paraId="356A75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14:paraId="503BAE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14:paraId="1C9EE8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14:paraId="175422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14:paraId="11BE97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14:paraId="57D065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14:paraId="70CE49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14:paraId="34D839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（67）名称：国都证券股份有限公司</w:t>
      </w:r>
    </w:p>
    <w:p w14:paraId="661DEF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14:paraId="2572CF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14:paraId="408734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14:paraId="1DE4E5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14:paraId="714C5A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14:paraId="1930C2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（68）名称：平安证券股份有限公司</w:t>
      </w:r>
    </w:p>
    <w:p w14:paraId="7E9F4E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14:paraId="408C9C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14:paraId="6D614A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14:paraId="4883D3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14:paraId="046786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14:paraId="129AA3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14:paraId="51835A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14:paraId="374267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14:paraId="098278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（69）名称：中信证券（山东）有限责任公司</w:t>
      </w:r>
    </w:p>
    <w:p w14:paraId="6D5F2D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14:paraId="77719E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14:paraId="5CCF51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14:paraId="187ABF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14:paraId="380B35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14:paraId="210252F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14:paraId="713579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14:paraId="2B884C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14:paraId="26FE59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（70）名称：申万宏源西部证券有限公司</w:t>
      </w:r>
    </w:p>
    <w:p w14:paraId="06C065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14:paraId="1DF08F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14:paraId="30C169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14:paraId="0701BE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14:paraId="68EA2B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14:paraId="7A90D5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14:paraId="2154E4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14:paraId="50CD60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14:paraId="720B56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（71）名称：深圳市新兰德证券投资咨询有限公司</w:t>
      </w:r>
    </w:p>
    <w:p w14:paraId="37F621D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14:paraId="787DFE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14:paraId="149BCE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14:paraId="383AC1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14:paraId="41137E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14:paraId="23F34E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14:paraId="481051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14:paraId="35208B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14:paraId="3CA145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（72）名称：大连网金基金销售有限公司</w:t>
      </w:r>
    </w:p>
    <w:p w14:paraId="11EE08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14:paraId="73B8A9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14:paraId="0E4003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樊怀东</w:t>
      </w:r>
    </w:p>
    <w:p w14:paraId="48DC27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14:paraId="40D208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14:paraId="5495DD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14:paraId="146F80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14:paraId="149039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14:paraId="7C0D22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（73）名称：阳光人寿保险股份有限公司</w:t>
      </w:r>
    </w:p>
    <w:p w14:paraId="1EE065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14:paraId="219188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14:paraId="6722FC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14:paraId="44422F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14:paraId="3A21AC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14:paraId="38D837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14:paraId="59DC10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14:paraId="6A5FE1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14:paraId="7B50D5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（74）名称：玄元保险代理有限公司</w:t>
      </w:r>
    </w:p>
    <w:p w14:paraId="6713B3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14:paraId="79D18F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14:paraId="777DB9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14:paraId="2D47AE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14:paraId="31EF20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14:paraId="3DBC78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14:paraId="026F49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14:paraId="025882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（75）名称：京东肯特瑞基金销售有限公司</w:t>
      </w:r>
    </w:p>
    <w:p w14:paraId="189F82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14:paraId="3A6B46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14:paraId="4083EF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14:paraId="208DAA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14:paraId="75E1C2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14:paraId="70F9E6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联系人：李丹</w:t>
      </w:r>
    </w:p>
    <w:p w14:paraId="3E0D45F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14:paraId="1E422A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14:paraId="6B5A41C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（76）名称：上海大智慧基金销售有限公司</w:t>
      </w:r>
    </w:p>
    <w:p w14:paraId="0099E8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14:paraId="2B7855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14:paraId="42855B7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14:paraId="111389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14:paraId="357EFB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14:paraId="639041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14:paraId="303514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14:paraId="7F5857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14:paraId="7B2CB25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（77）名称：珠海盈米基金销售有限公司</w:t>
      </w:r>
    </w:p>
    <w:p w14:paraId="7CC31C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14:paraId="641A29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14:paraId="5AC735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14:paraId="274EDA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14:paraId="17272F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14:paraId="555364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14:paraId="7B55B8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14:paraId="229D16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14:paraId="7F7175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（78）名称：上海华夏财富投资管理有限公司</w:t>
      </w:r>
    </w:p>
    <w:p w14:paraId="3EB230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14:paraId="550E06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14:paraId="161BEC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14:paraId="484E18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14:paraId="771503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14:paraId="7C42AB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14:paraId="24BD02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14:paraId="020F98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14:paraId="2B5FF8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（79）名称：北京度小满基金销售有限公司</w:t>
      </w:r>
    </w:p>
    <w:p w14:paraId="1BC7DC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14:paraId="5D5E68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14:paraId="09E957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14:paraId="57CCB1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14:paraId="62D42C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14:paraId="00C550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14:paraId="2CBFC2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14:paraId="538F36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14:paraId="38243F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（80）名称：南京苏宁基金销售有限公司</w:t>
      </w:r>
    </w:p>
    <w:p w14:paraId="619566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14:paraId="3B8CA3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14:paraId="1D6032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14:paraId="0E77BD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14:paraId="22AAAA3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14:paraId="085082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14:paraId="139DF6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14:paraId="2DFDA8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14:paraId="773CFF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（81）名称：嘉实财富管理有限公司</w:t>
      </w:r>
    </w:p>
    <w:p w14:paraId="7A2153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14:paraId="6B8A0B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14:paraId="29F998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14:paraId="676ED3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14:paraId="21B24C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14:paraId="501A6D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14:paraId="20E599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14:paraId="233579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（82）名称：北京汇成基金销售有限公司</w:t>
      </w:r>
    </w:p>
    <w:p w14:paraId="55936A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14:paraId="1359CA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14:paraId="76C9AB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法定代表人：王伟刚</w:t>
      </w:r>
    </w:p>
    <w:p w14:paraId="31C628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14:paraId="1A1D89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14:paraId="7A399F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14:paraId="0F9B7B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客户服务电话：400-619-9059</w:t>
      </w:r>
    </w:p>
    <w:p w14:paraId="5AD614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14:paraId="61E1842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（83）名称：上海利得基金销售有限公司</w:t>
      </w:r>
    </w:p>
    <w:p w14:paraId="2396CF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14:paraId="6BA59E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14:paraId="4BBF8B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14:paraId="0E5265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14:paraId="0A08C2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14:paraId="0D0C88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14:paraId="34DDF4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14:paraId="41FD070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14:paraId="23030D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（84）名称：北京虹点基金销售有限公司</w:t>
      </w:r>
    </w:p>
    <w:p w14:paraId="471E5B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14:paraId="729CE5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14:paraId="080A23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14:paraId="07FD81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14:paraId="235B56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14:paraId="021996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14:paraId="2AA3EA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14:paraId="6D6672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14:paraId="0E4C53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（85）名称：上海陆金所基金销售有限公司</w:t>
      </w:r>
    </w:p>
    <w:p w14:paraId="213831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14:paraId="03C9F4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14:paraId="75B7C1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14:paraId="25883E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14:paraId="76E586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14:paraId="5E5DB3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联系人：宁博宇</w:t>
      </w:r>
    </w:p>
    <w:p w14:paraId="4BCC6C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14:paraId="7C688F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14:paraId="52665A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（86）名称：上海挖财基金销售有限公司</w:t>
      </w:r>
    </w:p>
    <w:p w14:paraId="3BA608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14:paraId="6BA647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14:paraId="650E33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14:paraId="6CE3436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14:paraId="659DC8A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14:paraId="712730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14:paraId="076CCD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14:paraId="74149E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14:paraId="560286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14:paraId="39F32B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（87）名称：万家财富基金销售（天津）有限公司</w:t>
      </w:r>
    </w:p>
    <w:p w14:paraId="40D2C7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14:paraId="714BC9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14:paraId="037293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14:paraId="5D7F43C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14:paraId="76588A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14:paraId="3DD2B6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14:paraId="57BC34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14:paraId="6A3C1A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14:paraId="1ECB86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（88）名称：上海万得基金销售有限公司</w:t>
      </w:r>
    </w:p>
    <w:p w14:paraId="00F773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14:paraId="300D25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14:paraId="036A7B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14:paraId="271DDC5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14:paraId="3F9A76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14:paraId="23B9E3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14:paraId="2D6992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14:paraId="46251F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www.520fund.com.cn</w:t>
      </w:r>
    </w:p>
    <w:p w14:paraId="193908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（89）名称：深圳市金斧子基金销售有限公司</w:t>
      </w:r>
    </w:p>
    <w:p w14:paraId="3C0000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14:paraId="671D7E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14:paraId="718485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14:paraId="03F60A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14:paraId="11048E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14:paraId="76D9B8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14:paraId="198527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14:paraId="245AAD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14:paraId="45B778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（90）名称：北京雪球基金销售有限公司</w:t>
      </w:r>
    </w:p>
    <w:p w14:paraId="2A8C42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14:paraId="61E6DF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14:paraId="71185C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14:paraId="4E9FC8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14:paraId="62CD42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14:paraId="777833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14:paraId="594B027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14:paraId="2DAB58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14:paraId="2181CB1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（91）名称：北京新浪仓石基金销售有限公司</w:t>
      </w:r>
    </w:p>
    <w:p w14:paraId="0B59CB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14:paraId="0EF082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14:paraId="3BC01F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14:paraId="54954D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14:paraId="7EBB59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14:paraId="74683D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14:paraId="5E124D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14:paraId="7F359C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（92）名称：中证金牛（北京）基金销售有限公司</w:t>
      </w:r>
    </w:p>
    <w:p w14:paraId="46C372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北京市丰台区东管头1号2号楼2-45室</w:t>
      </w:r>
    </w:p>
    <w:p w14:paraId="530DDD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14:paraId="55EF52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14:paraId="5949348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14:paraId="687205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14:paraId="7949D8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14:paraId="20F5B2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14:paraId="0CC7CF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14:paraId="68602EC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（93）名称：上海证达通基金销售有限公司</w:t>
      </w:r>
    </w:p>
    <w:p w14:paraId="4CF01D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14:paraId="32AC80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14:paraId="1EC89E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14:paraId="116291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14:paraId="0D77FFB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14:paraId="4F98AE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14:paraId="2F6740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14:paraId="270FC5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14:paraId="232415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（94）名称：北京创金启富基金销售有限公司</w:t>
      </w:r>
    </w:p>
    <w:p w14:paraId="3A6BDC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14:paraId="5700B6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14:paraId="5158A8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14:paraId="513493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14:paraId="6904E0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14:paraId="7B2DDF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14:paraId="29E686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14:paraId="0BC8B1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14:paraId="2D5CA5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（95）名称：奕丰基金销售有限公司</w:t>
      </w:r>
    </w:p>
    <w:p w14:paraId="5653A7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14:paraId="624773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14:paraId="6A340A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14:paraId="6996B7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14:paraId="55FEDB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14:paraId="2D44CF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14:paraId="43E3C4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14:paraId="14001A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14:paraId="63073F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（96）名称：上海天天基金销售有限公司</w:t>
      </w:r>
    </w:p>
    <w:p w14:paraId="280ADF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14:paraId="443C05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14:paraId="4DAE80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14:paraId="3A813C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14:paraId="0AEF34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14:paraId="15B4CFF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14:paraId="549B50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14:paraId="657CB3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14:paraId="7C03A9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（97）名称：和讯信息科技有限公司</w:t>
      </w:r>
    </w:p>
    <w:p w14:paraId="338DBC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14:paraId="5F8A3D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14:paraId="5576E4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14:paraId="4D2F751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14:paraId="30AB24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14:paraId="30A54B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14:paraId="505F7B4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14:paraId="7A0815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14:paraId="232036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（98）名称：诺亚正行基金销售有限公司</w:t>
      </w:r>
    </w:p>
    <w:p w14:paraId="25E755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14:paraId="36D716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14:paraId="7484EE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14:paraId="2AC265F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14:paraId="7ECE43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14:paraId="4A1149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14:paraId="143E4C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14:paraId="350BCA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14:paraId="205A5A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（99）名称：上海好买基金销售有限公司</w:t>
      </w:r>
    </w:p>
    <w:p w14:paraId="45417B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14:paraId="7C35A9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14:paraId="31B0AB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14:paraId="61BB10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14:paraId="606432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14:paraId="7EE0AF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14:paraId="0CCBFDD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14:paraId="08D4CE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（100）名称：上海长量基金销售有限公司</w:t>
      </w:r>
    </w:p>
    <w:p w14:paraId="67136D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14:paraId="6F590C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14:paraId="4647C6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14:paraId="4A950A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14:paraId="52CC89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14:paraId="0BC9BF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14:paraId="55C1D1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14:paraId="078198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14:paraId="11B56D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（101）名称：深圳众禄基金销售股份有限公司</w:t>
      </w:r>
    </w:p>
    <w:p w14:paraId="782ED1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14:paraId="372813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14:paraId="179387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14:paraId="11BD96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14:paraId="314221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14:paraId="5101B1A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14:paraId="4908DF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14:paraId="746AAC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14:paraId="3B786C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（102）名称：蚂蚁（杭州）基金销售有限公司</w:t>
      </w:r>
    </w:p>
    <w:p w14:paraId="15D79B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14:paraId="0B7656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14:paraId="55E01DE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14:paraId="11E8C8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14:paraId="2A6FAA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14:paraId="18F531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14:paraId="116B9C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14:paraId="68720D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14:paraId="7A8333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（103）名称：中信期货有限公司</w:t>
      </w:r>
    </w:p>
    <w:p w14:paraId="166397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14:paraId="05C150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14:paraId="644A8C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14:paraId="1AFA4D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14:paraId="0F7167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14:paraId="0CA863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14:paraId="330A06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14:paraId="22B45B1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14:paraId="7C1843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（104）名称：天相投资顾问有限公司</w:t>
      </w:r>
    </w:p>
    <w:p w14:paraId="49E42D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14:paraId="51BDC0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14:paraId="778178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14:paraId="3CEE1D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14:paraId="15F4DF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14:paraId="6E2CE6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14:paraId="4B8D6D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14:paraId="0BBBFA5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14:paraId="4580CE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（105）名称：上海基煜基金销售有限公司</w:t>
      </w:r>
    </w:p>
    <w:p w14:paraId="797EE2F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14:paraId="13D6B94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14:paraId="2F8DFF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14:paraId="758BF7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14:paraId="15B0FD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14:paraId="41FDE3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14:paraId="4419D8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14:paraId="2E878E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14:paraId="2178F8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（106）名称：浙江同花顺基金销售有限公司</w:t>
      </w:r>
    </w:p>
    <w:p w14:paraId="38EDEA0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14:paraId="1A36E2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14:paraId="46A7EC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14:paraId="33325B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14:paraId="2DEDA1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14:paraId="105F87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14:paraId="3BDFAD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14:paraId="0F09FE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14:paraId="0D7960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（107）名称：宜信普泽（北京）基金销售有限公司</w:t>
      </w:r>
    </w:p>
    <w:p w14:paraId="0486E9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14:paraId="46C59C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14:paraId="261FE0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14:paraId="2FF7E8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电话：400-6099-200</w:t>
      </w:r>
    </w:p>
    <w:p w14:paraId="54AFD7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14:paraId="78F543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14:paraId="743917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14:paraId="4D4B50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14:paraId="5D538B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（108）名称：上海联泰基金销售有限公司</w:t>
      </w:r>
    </w:p>
    <w:p w14:paraId="692854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14:paraId="4B436D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14:paraId="74D40A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14:paraId="05B2ED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电话：021-52822063</w:t>
      </w:r>
    </w:p>
    <w:p w14:paraId="3C3EC64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14:paraId="4F4A59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14:paraId="724DFD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14:paraId="35004C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14:paraId="677E58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（109）名称：泛华普益基金销售有限公司</w:t>
      </w:r>
    </w:p>
    <w:p w14:paraId="751F13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14:paraId="442A52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14:paraId="26A454E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14:paraId="095AD2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14:paraId="7C5300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14:paraId="17382A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14:paraId="60C38C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14:paraId="48E94B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14:paraId="390125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（110）名称：北京展恒基金销售股份有限公司</w:t>
      </w:r>
    </w:p>
    <w:p w14:paraId="7C1A59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14:paraId="19F155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14:paraId="5A67A94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14:paraId="55D662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14:paraId="1C8EF5C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14:paraId="33772B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14:paraId="7DCA02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14:paraId="49DD95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14:paraId="54C9DE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（111）名称：和耕传承基金销售有限公司</w:t>
      </w:r>
    </w:p>
    <w:p w14:paraId="5F66D17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14:paraId="067EA23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14:paraId="4321E5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14:paraId="06724C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14:paraId="69DC08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14:paraId="3941F3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联系人：胡静华</w:t>
      </w:r>
    </w:p>
    <w:p w14:paraId="322D17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14:paraId="06FE72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14:paraId="6A81EC9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（112）名称：腾安基金销售（深圳）有限公司</w:t>
      </w:r>
    </w:p>
    <w:p w14:paraId="155DB7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14:paraId="4748B8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14:paraId="4BD8E6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14:paraId="5B1823F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14:paraId="4828B5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14:paraId="5CDA7D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14:paraId="44FB78B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14:paraId="7E53EC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（113）名称：济安财富（北京）基金销售有限公司</w:t>
      </w:r>
    </w:p>
    <w:p w14:paraId="74B38E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14:paraId="276D488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14:paraId="2683CF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14:paraId="29B5F8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14:paraId="451878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14:paraId="56C6F3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14:paraId="297AFB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14:paraId="6E1831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14:paraId="311D38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（114）名称：博时财富基金销售有限公司</w:t>
      </w:r>
    </w:p>
    <w:p w14:paraId="490D5C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14:paraId="20A042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14:paraId="3F10E9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14:paraId="06E8CA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14:paraId="2BB737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14:paraId="2EDA72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14:paraId="0D6418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14:paraId="5414CD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14:paraId="3D1E15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（115）名称：上海中欧财富基金销售有限公司</w:t>
      </w:r>
    </w:p>
    <w:p w14:paraId="46317E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14:paraId="73CC4F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14:paraId="000740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14:paraId="313F7AD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14:paraId="6B57D9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14:paraId="2447A8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14:paraId="6C24B0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14:paraId="568661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14:paraId="7C4B8869" w14:textId="77777777" w:rsidR="00AE2A54" w:rsidRDefault="002F705F">
      <w:pPr>
        <w:autoSpaceDE w:val="0"/>
        <w:autoSpaceDN w:val="0"/>
        <w:adjustRightInd w:val="0"/>
        <w:snapToGrid w:val="0"/>
        <w:spacing w:line="360" w:lineRule="auto"/>
        <w:ind w:firstLineChars="200" w:firstLine="480"/>
        <w:jc w:val="left"/>
        <w:rPr>
          <w:rFonts w:ascii="Times New Roman" w:hAnsi="Times New Roman"/>
          <w:sz w:val="24"/>
        </w:rPr>
      </w:pPr>
      <w:r>
        <w:rPr>
          <w:rFonts w:ascii="Times New Roman" w:hAnsi="Times New Roman" w:hint="eastAsia"/>
          <w:sz w:val="24"/>
        </w:rPr>
        <w:t>本基金</w:t>
      </w:r>
      <w:r>
        <w:rPr>
          <w:rFonts w:ascii="Times New Roman" w:hAnsi="Times New Roman" w:hint="eastAsia"/>
          <w:sz w:val="24"/>
        </w:rPr>
        <w:t>C</w:t>
      </w:r>
      <w:r>
        <w:rPr>
          <w:rFonts w:ascii="Times New Roman" w:hAnsi="Times New Roman" w:hint="eastAsia"/>
          <w:sz w:val="24"/>
        </w:rPr>
        <w:t>类基金份额的销售机构：</w:t>
      </w:r>
    </w:p>
    <w:p w14:paraId="279D605B" w14:textId="5F3F4D52"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（1）蚂蚁（杭州）基金销售有限公司</w:t>
      </w:r>
    </w:p>
    <w:p w14:paraId="5B86496A"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住所：浙江省杭州市余杭区五常街道文一西路969号3幢5层599室</w:t>
      </w:r>
    </w:p>
    <w:p w14:paraId="49BB56DA"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办公地址：浙江省杭州市西湖区西溪路556号</w:t>
      </w:r>
    </w:p>
    <w:p w14:paraId="32FFBFE3"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法定代表人：王珺</w:t>
      </w:r>
    </w:p>
    <w:p w14:paraId="18714760"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电话：（0571）28829790，（021）60897869</w:t>
      </w:r>
    </w:p>
    <w:p w14:paraId="4CCBF488"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传真：（0571）26698533</w:t>
      </w:r>
    </w:p>
    <w:p w14:paraId="4770EA42"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联系人：韩爱彬</w:t>
      </w:r>
    </w:p>
    <w:p w14:paraId="51D7D28C"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客户服务电话：95188-8</w:t>
      </w:r>
    </w:p>
    <w:p w14:paraId="5FB52644"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网址：www.fund123.cn</w:t>
      </w:r>
    </w:p>
    <w:p w14:paraId="4389DDA3" w14:textId="58A0CE0A"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 xml:space="preserve">（2）上海天天基金销售有限公司 </w:t>
      </w:r>
    </w:p>
    <w:p w14:paraId="1B089560"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住所：上海市徐汇区龙田路190号2号楼2层</w:t>
      </w:r>
    </w:p>
    <w:p w14:paraId="33575194"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办公地址：上海市徐汇区宛平南路88号金座东方财富大厦</w:t>
      </w:r>
    </w:p>
    <w:p w14:paraId="37E15C1B"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法定代表人：其实</w:t>
      </w:r>
    </w:p>
    <w:p w14:paraId="5B973A45"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电话：（021）54509998</w:t>
      </w:r>
    </w:p>
    <w:p w14:paraId="53A34753"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传真：（021）64385308</w:t>
      </w:r>
    </w:p>
    <w:p w14:paraId="39F42853"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联系人：屠彦洋</w:t>
      </w:r>
    </w:p>
    <w:p w14:paraId="66BBC494"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客户服务电话：400-1818-188</w:t>
      </w:r>
    </w:p>
    <w:p w14:paraId="4C714618"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网址：www.1234567.com.cn</w:t>
      </w:r>
    </w:p>
    <w:p w14:paraId="309AE8E0" w14:textId="23873361"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（3）腾安基金销售（深圳）有限公司</w:t>
      </w:r>
    </w:p>
    <w:p w14:paraId="41E4B144"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住所：深圳市前海深港合作区前湾一路1号A栋201室（入驻深圳市前海商务秘</w:t>
      </w:r>
      <w:r w:rsidRPr="004C10C5">
        <w:rPr>
          <w:rFonts w:ascii="宋体" w:hAnsi="宋体" w:hint="eastAsia"/>
          <w:sz w:val="24"/>
        </w:rPr>
        <w:lastRenderedPageBreak/>
        <w:t>书有限公司）</w:t>
      </w:r>
    </w:p>
    <w:p w14:paraId="7D715A03"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办公地址：深圳市南山区海天二路33号腾讯滨海大厦</w:t>
      </w:r>
    </w:p>
    <w:p w14:paraId="00971CE8"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法定代表人：刘明军</w:t>
      </w:r>
    </w:p>
    <w:p w14:paraId="403C8E7A"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电话：95017（拨通后转1转8）</w:t>
      </w:r>
    </w:p>
    <w:p w14:paraId="6E32BFE0"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联系人：谭广峰</w:t>
      </w:r>
    </w:p>
    <w:p w14:paraId="2BF7ECB6"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客户服务电话：95017（拨通后转1转8）</w:t>
      </w:r>
    </w:p>
    <w:p w14:paraId="6140D12A"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网址：http://www.tenganxinxi.com/</w:t>
      </w:r>
    </w:p>
    <w:p w14:paraId="0EA52A4D" w14:textId="2B6C1BE1"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 xml:space="preserve">（4）京东肯特瑞基金销售有限公司 </w:t>
      </w:r>
    </w:p>
    <w:p w14:paraId="715490FB" w14:textId="0D0BD795"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住所：北京市海淀区西三旗建材城中路12号17号平房157</w:t>
      </w:r>
    </w:p>
    <w:p w14:paraId="544AD230"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办公地址：北京市通州区亦庄经济技术开发区科创十一街18号院京东集团总部A座17层</w:t>
      </w:r>
    </w:p>
    <w:p w14:paraId="556E4F95"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法定代表人：王苏宁</w:t>
      </w:r>
    </w:p>
    <w:p w14:paraId="03EFE04C"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电话：95118</w:t>
      </w:r>
    </w:p>
    <w:p w14:paraId="247C7CEE"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传真：010-89189566</w:t>
      </w:r>
    </w:p>
    <w:p w14:paraId="56D18E93"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联系人：李丹</w:t>
      </w:r>
    </w:p>
    <w:p w14:paraId="40578E9F"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客服热线：95118</w:t>
      </w:r>
    </w:p>
    <w:p w14:paraId="7A072ED8"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网址：kenterui.jd.com</w:t>
      </w:r>
    </w:p>
    <w:p w14:paraId="009D0072" w14:textId="64C829B9"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（5）珠海盈米基金销售有限公司</w:t>
      </w:r>
    </w:p>
    <w:p w14:paraId="2226BF27"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住所：珠海市横琴新区宝华路6号105室-3491</w:t>
      </w:r>
    </w:p>
    <w:p w14:paraId="437FF550"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办公地址：广州市海珠区琶洲大道东1号保利国际广场南塔12楼B1201-1203</w:t>
      </w:r>
    </w:p>
    <w:p w14:paraId="1EF2E19B"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法定代表人：肖雯</w:t>
      </w:r>
    </w:p>
    <w:p w14:paraId="66C5C9E1"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电话：（020）89629099</w:t>
      </w:r>
    </w:p>
    <w:p w14:paraId="4CDE9D05"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传真：（020）89629011</w:t>
      </w:r>
    </w:p>
    <w:p w14:paraId="133AB252"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联系人：黄敏嫦</w:t>
      </w:r>
    </w:p>
    <w:p w14:paraId="4DD79DAC" w14:textId="77777777" w:rsidR="004C10C5" w:rsidRP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客户服务电话：（020）89629066</w:t>
      </w:r>
    </w:p>
    <w:p w14:paraId="19BEB740" w14:textId="720D09FA" w:rsidR="004C10C5" w:rsidRDefault="004C10C5" w:rsidP="004C10C5">
      <w:pPr>
        <w:autoSpaceDE w:val="0"/>
        <w:autoSpaceDN w:val="0"/>
        <w:adjustRightInd w:val="0"/>
        <w:snapToGrid w:val="0"/>
        <w:spacing w:line="360" w:lineRule="auto"/>
        <w:ind w:firstLineChars="200" w:firstLine="480"/>
        <w:jc w:val="left"/>
        <w:rPr>
          <w:rFonts w:ascii="宋体" w:hAnsi="宋体"/>
          <w:sz w:val="24"/>
        </w:rPr>
      </w:pPr>
      <w:r w:rsidRPr="004C10C5">
        <w:rPr>
          <w:rFonts w:ascii="宋体" w:hAnsi="宋体" w:hint="eastAsia"/>
          <w:sz w:val="24"/>
        </w:rPr>
        <w:t>网址：</w:t>
      </w:r>
      <w:hyperlink r:id="rId13" w:history="1">
        <w:r w:rsidRPr="00CC63E6">
          <w:rPr>
            <w:rStyle w:val="af1"/>
            <w:rFonts w:ascii="宋体" w:hAnsi="宋体" w:hint="eastAsia"/>
            <w:sz w:val="24"/>
          </w:rPr>
          <w:t>www.yingmi.com</w:t>
        </w:r>
      </w:hyperlink>
    </w:p>
    <w:p w14:paraId="01D40A60" w14:textId="51EA0495" w:rsidR="00AE2A54" w:rsidRDefault="002F705F" w:rsidP="004C10C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14:paraId="3E9EB9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14:paraId="6A32C4F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14:paraId="38BA61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住所：北京市西城区太平桥大街17号</w:t>
      </w:r>
    </w:p>
    <w:p w14:paraId="61350F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14:paraId="4BAF43A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14:paraId="1DC3C6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14:paraId="7AA4B1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14:paraId="1B27BD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14:paraId="5E92F4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14:paraId="46B5B0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14:paraId="435390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14:paraId="77DC9B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14:paraId="653B06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14:paraId="24627F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14:paraId="71B3C6E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14:paraId="18E1F1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14:paraId="2EFF1D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14:paraId="0C2269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14:paraId="1F3797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14:paraId="32CEC2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14:paraId="41025F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14:paraId="13296B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14:paraId="371525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14:paraId="4152C5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14:paraId="1F7811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14:paraId="5C3D125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14:paraId="2DF64DA2"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D0CFD24" w14:textId="3F41CC50" w:rsidR="00AE2A54" w:rsidRDefault="002F705F">
      <w:pPr>
        <w:pStyle w:val="1"/>
        <w:snapToGrid w:val="0"/>
        <w:spacing w:beforeLines="0" w:before="240" w:after="240"/>
        <w:rPr>
          <w:rFonts w:ascii="宋体" w:hAnsi="宋体"/>
          <w:szCs w:val="30"/>
        </w:rPr>
      </w:pPr>
      <w:bookmarkStart w:id="26" w:name="_Toc220317715"/>
      <w:r>
        <w:rPr>
          <w:rFonts w:ascii="Times New Roman" w:hAnsi="Times New Roman"/>
          <w:sz w:val="30"/>
        </w:rPr>
        <w:t>二十</w:t>
      </w:r>
      <w:r>
        <w:rPr>
          <w:rFonts w:ascii="Times New Roman" w:hAnsi="Times New Roman" w:hint="eastAsia"/>
          <w:sz w:val="30"/>
        </w:rPr>
        <w:t>二</w:t>
      </w:r>
      <w:r>
        <w:rPr>
          <w:rFonts w:ascii="Times New Roman" w:hAnsi="Times New Roman"/>
          <w:sz w:val="30"/>
        </w:rPr>
        <w:t>、基金合同内容摘要</w:t>
      </w:r>
      <w:bookmarkEnd w:id="26"/>
    </w:p>
    <w:p w14:paraId="1258CD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14:paraId="73D0A6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w:t>
      </w:r>
    </w:p>
    <w:p w14:paraId="269BF7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14:paraId="487726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14:paraId="1E131F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14:paraId="5EA960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14:paraId="22D4E4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14:paraId="5C4255B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（6）根据有关规定，选择、更换或撤销境外投资顾问、证券经纪代理商以及证券登记机构，并对其行为进行必要的监督；</w:t>
      </w:r>
    </w:p>
    <w:p w14:paraId="77DEE5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14:paraId="3D26D7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（8）在基金合同约定的范围内，拒绝或暂停受理申购和赎回申请；</w:t>
      </w:r>
    </w:p>
    <w:p w14:paraId="1620DB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（9）在法律法规允许的前提下，为基金的利益依法为基金进行融资、融券；</w:t>
      </w:r>
    </w:p>
    <w:p w14:paraId="059C6F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（10）自行担任或选择、更换登记结算机构，获取基金份额持有人名册，并对登记结算机构的代理行为进行必要的监督和检查；</w:t>
      </w:r>
    </w:p>
    <w:p w14:paraId="5D5D5F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（11）选择、更换代销机构，并依据销售代理协议和有关法律法规，对其行为进行必要的监督和检查；</w:t>
      </w:r>
    </w:p>
    <w:p w14:paraId="6221BA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（12）选择、更换律师、审计师、证券经纪商或其他为基金提供服务的外部机构；</w:t>
      </w:r>
    </w:p>
    <w:p w14:paraId="43080F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（13）在基金托管人更换时，提名新的基金托管人；</w:t>
      </w:r>
    </w:p>
    <w:p w14:paraId="275246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（14）依法召集基金份额持有人大会；</w:t>
      </w:r>
    </w:p>
    <w:p w14:paraId="1A5AC9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（15）法律法规和基金合同规定的其他权利。</w:t>
      </w:r>
    </w:p>
    <w:p w14:paraId="27F699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2、基金管理人的义务</w:t>
      </w:r>
    </w:p>
    <w:p w14:paraId="3A6FA0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677CB6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14:paraId="3679E9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（3）自基金合同生效之日起，以诚实信用、勤勉尽责的原则管理和运用基金财产，基于谨慎的原则，控制基金资产的流动性风险；</w:t>
      </w:r>
    </w:p>
    <w:p w14:paraId="7E08C3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312F262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（5）确保管理人或其委托的境外投资顾问依照相关法规或协议规定发送的交易数据真实、准确、完整，因数据错误造成基金资产或基金托管人的财产损失，由基金管理人承担赔偿责任；</w:t>
      </w:r>
    </w:p>
    <w:p w14:paraId="78D6B5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（6）委托境外投资顾问进行境外证券投资的，境外投资顾问应符合《试行办法》规定的有关条件；</w:t>
      </w:r>
    </w:p>
    <w:p w14:paraId="5FFFBB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（7）承担受信责任，在挑选、委托投资顾问过程中，履行尽职调查义务；</w:t>
      </w:r>
    </w:p>
    <w:p w14:paraId="70D5E3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严格遵守境内有关法律法规、基金合同的规定，始终将基金持有人的利益置于首位，以合理的依据提出投资建议，寻求基金的最佳交易执行，公平客观对待所有客户，始终按照基金的投资目标、策略、政策、指引和限制实施投资决定，充分披露一切涉及利益冲突的重要事实，尊重客户信息的机密性。</w:t>
      </w:r>
    </w:p>
    <w:p w14:paraId="5893C7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（9）建立健全内部风险控制、监察与稽核、财务管理及人事管理等制度，保证所管理的基金财产和管理人的财产相互独立，对所管理的不同基金分别管理，分别记账，进行证券投资；</w:t>
      </w:r>
    </w:p>
    <w:p w14:paraId="386377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投资于中国证监会规定的金融产品或工具；严格按照《基金法》、《试行办法》、《通知》、基金合同及有关法律法规有关投资范围和比例限制的规定，确定清晰、可执行的投资范围和投资比例，并在规定时间内，对超范围、超比例的投资进行调整；</w:t>
      </w:r>
    </w:p>
    <w:p w14:paraId="5AEA81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（11）确保基金管理人依照相关法规或协议规定向基金托管人发送的基金认购、申购和赎回数据的真实、准确和完整；</w:t>
      </w:r>
    </w:p>
    <w:p w14:paraId="7172DA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（12）委托境外证券服务机构代理买卖证券的，应当严格履行受信责任，并按</w:t>
      </w:r>
      <w:r>
        <w:rPr>
          <w:rFonts w:ascii="宋体" w:hAnsi="宋体"/>
          <w:sz w:val="24"/>
        </w:rPr>
        <w:lastRenderedPageBreak/>
        <w:t>照有关规定对投资交易的流程、信息披露、记录保存进行管理；</w:t>
      </w:r>
    </w:p>
    <w:p w14:paraId="5E43C5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（13）与境外证券服务机构之间的证券交易和研究服务安排，应当符合相关法律法规的规定；</w:t>
      </w:r>
    </w:p>
    <w:p w14:paraId="690632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（14）进行境外证券投资，应当遵守当地监管机构、交易所的有关法律法规规定；</w:t>
      </w:r>
    </w:p>
    <w:p w14:paraId="2DD35E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（15）如需在托管人选择的机构之外保管、登记基金财产，应严格审查，保证基金财产的安全，以及相关资产收益准确、按时归入基金财产；</w:t>
      </w:r>
    </w:p>
    <w:p w14:paraId="20ECC3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（16）应当按照全球投资表现标准(GIPS)选取投资业绩标准；</w:t>
      </w:r>
    </w:p>
    <w:p w14:paraId="360FEC3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（17）除依据《基金法》、《试行办法》、基金合同及其他有关规定外，不得为自己及任何第三人谋取利益，不得委托第三人运作基金财产；</w:t>
      </w:r>
    </w:p>
    <w:p w14:paraId="1BE6494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（18）依法接受基金托管人的监督；</w:t>
      </w:r>
    </w:p>
    <w:p w14:paraId="6C9726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（19）计算并公告基金净值信息，确定基金份额申购、赎回价格；</w:t>
      </w:r>
    </w:p>
    <w:p w14:paraId="7DA07B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（20）采取适当合理的措施使计算基金份额认购、申购、赎回和注销价格的方法符合基金合同等法律文件的规定；</w:t>
      </w:r>
    </w:p>
    <w:p w14:paraId="10A7AC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（21）按规定受理申购和赎回申请，严格控制基金投资产品的流动性风险，确保及时、足额支付赎回款项；</w:t>
      </w:r>
    </w:p>
    <w:p w14:paraId="0B99BDA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（22）进行基金会计核算并编制基金财务会计报告；</w:t>
      </w:r>
    </w:p>
    <w:p w14:paraId="240E5D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（23）编制季度报告、中期报告和年度报告；</w:t>
      </w:r>
    </w:p>
    <w:p w14:paraId="562504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（24）严格按照《基金法》、《试行办法》、《信息披露办法》、基金合同及其他有关规定，履行信息披露及报告义务；</w:t>
      </w:r>
    </w:p>
    <w:p w14:paraId="6518AA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（25）保守基金商业秘密，不得泄露基金投资计划、投资意向等，除《基金法》、《试行办法》、《信息披露办法》和基金合同及其他有关规定另有规定外，在基金信息公开披露前应予保密，不得向他人泄露；</w:t>
      </w:r>
    </w:p>
    <w:p w14:paraId="7E56C8C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（26）按照基金合同的约定确定基金收益分配方案，及时向基金份额持有人分配收益；</w:t>
      </w:r>
    </w:p>
    <w:p w14:paraId="6260DE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（27）依据《基金法》、《运作办法》、基金合同及其他有关规定召集基金份额持有人大会或配合基金托管人、基金份额持有人依法召集基金份额持有人大会；</w:t>
      </w:r>
    </w:p>
    <w:p w14:paraId="394D18A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（28）保存基金财产管理业务活动的记录、账册、报表和其他相关资料；</w:t>
      </w:r>
    </w:p>
    <w:p w14:paraId="5DB88AE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（29）以基金管理人名义，代表基金份额持有人利益行使诉讼权利或者实施其他法律行为；</w:t>
      </w:r>
    </w:p>
    <w:p w14:paraId="0BB582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（30）组织并参加基金财产清算小组，参与基金财产的保管、清理、估价、变现和分配；</w:t>
      </w:r>
    </w:p>
    <w:p w14:paraId="4D5D61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（31）授权投资顾问负责投资决策的，应当在协议中明确投资顾问由于本身差错、疏忽、未履行职责等原因而导致财产受损时应当承担相应责任。</w:t>
      </w:r>
    </w:p>
    <w:p w14:paraId="126846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因违反基金合同导致基金财产的损失或损害基金份额持有人合法权益，应当承担赔偿责任，其赔偿责任不因其退任而免除；</w:t>
      </w:r>
    </w:p>
    <w:p w14:paraId="4555AD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（33）基金托管人违反基金合同造成基金财产损失时，应为基金份额持有人利益向基金托管人追偿；</w:t>
      </w:r>
    </w:p>
    <w:p w14:paraId="02EF17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（34）按规定向基金托管人提供基金份额持有人名册资料；</w:t>
      </w:r>
    </w:p>
    <w:p w14:paraId="296CC0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（35）面临解散、依法被撤销或者被依法宣告破产时，及时报告中国证监会并通知基金托管人；</w:t>
      </w:r>
    </w:p>
    <w:p w14:paraId="4C25FC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（36）执行生效的基金份额持有人大会决议；</w:t>
      </w:r>
    </w:p>
    <w:p w14:paraId="684D59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（37）不从事任何有损基金及其他基金当事人利益的活动；</w:t>
      </w:r>
    </w:p>
    <w:p w14:paraId="7A625A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（38）依照法律法规为基金的利益对被投资公司行使股东权利，为基金的利益行使因基金财产投资于证券所产生的权利，不谋求对上市公司的控股和直接管理；</w:t>
      </w:r>
    </w:p>
    <w:p w14:paraId="2A32F9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（39）法律法规、中国证监会和基金合同规定的其他义务。</w:t>
      </w:r>
    </w:p>
    <w:p w14:paraId="0098E7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3、基金托管人的权利</w:t>
      </w:r>
    </w:p>
    <w:p w14:paraId="0502803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依基金合同约定获得基金托管费以及法律法规规定或监管部门批准的其他收入；</w:t>
      </w:r>
    </w:p>
    <w:p w14:paraId="4BFC98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（2）选择、更换境外资产托管人负责境外资产托管业务；</w:t>
      </w:r>
    </w:p>
    <w:p w14:paraId="348328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w:t>
      </w:r>
    </w:p>
    <w:p w14:paraId="26B2A8E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（4）自本基金合同生效之日起，依法保管基金资产；</w:t>
      </w:r>
    </w:p>
    <w:p w14:paraId="2F066E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（5）在基金管理人更换时，提名新任基金管理人；</w:t>
      </w:r>
    </w:p>
    <w:p w14:paraId="24C805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14:paraId="287589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（7）依法召集基金份额持有人大会；</w:t>
      </w:r>
    </w:p>
    <w:p w14:paraId="4026EB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（8）按规定取得基金份额持有人名册资料；</w:t>
      </w:r>
    </w:p>
    <w:p w14:paraId="302753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14:paraId="6FC854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4、基金托管人的义务</w:t>
      </w:r>
    </w:p>
    <w:p w14:paraId="7353BE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（1）设立专门的基金托管部，具有符合要求的营业场所，配备足够的、合格的熟悉基金托管业务的专职人员，负责基金财产托管事宜；</w:t>
      </w:r>
    </w:p>
    <w:p w14:paraId="6EC07D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（2）对所托管的不同基金财产分别设置账户，确保基金财产的完整与独立；</w:t>
      </w:r>
    </w:p>
    <w:p w14:paraId="699131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（3）除依据《基金法》、《试行办法》、基金合同及其他有关规定外，不得为自己及任何第三人谋取利益；</w:t>
      </w:r>
    </w:p>
    <w:p w14:paraId="0236185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 xml:space="preserve">（4）保护持有人利益，按照规定对基金日常投资行为和资金汇出入情况实施监督，如发现投资指令或资金汇出入违法、违规，应当及时向中国证监会、国家外汇局报告； 　　</w:t>
      </w:r>
    </w:p>
    <w:p w14:paraId="704F71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（5）安全保护基金财产，准时将公司行为信息通知基金管理人，确保基金及时收取所有应得收入；</w:t>
      </w:r>
    </w:p>
    <w:p w14:paraId="32B4D8F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（6）确保基金按照有关法律法规和基金合同约定的投资目标和限制进行管理，按照规定监督基金管理人的投资运作；</w:t>
      </w:r>
    </w:p>
    <w:p w14:paraId="5EF32B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（7）按照有关法律法规和基金合同的约定执行基金管理人、境外投资顾问的指令，及时办理清算、交割事宜； 　　</w:t>
      </w:r>
    </w:p>
    <w:p w14:paraId="31DE95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确保基金的</w:t>
      </w:r>
      <w:r>
        <w:rPr>
          <w:rFonts w:ascii="宋体" w:hAnsi="宋体" w:hint="eastAsia"/>
          <w:sz w:val="24"/>
        </w:rPr>
        <w:t>各类基金</w:t>
      </w:r>
      <w:r>
        <w:rPr>
          <w:rFonts w:ascii="宋体" w:hAnsi="宋体"/>
          <w:sz w:val="24"/>
        </w:rPr>
        <w:t xml:space="preserve">份额净值按照有关法律法规和基金合同规定的方法进行计算； 　</w:t>
      </w:r>
    </w:p>
    <w:p w14:paraId="4329E93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（9）确保基金按照有关法律法规和基金合同的规定进行申购、认购、赎回等日常交易；</w:t>
      </w:r>
    </w:p>
    <w:p w14:paraId="39E551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（10）确保基金根据有关法律法规和基金合同确定并实施收益分配方案；</w:t>
      </w:r>
    </w:p>
    <w:p w14:paraId="2D6AF5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（11）按照有关法律法规和基金合同的规定，基金托管人对由基金托管人或其委托的境外资产托管人实际有效控制的证券承担安全保管责任； 　</w:t>
      </w:r>
    </w:p>
    <w:p w14:paraId="7B63412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（12）每月结束后7个工作日内，向中国证监会和国家外汇局报告基金管理人境外投资情况，并按相关规定进行国际收支申报； 　</w:t>
      </w:r>
    </w:p>
    <w:p w14:paraId="29C79D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（13）安全保管基金资产，开设或委托开设资金账户和证券账户；</w:t>
      </w:r>
    </w:p>
    <w:p w14:paraId="69ED8A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（14）保存基金管理人的资金汇出、汇入、兑换、收汇、付汇、资金往来、委托及成交记录等相关资料，其保存的时间应当不少于20年；</w:t>
      </w:r>
    </w:p>
    <w:p w14:paraId="58DB98F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（15）保管由基金管理人代表基金签订的与基金有关的重大合同及有关凭证；</w:t>
      </w:r>
    </w:p>
    <w:p w14:paraId="7B87749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（16）保守基金商业秘密，除《基金法》、《试行办法》、基金合同及其他有关规定另有规定外，在基金信息公开披露前应予保密，不得向他人泄露；</w:t>
      </w:r>
    </w:p>
    <w:p w14:paraId="1691E98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（17）对基金财务会计报告、季度报告、中期报告和年度报告出具意见，说明</w:t>
      </w:r>
      <w:r>
        <w:rPr>
          <w:rFonts w:ascii="宋体" w:hAnsi="宋体"/>
          <w:sz w:val="24"/>
        </w:rPr>
        <w:lastRenderedPageBreak/>
        <w:t>基金管理人在各重要方面的运作是否严格按照基金合同的规定进行；如果基金管理人有未执行基金合同规定的行为，还应当说明基金托管人是否采取了适当的措施；</w:t>
      </w:r>
    </w:p>
    <w:p w14:paraId="76B7C9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（18）保存基金托管业务活动的记录、账册、报表和其他相关资料；</w:t>
      </w:r>
    </w:p>
    <w:p w14:paraId="03BA83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（19）办理与基金托管业务活动有关的信息披露事项；</w:t>
      </w:r>
    </w:p>
    <w:p w14:paraId="255968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（20）复核、审查基金管理人计算的基金资产净值、</w:t>
      </w:r>
      <w:r>
        <w:rPr>
          <w:rFonts w:ascii="宋体" w:hAnsi="宋体" w:hint="eastAsia"/>
          <w:sz w:val="24"/>
        </w:rPr>
        <w:t>各类</w:t>
      </w:r>
      <w:r>
        <w:rPr>
          <w:rFonts w:ascii="宋体" w:hAnsi="宋体"/>
          <w:sz w:val="24"/>
        </w:rPr>
        <w:t>基金份额净值、基金份额申购、赎回价格；</w:t>
      </w:r>
    </w:p>
    <w:p w14:paraId="720022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（21）按规定制作相关账册并与基金管理人核对；</w:t>
      </w:r>
    </w:p>
    <w:p w14:paraId="0A2FFA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（22）依据基金管理人的指令或有关规定向基金份额持有人支付基金收益和赎回款项；</w:t>
      </w:r>
    </w:p>
    <w:p w14:paraId="6DA037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（23）按照规定召集基金份额持有人大会或配合基金份额持有人依法自行召集基金份额持有人大会；</w:t>
      </w:r>
    </w:p>
    <w:p w14:paraId="368B6E6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（24）因违反基金合同导致基金财产损失，应承担赔偿责任，其赔偿责任不因其退任而免除；</w:t>
      </w:r>
    </w:p>
    <w:p w14:paraId="1E1829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（25）选择的境外托管代理人，应符合《试行办法》第十九条的规定；</w:t>
      </w:r>
    </w:p>
    <w:p w14:paraId="1FF684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（26）对基金的境外财产，可授权境外资产托管人代为履行其承担的受托人职责；境外资产托管人在履行职责过程中，因本身过错、疏忽等原因而导致基金财产受损的，托管人应当承担相应责任；</w:t>
      </w:r>
    </w:p>
    <w:p w14:paraId="4F4B24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（27）基金管理人因违反基金合同造成基金财产损失时，应为基金向基金管理人追偿；</w:t>
      </w:r>
    </w:p>
    <w:p w14:paraId="10B5C15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（28）参加基金财产清算小组，参与基金财产的保管、清理、估价、变现和分配；</w:t>
      </w:r>
    </w:p>
    <w:p w14:paraId="27C6AE5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（29）面临解散、依法被撤销或者被依法宣告破产时，及时报告中国证监会和银行业监督管理机构，并通知基金管理人；</w:t>
      </w:r>
    </w:p>
    <w:p w14:paraId="0C1A74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（30）执行生效的基金份额持有人大会决议；</w:t>
      </w:r>
    </w:p>
    <w:p w14:paraId="6E00B8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（31）不从事任何有损基金及其他基金当事人利益的活动；</w:t>
      </w:r>
    </w:p>
    <w:p w14:paraId="2CA7EF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（32）保存与基金托管人职责相关的基金份额持有人名册；</w:t>
      </w:r>
    </w:p>
    <w:p w14:paraId="419F7D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（33）法律法规、中国证监会和国家外汇局根据审慎监管原则规定的其他职责以及基金合同规定的其他义务。</w:t>
      </w:r>
    </w:p>
    <w:p w14:paraId="1E98A5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因基金管理人原因造成基金托管人无法正常履行上述义务且基金托管人无任何过错的，由基金管理人承担责任，并对造成的基金财产损失承担相关赔偿责任。</w:t>
      </w:r>
    </w:p>
    <w:p w14:paraId="61020A1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5、基金份额持有人的权利</w:t>
      </w:r>
    </w:p>
    <w:p w14:paraId="264A11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14:paraId="027C69B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14:paraId="79EFD3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14:paraId="0089A0D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14:paraId="3AED2D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14:paraId="37E831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14:paraId="61AFFA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14:paraId="3737393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14:paraId="5C9AB96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14:paraId="36C7E7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同一类别的</w:t>
      </w:r>
      <w:r>
        <w:rPr>
          <w:rFonts w:ascii="宋体" w:hAnsi="宋体"/>
          <w:sz w:val="24"/>
        </w:rPr>
        <w:t>每份基金份额具有同等的合法权益。</w:t>
      </w:r>
    </w:p>
    <w:p w14:paraId="2E0746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6、基金份额持有人的义务</w:t>
      </w:r>
    </w:p>
    <w:p w14:paraId="6818272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14:paraId="01A41F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（2）遵守基金管理人、基金托管人、代销机构和登记结算机构关于开放式基金业务的相关规则及规定；</w:t>
      </w:r>
    </w:p>
    <w:p w14:paraId="105C1A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（3）交纳基金认购、申购款项及法律法规和基金合同所规定的费用；</w:t>
      </w:r>
    </w:p>
    <w:p w14:paraId="387740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在持有的基金份额范围内，承担基金亏损或者基金合同终止的有限责任；</w:t>
      </w:r>
    </w:p>
    <w:p w14:paraId="51FBE10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（5）不从事任何有损基金及其他基金份额持有人合法权益的活动；</w:t>
      </w:r>
    </w:p>
    <w:p w14:paraId="46F583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（6）执行生效的基金份额持有人大会决议；</w:t>
      </w:r>
    </w:p>
    <w:p w14:paraId="53B116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（7）返还在基金交易过程中因任何原因，自基金管理人及基金管理人的代理人、基金托管人、代销机构、其他基金份额持有人处获得的不当得利；</w:t>
      </w:r>
    </w:p>
    <w:p w14:paraId="4BAEE2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（8）法律法规和基金合同规定的其他义务。</w:t>
      </w:r>
    </w:p>
    <w:p w14:paraId="0F3229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14:paraId="12795C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若基金合同当事人上述各项权利义务与不时修订或新颁布实施的法律法规或中国证监会规定冲突的，以修订后或届时有效的法律法规或中国证监会规定为准。</w:t>
      </w:r>
    </w:p>
    <w:p w14:paraId="54D1527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14:paraId="7D5529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1、基金份额持有人大会由基金份额持有人组成。基金份额持有人持有的每一基金份额具有同等的投票权。</w:t>
      </w:r>
    </w:p>
    <w:p w14:paraId="473421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14:paraId="3605AF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14:paraId="1330628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(1)提前终止基金合同；</w:t>
      </w:r>
    </w:p>
    <w:p w14:paraId="423F91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14:paraId="1BB452C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14:paraId="6FD7EF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14:paraId="49FCF11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14:paraId="07B908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14:paraId="608B8C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w:t>
      </w:r>
      <w:r>
        <w:rPr>
          <w:rFonts w:ascii="宋体" w:hAnsi="宋体" w:hint="eastAsia"/>
          <w:sz w:val="24"/>
        </w:rPr>
        <w:t>或提高销售服务费率</w:t>
      </w:r>
      <w:r>
        <w:rPr>
          <w:rFonts w:ascii="宋体" w:hAnsi="宋体"/>
          <w:sz w:val="24"/>
        </w:rPr>
        <w:t>，但法律法规要求提高该等报酬标准的除外；</w:t>
      </w:r>
    </w:p>
    <w:p w14:paraId="64A86F8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14:paraId="2CCB55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14:paraId="0F8B9B3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14:paraId="79CF24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14:paraId="1AC2301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r>
        <w:rPr>
          <w:rFonts w:ascii="宋体" w:hAnsi="宋体" w:hint="eastAsia"/>
          <w:sz w:val="24"/>
        </w:rPr>
        <w:t>、销售服务费</w:t>
      </w:r>
      <w:r>
        <w:rPr>
          <w:rFonts w:ascii="宋体" w:hAnsi="宋体"/>
          <w:sz w:val="24"/>
        </w:rPr>
        <w:t>和其他应由基金承担的费用；</w:t>
      </w:r>
    </w:p>
    <w:p w14:paraId="26BCE2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14:paraId="37505F9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（3）</w:t>
      </w:r>
      <w:r>
        <w:rPr>
          <w:rFonts w:ascii="宋体" w:hAnsi="宋体" w:hint="eastAsia"/>
          <w:sz w:val="24"/>
        </w:rPr>
        <w:t>调整基金份额类别设置、对基金份额分类办法及规则进行调整；</w:t>
      </w:r>
    </w:p>
    <w:p w14:paraId="216FD0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（4）</w:t>
      </w:r>
      <w:r>
        <w:rPr>
          <w:rFonts w:ascii="宋体" w:hAnsi="宋体"/>
          <w:sz w:val="24"/>
        </w:rPr>
        <w:t>经中国证监会允许，基金推出新业务或服务；</w:t>
      </w:r>
    </w:p>
    <w:p w14:paraId="599C3573" w14:textId="6EBED0E2"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（5）经中国证监会允许，基金管理人、登记结算机构、代销机构在法律法规规定的范围内调整有关基金认购、申购、赎回、转换、非交易过户、转托管等业务的规则；</w:t>
      </w:r>
    </w:p>
    <w:p w14:paraId="58BB51AB" w14:textId="29606F0E"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（6）在不违反法律法规规定的情况下，接受其它币种的申购、赎回；</w:t>
      </w:r>
    </w:p>
    <w:p w14:paraId="2539059C" w14:textId="739136C9"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（7）因相应的法律法规发生变动必须对基金合同进行修改；</w:t>
      </w:r>
    </w:p>
    <w:p w14:paraId="1798E826" w14:textId="24EFC0E5"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（8）对基金合同的修改不涉及本基金合同当事人权利义务关系发生变化；</w:t>
      </w:r>
    </w:p>
    <w:p w14:paraId="600EAF4D" w14:textId="1CC7DF0B"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（9）基金合同的修改对基金份额持有人利益无实质性不利影响；</w:t>
      </w:r>
    </w:p>
    <w:p w14:paraId="2E681156" w14:textId="3AC47845"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（10）按照法律法规或本基金合同规定不需召开基金份额持有人大会的其他情形。</w:t>
      </w:r>
    </w:p>
    <w:p w14:paraId="696DED7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14:paraId="393B53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14:paraId="33FE75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14:paraId="43EC4F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14:paraId="5BA4B87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14:paraId="5944D93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14:paraId="414EBB3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14:paraId="047241A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14:paraId="2E4E18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14:paraId="05100A5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(2)会议拟审议的主要事项；</w:t>
      </w:r>
    </w:p>
    <w:p w14:paraId="5368E1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14:paraId="79A872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14:paraId="4E43B2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14:paraId="161B5BC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(6)代理投票的授权委托书的内容要求、送达时间和地点；</w:t>
      </w:r>
    </w:p>
    <w:p w14:paraId="329CE9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14:paraId="48B728F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14:paraId="35AB9EE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14:paraId="13FB60C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14:paraId="2DBC84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14:paraId="3441F2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14:paraId="61038E2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14:paraId="607224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14:paraId="15F2C9A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14:paraId="1E2F4E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14:paraId="17E588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14:paraId="5BB5A4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4)会议的召开方式由召集人确定，但决定转换基金运作方式、基金管理人更换或基金托管人更换、提前终止基金合同的事宜必须以现场开会方式召开基金份额持有人大会。</w:t>
      </w:r>
    </w:p>
    <w:p w14:paraId="627A83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14:paraId="111077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14:paraId="3FB851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在同时符合以下条件时，现场会议方可举行：</w:t>
      </w:r>
    </w:p>
    <w:p w14:paraId="1D0F6A7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14:paraId="7375254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14:paraId="70234B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14:paraId="151D67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14:paraId="242225B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14:paraId="4D0DA5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14:paraId="1F9B14D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14:paraId="1B7BD1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14:paraId="7832408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14:paraId="3AE342E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如果开会条件达不到上述的条件，则召集人可另行确定并公告重新表决的时间，且确定有权出席会议的基金份额持有人资格的权益登记日应保持不变。</w:t>
      </w:r>
    </w:p>
    <w:p w14:paraId="3B8B78E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14:paraId="70AA2AF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14:paraId="4B3EC8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14:paraId="42934C9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14:paraId="27EDB3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w:t>
      </w:r>
      <w:r>
        <w:rPr>
          <w:rFonts w:ascii="宋体" w:hAnsi="宋体"/>
          <w:sz w:val="24"/>
        </w:rPr>
        <w:lastRenderedPageBreak/>
        <w:t>审核：</w:t>
      </w:r>
    </w:p>
    <w:p w14:paraId="651A06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14:paraId="328832D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14:paraId="2E1381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14:paraId="3D60CC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14:paraId="458AF6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14:paraId="7F13D3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14:paraId="36B502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14:paraId="592B3B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14:paraId="6A8772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14:paraId="693C62A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14:paraId="4CA0C7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14:paraId="4F1DF3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14:paraId="4B0D31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14:paraId="5438FC8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14:paraId="293D29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14:paraId="2A78837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14:paraId="6C596E8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14:paraId="3DF3527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14:paraId="3AAF9C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提前终止基金合同必须以特别决议通过方为有效。</w:t>
      </w:r>
    </w:p>
    <w:p w14:paraId="7E113C2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14:paraId="763E22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14:paraId="48BA88B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14:paraId="371C5A8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14:paraId="55C8E8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14:paraId="17837E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14:paraId="2A85A52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w:t>
      </w:r>
      <w:r>
        <w:rPr>
          <w:rFonts w:ascii="宋体" w:hAnsi="宋体"/>
          <w:sz w:val="24"/>
        </w:rPr>
        <w:lastRenderedPageBreak/>
        <w:t>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14:paraId="641DE3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14:paraId="69B125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14:paraId="4C08913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14:paraId="7FB709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14:paraId="2BF161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14:paraId="66329F4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14:paraId="3F1578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14:paraId="35BAD82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14:paraId="5C040E9D"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10、</w:t>
      </w:r>
      <w:r>
        <w:rPr>
          <w:rFonts w:ascii="宋体" w:hAnsi="宋体" w:hint="eastAsia"/>
          <w:sz w:val="24"/>
        </w:rPr>
        <w:t>实施侧袋机制期间基金份额持有人大会的特殊约定</w:t>
      </w:r>
    </w:p>
    <w:p w14:paraId="22B175D4"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lastRenderedPageBreak/>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0D0202DC"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（1）基金份额持有人行使提议权、召集权、提名权所需单独或合计代表相关基金份额10%以上（含10%）；</w:t>
      </w:r>
    </w:p>
    <w:p w14:paraId="2134784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（2）现场开会的到会者在权益登记日代表的基金份额不少于本基金在权益登记日相关基金份额的二分之一（含二分之一）；</w:t>
      </w:r>
    </w:p>
    <w:p w14:paraId="74F72B22"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（3）通讯开会的直接出具书面表决意见或授权他人代表出具书面表决意见的基金份额持有人所持有的基金份额不小于在权益登记日相关基金份额的二分之一（含二分之一）；</w:t>
      </w:r>
    </w:p>
    <w:p w14:paraId="493EB468"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59BD9C5"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（5）现场开会由出席大会的基金份额持有人和代理人所持表决权的50%以上（含50%）选举产生一名基金份额持有人或代理人作为该次基金份额持有人大会的主持人；</w:t>
      </w:r>
    </w:p>
    <w:p w14:paraId="46FE01D4"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（6）一般决议须经参加大会的基金份额持有人或其代理人所持表决权的二分之一以上（含二分之一）通过；</w:t>
      </w:r>
    </w:p>
    <w:p w14:paraId="199902C0"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（7）特别决议应当经参加大会的基金份额持有人或其代理人所持表决权的三分之二以上（含三分之二）通过。</w:t>
      </w:r>
    </w:p>
    <w:p w14:paraId="1E0B4656"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同一主侧袋账户内的每份基金份额具有平等的表决权。</w:t>
      </w:r>
    </w:p>
    <w:p w14:paraId="319608C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1</w:t>
      </w:r>
      <w:r>
        <w:rPr>
          <w:rFonts w:ascii="宋体" w:hAnsi="宋体"/>
          <w:sz w:val="24"/>
        </w:rPr>
        <w:t>1</w:t>
      </w:r>
      <w:r>
        <w:rPr>
          <w:rFonts w:ascii="宋体" w:hAnsi="宋体" w:hint="eastAsia"/>
          <w:sz w:val="24"/>
        </w:rPr>
        <w:t>、</w:t>
      </w:r>
      <w:r>
        <w:rPr>
          <w:rFonts w:ascii="宋体" w:hAnsi="宋体"/>
          <w:sz w:val="24"/>
        </w:rPr>
        <w:t>法律法规或监管部门对基金份额持有人大会另有规定的，从其规定。</w:t>
      </w:r>
    </w:p>
    <w:p w14:paraId="63DB118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14:paraId="663C6F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14:paraId="378BFE2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14:paraId="10A19E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14:paraId="2357904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2）变更基金类别；</w:t>
      </w:r>
    </w:p>
    <w:p w14:paraId="714786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w:t>
      </w:r>
    </w:p>
    <w:p w14:paraId="6001D25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14:paraId="40EF75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14:paraId="3D76C3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w:t>
      </w:r>
      <w:r>
        <w:rPr>
          <w:rFonts w:ascii="宋体" w:hAnsi="宋体" w:hint="eastAsia"/>
          <w:sz w:val="24"/>
        </w:rPr>
        <w:t>或提高销售服务费率</w:t>
      </w:r>
      <w:r>
        <w:rPr>
          <w:rFonts w:ascii="宋体" w:hAnsi="宋体"/>
          <w:sz w:val="24"/>
        </w:rPr>
        <w:t>。但根据适用的相关规定提高该等报酬标准的除外；</w:t>
      </w:r>
    </w:p>
    <w:p w14:paraId="10477C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14:paraId="217CF17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8）对基金份额持有人的权利和义务有重大影响而需要变更本基金合同的其他事项；</w:t>
      </w:r>
    </w:p>
    <w:p w14:paraId="5148E9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14:paraId="751FA5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14:paraId="5A25ACA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r>
        <w:rPr>
          <w:rFonts w:ascii="宋体" w:hAnsi="宋体" w:hint="eastAsia"/>
          <w:sz w:val="24"/>
        </w:rPr>
        <w:t>、销售服务费</w:t>
      </w:r>
      <w:r>
        <w:rPr>
          <w:rFonts w:ascii="宋体" w:hAnsi="宋体"/>
          <w:sz w:val="24"/>
        </w:rPr>
        <w:t>和其他应由基金承担的费用；</w:t>
      </w:r>
    </w:p>
    <w:p w14:paraId="725D8C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14:paraId="09D126E9"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sz w:val="24"/>
        </w:rPr>
        <w:t>3）</w:t>
      </w:r>
      <w:r>
        <w:rPr>
          <w:rFonts w:ascii="宋体" w:hAnsi="宋体" w:hint="eastAsia"/>
          <w:sz w:val="24"/>
        </w:rPr>
        <w:t>调整基金份额类别设置、对基金份额分类办法及规则进行调整；</w:t>
      </w:r>
    </w:p>
    <w:p w14:paraId="37CE67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w:t>
      </w:r>
      <w:r>
        <w:rPr>
          <w:rFonts w:ascii="宋体" w:hAnsi="宋体" w:hint="eastAsia"/>
          <w:sz w:val="24"/>
        </w:rPr>
        <w:t>）</w:t>
      </w:r>
      <w:r>
        <w:rPr>
          <w:rFonts w:ascii="宋体" w:hAnsi="宋体"/>
          <w:sz w:val="24"/>
        </w:rPr>
        <w:t>因相应的法律法规发生变动必须对基金合同进行修改；</w:t>
      </w:r>
    </w:p>
    <w:p w14:paraId="046A3AB2" w14:textId="1E46CFA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5）对基金合同的修改不涉及本基金合同当事人权利义务关系发生变化；</w:t>
      </w:r>
    </w:p>
    <w:p w14:paraId="7A5A82C5" w14:textId="1D98F251"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14:paraId="7D57C409" w14:textId="0F94CD31"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14:paraId="2B0892D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14:paraId="02F723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14:paraId="5E159DE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14:paraId="7E567F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14:paraId="576477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14:paraId="443FEB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w:t>
      </w:r>
      <w:r>
        <w:rPr>
          <w:rFonts w:ascii="宋体" w:hAnsi="宋体"/>
          <w:sz w:val="24"/>
        </w:rPr>
        <w:lastRenderedPageBreak/>
        <w:t>务，而在6个月内无其他适当的托管机构承接其原有权利义务；</w:t>
      </w:r>
    </w:p>
    <w:p w14:paraId="632853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14:paraId="1D141A1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14:paraId="2739BA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14:paraId="6CAFBC6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14:paraId="2CDCB3B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14:paraId="29E7086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14:paraId="1F398B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14:paraId="7DA740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14:paraId="146F93A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14:paraId="178071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14:paraId="35824F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14:paraId="6343A72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14:paraId="357061E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5)聘请律师事务所出具法律意见书；</w:t>
      </w:r>
    </w:p>
    <w:p w14:paraId="3367BEF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14:paraId="2E16F0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14:paraId="410EF9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14:paraId="7692BA5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14:paraId="760284C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14:paraId="59AC878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14:paraId="4AD934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14:paraId="09C0954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14:paraId="3C2C93A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14:paraId="152917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14:paraId="647C4A8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3)清偿基金债务；</w:t>
      </w:r>
    </w:p>
    <w:p w14:paraId="0F445BD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14:paraId="4C82FF9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14:paraId="5893690B" w14:textId="77777777" w:rsidR="00AE2A54" w:rsidRDefault="002F705F">
      <w:pPr>
        <w:autoSpaceDE w:val="0"/>
        <w:autoSpaceDN w:val="0"/>
        <w:adjustRightInd w:val="0"/>
        <w:snapToGrid w:val="0"/>
        <w:spacing w:line="360" w:lineRule="auto"/>
        <w:ind w:firstLineChars="200" w:firstLine="480"/>
        <w:jc w:val="left"/>
        <w:rPr>
          <w:rFonts w:ascii="宋体" w:hAnsi="宋体"/>
          <w:sz w:val="24"/>
        </w:rPr>
      </w:pPr>
      <w:r>
        <w:rPr>
          <w:rFonts w:ascii="宋体" w:hAnsi="宋体" w:hint="eastAsia"/>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14:paraId="2A319F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14:paraId="4CB3013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14:paraId="0A4387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14:paraId="5BA6D4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14:paraId="2A2E0B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14:paraId="4376DA3C" w14:textId="77777777" w:rsidR="00AE2A54" w:rsidRPr="00F3029D" w:rsidRDefault="002F705F">
      <w:pPr>
        <w:autoSpaceDE w:val="0"/>
        <w:autoSpaceDN w:val="0"/>
        <w:adjustRightInd w:val="0"/>
        <w:snapToGrid w:val="0"/>
        <w:spacing w:line="360" w:lineRule="auto"/>
        <w:ind w:firstLineChars="200" w:firstLine="480"/>
        <w:jc w:val="left"/>
        <w:rPr>
          <w:rFonts w:ascii="宋体" w:hAnsi="宋体"/>
          <w:b/>
          <w:szCs w:val="24"/>
        </w:rPr>
      </w:pPr>
      <w:r w:rsidRPr="00F3029D">
        <w:rPr>
          <w:rFonts w:ascii="宋体" w:hAnsi="宋体"/>
          <w:b/>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14:paraId="419EF5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0A3966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14:paraId="5729C6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14:paraId="78AC2D0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14:paraId="00489C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14:paraId="7C9B043D"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61FE9F55" w14:textId="5A909A61" w:rsidR="00AE2A54" w:rsidRDefault="002F705F">
      <w:pPr>
        <w:pStyle w:val="1"/>
        <w:snapToGrid w:val="0"/>
        <w:spacing w:beforeLines="0" w:before="240" w:after="240"/>
        <w:rPr>
          <w:rFonts w:ascii="宋体" w:hAnsi="宋体"/>
          <w:szCs w:val="30"/>
        </w:rPr>
      </w:pPr>
      <w:bookmarkStart w:id="27" w:name="_Toc220317716"/>
      <w:r>
        <w:rPr>
          <w:rFonts w:ascii="Times New Roman" w:hAnsi="Times New Roman"/>
          <w:sz w:val="30"/>
        </w:rPr>
        <w:t>二十</w:t>
      </w:r>
      <w:r>
        <w:rPr>
          <w:rFonts w:ascii="Times New Roman" w:hAnsi="Times New Roman" w:hint="eastAsia"/>
          <w:sz w:val="30"/>
        </w:rPr>
        <w:t>三</w:t>
      </w:r>
      <w:r>
        <w:rPr>
          <w:rFonts w:ascii="Times New Roman" w:hAnsi="Times New Roman"/>
          <w:sz w:val="30"/>
        </w:rPr>
        <w:t>、托管协议的内容摘要</w:t>
      </w:r>
      <w:bookmarkEnd w:id="27"/>
    </w:p>
    <w:p w14:paraId="00335B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14:paraId="4D5635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14:paraId="7F5E6B4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14:paraId="644690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住所：中国（上海）自由贸易区银城中路188号交通银行大楼二层（裙）</w:t>
      </w:r>
    </w:p>
    <w:p w14:paraId="02190B6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14:paraId="15D7E0B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14:paraId="15D576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14:paraId="392ED93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14:paraId="554F39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14:paraId="5B69DAE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14:paraId="07005A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14:paraId="33AE774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47234F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14:paraId="30B20BE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14:paraId="398097C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14:paraId="154AAF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14:paraId="6D3569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14:paraId="351C7B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14:paraId="20B9276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14:paraId="7A28489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14:paraId="7676BE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14:paraId="44836E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14:paraId="012015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14:paraId="46F7C3B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14:paraId="2A1CA15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14:paraId="27668C0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14:paraId="2417BBD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w:t>
      </w:r>
    </w:p>
    <w:p w14:paraId="3D8D2C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14:paraId="6BFA83D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14:paraId="04A08A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14:paraId="1DEF12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14:paraId="7798CD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14:paraId="3C02CF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52EE5AB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同一家银行的存款不得超过基金资产净值的20%，银行应当是中资商业银行在境外设立的分行或在最近一个会计年度达到中国证监会认可的信用评级机构评级的境外银行，但在基金托管账户的存款不受此限制。</w:t>
      </w:r>
    </w:p>
    <w:p w14:paraId="1D1BB04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（2）本基金持有同一机构(政府、国际金融组织除外)发行的证券市值不得超过基金资产净值的10%。</w:t>
      </w:r>
    </w:p>
    <w:p w14:paraId="4A4615F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14:paraId="7DC588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（4）基金不得购买证券用于控制或影响发行该证券的机构或其管理层。</w:t>
      </w:r>
    </w:p>
    <w:p w14:paraId="1E1F46F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（5）本基金持有非流动性资产市值不得超过基金资产净值的10%。前项非流动</w:t>
      </w:r>
      <w:r>
        <w:rPr>
          <w:rFonts w:ascii="宋体" w:hAnsi="宋体"/>
          <w:sz w:val="24"/>
        </w:rPr>
        <w:lastRenderedPageBreak/>
        <w:t>性资产是指法律或基金合同规定的流通受限证券以及中国证监会认定的其他资产。</w:t>
      </w:r>
    </w:p>
    <w:p w14:paraId="30F362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（6）本基金持有境外基金的市值合计不得超过基金资产净值的10%，但持有货币市场基金不受此限制。</w:t>
      </w:r>
    </w:p>
    <w:p w14:paraId="041A901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（7）为应付赎回、交易清算等临时用途，借入现金的比例不得超过基金资产净值的10%。</w:t>
      </w:r>
    </w:p>
    <w:p w14:paraId="0A170D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（8）本基金投资衍生品应当仅限于投资组合避险或有效管理，不得用于投机或放大交易，同时应当严格遵守下列规定：</w:t>
      </w:r>
    </w:p>
    <w:p w14:paraId="3167788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1)本基金的金融衍生品全部敞口不得高于基金资产净值的100%。</w:t>
      </w:r>
    </w:p>
    <w:p w14:paraId="6988B1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2)本基金投资期货支付的初始保证金、投资期权支付或收取的期权费、投资柜台交易衍生品支付的初始费用的总额不得高于基金资产净值的10%。</w:t>
      </w:r>
    </w:p>
    <w:p w14:paraId="3BFC6AC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3)本基金投资于远期合约、互换等柜台交易金融衍生品，应当符合以下要求：</w:t>
      </w:r>
    </w:p>
    <w:p w14:paraId="5D9848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 所有参与交易的对手方（中资商业银行除外）应当具有不低于中国证监会认可的信用评级机构评级；</w:t>
      </w:r>
    </w:p>
    <w:p w14:paraId="3629EC0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b.交易对手方应当至少每个工作日对交易进行估值，并且基金可在任何时候以公允价值终止交易；</w:t>
      </w:r>
    </w:p>
    <w:p w14:paraId="0150525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 任一交易对手方的市值计价敞口不得超过基金资产净值的20%。</w:t>
      </w:r>
    </w:p>
    <w:p w14:paraId="017465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4)本基金不得直接投资与实物商品相关的衍生品。</w:t>
      </w:r>
    </w:p>
    <w:p w14:paraId="6962A2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（9）本基金可以参与证券借贷交易，并且应当遵守下列规定：</w:t>
      </w:r>
    </w:p>
    <w:p w14:paraId="08046A7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14:paraId="2C74F5C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2)参与正回购交易,应当采取市值计价制度对卖出收益进行调整以确保现金不低于已售出证券市值的102%。</w:t>
      </w:r>
    </w:p>
    <w:p w14:paraId="1E06978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14:paraId="7DEF2E7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除中国证监会另有规定外，担保物可以是以下金融工具或品种：</w:t>
      </w:r>
    </w:p>
    <w:p w14:paraId="5BD7709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 现金；</w:t>
      </w:r>
    </w:p>
    <w:p w14:paraId="7306279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14:paraId="4E29BF8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14:paraId="32A622B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d.政府债券；</w:t>
      </w:r>
    </w:p>
    <w:p w14:paraId="2A8EC3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e.中资商业银行或由不低于中国证监会认可的信用评级机构评级的境外金融机构（作为交易对手方或其关联方的除外）出具的不可撤销信用证。</w:t>
      </w:r>
    </w:p>
    <w:p w14:paraId="41FE9E0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5)本基金有权在任何时候终止证券借贷交易并在正常市场惯例的合理期限内要求归还任一或所有已借出的证券。</w:t>
      </w:r>
    </w:p>
    <w:p w14:paraId="600171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6)基金管理人应当对基金参与证券借贷交易中发生的任何损失负相应责任。</w:t>
      </w:r>
    </w:p>
    <w:p w14:paraId="32653D8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7)基金参与证券借贷交易，所有已借出而未归还证券总市值不得超过基金总资产的50%。</w:t>
      </w:r>
    </w:p>
    <w:p w14:paraId="70F5CB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上述比例限制计算，基金因参与证券借贷交易而持有的担保物不得计入基金总资产。</w:t>
      </w:r>
    </w:p>
    <w:p w14:paraId="209CBD7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（10）基金可以根据正常市场惯例参与正回购交易、逆回购交易，并且应当遵守下列规定：</w:t>
      </w:r>
    </w:p>
    <w:p w14:paraId="381DD9B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14:paraId="6C355C7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2)参与正回购交易，应当采取市值计价制度对卖出收益进行调整以确保现金不低于已售出证券市值的102%。一旦买方违约，本基金根据协议和有关法律有权保留或处置卖出收益以满足索赔需要。</w:t>
      </w:r>
    </w:p>
    <w:p w14:paraId="562993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3)买方应当在正回购交易期内及时向本基金支付售出证券产生的所有股息、利息和分红。</w:t>
      </w:r>
    </w:p>
    <w:p w14:paraId="141A02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4)参与逆回购交易，应当对购入证券采取市值计价制度进行调整以确保已购入证券市值不低于支付现金的102%。一旦卖方违约，本基金根据协议和有关法律有权保留或处置已购入证券以满足索赔需要。</w:t>
      </w:r>
    </w:p>
    <w:p w14:paraId="44EABFA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5)基金参与正回购交易，所有已售出而未回购证券总市值均不得超过基金总资产的50%。</w:t>
      </w:r>
    </w:p>
    <w:p w14:paraId="7CC643B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上述比例限制计算，基金因参与正回购交易而持有的现金不得计入基金总资产。</w:t>
      </w:r>
    </w:p>
    <w:p w14:paraId="5D201D6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3415613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w:t>
      </w:r>
      <w:r>
        <w:rPr>
          <w:rFonts w:ascii="宋体" w:hAnsi="宋体"/>
          <w:sz w:val="24"/>
        </w:rPr>
        <w:lastRenderedPageBreak/>
        <w:t>开展逆回购交易的，可接受质押品的资质要求应当与基金合同约定的投资范围保持一致。</w:t>
      </w:r>
    </w:p>
    <w:p w14:paraId="333F88E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（13）法律法规和基金合同规定的其他限制。</w:t>
      </w:r>
    </w:p>
    <w:p w14:paraId="2773941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中国证监会的相关规定发生修改、更新或废止，致使本款前述投资限制和禁止行为被修改、更新或取消的，基金管理人在履行适当程序后，本基金可相应调整投资限制和禁止行为规定，不需经基金份额持有人大会审议。</w:t>
      </w:r>
    </w:p>
    <w:p w14:paraId="1804A9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后6个月内使基金的投资组合比例符合基金合同的约定。除第（11）、（12）项外，若基金超过上述投资比例限制，应当在超过比例后30个工作日内采用合理的商业措施减仓以符合投资比例限制要求。</w:t>
      </w:r>
    </w:p>
    <w:p w14:paraId="05F1B0A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14:paraId="2411BD9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3、基金托管人根据有关法律法规的规定及基金合同的约定，对本托管协议第十七条第（九）款基金投资禁止行为进行监督。基金托管人通过事后监督方式对基金管理人基金投资禁止行为进行监督。</w:t>
      </w:r>
    </w:p>
    <w:p w14:paraId="57A3576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4、基金托管人根据有关法律法规的规定及基金合同的约定，对基金资产净值计算、</w:t>
      </w:r>
      <w:r>
        <w:rPr>
          <w:rFonts w:ascii="宋体" w:hAnsi="宋体" w:hint="eastAsia"/>
          <w:sz w:val="24"/>
        </w:rPr>
        <w:t>各类</w:t>
      </w:r>
      <w:r>
        <w:rPr>
          <w:rFonts w:ascii="宋体" w:hAnsi="宋体"/>
          <w:sz w:val="24"/>
        </w:rPr>
        <w:t>基金份额净值计算、应收资金到账、基金费用开支及收入确定、基金收益分配、相关信息披露、基金宣传推介材料中登载基金业绩表现数据等进行监督和核查。</w:t>
      </w:r>
    </w:p>
    <w:p w14:paraId="305C9C1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14:paraId="6BDD66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6、基金管理人有义务配合和协助基金托管人依照法律法规、基金合同和本托管协议对基金业务执行核查。对基金托管人发出的书面提示，基金管理人应在规定</w:t>
      </w:r>
      <w:r>
        <w:rPr>
          <w:rFonts w:ascii="宋体" w:hAnsi="宋体"/>
          <w:sz w:val="24"/>
        </w:rPr>
        <w:lastRenderedPageBreak/>
        <w:t>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27A629F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7、若基金托管人发现基金管理人依据交易程序已经生效的指令违反法律、行政法规和其他有关规定，或者违反基金合同约定的，应当立即通知基金管理人，由此造成的损失由基金管理人承担。</w:t>
      </w:r>
    </w:p>
    <w:p w14:paraId="2CA58DC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663CCDF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14:paraId="45B6E2F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w:t>
      </w:r>
      <w:r>
        <w:rPr>
          <w:rFonts w:ascii="宋体" w:hAnsi="宋体" w:hint="eastAsia"/>
          <w:sz w:val="24"/>
        </w:rPr>
        <w:t>各类</w:t>
      </w:r>
      <w:r>
        <w:rPr>
          <w:rFonts w:ascii="宋体" w:hAnsi="宋体"/>
          <w:sz w:val="24"/>
        </w:rPr>
        <w:t>基金份额净值、根据基金管理人指令办理清算交收、相关信息披露和监督基金投资运作等行为。</w:t>
      </w:r>
    </w:p>
    <w:p w14:paraId="142EBE5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能准时将公司行为信息通知基金管理人、未执行或无故延迟执行基金管理人资金划拨指令、泄露基金投资信息等违反《基金法》、《试行办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14:paraId="604976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7D58186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（四）基金财产的保管</w:t>
      </w:r>
    </w:p>
    <w:p w14:paraId="37AE4B6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14:paraId="348F18E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（1）基金财产应保管于基金托管人或基金托管人委托的机构处。</w:t>
      </w:r>
    </w:p>
    <w:p w14:paraId="70BB9DD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（2）基金财产应独立于基金管理人、基金托管人的固有财产。</w:t>
      </w:r>
    </w:p>
    <w:p w14:paraId="68A2992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（3）基金托管人应安全保管基金财产。</w:t>
      </w:r>
    </w:p>
    <w:p w14:paraId="40DAE7A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（4）基金托管人按照规定开设基金财产的资金账户和证券账户。</w:t>
      </w:r>
    </w:p>
    <w:p w14:paraId="28F5D4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（5）基金托管人对所托管的不同基金财产分别设置账户，确保基金财产的完整与独立。</w:t>
      </w:r>
    </w:p>
    <w:p w14:paraId="79D79D0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（6）基金托管人根据基金管理人的指令，按照基金合同和本协议的约定保管基金财产，并按指令进行结算。</w:t>
      </w:r>
    </w:p>
    <w:p w14:paraId="5FAFE15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14:paraId="7965CC7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（1）基金募集期间募集的资金应存于中国证券登记结算有限责任公司的“基金募集专户”。该账户由基金管理人委托的登记结算机构开立并管理。</w:t>
      </w:r>
    </w:p>
    <w:p w14:paraId="5161814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试行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14:paraId="24A8E2C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14:paraId="7E0F997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（4）资产保管内容和约定事项</w:t>
      </w:r>
    </w:p>
    <w:p w14:paraId="377E7F0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投资当地的法律法规和市场惯例另有规定，基金托管人和其境外资产托管人应在收到基金管理人或其委托的境外投资顾问的指令后，按下述方式支付现金、售出或交付证券：(a)按照交易发生的司法管辖区或市场的有关惯常和既定惯例和程序作出；或(b)就通过证券系统进行的买卖而言，按照管辖该系统运营的规则、条例和条件作出；(c)在不违反基金合同、托管协议和招募说明书等法律文件约定的情况下，依基金管理人或其投资顾问根据指令程序发送的指令中的另有规定。基金托管人和其境外资产托管人应不时将该等有关惯例、程序、规则、条例和条件及时通知基金管理人。</w:t>
      </w:r>
    </w:p>
    <w:p w14:paraId="0ADB4C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基金托管人自身，并应确保其境外资产托管人尽商业的合理努力建立安全的数据管理机制，安全完整地保存基金管理人与基金财产相关的业务数据和信息。</w:t>
      </w:r>
    </w:p>
    <w:p w14:paraId="1A0F4C7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因依法解散、被依法撤销或者被依法宣告清盘或破产等原因进行终止清算时，不得将基金财产及其收益归入其清算财产；基金管理人和基金托管人理解现金于存入托管账户时构成基金托管人、境外资产托管人的等额债务，除非法律法规及撤销或清盘程序明文许可该等现金不归于清算财产外，该等现金归入清算财产并不构成基金托管人违反托管协议的规定。</w:t>
      </w:r>
    </w:p>
    <w:p w14:paraId="57F4149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14:paraId="49C5DB2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并供境内资金划拨使用。基金托管人可委托境外资产托管人开立基金银行账户（境外），境外资产托管人根据基金托管人的指令办理境外资金收付。</w:t>
      </w:r>
    </w:p>
    <w:p w14:paraId="4674AD1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14:paraId="05217A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14:paraId="706C8D4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基金托管人可委托境外资产托管人根据投资所在国家或地区市场法律法规规定，开立和管理证券账户。</w:t>
      </w:r>
    </w:p>
    <w:p w14:paraId="0F74A06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14:paraId="08397D1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（1）因业务发展需要而开立的其他账户，可以根据投资所在国家或地区法律法规和基金合同的规定，由基金托管人或其委托机构负责开立。</w:t>
      </w:r>
    </w:p>
    <w:p w14:paraId="208072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（2）投资所在国家或地区法律法规对相关账户的开立和管理另有规定的，从其规定办理。</w:t>
      </w:r>
    </w:p>
    <w:p w14:paraId="7AAD245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14:paraId="5F575AC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境外有关实物证券、银行存款定期存单等有价凭证由基金托管人委托境外托管代理人存放于其保管库。属于基金托管人及其境外资产托管人实际有效控制下的实物证券在基金托管人保管期间的损坏、灭失，由此产生的责任应由基金托管人承担。基金托管人对由基金托管人及其境外资产托管人以外机构实际有效控制的证券不承担保管责任。</w:t>
      </w:r>
    </w:p>
    <w:p w14:paraId="354210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14:paraId="4280160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基金管理人应保证基金管理人和基金托管人至少各持有一份正本的原件。上述重大合同的保管期限为基金合同终止后15年。</w:t>
      </w:r>
    </w:p>
    <w:p w14:paraId="46D908D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14:paraId="0F35103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14:paraId="01BB442E"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基金资产净值是指基金资产总值减去负债（含各项有关税收）后的金额。</w:t>
      </w:r>
    </w:p>
    <w:p w14:paraId="08334F6A" w14:textId="7B45AB6F"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sz w:val="24"/>
        </w:rPr>
        <w:t>各类基金份额的</w:t>
      </w:r>
      <w:r>
        <w:rPr>
          <w:rFonts w:ascii="宋体" w:hAnsi="宋体"/>
          <w:sz w:val="24"/>
        </w:rPr>
        <w:t>基金份额净值是指</w:t>
      </w:r>
      <w:r>
        <w:rPr>
          <w:rFonts w:ascii="宋体" w:hAnsi="宋体" w:hint="eastAsia"/>
          <w:sz w:val="24"/>
        </w:rPr>
        <w:t>该类基金份额的</w:t>
      </w:r>
      <w:r>
        <w:rPr>
          <w:rFonts w:ascii="宋体" w:hAnsi="宋体"/>
          <w:sz w:val="24"/>
        </w:rPr>
        <w:t>基金资产净值除以</w:t>
      </w:r>
      <w:r>
        <w:rPr>
          <w:rFonts w:ascii="宋体" w:hAnsi="宋体" w:hint="eastAsia"/>
          <w:sz w:val="24"/>
        </w:rPr>
        <w:t>该类</w:t>
      </w:r>
      <w:r>
        <w:rPr>
          <w:rFonts w:ascii="宋体" w:hAnsi="宋体"/>
          <w:sz w:val="24"/>
        </w:rPr>
        <w:t>基金份额总数，基金份额净值的计算精确到0.0001元，小数点后第</w:t>
      </w:r>
      <w:r>
        <w:rPr>
          <w:rFonts w:ascii="宋体" w:hAnsi="宋体" w:hint="eastAsia"/>
          <w:sz w:val="24"/>
        </w:rPr>
        <w:t>五</w:t>
      </w:r>
      <w:r>
        <w:rPr>
          <w:rFonts w:ascii="宋体" w:hAnsi="宋体"/>
          <w:sz w:val="24"/>
        </w:rPr>
        <w:t>位四舍五入。国家另有规定的，从其规定。</w:t>
      </w:r>
    </w:p>
    <w:p w14:paraId="337A398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14:paraId="72FEAED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w:t>
      </w:r>
      <w:r>
        <w:rPr>
          <w:rFonts w:ascii="宋体" w:hAnsi="宋体" w:hint="eastAsia"/>
          <w:sz w:val="24"/>
        </w:rPr>
        <w:t>各类基金份额的</w:t>
      </w:r>
      <w:r>
        <w:rPr>
          <w:rFonts w:ascii="宋体" w:hAnsi="宋体"/>
          <w:sz w:val="24"/>
        </w:rPr>
        <w:t>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14:paraId="2F86CD9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61898A0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14:paraId="7481BBA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14:paraId="300A13C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0DA6504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14:paraId="40618A9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14:paraId="790F309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56C86B0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14:paraId="61BF82C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14:paraId="0B09CB5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14:paraId="11CA8C6B"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14:paraId="2279A71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14:paraId="300CA68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14:paraId="705D5C3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14:paraId="48A775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14:paraId="5B4B3A2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14:paraId="7001B7D6"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0CF68142" w14:textId="3ACEB397" w:rsidR="00AE2A54" w:rsidRDefault="002F705F">
      <w:pPr>
        <w:pStyle w:val="1"/>
        <w:snapToGrid w:val="0"/>
        <w:spacing w:beforeLines="0" w:before="240" w:after="240"/>
        <w:rPr>
          <w:rFonts w:ascii="宋体" w:hAnsi="宋体"/>
          <w:szCs w:val="30"/>
        </w:rPr>
      </w:pPr>
      <w:bookmarkStart w:id="28" w:name="_Toc220317717"/>
      <w:r>
        <w:rPr>
          <w:rFonts w:ascii="Times New Roman" w:hAnsi="Times New Roman"/>
          <w:sz w:val="30"/>
        </w:rPr>
        <w:t>二十</w:t>
      </w:r>
      <w:r>
        <w:rPr>
          <w:rFonts w:ascii="Times New Roman" w:hAnsi="Times New Roman" w:hint="eastAsia"/>
          <w:sz w:val="30"/>
        </w:rPr>
        <w:t>四</w:t>
      </w:r>
      <w:r>
        <w:rPr>
          <w:rFonts w:ascii="Times New Roman" w:hAnsi="Times New Roman"/>
          <w:sz w:val="30"/>
        </w:rPr>
        <w:t>、对基金份额持有人的服务</w:t>
      </w:r>
      <w:bookmarkEnd w:id="28"/>
    </w:p>
    <w:p w14:paraId="67C985D5"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14:paraId="392039CF"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14:paraId="245696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1、每次交易结束后，可在T+3个工作日后通过销售机构的网点查询和打印确认单。</w:t>
      </w:r>
    </w:p>
    <w:p w14:paraId="28DBD0E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14:paraId="13EA3B0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14:paraId="1BE696B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w:t>
      </w:r>
      <w:r>
        <w:rPr>
          <w:rFonts w:ascii="宋体" w:hAnsi="宋体" w:hint="eastAsia"/>
          <w:sz w:val="24"/>
        </w:rPr>
        <w:t>A类</w:t>
      </w:r>
      <w:r>
        <w:rPr>
          <w:rFonts w:ascii="宋体" w:hAnsi="宋体"/>
          <w:sz w:val="24"/>
        </w:rPr>
        <w:t>基金份额的申购、赎回和定期定额投资等业务。通过网上直销交易平台办理本基金</w:t>
      </w:r>
      <w:r>
        <w:rPr>
          <w:rFonts w:ascii="宋体" w:hAnsi="宋体" w:hint="eastAsia"/>
          <w:sz w:val="24"/>
        </w:rPr>
        <w:t>A类基金份额</w:t>
      </w:r>
      <w:r>
        <w:rPr>
          <w:rFonts w:ascii="宋体" w:hAnsi="宋体"/>
          <w:sz w:val="24"/>
        </w:rPr>
        <w:t>申购和定期定额投资业务的个人投资者将享受申购费率的优惠，其他费率标准不变。具体优惠费率请参见公司网站列示的网上直销交易平台申购及定期定额投资费率表或相关公告。</w:t>
      </w:r>
    </w:p>
    <w:p w14:paraId="782FCB6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14:paraId="5C9B3D1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在条件成熟的时候，本基金管理人将根据基金网上直销业务的发展状况，适时调整可用于基金网上直销交易平台的银行卡种类，敬请个人投资者留意相关公告。</w:t>
      </w:r>
    </w:p>
    <w:p w14:paraId="4A83227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14:paraId="23CE5F9D"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3F36D3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3569B5B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14:paraId="336D532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（四）基金红利再投资</w:t>
      </w:r>
    </w:p>
    <w:p w14:paraId="041BA39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w:t>
      </w:r>
      <w:r>
        <w:rPr>
          <w:rFonts w:ascii="宋体" w:hAnsi="宋体" w:hint="eastAsia"/>
          <w:sz w:val="24"/>
        </w:rPr>
        <w:t>相应类别的</w:t>
      </w:r>
      <w:r>
        <w:rPr>
          <w:rFonts w:ascii="宋体" w:hAnsi="宋体"/>
          <w:sz w:val="24"/>
        </w:rPr>
        <w:t>基金份额，并免收申购费用。</w:t>
      </w:r>
    </w:p>
    <w:p w14:paraId="335F6F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14:paraId="6F497D66"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14:paraId="715CA81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14:paraId="0AA8715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14:paraId="7B0FDB8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14:paraId="2A64F51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14:paraId="7E1AB4A3"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14:paraId="6190D024"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hint="eastAsia"/>
          <w:b/>
          <w:kern w:val="0"/>
          <w:sz w:val="24"/>
        </w:rPr>
        <w:t>（六）如本招募说明书存在任何您/贵机构无法理解的内容，可通过上述方式联系基金管理人。请确保投资前，您/贵机构已经全面理解了本招募说明书。</w:t>
      </w:r>
    </w:p>
    <w:p w14:paraId="0B8DE9E5"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5E52B07C" w14:textId="15DC18DB" w:rsidR="00AE2A54" w:rsidRDefault="002F705F">
      <w:pPr>
        <w:pStyle w:val="1"/>
        <w:snapToGrid w:val="0"/>
        <w:spacing w:beforeLines="0" w:before="240" w:after="240"/>
        <w:rPr>
          <w:rFonts w:ascii="宋体" w:hAnsi="宋体"/>
          <w:szCs w:val="30"/>
        </w:rPr>
      </w:pPr>
      <w:bookmarkStart w:id="29" w:name="_Toc220317718"/>
      <w:r>
        <w:rPr>
          <w:rFonts w:ascii="Times New Roman" w:hAnsi="Times New Roman"/>
          <w:sz w:val="30"/>
        </w:rPr>
        <w:t>二十</w:t>
      </w:r>
      <w:r>
        <w:rPr>
          <w:rFonts w:ascii="Times New Roman" w:hAnsi="Times New Roman" w:hint="eastAsia"/>
          <w:sz w:val="30"/>
        </w:rPr>
        <w:t>五</w:t>
      </w:r>
      <w:r>
        <w:rPr>
          <w:rFonts w:ascii="Times New Roman" w:hAnsi="Times New Roman"/>
          <w:sz w:val="30"/>
        </w:rPr>
        <w:t>、其他应披露事项</w:t>
      </w:r>
      <w:bookmarkEnd w:id="29"/>
    </w:p>
    <w:p w14:paraId="25496B0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14:paraId="0C9BA730"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4A0" w:firstRow="1" w:lastRow="0" w:firstColumn="1" w:lastColumn="0" w:noHBand="0" w:noVBand="1"/>
      </w:tblPr>
      <w:tblGrid>
        <w:gridCol w:w="1008"/>
        <w:gridCol w:w="3025"/>
        <w:gridCol w:w="3024"/>
        <w:gridCol w:w="1613"/>
      </w:tblGrid>
      <w:tr w:rsidR="00AE2A54" w14:paraId="00265571"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A69A66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14:paraId="52212EE2"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14:paraId="5E1064C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14:paraId="35F7D80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E2A54" w14:paraId="240D93A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9A8709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14:paraId="2DF3647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6D60E4E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93AE91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2024-06-27</w:t>
            </w:r>
          </w:p>
        </w:tc>
      </w:tr>
      <w:tr w:rsidR="00AE2A54" w14:paraId="027A957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7E5C47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14:paraId="04AE9A1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14:paraId="395A392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5503E8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2024-06-27</w:t>
            </w:r>
          </w:p>
        </w:tc>
      </w:tr>
      <w:tr w:rsidR="00AE2A54" w14:paraId="1BDF701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3C484F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14:paraId="152ED5C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40CCD59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D29E915"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2024-07-02</w:t>
            </w:r>
          </w:p>
        </w:tc>
      </w:tr>
      <w:tr w:rsidR="00AE2A54" w14:paraId="7A86A87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5DC1BA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14:paraId="481E258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交银施罗德基金管理有限公司关于旗下部分基金参与交通银行股份有限公司前端申购（含定期定额投资）费率优惠的公告</w:t>
            </w:r>
          </w:p>
        </w:tc>
        <w:tc>
          <w:tcPr>
            <w:tcW w:w="750" w:type="pct"/>
            <w:tcBorders>
              <w:top w:val="single" w:sz="4" w:space="0" w:color="auto"/>
              <w:left w:val="single" w:sz="4" w:space="0" w:color="auto"/>
              <w:bottom w:val="single" w:sz="4" w:space="0" w:color="auto"/>
              <w:right w:val="single" w:sz="4" w:space="0" w:color="auto"/>
            </w:tcBorders>
            <w:vAlign w:val="center"/>
          </w:tcPr>
          <w:p w14:paraId="4792343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EE9CDB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2024-07-05</w:t>
            </w:r>
          </w:p>
        </w:tc>
      </w:tr>
      <w:tr w:rsidR="00AE2A54" w14:paraId="0120412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AFAEC0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14:paraId="273C8A2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14:paraId="588CBEF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A8666B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rsidR="00AE2A54" w14:paraId="69D0693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D70E6A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14:paraId="7F4DCBA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14:paraId="668A4D9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2D03D6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rsidR="00AE2A54" w14:paraId="19C4949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B604F4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14:paraId="38CEEFE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年第二季度报告提示性公告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14:paraId="75D71E5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8B458E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AE2A54" w14:paraId="2E4E41F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584BDB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14:paraId="707002E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142C52C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371581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AE2A54" w14:paraId="65EC036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B45EDD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14:paraId="14C0FDD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sz="4" w:space="0" w:color="auto"/>
              <w:left w:val="single" w:sz="4" w:space="0" w:color="auto"/>
              <w:bottom w:val="single" w:sz="4" w:space="0" w:color="auto"/>
              <w:right w:val="single" w:sz="4" w:space="0" w:color="auto"/>
            </w:tcBorders>
            <w:vAlign w:val="center"/>
          </w:tcPr>
          <w:p w14:paraId="4AD5BF5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51A884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rsidR="00AE2A54" w14:paraId="121A512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A4B9C4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14:paraId="31B70E0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56A32D1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D069F4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2024-08-29</w:t>
            </w:r>
          </w:p>
        </w:tc>
      </w:tr>
      <w:tr w:rsidR="00AE2A54" w14:paraId="4F244DB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6A7E22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14:paraId="419C4A6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年中期报告提示性公告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14:paraId="23DF803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04701F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AE2A54" w14:paraId="5C08169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EC5E9D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14:paraId="49A8320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2024</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14:paraId="5493D90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6F910D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AE2A54" w14:paraId="2FE3956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D5897A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14:paraId="0ABF670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6BDFF3D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99B8FA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2024-09-12</w:t>
            </w:r>
          </w:p>
        </w:tc>
      </w:tr>
      <w:tr w:rsidR="00AE2A54" w14:paraId="73D59E3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8E8253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14:paraId="0CE814F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3E79B9E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EDD88CA"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2024-10-08</w:t>
            </w:r>
          </w:p>
        </w:tc>
      </w:tr>
      <w:tr w:rsidR="00AE2A54" w14:paraId="21048D55"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523DFA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14:paraId="2C48CA2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14:paraId="7F7F75D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57D85367"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E2A54" w14:paraId="7AC1C1C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6AEB37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14:paraId="3727E84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14:paraId="11068B9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324EDC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E2A54" w14:paraId="4E999C6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634DA9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14:paraId="64B3D70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624E376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DB1871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E2A54" w14:paraId="3F3D578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61139A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14:paraId="0DDCFA7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7182199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71DD9E8"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2024-11-26</w:t>
            </w:r>
          </w:p>
        </w:tc>
      </w:tr>
      <w:tr w:rsidR="00AE2A54" w14:paraId="14DC1F2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2F546D8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14:paraId="54FA9B7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14:paraId="2D2A689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EFB2C37"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AE2A54" w14:paraId="4AB5FD4A"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BA33D6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w:t>
            </w:r>
          </w:p>
        </w:tc>
        <w:tc>
          <w:tcPr>
            <w:tcW w:w="750" w:type="pct"/>
            <w:tcBorders>
              <w:top w:val="single" w:sz="4" w:space="0" w:color="auto"/>
              <w:left w:val="single" w:sz="4" w:space="0" w:color="auto"/>
              <w:bottom w:val="single" w:sz="4" w:space="0" w:color="auto"/>
              <w:right w:val="single" w:sz="4" w:space="0" w:color="auto"/>
            </w:tcBorders>
            <w:vAlign w:val="center"/>
          </w:tcPr>
          <w:p w14:paraId="20789C4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4E0EFD5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01903D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2024-12-23</w:t>
            </w:r>
          </w:p>
        </w:tc>
      </w:tr>
      <w:tr w:rsidR="00AE2A54" w14:paraId="53B141F9"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2C2EF1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14:paraId="4B5A9B0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交银施罗德基金管理有限公司关于交银施罗德环球精选价值证券投资基金暂停及恢复大额申购（定期定额投资）业务的公告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6DF9F6F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9844E0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2025-01-08</w:t>
            </w:r>
          </w:p>
        </w:tc>
      </w:tr>
      <w:tr w:rsidR="00AE2A54" w14:paraId="035A222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23CBD7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14:paraId="7F3DF13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14:paraId="065BF3D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10A775AD"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2025-01-10</w:t>
            </w:r>
          </w:p>
        </w:tc>
      </w:tr>
      <w:tr w:rsidR="00AE2A54" w14:paraId="7E14A2D0"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33DCDD6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14:paraId="3B268AD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50A92C7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51B298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2025-01-16</w:t>
            </w:r>
          </w:p>
        </w:tc>
      </w:tr>
      <w:tr w:rsidR="00AE2A54" w14:paraId="05FFFBD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8B6FB0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14:paraId="1EC9F45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14:paraId="44B0A17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72F8B4E"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E2A54" w14:paraId="449CFA5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86D2C0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14:paraId="1F3F59A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5C5FCD6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25727C1"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E2A54" w14:paraId="3763C226"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53BE225"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14:paraId="755F94C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交银施罗德基金管理有限公司关于调低旗下部分基金管理费率和或托管费率并修改基金合同等法律文件的公告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14:paraId="6EDBB9B6"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E705B1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2025-02-11</w:t>
            </w:r>
          </w:p>
        </w:tc>
      </w:tr>
      <w:tr w:rsidR="00AE2A54" w14:paraId="64C80B1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91BED3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14:paraId="0F6846C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14:paraId="2E6FF41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17F31DB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2025-02-11</w:t>
            </w:r>
          </w:p>
        </w:tc>
      </w:tr>
      <w:tr w:rsidR="00AE2A54" w14:paraId="5117C24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695F274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14:paraId="0271F30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交银施罗德环球精选价值证券投资基金托管协议更新</w:t>
            </w:r>
          </w:p>
        </w:tc>
        <w:tc>
          <w:tcPr>
            <w:tcW w:w="750" w:type="pct"/>
            <w:tcBorders>
              <w:top w:val="single" w:sz="4" w:space="0" w:color="auto"/>
              <w:left w:val="single" w:sz="4" w:space="0" w:color="auto"/>
              <w:bottom w:val="single" w:sz="4" w:space="0" w:color="auto"/>
              <w:right w:val="single" w:sz="4" w:space="0" w:color="auto"/>
            </w:tcBorders>
            <w:vAlign w:val="center"/>
          </w:tcPr>
          <w:p w14:paraId="68845A0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87DE71B"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2025-02-11</w:t>
            </w:r>
          </w:p>
        </w:tc>
      </w:tr>
      <w:tr w:rsidR="00AE2A54" w14:paraId="17C3D8A7"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7845AC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14:paraId="4B9C823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4E3BD7E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8D6E95F"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rsidR="00AE2A54" w14:paraId="60858F9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F5B2ACD"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30</w:t>
            </w:r>
          </w:p>
        </w:tc>
        <w:tc>
          <w:tcPr>
            <w:tcW w:w="750" w:type="pct"/>
            <w:tcBorders>
              <w:top w:val="single" w:sz="4" w:space="0" w:color="auto"/>
              <w:left w:val="single" w:sz="4" w:space="0" w:color="auto"/>
              <w:bottom w:val="single" w:sz="4" w:space="0" w:color="auto"/>
              <w:right w:val="single" w:sz="4" w:space="0" w:color="auto"/>
            </w:tcBorders>
            <w:vAlign w:val="center"/>
          </w:tcPr>
          <w:p w14:paraId="7785D3C9"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14:paraId="641AB3A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6F6A6A8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rsidR="00AE2A54" w14:paraId="3E84A4B2"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EE35A7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14:paraId="73127EA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14:paraId="27922E4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E0630A3"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rsidR="00AE2A54" w14:paraId="67C0252F"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1AF2572"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14:paraId="373C45A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14:paraId="1E48FD3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1265CB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AE2A54" w14:paraId="42E2EA7E"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515F5F3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14:paraId="52D433A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14:paraId="31CE0E0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8FD925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AE2A54" w14:paraId="1DB342E3"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64ABF0A"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14:paraId="4C8F9F40"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3CDD3211"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0CD68B86"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2025-04-15</w:t>
            </w:r>
          </w:p>
        </w:tc>
      </w:tr>
      <w:tr w:rsidR="00AE2A54" w14:paraId="6CB91B94"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119C294"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14:paraId="544A5F8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14:paraId="443F03D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408295C9"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AE2A54" w14:paraId="67BAC8C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1463FB9F"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14:paraId="5AB8CA2B"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14:paraId="7E30B16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2D13B2B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2025-04-22</w:t>
            </w:r>
          </w:p>
        </w:tc>
      </w:tr>
      <w:tr w:rsidR="00AE2A54" w14:paraId="2D1AF8EC"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03B64987"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14:paraId="032F667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4C7B5D7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3BE7854"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AE2A54" w14:paraId="6E5EF848"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7ECC375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14:paraId="7B7515D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14:paraId="55D3F3AE"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3F384FEC"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E2A54" w14:paraId="46CF372D" w14:textId="777777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14:paraId="4C67E368"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14:paraId="488BF35C"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14:paraId="3C03DD73" w14:textId="77777777" w:rsidR="00AE2A54" w:rsidRDefault="002F70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14:paraId="7B535420" w14:textId="77777777" w:rsidR="00AE2A54" w:rsidRDefault="002F70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bl>
    <w:p w14:paraId="16849463"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773D6809" w14:textId="66C74418" w:rsidR="00AE2A54" w:rsidRDefault="002F705F">
      <w:pPr>
        <w:pStyle w:val="1"/>
        <w:snapToGrid w:val="0"/>
        <w:spacing w:beforeLines="0" w:before="240" w:after="240"/>
        <w:rPr>
          <w:rFonts w:ascii="宋体" w:hAnsi="宋体"/>
          <w:szCs w:val="30"/>
        </w:rPr>
      </w:pPr>
      <w:bookmarkStart w:id="30" w:name="_Toc220317719"/>
      <w:r>
        <w:rPr>
          <w:rFonts w:ascii="Times New Roman" w:hAnsi="Times New Roman"/>
          <w:sz w:val="30"/>
        </w:rPr>
        <w:t>二十</w:t>
      </w:r>
      <w:r>
        <w:rPr>
          <w:rFonts w:ascii="Times New Roman" w:hAnsi="Times New Roman" w:hint="eastAsia"/>
          <w:sz w:val="30"/>
        </w:rPr>
        <w:t>六</w:t>
      </w:r>
      <w:r>
        <w:rPr>
          <w:rFonts w:ascii="Times New Roman" w:hAnsi="Times New Roman"/>
          <w:sz w:val="30"/>
        </w:rPr>
        <w:t>、招募说明书的存放及查阅方式</w:t>
      </w:r>
      <w:bookmarkEnd w:id="30"/>
    </w:p>
    <w:p w14:paraId="09CD2BD1"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1F169ED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14:paraId="41D91EA9" w14:textId="77777777" w:rsidR="00AE2A54" w:rsidRDefault="002F705F">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14:paraId="417A10D6" w14:textId="0A7BE5AB" w:rsidR="00AE2A54" w:rsidRDefault="002F705F">
      <w:pPr>
        <w:pStyle w:val="1"/>
        <w:snapToGrid w:val="0"/>
        <w:spacing w:beforeLines="0" w:before="240" w:after="240"/>
        <w:rPr>
          <w:rFonts w:ascii="宋体" w:hAnsi="宋体"/>
          <w:szCs w:val="30"/>
        </w:rPr>
      </w:pPr>
      <w:bookmarkStart w:id="31" w:name="_Toc220317720"/>
      <w:r>
        <w:rPr>
          <w:rFonts w:ascii="Times New Roman" w:hAnsi="Times New Roman"/>
          <w:sz w:val="30"/>
        </w:rPr>
        <w:t>二十</w:t>
      </w:r>
      <w:r>
        <w:rPr>
          <w:rFonts w:ascii="Times New Roman" w:hAnsi="Times New Roman" w:hint="eastAsia"/>
          <w:sz w:val="30"/>
        </w:rPr>
        <w:t>七</w:t>
      </w:r>
      <w:r>
        <w:rPr>
          <w:rFonts w:ascii="Times New Roman" w:hAnsi="Times New Roman"/>
          <w:sz w:val="30"/>
        </w:rPr>
        <w:t>、备查文件</w:t>
      </w:r>
      <w:bookmarkEnd w:id="31"/>
    </w:p>
    <w:p w14:paraId="02E4BA9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14:paraId="1BD7B67C"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（一）中国证监会批准交银施罗德环球精选价值证券投资基金募集的文件</w:t>
      </w:r>
    </w:p>
    <w:p w14:paraId="3D807549"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（二）《交银施罗德环球精选价值证券投资基金基金合同》</w:t>
      </w:r>
    </w:p>
    <w:p w14:paraId="042051E2"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（三）《交银施罗德环球精选价值证券投资基金托管协议》</w:t>
      </w:r>
    </w:p>
    <w:p w14:paraId="66F1EED7"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14:paraId="6A64A098"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14:paraId="3171D60A" w14:textId="77777777" w:rsidR="00AE2A54" w:rsidRDefault="002F705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（六）关于申请募集交银施罗德环球精选价值证券投资基金之法律意见书</w:t>
      </w:r>
    </w:p>
    <w:sectPr w:rsidR="00AE2A54">
      <w:footerReference w:type="default" r:id="rId14"/>
      <w:pgSz w:w="11920" w:h="16840"/>
      <w:pgMar w:top="1360" w:right="1580" w:bottom="280" w:left="1680" w:header="0" w:footer="11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27268" w14:textId="77777777" w:rsidR="005917EE" w:rsidRDefault="005917EE">
      <w:r>
        <w:separator/>
      </w:r>
    </w:p>
  </w:endnote>
  <w:endnote w:type="continuationSeparator" w:id="0">
    <w:p w14:paraId="2DCDC833" w14:textId="77777777" w:rsidR="005917EE" w:rsidRDefault="00591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13FCB" w14:textId="77777777" w:rsidR="00AE2A54" w:rsidRDefault="005917EE">
    <w:pPr>
      <w:autoSpaceDE w:val="0"/>
      <w:autoSpaceDN w:val="0"/>
      <w:adjustRightInd w:val="0"/>
      <w:spacing w:line="200" w:lineRule="exact"/>
      <w:jc w:val="left"/>
      <w:rPr>
        <w:rFonts w:ascii="Times New Roman" w:hAnsi="Times New Roman"/>
        <w:kern w:val="0"/>
        <w:sz w:val="20"/>
        <w:szCs w:val="20"/>
      </w:rPr>
    </w:pPr>
    <w:r>
      <w:pict w14:anchorId="691A3CFC">
        <v:shapetype id="_x0000_t202" coordsize="21600,21600" o:spt="202" path="m,l,21600r21600,l21600,xe">
          <v:stroke joinstyle="miter"/>
          <v:path gradientshapeok="t" o:connecttype="rect"/>
        </v:shapetype>
        <v:shape id="_x0000_s2051" type="#_x0000_t202" style="position:absolute;margin-left:293.4pt;margin-top:782.6pt;width:21.6pt;height:11pt;z-index:-2;mso-position-horizontal-relative:page;mso-position-vertical-relative:page;mso-width-relative:page;mso-height-relative:page" o:allowincell="f" filled="f" stroked="f">
          <v:textbox inset="0,0,0,0">
            <w:txbxContent>
              <w:p w14:paraId="6D9786C6" w14:textId="34D1C065" w:rsidR="00AE2A54" w:rsidRDefault="002F705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C367C">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2060A" w14:textId="77777777" w:rsidR="00AE2A54" w:rsidRDefault="005917EE">
    <w:pPr>
      <w:autoSpaceDE w:val="0"/>
      <w:autoSpaceDN w:val="0"/>
      <w:adjustRightInd w:val="0"/>
      <w:spacing w:line="200" w:lineRule="exact"/>
      <w:jc w:val="left"/>
      <w:rPr>
        <w:rFonts w:ascii="Times New Roman" w:hAnsi="Times New Roman"/>
        <w:kern w:val="0"/>
        <w:sz w:val="20"/>
        <w:szCs w:val="20"/>
      </w:rPr>
    </w:pPr>
    <w:r>
      <w:pict w14:anchorId="5EB27128">
        <v:shapetype id="_x0000_t202" coordsize="21600,21600" o:spt="202" path="m,l,21600r21600,l21600,xe">
          <v:stroke joinstyle="miter"/>
          <v:path gradientshapeok="t" o:connecttype="rect"/>
        </v:shapetype>
        <v:shape id="_x0000_s2053" type="#_x0000_t202" style="position:absolute;margin-left:291.25pt;margin-top:773.85pt;width:33.5pt;height:11pt;z-index:-1;mso-position-horizontal-relative:page;mso-position-vertical-relative:page;mso-width-relative:page;mso-height-relative:page" o:allowincell="f" filled="f" stroked="f">
          <v:textbox inset="0,0,0,0">
            <w:txbxContent>
              <w:p w14:paraId="111E9E7A" w14:textId="668FB254" w:rsidR="00AE2A54" w:rsidRDefault="002F705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C367C">
                  <w:rPr>
                    <w:rFonts w:ascii="Times New Roman" w:hAnsi="Times New Roman"/>
                    <w:noProof/>
                    <w:kern w:val="0"/>
                    <w:sz w:val="18"/>
                    <w:szCs w:val="18"/>
                  </w:rPr>
                  <w:t>76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53757" w14:textId="77777777" w:rsidR="005917EE" w:rsidRDefault="005917EE">
      <w:r>
        <w:separator/>
      </w:r>
    </w:p>
  </w:footnote>
  <w:footnote w:type="continuationSeparator" w:id="0">
    <w:p w14:paraId="04666DFF" w14:textId="77777777" w:rsidR="005917EE" w:rsidRDefault="00591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BA1F8" w14:textId="77777777" w:rsidR="00AE2A54" w:rsidRDefault="005917EE">
    <w:pPr>
      <w:pStyle w:val="aa"/>
      <w:jc w:val="right"/>
    </w:pPr>
    <w:r>
      <w:pict w14:anchorId="46C194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0" type="#_x0000_t75" alt="logo1" style="position:absolute;left:0;text-align:left;margin-left:1.5pt;margin-top:-12pt;width:135pt;height:18.75pt;z-index:1;mso-width-relative:page;mso-height-relative:page">
          <v:imagedata r:id="rId1" o:title="logo1"/>
        </v:shape>
      </w:pict>
    </w:r>
  </w:p>
  <w:p w14:paraId="2E871CF3" w14:textId="77777777" w:rsidR="00AE2A54" w:rsidRDefault="002F705F">
    <w:pPr>
      <w:pStyle w:val="aa"/>
      <w:jc w:val="right"/>
      <w:rPr>
        <w:rFonts w:ascii="宋体" w:hAnsi="宋体"/>
      </w:rPr>
    </w:pPr>
    <w:r>
      <w:rPr>
        <w:rFonts w:ascii="宋体" w:hAnsi="宋体" w:hint="eastAsia"/>
      </w:rPr>
      <w:t>交银施罗德环球精选价值证券投资基金招募说明书更新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FCCCE" w14:textId="77777777" w:rsidR="00AE2A54" w:rsidRDefault="00AE2A54">
    <w:pPr>
      <w:pStyle w:val="11"/>
      <w:jc w:val="right"/>
    </w:pPr>
  </w:p>
  <w:p w14:paraId="5660B521" w14:textId="77777777" w:rsidR="00AE2A54" w:rsidRDefault="00AE2A54">
    <w:pPr>
      <w:pStyle w:val="11"/>
      <w:jc w:val="right"/>
    </w:pPr>
  </w:p>
  <w:p w14:paraId="571198F7" w14:textId="4E2682DF" w:rsidR="00AE2A54" w:rsidRDefault="00AE2A54">
    <w:pPr>
      <w:pStyle w:val="aa"/>
      <w:jc w:val="right"/>
    </w:pPr>
  </w:p>
  <w:p w14:paraId="58915C96" w14:textId="77777777" w:rsidR="00AE2A54" w:rsidRDefault="00AE2A54">
    <w:pPr>
      <w:pStyle w:val="aa"/>
      <w:jc w:val="right"/>
    </w:pPr>
  </w:p>
  <w:p w14:paraId="5B99DD8D" w14:textId="77777777" w:rsidR="00AE2A54" w:rsidRDefault="002F705F">
    <w:pPr>
      <w:pStyle w:val="aa"/>
      <w:jc w:val="right"/>
      <w:rPr>
        <w:rFonts w:ascii="宋体" w:hAnsi="宋体"/>
      </w:rPr>
    </w:pPr>
    <w:r>
      <w:rPr>
        <w:rFonts w:ascii="宋体" w:hAnsi="宋体" w:hint="eastAsia"/>
      </w:rPr>
      <w:t>交银施罗德环球精选价值证券投资基金招募说明书更新</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9507F" w14:textId="77777777" w:rsidR="00AE2A54" w:rsidRDefault="00AE2A54">
    <w:pPr>
      <w:pStyle w:val="aa"/>
      <w:jc w:val="right"/>
    </w:pPr>
  </w:p>
  <w:p w14:paraId="6BC1CBAF" w14:textId="77777777" w:rsidR="00AE2A54" w:rsidRDefault="00AE2A54">
    <w:pPr>
      <w:pStyle w:val="aa"/>
      <w:jc w:val="right"/>
    </w:pPr>
  </w:p>
  <w:p w14:paraId="04AFF795" w14:textId="3677963B" w:rsidR="00AE2A54" w:rsidRDefault="00AE2A54">
    <w:pPr>
      <w:pStyle w:val="aa"/>
      <w:jc w:val="right"/>
    </w:pPr>
  </w:p>
  <w:p w14:paraId="017EF64A" w14:textId="77777777" w:rsidR="00AE2A54" w:rsidRDefault="00AE2A54">
    <w:pPr>
      <w:pStyle w:val="aa"/>
      <w:jc w:val="right"/>
    </w:pPr>
  </w:p>
  <w:p w14:paraId="7EBB1433" w14:textId="77777777" w:rsidR="00AE2A54" w:rsidRDefault="002F705F">
    <w:pPr>
      <w:pStyle w:val="aa"/>
      <w:jc w:val="right"/>
      <w:rPr>
        <w:rFonts w:ascii="宋体" w:hAnsi="宋体"/>
      </w:rPr>
    </w:pPr>
    <w:r>
      <w:rPr>
        <w:rFonts w:ascii="宋体" w:hAnsi="宋体" w:hint="eastAsia"/>
      </w:rPr>
      <w:t>交银施罗德环球精选价值证券投资基金招募说明书更新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bordersDoNotSurroundHeader/>
  <w:bordersDoNotSurroundFooter/>
  <w:hideSpellingErrors/>
  <w:trackRevisions/>
  <w:doNotTrackMoves/>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4"/>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04B0"/>
    <w:rsid w:val="00061C0D"/>
    <w:rsid w:val="0006212F"/>
    <w:rsid w:val="0006220F"/>
    <w:rsid w:val="000647B8"/>
    <w:rsid w:val="0006506B"/>
    <w:rsid w:val="0006551A"/>
    <w:rsid w:val="00067C3C"/>
    <w:rsid w:val="000700AC"/>
    <w:rsid w:val="000705A6"/>
    <w:rsid w:val="0007558C"/>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6BC1"/>
    <w:rsid w:val="001177A3"/>
    <w:rsid w:val="001216BE"/>
    <w:rsid w:val="001240EB"/>
    <w:rsid w:val="0012443D"/>
    <w:rsid w:val="00127053"/>
    <w:rsid w:val="0013182D"/>
    <w:rsid w:val="00131CEE"/>
    <w:rsid w:val="0013315B"/>
    <w:rsid w:val="00134FCF"/>
    <w:rsid w:val="00135AD8"/>
    <w:rsid w:val="0013630D"/>
    <w:rsid w:val="001367F2"/>
    <w:rsid w:val="00137B84"/>
    <w:rsid w:val="001412E8"/>
    <w:rsid w:val="0014250F"/>
    <w:rsid w:val="00144B52"/>
    <w:rsid w:val="00153D66"/>
    <w:rsid w:val="0015725E"/>
    <w:rsid w:val="00162F69"/>
    <w:rsid w:val="00164946"/>
    <w:rsid w:val="00165756"/>
    <w:rsid w:val="0017362C"/>
    <w:rsid w:val="0017392F"/>
    <w:rsid w:val="00176355"/>
    <w:rsid w:val="0017713D"/>
    <w:rsid w:val="0018184C"/>
    <w:rsid w:val="0018198F"/>
    <w:rsid w:val="00181C62"/>
    <w:rsid w:val="00183642"/>
    <w:rsid w:val="00184507"/>
    <w:rsid w:val="001860C4"/>
    <w:rsid w:val="00186FAE"/>
    <w:rsid w:val="001917D4"/>
    <w:rsid w:val="001917FC"/>
    <w:rsid w:val="00191D7F"/>
    <w:rsid w:val="001925A2"/>
    <w:rsid w:val="00195218"/>
    <w:rsid w:val="00197A55"/>
    <w:rsid w:val="00197F7E"/>
    <w:rsid w:val="001A1623"/>
    <w:rsid w:val="001A2263"/>
    <w:rsid w:val="001A30E6"/>
    <w:rsid w:val="001A4BF7"/>
    <w:rsid w:val="001B4531"/>
    <w:rsid w:val="001B5817"/>
    <w:rsid w:val="001B5BDB"/>
    <w:rsid w:val="001B75F9"/>
    <w:rsid w:val="001C2B9E"/>
    <w:rsid w:val="001C367C"/>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09E2"/>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64C"/>
    <w:rsid w:val="00281B73"/>
    <w:rsid w:val="002833C9"/>
    <w:rsid w:val="002853EF"/>
    <w:rsid w:val="00285E5C"/>
    <w:rsid w:val="00290B63"/>
    <w:rsid w:val="00290E73"/>
    <w:rsid w:val="00293415"/>
    <w:rsid w:val="00294689"/>
    <w:rsid w:val="0029539A"/>
    <w:rsid w:val="002A1A82"/>
    <w:rsid w:val="002A2FB0"/>
    <w:rsid w:val="002A4CBD"/>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05F"/>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258"/>
    <w:rsid w:val="00336E99"/>
    <w:rsid w:val="00342417"/>
    <w:rsid w:val="003454EC"/>
    <w:rsid w:val="00346537"/>
    <w:rsid w:val="00346F10"/>
    <w:rsid w:val="00347B94"/>
    <w:rsid w:val="003527DD"/>
    <w:rsid w:val="003547A2"/>
    <w:rsid w:val="00355171"/>
    <w:rsid w:val="00362702"/>
    <w:rsid w:val="00362A37"/>
    <w:rsid w:val="00362CF0"/>
    <w:rsid w:val="00362D5D"/>
    <w:rsid w:val="00364AC5"/>
    <w:rsid w:val="00365D15"/>
    <w:rsid w:val="00366BBC"/>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1D47"/>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0851"/>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37938"/>
    <w:rsid w:val="00444FB7"/>
    <w:rsid w:val="00450674"/>
    <w:rsid w:val="004533FE"/>
    <w:rsid w:val="00454715"/>
    <w:rsid w:val="00454D80"/>
    <w:rsid w:val="00456785"/>
    <w:rsid w:val="00461F4A"/>
    <w:rsid w:val="00462EB0"/>
    <w:rsid w:val="00463933"/>
    <w:rsid w:val="00464346"/>
    <w:rsid w:val="00470325"/>
    <w:rsid w:val="00470F42"/>
    <w:rsid w:val="00471605"/>
    <w:rsid w:val="0047297A"/>
    <w:rsid w:val="00474709"/>
    <w:rsid w:val="004761C9"/>
    <w:rsid w:val="00480184"/>
    <w:rsid w:val="00480516"/>
    <w:rsid w:val="00480658"/>
    <w:rsid w:val="00480D3C"/>
    <w:rsid w:val="0048170B"/>
    <w:rsid w:val="00481BD4"/>
    <w:rsid w:val="00482768"/>
    <w:rsid w:val="00482AA2"/>
    <w:rsid w:val="0048579F"/>
    <w:rsid w:val="00485F46"/>
    <w:rsid w:val="00487005"/>
    <w:rsid w:val="004901A7"/>
    <w:rsid w:val="004A084F"/>
    <w:rsid w:val="004A1FA1"/>
    <w:rsid w:val="004A3225"/>
    <w:rsid w:val="004A3F90"/>
    <w:rsid w:val="004A5F59"/>
    <w:rsid w:val="004A6F1F"/>
    <w:rsid w:val="004B17D8"/>
    <w:rsid w:val="004B2323"/>
    <w:rsid w:val="004B62C3"/>
    <w:rsid w:val="004C0BC8"/>
    <w:rsid w:val="004C10C5"/>
    <w:rsid w:val="004C461A"/>
    <w:rsid w:val="004C5768"/>
    <w:rsid w:val="004C7D23"/>
    <w:rsid w:val="004D0783"/>
    <w:rsid w:val="004D11CB"/>
    <w:rsid w:val="004D1CA6"/>
    <w:rsid w:val="004D4832"/>
    <w:rsid w:val="004D49E3"/>
    <w:rsid w:val="004D7163"/>
    <w:rsid w:val="004E0366"/>
    <w:rsid w:val="004E1C30"/>
    <w:rsid w:val="004E3342"/>
    <w:rsid w:val="004E45AC"/>
    <w:rsid w:val="004E4672"/>
    <w:rsid w:val="004E4FEB"/>
    <w:rsid w:val="004E5593"/>
    <w:rsid w:val="004E6545"/>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37239"/>
    <w:rsid w:val="00543B42"/>
    <w:rsid w:val="0054651A"/>
    <w:rsid w:val="00546EA9"/>
    <w:rsid w:val="005474CD"/>
    <w:rsid w:val="005501B7"/>
    <w:rsid w:val="0055152E"/>
    <w:rsid w:val="00552094"/>
    <w:rsid w:val="0055309B"/>
    <w:rsid w:val="00553D73"/>
    <w:rsid w:val="005548B3"/>
    <w:rsid w:val="00554BAF"/>
    <w:rsid w:val="00555A15"/>
    <w:rsid w:val="00556291"/>
    <w:rsid w:val="005569E4"/>
    <w:rsid w:val="00560E11"/>
    <w:rsid w:val="00561147"/>
    <w:rsid w:val="00561463"/>
    <w:rsid w:val="00561AD2"/>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7EE"/>
    <w:rsid w:val="00591C2A"/>
    <w:rsid w:val="00592461"/>
    <w:rsid w:val="00592539"/>
    <w:rsid w:val="00596A05"/>
    <w:rsid w:val="00596CBE"/>
    <w:rsid w:val="00596D6D"/>
    <w:rsid w:val="00597284"/>
    <w:rsid w:val="00597F8F"/>
    <w:rsid w:val="005A1336"/>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13DE"/>
    <w:rsid w:val="005C2E15"/>
    <w:rsid w:val="005C403B"/>
    <w:rsid w:val="005C63CB"/>
    <w:rsid w:val="005D0AA6"/>
    <w:rsid w:val="005D165F"/>
    <w:rsid w:val="005D21F3"/>
    <w:rsid w:val="005D3CF8"/>
    <w:rsid w:val="005D5D89"/>
    <w:rsid w:val="005D5E6C"/>
    <w:rsid w:val="005E0D2D"/>
    <w:rsid w:val="005E3FB6"/>
    <w:rsid w:val="005F0CAD"/>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6F96"/>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0DBC"/>
    <w:rsid w:val="006A3F85"/>
    <w:rsid w:val="006A48FA"/>
    <w:rsid w:val="006A56F1"/>
    <w:rsid w:val="006A6E5C"/>
    <w:rsid w:val="006B0972"/>
    <w:rsid w:val="006B3153"/>
    <w:rsid w:val="006B46B1"/>
    <w:rsid w:val="006B5871"/>
    <w:rsid w:val="006B6BB1"/>
    <w:rsid w:val="006B7212"/>
    <w:rsid w:val="006C14C3"/>
    <w:rsid w:val="006C4B6F"/>
    <w:rsid w:val="006C589D"/>
    <w:rsid w:val="006C769C"/>
    <w:rsid w:val="006C7A95"/>
    <w:rsid w:val="006D11E8"/>
    <w:rsid w:val="006D4B0E"/>
    <w:rsid w:val="006D753C"/>
    <w:rsid w:val="006E0A00"/>
    <w:rsid w:val="006E1CC5"/>
    <w:rsid w:val="006E306D"/>
    <w:rsid w:val="006E4BEC"/>
    <w:rsid w:val="006E694C"/>
    <w:rsid w:val="006E6968"/>
    <w:rsid w:val="006F04C6"/>
    <w:rsid w:val="006F08A0"/>
    <w:rsid w:val="006F1D2C"/>
    <w:rsid w:val="006F2A97"/>
    <w:rsid w:val="006F7AD7"/>
    <w:rsid w:val="007020D0"/>
    <w:rsid w:val="00702627"/>
    <w:rsid w:val="0070359F"/>
    <w:rsid w:val="0070464C"/>
    <w:rsid w:val="00705474"/>
    <w:rsid w:val="00705B46"/>
    <w:rsid w:val="007076B2"/>
    <w:rsid w:val="00711BBB"/>
    <w:rsid w:val="0071340A"/>
    <w:rsid w:val="00713FC7"/>
    <w:rsid w:val="00716FD1"/>
    <w:rsid w:val="00720D0F"/>
    <w:rsid w:val="007218A9"/>
    <w:rsid w:val="0072230B"/>
    <w:rsid w:val="0072241C"/>
    <w:rsid w:val="007245A5"/>
    <w:rsid w:val="00731628"/>
    <w:rsid w:val="00734108"/>
    <w:rsid w:val="007343AD"/>
    <w:rsid w:val="0073448D"/>
    <w:rsid w:val="00735087"/>
    <w:rsid w:val="00736FA0"/>
    <w:rsid w:val="0074053E"/>
    <w:rsid w:val="007456C6"/>
    <w:rsid w:val="0075000E"/>
    <w:rsid w:val="00752156"/>
    <w:rsid w:val="00753A7A"/>
    <w:rsid w:val="00753BB4"/>
    <w:rsid w:val="007545F1"/>
    <w:rsid w:val="00756E77"/>
    <w:rsid w:val="007577C2"/>
    <w:rsid w:val="0076038F"/>
    <w:rsid w:val="00760D77"/>
    <w:rsid w:val="007617E5"/>
    <w:rsid w:val="00765558"/>
    <w:rsid w:val="0077124E"/>
    <w:rsid w:val="00772FA7"/>
    <w:rsid w:val="0077578C"/>
    <w:rsid w:val="007817AC"/>
    <w:rsid w:val="00781ACA"/>
    <w:rsid w:val="007823CF"/>
    <w:rsid w:val="00783E35"/>
    <w:rsid w:val="00784F67"/>
    <w:rsid w:val="00786540"/>
    <w:rsid w:val="00786754"/>
    <w:rsid w:val="00786D49"/>
    <w:rsid w:val="00787061"/>
    <w:rsid w:val="00790F0A"/>
    <w:rsid w:val="00790F5E"/>
    <w:rsid w:val="007927A6"/>
    <w:rsid w:val="00797F6E"/>
    <w:rsid w:val="007A1F4C"/>
    <w:rsid w:val="007A3B42"/>
    <w:rsid w:val="007A53F8"/>
    <w:rsid w:val="007B05BD"/>
    <w:rsid w:val="007B31A5"/>
    <w:rsid w:val="007B3327"/>
    <w:rsid w:val="007B3533"/>
    <w:rsid w:val="007B4996"/>
    <w:rsid w:val="007B6926"/>
    <w:rsid w:val="007B6FA3"/>
    <w:rsid w:val="007B705D"/>
    <w:rsid w:val="007C3208"/>
    <w:rsid w:val="007C5764"/>
    <w:rsid w:val="007C61D0"/>
    <w:rsid w:val="007C6FAA"/>
    <w:rsid w:val="007C768F"/>
    <w:rsid w:val="007D0C84"/>
    <w:rsid w:val="007D251F"/>
    <w:rsid w:val="007D4FA2"/>
    <w:rsid w:val="007E0874"/>
    <w:rsid w:val="007E0FAD"/>
    <w:rsid w:val="007E60E9"/>
    <w:rsid w:val="007E63F3"/>
    <w:rsid w:val="007E6F5A"/>
    <w:rsid w:val="007F0916"/>
    <w:rsid w:val="007F1E7D"/>
    <w:rsid w:val="007F2A79"/>
    <w:rsid w:val="007F3026"/>
    <w:rsid w:val="007F42DD"/>
    <w:rsid w:val="007F4E0F"/>
    <w:rsid w:val="007F6A94"/>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37433"/>
    <w:rsid w:val="00843042"/>
    <w:rsid w:val="00843C37"/>
    <w:rsid w:val="00844886"/>
    <w:rsid w:val="00844C2D"/>
    <w:rsid w:val="00845C17"/>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4336"/>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334"/>
    <w:rsid w:val="009A4E90"/>
    <w:rsid w:val="009A50B8"/>
    <w:rsid w:val="009A737B"/>
    <w:rsid w:val="009B1823"/>
    <w:rsid w:val="009B406F"/>
    <w:rsid w:val="009B443A"/>
    <w:rsid w:val="009B4D09"/>
    <w:rsid w:val="009B6DD1"/>
    <w:rsid w:val="009C0BC6"/>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0D0"/>
    <w:rsid w:val="009E6470"/>
    <w:rsid w:val="009E7175"/>
    <w:rsid w:val="009F08CB"/>
    <w:rsid w:val="009F1E5E"/>
    <w:rsid w:val="009F2C04"/>
    <w:rsid w:val="009F497B"/>
    <w:rsid w:val="009F5331"/>
    <w:rsid w:val="009F6453"/>
    <w:rsid w:val="009F6AD6"/>
    <w:rsid w:val="009F6F30"/>
    <w:rsid w:val="009F7BFB"/>
    <w:rsid w:val="00A0081F"/>
    <w:rsid w:val="00A01B61"/>
    <w:rsid w:val="00A03BCB"/>
    <w:rsid w:val="00A048F3"/>
    <w:rsid w:val="00A04CA6"/>
    <w:rsid w:val="00A051A4"/>
    <w:rsid w:val="00A052DD"/>
    <w:rsid w:val="00A0606E"/>
    <w:rsid w:val="00A06E6F"/>
    <w:rsid w:val="00A115A4"/>
    <w:rsid w:val="00A12A49"/>
    <w:rsid w:val="00A135C4"/>
    <w:rsid w:val="00A13CB5"/>
    <w:rsid w:val="00A13FEC"/>
    <w:rsid w:val="00A17568"/>
    <w:rsid w:val="00A200C3"/>
    <w:rsid w:val="00A21103"/>
    <w:rsid w:val="00A21E3C"/>
    <w:rsid w:val="00A23419"/>
    <w:rsid w:val="00A24A8B"/>
    <w:rsid w:val="00A24BBD"/>
    <w:rsid w:val="00A2566A"/>
    <w:rsid w:val="00A26D62"/>
    <w:rsid w:val="00A27D2E"/>
    <w:rsid w:val="00A30D78"/>
    <w:rsid w:val="00A31032"/>
    <w:rsid w:val="00A31CCF"/>
    <w:rsid w:val="00A32598"/>
    <w:rsid w:val="00A33EF8"/>
    <w:rsid w:val="00A3432E"/>
    <w:rsid w:val="00A40DFB"/>
    <w:rsid w:val="00A435BF"/>
    <w:rsid w:val="00A448B0"/>
    <w:rsid w:val="00A46981"/>
    <w:rsid w:val="00A5101F"/>
    <w:rsid w:val="00A5210B"/>
    <w:rsid w:val="00A524EC"/>
    <w:rsid w:val="00A52F4A"/>
    <w:rsid w:val="00A531D6"/>
    <w:rsid w:val="00A54346"/>
    <w:rsid w:val="00A55211"/>
    <w:rsid w:val="00A569C9"/>
    <w:rsid w:val="00A57DAA"/>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87185"/>
    <w:rsid w:val="00A9137F"/>
    <w:rsid w:val="00A9483B"/>
    <w:rsid w:val="00A94F2C"/>
    <w:rsid w:val="00A972E1"/>
    <w:rsid w:val="00A97357"/>
    <w:rsid w:val="00AA3F8C"/>
    <w:rsid w:val="00AA6E6B"/>
    <w:rsid w:val="00AB0A1F"/>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50"/>
    <w:rsid w:val="00AD5BBB"/>
    <w:rsid w:val="00AE02B5"/>
    <w:rsid w:val="00AE0494"/>
    <w:rsid w:val="00AE0B28"/>
    <w:rsid w:val="00AE0C8D"/>
    <w:rsid w:val="00AE0D50"/>
    <w:rsid w:val="00AE1947"/>
    <w:rsid w:val="00AE242E"/>
    <w:rsid w:val="00AE29BE"/>
    <w:rsid w:val="00AE2A54"/>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5748C"/>
    <w:rsid w:val="00B577D1"/>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6F22"/>
    <w:rsid w:val="00B97B35"/>
    <w:rsid w:val="00BA3196"/>
    <w:rsid w:val="00BA3509"/>
    <w:rsid w:val="00BA5877"/>
    <w:rsid w:val="00BB124C"/>
    <w:rsid w:val="00BB17E3"/>
    <w:rsid w:val="00BB1CDB"/>
    <w:rsid w:val="00BB2110"/>
    <w:rsid w:val="00BB3645"/>
    <w:rsid w:val="00BB547E"/>
    <w:rsid w:val="00BB69B7"/>
    <w:rsid w:val="00BB7772"/>
    <w:rsid w:val="00BC2581"/>
    <w:rsid w:val="00BC3F55"/>
    <w:rsid w:val="00BC481A"/>
    <w:rsid w:val="00BC4D26"/>
    <w:rsid w:val="00BC555D"/>
    <w:rsid w:val="00BC658E"/>
    <w:rsid w:val="00BD0218"/>
    <w:rsid w:val="00BD1869"/>
    <w:rsid w:val="00BD200B"/>
    <w:rsid w:val="00BD63DF"/>
    <w:rsid w:val="00BD64D4"/>
    <w:rsid w:val="00BD7C4B"/>
    <w:rsid w:val="00BE33E8"/>
    <w:rsid w:val="00BE6062"/>
    <w:rsid w:val="00BF2BEB"/>
    <w:rsid w:val="00BF3197"/>
    <w:rsid w:val="00BF5E23"/>
    <w:rsid w:val="00BF6AD1"/>
    <w:rsid w:val="00C01DB8"/>
    <w:rsid w:val="00C0300F"/>
    <w:rsid w:val="00C04C13"/>
    <w:rsid w:val="00C04CA4"/>
    <w:rsid w:val="00C0523E"/>
    <w:rsid w:val="00C06C3C"/>
    <w:rsid w:val="00C0751C"/>
    <w:rsid w:val="00C07D81"/>
    <w:rsid w:val="00C07F14"/>
    <w:rsid w:val="00C11B64"/>
    <w:rsid w:val="00C1218B"/>
    <w:rsid w:val="00C12B6B"/>
    <w:rsid w:val="00C135F1"/>
    <w:rsid w:val="00C140D0"/>
    <w:rsid w:val="00C14775"/>
    <w:rsid w:val="00C150A5"/>
    <w:rsid w:val="00C22905"/>
    <w:rsid w:val="00C22B21"/>
    <w:rsid w:val="00C23593"/>
    <w:rsid w:val="00C2377A"/>
    <w:rsid w:val="00C23845"/>
    <w:rsid w:val="00C31846"/>
    <w:rsid w:val="00C32A33"/>
    <w:rsid w:val="00C34B6D"/>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736DB"/>
    <w:rsid w:val="00C8155C"/>
    <w:rsid w:val="00C907F0"/>
    <w:rsid w:val="00C93A91"/>
    <w:rsid w:val="00C95601"/>
    <w:rsid w:val="00CA1947"/>
    <w:rsid w:val="00CA1C91"/>
    <w:rsid w:val="00CA323D"/>
    <w:rsid w:val="00CA54A0"/>
    <w:rsid w:val="00CB5515"/>
    <w:rsid w:val="00CB76EF"/>
    <w:rsid w:val="00CB7840"/>
    <w:rsid w:val="00CC0E24"/>
    <w:rsid w:val="00CC1380"/>
    <w:rsid w:val="00CC2028"/>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CF4FF1"/>
    <w:rsid w:val="00D00CF9"/>
    <w:rsid w:val="00D011D6"/>
    <w:rsid w:val="00D012FF"/>
    <w:rsid w:val="00D03A94"/>
    <w:rsid w:val="00D04CD8"/>
    <w:rsid w:val="00D04DEC"/>
    <w:rsid w:val="00D114ED"/>
    <w:rsid w:val="00D1261E"/>
    <w:rsid w:val="00D13F32"/>
    <w:rsid w:val="00D14261"/>
    <w:rsid w:val="00D14B5E"/>
    <w:rsid w:val="00D14FF0"/>
    <w:rsid w:val="00D1685E"/>
    <w:rsid w:val="00D171BA"/>
    <w:rsid w:val="00D20298"/>
    <w:rsid w:val="00D24154"/>
    <w:rsid w:val="00D25B74"/>
    <w:rsid w:val="00D25CA1"/>
    <w:rsid w:val="00D31474"/>
    <w:rsid w:val="00D31575"/>
    <w:rsid w:val="00D32933"/>
    <w:rsid w:val="00D3579F"/>
    <w:rsid w:val="00D36B62"/>
    <w:rsid w:val="00D37BF5"/>
    <w:rsid w:val="00D421A7"/>
    <w:rsid w:val="00D42987"/>
    <w:rsid w:val="00D42C18"/>
    <w:rsid w:val="00D43F5E"/>
    <w:rsid w:val="00D44623"/>
    <w:rsid w:val="00D47CF6"/>
    <w:rsid w:val="00D50820"/>
    <w:rsid w:val="00D511C3"/>
    <w:rsid w:val="00D514E4"/>
    <w:rsid w:val="00D5481D"/>
    <w:rsid w:val="00D55B2D"/>
    <w:rsid w:val="00D60045"/>
    <w:rsid w:val="00D628AE"/>
    <w:rsid w:val="00D647C9"/>
    <w:rsid w:val="00D6632B"/>
    <w:rsid w:val="00D67995"/>
    <w:rsid w:val="00D679F2"/>
    <w:rsid w:val="00D7163F"/>
    <w:rsid w:val="00D7298C"/>
    <w:rsid w:val="00D73998"/>
    <w:rsid w:val="00D76FD9"/>
    <w:rsid w:val="00D773DF"/>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418"/>
    <w:rsid w:val="00DA6A38"/>
    <w:rsid w:val="00DA6B30"/>
    <w:rsid w:val="00DA7040"/>
    <w:rsid w:val="00DB07B5"/>
    <w:rsid w:val="00DB07F9"/>
    <w:rsid w:val="00DB14FD"/>
    <w:rsid w:val="00DB3CAF"/>
    <w:rsid w:val="00DB4966"/>
    <w:rsid w:val="00DC1386"/>
    <w:rsid w:val="00DC4187"/>
    <w:rsid w:val="00DC7A46"/>
    <w:rsid w:val="00DD0F54"/>
    <w:rsid w:val="00DD4F7A"/>
    <w:rsid w:val="00DD5050"/>
    <w:rsid w:val="00DD5306"/>
    <w:rsid w:val="00DD55E7"/>
    <w:rsid w:val="00DD5903"/>
    <w:rsid w:val="00DD5E1E"/>
    <w:rsid w:val="00DD687F"/>
    <w:rsid w:val="00DE229B"/>
    <w:rsid w:val="00DE3A2B"/>
    <w:rsid w:val="00DE4A81"/>
    <w:rsid w:val="00DE7AB8"/>
    <w:rsid w:val="00DF3188"/>
    <w:rsid w:val="00DF5529"/>
    <w:rsid w:val="00DF6DE8"/>
    <w:rsid w:val="00DF6FB0"/>
    <w:rsid w:val="00DF76B3"/>
    <w:rsid w:val="00DF76F2"/>
    <w:rsid w:val="00E00083"/>
    <w:rsid w:val="00E009E2"/>
    <w:rsid w:val="00E0136D"/>
    <w:rsid w:val="00E017FD"/>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27AE2"/>
    <w:rsid w:val="00E30031"/>
    <w:rsid w:val="00E329A6"/>
    <w:rsid w:val="00E34CB5"/>
    <w:rsid w:val="00E36419"/>
    <w:rsid w:val="00E37789"/>
    <w:rsid w:val="00E42265"/>
    <w:rsid w:val="00E444FE"/>
    <w:rsid w:val="00E45DAA"/>
    <w:rsid w:val="00E46560"/>
    <w:rsid w:val="00E47307"/>
    <w:rsid w:val="00E47601"/>
    <w:rsid w:val="00E50DB1"/>
    <w:rsid w:val="00E51053"/>
    <w:rsid w:val="00E51A6B"/>
    <w:rsid w:val="00E51A9F"/>
    <w:rsid w:val="00E52CA8"/>
    <w:rsid w:val="00E550CE"/>
    <w:rsid w:val="00E55550"/>
    <w:rsid w:val="00E60B86"/>
    <w:rsid w:val="00E6203E"/>
    <w:rsid w:val="00E62E45"/>
    <w:rsid w:val="00E62F7D"/>
    <w:rsid w:val="00E700B8"/>
    <w:rsid w:val="00E702B9"/>
    <w:rsid w:val="00E70588"/>
    <w:rsid w:val="00E72E72"/>
    <w:rsid w:val="00E75FA1"/>
    <w:rsid w:val="00E76419"/>
    <w:rsid w:val="00E77787"/>
    <w:rsid w:val="00E77C2B"/>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C5EE4"/>
    <w:rsid w:val="00ED22A8"/>
    <w:rsid w:val="00ED2479"/>
    <w:rsid w:val="00ED4EB4"/>
    <w:rsid w:val="00ED5D09"/>
    <w:rsid w:val="00ED7107"/>
    <w:rsid w:val="00EE1985"/>
    <w:rsid w:val="00EE2221"/>
    <w:rsid w:val="00EE276F"/>
    <w:rsid w:val="00EE2982"/>
    <w:rsid w:val="00EE634F"/>
    <w:rsid w:val="00EF369D"/>
    <w:rsid w:val="00EF38A7"/>
    <w:rsid w:val="00EF5144"/>
    <w:rsid w:val="00EF6A39"/>
    <w:rsid w:val="00F00B38"/>
    <w:rsid w:val="00F0376E"/>
    <w:rsid w:val="00F044B3"/>
    <w:rsid w:val="00F05E83"/>
    <w:rsid w:val="00F07DC4"/>
    <w:rsid w:val="00F07E05"/>
    <w:rsid w:val="00F10842"/>
    <w:rsid w:val="00F13C42"/>
    <w:rsid w:val="00F161F7"/>
    <w:rsid w:val="00F17A1B"/>
    <w:rsid w:val="00F206E8"/>
    <w:rsid w:val="00F21755"/>
    <w:rsid w:val="00F21E65"/>
    <w:rsid w:val="00F21F2E"/>
    <w:rsid w:val="00F23947"/>
    <w:rsid w:val="00F23B61"/>
    <w:rsid w:val="00F24659"/>
    <w:rsid w:val="00F257E8"/>
    <w:rsid w:val="00F276F1"/>
    <w:rsid w:val="00F3029D"/>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147"/>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2507"/>
    <w:rsid w:val="00FE3FF3"/>
    <w:rsid w:val="00FE6D8B"/>
    <w:rsid w:val="00FF304F"/>
    <w:rsid w:val="00FF459F"/>
    <w:rsid w:val="00FF4D4F"/>
    <w:rsid w:val="13EB4F55"/>
    <w:rsid w:val="16996940"/>
    <w:rsid w:val="1A113708"/>
    <w:rsid w:val="244D572D"/>
    <w:rsid w:val="29642034"/>
    <w:rsid w:val="2B4F4590"/>
    <w:rsid w:val="2D5E027B"/>
    <w:rsid w:val="37627EE2"/>
    <w:rsid w:val="48CE4FE7"/>
    <w:rsid w:val="4D8212ED"/>
    <w:rsid w:val="5F6749A3"/>
    <w:rsid w:val="6E077376"/>
    <w:rsid w:val="70896628"/>
    <w:rsid w:val="71C7196E"/>
    <w:rsid w:val="7C4B1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55E975E"/>
  <w15:docId w15:val="{25E20E5F-0DE1-4A8A-893E-8F73D9C7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unhideWhenUsed/>
    <w:qFormat/>
    <w:rPr>
      <w:rFonts w:ascii="宋体"/>
      <w:sz w:val="18"/>
      <w:szCs w:val="18"/>
    </w:rPr>
  </w:style>
  <w:style w:type="paragraph" w:styleId="a5">
    <w:name w:val="annotation text"/>
    <w:basedOn w:val="a"/>
    <w:link w:val="a6"/>
    <w:unhideWhenUsed/>
    <w:qFormat/>
    <w:pPr>
      <w:jc w:val="left"/>
    </w:pPr>
  </w:style>
  <w:style w:type="paragraph" w:styleId="a7">
    <w:name w:val="Balloon Text"/>
    <w:basedOn w:val="a"/>
    <w:semiHidden/>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kern w:val="0"/>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1">
    <w:name w:val="toc 1"/>
    <w:basedOn w:val="a"/>
    <w:next w:val="a"/>
    <w:uiPriority w:val="39"/>
    <w:unhideWhenUsed/>
    <w:qFormat/>
  </w:style>
  <w:style w:type="paragraph" w:styleId="ac">
    <w:name w:val="Subtitle"/>
    <w:basedOn w:val="a"/>
    <w:next w:val="a"/>
    <w:link w:val="ad"/>
    <w:qFormat/>
    <w:pPr>
      <w:spacing w:before="240" w:after="60" w:line="312" w:lineRule="auto"/>
      <w:jc w:val="center"/>
      <w:outlineLvl w:val="1"/>
    </w:pPr>
    <w:rPr>
      <w:rFonts w:ascii="Cambria" w:hAnsi="Cambria"/>
      <w:b/>
      <w:bCs/>
      <w:kern w:val="28"/>
      <w:sz w:val="32"/>
      <w:szCs w:val="32"/>
    </w:rPr>
  </w:style>
  <w:style w:type="paragraph" w:styleId="21">
    <w:name w:val="toc 2"/>
    <w:basedOn w:val="a"/>
    <w:next w:val="a"/>
    <w:uiPriority w:val="39"/>
    <w:unhideWhenUsed/>
    <w:qFormat/>
    <w:pPr>
      <w:ind w:leftChars="200" w:left="480"/>
    </w:pPr>
  </w:style>
  <w:style w:type="paragraph" w:styleId="ae">
    <w:name w:val="annotation subject"/>
    <w:basedOn w:val="a5"/>
    <w:next w:val="a5"/>
    <w:link w:val="af"/>
    <w:uiPriority w:val="99"/>
    <w:unhideWhenUsed/>
    <w:qFormat/>
    <w:rPr>
      <w:b/>
      <w:bCs/>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af1">
    <w:name w:val="Hyperlink"/>
    <w:uiPriority w:val="99"/>
    <w:unhideWhenUsed/>
    <w:qFormat/>
    <w:rPr>
      <w:color w:val="0000FF"/>
      <w:u w:val="single"/>
    </w:rPr>
  </w:style>
  <w:style w:type="character" w:styleId="af2">
    <w:name w:val="annotation reference"/>
    <w:unhideWhenUsed/>
    <w:qFormat/>
    <w:rPr>
      <w:sz w:val="21"/>
      <w:szCs w:val="21"/>
    </w:rPr>
  </w:style>
  <w:style w:type="paragraph" w:customStyle="1" w:styleId="Style19">
    <w:name w:val="_Style 19"/>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c"/>
    <w:next w:val="4"/>
    <w:qFormat/>
    <w:pPr>
      <w:keepNext/>
      <w:keepLines/>
      <w:numPr>
        <w:ilvl w:val="5"/>
        <w:numId w:val="1"/>
      </w:numPr>
      <w:ind w:left="0" w:firstLine="0"/>
      <w:jc w:val="left"/>
    </w:pPr>
    <w:rPr>
      <w:bCs w:val="0"/>
      <w:sz w:val="24"/>
    </w:rPr>
  </w:style>
  <w:style w:type="paragraph" w:customStyle="1" w:styleId="Style21">
    <w:name w:val="_Style 21"/>
    <w:uiPriority w:val="99"/>
    <w:semiHidden/>
    <w:qFormat/>
    <w:rPr>
      <w:kern w:val="2"/>
      <w:sz w:val="21"/>
      <w:szCs w:val="22"/>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c"/>
    <w:next w:val="4"/>
    <w:qFormat/>
    <w:pPr>
      <w:keepNext/>
      <w:keepLines/>
      <w:numPr>
        <w:ilvl w:val="1"/>
        <w:numId w:val="1"/>
      </w:numPr>
      <w:jc w:val="left"/>
    </w:pPr>
    <w:rPr>
      <w:bCs w:val="0"/>
      <w:sz w:val="24"/>
    </w:rPr>
  </w:style>
  <w:style w:type="paragraph" w:customStyle="1" w:styleId="XBRLTitle3">
    <w:name w:val="XBRLTitle3"/>
    <w:basedOn w:val="ac"/>
    <w:next w:val="4"/>
    <w:qFormat/>
    <w:pPr>
      <w:keepNext/>
      <w:keepLines/>
      <w:numPr>
        <w:ilvl w:val="2"/>
        <w:numId w:val="1"/>
      </w:numPr>
      <w:ind w:left="0" w:firstLine="0"/>
      <w:jc w:val="left"/>
    </w:pPr>
    <w:rPr>
      <w:bCs w:val="0"/>
      <w:sz w:val="24"/>
    </w:rPr>
  </w:style>
  <w:style w:type="paragraph" w:customStyle="1" w:styleId="XBRLTitle5">
    <w:name w:val="XBRLTitle5"/>
    <w:basedOn w:val="ac"/>
    <w:next w:val="4"/>
    <w:qFormat/>
    <w:pPr>
      <w:keepNext/>
      <w:keepLines/>
      <w:numPr>
        <w:ilvl w:val="4"/>
        <w:numId w:val="1"/>
      </w:numPr>
      <w:ind w:left="0" w:firstLine="0"/>
      <w:jc w:val="left"/>
    </w:pPr>
    <w:rPr>
      <w:bCs w:val="0"/>
      <w:sz w:val="24"/>
    </w:rPr>
  </w:style>
  <w:style w:type="paragraph" w:customStyle="1" w:styleId="XBRLTitle4">
    <w:name w:val="XBRLTitle4"/>
    <w:basedOn w:val="ac"/>
    <w:next w:val="4"/>
    <w:qFormat/>
    <w:pPr>
      <w:keepNext/>
      <w:keepLines/>
      <w:numPr>
        <w:ilvl w:val="3"/>
        <w:numId w:val="1"/>
      </w:numPr>
      <w:ind w:left="0" w:firstLine="0"/>
      <w:jc w:val="left"/>
    </w:pPr>
    <w:rPr>
      <w:bCs w:val="0"/>
      <w:sz w:val="24"/>
    </w:rPr>
  </w:style>
  <w:style w:type="character" w:customStyle="1" w:styleId="Char1">
    <w:name w:val="副标题 Char1"/>
    <w:qFormat/>
    <w:rPr>
      <w:rFonts w:ascii="Cambria" w:hAnsi="Cambria"/>
      <w:b/>
      <w:kern w:val="28"/>
      <w:sz w:val="24"/>
      <w:szCs w:val="32"/>
    </w:rPr>
  </w:style>
  <w:style w:type="character" w:customStyle="1" w:styleId="txtcontent11">
    <w:name w:val="txtcontent11"/>
    <w:qFormat/>
    <w:rPr>
      <w:rFonts w:ascii="ˎ̥" w:hAnsi="ˎ̥" w:hint="default"/>
      <w:color w:val="000000"/>
      <w:sz w:val="21"/>
      <w:szCs w:val="21"/>
    </w:rPr>
  </w:style>
  <w:style w:type="character" w:customStyle="1" w:styleId="a6">
    <w:name w:val="批注文字 字符"/>
    <w:link w:val="a5"/>
    <w:qFormat/>
    <w:rPr>
      <w:kern w:val="2"/>
      <w:sz w:val="21"/>
      <w:szCs w:val="22"/>
    </w:rPr>
  </w:style>
  <w:style w:type="character" w:customStyle="1" w:styleId="af">
    <w:name w:val="批注主题 字符"/>
    <w:link w:val="ae"/>
    <w:uiPriority w:val="99"/>
    <w:semiHidden/>
    <w:qFormat/>
    <w:rPr>
      <w:b/>
      <w:bCs/>
      <w:kern w:val="2"/>
      <w:sz w:val="21"/>
      <w:szCs w:val="22"/>
    </w:rPr>
  </w:style>
  <w:style w:type="character" w:customStyle="1" w:styleId="ab">
    <w:name w:val="页眉 字符"/>
    <w:link w:val="aa"/>
    <w:uiPriority w:val="99"/>
    <w:qFormat/>
    <w:rPr>
      <w:sz w:val="18"/>
      <w:szCs w:val="18"/>
    </w:rPr>
  </w:style>
  <w:style w:type="character" w:customStyle="1" w:styleId="ad">
    <w:name w:val="副标题 字符"/>
    <w:link w:val="ac"/>
    <w:qFormat/>
    <w:rPr>
      <w:rFonts w:ascii="Cambria" w:hAnsi="Cambria" w:cs="Times New Roman"/>
      <w:b/>
      <w:bCs/>
      <w:kern w:val="28"/>
      <w:sz w:val="32"/>
      <w:szCs w:val="32"/>
    </w:rPr>
  </w:style>
  <w:style w:type="character" w:customStyle="1" w:styleId="a4">
    <w:name w:val="文档结构图 字符"/>
    <w:link w:val="a3"/>
    <w:uiPriority w:val="99"/>
    <w:semiHidden/>
    <w:qFormat/>
    <w:rPr>
      <w:rFonts w:ascii="宋体"/>
      <w:kern w:val="2"/>
      <w:sz w:val="18"/>
      <w:szCs w:val="18"/>
    </w:rPr>
  </w:style>
  <w:style w:type="character" w:customStyle="1" w:styleId="a9">
    <w:name w:val="页脚 字符"/>
    <w:link w:val="a8"/>
    <w:uiPriority w:val="99"/>
    <w:qFormat/>
    <w:rPr>
      <w:sz w:val="18"/>
      <w:szCs w:val="18"/>
    </w:rPr>
  </w:style>
  <w:style w:type="character" w:customStyle="1" w:styleId="20">
    <w:name w:val="标题 2 字符"/>
    <w:link w:val="2"/>
    <w:uiPriority w:val="9"/>
    <w:semiHidden/>
    <w:qFormat/>
    <w:rPr>
      <w:rFonts w:ascii="Cambria" w:eastAsia="宋体" w:hAnsi="Cambria" w:cs="Times New Roman"/>
      <w:b/>
      <w:bCs/>
      <w:kern w:val="2"/>
      <w:sz w:val="32"/>
      <w:szCs w:val="32"/>
    </w:rPr>
  </w:style>
  <w:style w:type="character" w:customStyle="1" w:styleId="40">
    <w:name w:val="标题 4 字符"/>
    <w:link w:val="4"/>
    <w:uiPriority w:val="9"/>
    <w:semiHidden/>
    <w:qFormat/>
    <w:rPr>
      <w:rFonts w:ascii="Cambria" w:eastAsia="宋体" w:hAnsi="Cambria" w:cs="Times New Roman"/>
      <w:b/>
      <w:bCs/>
      <w:kern w:val="2"/>
      <w:sz w:val="28"/>
      <w:szCs w:val="28"/>
    </w:rPr>
  </w:style>
  <w:style w:type="character" w:customStyle="1" w:styleId="10">
    <w:name w:val="标题 1 字符"/>
    <w:link w:val="1"/>
    <w:uiPriority w:val="9"/>
    <w:qFormat/>
    <w:rPr>
      <w:b/>
      <w:bCs/>
      <w:kern w:val="44"/>
      <w:sz w:val="28"/>
      <w:szCs w:val="44"/>
    </w:rPr>
  </w:style>
  <w:style w:type="paragraph" w:customStyle="1" w:styleId="12">
    <w:name w:val="修订1"/>
    <w:hidden/>
    <w:uiPriority w:val="99"/>
    <w:semiHidden/>
    <w:qFormat/>
    <w:rPr>
      <w:kern w:val="2"/>
      <w:sz w:val="21"/>
      <w:szCs w:val="22"/>
    </w:rPr>
  </w:style>
  <w:style w:type="paragraph" w:styleId="af3">
    <w:name w:val="Revision"/>
    <w:hidden/>
    <w:uiPriority w:val="99"/>
    <w:semiHidden/>
    <w:rsid w:val="001C367C"/>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yingmi.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49"/>
    <customShpInfo spid="_x0000_s2051"/>
    <customShpInfo spid="_x0000_s2052"/>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167</Pages>
  <Words>16683</Words>
  <Characters>95097</Characters>
  <Application>Microsoft Office Word</Application>
  <DocSecurity>0</DocSecurity>
  <Lines>792</Lines>
  <Paragraphs>223</Paragraphs>
  <ScaleCrop>false</ScaleCrop>
  <Company>Microsoft</Company>
  <LinksUpToDate>false</LinksUpToDate>
  <CharactersWithSpaces>111557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张婕茹</cp:lastModifiedBy>
  <cp:revision>115</cp:revision>
  <cp:lastPrinted>2013-02-18T03:10:00Z</cp:lastPrinted>
  <dcterms:created xsi:type="dcterms:W3CDTF">2026-01-26T03:01:00Z</dcterms:created>
  <dcterms:modified xsi:type="dcterms:W3CDTF">2026-04-13T05:18:00Z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6CEC57BBD600499A9E2D93E66310AB2E</vt:lpwstr>
  </property>
</Properties>
</file>