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88FCEF">
      <w:pPr>
        <w:rPr>
          <w:sz w:val="32"/>
        </w:rPr>
      </w:pPr>
      <w:bookmarkStart w:id="29" w:name="_GoBack"/>
      <w:bookmarkEnd w:id="29"/>
    </w:p>
    <w:p w14:paraId="375C1552">
      <w:pPr>
        <w:rPr>
          <w:sz w:val="32"/>
        </w:rPr>
      </w:pPr>
    </w:p>
    <w:p w14:paraId="62AAC2FA">
      <w:pPr>
        <w:rPr>
          <w:sz w:val="32"/>
        </w:rPr>
      </w:pPr>
    </w:p>
    <w:p w14:paraId="4C06E901">
      <w:pPr>
        <w:jc w:val="center"/>
        <w:rPr>
          <w:sz w:val="32"/>
        </w:rPr>
      </w:pPr>
      <w:r>
        <w:pict>
          <v:shape id="_x0000_i1025" o:spt="75" alt="logo1" type="#_x0000_t75" style="height:45pt;width:342pt;" filled="f" o:preferrelative="t" stroked="f" coordsize="21600,21600">
            <v:path/>
            <v:fill on="f" focussize="0,0"/>
            <v:stroke on="f" joinstyle="miter"/>
            <v:imagedata r:id="rId12" o:title="logo1"/>
            <o:lock v:ext="edit" aspectratio="t"/>
            <w10:wrap type="none"/>
            <w10:anchorlock/>
          </v:shape>
        </w:pict>
      </w:r>
    </w:p>
    <w:p w14:paraId="4025B2B1">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0144F64A">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4DA91B05">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交银施罗德增利增强债券型证券投资基金</w:t>
      </w:r>
    </w:p>
    <w:p w14:paraId="6B7E7A1D">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6E1F9408">
      <w:pPr>
        <w:snapToGrid w:val="0"/>
        <w:spacing w:line="360" w:lineRule="auto"/>
        <w:jc w:val="center"/>
        <w:rPr>
          <w:rFonts w:ascii="宋体" w:hAnsi="宋体"/>
          <w:b/>
          <w:sz w:val="30"/>
          <w:szCs w:val="30"/>
        </w:rPr>
      </w:pPr>
    </w:p>
    <w:p w14:paraId="4C7EED84">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C6ACF79">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8A62BB9">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9E83F15">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DC8F187">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50E6AD45">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C921931">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4BDD4092">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14:paraId="0202FDBB">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7CC967F">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0EB65C63">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w:t>
      </w:r>
      <w:r>
        <w:rPr>
          <w:rFonts w:hint="eastAsia" w:ascii="Times New Roman" w:hAnsi="Times New Roman"/>
          <w:b/>
          <w:spacing w:val="2"/>
          <w:w w:val="99"/>
          <w:kern w:val="0"/>
          <w:sz w:val="28"/>
          <w:szCs w:val="32"/>
          <w:lang w:val="en-US" w:eastAsia="zh-CN"/>
        </w:rPr>
        <w:t>六</w:t>
      </w:r>
      <w:r>
        <w:rPr>
          <w:rFonts w:ascii="Times New Roman" w:hAnsi="Times New Roman"/>
          <w:b/>
          <w:spacing w:val="2"/>
          <w:w w:val="99"/>
          <w:kern w:val="0"/>
          <w:sz w:val="28"/>
          <w:szCs w:val="32"/>
        </w:rPr>
        <w:t>年</w:t>
      </w:r>
      <w:r>
        <w:rPr>
          <w:rFonts w:hint="eastAsia" w:ascii="Times New Roman" w:hAnsi="Times New Roman"/>
          <w:b/>
          <w:spacing w:val="2"/>
          <w:w w:val="99"/>
          <w:kern w:val="0"/>
          <w:sz w:val="28"/>
          <w:szCs w:val="32"/>
          <w:lang w:val="en-US" w:eastAsia="zh-CN"/>
        </w:rPr>
        <w:t>三</w:t>
      </w:r>
      <w:r>
        <w:rPr>
          <w:rFonts w:ascii="Times New Roman" w:hAnsi="Times New Roman"/>
          <w:b/>
          <w:spacing w:val="2"/>
          <w:w w:val="99"/>
          <w:kern w:val="0"/>
          <w:sz w:val="28"/>
          <w:szCs w:val="32"/>
        </w:rPr>
        <w:t>月</w:t>
      </w:r>
    </w:p>
    <w:p w14:paraId="39D1923E">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5BA617B5">
      <w:pPr>
        <w:pStyle w:val="2"/>
        <w:snapToGrid w:val="0"/>
        <w:spacing w:before="240" w:beforeLines="0" w:after="240"/>
        <w:rPr>
          <w:rFonts w:ascii="宋体" w:hAnsi="宋体"/>
          <w:kern w:val="0"/>
        </w:rPr>
      </w:pPr>
      <w:bookmarkStart w:id="0" w:name="_Toc496884613"/>
      <w:bookmarkStart w:id="1" w:name="_Toc324920538"/>
      <w:bookmarkStart w:id="2" w:name="_Toc201216787"/>
      <w:r>
        <w:rPr>
          <w:rFonts w:ascii="Times New Roman" w:hAnsi="Times New Roman"/>
          <w:kern w:val="0"/>
        </w:rPr>
        <w:t>重要提示</w:t>
      </w:r>
      <w:bookmarkEnd w:id="0"/>
      <w:bookmarkEnd w:id="1"/>
      <w:bookmarkEnd w:id="2"/>
    </w:p>
    <w:p w14:paraId="0DE85E30">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增利增强债券型证券投资基金（以下简称“本基金”）经2013年10月22日中国证券监督管理委员会（以下简称“中国证监会”）证监许可【2013】1330号文核准，并经机构部函【2017】439号准予延期募集。本基金基金合同于2017年6月2日正式生效。</w:t>
      </w:r>
    </w:p>
    <w:p w14:paraId="26720C57">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14:paraId="0050223A">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14:paraId="1D3DBC87">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投资科创板股票的特定风险等等。本基金是一只债券型基金，其风险与预期收益高于货币市场基金，低于混合型基金和股票型基金，属于证券投资基金中中等风险的品种。</w:t>
      </w:r>
    </w:p>
    <w:p w14:paraId="64763606">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14:paraId="26036823">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14:paraId="6BBEC607">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14:paraId="10BFE70B">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本次更新招募说明书主要对投资范围增加存托凭证、修改基金转换的相关事项进行更新，更新截止日为20</w:t>
      </w:r>
      <w:r>
        <w:rPr>
          <w:rFonts w:hint="eastAsia" w:ascii="Times New Roman" w:hAnsi="Times New Roman"/>
          <w:kern w:val="0"/>
          <w:sz w:val="24"/>
          <w:lang w:val="en-US" w:eastAsia="zh-CN"/>
        </w:rPr>
        <w:t>26</w:t>
      </w:r>
      <w:r>
        <w:rPr>
          <w:rFonts w:hint="eastAsia" w:ascii="Times New Roman" w:hAnsi="Times New Roman"/>
          <w:kern w:val="0"/>
          <w:sz w:val="24"/>
        </w:rPr>
        <w:t>年</w:t>
      </w:r>
      <w:r>
        <w:rPr>
          <w:rFonts w:hint="eastAsia" w:ascii="Times New Roman" w:hAnsi="Times New Roman"/>
          <w:kern w:val="0"/>
          <w:sz w:val="24"/>
          <w:lang w:val="en-US" w:eastAsia="zh-CN"/>
        </w:rPr>
        <w:t>03</w:t>
      </w:r>
      <w:r>
        <w:rPr>
          <w:rFonts w:hint="eastAsia" w:ascii="Times New Roman" w:hAnsi="Times New Roman"/>
          <w:kern w:val="0"/>
          <w:sz w:val="24"/>
        </w:rPr>
        <w:t>月</w:t>
      </w:r>
      <w:r>
        <w:rPr>
          <w:rFonts w:hint="eastAsia" w:ascii="Times New Roman" w:hAnsi="Times New Roman"/>
          <w:kern w:val="0"/>
          <w:sz w:val="24"/>
          <w:lang w:val="en-US" w:eastAsia="zh-CN"/>
        </w:rPr>
        <w:t>02</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rPr>
        <w:t>其他</w:t>
      </w:r>
      <w:r>
        <w:rPr>
          <w:rFonts w:ascii="Times New Roman" w:hAnsi="Times New Roman"/>
          <w:kern w:val="0"/>
          <w:sz w:val="24"/>
        </w:rPr>
        <w:t>所载内容截止日为2025年05月26日，有关财务数据和净值表现截止日为2025年03月31日。本招募说明书所载的财务数据未经审计。</w:t>
      </w:r>
    </w:p>
    <w:p w14:paraId="1A116CD8">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14:paraId="3DD9A698">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61D8F400">
      <w:pPr>
        <w:pStyle w:val="10"/>
        <w:tabs>
          <w:tab w:val="right" w:leader="dot" w:pos="8550"/>
        </w:tabs>
        <w:spacing w:line="360" w:lineRule="auto"/>
        <w:rPr>
          <w:rFonts w:ascii="宋体" w:hAnsi="宋体"/>
          <w:sz w:val="24"/>
        </w:rPr>
      </w:pPr>
      <w:r>
        <w:fldChar w:fldCharType="begin"/>
      </w:r>
      <w:r>
        <w:instrText xml:space="preserve"> HYPERLINK \l "_Toc201216787"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_Toc201216787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B159B96">
      <w:pPr>
        <w:pStyle w:val="10"/>
        <w:tabs>
          <w:tab w:val="right" w:leader="dot" w:pos="8550"/>
        </w:tabs>
        <w:spacing w:line="360" w:lineRule="auto"/>
        <w:rPr>
          <w:rFonts w:ascii="宋体" w:hAnsi="宋体"/>
          <w:sz w:val="24"/>
        </w:rPr>
      </w:pPr>
      <w:r>
        <w:fldChar w:fldCharType="begin"/>
      </w:r>
      <w:r>
        <w:instrText xml:space="preserve"> HYPERLINK \l "_Toc201216788"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_Toc201216788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14:paraId="66FE9F6F">
      <w:pPr>
        <w:pStyle w:val="10"/>
        <w:tabs>
          <w:tab w:val="right" w:leader="dot" w:pos="8550"/>
        </w:tabs>
        <w:spacing w:line="360" w:lineRule="auto"/>
        <w:rPr>
          <w:rFonts w:ascii="宋体" w:hAnsi="宋体"/>
          <w:sz w:val="24"/>
        </w:rPr>
      </w:pPr>
      <w:r>
        <w:fldChar w:fldCharType="begin"/>
      </w:r>
      <w:r>
        <w:instrText xml:space="preserve"> HYPERLINK \l "_Toc201216789"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_Toc201216789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14:paraId="51374C46">
      <w:pPr>
        <w:pStyle w:val="10"/>
        <w:tabs>
          <w:tab w:val="right" w:leader="dot" w:pos="8550"/>
        </w:tabs>
        <w:spacing w:line="360" w:lineRule="auto"/>
        <w:rPr>
          <w:rFonts w:ascii="宋体" w:hAnsi="宋体"/>
          <w:sz w:val="24"/>
        </w:rPr>
      </w:pPr>
      <w:r>
        <w:fldChar w:fldCharType="begin"/>
      </w:r>
      <w:r>
        <w:instrText xml:space="preserve"> HYPERLINK \l "_Toc201216790"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_Toc201216790 \h </w:instrText>
      </w:r>
      <w:r>
        <w:rPr>
          <w:rFonts w:ascii="宋体" w:hAnsi="宋体"/>
          <w:sz w:val="24"/>
        </w:rPr>
        <w:fldChar w:fldCharType="separate"/>
      </w:r>
      <w:r>
        <w:rPr>
          <w:rFonts w:ascii="宋体" w:hAnsi="宋体"/>
          <w:sz w:val="24"/>
        </w:rPr>
        <w:t>12</w:t>
      </w:r>
      <w:r>
        <w:rPr>
          <w:rFonts w:ascii="宋体" w:hAnsi="宋体"/>
          <w:sz w:val="24"/>
        </w:rPr>
        <w:fldChar w:fldCharType="end"/>
      </w:r>
      <w:r>
        <w:rPr>
          <w:rFonts w:ascii="宋体" w:hAnsi="宋体"/>
          <w:sz w:val="24"/>
        </w:rPr>
        <w:fldChar w:fldCharType="end"/>
      </w:r>
    </w:p>
    <w:p w14:paraId="5176094C">
      <w:pPr>
        <w:pStyle w:val="10"/>
        <w:tabs>
          <w:tab w:val="right" w:leader="dot" w:pos="8550"/>
        </w:tabs>
        <w:spacing w:line="360" w:lineRule="auto"/>
        <w:rPr>
          <w:rFonts w:ascii="宋体" w:hAnsi="宋体"/>
          <w:sz w:val="24"/>
        </w:rPr>
      </w:pPr>
      <w:r>
        <w:fldChar w:fldCharType="begin"/>
      </w:r>
      <w:r>
        <w:instrText xml:space="preserve"> HYPERLINK \l "_Toc201216791"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_Toc201216791 \h </w:instrText>
      </w:r>
      <w:r>
        <w:rPr>
          <w:rFonts w:ascii="宋体" w:hAnsi="宋体"/>
          <w:sz w:val="24"/>
        </w:rPr>
        <w:fldChar w:fldCharType="separate"/>
      </w:r>
      <w:r>
        <w:rPr>
          <w:rFonts w:ascii="宋体" w:hAnsi="宋体"/>
          <w:sz w:val="24"/>
        </w:rPr>
        <w:t>20</w:t>
      </w:r>
      <w:r>
        <w:rPr>
          <w:rFonts w:ascii="宋体" w:hAnsi="宋体"/>
          <w:sz w:val="24"/>
        </w:rPr>
        <w:fldChar w:fldCharType="end"/>
      </w:r>
      <w:r>
        <w:rPr>
          <w:rFonts w:ascii="宋体" w:hAnsi="宋体"/>
          <w:sz w:val="24"/>
        </w:rPr>
        <w:fldChar w:fldCharType="end"/>
      </w:r>
    </w:p>
    <w:p w14:paraId="384F89B8">
      <w:pPr>
        <w:pStyle w:val="10"/>
        <w:tabs>
          <w:tab w:val="right" w:leader="dot" w:pos="8550"/>
        </w:tabs>
        <w:spacing w:line="360" w:lineRule="auto"/>
        <w:rPr>
          <w:rFonts w:ascii="宋体" w:hAnsi="宋体"/>
          <w:sz w:val="24"/>
        </w:rPr>
      </w:pPr>
      <w:r>
        <w:fldChar w:fldCharType="begin"/>
      </w:r>
      <w:r>
        <w:instrText xml:space="preserve"> HYPERLINK \l "_Toc201216792"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_Toc201216792 \h </w:instrText>
      </w:r>
      <w:r>
        <w:rPr>
          <w:rFonts w:ascii="宋体" w:hAnsi="宋体"/>
          <w:sz w:val="24"/>
        </w:rPr>
        <w:fldChar w:fldCharType="separate"/>
      </w:r>
      <w:r>
        <w:rPr>
          <w:rFonts w:ascii="宋体" w:hAnsi="宋体"/>
          <w:sz w:val="24"/>
        </w:rPr>
        <w:t>23</w:t>
      </w:r>
      <w:r>
        <w:rPr>
          <w:rFonts w:ascii="宋体" w:hAnsi="宋体"/>
          <w:sz w:val="24"/>
        </w:rPr>
        <w:fldChar w:fldCharType="end"/>
      </w:r>
      <w:r>
        <w:rPr>
          <w:rFonts w:ascii="宋体" w:hAnsi="宋体"/>
          <w:sz w:val="24"/>
        </w:rPr>
        <w:fldChar w:fldCharType="end"/>
      </w:r>
    </w:p>
    <w:p w14:paraId="5E631AE7">
      <w:pPr>
        <w:pStyle w:val="10"/>
        <w:tabs>
          <w:tab w:val="right" w:leader="dot" w:pos="8550"/>
        </w:tabs>
        <w:spacing w:line="360" w:lineRule="auto"/>
        <w:rPr>
          <w:rFonts w:ascii="宋体" w:hAnsi="宋体"/>
          <w:sz w:val="24"/>
        </w:rPr>
      </w:pPr>
      <w:r>
        <w:fldChar w:fldCharType="begin"/>
      </w:r>
      <w:r>
        <w:instrText xml:space="preserve"> HYPERLINK \l "_Toc201216793"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_Toc201216793 \h </w:instrText>
      </w:r>
      <w:r>
        <w:rPr>
          <w:rFonts w:ascii="宋体" w:hAnsi="宋体"/>
          <w:sz w:val="24"/>
        </w:rPr>
        <w:fldChar w:fldCharType="separate"/>
      </w:r>
      <w:r>
        <w:rPr>
          <w:rFonts w:ascii="宋体" w:hAnsi="宋体"/>
          <w:sz w:val="24"/>
        </w:rPr>
        <w:t>54</w:t>
      </w:r>
      <w:r>
        <w:rPr>
          <w:rFonts w:ascii="宋体" w:hAnsi="宋体"/>
          <w:sz w:val="24"/>
        </w:rPr>
        <w:fldChar w:fldCharType="end"/>
      </w:r>
      <w:r>
        <w:rPr>
          <w:rFonts w:ascii="宋体" w:hAnsi="宋体"/>
          <w:sz w:val="24"/>
        </w:rPr>
        <w:fldChar w:fldCharType="end"/>
      </w:r>
    </w:p>
    <w:p w14:paraId="1B0BFF90">
      <w:pPr>
        <w:pStyle w:val="10"/>
        <w:tabs>
          <w:tab w:val="right" w:leader="dot" w:pos="8550"/>
        </w:tabs>
        <w:spacing w:line="360" w:lineRule="auto"/>
        <w:rPr>
          <w:rFonts w:ascii="宋体" w:hAnsi="宋体"/>
          <w:sz w:val="24"/>
        </w:rPr>
      </w:pPr>
      <w:r>
        <w:fldChar w:fldCharType="begin"/>
      </w:r>
      <w:r>
        <w:instrText xml:space="preserve"> HYPERLINK \l "_Toc201216794"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_Toc201216794 \h </w:instrText>
      </w:r>
      <w:r>
        <w:rPr>
          <w:rFonts w:ascii="宋体" w:hAnsi="宋体"/>
          <w:sz w:val="24"/>
        </w:rPr>
        <w:fldChar w:fldCharType="separate"/>
      </w:r>
      <w:r>
        <w:rPr>
          <w:rFonts w:ascii="宋体" w:hAnsi="宋体"/>
          <w:sz w:val="24"/>
        </w:rPr>
        <w:t>55</w:t>
      </w:r>
      <w:r>
        <w:rPr>
          <w:rFonts w:ascii="宋体" w:hAnsi="宋体"/>
          <w:sz w:val="24"/>
        </w:rPr>
        <w:fldChar w:fldCharType="end"/>
      </w:r>
      <w:r>
        <w:rPr>
          <w:rFonts w:ascii="宋体" w:hAnsi="宋体"/>
          <w:sz w:val="24"/>
        </w:rPr>
        <w:fldChar w:fldCharType="end"/>
      </w:r>
    </w:p>
    <w:p w14:paraId="36580384">
      <w:pPr>
        <w:pStyle w:val="10"/>
        <w:tabs>
          <w:tab w:val="right" w:leader="dot" w:pos="8550"/>
        </w:tabs>
        <w:spacing w:line="360" w:lineRule="auto"/>
        <w:rPr>
          <w:rFonts w:ascii="宋体" w:hAnsi="宋体"/>
          <w:sz w:val="24"/>
        </w:rPr>
      </w:pPr>
      <w:r>
        <w:fldChar w:fldCharType="begin"/>
      </w:r>
      <w:r>
        <w:instrText xml:space="preserve"> HYPERLINK \l "_Toc201216795"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_Toc201216795 \h </w:instrText>
      </w:r>
      <w:r>
        <w:rPr>
          <w:rFonts w:ascii="宋体" w:hAnsi="宋体"/>
          <w:sz w:val="24"/>
        </w:rPr>
        <w:fldChar w:fldCharType="separate"/>
      </w:r>
      <w:r>
        <w:rPr>
          <w:rFonts w:ascii="宋体" w:hAnsi="宋体"/>
          <w:sz w:val="24"/>
        </w:rPr>
        <w:t>56</w:t>
      </w:r>
      <w:r>
        <w:rPr>
          <w:rFonts w:ascii="宋体" w:hAnsi="宋体"/>
          <w:sz w:val="24"/>
        </w:rPr>
        <w:fldChar w:fldCharType="end"/>
      </w:r>
      <w:r>
        <w:rPr>
          <w:rFonts w:ascii="宋体" w:hAnsi="宋体"/>
          <w:sz w:val="24"/>
        </w:rPr>
        <w:fldChar w:fldCharType="end"/>
      </w:r>
    </w:p>
    <w:p w14:paraId="698BAE60">
      <w:pPr>
        <w:pStyle w:val="10"/>
        <w:tabs>
          <w:tab w:val="right" w:leader="dot" w:pos="8550"/>
        </w:tabs>
        <w:spacing w:line="360" w:lineRule="auto"/>
        <w:rPr>
          <w:rFonts w:ascii="宋体" w:hAnsi="宋体"/>
          <w:sz w:val="24"/>
        </w:rPr>
      </w:pPr>
      <w:r>
        <w:fldChar w:fldCharType="begin"/>
      </w:r>
      <w:r>
        <w:instrText xml:space="preserve"> HYPERLINK \l "_Toc201216796"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_Toc201216796 \h </w:instrText>
      </w:r>
      <w:r>
        <w:rPr>
          <w:rFonts w:ascii="宋体" w:hAnsi="宋体"/>
          <w:sz w:val="24"/>
        </w:rPr>
        <w:fldChar w:fldCharType="separate"/>
      </w:r>
      <w:r>
        <w:rPr>
          <w:rFonts w:ascii="宋体" w:hAnsi="宋体"/>
          <w:sz w:val="24"/>
        </w:rPr>
        <w:t>72</w:t>
      </w:r>
      <w:r>
        <w:rPr>
          <w:rFonts w:ascii="宋体" w:hAnsi="宋体"/>
          <w:sz w:val="24"/>
        </w:rPr>
        <w:fldChar w:fldCharType="end"/>
      </w:r>
      <w:r>
        <w:rPr>
          <w:rFonts w:ascii="宋体" w:hAnsi="宋体"/>
          <w:sz w:val="24"/>
        </w:rPr>
        <w:fldChar w:fldCharType="end"/>
      </w:r>
    </w:p>
    <w:p w14:paraId="2EAD8765">
      <w:pPr>
        <w:pStyle w:val="10"/>
        <w:tabs>
          <w:tab w:val="right" w:leader="dot" w:pos="8550"/>
        </w:tabs>
        <w:spacing w:line="360" w:lineRule="auto"/>
        <w:rPr>
          <w:rFonts w:ascii="宋体" w:hAnsi="宋体"/>
          <w:sz w:val="24"/>
        </w:rPr>
      </w:pPr>
      <w:r>
        <w:fldChar w:fldCharType="begin"/>
      </w:r>
      <w:r>
        <w:instrText xml:space="preserve"> HYPERLINK \l "_Toc201216797"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_Toc201216797 \h </w:instrText>
      </w:r>
      <w:r>
        <w:rPr>
          <w:rFonts w:ascii="宋体" w:hAnsi="宋体"/>
          <w:sz w:val="24"/>
        </w:rPr>
        <w:fldChar w:fldCharType="separate"/>
      </w:r>
      <w:r>
        <w:rPr>
          <w:rFonts w:ascii="宋体" w:hAnsi="宋体"/>
          <w:sz w:val="24"/>
        </w:rPr>
        <w:t>79</w:t>
      </w:r>
      <w:r>
        <w:rPr>
          <w:rFonts w:ascii="宋体" w:hAnsi="宋体"/>
          <w:sz w:val="24"/>
        </w:rPr>
        <w:fldChar w:fldCharType="end"/>
      </w:r>
      <w:r>
        <w:rPr>
          <w:rFonts w:ascii="宋体" w:hAnsi="宋体"/>
          <w:sz w:val="24"/>
        </w:rPr>
        <w:fldChar w:fldCharType="end"/>
      </w:r>
    </w:p>
    <w:p w14:paraId="52300475">
      <w:pPr>
        <w:pStyle w:val="10"/>
        <w:tabs>
          <w:tab w:val="right" w:leader="dot" w:pos="8550"/>
        </w:tabs>
        <w:spacing w:line="360" w:lineRule="auto"/>
        <w:rPr>
          <w:rFonts w:ascii="宋体" w:hAnsi="宋体"/>
          <w:sz w:val="24"/>
        </w:rPr>
      </w:pPr>
      <w:r>
        <w:fldChar w:fldCharType="begin"/>
      </w:r>
      <w:r>
        <w:instrText xml:space="preserve"> HYPERLINK \l "_Toc201216798"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_Toc201216798 \h </w:instrText>
      </w:r>
      <w:r>
        <w:rPr>
          <w:rFonts w:ascii="宋体" w:hAnsi="宋体"/>
          <w:sz w:val="24"/>
        </w:rPr>
        <w:fldChar w:fldCharType="separate"/>
      </w:r>
      <w:r>
        <w:rPr>
          <w:rFonts w:ascii="宋体" w:hAnsi="宋体"/>
          <w:sz w:val="24"/>
        </w:rPr>
        <w:t>93</w:t>
      </w:r>
      <w:r>
        <w:rPr>
          <w:rFonts w:ascii="宋体" w:hAnsi="宋体"/>
          <w:sz w:val="24"/>
        </w:rPr>
        <w:fldChar w:fldCharType="end"/>
      </w:r>
      <w:r>
        <w:rPr>
          <w:rFonts w:ascii="宋体" w:hAnsi="宋体"/>
          <w:sz w:val="24"/>
        </w:rPr>
        <w:fldChar w:fldCharType="end"/>
      </w:r>
    </w:p>
    <w:p w14:paraId="1727E362">
      <w:pPr>
        <w:pStyle w:val="10"/>
        <w:tabs>
          <w:tab w:val="right" w:leader="dot" w:pos="8550"/>
        </w:tabs>
        <w:spacing w:line="360" w:lineRule="auto"/>
        <w:rPr>
          <w:rFonts w:ascii="宋体" w:hAnsi="宋体"/>
          <w:sz w:val="24"/>
        </w:rPr>
      </w:pPr>
      <w:r>
        <w:fldChar w:fldCharType="begin"/>
      </w:r>
      <w:r>
        <w:instrText xml:space="preserve"> HYPERLINK \l "_Toc201216799"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_Toc201216799 \h </w:instrText>
      </w:r>
      <w:r>
        <w:rPr>
          <w:rFonts w:ascii="宋体" w:hAnsi="宋体"/>
          <w:sz w:val="24"/>
        </w:rPr>
        <w:fldChar w:fldCharType="separate"/>
      </w:r>
      <w:r>
        <w:rPr>
          <w:rFonts w:ascii="宋体" w:hAnsi="宋体"/>
          <w:sz w:val="24"/>
        </w:rPr>
        <w:t>97</w:t>
      </w:r>
      <w:r>
        <w:rPr>
          <w:rFonts w:ascii="宋体" w:hAnsi="宋体"/>
          <w:sz w:val="24"/>
        </w:rPr>
        <w:fldChar w:fldCharType="end"/>
      </w:r>
      <w:r>
        <w:rPr>
          <w:rFonts w:ascii="宋体" w:hAnsi="宋体"/>
          <w:sz w:val="24"/>
        </w:rPr>
        <w:fldChar w:fldCharType="end"/>
      </w:r>
    </w:p>
    <w:p w14:paraId="704AE923">
      <w:pPr>
        <w:pStyle w:val="10"/>
        <w:tabs>
          <w:tab w:val="right" w:leader="dot" w:pos="8550"/>
        </w:tabs>
        <w:spacing w:line="360" w:lineRule="auto"/>
        <w:rPr>
          <w:rFonts w:ascii="宋体" w:hAnsi="宋体"/>
          <w:sz w:val="24"/>
        </w:rPr>
      </w:pPr>
      <w:r>
        <w:fldChar w:fldCharType="begin"/>
      </w:r>
      <w:r>
        <w:instrText xml:space="preserve"> HYPERLINK \l "_Toc201216800"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_Toc201216800 \h </w:instrText>
      </w:r>
      <w:r>
        <w:rPr>
          <w:rFonts w:ascii="宋体" w:hAnsi="宋体"/>
          <w:sz w:val="24"/>
        </w:rPr>
        <w:fldChar w:fldCharType="separate"/>
      </w:r>
      <w:r>
        <w:rPr>
          <w:rFonts w:ascii="宋体" w:hAnsi="宋体"/>
          <w:sz w:val="24"/>
        </w:rPr>
        <w:t>98</w:t>
      </w:r>
      <w:r>
        <w:rPr>
          <w:rFonts w:ascii="宋体" w:hAnsi="宋体"/>
          <w:sz w:val="24"/>
        </w:rPr>
        <w:fldChar w:fldCharType="end"/>
      </w:r>
      <w:r>
        <w:rPr>
          <w:rFonts w:ascii="宋体" w:hAnsi="宋体"/>
          <w:sz w:val="24"/>
        </w:rPr>
        <w:fldChar w:fldCharType="end"/>
      </w:r>
    </w:p>
    <w:p w14:paraId="04DEC8F2">
      <w:pPr>
        <w:pStyle w:val="10"/>
        <w:tabs>
          <w:tab w:val="right" w:leader="dot" w:pos="8550"/>
        </w:tabs>
        <w:spacing w:line="360" w:lineRule="auto"/>
        <w:rPr>
          <w:rFonts w:ascii="宋体" w:hAnsi="宋体"/>
          <w:sz w:val="24"/>
        </w:rPr>
      </w:pPr>
      <w:r>
        <w:fldChar w:fldCharType="begin"/>
      </w:r>
      <w:r>
        <w:instrText xml:space="preserve"> HYPERLINK \l "_Toc201216801"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_Toc201216801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14:paraId="71CFAEAC">
      <w:pPr>
        <w:pStyle w:val="10"/>
        <w:tabs>
          <w:tab w:val="right" w:leader="dot" w:pos="8550"/>
        </w:tabs>
        <w:spacing w:line="360" w:lineRule="auto"/>
        <w:rPr>
          <w:rFonts w:ascii="宋体" w:hAnsi="宋体"/>
          <w:sz w:val="24"/>
        </w:rPr>
      </w:pPr>
      <w:r>
        <w:fldChar w:fldCharType="begin"/>
      </w:r>
      <w:r>
        <w:instrText xml:space="preserve"> HYPERLINK \l "_Toc201216802"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_Toc201216802 \h </w:instrText>
      </w:r>
      <w:r>
        <w:rPr>
          <w:rFonts w:ascii="宋体" w:hAnsi="宋体"/>
          <w:sz w:val="24"/>
        </w:rPr>
        <w:fldChar w:fldCharType="separate"/>
      </w:r>
      <w:r>
        <w:rPr>
          <w:rFonts w:ascii="宋体" w:hAnsi="宋体"/>
          <w:sz w:val="24"/>
        </w:rPr>
        <w:t>105</w:t>
      </w:r>
      <w:r>
        <w:rPr>
          <w:rFonts w:ascii="宋体" w:hAnsi="宋体"/>
          <w:sz w:val="24"/>
        </w:rPr>
        <w:fldChar w:fldCharType="end"/>
      </w:r>
      <w:r>
        <w:rPr>
          <w:rFonts w:ascii="宋体" w:hAnsi="宋体"/>
          <w:sz w:val="24"/>
        </w:rPr>
        <w:fldChar w:fldCharType="end"/>
      </w:r>
    </w:p>
    <w:p w14:paraId="476CF69E">
      <w:pPr>
        <w:pStyle w:val="10"/>
        <w:tabs>
          <w:tab w:val="right" w:leader="dot" w:pos="8550"/>
        </w:tabs>
        <w:spacing w:line="360" w:lineRule="auto"/>
        <w:rPr>
          <w:rFonts w:ascii="宋体" w:hAnsi="宋体"/>
          <w:sz w:val="24"/>
        </w:rPr>
      </w:pPr>
      <w:r>
        <w:fldChar w:fldCharType="begin"/>
      </w:r>
      <w:r>
        <w:instrText xml:space="preserve"> HYPERLINK \l "_Toc201216803"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_Toc201216803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14:paraId="3A3DE83C">
      <w:pPr>
        <w:pStyle w:val="10"/>
        <w:tabs>
          <w:tab w:val="right" w:leader="dot" w:pos="8550"/>
        </w:tabs>
        <w:spacing w:line="360" w:lineRule="auto"/>
        <w:rPr>
          <w:rFonts w:ascii="宋体" w:hAnsi="宋体"/>
          <w:sz w:val="24"/>
        </w:rPr>
      </w:pPr>
      <w:r>
        <w:fldChar w:fldCharType="begin"/>
      </w:r>
      <w:r>
        <w:instrText xml:space="preserve"> HYPERLINK \l "_Toc201216804"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_Toc201216804 \h </w:instrText>
      </w:r>
      <w:r>
        <w:rPr>
          <w:rFonts w:ascii="宋体" w:hAnsi="宋体"/>
          <w:sz w:val="24"/>
        </w:rPr>
        <w:fldChar w:fldCharType="separate"/>
      </w:r>
      <w:r>
        <w:rPr>
          <w:rFonts w:ascii="宋体" w:hAnsi="宋体"/>
          <w:sz w:val="24"/>
        </w:rPr>
        <w:t>109</w:t>
      </w:r>
      <w:r>
        <w:rPr>
          <w:rFonts w:ascii="宋体" w:hAnsi="宋体"/>
          <w:sz w:val="24"/>
        </w:rPr>
        <w:fldChar w:fldCharType="end"/>
      </w:r>
      <w:r>
        <w:rPr>
          <w:rFonts w:ascii="宋体" w:hAnsi="宋体"/>
          <w:sz w:val="24"/>
        </w:rPr>
        <w:fldChar w:fldCharType="end"/>
      </w:r>
    </w:p>
    <w:p w14:paraId="740321A8">
      <w:pPr>
        <w:pStyle w:val="10"/>
        <w:tabs>
          <w:tab w:val="right" w:leader="dot" w:pos="8550"/>
        </w:tabs>
        <w:spacing w:line="360" w:lineRule="auto"/>
        <w:rPr>
          <w:rFonts w:ascii="宋体" w:hAnsi="宋体"/>
          <w:sz w:val="24"/>
        </w:rPr>
      </w:pPr>
      <w:r>
        <w:fldChar w:fldCharType="begin"/>
      </w:r>
      <w:r>
        <w:instrText xml:space="preserve"> HYPERLINK \l "_Toc201216805"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_Toc201216805 \h </w:instrText>
      </w:r>
      <w:r>
        <w:rPr>
          <w:rFonts w:ascii="宋体" w:hAnsi="宋体"/>
          <w:sz w:val="24"/>
        </w:rPr>
        <w:fldChar w:fldCharType="separate"/>
      </w:r>
      <w:r>
        <w:rPr>
          <w:rFonts w:ascii="宋体" w:hAnsi="宋体"/>
          <w:sz w:val="24"/>
        </w:rPr>
        <w:t>115</w:t>
      </w:r>
      <w:r>
        <w:rPr>
          <w:rFonts w:ascii="宋体" w:hAnsi="宋体"/>
          <w:sz w:val="24"/>
        </w:rPr>
        <w:fldChar w:fldCharType="end"/>
      </w:r>
      <w:r>
        <w:rPr>
          <w:rFonts w:ascii="宋体" w:hAnsi="宋体"/>
          <w:sz w:val="24"/>
        </w:rPr>
        <w:fldChar w:fldCharType="end"/>
      </w:r>
    </w:p>
    <w:p w14:paraId="372F1E65">
      <w:pPr>
        <w:pStyle w:val="10"/>
        <w:tabs>
          <w:tab w:val="right" w:leader="dot" w:pos="8550"/>
        </w:tabs>
        <w:spacing w:line="360" w:lineRule="auto"/>
        <w:rPr>
          <w:rFonts w:ascii="宋体" w:hAnsi="宋体"/>
          <w:sz w:val="24"/>
        </w:rPr>
      </w:pPr>
      <w:r>
        <w:fldChar w:fldCharType="begin"/>
      </w:r>
      <w:r>
        <w:instrText xml:space="preserve"> HYPERLINK \l "_Toc201216806"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_Toc201216806 \h </w:instrText>
      </w:r>
      <w:r>
        <w:rPr>
          <w:rFonts w:ascii="宋体" w:hAnsi="宋体"/>
          <w:sz w:val="24"/>
        </w:rPr>
        <w:fldChar w:fldCharType="separate"/>
      </w:r>
      <w:r>
        <w:rPr>
          <w:rFonts w:ascii="宋体" w:hAnsi="宋体"/>
          <w:sz w:val="24"/>
        </w:rPr>
        <w:t>118</w:t>
      </w:r>
      <w:r>
        <w:rPr>
          <w:rFonts w:ascii="宋体" w:hAnsi="宋体"/>
          <w:sz w:val="24"/>
        </w:rPr>
        <w:fldChar w:fldCharType="end"/>
      </w:r>
      <w:r>
        <w:rPr>
          <w:rFonts w:ascii="宋体" w:hAnsi="宋体"/>
          <w:sz w:val="24"/>
        </w:rPr>
        <w:fldChar w:fldCharType="end"/>
      </w:r>
    </w:p>
    <w:p w14:paraId="25ADE5FB">
      <w:pPr>
        <w:pStyle w:val="10"/>
        <w:tabs>
          <w:tab w:val="right" w:leader="dot" w:pos="8550"/>
        </w:tabs>
        <w:spacing w:line="360" w:lineRule="auto"/>
        <w:rPr>
          <w:rFonts w:ascii="宋体" w:hAnsi="宋体"/>
          <w:sz w:val="24"/>
        </w:rPr>
      </w:pPr>
      <w:r>
        <w:fldChar w:fldCharType="begin"/>
      </w:r>
      <w:r>
        <w:instrText xml:space="preserve"> HYPERLINK \l "_Toc201216807" </w:instrText>
      </w:r>
      <w:r>
        <w:fldChar w:fldCharType="separate"/>
      </w:r>
      <w:r>
        <w:rPr>
          <w:rStyle w:val="18"/>
          <w:rFonts w:hint="eastAsia" w:ascii="宋体" w:hAnsi="宋体"/>
          <w:sz w:val="24"/>
        </w:rPr>
        <w:t>二十、基金合同的变更、终止与基金财产的清算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_Toc201216807 \h </w:instrText>
      </w:r>
      <w:r>
        <w:rPr>
          <w:rFonts w:ascii="宋体" w:hAnsi="宋体"/>
          <w:sz w:val="24"/>
        </w:rPr>
        <w:fldChar w:fldCharType="separate"/>
      </w:r>
      <w:r>
        <w:rPr>
          <w:rFonts w:ascii="宋体" w:hAnsi="宋体"/>
          <w:sz w:val="24"/>
        </w:rPr>
        <w:t>126</w:t>
      </w:r>
      <w:r>
        <w:rPr>
          <w:rFonts w:ascii="宋体" w:hAnsi="宋体"/>
          <w:sz w:val="24"/>
        </w:rPr>
        <w:fldChar w:fldCharType="end"/>
      </w:r>
      <w:r>
        <w:rPr>
          <w:rFonts w:ascii="宋体" w:hAnsi="宋体"/>
          <w:sz w:val="24"/>
        </w:rPr>
        <w:fldChar w:fldCharType="end"/>
      </w:r>
    </w:p>
    <w:p w14:paraId="1B5C8722">
      <w:pPr>
        <w:pStyle w:val="10"/>
        <w:tabs>
          <w:tab w:val="right" w:leader="dot" w:pos="8550"/>
        </w:tabs>
        <w:spacing w:line="360" w:lineRule="auto"/>
        <w:rPr>
          <w:rFonts w:ascii="宋体" w:hAnsi="宋体"/>
          <w:sz w:val="24"/>
        </w:rPr>
      </w:pPr>
      <w:r>
        <w:fldChar w:fldCharType="begin"/>
      </w:r>
      <w:r>
        <w:instrText xml:space="preserve"> HYPERLINK \l "_Toc201216808"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_Toc201216808 \h </w:instrText>
      </w:r>
      <w:r>
        <w:rPr>
          <w:rFonts w:ascii="宋体" w:hAnsi="宋体"/>
          <w:sz w:val="24"/>
        </w:rPr>
        <w:fldChar w:fldCharType="separate"/>
      </w:r>
      <w:r>
        <w:rPr>
          <w:rFonts w:ascii="宋体" w:hAnsi="宋体"/>
          <w:sz w:val="24"/>
        </w:rPr>
        <w:t>128</w:t>
      </w:r>
      <w:r>
        <w:rPr>
          <w:rFonts w:ascii="宋体" w:hAnsi="宋体"/>
          <w:sz w:val="24"/>
        </w:rPr>
        <w:fldChar w:fldCharType="end"/>
      </w:r>
      <w:r>
        <w:rPr>
          <w:rFonts w:ascii="宋体" w:hAnsi="宋体"/>
          <w:sz w:val="24"/>
        </w:rPr>
        <w:fldChar w:fldCharType="end"/>
      </w:r>
    </w:p>
    <w:p w14:paraId="47B8D8A0">
      <w:pPr>
        <w:pStyle w:val="10"/>
        <w:tabs>
          <w:tab w:val="right" w:leader="dot" w:pos="8550"/>
        </w:tabs>
        <w:spacing w:line="360" w:lineRule="auto"/>
        <w:rPr>
          <w:rFonts w:ascii="宋体" w:hAnsi="宋体"/>
          <w:sz w:val="24"/>
        </w:rPr>
      </w:pPr>
      <w:r>
        <w:fldChar w:fldCharType="begin"/>
      </w:r>
      <w:r>
        <w:instrText xml:space="preserve"> HYPERLINK \l "_Toc201216809"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_Toc201216809 \h </w:instrText>
      </w:r>
      <w:r>
        <w:rPr>
          <w:rFonts w:ascii="宋体" w:hAnsi="宋体"/>
          <w:sz w:val="24"/>
        </w:rPr>
        <w:fldChar w:fldCharType="separate"/>
      </w:r>
      <w:r>
        <w:rPr>
          <w:rFonts w:ascii="宋体" w:hAnsi="宋体"/>
          <w:sz w:val="24"/>
        </w:rPr>
        <w:t>144</w:t>
      </w:r>
      <w:r>
        <w:rPr>
          <w:rFonts w:ascii="宋体" w:hAnsi="宋体"/>
          <w:sz w:val="24"/>
        </w:rPr>
        <w:fldChar w:fldCharType="end"/>
      </w:r>
      <w:r>
        <w:rPr>
          <w:rFonts w:ascii="宋体" w:hAnsi="宋体"/>
          <w:sz w:val="24"/>
        </w:rPr>
        <w:fldChar w:fldCharType="end"/>
      </w:r>
    </w:p>
    <w:p w14:paraId="195B5196">
      <w:pPr>
        <w:pStyle w:val="10"/>
        <w:tabs>
          <w:tab w:val="right" w:leader="dot" w:pos="8550"/>
        </w:tabs>
        <w:spacing w:line="360" w:lineRule="auto"/>
        <w:rPr>
          <w:rFonts w:ascii="宋体" w:hAnsi="宋体"/>
          <w:sz w:val="24"/>
        </w:rPr>
      </w:pPr>
      <w:r>
        <w:fldChar w:fldCharType="begin"/>
      </w:r>
      <w:r>
        <w:instrText xml:space="preserve"> HYPERLINK \l "_Toc201216810"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_Toc201216810 \h </w:instrText>
      </w:r>
      <w:r>
        <w:rPr>
          <w:rFonts w:ascii="宋体" w:hAnsi="宋体"/>
          <w:sz w:val="24"/>
        </w:rPr>
        <w:fldChar w:fldCharType="separate"/>
      </w:r>
      <w:r>
        <w:rPr>
          <w:rFonts w:ascii="宋体" w:hAnsi="宋体"/>
          <w:sz w:val="24"/>
        </w:rPr>
        <w:t>156</w:t>
      </w:r>
      <w:r>
        <w:rPr>
          <w:rFonts w:ascii="宋体" w:hAnsi="宋体"/>
          <w:sz w:val="24"/>
        </w:rPr>
        <w:fldChar w:fldCharType="end"/>
      </w:r>
      <w:r>
        <w:rPr>
          <w:rFonts w:ascii="宋体" w:hAnsi="宋体"/>
          <w:sz w:val="24"/>
        </w:rPr>
        <w:fldChar w:fldCharType="end"/>
      </w:r>
    </w:p>
    <w:p w14:paraId="5F55AAB4">
      <w:pPr>
        <w:pStyle w:val="10"/>
        <w:tabs>
          <w:tab w:val="right" w:leader="dot" w:pos="8550"/>
        </w:tabs>
        <w:spacing w:line="360" w:lineRule="auto"/>
        <w:rPr>
          <w:rFonts w:ascii="宋体" w:hAnsi="宋体"/>
          <w:sz w:val="24"/>
        </w:rPr>
      </w:pPr>
      <w:r>
        <w:fldChar w:fldCharType="begin"/>
      </w:r>
      <w:r>
        <w:instrText xml:space="preserve"> HYPERLINK \l "_Toc201216811"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_Toc201216811 \h </w:instrText>
      </w:r>
      <w:r>
        <w:rPr>
          <w:rFonts w:ascii="宋体" w:hAnsi="宋体"/>
          <w:sz w:val="24"/>
        </w:rPr>
        <w:fldChar w:fldCharType="separate"/>
      </w:r>
      <w:r>
        <w:rPr>
          <w:rFonts w:ascii="宋体" w:hAnsi="宋体"/>
          <w:sz w:val="24"/>
        </w:rPr>
        <w:t>158</w:t>
      </w:r>
      <w:r>
        <w:rPr>
          <w:rFonts w:ascii="宋体" w:hAnsi="宋体"/>
          <w:sz w:val="24"/>
        </w:rPr>
        <w:fldChar w:fldCharType="end"/>
      </w:r>
      <w:r>
        <w:rPr>
          <w:rFonts w:ascii="宋体" w:hAnsi="宋体"/>
          <w:sz w:val="24"/>
        </w:rPr>
        <w:fldChar w:fldCharType="end"/>
      </w:r>
    </w:p>
    <w:p w14:paraId="7482929B">
      <w:pPr>
        <w:pStyle w:val="10"/>
        <w:tabs>
          <w:tab w:val="right" w:leader="dot" w:pos="8550"/>
        </w:tabs>
        <w:spacing w:line="360" w:lineRule="auto"/>
        <w:rPr>
          <w:rFonts w:ascii="宋体" w:hAnsi="宋体"/>
          <w:sz w:val="24"/>
        </w:rPr>
      </w:pPr>
      <w:r>
        <w:fldChar w:fldCharType="begin"/>
      </w:r>
      <w:r>
        <w:instrText xml:space="preserve"> HYPERLINK \l "_Toc201216812"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_Toc201216812 \h </w:instrText>
      </w:r>
      <w:r>
        <w:rPr>
          <w:rFonts w:ascii="宋体" w:hAnsi="宋体"/>
          <w:sz w:val="24"/>
        </w:rPr>
        <w:fldChar w:fldCharType="separate"/>
      </w:r>
      <w:r>
        <w:rPr>
          <w:rFonts w:ascii="宋体" w:hAnsi="宋体"/>
          <w:sz w:val="24"/>
        </w:rPr>
        <w:t>161</w:t>
      </w:r>
      <w:r>
        <w:rPr>
          <w:rFonts w:ascii="宋体" w:hAnsi="宋体"/>
          <w:sz w:val="24"/>
        </w:rPr>
        <w:fldChar w:fldCharType="end"/>
      </w:r>
      <w:r>
        <w:rPr>
          <w:rFonts w:ascii="宋体" w:hAnsi="宋体"/>
          <w:sz w:val="24"/>
        </w:rPr>
        <w:fldChar w:fldCharType="end"/>
      </w:r>
    </w:p>
    <w:p w14:paraId="503F2EA2">
      <w:pPr>
        <w:pStyle w:val="10"/>
        <w:tabs>
          <w:tab w:val="right" w:leader="dot" w:pos="8550"/>
        </w:tabs>
        <w:spacing w:line="360" w:lineRule="auto"/>
        <w:rPr>
          <w:rFonts w:ascii="宋体" w:hAnsi="宋体"/>
          <w:sz w:val="24"/>
        </w:rPr>
      </w:pPr>
      <w:r>
        <w:fldChar w:fldCharType="begin"/>
      </w:r>
      <w:r>
        <w:instrText xml:space="preserve"> HYPERLINK \l "_Toc201216813"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_Toc201216813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14:paraId="22ECCD1A">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14:paraId="22825B54">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1C23D8D8">
      <w:pPr>
        <w:pStyle w:val="2"/>
        <w:snapToGrid w:val="0"/>
        <w:spacing w:before="240" w:beforeLines="0" w:after="240"/>
        <w:rPr>
          <w:rFonts w:ascii="宋体" w:hAnsi="宋体"/>
          <w:szCs w:val="30"/>
        </w:rPr>
      </w:pPr>
      <w:bookmarkStart w:id="3" w:name="_Toc201216788"/>
      <w:r>
        <w:rPr>
          <w:rFonts w:ascii="Times New Roman" w:hAnsi="Times New Roman"/>
          <w:sz w:val="30"/>
        </w:rPr>
        <w:t>一、绪言</w:t>
      </w:r>
      <w:bookmarkEnd w:id="3"/>
    </w:p>
    <w:p w14:paraId="26429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增利增强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增利增强债券型证券投资基金基金合同》（以下简称“基金合同”）编写。</w:t>
      </w:r>
    </w:p>
    <w:p w14:paraId="6447FC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38BBA8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12450BF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DE8CA22">
      <w:pPr>
        <w:pStyle w:val="2"/>
        <w:snapToGrid w:val="0"/>
        <w:spacing w:before="240" w:beforeLines="0" w:after="240"/>
        <w:rPr>
          <w:rFonts w:ascii="宋体" w:hAnsi="宋体"/>
          <w:szCs w:val="30"/>
        </w:rPr>
      </w:pPr>
      <w:bookmarkStart w:id="4" w:name="_Toc201216789"/>
      <w:r>
        <w:rPr>
          <w:rFonts w:ascii="Times New Roman" w:hAnsi="Times New Roman"/>
          <w:sz w:val="30"/>
        </w:rPr>
        <w:t>二、释义</w:t>
      </w:r>
      <w:bookmarkEnd w:id="4"/>
    </w:p>
    <w:p w14:paraId="669F7E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0FC5C4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1、基金或本基金：指交银施罗德增利增强债券型证券投资基金</w:t>
      </w:r>
    </w:p>
    <w:p w14:paraId="310C8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14:paraId="48E02B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3、基金托管人或本基金托管人：指中国建设银行股份有限公司</w:t>
      </w:r>
    </w:p>
    <w:p w14:paraId="5AE315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4、基金合同、《基金合同》或本基金合同：指《交银施罗德增利增强债券型证券投资基金基金合同》及对本基金合同的任何有效修订和补充</w:t>
      </w:r>
    </w:p>
    <w:p w14:paraId="54B08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5、托管协议：指基金管理人与基金托管人就本基金签订之《交银施罗德增利增强债券型证券投资基金托管协议》及对该托管协议的任何有效修订和补充</w:t>
      </w:r>
    </w:p>
    <w:p w14:paraId="140B2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6、招募说明书或《招募说明书》或本招募说明书：指《交银施罗德增利增强债券型证券投资基金招募说明书》及其更新</w:t>
      </w:r>
    </w:p>
    <w:p w14:paraId="0B15D9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7、基金份额发售公告：指《交银施罗德增利增强债券型证券投资基金基金份额发售公告》</w:t>
      </w:r>
    </w:p>
    <w:p w14:paraId="60583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8、基金产品资料概要：指《交银施罗德增利增强债券型证券投资基金基金产品资料概要》及其更新</w:t>
      </w:r>
    </w:p>
    <w:p w14:paraId="33DCD1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3952C6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14:paraId="379249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14:paraId="0221D0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14:paraId="66556A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14:paraId="75EEF1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14:paraId="6ABE05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14:paraId="16E058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16、银行业监督管理机构：指中国人民银行和/或中国银行业监督管理委员会</w:t>
      </w:r>
    </w:p>
    <w:p w14:paraId="37ABB0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14:paraId="50906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14:paraId="4FB84D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14:paraId="6C813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14:paraId="347991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14:paraId="36DC99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14:paraId="47F8DC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14:paraId="312651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24、直销机构：指交银施罗德基金管理有限公司</w:t>
      </w:r>
    </w:p>
    <w:p w14:paraId="261360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代销机构：指符合《销售办法》和中国证监会规定的其他条件，取得基金销售业务资格并接受基金管理人委托，代为办理基金销售业务的机构以及可通过上海证券交易所开放式基金销售系统办理基金销售业务的会员单位</w:t>
      </w:r>
    </w:p>
    <w:p w14:paraId="507AE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会员单位：指具有开放式基金销售业务资格，经上海证券交易所和中国证券登记结算有限责任公司认可的、可通过上海证券交易所开放式基金销售系统办理开放式基金的认购、申购、赎回和转托管等业务的上海证券交易所会员单位</w:t>
      </w:r>
    </w:p>
    <w:p w14:paraId="16B3C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27、销售机构：指直销机构和代销机构</w:t>
      </w:r>
    </w:p>
    <w:p w14:paraId="09B900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95AC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14:paraId="4AAC3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14:paraId="4BE1E3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14:paraId="33D37B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14:paraId="53236F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上海证券账户：指在中国证券登记结算有限责任公司上海分公司开设的上海证券交易所人民币普通股票账户或证券投资基金账户，投资人通过上海证券交易所开放式基金销售系统办理申购、赎回等业务时需持有上海证券账户</w:t>
      </w:r>
    </w:p>
    <w:p w14:paraId="1180C3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14:paraId="13D221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14:paraId="7F6820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36、基金募集期：指自基金份额发售之日起至发售结束之日止的期间，最长不得超过3个月</w:t>
      </w:r>
    </w:p>
    <w:p w14:paraId="58B487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37、存续期：指基金合同生效至终止之间的不定期期限</w:t>
      </w:r>
    </w:p>
    <w:p w14:paraId="20AFC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38、工作日：指上海证券交易所、深圳证券交易所的正常交易日</w:t>
      </w:r>
    </w:p>
    <w:p w14:paraId="11D0B1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39、T日：指销售机构在规定时间受理投资人申购、赎回或其他业务申请的开放日</w:t>
      </w:r>
    </w:p>
    <w:p w14:paraId="0E27E8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40、T+n日：指自T日起第n个工作日(不包含T日)</w:t>
      </w:r>
    </w:p>
    <w:p w14:paraId="2C00E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41、开放日：指为投资人办理基金份额申购、赎回或其他业务的工作日</w:t>
      </w:r>
    </w:p>
    <w:p w14:paraId="3907B2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42、开放时间：指开放日基金接受申购、赎回或其他交易的时间段</w:t>
      </w:r>
    </w:p>
    <w:p w14:paraId="7753B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国证券登记结算有限责任公司场内业务有关规则及其不时做出的修订</w:t>
      </w:r>
    </w:p>
    <w:p w14:paraId="612B0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44、认购：指在基金募集期内，投资人根据基金合同和招募说明书的规定申请购买基金份额的行为</w:t>
      </w:r>
    </w:p>
    <w:p w14:paraId="4B28C0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45、申购：指基金合同生效后，投资人根据基金合同和招募说明书的规定申请购买基金份额的行为</w:t>
      </w:r>
    </w:p>
    <w:p w14:paraId="7560B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14:paraId="195CFC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14:paraId="1F561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14:paraId="451ADE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49、注册登记系统：指中国证券登记结算有限责任公司开放式基金登记结算系统</w:t>
      </w:r>
    </w:p>
    <w:p w14:paraId="32D364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50、证券登记结算系统：指中国证券登记结算有限责任公司上海分公司证券登记结算系统</w:t>
      </w:r>
    </w:p>
    <w:p w14:paraId="72C6FE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51、销售服务费：指从基金资产中计提的，用于本基金市场推广、销售以及基金份额持有人服务的费用</w:t>
      </w:r>
    </w:p>
    <w:p w14:paraId="570FE2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在投资人申购时收取申购费用、赎回时收取赎回费用的，称为D类基金份额</w:t>
      </w:r>
    </w:p>
    <w:p w14:paraId="177015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w:t>
      </w:r>
      <w:r>
        <w:rPr>
          <w:rFonts w:hint="eastAsia" w:ascii="宋体" w:hAnsi="宋体"/>
          <w:sz w:val="24"/>
        </w:rPr>
        <w:t>该基金其他份额（如有）或</w:t>
      </w:r>
      <w:r>
        <w:rPr>
          <w:rFonts w:ascii="宋体" w:hAnsi="宋体"/>
          <w:sz w:val="24"/>
        </w:rPr>
        <w:t>基金管理人管理的其他基金基金份额的行为</w:t>
      </w:r>
    </w:p>
    <w:p w14:paraId="41F585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54、转托管：指基金份额持有人在本基金的不同销售机构之间实施的变更所持基金份额销售机构的操作</w:t>
      </w:r>
    </w:p>
    <w:p w14:paraId="03079E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14:paraId="5657C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14:paraId="0097D0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57、元：指人民币元</w:t>
      </w:r>
    </w:p>
    <w:p w14:paraId="5B30FE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14:paraId="01966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59、基金资产总值：指基金拥有的各类有价证券、银行存款本息、基金应收申购款及其他资产的价值总和</w:t>
      </w:r>
    </w:p>
    <w:p w14:paraId="010E3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60、基金资产净值：指基金资产总值减去基金负债后的价值</w:t>
      </w:r>
    </w:p>
    <w:p w14:paraId="1AA0F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61、基金份额净值：指计算日基金资产净值除以计算日基金份额总数</w:t>
      </w:r>
    </w:p>
    <w:p w14:paraId="2D1682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62、基金资产估值：指计算评估基金资产和负债的价值，以确定基金资产净值和基金份额净值的过程</w:t>
      </w:r>
    </w:p>
    <w:p w14:paraId="5396CB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B1A45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14:paraId="19E3BF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51280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089186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67、不可抗力：指本基金合同当事人不能预见、不能避免且不能克服的客观事件</w:t>
      </w:r>
    </w:p>
    <w:p w14:paraId="51E6864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3BB6AE8">
      <w:pPr>
        <w:pStyle w:val="2"/>
        <w:snapToGrid w:val="0"/>
        <w:spacing w:before="240" w:beforeLines="0" w:after="240"/>
        <w:rPr>
          <w:rFonts w:ascii="宋体" w:hAnsi="宋体"/>
          <w:szCs w:val="30"/>
        </w:rPr>
      </w:pPr>
      <w:bookmarkStart w:id="5" w:name="_Toc201216790"/>
      <w:r>
        <w:rPr>
          <w:rFonts w:ascii="Times New Roman" w:hAnsi="Times New Roman"/>
          <w:sz w:val="30"/>
        </w:rPr>
        <w:t>三、基金管理人</w:t>
      </w:r>
      <w:bookmarkEnd w:id="5"/>
    </w:p>
    <w:p w14:paraId="1800F0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7715E9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1E9F95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B40D3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30F7D2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2E47A7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0DE249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3D209D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273C7B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56572D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697D71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0C7AB4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5A78B5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840"/>
        <w:gridCol w:w="5830"/>
      </w:tblGrid>
      <w:tr w14:paraId="280754AB">
        <w:tblPrEx>
          <w:tblCellMar>
            <w:top w:w="0" w:type="dxa"/>
            <w:left w:w="0" w:type="dxa"/>
            <w:bottom w:w="0" w:type="dxa"/>
            <w:right w:w="0" w:type="dxa"/>
          </w:tblCellMar>
        </w:tblPrEx>
        <w:trPr>
          <w:cantSplit/>
          <w:trHeight w:val="375" w:hRule="atLeast"/>
        </w:trPr>
        <w:tc>
          <w:tcPr>
            <w:tcW w:w="1638" w:type="pct"/>
            <w:tcBorders>
              <w:top w:val="single" w:color="auto" w:sz="4" w:space="0"/>
              <w:left w:val="single" w:color="auto" w:sz="4" w:space="0"/>
              <w:bottom w:val="single" w:color="auto" w:sz="4" w:space="0"/>
              <w:right w:val="single" w:color="auto" w:sz="4" w:space="0"/>
            </w:tcBorders>
            <w:vAlign w:val="center"/>
          </w:tcPr>
          <w:p w14:paraId="63CE894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3362" w:type="pct"/>
            <w:tcBorders>
              <w:top w:val="single" w:color="auto" w:sz="4" w:space="0"/>
              <w:left w:val="single" w:color="auto" w:sz="4" w:space="0"/>
              <w:bottom w:val="single" w:color="auto" w:sz="4" w:space="0"/>
              <w:right w:val="single" w:color="auto" w:sz="4" w:space="0"/>
            </w:tcBorders>
            <w:vAlign w:val="center"/>
          </w:tcPr>
          <w:p w14:paraId="0576577F">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43A36F65">
        <w:tblPrEx>
          <w:tblCellMar>
            <w:top w:w="0" w:type="dxa"/>
            <w:left w:w="0" w:type="dxa"/>
            <w:bottom w:w="0" w:type="dxa"/>
            <w:right w:w="0" w:type="dxa"/>
          </w:tblCellMar>
        </w:tblPrEx>
        <w:trPr>
          <w:cantSplit/>
          <w:trHeight w:val="375" w:hRule="atLeast"/>
        </w:trPr>
        <w:tc>
          <w:tcPr>
            <w:tcW w:w="1638" w:type="pct"/>
            <w:tcBorders>
              <w:top w:val="single" w:color="auto" w:sz="4" w:space="0"/>
              <w:left w:val="single" w:color="auto" w:sz="4" w:space="0"/>
              <w:bottom w:val="single" w:color="auto" w:sz="4" w:space="0"/>
              <w:right w:val="single" w:color="auto" w:sz="4" w:space="0"/>
            </w:tcBorders>
            <w:vAlign w:val="center"/>
          </w:tcPr>
          <w:p w14:paraId="3C47DA1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3362" w:type="pct"/>
            <w:tcBorders>
              <w:top w:val="single" w:color="auto" w:sz="4" w:space="0"/>
              <w:left w:val="single" w:color="auto" w:sz="4" w:space="0"/>
              <w:bottom w:val="single" w:color="auto" w:sz="4" w:space="0"/>
              <w:right w:val="single" w:color="auto" w:sz="4" w:space="0"/>
            </w:tcBorders>
            <w:vAlign w:val="center"/>
          </w:tcPr>
          <w:p w14:paraId="2B85B5FD">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265F8990">
        <w:tblPrEx>
          <w:tblCellMar>
            <w:top w:w="0" w:type="dxa"/>
            <w:left w:w="0" w:type="dxa"/>
            <w:bottom w:w="0" w:type="dxa"/>
            <w:right w:w="0" w:type="dxa"/>
          </w:tblCellMar>
        </w:tblPrEx>
        <w:trPr>
          <w:cantSplit/>
          <w:trHeight w:val="375" w:hRule="atLeast"/>
        </w:trPr>
        <w:tc>
          <w:tcPr>
            <w:tcW w:w="1638" w:type="pct"/>
            <w:tcBorders>
              <w:top w:val="single" w:color="auto" w:sz="4" w:space="0"/>
              <w:left w:val="single" w:color="auto" w:sz="4" w:space="0"/>
              <w:bottom w:val="single" w:color="auto" w:sz="4" w:space="0"/>
              <w:right w:val="single" w:color="auto" w:sz="4" w:space="0"/>
            </w:tcBorders>
            <w:vAlign w:val="center"/>
          </w:tcPr>
          <w:p w14:paraId="6FF5504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3362" w:type="pct"/>
            <w:tcBorders>
              <w:top w:val="single" w:color="auto" w:sz="4" w:space="0"/>
              <w:left w:val="single" w:color="auto" w:sz="4" w:space="0"/>
              <w:bottom w:val="single" w:color="auto" w:sz="4" w:space="0"/>
              <w:right w:val="single" w:color="auto" w:sz="4" w:space="0"/>
            </w:tcBorders>
            <w:vAlign w:val="center"/>
          </w:tcPr>
          <w:p w14:paraId="3115A4C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144D12FA">
        <w:tblPrEx>
          <w:tblCellMar>
            <w:top w:w="0" w:type="dxa"/>
            <w:left w:w="0" w:type="dxa"/>
            <w:bottom w:w="0" w:type="dxa"/>
            <w:right w:w="0" w:type="dxa"/>
          </w:tblCellMar>
        </w:tblPrEx>
        <w:trPr>
          <w:cantSplit/>
          <w:trHeight w:val="375" w:hRule="atLeast"/>
        </w:trPr>
        <w:tc>
          <w:tcPr>
            <w:tcW w:w="1638" w:type="pct"/>
            <w:tcBorders>
              <w:top w:val="single" w:color="auto" w:sz="4" w:space="0"/>
              <w:left w:val="single" w:color="auto" w:sz="4" w:space="0"/>
              <w:bottom w:val="single" w:color="auto" w:sz="4" w:space="0"/>
              <w:right w:val="single" w:color="auto" w:sz="4" w:space="0"/>
            </w:tcBorders>
            <w:vAlign w:val="center"/>
          </w:tcPr>
          <w:p w14:paraId="3A2D2B4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3362" w:type="pct"/>
            <w:tcBorders>
              <w:top w:val="single" w:color="auto" w:sz="4" w:space="0"/>
              <w:left w:val="single" w:color="auto" w:sz="4" w:space="0"/>
              <w:bottom w:val="single" w:color="auto" w:sz="4" w:space="0"/>
              <w:right w:val="single" w:color="auto" w:sz="4" w:space="0"/>
            </w:tcBorders>
            <w:vAlign w:val="center"/>
          </w:tcPr>
          <w:p w14:paraId="71E25E6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6BDDCE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16483B4E">
      <w:pPr>
        <w:widowControl/>
        <w:adjustRightInd w:val="0"/>
        <w:snapToGrid w:val="0"/>
        <w:spacing w:line="360" w:lineRule="auto"/>
        <w:ind w:firstLine="480" w:firstLineChars="200"/>
        <w:rPr>
          <w:kern w:val="0"/>
          <w:sz w:val="24"/>
        </w:rPr>
      </w:pPr>
      <w:r>
        <w:rPr>
          <w:rFonts w:hint="eastAsia" w:ascii="宋体" w:hAnsi="宋体"/>
          <w:sz w:val="24"/>
          <w:lang w:val="en-US" w:eastAsia="zh-CN"/>
        </w:rPr>
        <w:t>1</w:t>
      </w:r>
      <w:r>
        <w:rPr>
          <w:rFonts w:hint="eastAsia"/>
          <w:kern w:val="0"/>
          <w:sz w:val="24"/>
        </w:rPr>
        <w:t>、基金管理人董事会成员</w:t>
      </w:r>
    </w:p>
    <w:p w14:paraId="47467643">
      <w:pPr>
        <w:widowControl/>
        <w:adjustRightInd w:val="0"/>
        <w:snapToGrid w:val="0"/>
        <w:spacing w:line="360" w:lineRule="auto"/>
        <w:ind w:firstLine="480" w:firstLineChars="200"/>
        <w:rPr>
          <w:kern w:val="0"/>
          <w:sz w:val="24"/>
        </w:rPr>
      </w:pPr>
      <w:r>
        <w:rPr>
          <w:rFonts w:hint="eastAsia"/>
          <w:kern w:val="0"/>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445633D2">
      <w:pPr>
        <w:widowControl/>
        <w:adjustRightInd w:val="0"/>
        <w:snapToGrid w:val="0"/>
        <w:spacing w:line="360" w:lineRule="auto"/>
        <w:ind w:firstLine="480" w:firstLineChars="200"/>
        <w:rPr>
          <w:kern w:val="0"/>
          <w:sz w:val="24"/>
        </w:rPr>
      </w:pPr>
      <w:r>
        <w:rPr>
          <w:rFonts w:hint="eastAsia"/>
          <w:kern w:val="0"/>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14:paraId="4CA33EA6">
      <w:pPr>
        <w:widowControl/>
        <w:adjustRightInd w:val="0"/>
        <w:snapToGrid w:val="0"/>
        <w:spacing w:line="360" w:lineRule="auto"/>
        <w:ind w:firstLine="480" w:firstLineChars="200"/>
        <w:rPr>
          <w:kern w:val="0"/>
          <w:sz w:val="24"/>
        </w:rPr>
      </w:pPr>
      <w:r>
        <w:rPr>
          <w:rFonts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5A15B949">
      <w:pPr>
        <w:widowControl/>
        <w:adjustRightInd w:val="0"/>
        <w:snapToGrid w:val="0"/>
        <w:spacing w:line="360" w:lineRule="auto"/>
        <w:ind w:firstLine="480" w:firstLineChars="200"/>
        <w:rPr>
          <w:kern w:val="0"/>
          <w:sz w:val="24"/>
        </w:rPr>
      </w:pPr>
      <w:r>
        <w:rPr>
          <w:rFonts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71DA1021">
      <w:pPr>
        <w:widowControl/>
        <w:adjustRightInd w:val="0"/>
        <w:snapToGrid w:val="0"/>
        <w:spacing w:line="360" w:lineRule="auto"/>
        <w:ind w:firstLine="480" w:firstLineChars="200"/>
        <w:rPr>
          <w:kern w:val="0"/>
          <w:sz w:val="24"/>
        </w:rPr>
      </w:pPr>
      <w:r>
        <w:rPr>
          <w:rFonts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26AF43A7">
      <w:pPr>
        <w:widowControl/>
        <w:adjustRightInd w:val="0"/>
        <w:snapToGrid w:val="0"/>
        <w:spacing w:line="360" w:lineRule="auto"/>
        <w:ind w:firstLine="480" w:firstLineChars="200"/>
        <w:rPr>
          <w:kern w:val="0"/>
          <w:sz w:val="24"/>
        </w:rPr>
      </w:pPr>
      <w:r>
        <w:rPr>
          <w:rFonts w:hint="eastAsia"/>
          <w:kern w:val="0"/>
          <w:sz w:val="24"/>
        </w:rPr>
        <w:t>单锋先生，独立董事，博士。现任南京大学法学教授职务。历任南京大学法学院助教、讲师、副教授。</w:t>
      </w:r>
    </w:p>
    <w:p w14:paraId="1A97992C">
      <w:pPr>
        <w:widowControl/>
        <w:adjustRightInd w:val="0"/>
        <w:snapToGrid w:val="0"/>
        <w:spacing w:line="360" w:lineRule="auto"/>
        <w:ind w:firstLine="480" w:firstLineChars="200"/>
        <w:rPr>
          <w:kern w:val="0"/>
          <w:sz w:val="24"/>
        </w:rPr>
      </w:pPr>
      <w:r>
        <w:rPr>
          <w:rFonts w:hint="eastAsia"/>
          <w:kern w:val="0"/>
          <w:sz w:val="24"/>
        </w:rPr>
        <w:t>刘凤元先生，独立董事，博士。现任华东政法大学国际金融法律学院教授，资本市场研究中心主任，兼任多家香港和大陆上市公司（非证券基金经营机构）独立董事。</w:t>
      </w:r>
    </w:p>
    <w:p w14:paraId="5E94BE92">
      <w:pPr>
        <w:widowControl/>
        <w:adjustRightInd w:val="0"/>
        <w:snapToGrid w:val="0"/>
        <w:spacing w:line="360" w:lineRule="auto"/>
        <w:ind w:firstLine="480" w:firstLineChars="200"/>
        <w:rPr>
          <w:rFonts w:hint="eastAsia"/>
          <w:kern w:val="0"/>
          <w:sz w:val="24"/>
        </w:rPr>
      </w:pPr>
      <w:r>
        <w:rPr>
          <w:rFonts w:hint="eastAsia"/>
          <w:kern w:val="0"/>
          <w:sz w:val="24"/>
        </w:rPr>
        <w:t>宋若坤女士，独立董事，学士。英格兰及威尔士特许会计师协会和香港会计师公会特许会计师、注册金融分析师。历任毕马威会计师事务所香港分所审计部主管副经理，摩根资产管理（香港）亚太区资产管理合规主管、董事总经理等。</w:t>
      </w:r>
    </w:p>
    <w:p w14:paraId="00C69D04">
      <w:pPr>
        <w:widowControl/>
        <w:adjustRightInd w:val="0"/>
        <w:snapToGrid w:val="0"/>
        <w:spacing w:line="360" w:lineRule="auto"/>
        <w:ind w:firstLine="480" w:firstLineChars="200"/>
        <w:rPr>
          <w:kern w:val="0"/>
          <w:sz w:val="24"/>
        </w:rPr>
      </w:pPr>
      <w:r>
        <w:rPr>
          <w:rFonts w:hint="eastAsia" w:ascii="宋体" w:hAnsi="宋体"/>
          <w:sz w:val="24"/>
          <w:lang w:val="en-US" w:eastAsia="zh-CN"/>
        </w:rPr>
        <w:t>2</w:t>
      </w:r>
      <w:r>
        <w:rPr>
          <w:rFonts w:hint="eastAsia"/>
          <w:kern w:val="0"/>
          <w:sz w:val="24"/>
        </w:rPr>
        <w:t>、基金管理人高级管理人员</w:t>
      </w:r>
    </w:p>
    <w:p w14:paraId="5E824DC3">
      <w:pPr>
        <w:widowControl/>
        <w:adjustRightInd w:val="0"/>
        <w:snapToGrid w:val="0"/>
        <w:spacing w:line="360" w:lineRule="auto"/>
        <w:ind w:firstLine="480" w:firstLineChars="200"/>
        <w:rPr>
          <w:kern w:val="0"/>
          <w:sz w:val="24"/>
        </w:rPr>
      </w:pPr>
      <w:r>
        <w:rPr>
          <w:rFonts w:hint="eastAsia"/>
          <w:kern w:val="0"/>
          <w:sz w:val="24"/>
        </w:rPr>
        <w:t>袁庆伟女士，总经理。简历同上。</w:t>
      </w:r>
    </w:p>
    <w:p w14:paraId="47EE0B3B">
      <w:pPr>
        <w:widowControl/>
        <w:adjustRightInd w:val="0"/>
        <w:snapToGrid w:val="0"/>
        <w:spacing w:line="360" w:lineRule="auto"/>
        <w:ind w:firstLine="480" w:firstLineChars="200"/>
        <w:rPr>
          <w:kern w:val="0"/>
          <w:sz w:val="24"/>
        </w:rPr>
      </w:pPr>
      <w:r>
        <w:rPr>
          <w:rFonts w:hint="eastAsia"/>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1231B020">
      <w:pPr>
        <w:widowControl/>
        <w:adjustRightInd w:val="0"/>
        <w:snapToGrid w:val="0"/>
        <w:spacing w:line="360" w:lineRule="auto"/>
        <w:ind w:firstLine="480" w:firstLineChars="200"/>
        <w:rPr>
          <w:kern w:val="0"/>
          <w:sz w:val="24"/>
        </w:rPr>
      </w:pPr>
      <w:r>
        <w:rPr>
          <w:rFonts w:hint="eastAsia"/>
          <w:kern w:val="0"/>
          <w:sz w:val="24"/>
        </w:rPr>
        <w:t>马俊先生，副总经理，硕士。历任交通银行总行投资管理部高级投资分析、副高级经理，交银施罗德基金管理有限公司总裁办公室总经理、研究部副总经理、研究总监、综合管理部总经理。</w:t>
      </w:r>
    </w:p>
    <w:p w14:paraId="173E7F5D">
      <w:pPr>
        <w:widowControl/>
        <w:adjustRightInd w:val="0"/>
        <w:snapToGrid w:val="0"/>
        <w:spacing w:line="360" w:lineRule="auto"/>
        <w:ind w:firstLine="480" w:firstLineChars="200"/>
        <w:rPr>
          <w:kern w:val="0"/>
          <w:sz w:val="24"/>
        </w:rPr>
      </w:pPr>
      <w:r>
        <w:rPr>
          <w:rFonts w:hint="eastAsia"/>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375DA6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2ACA58C9">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优选回报灵活配置混合型证券投资基金(2025年03月22日至今)、交银施罗德180天持有期债券型证券投资基金(2025年07月18日至今)的基金经理。</w:t>
      </w:r>
    </w:p>
    <w:p w14:paraId="3B3C8A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1C8B09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孙超先生(2017年06月02日至2017年06月21日)；</w:t>
      </w:r>
    </w:p>
    <w:p w14:paraId="1CFED9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于海颖女士(2017年06月10日至2019年03月15日)；</w:t>
      </w:r>
    </w:p>
    <w:p w14:paraId="77EA47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凌超先生(2018年02月13日至2020年07月22日)。</w:t>
      </w:r>
    </w:p>
    <w:p w14:paraId="71BC87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68A00E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14:paraId="5F4FE0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14:paraId="5DEDF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0E5E07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48634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14:paraId="246166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14:paraId="4798A0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4564D3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482389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1666D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026D9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40C2FB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133AA8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4C5EFC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73060D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4A4795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14:paraId="37362F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34C6BE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4784DE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4F51F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169E87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14:paraId="5ABBEF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76EC40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6080C4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470B1C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104AA8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1B262C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（5）依照法律法规有关规定，由中国证监会规定禁止的其他行为。</w:t>
      </w:r>
    </w:p>
    <w:p w14:paraId="227943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21303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50EC55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159F17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135095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158B7C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23399B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14:paraId="740FB4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199415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306BD28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1、内部控制的原则</w:t>
      </w:r>
    </w:p>
    <w:p w14:paraId="0907C83F">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（1）健全性原则</w:t>
      </w:r>
    </w:p>
    <w:p w14:paraId="5030A4FE">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内部控制应当包括公司的各项业务、各个部门或机构和各级人员，并涵盖到决策、执行、监督、反馈等各个环节。</w:t>
      </w:r>
    </w:p>
    <w:p w14:paraId="56245771">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（2）有效性原则</w:t>
      </w:r>
    </w:p>
    <w:p w14:paraId="712716BE">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通过科学的内控手段和方法，建立合理的内控程序，维护内控制度的有效执行。</w:t>
      </w:r>
    </w:p>
    <w:p w14:paraId="71269E46">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（3）独立性原则</w:t>
      </w:r>
    </w:p>
    <w:p w14:paraId="6782AEA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公司各机构、部门和岗位职责应当保持相对独立，除非法律法规另有规定，公司基金资产、自有资产、其他资产的运作应当分离。</w:t>
      </w:r>
    </w:p>
    <w:p w14:paraId="642A0B96">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（4）相互制约原则</w:t>
      </w:r>
    </w:p>
    <w:p w14:paraId="7D7451DA">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公司内部部门和岗位的设置应当体现权责分明、相互制衡。</w:t>
      </w:r>
    </w:p>
    <w:p w14:paraId="10BD543A">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（5）成本效益原则</w:t>
      </w:r>
    </w:p>
    <w:p w14:paraId="2F730C44">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公司运用科学化的经营管理方法降低运作成本，提高经济效益，力争以合理的控制成本达到最佳的内部控制效果。</w:t>
      </w:r>
    </w:p>
    <w:p w14:paraId="0E73B3CC">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2、风险管理和内部风险控制体系结构</w:t>
      </w:r>
    </w:p>
    <w:p w14:paraId="3CAF4E78">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56A4B76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（1）董事会</w:t>
      </w:r>
    </w:p>
    <w:p w14:paraId="1C686B74">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负责制定公司风险偏好（含风险容忍度）、风险管理和内部控制政策，审议并通过与公司内部风险管理和合规有关的重大事项。</w:t>
      </w:r>
    </w:p>
    <w:p w14:paraId="6180985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（2）合规风险及审计委员会</w:t>
      </w:r>
    </w:p>
    <w:p w14:paraId="7590E4A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2BAB5BE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（3）风险控制委员会</w:t>
      </w:r>
    </w:p>
    <w:p w14:paraId="5A6F49C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4829D135">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（4）督察长</w:t>
      </w:r>
    </w:p>
    <w:p w14:paraId="493A570D">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独立行使督察权利；直接对董事会负责；就内部控制制度和执行情况独立地履行检查、评价、报告、建议职能；定期和不定期地向董事会报告公司内部控制执行情况。</w:t>
      </w:r>
    </w:p>
    <w:p w14:paraId="6AE1E85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（5）风险管理部</w:t>
      </w:r>
    </w:p>
    <w:p w14:paraId="7257896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3507FF55">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（6）审计部</w:t>
      </w:r>
    </w:p>
    <w:p w14:paraId="5D3FADD4">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2B0CDB5F">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（7）内控合规及法律事务部</w:t>
      </w:r>
    </w:p>
    <w:p w14:paraId="3465C97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0A5F4705">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（8）业务部门</w:t>
      </w:r>
    </w:p>
    <w:p w14:paraId="36A881EC">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03830FCC">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3、风险管理和内部风险控制的措施</w:t>
      </w:r>
    </w:p>
    <w:p w14:paraId="03946143">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（1）建立内控体系，完善内控制度</w:t>
      </w:r>
    </w:p>
    <w:p w14:paraId="73CABEB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41445A61">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（2）建立相互分离、相互制衡的内控机制</w:t>
      </w:r>
    </w:p>
    <w:p w14:paraId="4D50741B">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建立、健全了各项制度，做到基金经理分开，投资决策分开，基金交易集中，形成不同部门、不同岗位之间的制衡机制，从制度上减少和防范风险。</w:t>
      </w:r>
    </w:p>
    <w:p w14:paraId="1C912938">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（3）建立、健全岗位责任制</w:t>
      </w:r>
    </w:p>
    <w:p w14:paraId="5823EEB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建立、健全了岗位责任制，使每个员工都明确自己的任务、职责，并及时将各自工作领域中的风险隐患上报，以防范和减少风险。</w:t>
      </w:r>
    </w:p>
    <w:p w14:paraId="73DC1A49">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（4）建立风险分类、识别、评估、报告、提示程序</w:t>
      </w:r>
    </w:p>
    <w:p w14:paraId="6818E9BA">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72FDF84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（5）建立有效的内部监控系统</w:t>
      </w:r>
    </w:p>
    <w:p w14:paraId="504A656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建立了足够、有效的内部监控系统，对可能出现的各种风险进行全面和实时的监控。</w:t>
      </w:r>
    </w:p>
    <w:p w14:paraId="2B91CC82">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（6）使用数量化的风险管理手段</w:t>
      </w:r>
    </w:p>
    <w:p w14:paraId="2E47073E">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14:paraId="7EFC18F1">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（7）提供足够的培训</w:t>
      </w:r>
    </w:p>
    <w:p w14:paraId="2D0532CE">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制定了完整的培训计划，为所有员工提供足够和适当的培训，使员工明确其职责所在，控制风险。</w:t>
      </w:r>
    </w:p>
    <w:p w14:paraId="0D2B17A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937FFBE">
      <w:pPr>
        <w:pStyle w:val="2"/>
        <w:snapToGrid w:val="0"/>
        <w:spacing w:before="240" w:beforeLines="0" w:after="240"/>
        <w:rPr>
          <w:rFonts w:ascii="宋体" w:hAnsi="宋体"/>
          <w:szCs w:val="30"/>
        </w:rPr>
      </w:pPr>
      <w:bookmarkStart w:id="6" w:name="_Toc201216791"/>
      <w:r>
        <w:rPr>
          <w:rFonts w:ascii="Times New Roman" w:hAnsi="Times New Roman"/>
          <w:sz w:val="30"/>
        </w:rPr>
        <w:t>四、基金托管人</w:t>
      </w:r>
      <w:bookmarkEnd w:id="6"/>
    </w:p>
    <w:p w14:paraId="045B093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14:paraId="337C8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4C9D78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14:paraId="501885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57BC00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14:paraId="62654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14:paraId="63334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14:paraId="4091D1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352674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14:paraId="1F46AC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754A9D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14:paraId="4A7867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14:paraId="0819EB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14:paraId="6579F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14:paraId="13CE75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14:paraId="7271D7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14:paraId="1469E9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14:paraId="3E26D54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14:paraId="72D1F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7C237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14:paraId="77E227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3A156E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14:paraId="632D8F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14:paraId="65E204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2AD87B8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14:paraId="4E0747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14:paraId="084BF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664C2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14:paraId="127E3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14:paraId="1025C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14:paraId="148229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14:paraId="608408C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45103AC">
      <w:pPr>
        <w:pStyle w:val="2"/>
        <w:snapToGrid w:val="0"/>
        <w:spacing w:before="240" w:beforeLines="0" w:after="240"/>
        <w:rPr>
          <w:rFonts w:ascii="宋体" w:hAnsi="宋体"/>
          <w:szCs w:val="30"/>
        </w:rPr>
      </w:pPr>
      <w:bookmarkStart w:id="7" w:name="_Toc201216792"/>
      <w:r>
        <w:rPr>
          <w:rFonts w:ascii="Times New Roman" w:hAnsi="Times New Roman"/>
          <w:sz w:val="30"/>
        </w:rPr>
        <w:t>五、相关服务机构</w:t>
      </w:r>
      <w:bookmarkEnd w:id="7"/>
    </w:p>
    <w:p w14:paraId="7306A7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614F7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40C9A9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14:paraId="1374CC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02E596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CD545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5CEA55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24EB4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72091D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62AFA8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07D84A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0FB655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60F6E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7C4F5D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14:paraId="0BB12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14:paraId="26B4FF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2、场内代销机构</w:t>
      </w:r>
    </w:p>
    <w:p w14:paraId="08CDAB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具有基金销售资格的上海证券交易所场内会员单位（具体名单见上海证券交易所网站）。</w:t>
      </w:r>
    </w:p>
    <w:p w14:paraId="552C0F59">
      <w:pPr>
        <w:numPr>
          <w:ilvl w:val="0"/>
          <w:numId w:val="2"/>
        </w:num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场外代销机构</w:t>
      </w:r>
    </w:p>
    <w:p w14:paraId="16559F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14:paraId="6DE046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4FFC89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办公地址：北京市西城区金融大街25号</w:t>
      </w:r>
    </w:p>
    <w:p w14:paraId="262DB2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法定代表人：田国立</w:t>
      </w:r>
    </w:p>
    <w:p w14:paraId="421F5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14:paraId="486691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14:paraId="21F9F0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14:paraId="0C8FBE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14:paraId="018B1E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（2）名称：交通银行股份有限公司</w:t>
      </w:r>
    </w:p>
    <w:p w14:paraId="51122F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41BF56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646A6C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61E07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7C80C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732C5E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083B0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5A9017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64EB2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（3）名称：平安银行股份有限公司</w:t>
      </w:r>
    </w:p>
    <w:p w14:paraId="2D7184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14:paraId="76E81B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14:paraId="417C41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14:paraId="56DF30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14:paraId="4B5E1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14:paraId="73CDB6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14:paraId="35EF0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14:paraId="2D55E8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14:paraId="53C99A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（4）名称：宁波银行股份有限公司</w:t>
      </w:r>
    </w:p>
    <w:p w14:paraId="7835A4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3CE1AF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392410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37A6EF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1A395B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2575A8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2DC6C9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3E31B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14:paraId="14C5A2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14:paraId="7CF014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14:paraId="21504D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20B9BB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14:paraId="105B30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14:paraId="156C53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14:paraId="77BC3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14:paraId="0B8953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14:paraId="2E6181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（6）名称：兴业银行股份有限公司</w:t>
      </w:r>
    </w:p>
    <w:p w14:paraId="6DBE29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14:paraId="335100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14:paraId="457DB8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14:paraId="0328F0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14:paraId="54980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14:paraId="689B0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14:paraId="1F8B95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14:paraId="48F5A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（7）名称：中信银行股份有限公司</w:t>
      </w:r>
    </w:p>
    <w:p w14:paraId="12EB7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6E087C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5693BD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14:paraId="7CC69E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6AC393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6C04E2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12650C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49AF6A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699293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（8）名称：平安证券股份有限公司</w:t>
      </w:r>
    </w:p>
    <w:p w14:paraId="372D3B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14:paraId="5D45AF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14:paraId="557091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14:paraId="5A89E0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14:paraId="7669AC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14:paraId="4F005E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14:paraId="5C2C6D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14:paraId="2F6EE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14:paraId="4C9E2D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（9）名称：西南证券股份有限公司</w:t>
      </w:r>
    </w:p>
    <w:p w14:paraId="6B4CF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14:paraId="029228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14:paraId="3C2169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14:paraId="68D503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14:paraId="4EF39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14:paraId="728BE2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14:paraId="7B887E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14:paraId="3E653A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14:paraId="4C7518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（10）名称：信达证券股份有限公司</w:t>
      </w:r>
    </w:p>
    <w:p w14:paraId="433AC0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14:paraId="3FF881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14:paraId="3B7E04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14:paraId="6C7A1A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14:paraId="2359B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14:paraId="42F47A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14:paraId="38189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216F19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14:paraId="3E2ED2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（11）名称：中信证券（山东）有限责任公司</w:t>
      </w:r>
    </w:p>
    <w:p w14:paraId="254773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41200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03DFEC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法定代表人：姜晓林</w:t>
      </w:r>
    </w:p>
    <w:p w14:paraId="4092F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61208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37C88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联系人：焦刚</w:t>
      </w:r>
    </w:p>
    <w:p w14:paraId="23AD98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55C830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7C03C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（12）名称：中国银河证券股份有限公司</w:t>
      </w:r>
    </w:p>
    <w:p w14:paraId="380228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45D581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2AD572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59957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5557B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223F67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7570D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059082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（13）名称：中信证券股份有限公司</w:t>
      </w:r>
    </w:p>
    <w:p w14:paraId="13FD71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7CE633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264AB9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1BCCD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1BDFA9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6E7077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6B9F7E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（14）名称：国投证券股份有限公司</w:t>
      </w:r>
    </w:p>
    <w:p w14:paraId="60B687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14:paraId="5589D4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14:paraId="23B6D6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法定代表人：段文务</w:t>
      </w:r>
    </w:p>
    <w:p w14:paraId="3854C3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14:paraId="26EAE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14:paraId="1D76FD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联系人：陈剑虹</w:t>
      </w:r>
    </w:p>
    <w:p w14:paraId="78FAB4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14:paraId="44EA2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网址：http://www.essence.com.cn/</w:t>
      </w:r>
    </w:p>
    <w:p w14:paraId="65C48A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（15）名称：财通证券股份有限公司</w:t>
      </w:r>
    </w:p>
    <w:p w14:paraId="3FFFC0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14:paraId="5179A8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14:paraId="433C1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14:paraId="74640E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14:paraId="3D846F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14:paraId="1CA89E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14:paraId="0BD5A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14:paraId="1D741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（16）名称：东方财富证券股份有限公司</w:t>
      </w:r>
    </w:p>
    <w:p w14:paraId="0A3D4F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14:paraId="6D1652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14:paraId="0C6987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14:paraId="478D52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14:paraId="139AE5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14:paraId="386373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14:paraId="5A40E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14:paraId="07C54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14:paraId="37278E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（17）名称：华泰证券股份有限公司</w:t>
      </w:r>
    </w:p>
    <w:p w14:paraId="038FE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14:paraId="430B2C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14:paraId="1EB748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14:paraId="786BD9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14:paraId="5C7D6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14:paraId="52B702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联系人：胡子豪</w:t>
      </w:r>
    </w:p>
    <w:p w14:paraId="51DFFB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14:paraId="18B1A2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14:paraId="71A50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（18）名称：兴业证券股份有限公司</w:t>
      </w:r>
    </w:p>
    <w:p w14:paraId="624342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4965D1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622C2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53BDD3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14:paraId="347860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09123F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14:paraId="1C0FD6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2692BB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（19）名称：华龙证券股份有限公司</w:t>
      </w:r>
    </w:p>
    <w:p w14:paraId="662E6D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14:paraId="1E295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14:paraId="340D7F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14:paraId="04F30E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14:paraId="7B7A9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14:paraId="2995E5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14:paraId="768DF3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14:paraId="3ED02F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14:paraId="53C13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（20）名称：大同证券有限责任公司</w:t>
      </w:r>
    </w:p>
    <w:p w14:paraId="361523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14:paraId="63F168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14:paraId="3F46BD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14:paraId="17F203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14:paraId="3A80C2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14:paraId="78BCF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14:paraId="044E4A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14:paraId="4A7A58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14:paraId="52B0E9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（21）名称：爱建证券有限责任公司</w:t>
      </w:r>
    </w:p>
    <w:p w14:paraId="6802B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14:paraId="4C5387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14:paraId="3B8D7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14:paraId="3E668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14:paraId="7EED53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14:paraId="71BBBD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14:paraId="4A6FC6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14:paraId="3D2DD9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14:paraId="22F207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（22）名称：长江证券股份有限公司</w:t>
      </w:r>
    </w:p>
    <w:p w14:paraId="3A20B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14:paraId="133F0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14:paraId="74BC2F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14:paraId="728455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14:paraId="59C27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14:paraId="144BF0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14:paraId="40522A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14:paraId="2B2FD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14:paraId="64B7EC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（23）名称：中信证券华南股份有限公司</w:t>
      </w:r>
    </w:p>
    <w:p w14:paraId="7F0544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081CFC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5AFD7A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法定代表人：胡伏云</w:t>
      </w:r>
    </w:p>
    <w:p w14:paraId="495BDC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64320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6EA61E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联系人：陈靖</w:t>
      </w:r>
    </w:p>
    <w:p w14:paraId="75E258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075817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5983C5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（24）名称：第一创业证券股份有限公司</w:t>
      </w:r>
    </w:p>
    <w:p w14:paraId="2F2BB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14:paraId="3C3BA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14:paraId="5795FB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14:paraId="2FD845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14:paraId="170218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14:paraId="4663C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14:paraId="7CDC33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14:paraId="26AA0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14:paraId="644090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（25）名称：华西证券股份有限公司</w:t>
      </w:r>
    </w:p>
    <w:p w14:paraId="1BEABF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17C203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09167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3D4F64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29DA88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3FBC1E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2EE1D0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27FEED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79F9C2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（26）名称：渤海证券股份有限公司</w:t>
      </w:r>
    </w:p>
    <w:p w14:paraId="7D997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14:paraId="04A705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14:paraId="167FF4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14:paraId="45E53D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14:paraId="066266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14:paraId="07F198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14:paraId="5A7629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14:paraId="02330E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14:paraId="7BB6FD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（27）名称：国金证券股份有限公司</w:t>
      </w:r>
    </w:p>
    <w:p w14:paraId="363282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4AB8E2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31E270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56FED8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09BC63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1B43FB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1A1FD0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519531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638E3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（28）名称：中国国际金融股份有限公司</w:t>
      </w:r>
    </w:p>
    <w:p w14:paraId="60DEBB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14:paraId="5BD4C7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14:paraId="0CFC3F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14:paraId="442BC8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14:paraId="5EC032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14:paraId="0E52D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14:paraId="1BD9F6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14:paraId="13C6C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（29）名称：中泰证券股份有限公司</w:t>
      </w:r>
    </w:p>
    <w:p w14:paraId="4C6311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14:paraId="0FB49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14:paraId="1E3DF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14:paraId="4AB404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14:paraId="771C1A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14:paraId="0C3E09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14:paraId="42FCE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14:paraId="7A2B84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14:paraId="728CA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（30）名称：国都证券股份有限公司</w:t>
      </w:r>
    </w:p>
    <w:p w14:paraId="1874E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14:paraId="578363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14:paraId="669E98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14:paraId="6D3DFF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14:paraId="7E6F6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14:paraId="141E9E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（31）名称：中国中金财富证券有限公司</w:t>
      </w:r>
    </w:p>
    <w:p w14:paraId="75C56C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14:paraId="31F0C2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14:paraId="7C5BB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14:paraId="65BA4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14:paraId="372D6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14:paraId="64F55F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14:paraId="346419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14:paraId="7F2AC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（32）名称：西部证券股份有限公司</w:t>
      </w:r>
    </w:p>
    <w:p w14:paraId="279A22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14:paraId="5F31C9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14:paraId="13FDA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14:paraId="062B0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14:paraId="3ADCA6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14:paraId="3DFA03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14:paraId="3B73FD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14:paraId="6BD594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（33）名称：招商证券股份有限公司</w:t>
      </w:r>
    </w:p>
    <w:p w14:paraId="7BB4A6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14:paraId="5C76BC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14:paraId="522F57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14:paraId="7D3938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14:paraId="174117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14:paraId="373EA9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14:paraId="79FB35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14:paraId="3537C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14:paraId="370099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（34）名称：广发证券股份有限公司</w:t>
      </w:r>
    </w:p>
    <w:p w14:paraId="2D1E98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14:paraId="09BA35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14:paraId="47B4B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法定代表人：孙树明</w:t>
      </w:r>
    </w:p>
    <w:p w14:paraId="7B14A8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14:paraId="62A38E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14:paraId="379FE0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联系人：马梦洁</w:t>
      </w:r>
    </w:p>
    <w:p w14:paraId="0B6A15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14:paraId="7FCF14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14:paraId="465132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（35）名称：中邮证券有限责任公司</w:t>
      </w:r>
    </w:p>
    <w:p w14:paraId="3406BD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14:paraId="01B135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14:paraId="0662C6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14:paraId="165DE1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14:paraId="2A952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14:paraId="3683C3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14:paraId="77FCFF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14:paraId="3FD2C7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14:paraId="1438C7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（36）名称：中信建投证券股份有限公司</w:t>
      </w:r>
    </w:p>
    <w:p w14:paraId="614AA1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07169B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0967FB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法定代表人：王常青</w:t>
      </w:r>
    </w:p>
    <w:p w14:paraId="752B56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电话：（010）85130588</w:t>
      </w:r>
    </w:p>
    <w:p w14:paraId="1AB472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传真：（010）65182261</w:t>
      </w:r>
    </w:p>
    <w:p w14:paraId="178A8C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联系人：魏明</w:t>
      </w:r>
    </w:p>
    <w:p w14:paraId="393C7B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606C83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3DFADE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（37）名称：开源证券股份有限公司</w:t>
      </w:r>
    </w:p>
    <w:p w14:paraId="5C363E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14:paraId="2815D1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14:paraId="681B2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14:paraId="75956D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14:paraId="0099C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14:paraId="27C05A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14:paraId="1969B8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07E2AB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（38）名称：华宝证券股份有限公司</w:t>
      </w:r>
    </w:p>
    <w:p w14:paraId="1DD4A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14:paraId="0296E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14:paraId="73686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14:paraId="069446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14:paraId="015329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14:paraId="6E5A68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14:paraId="1D6DD0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14:paraId="18F0D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14:paraId="6B0BEA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（39）名称：海通证券股份有限公司</w:t>
      </w:r>
    </w:p>
    <w:p w14:paraId="431FC0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34205A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584A4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35C8DC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75BD2E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75BAE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1E5DE9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13D64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1EC4F3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（40）名称：国泰海通证券股份有限公司</w:t>
      </w:r>
    </w:p>
    <w:p w14:paraId="04BD0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62B145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45CE0A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0C870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33138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0F1E7B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联系人：朱雅崴</w:t>
      </w:r>
    </w:p>
    <w:p w14:paraId="1F64D1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14:paraId="79D88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029831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（41）名称：长城国瑞证券有限公司</w:t>
      </w:r>
    </w:p>
    <w:p w14:paraId="23A6E4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14:paraId="548AAB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14:paraId="66DFF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14:paraId="39EC23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14:paraId="332186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14:paraId="2835AB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14:paraId="2DF665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14:paraId="608F7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14:paraId="7B01D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（42）名称：国元证券股份有限公司</w:t>
      </w:r>
    </w:p>
    <w:p w14:paraId="10D3A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14:paraId="234CA0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14:paraId="4DC50E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14:paraId="1BCC8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14:paraId="11219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14:paraId="4FAD1F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14:paraId="3F8FDD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14:paraId="0D2F61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14:paraId="6DCC1F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（43）名称：南京证券股份有限公司</w:t>
      </w:r>
    </w:p>
    <w:p w14:paraId="4ADCB0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住所：南京市江东中路389号</w:t>
      </w:r>
    </w:p>
    <w:p w14:paraId="0F5D4D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办公地址：南京市江东中路389号</w:t>
      </w:r>
    </w:p>
    <w:p w14:paraId="097A0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法定代表人：李剑锋</w:t>
      </w:r>
    </w:p>
    <w:p w14:paraId="28F07F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电话：（025）58519529</w:t>
      </w:r>
    </w:p>
    <w:p w14:paraId="2D46F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传真：（025）83369725</w:t>
      </w:r>
    </w:p>
    <w:p w14:paraId="175842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联系人：曹梦媛</w:t>
      </w:r>
    </w:p>
    <w:p w14:paraId="2FF657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客户服务电话：95386</w:t>
      </w:r>
    </w:p>
    <w:p w14:paraId="18933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网址：www.nizq.com.cn</w:t>
      </w:r>
    </w:p>
    <w:p w14:paraId="63940C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（44）名称：中原证券股份有限公司</w:t>
      </w:r>
    </w:p>
    <w:p w14:paraId="41BD39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14:paraId="1364C8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14:paraId="1C6679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14:paraId="225A04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14:paraId="726F95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14:paraId="3DBB14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14:paraId="4D207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14:paraId="71E917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（45）名称：东方证券股份有限公司</w:t>
      </w:r>
    </w:p>
    <w:p w14:paraId="163C2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14:paraId="1BEE61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14:paraId="2331AE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14:paraId="440805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14:paraId="02B5F5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14:paraId="199231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14:paraId="187AF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14:paraId="404B8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（46）名称：申万宏源证券有限公司</w:t>
      </w:r>
    </w:p>
    <w:p w14:paraId="2DC1AA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79A9D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03087E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77F55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1ADF40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01A78D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13DC17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7D8CB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（47）名称：申万宏源西部证券有限公司</w:t>
      </w:r>
    </w:p>
    <w:p w14:paraId="1B4F98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578D09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58C2A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3EE5F7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1762D4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456C8B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703166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324944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3FCBB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（48）名称：光大证券股份有限公司</w:t>
      </w:r>
    </w:p>
    <w:p w14:paraId="0666E5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14:paraId="347C74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14:paraId="257D98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5E4F54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14:paraId="245CB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14:paraId="134884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14:paraId="601BF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14:paraId="2BC01B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14:paraId="03F1A0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（49）名称：深圳市新兰德证券投资咨询有限公司</w:t>
      </w:r>
    </w:p>
    <w:p w14:paraId="67A519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14:paraId="43DF2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14:paraId="643E40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14:paraId="4338C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14:paraId="751060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14:paraId="1045EC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14:paraId="659DEB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14:paraId="76616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14:paraId="11D8AB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（50）名称：玄元保险代理有限公司</w:t>
      </w:r>
    </w:p>
    <w:p w14:paraId="403BCA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14:paraId="50E77E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14:paraId="5BE2C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14:paraId="274671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14:paraId="547CF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14:paraId="593BE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14:paraId="6B5590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14:paraId="4C8C2E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（51）名称：珠海盈米基金销售有限公司</w:t>
      </w:r>
    </w:p>
    <w:p w14:paraId="38DD44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1B9961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6630E4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7CC14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1D3D9A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5F5E3A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3D0004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44B10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56F2BA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（52）名称：上海利得基金销售有限公司</w:t>
      </w:r>
    </w:p>
    <w:p w14:paraId="38E306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14:paraId="787F27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411AB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3A25EA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5BADD4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36BF03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14:paraId="59058B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44D81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32278F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（53）名称：上海陆金所基金销售有限公司</w:t>
      </w:r>
    </w:p>
    <w:p w14:paraId="32AEF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14:paraId="7E4EC8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14:paraId="2F6BE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14:paraId="5A25D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14:paraId="7831A3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14:paraId="23486F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14:paraId="2CF5F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14:paraId="73D4D8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14:paraId="477F67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（54）名称：上海挖财基金销售有限公司</w:t>
      </w:r>
    </w:p>
    <w:p w14:paraId="7DB073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755A55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257DD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68A7EC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0D20B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3BF90B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5C2AAD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6C537E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5A34A1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3013E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（55）名称：万家财富基金销售（天津）有限公司</w:t>
      </w:r>
    </w:p>
    <w:p w14:paraId="06EA57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14:paraId="67227D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14:paraId="31421B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14:paraId="502DEB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14:paraId="0CC203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14:paraId="0A1A80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14:paraId="35C4C6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14:paraId="58F750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14:paraId="22E9A5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（56）名称：上海云湾基金销售有限公司</w:t>
      </w:r>
    </w:p>
    <w:p w14:paraId="788167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中国（上海）自由贸易试验区新金桥路27号1号1层</w:t>
      </w:r>
    </w:p>
    <w:p w14:paraId="177F5D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上海市浦东新区新金桥路27号1号楼</w:t>
      </w:r>
    </w:p>
    <w:p w14:paraId="0C35DC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冯轶明</w:t>
      </w:r>
    </w:p>
    <w:p w14:paraId="095C87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3DBEF4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61A68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范泽杰</w:t>
      </w:r>
    </w:p>
    <w:p w14:paraId="4C989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客户服务电话：400-820-1515</w:t>
      </w:r>
    </w:p>
    <w:p w14:paraId="14A3B9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网址：www.zhengtongfunds.com</w:t>
      </w:r>
    </w:p>
    <w:p w14:paraId="68117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（57）名称：北京创金启富基金销售有限公司</w:t>
      </w:r>
    </w:p>
    <w:p w14:paraId="000632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14:paraId="08D85D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14:paraId="6F8A04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14:paraId="1CD8AA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3F007E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10F19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14:paraId="1F71CB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6BAB9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14:paraId="30EB8D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（58）名称：上海天天基金销售有限公司</w:t>
      </w:r>
    </w:p>
    <w:p w14:paraId="579030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51B3B2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75C81E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1934C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17F68F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68F639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4906FC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2C124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54D1C4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（59）名称：深圳众禄基金销售股份有限公司</w:t>
      </w:r>
    </w:p>
    <w:p w14:paraId="0E5D4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2B959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24DFA0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322F18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53CD6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0AE157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01D908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7E25ED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101E0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（60）名称：中信期货有限公司</w:t>
      </w:r>
    </w:p>
    <w:p w14:paraId="6A78BA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348B8C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68A7F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0F4CDE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130329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7B5F08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07E377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3C61B2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0B06EE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（61）名称：上海联泰基金销售有限公司</w:t>
      </w:r>
    </w:p>
    <w:p w14:paraId="24096A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183DA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110CE4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36B956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7F268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039CB0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2D2C70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1CE5A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30CB3C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（62）名称：泛华普益基金销售有限公司</w:t>
      </w:r>
    </w:p>
    <w:p w14:paraId="7FE89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184A7A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7C4DF7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561ED0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772C48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78DC3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346215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31CD0C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226560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（63）名称：北京展恒基金销售股份有限公司</w:t>
      </w:r>
    </w:p>
    <w:p w14:paraId="262ED6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14:paraId="6DD9A3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14:paraId="51748E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14:paraId="7F8DA4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14:paraId="77E2C3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14:paraId="516E26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14:paraId="09CB84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14:paraId="5FAC3E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14:paraId="6DF4F3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（64）名称：大连网金基金销售有限公司</w:t>
      </w:r>
    </w:p>
    <w:p w14:paraId="692159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14:paraId="3F6B4D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14:paraId="127E0E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14:paraId="09103D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4F087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1269CA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14:paraId="7F8F7F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14:paraId="3F2B36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77E088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（65）名称：阳光人寿保险股份有限公司</w:t>
      </w:r>
    </w:p>
    <w:p w14:paraId="7BF359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41BA81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2B0493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699F8D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28F33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150E27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5B113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3DFD33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35BD55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（66）名称：京东肯特瑞基金销售有限公司</w:t>
      </w:r>
    </w:p>
    <w:p w14:paraId="3B9253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14:paraId="77A872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142FD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0971E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7277B7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75CC90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43CE7A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633C4C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1B43D9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（67）名称：上海大智慧基金销售有限公司</w:t>
      </w:r>
    </w:p>
    <w:p w14:paraId="14F829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14:paraId="0F6E07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14:paraId="0B218F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14:paraId="219042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14:paraId="3654CE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14:paraId="6E7535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14:paraId="2192B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14:paraId="142E66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14:paraId="532E6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（68）名称：上海华夏财富投资管理有限公司</w:t>
      </w:r>
    </w:p>
    <w:p w14:paraId="35C94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14:paraId="06E6E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14:paraId="633B5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14:paraId="77888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14:paraId="4AF56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14:paraId="449A3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14:paraId="6AABF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14:paraId="61ABBD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14:paraId="14991C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（69）名称：北京度小满基金销售有限公司</w:t>
      </w:r>
    </w:p>
    <w:p w14:paraId="50D7BB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7F2EF4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4765CC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276719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394ADA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07AE7D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4C1A3F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25F3D6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167082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（70）名称：南京苏宁基金销售有限公司</w:t>
      </w:r>
    </w:p>
    <w:p w14:paraId="7548ED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09C4DB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602F05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06F3E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5733F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7E986D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38AB12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15FBC2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7653D0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（71）名称：嘉实财富管理有限公司</w:t>
      </w:r>
    </w:p>
    <w:p w14:paraId="0867D8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12F5E0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7DB0BF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14:paraId="00A0E1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14:paraId="36EC52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232F2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6416A9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545F5F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（72）名称：北京汇成基金销售有限公司</w:t>
      </w:r>
    </w:p>
    <w:p w14:paraId="69EF5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1EC96C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30621C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3EDBC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110053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5480A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67CBAF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客户服务电话：400-619-9059</w:t>
      </w:r>
    </w:p>
    <w:p w14:paraId="0C13D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6F5F2D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（73）名称：北京虹点基金销售有限公司</w:t>
      </w:r>
    </w:p>
    <w:p w14:paraId="316C7F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14:paraId="2A6C67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14:paraId="1BCC43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14:paraId="0648DA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14:paraId="3401D5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14:paraId="456217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14:paraId="5F376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14:paraId="6BA3ED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14:paraId="0ADCE8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（74）名称：上海万得基金销售有限公司</w:t>
      </w:r>
    </w:p>
    <w:p w14:paraId="57E2A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2D014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24F2FB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14:paraId="18A06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5BF300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146B65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14:paraId="770E5B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7CE9BC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14:paraId="2DFA5B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（75）名称：格上富信投资顾问有限公司</w:t>
      </w:r>
    </w:p>
    <w:p w14:paraId="7886C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14:paraId="662464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14:paraId="1D2130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14:paraId="1D5476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14:paraId="4C52BB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14:paraId="1CE973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430134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14:paraId="2058DE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14:paraId="0C6C76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（76）名称：深圳市金斧子基金销售有限公司</w:t>
      </w:r>
    </w:p>
    <w:p w14:paraId="381B13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14:paraId="01BE5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14:paraId="7F2C31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14:paraId="5D7AC9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14:paraId="4A8513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14:paraId="6E4140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14:paraId="584C4B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14:paraId="01EF8D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14:paraId="5E07B0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（77）名称：北京雪球基金销售有限公司</w:t>
      </w:r>
    </w:p>
    <w:p w14:paraId="680308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14:paraId="5778BC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14:paraId="4DE6C0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28801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53FF5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04CA38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5CE2D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05BA3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5314B3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（78）名称：北京新浪仓石基金销售有限公司</w:t>
      </w:r>
    </w:p>
    <w:p w14:paraId="5C4299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14:paraId="0211A2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14:paraId="79A578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14:paraId="5BFA9B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14:paraId="3827CC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14:paraId="69D58D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14:paraId="40A8E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14:paraId="2AE4FC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（79）名称：中证金牛（北京）基金销售有限公司</w:t>
      </w:r>
    </w:p>
    <w:p w14:paraId="2DC93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14:paraId="1A49FA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14:paraId="232662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14:paraId="129460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6138D0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5B99B6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14:paraId="330801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552279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14:paraId="2693C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（80）名称：奕丰基金销售有限公司</w:t>
      </w:r>
    </w:p>
    <w:p w14:paraId="0D3DB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1480D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2E5EFA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0CB9F6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55324A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0556F9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74B905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7908B7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5E6B61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（81）名称：和讯信息科技有限公司</w:t>
      </w:r>
    </w:p>
    <w:p w14:paraId="588575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14:paraId="12FC86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14:paraId="7CC3D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14:paraId="002E12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14:paraId="028989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14:paraId="71653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14:paraId="539614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14:paraId="3F911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14:paraId="3D827A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（82）名称：诺亚正行基金销售有限公司</w:t>
      </w:r>
    </w:p>
    <w:p w14:paraId="5196C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21123F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5427E7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19E750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5A1614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1C1FAF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06A937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24D065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69E178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（83）名称：上海好买基金销售有限公司</w:t>
      </w:r>
    </w:p>
    <w:p w14:paraId="09C85D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66A86D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666AD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2C1DE2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1199E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57AEB6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64AE9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196F6F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（84）名称：上海长量基金销售有限公司</w:t>
      </w:r>
    </w:p>
    <w:p w14:paraId="630802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45505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35B07B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4E75ED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1D26C1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72D6EA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39E0E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02FF9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2153EF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（85）名称：蚂蚁（杭州）基金销售有限公司</w:t>
      </w:r>
    </w:p>
    <w:p w14:paraId="2C17D5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2971CA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0D7FDB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7D1749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01744E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65FAD7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6333D4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566F8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0F05D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（86）名称：天相投资顾问有限公司</w:t>
      </w:r>
    </w:p>
    <w:p w14:paraId="6EF0D8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14:paraId="28A241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14:paraId="73A5FE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14:paraId="422F43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14:paraId="2A2FB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14:paraId="041D6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14:paraId="77884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14:paraId="4195E4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14:paraId="2E7D2A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（87）名称：上海基煜基金销售有限公司</w:t>
      </w:r>
    </w:p>
    <w:p w14:paraId="12C4E9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273FE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59BB54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02B2F9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27240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2CACE8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00569E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160827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51CF9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（88）名称：浙江同花顺基金销售有限公司</w:t>
      </w:r>
    </w:p>
    <w:p w14:paraId="244E57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6C755B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6D3DB1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72C041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54AE41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3C1A2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516B1B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151CCB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0CBB3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（89）名称：宜信普泽（北京）基金销售有限公司</w:t>
      </w:r>
    </w:p>
    <w:p w14:paraId="058D14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14:paraId="104E5E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14:paraId="29883A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14:paraId="6A3F23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电话：400-6099-200</w:t>
      </w:r>
    </w:p>
    <w:p w14:paraId="133F42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7CE509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14:paraId="79AC1C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14:paraId="5ACFF4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14:paraId="76F179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（90）名称：和耕传承基金销售有限公司</w:t>
      </w:r>
    </w:p>
    <w:p w14:paraId="28C3C5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797F00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185449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749D9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5D50F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05AC53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3F0576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4F8D29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757580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（91）名称：腾安基金销售（深圳）有限公司</w:t>
      </w:r>
    </w:p>
    <w:p w14:paraId="37E1D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6F141D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71CA7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7FD425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08AD26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759BD3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76160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454931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（92）名称：中国人寿保险股份有限公司</w:t>
      </w:r>
    </w:p>
    <w:p w14:paraId="23FF44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14:paraId="12F18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14:paraId="571A13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14:paraId="1E7BB4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14:paraId="0AC89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14:paraId="4D20C4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（93）名称：济安财富（北京）基金销售有限公司</w:t>
      </w:r>
    </w:p>
    <w:p w14:paraId="7D1F92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3F38D3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02062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424169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627FA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57804F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707046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1E3C0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013901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（94）名称：博时财富基金销售有限公司</w:t>
      </w:r>
    </w:p>
    <w:p w14:paraId="0305F2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1626B6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663CE1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48A8F0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141231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18F0C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6966DD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2A3CBB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76F42E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（95）名称：上海中欧财富基金销售有限公司</w:t>
      </w:r>
    </w:p>
    <w:p w14:paraId="10AD63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14:paraId="66C19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14:paraId="2CC2D7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14:paraId="49CB06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14:paraId="0CBCD9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14:paraId="43ED88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14:paraId="0A9AA4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14:paraId="699C91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14:paraId="368CA2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（96）名称：深圳前海微众银行股份有限公司</w:t>
      </w:r>
    </w:p>
    <w:p w14:paraId="4C3F8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14:paraId="3B6409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14:paraId="07CAF7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14:paraId="108DDB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14:paraId="2D355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14:paraId="72ADE5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14:paraId="14385C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14:paraId="5145E4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14:paraId="016955AB">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基金管理人可根据有关法律法规的要求，选择其它符合要求的机构代理销售本基金，并在管理人网站公示。</w:t>
      </w:r>
    </w:p>
    <w:p w14:paraId="41082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709D7C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14:paraId="64CBF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14:paraId="7F3A8E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14:paraId="047F8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14:paraId="2B1732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14:paraId="33F353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14:paraId="18E2C6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14:paraId="4EEBAC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424DBD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14:paraId="3B611E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14:paraId="17D288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14:paraId="02D2C9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14:paraId="6B85BC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14:paraId="049F4D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14:paraId="6E64AE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14:paraId="2793D5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14:paraId="6D738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03EB1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名称：容诚会计师事务所（特殊普通合伙）</w:t>
      </w:r>
    </w:p>
    <w:p w14:paraId="6C8B4D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注册地址：北京市西城区阜成门外大街22号1幢外经贸大厦901-22至901-26</w:t>
      </w:r>
    </w:p>
    <w:p w14:paraId="373684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办公地址：北京市西城区阜成门外大街22号1幢外经贸大厦901-22至901-26</w:t>
      </w:r>
    </w:p>
    <w:p w14:paraId="418805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执行事务合伙人：肖厚发、刘维</w:t>
      </w:r>
    </w:p>
    <w:p w14:paraId="1A54E3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电话：010-66001391</w:t>
      </w:r>
    </w:p>
    <w:p w14:paraId="459BC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传真：010-66001391</w:t>
      </w:r>
    </w:p>
    <w:p w14:paraId="0568A4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联系人：李隐煜</w:t>
      </w:r>
    </w:p>
    <w:p w14:paraId="1A7DA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经办会计师：沈兆杰、李隐煜</w:t>
      </w:r>
    </w:p>
    <w:p w14:paraId="62137A6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04A8FC4">
      <w:pPr>
        <w:pStyle w:val="2"/>
        <w:snapToGrid w:val="0"/>
        <w:spacing w:before="240" w:beforeLines="0" w:after="240"/>
        <w:rPr>
          <w:rFonts w:ascii="宋体" w:hAnsi="宋体"/>
          <w:szCs w:val="30"/>
        </w:rPr>
      </w:pPr>
      <w:bookmarkStart w:id="8" w:name="_Toc201216793"/>
      <w:r>
        <w:rPr>
          <w:rFonts w:ascii="Times New Roman" w:hAnsi="Times New Roman"/>
          <w:sz w:val="30"/>
        </w:rPr>
        <w:t>六、基金的募集</w:t>
      </w:r>
      <w:bookmarkEnd w:id="8"/>
    </w:p>
    <w:p w14:paraId="677A12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本基金由基金管理人依照《基金法》、《运作办法》、《销售办法》、基金合同及其他有关规定，并经2013年10月22日中国证监会证监许可【2013】1330号文核准，并经机构部函【2017】439号准予延期募集。</w:t>
      </w:r>
    </w:p>
    <w:p w14:paraId="511E80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14:paraId="1A2260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33CA3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本基金自2017年4月20日至2017年5月26日进行发售，本基金设立募集期共募集364,295,282.48份基金份额，有效认购户数为1,622户。</w:t>
      </w:r>
    </w:p>
    <w:p w14:paraId="702A211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B452A48">
      <w:pPr>
        <w:pStyle w:val="2"/>
        <w:snapToGrid w:val="0"/>
        <w:spacing w:before="240" w:beforeLines="0" w:after="240"/>
        <w:rPr>
          <w:rFonts w:ascii="宋体" w:hAnsi="宋体"/>
          <w:szCs w:val="30"/>
        </w:rPr>
      </w:pPr>
      <w:bookmarkStart w:id="9" w:name="_Toc201216794"/>
      <w:r>
        <w:rPr>
          <w:rFonts w:ascii="Times New Roman" w:hAnsi="Times New Roman"/>
          <w:sz w:val="30"/>
        </w:rPr>
        <w:t>七、基金合同的生效</w:t>
      </w:r>
      <w:bookmarkEnd w:id="9"/>
    </w:p>
    <w:p w14:paraId="4773D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根据有关规定，本基金满足基金合同生效条件，基金合同已于2017年6月2日正式生效。自基金合同生效之日起，本基金管理人正式开始管理本基金。</w:t>
      </w:r>
    </w:p>
    <w:p w14:paraId="410F5E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14:paraId="05AB4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14:paraId="1672B730">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9EA629C">
      <w:pPr>
        <w:pStyle w:val="2"/>
        <w:snapToGrid w:val="0"/>
        <w:spacing w:before="240" w:beforeLines="0" w:after="240"/>
        <w:rPr>
          <w:rFonts w:ascii="宋体" w:hAnsi="宋体"/>
          <w:szCs w:val="30"/>
        </w:rPr>
      </w:pPr>
      <w:bookmarkStart w:id="10" w:name="_Toc201216795"/>
      <w:r>
        <w:rPr>
          <w:rFonts w:ascii="Times New Roman" w:hAnsi="Times New Roman"/>
          <w:sz w:val="30"/>
        </w:rPr>
        <w:t>八、基金份额的申购与赎回</w:t>
      </w:r>
      <w:bookmarkEnd w:id="10"/>
    </w:p>
    <w:p w14:paraId="3FD5E1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14:paraId="0B2681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5F4932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14:paraId="16220C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本基金直销机构为基金管理人以及基金管理人的网上直销交易平台。</w:t>
      </w:r>
    </w:p>
    <w:p w14:paraId="333401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6D218B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3AF79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46C8D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21F8D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62F844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6956D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447FDF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 fund001.com</w:t>
      </w:r>
    </w:p>
    <w:p w14:paraId="78A52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个人投资者可以通过基金管理人网上直销交易平台办理开户、本基金的申购、赎回、转换、定期定额投资等业务，具体交易细则请参阅基金管理人网站。网上直销交易平台网址：www.fund001.com</w:t>
      </w:r>
    </w:p>
    <w:p w14:paraId="72A5D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14:paraId="5EF868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3、不通过上海证券交易所开放式基金销售系统办理相关业务的场外代销机构</w:t>
      </w:r>
    </w:p>
    <w:p w14:paraId="7AD828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本基金的场外代销机构参见本招募说明书“五、相关服务机构”章节或拨打基金管理人客户服务电话进行咨询。</w:t>
      </w:r>
    </w:p>
    <w:p w14:paraId="51A050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14:paraId="0E2EB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14:paraId="3144E4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14:paraId="3AF67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4、尽管有上述规定，各销售机构的具体名单、业务开通情况及其所销售的基金份额类别请以基金管理人届时发布的最新公告和各销售机构的业务规则为准。</w:t>
      </w:r>
    </w:p>
    <w:p w14:paraId="1C498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14:paraId="4B70E4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44EEA9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12EB75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14:paraId="6DFBB3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14:paraId="6C0F6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本基金A/B/C类基金份额已于2017年6月13日起开放申购、赎回业务。</w:t>
      </w:r>
    </w:p>
    <w:p w14:paraId="2712F5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本基金D类基金份额已于2025年4月2日起开放申购、赎回业务。</w:t>
      </w:r>
    </w:p>
    <w:p w14:paraId="1D5449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14:paraId="459EA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14:paraId="719ACF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1、“未知价”原则，即申购、赎回价格以申请当日收市后计算的各类基金份额净值为基准进行计算；</w:t>
      </w:r>
    </w:p>
    <w:p w14:paraId="5B15A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680BEB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14:paraId="2C5FFD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14:paraId="79915A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5、投资人通过上海证券交易所开放式基金销售系统办理本基金的场内申购、赎回业务时，需遵守上海证券交易所和中国证券登记结算有限责任公司的相关业务规则。</w:t>
      </w:r>
    </w:p>
    <w:p w14:paraId="583E8B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14:paraId="72881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14:paraId="6A56F9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25A225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场外申购时，场外代销机构每个账户单笔申购的最低金额为单笔1元，如果代销机构业务规则规定的最低单笔认购金额高于1元，以代销机构的规定为准。</w:t>
      </w:r>
    </w:p>
    <w:p w14:paraId="58789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14:paraId="24A1B4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14:paraId="6A993E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13FC98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场外赎回的最低份额为1份基金份额。场内赎回时，赎回的最低份额为50份基金份额，同时赎回份额必须是整数份额，并且单笔赎回最多不超过99,999,999份基金份额。</w:t>
      </w:r>
    </w:p>
    <w:p w14:paraId="5C850C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14:paraId="773D8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14:paraId="0DE539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2DE4C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14:paraId="3DE2DD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14:paraId="434E85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3663F0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14:paraId="331A44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14:paraId="11C9E7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14:paraId="09CAE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14:paraId="481DA7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14:paraId="34C1F8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14:paraId="10565A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14:paraId="5BD20E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14:paraId="248F24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14:paraId="226B60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14:paraId="0C7380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14:paraId="4626E4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14:paraId="5D128C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14:paraId="2BB68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150F37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B类、C类和D类基金份额。投资人申购A类基金份额、D类基金份额在申购时支付申购费用，申购B类基金份额在赎回时才支付相应的申购费用，申购C类基金份额不支付申购费用，而是从该类别基金资产中计提销售服务费。</w:t>
      </w:r>
    </w:p>
    <w:p w14:paraId="03CC3D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A/B/D类基金份额的申购费用由该类基金份额申购人承担，不列入基金财产，主要用于本基金的市场推广、销售、登记结算等各项费用。</w:t>
      </w:r>
    </w:p>
    <w:p w14:paraId="4D6DE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14:paraId="0D6551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60795BC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F7FACE">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7E5D685B">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14:paraId="2294384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C1CCDD">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67DCF447">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14:paraId="71E510F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B3F2E78">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31E67A0D">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2B457FA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CA0364">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0FF0FDC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14:paraId="19194F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3F363C">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28106C5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14:paraId="0D109C0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1BF669">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14:paraId="7AC906A3">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513E28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本基金B类基金份额（非养老金客户）的申购费率如下：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5C9E493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A7C1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14:paraId="36C5C834">
            <w:pPr>
              <w:widowControl/>
              <w:snapToGrid w:val="0"/>
              <w:jc w:val="center"/>
              <w:rPr>
                <w:rFonts w:ascii="宋体" w:hAnsi="宋体"/>
                <w:color w:val="000000"/>
                <w:kern w:val="0"/>
                <w:sz w:val="25"/>
                <w:szCs w:val="24"/>
              </w:rPr>
            </w:pPr>
            <w:r>
              <w:rPr>
                <w:rFonts w:ascii="Times New Roman" w:hAnsi="Times New Roman"/>
                <w:color w:val="000000"/>
                <w:kern w:val="0"/>
                <w:sz w:val="25"/>
                <w:szCs w:val="24"/>
              </w:rPr>
              <w:t>B类基金份额后端申购费率</w:t>
            </w:r>
          </w:p>
        </w:tc>
      </w:tr>
      <w:tr w14:paraId="385519B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6B59AF">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14:paraId="145C69D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14:paraId="1DF82F4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C8A606">
            <w:pPr>
              <w:widowControl/>
              <w:snapToGrid w:val="0"/>
              <w:jc w:val="left"/>
              <w:rPr>
                <w:rFonts w:ascii="宋体" w:hAnsi="宋体"/>
                <w:color w:val="000000"/>
                <w:kern w:val="0"/>
                <w:sz w:val="25"/>
                <w:szCs w:val="24"/>
              </w:rPr>
            </w:pPr>
            <w:r>
              <w:rPr>
                <w:rFonts w:ascii="Times New Roman" w:hAnsi="Times New Roman"/>
                <w:color w:val="000000"/>
                <w:kern w:val="0"/>
                <w:sz w:val="25"/>
                <w:szCs w:val="24"/>
              </w:rPr>
              <w:t>1年—3年（含）</w:t>
            </w:r>
          </w:p>
        </w:tc>
        <w:tc>
          <w:tcPr>
            <w:tcW w:w="750" w:type="pct"/>
            <w:tcBorders>
              <w:top w:val="single" w:color="auto" w:sz="4" w:space="0"/>
              <w:left w:val="single" w:color="auto" w:sz="4" w:space="0"/>
              <w:bottom w:val="single" w:color="auto" w:sz="4" w:space="0"/>
              <w:right w:val="single" w:color="auto" w:sz="4" w:space="0"/>
            </w:tcBorders>
            <w:vAlign w:val="center"/>
          </w:tcPr>
          <w:p w14:paraId="3396098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4AE749A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396E5C">
            <w:pPr>
              <w:widowControl/>
              <w:snapToGrid w:val="0"/>
              <w:jc w:val="left"/>
              <w:rPr>
                <w:rFonts w:ascii="宋体" w:hAnsi="宋体"/>
                <w:color w:val="000000"/>
                <w:kern w:val="0"/>
                <w:sz w:val="25"/>
                <w:szCs w:val="24"/>
              </w:rPr>
            </w:pPr>
            <w:r>
              <w:rPr>
                <w:rFonts w:ascii="Times New Roman" w:hAnsi="Times New Roman"/>
                <w:color w:val="000000"/>
                <w:kern w:val="0"/>
                <w:sz w:val="25"/>
                <w:szCs w:val="24"/>
              </w:rPr>
              <w:t>3年—5年（含）</w:t>
            </w:r>
          </w:p>
        </w:tc>
        <w:tc>
          <w:tcPr>
            <w:tcW w:w="750" w:type="pct"/>
            <w:tcBorders>
              <w:top w:val="single" w:color="auto" w:sz="4" w:space="0"/>
              <w:left w:val="single" w:color="auto" w:sz="4" w:space="0"/>
              <w:bottom w:val="single" w:color="auto" w:sz="4" w:space="0"/>
              <w:right w:val="single" w:color="auto" w:sz="4" w:space="0"/>
            </w:tcBorders>
            <w:vAlign w:val="center"/>
          </w:tcPr>
          <w:p w14:paraId="174B9D8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1B66576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00ED40">
            <w:pPr>
              <w:widowControl/>
              <w:snapToGrid w:val="0"/>
              <w:jc w:val="left"/>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14:paraId="0C9A6D78">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4034F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14:paraId="4A293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6019797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6CED85">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2FE0DA0A">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D类基金份额申购费率</w:t>
            </w:r>
          </w:p>
        </w:tc>
      </w:tr>
      <w:tr w14:paraId="34D34C4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5691AB">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301F1E1F">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14:paraId="4E0CD1F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22F2ED">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3CCE367B">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14:paraId="314A94A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E0D7C9">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38C3240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15CAC1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35E8FF">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50382A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344B99D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E5B5B78">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14:paraId="31D0DA18">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14:paraId="5359C6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持有A/B/D类基金份额的投资人因红利自动再投资而产生的A/B/D类基金份额，不收取相应的申购费用。</w:t>
      </w:r>
    </w:p>
    <w:p w14:paraId="36122D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本基金对通过基金管理人直销柜台申购A类基金份额、D类基金份额的养老金客户实施特定申购费率。</w:t>
      </w:r>
    </w:p>
    <w:p w14:paraId="72735D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14:paraId="4ED2E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14:paraId="3CAB36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4EF1C6">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6E9DF41F">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A类基金份额前端特定申购费率</w:t>
            </w:r>
          </w:p>
        </w:tc>
      </w:tr>
      <w:tr w14:paraId="135D388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488D59">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6D633E6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14:paraId="6ED3E9F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4D6CEC">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0758A58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14:paraId="059A51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C3771B">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2FBD20A6">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14:paraId="299EC03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47BD37">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37328ED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14:paraId="0A87150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4116AF">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14:paraId="3E10187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7B3E5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14:paraId="74A43D1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7BD5BC">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03C34114">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14:paraId="681217B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BC83DE5">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2BFB705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14:paraId="35D122B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23C9D4">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0D028C6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14:paraId="25A1DEF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2D6B0C">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7070776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14:paraId="529A9A3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F4AD2F">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3EA4C80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14:paraId="2E4E138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1B42D8">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00E00C8C">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14:paraId="0450E7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2EBB14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5A0C6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各类基金份额收取赎回费用，该费用随基金份额的持有时间递减。本基金基金份额的赎回费用由基金份额赎回人承担，赎回费总额的25%应归基金财产，其余用于支付登记费和其他必要的手续费。其中，对持续持有期少于7日的基金份额持有人收取不低于1.5%的赎回费并全额计入基金财产。</w:t>
      </w:r>
    </w:p>
    <w:p w14:paraId="28735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27AE2D20">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6B0AEB33">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14:paraId="1CEDF0D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14:paraId="6F3D8F45">
            <w:pPr>
              <w:widowControl/>
              <w:snapToGrid w:val="0"/>
              <w:jc w:val="center"/>
              <w:rPr>
                <w:rFonts w:ascii="宋体" w:hAnsi="宋体"/>
                <w:color w:val="000000"/>
                <w:kern w:val="0"/>
                <w:sz w:val="25"/>
                <w:szCs w:val="24"/>
              </w:rPr>
            </w:pPr>
            <w:r>
              <w:rPr>
                <w:rFonts w:ascii="Times New Roman" w:hAnsi="Times New Roman"/>
                <w:color w:val="000000"/>
                <w:kern w:val="0"/>
                <w:sz w:val="25"/>
                <w:szCs w:val="24"/>
              </w:rPr>
              <w:t>A/B类基金份额赎回费率</w:t>
            </w:r>
          </w:p>
        </w:tc>
      </w:tr>
      <w:tr w14:paraId="7CD211E5">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6005DD32">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5C03A652">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14:paraId="13108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1D8B4634">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22056705">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444DE2CA">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14:paraId="7B022D2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14:paraId="392B1E0B">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0310F74F">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3CEC50F0">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14:paraId="50E9ECB8">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14:paraId="5217782C">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462C659C">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3042F4CE">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14:paraId="13B642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696A0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14:paraId="23809B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本基金C/D类基金份额的赎回费率如下：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4961B8BE">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17D699AF">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14:paraId="1ED28B3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14:paraId="0E32AE9F">
            <w:pPr>
              <w:widowControl/>
              <w:snapToGrid w:val="0"/>
              <w:jc w:val="center"/>
              <w:rPr>
                <w:rFonts w:ascii="宋体" w:hAnsi="宋体"/>
                <w:color w:val="000000"/>
                <w:kern w:val="0"/>
                <w:sz w:val="25"/>
                <w:szCs w:val="24"/>
              </w:rPr>
            </w:pPr>
            <w:r>
              <w:rPr>
                <w:rFonts w:ascii="Times New Roman" w:hAnsi="Times New Roman"/>
                <w:color w:val="000000"/>
                <w:kern w:val="0"/>
                <w:sz w:val="25"/>
                <w:szCs w:val="24"/>
              </w:rPr>
              <w:t>C/D类基金份额赎回费率</w:t>
            </w:r>
          </w:p>
        </w:tc>
      </w:tr>
      <w:tr w14:paraId="4CB0DE5C">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44F92697">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254A5955">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14:paraId="3051C9A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039D63EC">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84F4417">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53F409EF">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7日（含）以上</w:t>
            </w:r>
          </w:p>
        </w:tc>
        <w:tc>
          <w:tcPr>
            <w:tcW w:w="750" w:type="pct"/>
            <w:tcBorders>
              <w:top w:val="single" w:color="auto" w:sz="4" w:space="0"/>
              <w:left w:val="single" w:color="auto" w:sz="4" w:space="0"/>
              <w:bottom w:val="single" w:color="auto" w:sz="4" w:space="0"/>
              <w:right w:val="single" w:color="auto" w:sz="4" w:space="0"/>
            </w:tcBorders>
            <w:vAlign w:val="center"/>
          </w:tcPr>
          <w:p w14:paraId="542DFF06">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480F06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14:paraId="0389F3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14:paraId="5E4ED5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14:paraId="115341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41F96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净申购金额除以当日的各类基金份额净值，有效份额单位为份，场外申购份额计算结果按四舍五入方法，保留到小数点后2位，由此产生的收益或损失由基金财产承担，场内申购份额计算结果按舍去尾数的方法，保留到整数位，剩余部分折回金额返回投资人，折回金额的计算保留到小数点后2位，小数点2位以后的部分四舍五入，由此产生的收益或损失由基金财产承担。</w:t>
      </w:r>
    </w:p>
    <w:p w14:paraId="1937C5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各类基金份额的有效赎回份额乘以当日该类基金份额净值并扣除相应的费用（如有），赎回金额单位为元。赎回金额计算结果按四舍五入方法，保留到小数点后2位，由此产生的收益或损失由基金财产承担。</w:t>
      </w:r>
    </w:p>
    <w:p w14:paraId="0BA3F2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2BAA08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14:paraId="35073B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718ED2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0F4001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14:paraId="2594F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5FFE59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14:paraId="3BBC7B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6" o:spt="75" type="#_x0000_t75" style="height:71.25pt;width:288pt;" filled="f" o:preferrelative="t" stroked="f" coordsize="21600,21600">
            <v:path/>
            <v:fill on="f" focussize="0,0"/>
            <v:stroke on="f" joinstyle="miter"/>
            <v:imagedata r:id="rId13" o:title="1521256610242020828"/>
            <o:lock v:ext="edit" aspectratio="t"/>
            <w10:wrap type="none"/>
            <w10:anchorlock/>
          </v:shape>
        </w:pict>
      </w:r>
    </w:p>
    <w:p w14:paraId="48D930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场内申购的有效份额保留到整数位，剩余部分对应申购资金返还投资者。</w:t>
      </w:r>
    </w:p>
    <w:p w14:paraId="4F1E59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14:paraId="5A51F7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159CB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14:paraId="38015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14:paraId="25D79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14:paraId="5A4F39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如果该投资者是场内申购，则其可得到的申购份额为95,390份，其余0.72份对应金额返回给投资者。</w:t>
      </w:r>
    </w:p>
    <w:p w14:paraId="2C62BA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14:paraId="62A7A7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54C8E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14:paraId="3B388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14:paraId="02B1CD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14:paraId="7A1635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即：该养老金客户资100,000元通过基金管理人的直销柜台申购本基金的A类基金份额，假设申购当日A/B类基金份额净值为1.0400元，则其可得到95,847.13份A类基金份额。</w:t>
      </w:r>
    </w:p>
    <w:p w14:paraId="4109FF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（2）B类基金份额的申购</w:t>
      </w:r>
    </w:p>
    <w:p w14:paraId="379198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67929D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7" o:spt="75" type="#_x0000_t75" style="height:71.25pt;width:288pt;" filled="f" o:preferrelative="t" stroked="f" coordsize="21600,21600">
            <v:path/>
            <v:fill on="f" focussize="0,0"/>
            <v:stroke on="f" joinstyle="miter"/>
            <v:imagedata r:id="rId14" o:title="1521256610242020828"/>
            <o:lock v:ext="edit" aspectratio="t"/>
            <w10:wrap type="none"/>
            <w10:anchorlock/>
          </v:shape>
        </w:pict>
      </w:r>
    </w:p>
    <w:p w14:paraId="7EADCE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当投资者提出赎回时，后端申购费用的计算方法为：</w:t>
      </w:r>
    </w:p>
    <w:p w14:paraId="6CD1A9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后端申购费用＝赎回份额×T日A/B类基金份额净值×后端申购费率</w:t>
      </w:r>
    </w:p>
    <w:p w14:paraId="425FD7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例三：某投资者投资100,000元申购本基金的B类基金份额，假设申购当日A/B类基金份额净值为1.0400元，则其可得到的申购份额为：</w:t>
      </w:r>
    </w:p>
    <w:p w14:paraId="71E5F6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14:paraId="1E2DE3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14:paraId="61756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（3）C类基金份额的申购</w:t>
      </w:r>
    </w:p>
    <w:p w14:paraId="70AE6F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14:paraId="6EEB14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4B7C14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14:paraId="72380A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14:paraId="6B05B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14:paraId="55773B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14:paraId="5A300E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（4）D类基金份额的申购</w:t>
      </w:r>
    </w:p>
    <w:p w14:paraId="009EBF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如果投资者选择申购D类基金份额，则申购份额的计算方法如下：</w:t>
      </w:r>
    </w:p>
    <w:p w14:paraId="6521C7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5BF642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115AF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69A19F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申购份额=净申购金额/T日D类基金份额净值</w:t>
      </w:r>
    </w:p>
    <w:p w14:paraId="7869B0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例五：某投资者（非养老金客户）投资10万元申购本基金的D类基金份额，假设申购当日D类基金份额净值为1.0400元，申购费率为0.9%，则其可得到的申购份额为：</w:t>
      </w:r>
    </w:p>
    <w:p w14:paraId="09B47C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6C27EA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净申购金额=100,000/（1+0.9%）=99,108.03元</w:t>
      </w:r>
    </w:p>
    <w:p w14:paraId="5265C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申购费用=100,000-99,108.03=891.97元</w:t>
      </w:r>
    </w:p>
    <w:p w14:paraId="24FF95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申购份额=99,108.03/1.0400=95,296.18份</w:t>
      </w:r>
    </w:p>
    <w:p w14:paraId="7C15A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即：某投资者（非养老金客户）投资10万元申购本基金D类基金份额，假设申购当日D类基金份额净值为1.0400元，则其可得到95,296.18份D类基金份额。</w:t>
      </w:r>
    </w:p>
    <w:p w14:paraId="64B506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0FCAB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14:paraId="6F1DAA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如果投资者赎回A类基金份额，则赎回金额的计算方法如下：</w:t>
      </w:r>
    </w:p>
    <w:p w14:paraId="6028E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赎回费用=赎回份额×T日A/B类基金份额净值×赎回费率</w:t>
      </w:r>
    </w:p>
    <w:p w14:paraId="1D6EA2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赎回金额=赎回份额×T日A/B类基金份额净值-赎回费用</w:t>
      </w:r>
    </w:p>
    <w:p w14:paraId="385E8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例六：某投资者赎回100,000份A类基金份额，对应的赎回费率为0.1%，假设赎回当日A/B类基金份额净值是1.0160元，则其可得到的赎回金额为：</w:t>
      </w:r>
    </w:p>
    <w:p w14:paraId="1E9B31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14:paraId="42CD12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14:paraId="505A56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14:paraId="34C56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（2）B类基金份额的赎回</w:t>
      </w:r>
    </w:p>
    <w:p w14:paraId="143411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如果投资者赎回B类基金份额，则赎回金额的计算方法如下：</w:t>
      </w:r>
    </w:p>
    <w:p w14:paraId="2C8F86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赎回总额＝赎回份额×T日A/B类基金份额净值</w:t>
      </w:r>
    </w:p>
    <w:p w14:paraId="1917AA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后端（认）申购费用＝赎回份额×（认）申购日基金份额净值×后端（认）申购费率</w:t>
      </w:r>
    </w:p>
    <w:p w14:paraId="3BFF2A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14:paraId="471E74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赎回金额＝赎回总额－后端（认）申购费用－赎回费用</w:t>
      </w:r>
    </w:p>
    <w:p w14:paraId="765617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例七：某投资者赎回100,000份B类基金份额，对应的后端申购费率是1.0%，赎回费率为0.1%，假设赎回当日A/B类基金份额净值是1.0160元，申购时的A/B类基金份额净值为1.0100元，则其可得到的赎回金额为：</w:t>
      </w:r>
    </w:p>
    <w:p w14:paraId="5FD5EC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赎回总额=100,000×1.0160=101,600元</w:t>
      </w:r>
    </w:p>
    <w:p w14:paraId="2CDA44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后端申购费用=100,000×1.0100×1.0%=1,010.00元</w:t>
      </w:r>
    </w:p>
    <w:p w14:paraId="4C8453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赎回费用=101,600×0.1%=101.60元</w:t>
      </w:r>
    </w:p>
    <w:p w14:paraId="0B7B88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赎回金额=101,600-1,010.00-101.60=100,488.40元</w:t>
      </w:r>
    </w:p>
    <w:p w14:paraId="1D401C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14:paraId="3F8D5E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（3）C类基金份额的赎回</w:t>
      </w:r>
    </w:p>
    <w:p w14:paraId="2D7017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14:paraId="404B9E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14:paraId="3009A3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赎回金额=赎回份数×T日C类基金份额净值-赎回费用</w:t>
      </w:r>
    </w:p>
    <w:p w14:paraId="7CD60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例八：某投资者赎回100,000份C类基金份额，持有期限为30日，对应的赎回费率为0%，假设赎回当日C类基金份额净值是1.2500 元，则其可得到的赎回金额为：</w:t>
      </w:r>
    </w:p>
    <w:p w14:paraId="393AB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赎回费用=100,000×1.2500×0=0元</w:t>
      </w:r>
    </w:p>
    <w:p w14:paraId="1DC3DD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赎回金额=100,000×1.2500-0=125,000.00 元</w:t>
      </w:r>
    </w:p>
    <w:p w14:paraId="7E0C1F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即：投资者赎回100,000份C类基金份额，持有期限为30日，对应的赎回费率为0%，假设赎回当日C类基金份额净值是1.2500元，则其可得到的赎回金额为125,000.00元。</w:t>
      </w:r>
    </w:p>
    <w:p w14:paraId="3225C6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（4）D类基金份额的赎回</w:t>
      </w:r>
    </w:p>
    <w:p w14:paraId="6E481D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投资人赎回D类基金份额，赎回金额的计算方法如下：</w:t>
      </w:r>
    </w:p>
    <w:p w14:paraId="5FAE38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赎回金额=赎回份数×赎回当日D类基金份额净值</w:t>
      </w:r>
    </w:p>
    <w:p w14:paraId="39C0D7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例九：某投资人赎回本基金1万份D类基金份额，持有期限为30日，对应的赎回费率为0，假设赎回当日D类基金份额净值是1.2500元，则其可得到的赎回金额为：</w:t>
      </w:r>
    </w:p>
    <w:p w14:paraId="361292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赎回费用=10,000×1.2500×0＝0元</w:t>
      </w:r>
    </w:p>
    <w:p w14:paraId="0193C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赎回金额=10,000×1.2500-0=12,500 元</w:t>
      </w:r>
    </w:p>
    <w:p w14:paraId="1E321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即：投资人赎回本基金1万份D类基金份额，持有期限为30日，对应的赎回费率为0，假设赎回当日D类基金份额净值是1.2500元，则其可得到的赎回金额为12,500元。</w:t>
      </w:r>
    </w:p>
    <w:p w14:paraId="023645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7705DA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A/B类基金份额净值＝A/B类基金份额的基金资产净值总额/发行在外的A/B类基金份额总数</w:t>
      </w:r>
    </w:p>
    <w:p w14:paraId="369CB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14:paraId="342D8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D类基金份额净值＝D类基金份额的基金资产净值/发售在外的D类基金份额总数。</w:t>
      </w:r>
    </w:p>
    <w:p w14:paraId="51D300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各类基金份额的基金份额净值的计算，保留到小数点后4位，小数点后第5位四舍五入，由此误差产生的收益或损失由基金财产承担。</w:t>
      </w:r>
    </w:p>
    <w:p w14:paraId="26D7C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14:paraId="3E0267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7D4FD6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7AE1D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14:paraId="45C6B1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728A1D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14:paraId="378CDF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14:paraId="32734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14:paraId="0C0EB6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2B727F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14:paraId="629811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9、法律法规规定或中国证监会认定的其他情形。</w:t>
      </w:r>
    </w:p>
    <w:p w14:paraId="7EEAA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14:paraId="0BC07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14:paraId="716013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0DDD3A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14:paraId="7B12E5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14:paraId="1EFF3D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14:paraId="40DEC2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14:paraId="3CCD36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14:paraId="27C13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14:paraId="39EE5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各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079B1E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14:paraId="64F75E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00F326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0B286A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288695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4E31DC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69DA97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14:paraId="01FA31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765455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巨额赎回业务的场内处理，按照上海证券交易所及中国证券登记结算有限责任公司的有关规定办理。</w:t>
      </w:r>
    </w:p>
    <w:p w14:paraId="1C70DB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30AD71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14:paraId="08D64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当发生上述延期赎回并延期办理时，基金管理人应当通过邮寄、传真、刊登公告或者通知代销机构代为告知等方式在3个交易日内通知基金份额持有人，说明有关处理方法，并在2日内在指定媒介上刊登公告。</w:t>
      </w:r>
    </w:p>
    <w:p w14:paraId="1EB3E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14:paraId="75B2B9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14:paraId="6492D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2、暂停结束，基金重新开放申购或赎回时，基金管理人应依照《信息披露办法》的有关规定，不迟于重新开放日，在指定媒介上刊登基金重新开放申购或赎回公告，并公布最近一个开放日的各类基金份额净值。</w:t>
      </w:r>
    </w:p>
    <w:p w14:paraId="6F80A0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14:paraId="349DCD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24D8B9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294560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14:paraId="65969D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14:paraId="5E2DB6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14:paraId="1ABEFC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2BE4F1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2017年6月12日刊登公告自2017年6月13日起开通A/B类、C类基金份额的定期定额投资计划业务，本基金2025年4月1日刊登公告自2025年4月2日起增设D类基金份额并开通D类基金份额的定期定额投资计划业务，具体开通销售机构名单和业务规则参见相关公告。</w:t>
      </w:r>
    </w:p>
    <w:p w14:paraId="09193F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（十五）基金份额的冻结和解冻</w:t>
      </w:r>
    </w:p>
    <w:p w14:paraId="28A281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14:paraId="7D587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（十六）实施侧袋机制期间本基金的申购与赎回</w:t>
      </w:r>
    </w:p>
    <w:p w14:paraId="46E9FB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197320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（十七）其他业务</w:t>
      </w:r>
    </w:p>
    <w:p w14:paraId="70AEA6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14:paraId="77306E22">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7FE0B69">
      <w:pPr>
        <w:pStyle w:val="2"/>
        <w:snapToGrid w:val="0"/>
        <w:spacing w:before="240" w:beforeLines="0" w:after="240"/>
        <w:rPr>
          <w:rFonts w:ascii="宋体" w:hAnsi="宋体"/>
          <w:szCs w:val="30"/>
        </w:rPr>
      </w:pPr>
      <w:bookmarkStart w:id="11" w:name="_Toc201216796"/>
      <w:r>
        <w:rPr>
          <w:rFonts w:ascii="Times New Roman" w:hAnsi="Times New Roman"/>
          <w:sz w:val="30"/>
        </w:rPr>
        <w:t>九、基金的转换</w:t>
      </w:r>
      <w:bookmarkEnd w:id="11"/>
    </w:p>
    <w:p w14:paraId="080874C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14:paraId="47745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w:t>
      </w:r>
      <w:r>
        <w:rPr>
          <w:rFonts w:hint="eastAsia" w:ascii="宋体" w:hAnsi="宋体"/>
          <w:sz w:val="24"/>
        </w:rPr>
        <w:t>该基金其他份额（如有）或</w:t>
      </w:r>
      <w:r>
        <w:rPr>
          <w:rFonts w:ascii="宋体" w:hAnsi="宋体"/>
          <w:sz w:val="24"/>
        </w:rPr>
        <w:t>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14:paraId="544DB5B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14:paraId="44424D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本基金2022年6月18日刊登公告自2022年6月22日起开放A/B类、C类基金份额的日常转换业务，本基金2025年4月1日刊登公告自2025年4月2日起增设D类基金份额并开通D类基金份额的日常转换业务。</w:t>
      </w:r>
    </w:p>
    <w:p w14:paraId="3E9D93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14:paraId="3E3A90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67C792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14:paraId="6E49B52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14:paraId="1CB71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14:paraId="37673F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14:paraId="0EF6F9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14:paraId="33CBA3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14:paraId="26423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14:paraId="5448BA8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14:paraId="0529E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34B128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14:paraId="0B6142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14:paraId="2D3514B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14:paraId="68686B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14:paraId="08FD52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14:paraId="794357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14:paraId="278A7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14:paraId="06DDD2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14:paraId="06E2BB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14:paraId="434E1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14:paraId="25933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14:paraId="1BF071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7244B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14:paraId="51F21B2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14:paraId="50076C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14:paraId="47C9D9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25A585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5A0163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02480B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14:paraId="20EEE5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14:paraId="07ED06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14:paraId="2B21E3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4E2C5A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168D61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48F442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5D9CC0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14:paraId="618A03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14:paraId="06BB8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14:paraId="63EBC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14:paraId="676807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14:paraId="1CFB52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14:paraId="708DBD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14:paraId="08B385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14:paraId="6A0D85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14:paraId="23C5B2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14:paraId="726FA9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14:paraId="40BE4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14:paraId="5E30EB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14:paraId="15BFEC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7EE84E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31294B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14:paraId="1831AB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14:paraId="447A51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14:paraId="23A028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14:paraId="5235A4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6F03F0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052D9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404F72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14:paraId="42DAB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14:paraId="5C778F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14:paraId="71CACE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0C504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7E68A8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10097B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14:paraId="56C849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5CAE90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2FF27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02E61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507B1F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14:paraId="1E7C36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1E3926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1195A7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355385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14:paraId="603F9A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14:paraId="031DBC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14:paraId="26E6E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028212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53194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0C295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14:paraId="285729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14:paraId="32CE80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14:paraId="372F67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14:paraId="309600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14:paraId="058F3F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14:paraId="63808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14:paraId="54EFF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14:paraId="1452BA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14:paraId="44D37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7EAD91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63B78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13E277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14:paraId="72218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14:paraId="0ABE522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14:paraId="4262E3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14:paraId="66C0B7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14:paraId="0A5309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2E9A2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14:paraId="6C2B02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49036B8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14:paraId="234219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14:paraId="39E87B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14:paraId="26CEFE4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DFDEAAB">
      <w:pPr>
        <w:pStyle w:val="2"/>
        <w:snapToGrid w:val="0"/>
        <w:spacing w:before="240" w:beforeLines="0" w:after="240"/>
        <w:rPr>
          <w:rFonts w:ascii="宋体" w:hAnsi="宋体"/>
          <w:szCs w:val="30"/>
        </w:rPr>
      </w:pPr>
      <w:bookmarkStart w:id="12" w:name="_Toc201216797"/>
      <w:r>
        <w:rPr>
          <w:rFonts w:ascii="Times New Roman" w:hAnsi="Times New Roman"/>
          <w:sz w:val="30"/>
        </w:rPr>
        <w:t>十、基金的投资</w:t>
      </w:r>
      <w:bookmarkEnd w:id="12"/>
    </w:p>
    <w:p w14:paraId="41208C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（一）投资目标</w:t>
      </w:r>
    </w:p>
    <w:p w14:paraId="18AD42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本基金以债券投资为主，通过自上而下进行宏观分析，自下而上精选个券，在严格控制风险的前提下，力争实现基金资产的长期稳定增值。</w:t>
      </w:r>
    </w:p>
    <w:p w14:paraId="49D0B7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（二）投资范围</w:t>
      </w:r>
    </w:p>
    <w:p w14:paraId="6713ED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w:t>
      </w:r>
      <w:r>
        <w:rPr>
          <w:rFonts w:hint="eastAsia" w:ascii="宋体" w:hAnsi="宋体"/>
          <w:sz w:val="24"/>
        </w:rPr>
        <w:t>、存托凭证</w:t>
      </w:r>
      <w:r>
        <w:rPr>
          <w:rFonts w:ascii="宋体" w:hAnsi="宋体"/>
          <w:sz w:val="24"/>
        </w:rPr>
        <w:t>）、权证等权益类品种以及法律法规或中国证监会允许基金投资的其他金融工具(但须符合中国证监会相关规定)。</w:t>
      </w:r>
    </w:p>
    <w:p w14:paraId="027B84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5794A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w:t>
      </w:r>
      <w:r>
        <w:rPr>
          <w:rFonts w:hint="eastAsia" w:ascii="宋体" w:hAnsi="宋体"/>
          <w:sz w:val="24"/>
        </w:rPr>
        <w:t>（含存托凭证）</w:t>
      </w:r>
      <w:r>
        <w:rPr>
          <w:rFonts w:ascii="宋体" w:hAnsi="宋体"/>
          <w:sz w:val="24"/>
        </w:rPr>
        <w:t>、权证等权益类资产的投资比例不高于基金资产净值的20%；现金或到期日在一年以内的政府债券的投资比例合计不低于基金资产净值的5%，其中现金不包括结算备付金、存出保证金和应收申购款等。</w:t>
      </w:r>
    </w:p>
    <w:p w14:paraId="7D6D67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本基金通过参与一级市场新股申购、股票增发，以及因所持股票进行股票配售及派发所形成的股票不超过基金资产净值的20%，通过二级市场买入股票</w:t>
      </w:r>
      <w:r>
        <w:rPr>
          <w:rFonts w:hint="eastAsia" w:ascii="宋体" w:hAnsi="宋体"/>
          <w:sz w:val="24"/>
        </w:rPr>
        <w:t>（含存托凭证）</w:t>
      </w:r>
      <w:r>
        <w:rPr>
          <w:rFonts w:ascii="宋体" w:hAnsi="宋体"/>
          <w:sz w:val="24"/>
        </w:rPr>
        <w:t>、权证等权益类资产不高于基金资产净值的5%。</w:t>
      </w:r>
    </w:p>
    <w:p w14:paraId="692A01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（三）投资策略</w:t>
      </w:r>
    </w:p>
    <w:p w14:paraId="0B7A53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14:paraId="6EE95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14:paraId="0863B8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益。</w:t>
      </w:r>
    </w:p>
    <w:p w14:paraId="74B4DB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14:paraId="596106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14:paraId="7A4B5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14:paraId="37BAED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14:paraId="19362A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（2）期限结构配置策略</w:t>
      </w:r>
    </w:p>
    <w:p w14:paraId="4E02C8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14:paraId="5BDC98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（3）债券的类属配置策略</w:t>
      </w:r>
    </w:p>
    <w:p w14:paraId="38C272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14:paraId="16B47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14:paraId="250613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14:paraId="75200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14:paraId="6983D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14:paraId="0101DB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14:paraId="3F5D1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14:paraId="72364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14:paraId="270BD3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14:paraId="0BBC31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14:paraId="4DC9C1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14:paraId="50006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14:paraId="3A0EB7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14:paraId="619EF4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14:paraId="2A05D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14:paraId="3D1B44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14:paraId="5A308241">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此外，本基金将研究首发股票及增发新股的基本面因素，根据股票市场整体定价水平，并参考一级市场资金供求关系，精选个股进行申购，在控制组合波动性风险的前提下提升基金的收益水平。</w:t>
      </w:r>
    </w:p>
    <w:p w14:paraId="1201D401">
      <w:pPr>
        <w:spacing w:line="360" w:lineRule="auto"/>
        <w:ind w:firstLine="480" w:firstLineChars="200"/>
        <w:rPr>
          <w:rFonts w:ascii="宋体" w:hAnsi="宋体"/>
          <w:sz w:val="24"/>
        </w:rPr>
      </w:pPr>
      <w:r>
        <w:rPr>
          <w:rFonts w:hint="eastAsia" w:ascii="宋体" w:hAnsi="宋体"/>
          <w:sz w:val="24"/>
        </w:rPr>
        <w:t>本基金投资存托凭证的策略依照境内上市交易的股票投资策略执行。</w:t>
      </w:r>
    </w:p>
    <w:p w14:paraId="6B2EDC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4、权证投资策略</w:t>
      </w:r>
    </w:p>
    <w:p w14:paraId="7FCAB5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14:paraId="1E979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（四）投资限制</w:t>
      </w:r>
    </w:p>
    <w:p w14:paraId="38F574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14:paraId="3B9239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14:paraId="73C6FB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（1）债券的投资比例不低于基金资产的80%，股票</w:t>
      </w:r>
      <w:r>
        <w:rPr>
          <w:rFonts w:hint="eastAsia" w:ascii="宋体" w:hAnsi="宋体"/>
          <w:sz w:val="24"/>
        </w:rPr>
        <w:t>（含存托凭证）</w:t>
      </w:r>
      <w:r>
        <w:rPr>
          <w:rFonts w:ascii="宋体" w:hAnsi="宋体"/>
          <w:sz w:val="24"/>
        </w:rPr>
        <w:t>、权证等权益类资产的投资比例不高于基金资产净值的20%；通过参与一级市场新股申购、股票增发，以及因所持股票进行股票配售及派发所形成的股票不超过基金资产净值的20%，通过二级市场买入股票</w:t>
      </w:r>
      <w:r>
        <w:rPr>
          <w:rFonts w:hint="eastAsia" w:ascii="宋体" w:hAnsi="宋体"/>
          <w:sz w:val="24"/>
        </w:rPr>
        <w:t>（含存托凭证）</w:t>
      </w:r>
      <w:r>
        <w:rPr>
          <w:rFonts w:ascii="宋体" w:hAnsi="宋体"/>
          <w:sz w:val="24"/>
        </w:rPr>
        <w:t>、权证等权益类资产不高于基金资产净值的5%；</w:t>
      </w:r>
    </w:p>
    <w:p w14:paraId="33BB46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14:paraId="329AF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14:paraId="7F06A5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14:paraId="3D098E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32B454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（6）本基金持有的全部权证，其市值不得超过基金资产净值的3%；</w:t>
      </w:r>
    </w:p>
    <w:p w14:paraId="4B223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（7）本基金管理人管理的全部基金持有的同一权证，不得超过该权证的 10%；</w:t>
      </w:r>
    </w:p>
    <w:p w14:paraId="79D36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（8）本基金在任何交易日买入权证的总金额，不得超过上一交易日基金资产净值的0.5%；</w:t>
      </w:r>
    </w:p>
    <w:p w14:paraId="3DDC8A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（9）本基金投资于同一原始权益人的各类资产支持证券的比例，不得超过基金资产净值的10%；</w:t>
      </w:r>
    </w:p>
    <w:p w14:paraId="50AE71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（10）本基金持有的全部资产支持证券，其市值不得超过基金资产净值的20%；</w:t>
      </w:r>
    </w:p>
    <w:p w14:paraId="4F54D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（11）本基金持有的同一(指同一信用级别)资产支持证券的比例，不得超过该资产支持证券规模的10%；</w:t>
      </w:r>
    </w:p>
    <w:p w14:paraId="04EF68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（12）本基金管理人管理的全部基金投资于同一原始权益人的各类资产支持证券，不得超过其各类资产支持证券合计规模的10%；</w:t>
      </w:r>
    </w:p>
    <w:p w14:paraId="6F878F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（13）本基金应投资于信用级别评级为BBB以上(含BBB)的资产支持证券。基金持有资产支持证券期间，如果其信用等级下降、不再符合投资标准，应在评级报告发布之日起3个月内予以全部卖出；</w:t>
      </w:r>
    </w:p>
    <w:p w14:paraId="3EA174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（14）基金财产参与股票发行申购，本基金所申报的金额不超过本基金的总资产，本基金所申报的股票数量不超过拟发行股票公司本次发行股票的总量；</w:t>
      </w:r>
    </w:p>
    <w:p w14:paraId="53056A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（15）本基金进入全国银行间同业市场进行债券回购的资金余额不得超过基金资产净值的40%；</w:t>
      </w:r>
    </w:p>
    <w:p w14:paraId="11C491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3D0FF4AF">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14:paraId="282AB518">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（18）本基金投资存托凭证的比例限制依照境内上市交易的股票执行；</w:t>
      </w:r>
    </w:p>
    <w:p w14:paraId="097213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（19）法律法规及中国证监会规定的和《基金合同》约定的其他投资限制。</w:t>
      </w:r>
    </w:p>
    <w:p w14:paraId="7856FE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13）、（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14:paraId="3C6DE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14:paraId="5FC59D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14:paraId="3B465F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14:paraId="15DA36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6F714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68E491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14:paraId="23B753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4B11FC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14:paraId="0C0311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14:paraId="6CC8F0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14:paraId="73D0D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（7）法律法规和中国证监会规定禁止的其他活动。</w:t>
      </w:r>
    </w:p>
    <w:p w14:paraId="2DDB89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14:paraId="5A3D91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14:paraId="07106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w:t>
      </w:r>
    </w:p>
    <w:p w14:paraId="1B2615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债券投资部分业绩的比较基准，较为合适。</w:t>
      </w:r>
    </w:p>
    <w:p w14:paraId="1F0426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14:paraId="7D4C25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（六）风险收益特征</w:t>
      </w:r>
    </w:p>
    <w:p w14:paraId="6D4CF5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14:paraId="3C6A39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（七）基金的融资融券</w:t>
      </w:r>
    </w:p>
    <w:p w14:paraId="521D56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本基金可以根据有关法律法规和政策的有关规定进行融资、融券。</w:t>
      </w:r>
    </w:p>
    <w:p w14:paraId="4A9099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（八）基金管理人代表基金行使股东及债权人权利的处理原则及方法</w:t>
      </w:r>
    </w:p>
    <w:p w14:paraId="2859F2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14:paraId="1DB878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14:paraId="48FC77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1874B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510276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（九）侧袋机制的实施和投资运作安排</w:t>
      </w:r>
    </w:p>
    <w:p w14:paraId="667DC0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15C06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426E28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17039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（十）基金投资组合报告</w:t>
      </w:r>
    </w:p>
    <w:p w14:paraId="001EB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3687C5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本基金托管人中国建设银行根据本基金合同规定,于2025年04月18日复核了本报告中的财务指标、净值表现和投资组合报告等内容,保证复核内容不存在虚假记载、误导性陈述或者重大遗漏。</w:t>
      </w:r>
    </w:p>
    <w:p w14:paraId="11BB4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本报告期为2025年01月01日起至03月31日。本报告财务资料未经审计师审计。</w:t>
      </w:r>
    </w:p>
    <w:p w14:paraId="587292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758AE0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E67890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501BFC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F27A33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3EAC5D7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3815132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D427E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450CB897">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14125EB0">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102,333,464.56</w:t>
            </w:r>
          </w:p>
        </w:tc>
        <w:tc>
          <w:tcPr>
            <w:tcW w:w="400" w:type="pct"/>
            <w:tcBorders>
              <w:top w:val="single" w:color="auto" w:sz="4" w:space="0"/>
              <w:left w:val="single" w:color="auto" w:sz="4" w:space="0"/>
              <w:bottom w:val="single" w:color="auto" w:sz="4" w:space="0"/>
              <w:right w:val="single" w:color="auto" w:sz="4" w:space="0"/>
            </w:tcBorders>
            <w:vAlign w:val="center"/>
          </w:tcPr>
          <w:p w14:paraId="1FC733A5">
            <w:pPr>
              <w:widowControl/>
              <w:snapToGrid w:val="0"/>
              <w:jc w:val="right"/>
              <w:rPr>
                <w:rFonts w:ascii="宋体" w:hAnsi="宋体"/>
                <w:color w:val="000000"/>
                <w:kern w:val="0"/>
                <w:sz w:val="25"/>
                <w:szCs w:val="24"/>
              </w:rPr>
            </w:pPr>
            <w:r>
              <w:rPr>
                <w:rFonts w:ascii="Times New Roman" w:hAnsi="Times New Roman"/>
                <w:color w:val="000000"/>
                <w:kern w:val="0"/>
                <w:sz w:val="25"/>
                <w:szCs w:val="24"/>
              </w:rPr>
              <w:t>6.96</w:t>
            </w:r>
          </w:p>
        </w:tc>
      </w:tr>
      <w:tr w14:paraId="6BC1F7B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8C0986">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66560B0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0DF30CD4">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102,333,464.56</w:t>
            </w:r>
          </w:p>
        </w:tc>
        <w:tc>
          <w:tcPr>
            <w:tcW w:w="400" w:type="pct"/>
            <w:tcBorders>
              <w:top w:val="single" w:color="auto" w:sz="4" w:space="0"/>
              <w:left w:val="single" w:color="auto" w:sz="4" w:space="0"/>
              <w:bottom w:val="single" w:color="auto" w:sz="4" w:space="0"/>
              <w:right w:val="single" w:color="auto" w:sz="4" w:space="0"/>
            </w:tcBorders>
            <w:vAlign w:val="center"/>
          </w:tcPr>
          <w:p w14:paraId="403FD458">
            <w:pPr>
              <w:widowControl/>
              <w:snapToGrid w:val="0"/>
              <w:jc w:val="right"/>
              <w:rPr>
                <w:rFonts w:ascii="宋体" w:hAnsi="宋体"/>
                <w:color w:val="000000"/>
                <w:kern w:val="0"/>
                <w:sz w:val="25"/>
                <w:szCs w:val="24"/>
              </w:rPr>
            </w:pPr>
            <w:r>
              <w:rPr>
                <w:rFonts w:ascii="Times New Roman" w:hAnsi="Times New Roman"/>
                <w:color w:val="000000"/>
                <w:kern w:val="0"/>
                <w:sz w:val="25"/>
                <w:szCs w:val="24"/>
              </w:rPr>
              <w:t>6.96</w:t>
            </w:r>
          </w:p>
        </w:tc>
      </w:tr>
      <w:tr w14:paraId="2953B83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48960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7AB031B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5470AC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19E19E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ADFAD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CDCF0D">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718CDAE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43B5F84A">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1,344,613,041.94</w:t>
            </w:r>
          </w:p>
        </w:tc>
        <w:tc>
          <w:tcPr>
            <w:tcW w:w="400" w:type="pct"/>
            <w:tcBorders>
              <w:top w:val="single" w:color="auto" w:sz="4" w:space="0"/>
              <w:left w:val="single" w:color="auto" w:sz="4" w:space="0"/>
              <w:bottom w:val="single" w:color="auto" w:sz="4" w:space="0"/>
              <w:right w:val="single" w:color="auto" w:sz="4" w:space="0"/>
            </w:tcBorders>
            <w:vAlign w:val="center"/>
          </w:tcPr>
          <w:p w14:paraId="37030B92">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r w14:paraId="3B66B8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221B2F9">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1DBD6E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09D0D4C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1,344,613,041.94</w:t>
            </w:r>
          </w:p>
        </w:tc>
        <w:tc>
          <w:tcPr>
            <w:tcW w:w="400" w:type="pct"/>
            <w:tcBorders>
              <w:top w:val="single" w:color="auto" w:sz="4" w:space="0"/>
              <w:left w:val="single" w:color="auto" w:sz="4" w:space="0"/>
              <w:bottom w:val="single" w:color="auto" w:sz="4" w:space="0"/>
              <w:right w:val="single" w:color="auto" w:sz="4" w:space="0"/>
            </w:tcBorders>
            <w:vAlign w:val="center"/>
          </w:tcPr>
          <w:p w14:paraId="2B7ED2B8">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r w14:paraId="79D13D0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B4A6A8">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236A751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461AC92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CA38FD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A0600F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1F62A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2E1784B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574C472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452DD7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B154E1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5F86B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32C0719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1BD2E74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50064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57D90C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62B4C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14BF2FDC">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059BC97E">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6,000,000.00</w:t>
            </w:r>
          </w:p>
        </w:tc>
        <w:tc>
          <w:tcPr>
            <w:tcW w:w="400" w:type="pct"/>
            <w:tcBorders>
              <w:top w:val="single" w:color="auto" w:sz="4" w:space="0"/>
              <w:left w:val="single" w:color="auto" w:sz="4" w:space="0"/>
              <w:bottom w:val="single" w:color="auto" w:sz="4" w:space="0"/>
              <w:right w:val="single" w:color="auto" w:sz="4" w:space="0"/>
            </w:tcBorders>
            <w:vAlign w:val="center"/>
          </w:tcPr>
          <w:p w14:paraId="448D8D96">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14:paraId="4D883E6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28019A">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42D24C9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18D0CF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DB8971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F88C3C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CE6CA6">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02B12D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1F7EA9BC">
            <w:pPr>
              <w:widowControl/>
              <w:snapToGrid w:val="0"/>
              <w:jc w:val="right"/>
              <w:rPr>
                <w:rFonts w:ascii="宋体" w:hAnsi="宋体"/>
                <w:color w:val="000000"/>
                <w:kern w:val="0"/>
                <w:sz w:val="25"/>
                <w:szCs w:val="24"/>
              </w:rPr>
            </w:pPr>
            <w:r>
              <w:rPr>
                <w:rFonts w:ascii="Times New Roman" w:hAnsi="Times New Roman"/>
                <w:color w:val="000000"/>
                <w:kern w:val="0"/>
                <w:sz w:val="25"/>
                <w:szCs w:val="24"/>
              </w:rPr>
              <w:t>7,977,549.74</w:t>
            </w:r>
          </w:p>
        </w:tc>
        <w:tc>
          <w:tcPr>
            <w:tcW w:w="400" w:type="pct"/>
            <w:tcBorders>
              <w:top w:val="single" w:color="auto" w:sz="4" w:space="0"/>
              <w:left w:val="single" w:color="auto" w:sz="4" w:space="0"/>
              <w:bottom w:val="single" w:color="auto" w:sz="4" w:space="0"/>
              <w:right w:val="single" w:color="auto" w:sz="4" w:space="0"/>
            </w:tcBorders>
            <w:vAlign w:val="center"/>
          </w:tcPr>
          <w:p w14:paraId="59424CCA">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14:paraId="2FB6F0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CAFCA3">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324AC92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7A1422D3">
            <w:pPr>
              <w:widowControl/>
              <w:snapToGrid w:val="0"/>
              <w:jc w:val="right"/>
              <w:rPr>
                <w:rFonts w:ascii="宋体" w:hAnsi="宋体"/>
                <w:color w:val="000000"/>
                <w:kern w:val="0"/>
                <w:sz w:val="25"/>
                <w:szCs w:val="24"/>
              </w:rPr>
            </w:pPr>
            <w:r>
              <w:rPr>
                <w:rFonts w:ascii="Times New Roman" w:hAnsi="Times New Roman"/>
                <w:color w:val="000000"/>
                <w:kern w:val="0"/>
                <w:sz w:val="25"/>
                <w:szCs w:val="24"/>
              </w:rPr>
              <w:t>9,063,012.10</w:t>
            </w:r>
          </w:p>
        </w:tc>
        <w:tc>
          <w:tcPr>
            <w:tcW w:w="400" w:type="pct"/>
            <w:tcBorders>
              <w:top w:val="single" w:color="auto" w:sz="4" w:space="0"/>
              <w:left w:val="single" w:color="auto" w:sz="4" w:space="0"/>
              <w:bottom w:val="single" w:color="auto" w:sz="4" w:space="0"/>
              <w:right w:val="single" w:color="auto" w:sz="4" w:space="0"/>
            </w:tcBorders>
            <w:vAlign w:val="center"/>
          </w:tcPr>
          <w:p w14:paraId="7188FF4C">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14:paraId="022ECD1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29125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7AB26B13">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29C2AA52">
            <w:pPr>
              <w:widowControl/>
              <w:snapToGrid w:val="0"/>
              <w:jc w:val="right"/>
              <w:rPr>
                <w:rFonts w:ascii="宋体" w:hAnsi="宋体"/>
                <w:color w:val="000000"/>
                <w:kern w:val="0"/>
                <w:sz w:val="25"/>
                <w:szCs w:val="24"/>
              </w:rPr>
            </w:pPr>
            <w:r>
              <w:rPr>
                <w:rFonts w:ascii="Times New Roman" w:hAnsi="Times New Roman"/>
                <w:color w:val="000000"/>
                <w:kern w:val="0"/>
                <w:sz w:val="25"/>
                <w:szCs w:val="24"/>
              </w:rPr>
              <w:t>1,469,987,068.34</w:t>
            </w:r>
          </w:p>
        </w:tc>
        <w:tc>
          <w:tcPr>
            <w:tcW w:w="400" w:type="pct"/>
            <w:tcBorders>
              <w:top w:val="single" w:color="auto" w:sz="4" w:space="0"/>
              <w:left w:val="single" w:color="auto" w:sz="4" w:space="0"/>
              <w:bottom w:val="single" w:color="auto" w:sz="4" w:space="0"/>
              <w:right w:val="single" w:color="auto" w:sz="4" w:space="0"/>
            </w:tcBorders>
            <w:vAlign w:val="center"/>
          </w:tcPr>
          <w:p w14:paraId="2C0CCD5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587DB0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68F0FE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77575DA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04F1198">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46291AA">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47B0F5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000914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572A5F7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AFE98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14:paraId="109F4AF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14:paraId="4A0AEA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FD2058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5DFE1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9D08C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14:paraId="1666D579">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14:paraId="02183D41">
            <w:pPr>
              <w:widowControl/>
              <w:snapToGrid w:val="0"/>
              <w:jc w:val="right"/>
              <w:rPr>
                <w:rFonts w:ascii="宋体" w:hAnsi="宋体"/>
                <w:color w:val="000000"/>
                <w:kern w:val="0"/>
                <w:sz w:val="25"/>
                <w:szCs w:val="24"/>
              </w:rPr>
            </w:pPr>
            <w:r>
              <w:rPr>
                <w:rFonts w:ascii="Times New Roman" w:hAnsi="Times New Roman"/>
                <w:color w:val="000000"/>
                <w:kern w:val="0"/>
                <w:sz w:val="25"/>
                <w:szCs w:val="24"/>
              </w:rPr>
              <w:t>4,398,699.00</w:t>
            </w:r>
          </w:p>
        </w:tc>
        <w:tc>
          <w:tcPr>
            <w:tcW w:w="400" w:type="pct"/>
            <w:tcBorders>
              <w:top w:val="single" w:color="auto" w:sz="4" w:space="0"/>
              <w:left w:val="single" w:color="auto" w:sz="4" w:space="0"/>
              <w:bottom w:val="single" w:color="auto" w:sz="4" w:space="0"/>
              <w:right w:val="single" w:color="auto" w:sz="4" w:space="0"/>
            </w:tcBorders>
            <w:vAlign w:val="center"/>
          </w:tcPr>
          <w:p w14:paraId="76F2A639">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14:paraId="254E7B2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8CA9D4D">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14:paraId="60014F1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14:paraId="2D430C94">
            <w:pPr>
              <w:widowControl/>
              <w:snapToGrid w:val="0"/>
              <w:jc w:val="right"/>
              <w:rPr>
                <w:rFonts w:ascii="宋体" w:hAnsi="宋体"/>
                <w:color w:val="000000"/>
                <w:kern w:val="0"/>
                <w:sz w:val="25"/>
                <w:szCs w:val="24"/>
              </w:rPr>
            </w:pPr>
            <w:r>
              <w:rPr>
                <w:rFonts w:ascii="Times New Roman" w:hAnsi="Times New Roman"/>
                <w:color w:val="000000"/>
                <w:kern w:val="0"/>
                <w:sz w:val="25"/>
                <w:szCs w:val="24"/>
              </w:rPr>
              <w:t>52,667,342.07</w:t>
            </w:r>
          </w:p>
        </w:tc>
        <w:tc>
          <w:tcPr>
            <w:tcW w:w="400" w:type="pct"/>
            <w:tcBorders>
              <w:top w:val="single" w:color="auto" w:sz="4" w:space="0"/>
              <w:left w:val="single" w:color="auto" w:sz="4" w:space="0"/>
              <w:bottom w:val="single" w:color="auto" w:sz="4" w:space="0"/>
              <w:right w:val="single" w:color="auto" w:sz="4" w:space="0"/>
            </w:tcBorders>
            <w:vAlign w:val="center"/>
          </w:tcPr>
          <w:p w14:paraId="00465599">
            <w:pPr>
              <w:widowControl/>
              <w:snapToGrid w:val="0"/>
              <w:jc w:val="right"/>
              <w:rPr>
                <w:rFonts w:ascii="宋体" w:hAnsi="宋体"/>
                <w:color w:val="000000"/>
                <w:kern w:val="0"/>
                <w:sz w:val="25"/>
                <w:szCs w:val="24"/>
              </w:rPr>
            </w:pPr>
            <w:r>
              <w:rPr>
                <w:rFonts w:ascii="Times New Roman" w:hAnsi="Times New Roman"/>
                <w:color w:val="000000"/>
                <w:kern w:val="0"/>
                <w:sz w:val="25"/>
                <w:szCs w:val="24"/>
              </w:rPr>
              <w:t>4.17</w:t>
            </w:r>
          </w:p>
        </w:tc>
      </w:tr>
      <w:tr w14:paraId="383B7C6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D7D70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14:paraId="4960BE19">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14:paraId="1F699269">
            <w:pPr>
              <w:widowControl/>
              <w:snapToGrid w:val="0"/>
              <w:jc w:val="right"/>
              <w:rPr>
                <w:rFonts w:ascii="宋体" w:hAnsi="宋体"/>
                <w:color w:val="000000"/>
                <w:kern w:val="0"/>
                <w:sz w:val="25"/>
                <w:szCs w:val="24"/>
              </w:rPr>
            </w:pPr>
            <w:r>
              <w:rPr>
                <w:rFonts w:ascii="Times New Roman" w:hAnsi="Times New Roman"/>
                <w:color w:val="000000"/>
                <w:kern w:val="0"/>
                <w:sz w:val="25"/>
                <w:szCs w:val="24"/>
              </w:rPr>
              <w:t>10,511,809.70</w:t>
            </w:r>
          </w:p>
        </w:tc>
        <w:tc>
          <w:tcPr>
            <w:tcW w:w="400" w:type="pct"/>
            <w:tcBorders>
              <w:top w:val="single" w:color="auto" w:sz="4" w:space="0"/>
              <w:left w:val="single" w:color="auto" w:sz="4" w:space="0"/>
              <w:bottom w:val="single" w:color="auto" w:sz="4" w:space="0"/>
              <w:right w:val="single" w:color="auto" w:sz="4" w:space="0"/>
            </w:tcBorders>
            <w:vAlign w:val="center"/>
          </w:tcPr>
          <w:p w14:paraId="30228B01">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14:paraId="506B3C9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216459">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14:paraId="651382BF">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14:paraId="388BC01D">
            <w:pPr>
              <w:widowControl/>
              <w:snapToGrid w:val="0"/>
              <w:jc w:val="right"/>
              <w:rPr>
                <w:rFonts w:ascii="宋体" w:hAnsi="宋体"/>
                <w:color w:val="000000"/>
                <w:kern w:val="0"/>
                <w:sz w:val="25"/>
                <w:szCs w:val="24"/>
              </w:rPr>
            </w:pPr>
            <w:r>
              <w:rPr>
                <w:rFonts w:ascii="Times New Roman" w:hAnsi="Times New Roman"/>
                <w:color w:val="000000"/>
                <w:kern w:val="0"/>
                <w:sz w:val="25"/>
                <w:szCs w:val="24"/>
              </w:rPr>
              <w:t>5,381,146.99</w:t>
            </w:r>
          </w:p>
        </w:tc>
        <w:tc>
          <w:tcPr>
            <w:tcW w:w="400" w:type="pct"/>
            <w:tcBorders>
              <w:top w:val="single" w:color="auto" w:sz="4" w:space="0"/>
              <w:left w:val="single" w:color="auto" w:sz="4" w:space="0"/>
              <w:bottom w:val="single" w:color="auto" w:sz="4" w:space="0"/>
              <w:right w:val="single" w:color="auto" w:sz="4" w:space="0"/>
            </w:tcBorders>
            <w:vAlign w:val="center"/>
          </w:tcPr>
          <w:p w14:paraId="6455F37F">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14:paraId="6F3CF6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00EE9C">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14:paraId="67CEAA84">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14:paraId="7E706D9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A29C37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1DFC1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B6B100">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14:paraId="4BB113A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14:paraId="634BF8E2">
            <w:pPr>
              <w:widowControl/>
              <w:snapToGrid w:val="0"/>
              <w:jc w:val="right"/>
              <w:rPr>
                <w:rFonts w:ascii="宋体" w:hAnsi="宋体"/>
                <w:color w:val="000000"/>
                <w:kern w:val="0"/>
                <w:sz w:val="25"/>
                <w:szCs w:val="24"/>
              </w:rPr>
            </w:pPr>
            <w:r>
              <w:rPr>
                <w:rFonts w:ascii="Times New Roman" w:hAnsi="Times New Roman"/>
                <w:color w:val="000000"/>
                <w:kern w:val="0"/>
                <w:sz w:val="25"/>
                <w:szCs w:val="24"/>
              </w:rPr>
              <w:t>3,041,245.80</w:t>
            </w:r>
          </w:p>
        </w:tc>
        <w:tc>
          <w:tcPr>
            <w:tcW w:w="400" w:type="pct"/>
            <w:tcBorders>
              <w:top w:val="single" w:color="auto" w:sz="4" w:space="0"/>
              <w:left w:val="single" w:color="auto" w:sz="4" w:space="0"/>
              <w:bottom w:val="single" w:color="auto" w:sz="4" w:space="0"/>
              <w:right w:val="single" w:color="auto" w:sz="4" w:space="0"/>
            </w:tcBorders>
            <w:vAlign w:val="center"/>
          </w:tcPr>
          <w:p w14:paraId="7497E2AB">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14:paraId="6454484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1E26C4">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14:paraId="1FC1E601">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14:paraId="6CA172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8BA0B6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34F52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64DDA7">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14:paraId="089802B3">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4AAC34E4">
            <w:pPr>
              <w:widowControl/>
              <w:snapToGrid w:val="0"/>
              <w:jc w:val="right"/>
              <w:rPr>
                <w:rFonts w:ascii="宋体" w:hAnsi="宋体"/>
                <w:color w:val="000000"/>
                <w:kern w:val="0"/>
                <w:sz w:val="25"/>
                <w:szCs w:val="24"/>
              </w:rPr>
            </w:pPr>
            <w:r>
              <w:rPr>
                <w:rFonts w:ascii="Times New Roman" w:hAnsi="Times New Roman"/>
                <w:color w:val="000000"/>
                <w:kern w:val="0"/>
                <w:sz w:val="25"/>
                <w:szCs w:val="24"/>
              </w:rPr>
              <w:t>4,983,622.00</w:t>
            </w:r>
          </w:p>
        </w:tc>
        <w:tc>
          <w:tcPr>
            <w:tcW w:w="400" w:type="pct"/>
            <w:tcBorders>
              <w:top w:val="single" w:color="auto" w:sz="4" w:space="0"/>
              <w:left w:val="single" w:color="auto" w:sz="4" w:space="0"/>
              <w:bottom w:val="single" w:color="auto" w:sz="4" w:space="0"/>
              <w:right w:val="single" w:color="auto" w:sz="4" w:space="0"/>
            </w:tcBorders>
            <w:vAlign w:val="center"/>
          </w:tcPr>
          <w:p w14:paraId="4B75DA95">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14:paraId="576C905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0DB6B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14:paraId="4A2678D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14:paraId="40F5FCEF">
            <w:pPr>
              <w:widowControl/>
              <w:snapToGrid w:val="0"/>
              <w:jc w:val="right"/>
              <w:rPr>
                <w:rFonts w:ascii="宋体" w:hAnsi="宋体"/>
                <w:color w:val="000000"/>
                <w:kern w:val="0"/>
                <w:sz w:val="25"/>
                <w:szCs w:val="24"/>
              </w:rPr>
            </w:pPr>
            <w:r>
              <w:rPr>
                <w:rFonts w:ascii="Times New Roman" w:hAnsi="Times New Roman"/>
                <w:color w:val="000000"/>
                <w:kern w:val="0"/>
                <w:sz w:val="25"/>
                <w:szCs w:val="24"/>
              </w:rPr>
              <w:t>17,521,919.00</w:t>
            </w:r>
          </w:p>
        </w:tc>
        <w:tc>
          <w:tcPr>
            <w:tcW w:w="400" w:type="pct"/>
            <w:tcBorders>
              <w:top w:val="single" w:color="auto" w:sz="4" w:space="0"/>
              <w:left w:val="single" w:color="auto" w:sz="4" w:space="0"/>
              <w:bottom w:val="single" w:color="auto" w:sz="4" w:space="0"/>
              <w:right w:val="single" w:color="auto" w:sz="4" w:space="0"/>
            </w:tcBorders>
            <w:vAlign w:val="center"/>
          </w:tcPr>
          <w:p w14:paraId="37F54533">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14:paraId="5FC7F09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EA3923">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14:paraId="069EE443">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14:paraId="18A78B3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E94DBF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06C08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65CAEB">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14:paraId="202648BA">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14:paraId="77C0D99D">
            <w:pPr>
              <w:widowControl/>
              <w:snapToGrid w:val="0"/>
              <w:jc w:val="right"/>
              <w:rPr>
                <w:rFonts w:ascii="宋体" w:hAnsi="宋体"/>
                <w:color w:val="000000"/>
                <w:kern w:val="0"/>
                <w:sz w:val="25"/>
                <w:szCs w:val="24"/>
              </w:rPr>
            </w:pPr>
            <w:r>
              <w:rPr>
                <w:rFonts w:ascii="Times New Roman" w:hAnsi="Times New Roman"/>
                <w:color w:val="000000"/>
                <w:kern w:val="0"/>
                <w:sz w:val="25"/>
                <w:szCs w:val="24"/>
              </w:rPr>
              <w:t>3,147,066.00</w:t>
            </w:r>
          </w:p>
        </w:tc>
        <w:tc>
          <w:tcPr>
            <w:tcW w:w="400" w:type="pct"/>
            <w:tcBorders>
              <w:top w:val="single" w:color="auto" w:sz="4" w:space="0"/>
              <w:left w:val="single" w:color="auto" w:sz="4" w:space="0"/>
              <w:bottom w:val="single" w:color="auto" w:sz="4" w:space="0"/>
              <w:right w:val="single" w:color="auto" w:sz="4" w:space="0"/>
            </w:tcBorders>
            <w:vAlign w:val="center"/>
          </w:tcPr>
          <w:p w14:paraId="3C695844">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14:paraId="4A4057D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9BD54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14:paraId="6452E9D3">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14:paraId="5BE13159">
            <w:pPr>
              <w:widowControl/>
              <w:snapToGrid w:val="0"/>
              <w:jc w:val="right"/>
              <w:rPr>
                <w:rFonts w:ascii="宋体" w:hAnsi="宋体"/>
                <w:color w:val="000000"/>
                <w:kern w:val="0"/>
                <w:sz w:val="25"/>
                <w:szCs w:val="24"/>
              </w:rPr>
            </w:pPr>
            <w:r>
              <w:rPr>
                <w:rFonts w:ascii="Times New Roman" w:hAnsi="Times New Roman"/>
                <w:color w:val="000000"/>
                <w:kern w:val="0"/>
                <w:sz w:val="25"/>
                <w:szCs w:val="24"/>
              </w:rPr>
              <w:t>672,280.00</w:t>
            </w:r>
          </w:p>
        </w:tc>
        <w:tc>
          <w:tcPr>
            <w:tcW w:w="400" w:type="pct"/>
            <w:tcBorders>
              <w:top w:val="single" w:color="auto" w:sz="4" w:space="0"/>
              <w:left w:val="single" w:color="auto" w:sz="4" w:space="0"/>
              <w:bottom w:val="single" w:color="auto" w:sz="4" w:space="0"/>
              <w:right w:val="single" w:color="auto" w:sz="4" w:space="0"/>
            </w:tcBorders>
            <w:vAlign w:val="center"/>
          </w:tcPr>
          <w:p w14:paraId="692EFA2C">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7BBB7B5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7644CC">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14:paraId="513A0559">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14:paraId="39EC0CDC">
            <w:pPr>
              <w:widowControl/>
              <w:snapToGrid w:val="0"/>
              <w:jc w:val="right"/>
              <w:rPr>
                <w:rFonts w:ascii="宋体" w:hAnsi="宋体"/>
                <w:color w:val="000000"/>
                <w:kern w:val="0"/>
                <w:sz w:val="25"/>
                <w:szCs w:val="24"/>
              </w:rPr>
            </w:pPr>
            <w:r>
              <w:rPr>
                <w:rFonts w:ascii="Times New Roman" w:hAnsi="Times New Roman"/>
                <w:color w:val="000000"/>
                <w:kern w:val="0"/>
                <w:sz w:val="25"/>
                <w:szCs w:val="24"/>
              </w:rPr>
              <w:t>8,334.00</w:t>
            </w:r>
          </w:p>
        </w:tc>
        <w:tc>
          <w:tcPr>
            <w:tcW w:w="400" w:type="pct"/>
            <w:tcBorders>
              <w:top w:val="single" w:color="auto" w:sz="4" w:space="0"/>
              <w:left w:val="single" w:color="auto" w:sz="4" w:space="0"/>
              <w:bottom w:val="single" w:color="auto" w:sz="4" w:space="0"/>
              <w:right w:val="single" w:color="auto" w:sz="4" w:space="0"/>
            </w:tcBorders>
            <w:vAlign w:val="center"/>
          </w:tcPr>
          <w:p w14:paraId="2FB6327C">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14:paraId="4E363A0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788117">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14:paraId="43FD352F">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14:paraId="63EE20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153FDA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5757C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5CA990">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14:paraId="2AE1A153">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14:paraId="2CF6C6D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23710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877886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736EE27">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14:paraId="415B475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14:paraId="65CC305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56756B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6081D5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CB86E93">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14:paraId="3A76B5C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14:paraId="772751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A5B6D6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3D0227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E1AC1D">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14:paraId="3F94C201">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14:paraId="48E388B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C0195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7304AC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C805F4">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6E9934BC">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0688FB00">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102,333,464.56</w:t>
            </w:r>
          </w:p>
        </w:tc>
        <w:tc>
          <w:tcPr>
            <w:tcW w:w="400" w:type="pct"/>
            <w:tcBorders>
              <w:top w:val="single" w:color="auto" w:sz="4" w:space="0"/>
              <w:left w:val="single" w:color="auto" w:sz="4" w:space="0"/>
              <w:bottom w:val="single" w:color="auto" w:sz="4" w:space="0"/>
              <w:right w:val="single" w:color="auto" w:sz="4" w:space="0"/>
            </w:tcBorders>
            <w:vAlign w:val="center"/>
          </w:tcPr>
          <w:p w14:paraId="5011D54A">
            <w:pPr>
              <w:widowControl/>
              <w:snapToGrid w:val="0"/>
              <w:jc w:val="right"/>
              <w:rPr>
                <w:rFonts w:ascii="宋体" w:hAnsi="宋体"/>
                <w:color w:val="000000"/>
                <w:kern w:val="0"/>
                <w:sz w:val="25"/>
                <w:szCs w:val="24"/>
              </w:rPr>
            </w:pPr>
            <w:r>
              <w:rPr>
                <w:rFonts w:ascii="Times New Roman" w:hAnsi="Times New Roman"/>
                <w:color w:val="000000"/>
                <w:kern w:val="0"/>
                <w:sz w:val="25"/>
                <w:szCs w:val="24"/>
              </w:rPr>
              <w:t>8.10</w:t>
            </w:r>
          </w:p>
        </w:tc>
      </w:tr>
    </w:tbl>
    <w:p w14:paraId="72B0A3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14:paraId="7D8CD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EB93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42DA38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419FB08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8B60AD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ACAEED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63976F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5949DF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17C0EB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F4CD54C">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4F7BC48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4334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7B398BD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600901</w:t>
            </w:r>
          </w:p>
        </w:tc>
        <w:tc>
          <w:tcPr>
            <w:tcW w:w="750" w:type="pct"/>
            <w:tcBorders>
              <w:top w:val="single" w:color="auto" w:sz="4" w:space="0"/>
              <w:left w:val="single" w:color="auto" w:sz="4" w:space="0"/>
              <w:bottom w:val="single" w:color="auto" w:sz="4" w:space="0"/>
              <w:right w:val="single" w:color="auto" w:sz="4" w:space="0"/>
            </w:tcBorders>
            <w:vAlign w:val="center"/>
          </w:tcPr>
          <w:p w14:paraId="69B5ACB6">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江苏金租</w:t>
            </w:r>
          </w:p>
        </w:tc>
        <w:tc>
          <w:tcPr>
            <w:tcW w:w="750" w:type="pct"/>
            <w:tcBorders>
              <w:top w:val="single" w:color="auto" w:sz="4" w:space="0"/>
              <w:left w:val="single" w:color="auto" w:sz="4" w:space="0"/>
              <w:bottom w:val="single" w:color="auto" w:sz="4" w:space="0"/>
              <w:right w:val="single" w:color="auto" w:sz="4" w:space="0"/>
            </w:tcBorders>
            <w:vAlign w:val="center"/>
          </w:tcPr>
          <w:p w14:paraId="79AFAF96">
            <w:pPr>
              <w:widowControl/>
              <w:snapToGrid w:val="0"/>
              <w:jc w:val="right"/>
              <w:rPr>
                <w:rFonts w:ascii="宋体" w:hAnsi="宋体"/>
                <w:color w:val="000000"/>
                <w:kern w:val="0"/>
                <w:sz w:val="25"/>
                <w:szCs w:val="24"/>
              </w:rPr>
            </w:pPr>
            <w:r>
              <w:rPr>
                <w:rFonts w:ascii="Times New Roman" w:hAnsi="Times New Roman"/>
                <w:color w:val="000000"/>
                <w:kern w:val="0"/>
                <w:sz w:val="25"/>
                <w:szCs w:val="24"/>
              </w:rPr>
              <w:t>1,714,426</w:t>
            </w:r>
          </w:p>
        </w:tc>
        <w:tc>
          <w:tcPr>
            <w:tcW w:w="750" w:type="pct"/>
            <w:tcBorders>
              <w:top w:val="single" w:color="auto" w:sz="4" w:space="0"/>
              <w:left w:val="single" w:color="auto" w:sz="4" w:space="0"/>
              <w:bottom w:val="single" w:color="auto" w:sz="4" w:space="0"/>
              <w:right w:val="single" w:color="auto" w:sz="4" w:space="0"/>
            </w:tcBorders>
            <w:vAlign w:val="center"/>
          </w:tcPr>
          <w:p w14:paraId="63EFF5CA">
            <w:pPr>
              <w:widowControl/>
              <w:snapToGrid w:val="0"/>
              <w:jc w:val="right"/>
              <w:rPr>
                <w:rFonts w:ascii="宋体" w:hAnsi="宋体"/>
                <w:color w:val="000000"/>
                <w:kern w:val="0"/>
                <w:sz w:val="25"/>
                <w:szCs w:val="24"/>
              </w:rPr>
            </w:pPr>
            <w:r>
              <w:rPr>
                <w:rFonts w:ascii="Times New Roman" w:hAnsi="Times New Roman"/>
                <w:color w:val="000000"/>
                <w:kern w:val="0"/>
                <w:sz w:val="25"/>
                <w:szCs w:val="24"/>
              </w:rPr>
              <w:t>9,017,880.76</w:t>
            </w:r>
          </w:p>
        </w:tc>
        <w:tc>
          <w:tcPr>
            <w:tcW w:w="750" w:type="pct"/>
            <w:tcBorders>
              <w:top w:val="single" w:color="auto" w:sz="4" w:space="0"/>
              <w:left w:val="single" w:color="auto" w:sz="4" w:space="0"/>
              <w:bottom w:val="single" w:color="auto" w:sz="4" w:space="0"/>
              <w:right w:val="single" w:color="auto" w:sz="4" w:space="0"/>
            </w:tcBorders>
            <w:vAlign w:val="center"/>
          </w:tcPr>
          <w:p w14:paraId="07B54098">
            <w:pPr>
              <w:widowControl/>
              <w:snapToGrid w:val="0"/>
              <w:jc w:val="right"/>
              <w:rPr>
                <w:rFonts w:ascii="宋体" w:hAnsi="宋体"/>
                <w:color w:val="000000"/>
                <w:kern w:val="0"/>
                <w:sz w:val="25"/>
                <w:szCs w:val="24"/>
              </w:rPr>
            </w:pPr>
            <w:r>
              <w:rPr>
                <w:rFonts w:ascii="Times New Roman" w:hAnsi="Times New Roman"/>
                <w:color w:val="000000"/>
                <w:kern w:val="0"/>
                <w:sz w:val="25"/>
                <w:szCs w:val="24"/>
              </w:rPr>
              <w:t>0.71</w:t>
            </w:r>
          </w:p>
        </w:tc>
      </w:tr>
      <w:tr w14:paraId="2E45BCD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2E9F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49A5BC4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603995</w:t>
            </w:r>
          </w:p>
        </w:tc>
        <w:tc>
          <w:tcPr>
            <w:tcW w:w="750" w:type="pct"/>
            <w:tcBorders>
              <w:top w:val="single" w:color="auto" w:sz="4" w:space="0"/>
              <w:left w:val="single" w:color="auto" w:sz="4" w:space="0"/>
              <w:bottom w:val="single" w:color="auto" w:sz="4" w:space="0"/>
              <w:right w:val="single" w:color="auto" w:sz="4" w:space="0"/>
            </w:tcBorders>
            <w:vAlign w:val="center"/>
          </w:tcPr>
          <w:p w14:paraId="7635FBA3">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甬金股份</w:t>
            </w:r>
          </w:p>
        </w:tc>
        <w:tc>
          <w:tcPr>
            <w:tcW w:w="750" w:type="pct"/>
            <w:tcBorders>
              <w:top w:val="single" w:color="auto" w:sz="4" w:space="0"/>
              <w:left w:val="single" w:color="auto" w:sz="4" w:space="0"/>
              <w:bottom w:val="single" w:color="auto" w:sz="4" w:space="0"/>
              <w:right w:val="single" w:color="auto" w:sz="4" w:space="0"/>
            </w:tcBorders>
            <w:vAlign w:val="center"/>
          </w:tcPr>
          <w:p w14:paraId="10038D5C">
            <w:pPr>
              <w:widowControl/>
              <w:snapToGrid w:val="0"/>
              <w:jc w:val="right"/>
              <w:rPr>
                <w:rFonts w:ascii="宋体" w:hAnsi="宋体"/>
                <w:color w:val="000000"/>
                <w:kern w:val="0"/>
                <w:sz w:val="25"/>
                <w:szCs w:val="24"/>
              </w:rPr>
            </w:pPr>
            <w:r>
              <w:rPr>
                <w:rFonts w:ascii="Times New Roman" w:hAnsi="Times New Roman"/>
                <w:color w:val="000000"/>
                <w:kern w:val="0"/>
                <w:sz w:val="25"/>
                <w:szCs w:val="24"/>
              </w:rPr>
              <w:t>271,489</w:t>
            </w:r>
          </w:p>
        </w:tc>
        <w:tc>
          <w:tcPr>
            <w:tcW w:w="750" w:type="pct"/>
            <w:tcBorders>
              <w:top w:val="single" w:color="auto" w:sz="4" w:space="0"/>
              <w:left w:val="single" w:color="auto" w:sz="4" w:space="0"/>
              <w:bottom w:val="single" w:color="auto" w:sz="4" w:space="0"/>
              <w:right w:val="single" w:color="auto" w:sz="4" w:space="0"/>
            </w:tcBorders>
            <w:vAlign w:val="center"/>
          </w:tcPr>
          <w:p w14:paraId="7352C0AF">
            <w:pPr>
              <w:widowControl/>
              <w:snapToGrid w:val="0"/>
              <w:jc w:val="right"/>
              <w:rPr>
                <w:rFonts w:ascii="宋体" w:hAnsi="宋体"/>
                <w:color w:val="000000"/>
                <w:kern w:val="0"/>
                <w:sz w:val="25"/>
                <w:szCs w:val="24"/>
              </w:rPr>
            </w:pPr>
            <w:r>
              <w:rPr>
                <w:rFonts w:ascii="Times New Roman" w:hAnsi="Times New Roman"/>
                <w:color w:val="000000"/>
                <w:kern w:val="0"/>
                <w:sz w:val="25"/>
                <w:szCs w:val="24"/>
              </w:rPr>
              <w:t>5,486,792.69</w:t>
            </w:r>
          </w:p>
        </w:tc>
        <w:tc>
          <w:tcPr>
            <w:tcW w:w="750" w:type="pct"/>
            <w:tcBorders>
              <w:top w:val="single" w:color="auto" w:sz="4" w:space="0"/>
              <w:left w:val="single" w:color="auto" w:sz="4" w:space="0"/>
              <w:bottom w:val="single" w:color="auto" w:sz="4" w:space="0"/>
              <w:right w:val="single" w:color="auto" w:sz="4" w:space="0"/>
            </w:tcBorders>
            <w:vAlign w:val="center"/>
          </w:tcPr>
          <w:p w14:paraId="48B6F79A">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14:paraId="4EA614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6B560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64D05263">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601117</w:t>
            </w:r>
          </w:p>
        </w:tc>
        <w:tc>
          <w:tcPr>
            <w:tcW w:w="750" w:type="pct"/>
            <w:tcBorders>
              <w:top w:val="single" w:color="auto" w:sz="4" w:space="0"/>
              <w:left w:val="single" w:color="auto" w:sz="4" w:space="0"/>
              <w:bottom w:val="single" w:color="auto" w:sz="4" w:space="0"/>
              <w:right w:val="single" w:color="auto" w:sz="4" w:space="0"/>
            </w:tcBorders>
            <w:vAlign w:val="center"/>
          </w:tcPr>
          <w:p w14:paraId="26F585DF">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中国化学</w:t>
            </w:r>
          </w:p>
        </w:tc>
        <w:tc>
          <w:tcPr>
            <w:tcW w:w="750" w:type="pct"/>
            <w:tcBorders>
              <w:top w:val="single" w:color="auto" w:sz="4" w:space="0"/>
              <w:left w:val="single" w:color="auto" w:sz="4" w:space="0"/>
              <w:bottom w:val="single" w:color="auto" w:sz="4" w:space="0"/>
              <w:right w:val="single" w:color="auto" w:sz="4" w:space="0"/>
            </w:tcBorders>
            <w:vAlign w:val="center"/>
          </w:tcPr>
          <w:p w14:paraId="341D70B0">
            <w:pPr>
              <w:widowControl/>
              <w:snapToGrid w:val="0"/>
              <w:jc w:val="right"/>
              <w:rPr>
                <w:rFonts w:ascii="宋体" w:hAnsi="宋体"/>
                <w:color w:val="000000"/>
                <w:kern w:val="0"/>
                <w:sz w:val="25"/>
                <w:szCs w:val="24"/>
              </w:rPr>
            </w:pPr>
            <w:r>
              <w:rPr>
                <w:rFonts w:ascii="Times New Roman" w:hAnsi="Times New Roman"/>
                <w:color w:val="000000"/>
                <w:kern w:val="0"/>
                <w:sz w:val="25"/>
                <w:szCs w:val="24"/>
              </w:rPr>
              <w:t>748,421</w:t>
            </w:r>
          </w:p>
        </w:tc>
        <w:tc>
          <w:tcPr>
            <w:tcW w:w="750" w:type="pct"/>
            <w:tcBorders>
              <w:top w:val="single" w:color="auto" w:sz="4" w:space="0"/>
              <w:left w:val="single" w:color="auto" w:sz="4" w:space="0"/>
              <w:bottom w:val="single" w:color="auto" w:sz="4" w:space="0"/>
              <w:right w:val="single" w:color="auto" w:sz="4" w:space="0"/>
            </w:tcBorders>
            <w:vAlign w:val="center"/>
          </w:tcPr>
          <w:p w14:paraId="6878DE03">
            <w:pPr>
              <w:widowControl/>
              <w:snapToGrid w:val="0"/>
              <w:jc w:val="right"/>
              <w:rPr>
                <w:rFonts w:ascii="宋体" w:hAnsi="宋体"/>
                <w:color w:val="000000"/>
                <w:kern w:val="0"/>
                <w:sz w:val="25"/>
                <w:szCs w:val="24"/>
              </w:rPr>
            </w:pPr>
            <w:r>
              <w:rPr>
                <w:rFonts w:ascii="Times New Roman" w:hAnsi="Times New Roman"/>
                <w:color w:val="000000"/>
                <w:kern w:val="0"/>
                <w:sz w:val="25"/>
                <w:szCs w:val="24"/>
              </w:rPr>
              <w:t>5,381,146.99</w:t>
            </w:r>
          </w:p>
        </w:tc>
        <w:tc>
          <w:tcPr>
            <w:tcW w:w="750" w:type="pct"/>
            <w:tcBorders>
              <w:top w:val="single" w:color="auto" w:sz="4" w:space="0"/>
              <w:left w:val="single" w:color="auto" w:sz="4" w:space="0"/>
              <w:bottom w:val="single" w:color="auto" w:sz="4" w:space="0"/>
              <w:right w:val="single" w:color="auto" w:sz="4" w:space="0"/>
            </w:tcBorders>
            <w:vAlign w:val="center"/>
          </w:tcPr>
          <w:p w14:paraId="7FE9FD44">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14:paraId="2DF73C5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6514A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4D626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color="auto" w:sz="4" w:space="0"/>
              <w:left w:val="single" w:color="auto" w:sz="4" w:space="0"/>
              <w:bottom w:val="single" w:color="auto" w:sz="4" w:space="0"/>
              <w:right w:val="single" w:color="auto" w:sz="4" w:space="0"/>
            </w:tcBorders>
            <w:vAlign w:val="center"/>
          </w:tcPr>
          <w:p w14:paraId="66857DEC">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color="auto" w:sz="4" w:space="0"/>
              <w:left w:val="single" w:color="auto" w:sz="4" w:space="0"/>
              <w:bottom w:val="single" w:color="auto" w:sz="4" w:space="0"/>
              <w:right w:val="single" w:color="auto" w:sz="4" w:space="0"/>
            </w:tcBorders>
            <w:vAlign w:val="center"/>
          </w:tcPr>
          <w:p w14:paraId="2A3CB46E">
            <w:pPr>
              <w:widowControl/>
              <w:snapToGrid w:val="0"/>
              <w:jc w:val="right"/>
              <w:rPr>
                <w:rFonts w:ascii="宋体" w:hAnsi="宋体"/>
                <w:color w:val="000000"/>
                <w:kern w:val="0"/>
                <w:sz w:val="25"/>
                <w:szCs w:val="24"/>
              </w:rPr>
            </w:pPr>
            <w:r>
              <w:rPr>
                <w:rFonts w:ascii="Times New Roman" w:hAnsi="Times New Roman"/>
                <w:color w:val="000000"/>
                <w:kern w:val="0"/>
                <w:sz w:val="25"/>
                <w:szCs w:val="24"/>
              </w:rPr>
              <w:t>62,200</w:t>
            </w:r>
          </w:p>
        </w:tc>
        <w:tc>
          <w:tcPr>
            <w:tcW w:w="750" w:type="pct"/>
            <w:tcBorders>
              <w:top w:val="single" w:color="auto" w:sz="4" w:space="0"/>
              <w:left w:val="single" w:color="auto" w:sz="4" w:space="0"/>
              <w:bottom w:val="single" w:color="auto" w:sz="4" w:space="0"/>
              <w:right w:val="single" w:color="auto" w:sz="4" w:space="0"/>
            </w:tcBorders>
            <w:vAlign w:val="center"/>
          </w:tcPr>
          <w:p w14:paraId="75E2B6CD">
            <w:pPr>
              <w:widowControl/>
              <w:snapToGrid w:val="0"/>
              <w:jc w:val="right"/>
              <w:rPr>
                <w:rFonts w:ascii="宋体" w:hAnsi="宋体"/>
                <w:color w:val="000000"/>
                <w:kern w:val="0"/>
                <w:sz w:val="25"/>
                <w:szCs w:val="24"/>
              </w:rPr>
            </w:pPr>
            <w:r>
              <w:rPr>
                <w:rFonts w:ascii="Times New Roman" w:hAnsi="Times New Roman"/>
                <w:color w:val="000000"/>
                <w:kern w:val="0"/>
                <w:sz w:val="25"/>
                <w:szCs w:val="24"/>
              </w:rPr>
              <w:t>4,882,700.00</w:t>
            </w:r>
          </w:p>
        </w:tc>
        <w:tc>
          <w:tcPr>
            <w:tcW w:w="750" w:type="pct"/>
            <w:tcBorders>
              <w:top w:val="single" w:color="auto" w:sz="4" w:space="0"/>
              <w:left w:val="single" w:color="auto" w:sz="4" w:space="0"/>
              <w:bottom w:val="single" w:color="auto" w:sz="4" w:space="0"/>
              <w:right w:val="single" w:color="auto" w:sz="4" w:space="0"/>
            </w:tcBorders>
            <w:vAlign w:val="center"/>
          </w:tcPr>
          <w:p w14:paraId="158BC452">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14:paraId="4B171B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D33C3D">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2BAA715">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600483</w:t>
            </w:r>
          </w:p>
        </w:tc>
        <w:tc>
          <w:tcPr>
            <w:tcW w:w="750" w:type="pct"/>
            <w:tcBorders>
              <w:top w:val="single" w:color="auto" w:sz="4" w:space="0"/>
              <w:left w:val="single" w:color="auto" w:sz="4" w:space="0"/>
              <w:bottom w:val="single" w:color="auto" w:sz="4" w:space="0"/>
              <w:right w:val="single" w:color="auto" w:sz="4" w:space="0"/>
            </w:tcBorders>
            <w:vAlign w:val="center"/>
          </w:tcPr>
          <w:p w14:paraId="0DA8AFF1">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福能股份</w:t>
            </w:r>
          </w:p>
        </w:tc>
        <w:tc>
          <w:tcPr>
            <w:tcW w:w="750" w:type="pct"/>
            <w:tcBorders>
              <w:top w:val="single" w:color="auto" w:sz="4" w:space="0"/>
              <w:left w:val="single" w:color="auto" w:sz="4" w:space="0"/>
              <w:bottom w:val="single" w:color="auto" w:sz="4" w:space="0"/>
              <w:right w:val="single" w:color="auto" w:sz="4" w:space="0"/>
            </w:tcBorders>
            <w:vAlign w:val="center"/>
          </w:tcPr>
          <w:p w14:paraId="1B72714B">
            <w:pPr>
              <w:widowControl/>
              <w:snapToGrid w:val="0"/>
              <w:jc w:val="right"/>
              <w:rPr>
                <w:rFonts w:ascii="宋体" w:hAnsi="宋体"/>
                <w:color w:val="000000"/>
                <w:kern w:val="0"/>
                <w:sz w:val="25"/>
                <w:szCs w:val="24"/>
              </w:rPr>
            </w:pPr>
            <w:r>
              <w:rPr>
                <w:rFonts w:ascii="Times New Roman" w:hAnsi="Times New Roman"/>
                <w:color w:val="000000"/>
                <w:kern w:val="0"/>
                <w:sz w:val="25"/>
                <w:szCs w:val="24"/>
              </w:rPr>
              <w:t>508,935</w:t>
            </w:r>
          </w:p>
        </w:tc>
        <w:tc>
          <w:tcPr>
            <w:tcW w:w="750" w:type="pct"/>
            <w:tcBorders>
              <w:top w:val="single" w:color="auto" w:sz="4" w:space="0"/>
              <w:left w:val="single" w:color="auto" w:sz="4" w:space="0"/>
              <w:bottom w:val="single" w:color="auto" w:sz="4" w:space="0"/>
              <w:right w:val="single" w:color="auto" w:sz="4" w:space="0"/>
            </w:tcBorders>
            <w:vAlign w:val="center"/>
          </w:tcPr>
          <w:p w14:paraId="1070FB54">
            <w:pPr>
              <w:widowControl/>
              <w:snapToGrid w:val="0"/>
              <w:jc w:val="right"/>
              <w:rPr>
                <w:rFonts w:ascii="宋体" w:hAnsi="宋体"/>
                <w:color w:val="000000"/>
                <w:kern w:val="0"/>
                <w:sz w:val="25"/>
                <w:szCs w:val="24"/>
              </w:rPr>
            </w:pPr>
            <w:r>
              <w:rPr>
                <w:rFonts w:ascii="Times New Roman" w:hAnsi="Times New Roman"/>
                <w:color w:val="000000"/>
                <w:kern w:val="0"/>
                <w:sz w:val="25"/>
                <w:szCs w:val="24"/>
              </w:rPr>
              <w:t>4,692,380.70</w:t>
            </w:r>
          </w:p>
        </w:tc>
        <w:tc>
          <w:tcPr>
            <w:tcW w:w="750" w:type="pct"/>
            <w:tcBorders>
              <w:top w:val="single" w:color="auto" w:sz="4" w:space="0"/>
              <w:left w:val="single" w:color="auto" w:sz="4" w:space="0"/>
              <w:bottom w:val="single" w:color="auto" w:sz="4" w:space="0"/>
              <w:right w:val="single" w:color="auto" w:sz="4" w:space="0"/>
            </w:tcBorders>
            <w:vAlign w:val="center"/>
          </w:tcPr>
          <w:p w14:paraId="59667804">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14:paraId="2172CA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08BB1B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1A2DF5E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601838</w:t>
            </w:r>
          </w:p>
        </w:tc>
        <w:tc>
          <w:tcPr>
            <w:tcW w:w="750" w:type="pct"/>
            <w:tcBorders>
              <w:top w:val="single" w:color="auto" w:sz="4" w:space="0"/>
              <w:left w:val="single" w:color="auto" w:sz="4" w:space="0"/>
              <w:bottom w:val="single" w:color="auto" w:sz="4" w:space="0"/>
              <w:right w:val="single" w:color="auto" w:sz="4" w:space="0"/>
            </w:tcBorders>
            <w:vAlign w:val="center"/>
          </w:tcPr>
          <w:p w14:paraId="70405844">
            <w:pPr>
              <w:widowControl/>
              <w:snapToGrid w:val="0"/>
              <w:jc w:val="center"/>
              <w:rPr>
                <w:rFonts w:ascii="宋体" w:hAnsi="宋体"/>
                <w:color w:val="000000"/>
                <w:kern w:val="0"/>
                <w:sz w:val="25"/>
                <w:szCs w:val="24"/>
              </w:rPr>
            </w:pPr>
            <w:r>
              <w:rPr>
                <w:rFonts w:ascii="Times New Roman" w:hAnsi="Times New Roman"/>
                <w:color w:val="000000"/>
                <w:kern w:val="0"/>
                <w:sz w:val="25"/>
                <w:szCs w:val="24"/>
              </w:rPr>
              <w:t>成都银行</w:t>
            </w:r>
          </w:p>
        </w:tc>
        <w:tc>
          <w:tcPr>
            <w:tcW w:w="750" w:type="pct"/>
            <w:tcBorders>
              <w:top w:val="single" w:color="auto" w:sz="4" w:space="0"/>
              <w:left w:val="single" w:color="auto" w:sz="4" w:space="0"/>
              <w:bottom w:val="single" w:color="auto" w:sz="4" w:space="0"/>
              <w:right w:val="single" w:color="auto" w:sz="4" w:space="0"/>
            </w:tcBorders>
            <w:vAlign w:val="center"/>
          </w:tcPr>
          <w:p w14:paraId="6F871A5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239,983</w:t>
            </w:r>
          </w:p>
        </w:tc>
        <w:tc>
          <w:tcPr>
            <w:tcW w:w="750" w:type="pct"/>
            <w:tcBorders>
              <w:top w:val="single" w:color="auto" w:sz="4" w:space="0"/>
              <w:left w:val="single" w:color="auto" w:sz="4" w:space="0"/>
              <w:bottom w:val="single" w:color="auto" w:sz="4" w:space="0"/>
              <w:right w:val="single" w:color="auto" w:sz="4" w:space="0"/>
            </w:tcBorders>
            <w:vAlign w:val="center"/>
          </w:tcPr>
          <w:p w14:paraId="2D0B771E">
            <w:pPr>
              <w:widowControl/>
              <w:snapToGrid w:val="0"/>
              <w:jc w:val="right"/>
              <w:rPr>
                <w:rFonts w:ascii="宋体" w:hAnsi="宋体"/>
                <w:color w:val="000000"/>
                <w:kern w:val="0"/>
                <w:sz w:val="25"/>
                <w:szCs w:val="24"/>
              </w:rPr>
            </w:pPr>
            <w:r>
              <w:rPr>
                <w:rFonts w:ascii="Times New Roman" w:hAnsi="Times New Roman"/>
                <w:color w:val="000000"/>
                <w:kern w:val="0"/>
                <w:sz w:val="25"/>
                <w:szCs w:val="24"/>
              </w:rPr>
              <w:t>4,125,307.77</w:t>
            </w:r>
          </w:p>
        </w:tc>
        <w:tc>
          <w:tcPr>
            <w:tcW w:w="750" w:type="pct"/>
            <w:tcBorders>
              <w:top w:val="single" w:color="auto" w:sz="4" w:space="0"/>
              <w:left w:val="single" w:color="auto" w:sz="4" w:space="0"/>
              <w:bottom w:val="single" w:color="auto" w:sz="4" w:space="0"/>
              <w:right w:val="single" w:color="auto" w:sz="4" w:space="0"/>
            </w:tcBorders>
            <w:vAlign w:val="center"/>
          </w:tcPr>
          <w:p w14:paraId="2BE59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0FF689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BD1909D">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1A5A78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600027</w:t>
            </w:r>
          </w:p>
        </w:tc>
        <w:tc>
          <w:tcPr>
            <w:tcW w:w="750" w:type="pct"/>
            <w:tcBorders>
              <w:top w:val="single" w:color="auto" w:sz="4" w:space="0"/>
              <w:left w:val="single" w:color="auto" w:sz="4" w:space="0"/>
              <w:bottom w:val="single" w:color="auto" w:sz="4" w:space="0"/>
              <w:right w:val="single" w:color="auto" w:sz="4" w:space="0"/>
            </w:tcBorders>
            <w:vAlign w:val="center"/>
          </w:tcPr>
          <w:p w14:paraId="0B18033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华电国际</w:t>
            </w:r>
          </w:p>
        </w:tc>
        <w:tc>
          <w:tcPr>
            <w:tcW w:w="750" w:type="pct"/>
            <w:tcBorders>
              <w:top w:val="single" w:color="auto" w:sz="4" w:space="0"/>
              <w:left w:val="single" w:color="auto" w:sz="4" w:space="0"/>
              <w:bottom w:val="single" w:color="auto" w:sz="4" w:space="0"/>
              <w:right w:val="single" w:color="auto" w:sz="4" w:space="0"/>
            </w:tcBorders>
            <w:vAlign w:val="center"/>
          </w:tcPr>
          <w:p w14:paraId="3340186B">
            <w:pPr>
              <w:widowControl/>
              <w:snapToGrid w:val="0"/>
              <w:jc w:val="right"/>
              <w:rPr>
                <w:rFonts w:ascii="宋体" w:hAnsi="宋体"/>
                <w:color w:val="000000"/>
                <w:kern w:val="0"/>
                <w:sz w:val="25"/>
                <w:szCs w:val="24"/>
              </w:rPr>
            </w:pPr>
            <w:r>
              <w:rPr>
                <w:rFonts w:ascii="Times New Roman" w:hAnsi="Times New Roman"/>
                <w:color w:val="000000"/>
                <w:kern w:val="0"/>
                <w:sz w:val="25"/>
                <w:szCs w:val="24"/>
              </w:rPr>
              <w:t>688,700</w:t>
            </w:r>
          </w:p>
        </w:tc>
        <w:tc>
          <w:tcPr>
            <w:tcW w:w="750" w:type="pct"/>
            <w:tcBorders>
              <w:top w:val="single" w:color="auto" w:sz="4" w:space="0"/>
              <w:left w:val="single" w:color="auto" w:sz="4" w:space="0"/>
              <w:bottom w:val="single" w:color="auto" w:sz="4" w:space="0"/>
              <w:right w:val="single" w:color="auto" w:sz="4" w:space="0"/>
            </w:tcBorders>
            <w:vAlign w:val="center"/>
          </w:tcPr>
          <w:p w14:paraId="3CF586A1">
            <w:pPr>
              <w:widowControl/>
              <w:snapToGrid w:val="0"/>
              <w:jc w:val="right"/>
              <w:rPr>
                <w:rFonts w:ascii="宋体" w:hAnsi="宋体"/>
                <w:color w:val="000000"/>
                <w:kern w:val="0"/>
                <w:sz w:val="25"/>
                <w:szCs w:val="24"/>
              </w:rPr>
            </w:pPr>
            <w:r>
              <w:rPr>
                <w:rFonts w:ascii="Times New Roman" w:hAnsi="Times New Roman"/>
                <w:color w:val="000000"/>
                <w:kern w:val="0"/>
                <w:sz w:val="25"/>
                <w:szCs w:val="24"/>
              </w:rPr>
              <w:t>3,960,025.00</w:t>
            </w:r>
          </w:p>
        </w:tc>
        <w:tc>
          <w:tcPr>
            <w:tcW w:w="750" w:type="pct"/>
            <w:tcBorders>
              <w:top w:val="single" w:color="auto" w:sz="4" w:space="0"/>
              <w:left w:val="single" w:color="auto" w:sz="4" w:space="0"/>
              <w:bottom w:val="single" w:color="auto" w:sz="4" w:space="0"/>
              <w:right w:val="single" w:color="auto" w:sz="4" w:space="0"/>
            </w:tcBorders>
            <w:vAlign w:val="center"/>
          </w:tcPr>
          <w:p w14:paraId="323AAC73">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76BFB78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F57ACF">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07756066">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300207</w:t>
            </w:r>
          </w:p>
        </w:tc>
        <w:tc>
          <w:tcPr>
            <w:tcW w:w="750" w:type="pct"/>
            <w:tcBorders>
              <w:top w:val="single" w:color="auto" w:sz="4" w:space="0"/>
              <w:left w:val="single" w:color="auto" w:sz="4" w:space="0"/>
              <w:bottom w:val="single" w:color="auto" w:sz="4" w:space="0"/>
              <w:right w:val="single" w:color="auto" w:sz="4" w:space="0"/>
            </w:tcBorders>
            <w:vAlign w:val="center"/>
          </w:tcPr>
          <w:p w14:paraId="3CFFCCA5">
            <w:pPr>
              <w:widowControl/>
              <w:snapToGrid w:val="0"/>
              <w:jc w:val="center"/>
              <w:rPr>
                <w:rFonts w:ascii="宋体" w:hAnsi="宋体"/>
                <w:color w:val="000000"/>
                <w:kern w:val="0"/>
                <w:sz w:val="25"/>
                <w:szCs w:val="24"/>
              </w:rPr>
            </w:pPr>
            <w:r>
              <w:rPr>
                <w:rFonts w:ascii="Times New Roman" w:hAnsi="Times New Roman"/>
                <w:color w:val="000000"/>
                <w:kern w:val="0"/>
                <w:sz w:val="25"/>
                <w:szCs w:val="24"/>
              </w:rPr>
              <w:t>欣旺达</w:t>
            </w:r>
          </w:p>
        </w:tc>
        <w:tc>
          <w:tcPr>
            <w:tcW w:w="750" w:type="pct"/>
            <w:tcBorders>
              <w:top w:val="single" w:color="auto" w:sz="4" w:space="0"/>
              <w:left w:val="single" w:color="auto" w:sz="4" w:space="0"/>
              <w:bottom w:val="single" w:color="auto" w:sz="4" w:space="0"/>
              <w:right w:val="single" w:color="auto" w:sz="4" w:space="0"/>
            </w:tcBorders>
            <w:vAlign w:val="center"/>
          </w:tcPr>
          <w:p w14:paraId="3C5ABA7F">
            <w:pPr>
              <w:widowControl/>
              <w:snapToGrid w:val="0"/>
              <w:jc w:val="right"/>
              <w:rPr>
                <w:rFonts w:ascii="宋体" w:hAnsi="宋体"/>
                <w:color w:val="000000"/>
                <w:kern w:val="0"/>
                <w:sz w:val="25"/>
                <w:szCs w:val="24"/>
              </w:rPr>
            </w:pPr>
            <w:r>
              <w:rPr>
                <w:rFonts w:ascii="Times New Roman" w:hAnsi="Times New Roman"/>
                <w:color w:val="000000"/>
                <w:kern w:val="0"/>
                <w:sz w:val="25"/>
                <w:szCs w:val="24"/>
              </w:rPr>
              <w:t>167,000</w:t>
            </w:r>
          </w:p>
        </w:tc>
        <w:tc>
          <w:tcPr>
            <w:tcW w:w="750" w:type="pct"/>
            <w:tcBorders>
              <w:top w:val="single" w:color="auto" w:sz="4" w:space="0"/>
              <w:left w:val="single" w:color="auto" w:sz="4" w:space="0"/>
              <w:bottom w:val="single" w:color="auto" w:sz="4" w:space="0"/>
              <w:right w:val="single" w:color="auto" w:sz="4" w:space="0"/>
            </w:tcBorders>
            <w:vAlign w:val="center"/>
          </w:tcPr>
          <w:p w14:paraId="7FB16AD5">
            <w:pPr>
              <w:widowControl/>
              <w:snapToGrid w:val="0"/>
              <w:jc w:val="right"/>
              <w:rPr>
                <w:rFonts w:ascii="宋体" w:hAnsi="宋体"/>
                <w:color w:val="000000"/>
                <w:kern w:val="0"/>
                <w:sz w:val="25"/>
                <w:szCs w:val="24"/>
              </w:rPr>
            </w:pPr>
            <w:r>
              <w:rPr>
                <w:rFonts w:ascii="Times New Roman" w:hAnsi="Times New Roman"/>
                <w:color w:val="000000"/>
                <w:kern w:val="0"/>
                <w:sz w:val="25"/>
                <w:szCs w:val="24"/>
              </w:rPr>
              <w:t>3,700,720.00</w:t>
            </w:r>
          </w:p>
        </w:tc>
        <w:tc>
          <w:tcPr>
            <w:tcW w:w="750" w:type="pct"/>
            <w:tcBorders>
              <w:top w:val="single" w:color="auto" w:sz="4" w:space="0"/>
              <w:left w:val="single" w:color="auto" w:sz="4" w:space="0"/>
              <w:bottom w:val="single" w:color="auto" w:sz="4" w:space="0"/>
              <w:right w:val="single" w:color="auto" w:sz="4" w:space="0"/>
            </w:tcBorders>
            <w:vAlign w:val="center"/>
          </w:tcPr>
          <w:p w14:paraId="545C5F45">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14:paraId="7FEB798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EF96BF">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0976F0EF">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603119</w:t>
            </w:r>
          </w:p>
        </w:tc>
        <w:tc>
          <w:tcPr>
            <w:tcW w:w="750" w:type="pct"/>
            <w:tcBorders>
              <w:top w:val="single" w:color="auto" w:sz="4" w:space="0"/>
              <w:left w:val="single" w:color="auto" w:sz="4" w:space="0"/>
              <w:bottom w:val="single" w:color="auto" w:sz="4" w:space="0"/>
              <w:right w:val="single" w:color="auto" w:sz="4" w:space="0"/>
            </w:tcBorders>
            <w:vAlign w:val="center"/>
          </w:tcPr>
          <w:p w14:paraId="3305C89B">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浙江荣泰</w:t>
            </w:r>
          </w:p>
        </w:tc>
        <w:tc>
          <w:tcPr>
            <w:tcW w:w="750" w:type="pct"/>
            <w:tcBorders>
              <w:top w:val="single" w:color="auto" w:sz="4" w:space="0"/>
              <w:left w:val="single" w:color="auto" w:sz="4" w:space="0"/>
              <w:bottom w:val="single" w:color="auto" w:sz="4" w:space="0"/>
              <w:right w:val="single" w:color="auto" w:sz="4" w:space="0"/>
            </w:tcBorders>
            <w:vAlign w:val="center"/>
          </w:tcPr>
          <w:p w14:paraId="7FEDBC98">
            <w:pPr>
              <w:widowControl/>
              <w:snapToGrid w:val="0"/>
              <w:jc w:val="right"/>
              <w:rPr>
                <w:rFonts w:ascii="宋体" w:hAnsi="宋体"/>
                <w:color w:val="000000"/>
                <w:kern w:val="0"/>
                <w:sz w:val="25"/>
                <w:szCs w:val="24"/>
              </w:rPr>
            </w:pPr>
            <w:r>
              <w:rPr>
                <w:rFonts w:ascii="Times New Roman" w:hAnsi="Times New Roman"/>
                <w:color w:val="000000"/>
                <w:kern w:val="0"/>
                <w:sz w:val="25"/>
                <w:szCs w:val="24"/>
              </w:rPr>
              <w:t>91,400</w:t>
            </w:r>
          </w:p>
        </w:tc>
        <w:tc>
          <w:tcPr>
            <w:tcW w:w="750" w:type="pct"/>
            <w:tcBorders>
              <w:top w:val="single" w:color="auto" w:sz="4" w:space="0"/>
              <w:left w:val="single" w:color="auto" w:sz="4" w:space="0"/>
              <w:bottom w:val="single" w:color="auto" w:sz="4" w:space="0"/>
              <w:right w:val="single" w:color="auto" w:sz="4" w:space="0"/>
            </w:tcBorders>
            <w:vAlign w:val="center"/>
          </w:tcPr>
          <w:p w14:paraId="5E690EB3">
            <w:pPr>
              <w:widowControl/>
              <w:snapToGrid w:val="0"/>
              <w:jc w:val="right"/>
              <w:rPr>
                <w:rFonts w:ascii="宋体" w:hAnsi="宋体"/>
                <w:color w:val="000000"/>
                <w:kern w:val="0"/>
                <w:sz w:val="25"/>
                <w:szCs w:val="24"/>
              </w:rPr>
            </w:pPr>
            <w:r>
              <w:rPr>
                <w:rFonts w:ascii="Times New Roman" w:hAnsi="Times New Roman"/>
                <w:color w:val="000000"/>
                <w:kern w:val="0"/>
                <w:sz w:val="25"/>
                <w:szCs w:val="24"/>
              </w:rPr>
              <w:t>3,590,192.00</w:t>
            </w:r>
          </w:p>
        </w:tc>
        <w:tc>
          <w:tcPr>
            <w:tcW w:w="750" w:type="pct"/>
            <w:tcBorders>
              <w:top w:val="single" w:color="auto" w:sz="4" w:space="0"/>
              <w:left w:val="single" w:color="auto" w:sz="4" w:space="0"/>
              <w:bottom w:val="single" w:color="auto" w:sz="4" w:space="0"/>
              <w:right w:val="single" w:color="auto" w:sz="4" w:space="0"/>
            </w:tcBorders>
            <w:vAlign w:val="center"/>
          </w:tcPr>
          <w:p w14:paraId="7F65D00D">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14:paraId="091161A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A3401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1CDE5D7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600522</w:t>
            </w:r>
          </w:p>
        </w:tc>
        <w:tc>
          <w:tcPr>
            <w:tcW w:w="750" w:type="pct"/>
            <w:tcBorders>
              <w:top w:val="single" w:color="auto" w:sz="4" w:space="0"/>
              <w:left w:val="single" w:color="auto" w:sz="4" w:space="0"/>
              <w:bottom w:val="single" w:color="auto" w:sz="4" w:space="0"/>
              <w:right w:val="single" w:color="auto" w:sz="4" w:space="0"/>
            </w:tcBorders>
            <w:vAlign w:val="center"/>
          </w:tcPr>
          <w:p w14:paraId="19B37C8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中天科技</w:t>
            </w:r>
          </w:p>
        </w:tc>
        <w:tc>
          <w:tcPr>
            <w:tcW w:w="750" w:type="pct"/>
            <w:tcBorders>
              <w:top w:val="single" w:color="auto" w:sz="4" w:space="0"/>
              <w:left w:val="single" w:color="auto" w:sz="4" w:space="0"/>
              <w:bottom w:val="single" w:color="auto" w:sz="4" w:space="0"/>
              <w:right w:val="single" w:color="auto" w:sz="4" w:space="0"/>
            </w:tcBorders>
            <w:vAlign w:val="center"/>
          </w:tcPr>
          <w:p w14:paraId="15BD6E5C">
            <w:pPr>
              <w:widowControl/>
              <w:snapToGrid w:val="0"/>
              <w:jc w:val="right"/>
              <w:rPr>
                <w:rFonts w:ascii="宋体" w:hAnsi="宋体"/>
                <w:color w:val="000000"/>
                <w:kern w:val="0"/>
                <w:sz w:val="25"/>
                <w:szCs w:val="24"/>
              </w:rPr>
            </w:pPr>
            <w:r>
              <w:rPr>
                <w:rFonts w:ascii="Times New Roman" w:hAnsi="Times New Roman"/>
                <w:color w:val="000000"/>
                <w:kern w:val="0"/>
                <w:sz w:val="25"/>
                <w:szCs w:val="24"/>
              </w:rPr>
              <w:t>237,300</w:t>
            </w:r>
          </w:p>
        </w:tc>
        <w:tc>
          <w:tcPr>
            <w:tcW w:w="750" w:type="pct"/>
            <w:tcBorders>
              <w:top w:val="single" w:color="auto" w:sz="4" w:space="0"/>
              <w:left w:val="single" w:color="auto" w:sz="4" w:space="0"/>
              <w:bottom w:val="single" w:color="auto" w:sz="4" w:space="0"/>
              <w:right w:val="single" w:color="auto" w:sz="4" w:space="0"/>
            </w:tcBorders>
            <w:vAlign w:val="center"/>
          </w:tcPr>
          <w:p w14:paraId="1F3F8A0E">
            <w:pPr>
              <w:widowControl/>
              <w:snapToGrid w:val="0"/>
              <w:jc w:val="right"/>
              <w:rPr>
                <w:rFonts w:ascii="宋体" w:hAnsi="宋体"/>
                <w:color w:val="000000"/>
                <w:kern w:val="0"/>
                <w:sz w:val="25"/>
                <w:szCs w:val="24"/>
              </w:rPr>
            </w:pPr>
            <w:r>
              <w:rPr>
                <w:rFonts w:ascii="Times New Roman" w:hAnsi="Times New Roman"/>
                <w:color w:val="000000"/>
                <w:kern w:val="0"/>
                <w:sz w:val="25"/>
                <w:szCs w:val="24"/>
              </w:rPr>
              <w:t>3,455,088.00</w:t>
            </w:r>
          </w:p>
        </w:tc>
        <w:tc>
          <w:tcPr>
            <w:tcW w:w="750" w:type="pct"/>
            <w:tcBorders>
              <w:top w:val="single" w:color="auto" w:sz="4" w:space="0"/>
              <w:left w:val="single" w:color="auto" w:sz="4" w:space="0"/>
              <w:bottom w:val="single" w:color="auto" w:sz="4" w:space="0"/>
              <w:right w:val="single" w:color="auto" w:sz="4" w:space="0"/>
            </w:tcBorders>
            <w:vAlign w:val="center"/>
          </w:tcPr>
          <w:p w14:paraId="639FEB43">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bl>
    <w:p w14:paraId="7ADCF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51FB769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0A3F9B7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53CFE06">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FEA106F">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61854D83">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1011B2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701CD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5B442C1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615B87A1">
            <w:pPr>
              <w:widowControl/>
              <w:snapToGrid w:val="0"/>
              <w:jc w:val="right"/>
              <w:rPr>
                <w:rFonts w:ascii="宋体" w:hAnsi="宋体"/>
                <w:color w:val="000000"/>
                <w:kern w:val="0"/>
                <w:sz w:val="25"/>
                <w:szCs w:val="24"/>
              </w:rPr>
            </w:pPr>
            <w:r>
              <w:rPr>
                <w:rFonts w:ascii="Times New Roman" w:hAnsi="Times New Roman"/>
                <w:color w:val="000000"/>
                <w:kern w:val="0"/>
                <w:sz w:val="25"/>
                <w:szCs w:val="24"/>
              </w:rPr>
              <w:t>67,960,243.29</w:t>
            </w:r>
          </w:p>
        </w:tc>
        <w:tc>
          <w:tcPr>
            <w:tcW w:w="400" w:type="pct"/>
            <w:tcBorders>
              <w:top w:val="single" w:color="auto" w:sz="4" w:space="0"/>
              <w:left w:val="single" w:color="auto" w:sz="4" w:space="0"/>
              <w:bottom w:val="single" w:color="auto" w:sz="4" w:space="0"/>
              <w:right w:val="single" w:color="auto" w:sz="4" w:space="0"/>
            </w:tcBorders>
            <w:vAlign w:val="center"/>
          </w:tcPr>
          <w:p w14:paraId="0F6F0435">
            <w:pPr>
              <w:widowControl/>
              <w:snapToGrid w:val="0"/>
              <w:jc w:val="right"/>
              <w:rPr>
                <w:rFonts w:ascii="宋体" w:hAnsi="宋体"/>
                <w:color w:val="000000"/>
                <w:kern w:val="0"/>
                <w:sz w:val="25"/>
                <w:szCs w:val="24"/>
              </w:rPr>
            </w:pPr>
            <w:r>
              <w:rPr>
                <w:rFonts w:ascii="Times New Roman" w:hAnsi="Times New Roman"/>
                <w:color w:val="000000"/>
                <w:kern w:val="0"/>
                <w:sz w:val="25"/>
                <w:szCs w:val="24"/>
              </w:rPr>
              <w:t>5.38</w:t>
            </w:r>
          </w:p>
        </w:tc>
      </w:tr>
      <w:tr w14:paraId="606BA2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7A8B7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0245433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362FD5B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427A82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5A54D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37DFC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68F83B8">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6ABD01CF">
            <w:pPr>
              <w:widowControl/>
              <w:snapToGrid w:val="0"/>
              <w:jc w:val="right"/>
              <w:rPr>
                <w:rFonts w:ascii="宋体" w:hAnsi="宋体"/>
                <w:color w:val="000000"/>
                <w:kern w:val="0"/>
                <w:sz w:val="25"/>
                <w:szCs w:val="24"/>
              </w:rPr>
            </w:pPr>
            <w:r>
              <w:rPr>
                <w:rFonts w:ascii="Times New Roman" w:hAnsi="Times New Roman"/>
                <w:color w:val="000000"/>
                <w:kern w:val="0"/>
                <w:sz w:val="25"/>
                <w:szCs w:val="24"/>
              </w:rPr>
              <w:t>322,877,227.39</w:t>
            </w:r>
          </w:p>
        </w:tc>
        <w:tc>
          <w:tcPr>
            <w:tcW w:w="400" w:type="pct"/>
            <w:tcBorders>
              <w:top w:val="single" w:color="auto" w:sz="4" w:space="0"/>
              <w:left w:val="single" w:color="auto" w:sz="4" w:space="0"/>
              <w:bottom w:val="single" w:color="auto" w:sz="4" w:space="0"/>
              <w:right w:val="single" w:color="auto" w:sz="4" w:space="0"/>
            </w:tcBorders>
            <w:vAlign w:val="center"/>
          </w:tcPr>
          <w:p w14:paraId="6FFB457A">
            <w:pPr>
              <w:widowControl/>
              <w:snapToGrid w:val="0"/>
              <w:jc w:val="right"/>
              <w:rPr>
                <w:rFonts w:ascii="宋体" w:hAnsi="宋体"/>
                <w:color w:val="000000"/>
                <w:kern w:val="0"/>
                <w:sz w:val="25"/>
                <w:szCs w:val="24"/>
              </w:rPr>
            </w:pPr>
            <w:r>
              <w:rPr>
                <w:rFonts w:ascii="Times New Roman" w:hAnsi="Times New Roman"/>
                <w:color w:val="000000"/>
                <w:kern w:val="0"/>
                <w:sz w:val="25"/>
                <w:szCs w:val="24"/>
              </w:rPr>
              <w:t>25.54</w:t>
            </w:r>
          </w:p>
        </w:tc>
      </w:tr>
      <w:tr w14:paraId="7B4464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8830F4">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60CAB15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5B02595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042ADBF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3334CA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DF95D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1830056">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79B0D0C9">
            <w:pPr>
              <w:widowControl/>
              <w:snapToGrid w:val="0"/>
              <w:jc w:val="right"/>
              <w:rPr>
                <w:rFonts w:ascii="宋体" w:hAnsi="宋体"/>
                <w:color w:val="000000"/>
                <w:kern w:val="0"/>
                <w:sz w:val="25"/>
                <w:szCs w:val="24"/>
              </w:rPr>
            </w:pPr>
            <w:r>
              <w:rPr>
                <w:rFonts w:ascii="Times New Roman" w:hAnsi="Times New Roman"/>
                <w:color w:val="000000"/>
                <w:kern w:val="0"/>
                <w:sz w:val="25"/>
                <w:szCs w:val="24"/>
              </w:rPr>
              <w:t>194,204,445.47</w:t>
            </w:r>
          </w:p>
        </w:tc>
        <w:tc>
          <w:tcPr>
            <w:tcW w:w="400" w:type="pct"/>
            <w:tcBorders>
              <w:top w:val="single" w:color="auto" w:sz="4" w:space="0"/>
              <w:left w:val="single" w:color="auto" w:sz="4" w:space="0"/>
              <w:bottom w:val="single" w:color="auto" w:sz="4" w:space="0"/>
              <w:right w:val="single" w:color="auto" w:sz="4" w:space="0"/>
            </w:tcBorders>
            <w:vAlign w:val="center"/>
          </w:tcPr>
          <w:p w14:paraId="0F469E4B">
            <w:pPr>
              <w:widowControl/>
              <w:snapToGrid w:val="0"/>
              <w:jc w:val="right"/>
              <w:rPr>
                <w:rFonts w:ascii="宋体" w:hAnsi="宋体"/>
                <w:color w:val="000000"/>
                <w:kern w:val="0"/>
                <w:sz w:val="25"/>
                <w:szCs w:val="24"/>
              </w:rPr>
            </w:pPr>
            <w:r>
              <w:rPr>
                <w:rFonts w:ascii="Times New Roman" w:hAnsi="Times New Roman"/>
                <w:color w:val="000000"/>
                <w:kern w:val="0"/>
                <w:sz w:val="25"/>
                <w:szCs w:val="24"/>
              </w:rPr>
              <w:t>15.36</w:t>
            </w:r>
          </w:p>
        </w:tc>
      </w:tr>
      <w:tr w14:paraId="303F6C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119A3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7855CBC7">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0E777A0C">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1891E65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4F2107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44A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40055C57">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28B43B84">
            <w:pPr>
              <w:widowControl/>
              <w:snapToGrid w:val="0"/>
              <w:jc w:val="right"/>
              <w:rPr>
                <w:rFonts w:ascii="宋体" w:hAnsi="宋体"/>
                <w:color w:val="000000"/>
                <w:kern w:val="0"/>
                <w:sz w:val="25"/>
                <w:szCs w:val="24"/>
              </w:rPr>
            </w:pPr>
            <w:r>
              <w:rPr>
                <w:rFonts w:ascii="Times New Roman" w:hAnsi="Times New Roman"/>
                <w:color w:val="000000"/>
                <w:kern w:val="0"/>
                <w:sz w:val="25"/>
                <w:szCs w:val="24"/>
              </w:rPr>
              <w:t>491,756,063.57</w:t>
            </w:r>
          </w:p>
        </w:tc>
        <w:tc>
          <w:tcPr>
            <w:tcW w:w="400" w:type="pct"/>
            <w:tcBorders>
              <w:top w:val="single" w:color="auto" w:sz="4" w:space="0"/>
              <w:left w:val="single" w:color="auto" w:sz="4" w:space="0"/>
              <w:bottom w:val="single" w:color="auto" w:sz="4" w:space="0"/>
              <w:right w:val="single" w:color="auto" w:sz="4" w:space="0"/>
            </w:tcBorders>
            <w:vAlign w:val="center"/>
          </w:tcPr>
          <w:p w14:paraId="255BFC7D">
            <w:pPr>
              <w:widowControl/>
              <w:snapToGrid w:val="0"/>
              <w:jc w:val="right"/>
              <w:rPr>
                <w:rFonts w:ascii="宋体" w:hAnsi="宋体"/>
                <w:color w:val="000000"/>
                <w:kern w:val="0"/>
                <w:sz w:val="25"/>
                <w:szCs w:val="24"/>
              </w:rPr>
            </w:pPr>
            <w:r>
              <w:rPr>
                <w:rFonts w:ascii="Times New Roman" w:hAnsi="Times New Roman"/>
                <w:color w:val="000000"/>
                <w:kern w:val="0"/>
                <w:sz w:val="25"/>
                <w:szCs w:val="24"/>
              </w:rPr>
              <w:t>38.90</w:t>
            </w:r>
          </w:p>
        </w:tc>
      </w:tr>
      <w:tr w14:paraId="51F5323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6E82E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BA0409D">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2DDBB46F">
            <w:pPr>
              <w:widowControl/>
              <w:snapToGrid w:val="0"/>
              <w:jc w:val="right"/>
              <w:rPr>
                <w:rFonts w:ascii="宋体" w:hAnsi="宋体"/>
                <w:color w:val="000000"/>
                <w:kern w:val="0"/>
                <w:sz w:val="25"/>
                <w:szCs w:val="24"/>
              </w:rPr>
            </w:pPr>
            <w:r>
              <w:rPr>
                <w:rFonts w:ascii="Times New Roman" w:hAnsi="Times New Roman"/>
                <w:color w:val="000000"/>
                <w:kern w:val="0"/>
                <w:sz w:val="25"/>
                <w:szCs w:val="24"/>
              </w:rPr>
              <w:t>267,815,062.22</w:t>
            </w:r>
          </w:p>
        </w:tc>
        <w:tc>
          <w:tcPr>
            <w:tcW w:w="400" w:type="pct"/>
            <w:tcBorders>
              <w:top w:val="single" w:color="auto" w:sz="4" w:space="0"/>
              <w:left w:val="single" w:color="auto" w:sz="4" w:space="0"/>
              <w:bottom w:val="single" w:color="auto" w:sz="4" w:space="0"/>
              <w:right w:val="single" w:color="auto" w:sz="4" w:space="0"/>
            </w:tcBorders>
            <w:vAlign w:val="center"/>
          </w:tcPr>
          <w:p w14:paraId="60A5C14B">
            <w:pPr>
              <w:widowControl/>
              <w:snapToGrid w:val="0"/>
              <w:jc w:val="right"/>
              <w:rPr>
                <w:rFonts w:ascii="宋体" w:hAnsi="宋体"/>
                <w:color w:val="000000"/>
                <w:kern w:val="0"/>
                <w:sz w:val="25"/>
                <w:szCs w:val="24"/>
              </w:rPr>
            </w:pPr>
            <w:r>
              <w:rPr>
                <w:rFonts w:ascii="Times New Roman" w:hAnsi="Times New Roman"/>
                <w:color w:val="000000"/>
                <w:kern w:val="0"/>
                <w:sz w:val="25"/>
                <w:szCs w:val="24"/>
              </w:rPr>
              <w:t>21.19</w:t>
            </w:r>
          </w:p>
        </w:tc>
      </w:tr>
      <w:tr w14:paraId="3A94CCB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69424E6">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3C5858E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24569AF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983A67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7BFC227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7E3A88">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7A985A2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41C6A56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CC3BB7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A04524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C325D8">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638F979F">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16B8ABE5">
            <w:pPr>
              <w:widowControl/>
              <w:snapToGrid w:val="0"/>
              <w:jc w:val="right"/>
              <w:rPr>
                <w:rFonts w:ascii="宋体" w:hAnsi="宋体"/>
                <w:color w:val="000000"/>
                <w:kern w:val="0"/>
                <w:sz w:val="25"/>
                <w:szCs w:val="24"/>
              </w:rPr>
            </w:pPr>
            <w:r>
              <w:rPr>
                <w:rFonts w:ascii="Times New Roman" w:hAnsi="Times New Roman"/>
                <w:color w:val="000000"/>
                <w:kern w:val="0"/>
                <w:sz w:val="25"/>
                <w:szCs w:val="24"/>
              </w:rPr>
              <w:t>1,344,613,041.94</w:t>
            </w:r>
          </w:p>
        </w:tc>
        <w:tc>
          <w:tcPr>
            <w:tcW w:w="400" w:type="pct"/>
            <w:tcBorders>
              <w:top w:val="single" w:color="auto" w:sz="4" w:space="0"/>
              <w:left w:val="single" w:color="auto" w:sz="4" w:space="0"/>
              <w:bottom w:val="single" w:color="auto" w:sz="4" w:space="0"/>
              <w:right w:val="single" w:color="auto" w:sz="4" w:space="0"/>
            </w:tcBorders>
            <w:vAlign w:val="center"/>
          </w:tcPr>
          <w:p w14:paraId="45A730B4">
            <w:pPr>
              <w:widowControl/>
              <w:snapToGrid w:val="0"/>
              <w:jc w:val="right"/>
              <w:rPr>
                <w:rFonts w:ascii="宋体" w:hAnsi="宋体"/>
                <w:color w:val="000000"/>
                <w:kern w:val="0"/>
                <w:sz w:val="25"/>
                <w:szCs w:val="24"/>
              </w:rPr>
            </w:pPr>
            <w:r>
              <w:rPr>
                <w:rFonts w:ascii="Times New Roman" w:hAnsi="Times New Roman"/>
                <w:color w:val="000000"/>
                <w:kern w:val="0"/>
                <w:sz w:val="25"/>
                <w:szCs w:val="24"/>
              </w:rPr>
              <w:t>106.37</w:t>
            </w:r>
          </w:p>
        </w:tc>
      </w:tr>
    </w:tbl>
    <w:p w14:paraId="52D5C6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2F87194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6E1E0938">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1549C83">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605081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A14EEB1">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015D1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023FBFD">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57949C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E0FF0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EA4614C">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232480008</w:t>
            </w:r>
          </w:p>
        </w:tc>
        <w:tc>
          <w:tcPr>
            <w:tcW w:w="750" w:type="pct"/>
            <w:tcBorders>
              <w:top w:val="single" w:color="auto" w:sz="4" w:space="0"/>
              <w:left w:val="single" w:color="auto" w:sz="4" w:space="0"/>
              <w:bottom w:val="single" w:color="auto" w:sz="4" w:space="0"/>
              <w:right w:val="single" w:color="auto" w:sz="4" w:space="0"/>
            </w:tcBorders>
            <w:vAlign w:val="center"/>
          </w:tcPr>
          <w:p w14:paraId="53356B76">
            <w:pPr>
              <w:widowControl/>
              <w:snapToGrid w:val="0"/>
              <w:jc w:val="center"/>
              <w:rPr>
                <w:rFonts w:ascii="宋体" w:hAnsi="宋体"/>
                <w:color w:val="000000"/>
                <w:kern w:val="0"/>
                <w:sz w:val="25"/>
                <w:szCs w:val="24"/>
              </w:rPr>
            </w:pPr>
            <w:r>
              <w:rPr>
                <w:rFonts w:ascii="Times New Roman" w:hAnsi="Times New Roman"/>
                <w:color w:val="000000"/>
                <w:kern w:val="0"/>
                <w:sz w:val="25"/>
                <w:szCs w:val="24"/>
              </w:rPr>
              <w:t>24中行二级资本债02A</w:t>
            </w:r>
          </w:p>
        </w:tc>
        <w:tc>
          <w:tcPr>
            <w:tcW w:w="750" w:type="pct"/>
            <w:tcBorders>
              <w:top w:val="single" w:color="auto" w:sz="4" w:space="0"/>
              <w:left w:val="single" w:color="auto" w:sz="4" w:space="0"/>
              <w:bottom w:val="single" w:color="auto" w:sz="4" w:space="0"/>
              <w:right w:val="single" w:color="auto" w:sz="4" w:space="0"/>
            </w:tcBorders>
            <w:vAlign w:val="center"/>
          </w:tcPr>
          <w:p w14:paraId="43687951">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color="auto" w:sz="4" w:space="0"/>
              <w:left w:val="single" w:color="auto" w:sz="4" w:space="0"/>
              <w:bottom w:val="single" w:color="auto" w:sz="4" w:space="0"/>
              <w:right w:val="single" w:color="auto" w:sz="4" w:space="0"/>
            </w:tcBorders>
            <w:vAlign w:val="center"/>
          </w:tcPr>
          <w:p w14:paraId="1A02DE09">
            <w:pPr>
              <w:widowControl/>
              <w:snapToGrid w:val="0"/>
              <w:jc w:val="right"/>
              <w:rPr>
                <w:rFonts w:ascii="宋体" w:hAnsi="宋体"/>
                <w:color w:val="000000"/>
                <w:kern w:val="0"/>
                <w:sz w:val="25"/>
                <w:szCs w:val="24"/>
              </w:rPr>
            </w:pPr>
            <w:r>
              <w:rPr>
                <w:rFonts w:ascii="Times New Roman" w:hAnsi="Times New Roman"/>
                <w:color w:val="000000"/>
                <w:kern w:val="0"/>
                <w:sz w:val="25"/>
                <w:szCs w:val="24"/>
              </w:rPr>
              <w:t>73,217,061.92</w:t>
            </w:r>
          </w:p>
        </w:tc>
        <w:tc>
          <w:tcPr>
            <w:tcW w:w="750" w:type="pct"/>
            <w:tcBorders>
              <w:top w:val="single" w:color="auto" w:sz="4" w:space="0"/>
              <w:left w:val="single" w:color="auto" w:sz="4" w:space="0"/>
              <w:bottom w:val="single" w:color="auto" w:sz="4" w:space="0"/>
              <w:right w:val="single" w:color="auto" w:sz="4" w:space="0"/>
            </w:tcBorders>
            <w:vAlign w:val="center"/>
          </w:tcPr>
          <w:p w14:paraId="7B0CCF4A">
            <w:pPr>
              <w:widowControl/>
              <w:snapToGrid w:val="0"/>
              <w:jc w:val="right"/>
              <w:rPr>
                <w:rFonts w:ascii="宋体" w:hAnsi="宋体"/>
                <w:color w:val="000000"/>
                <w:kern w:val="0"/>
                <w:sz w:val="25"/>
                <w:szCs w:val="24"/>
              </w:rPr>
            </w:pPr>
            <w:r>
              <w:rPr>
                <w:rFonts w:ascii="Times New Roman" w:hAnsi="Times New Roman"/>
                <w:color w:val="000000"/>
                <w:kern w:val="0"/>
                <w:sz w:val="25"/>
                <w:szCs w:val="24"/>
              </w:rPr>
              <w:t>5.79</w:t>
            </w:r>
          </w:p>
        </w:tc>
      </w:tr>
      <w:tr w14:paraId="0A9617A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108043">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9152E74">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color="auto" w:sz="4" w:space="0"/>
              <w:left w:val="single" w:color="auto" w:sz="4" w:space="0"/>
              <w:bottom w:val="single" w:color="auto" w:sz="4" w:space="0"/>
              <w:right w:val="single" w:color="auto" w:sz="4" w:space="0"/>
            </w:tcBorders>
            <w:vAlign w:val="center"/>
          </w:tcPr>
          <w:p w14:paraId="1CA4071D">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25国债01</w:t>
            </w:r>
          </w:p>
        </w:tc>
        <w:tc>
          <w:tcPr>
            <w:tcW w:w="750" w:type="pct"/>
            <w:tcBorders>
              <w:top w:val="single" w:color="auto" w:sz="4" w:space="0"/>
              <w:left w:val="single" w:color="auto" w:sz="4" w:space="0"/>
              <w:bottom w:val="single" w:color="auto" w:sz="4" w:space="0"/>
              <w:right w:val="single" w:color="auto" w:sz="4" w:space="0"/>
            </w:tcBorders>
            <w:vAlign w:val="center"/>
          </w:tcPr>
          <w:p w14:paraId="5BB19762">
            <w:pPr>
              <w:widowControl/>
              <w:snapToGrid w:val="0"/>
              <w:jc w:val="right"/>
              <w:rPr>
                <w:rFonts w:ascii="宋体" w:hAnsi="宋体"/>
                <w:color w:val="000000"/>
                <w:kern w:val="0"/>
                <w:sz w:val="25"/>
                <w:szCs w:val="24"/>
              </w:rPr>
            </w:pPr>
            <w:r>
              <w:rPr>
                <w:rFonts w:ascii="Times New Roman" w:hAnsi="Times New Roman"/>
                <w:color w:val="000000"/>
                <w:kern w:val="0"/>
                <w:sz w:val="25"/>
                <w:szCs w:val="24"/>
              </w:rPr>
              <w:t>680,000</w:t>
            </w:r>
          </w:p>
        </w:tc>
        <w:tc>
          <w:tcPr>
            <w:tcW w:w="750" w:type="pct"/>
            <w:tcBorders>
              <w:top w:val="single" w:color="auto" w:sz="4" w:space="0"/>
              <w:left w:val="single" w:color="auto" w:sz="4" w:space="0"/>
              <w:bottom w:val="single" w:color="auto" w:sz="4" w:space="0"/>
              <w:right w:val="single" w:color="auto" w:sz="4" w:space="0"/>
            </w:tcBorders>
            <w:vAlign w:val="center"/>
          </w:tcPr>
          <w:p w14:paraId="47097F1D">
            <w:pPr>
              <w:widowControl/>
              <w:snapToGrid w:val="0"/>
              <w:jc w:val="right"/>
              <w:rPr>
                <w:rFonts w:ascii="宋体" w:hAnsi="宋体"/>
                <w:color w:val="000000"/>
                <w:kern w:val="0"/>
                <w:sz w:val="25"/>
                <w:szCs w:val="24"/>
              </w:rPr>
            </w:pPr>
            <w:r>
              <w:rPr>
                <w:rFonts w:ascii="Times New Roman" w:hAnsi="Times New Roman"/>
                <w:color w:val="000000"/>
                <w:kern w:val="0"/>
                <w:sz w:val="25"/>
                <w:szCs w:val="24"/>
              </w:rPr>
              <w:t>67,960,243.29</w:t>
            </w:r>
          </w:p>
        </w:tc>
        <w:tc>
          <w:tcPr>
            <w:tcW w:w="750" w:type="pct"/>
            <w:tcBorders>
              <w:top w:val="single" w:color="auto" w:sz="4" w:space="0"/>
              <w:left w:val="single" w:color="auto" w:sz="4" w:space="0"/>
              <w:bottom w:val="single" w:color="auto" w:sz="4" w:space="0"/>
              <w:right w:val="single" w:color="auto" w:sz="4" w:space="0"/>
            </w:tcBorders>
            <w:vAlign w:val="center"/>
          </w:tcPr>
          <w:p w14:paraId="525E66AF">
            <w:pPr>
              <w:widowControl/>
              <w:snapToGrid w:val="0"/>
              <w:jc w:val="right"/>
              <w:rPr>
                <w:rFonts w:ascii="宋体" w:hAnsi="宋体"/>
                <w:color w:val="000000"/>
                <w:kern w:val="0"/>
                <w:sz w:val="25"/>
                <w:szCs w:val="24"/>
              </w:rPr>
            </w:pPr>
            <w:r>
              <w:rPr>
                <w:rFonts w:ascii="Times New Roman" w:hAnsi="Times New Roman"/>
                <w:color w:val="000000"/>
                <w:kern w:val="0"/>
                <w:sz w:val="25"/>
                <w:szCs w:val="24"/>
              </w:rPr>
              <w:t>5.38</w:t>
            </w:r>
          </w:p>
        </w:tc>
      </w:tr>
      <w:tr w14:paraId="2433718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1701F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7CB44550">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2220054</w:t>
            </w:r>
          </w:p>
        </w:tc>
        <w:tc>
          <w:tcPr>
            <w:tcW w:w="750" w:type="pct"/>
            <w:tcBorders>
              <w:top w:val="single" w:color="auto" w:sz="4" w:space="0"/>
              <w:left w:val="single" w:color="auto" w:sz="4" w:space="0"/>
              <w:bottom w:val="single" w:color="auto" w:sz="4" w:space="0"/>
              <w:right w:val="single" w:color="auto" w:sz="4" w:space="0"/>
            </w:tcBorders>
            <w:vAlign w:val="center"/>
          </w:tcPr>
          <w:p w14:paraId="2AD3F850">
            <w:pPr>
              <w:widowControl/>
              <w:snapToGrid w:val="0"/>
              <w:jc w:val="center"/>
              <w:rPr>
                <w:rFonts w:ascii="宋体" w:hAnsi="宋体"/>
                <w:color w:val="000000"/>
                <w:kern w:val="0"/>
                <w:sz w:val="25"/>
                <w:szCs w:val="24"/>
              </w:rPr>
            </w:pPr>
            <w:r>
              <w:rPr>
                <w:rFonts w:ascii="Times New Roman" w:hAnsi="Times New Roman"/>
                <w:color w:val="000000"/>
                <w:kern w:val="0"/>
                <w:sz w:val="25"/>
                <w:szCs w:val="24"/>
              </w:rPr>
              <w:t>22湖北银行二级</w:t>
            </w:r>
          </w:p>
        </w:tc>
        <w:tc>
          <w:tcPr>
            <w:tcW w:w="750" w:type="pct"/>
            <w:tcBorders>
              <w:top w:val="single" w:color="auto" w:sz="4" w:space="0"/>
              <w:left w:val="single" w:color="auto" w:sz="4" w:space="0"/>
              <w:bottom w:val="single" w:color="auto" w:sz="4" w:space="0"/>
              <w:right w:val="single" w:color="auto" w:sz="4" w:space="0"/>
            </w:tcBorders>
            <w:vAlign w:val="center"/>
          </w:tcPr>
          <w:p w14:paraId="20E9DE6B">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color="auto" w:sz="4" w:space="0"/>
              <w:left w:val="single" w:color="auto" w:sz="4" w:space="0"/>
              <w:bottom w:val="single" w:color="auto" w:sz="4" w:space="0"/>
              <w:right w:val="single" w:color="auto" w:sz="4" w:space="0"/>
            </w:tcBorders>
            <w:vAlign w:val="center"/>
          </w:tcPr>
          <w:p w14:paraId="4706820B">
            <w:pPr>
              <w:widowControl/>
              <w:snapToGrid w:val="0"/>
              <w:jc w:val="right"/>
              <w:rPr>
                <w:rFonts w:ascii="宋体" w:hAnsi="宋体"/>
                <w:color w:val="000000"/>
                <w:kern w:val="0"/>
                <w:sz w:val="25"/>
                <w:szCs w:val="24"/>
              </w:rPr>
            </w:pPr>
            <w:r>
              <w:rPr>
                <w:rFonts w:ascii="Times New Roman" w:hAnsi="Times New Roman"/>
                <w:color w:val="000000"/>
                <w:kern w:val="0"/>
                <w:sz w:val="25"/>
                <w:szCs w:val="24"/>
              </w:rPr>
              <w:t>53,609,060.27</w:t>
            </w:r>
          </w:p>
        </w:tc>
        <w:tc>
          <w:tcPr>
            <w:tcW w:w="750" w:type="pct"/>
            <w:tcBorders>
              <w:top w:val="single" w:color="auto" w:sz="4" w:space="0"/>
              <w:left w:val="single" w:color="auto" w:sz="4" w:space="0"/>
              <w:bottom w:val="single" w:color="auto" w:sz="4" w:space="0"/>
              <w:right w:val="single" w:color="auto" w:sz="4" w:space="0"/>
            </w:tcBorders>
            <w:vAlign w:val="center"/>
          </w:tcPr>
          <w:p w14:paraId="5FB7AB4C">
            <w:pPr>
              <w:widowControl/>
              <w:snapToGrid w:val="0"/>
              <w:jc w:val="right"/>
              <w:rPr>
                <w:rFonts w:ascii="宋体" w:hAnsi="宋体"/>
                <w:color w:val="000000"/>
                <w:kern w:val="0"/>
                <w:sz w:val="25"/>
                <w:szCs w:val="24"/>
              </w:rPr>
            </w:pPr>
            <w:r>
              <w:rPr>
                <w:rFonts w:ascii="Times New Roman" w:hAnsi="Times New Roman"/>
                <w:color w:val="000000"/>
                <w:kern w:val="0"/>
                <w:sz w:val="25"/>
                <w:szCs w:val="24"/>
              </w:rPr>
              <w:t>4.24</w:t>
            </w:r>
          </w:p>
        </w:tc>
      </w:tr>
      <w:tr w14:paraId="37AF5F6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96351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718045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240891</w:t>
            </w:r>
          </w:p>
        </w:tc>
        <w:tc>
          <w:tcPr>
            <w:tcW w:w="750" w:type="pct"/>
            <w:tcBorders>
              <w:top w:val="single" w:color="auto" w:sz="4" w:space="0"/>
              <w:left w:val="single" w:color="auto" w:sz="4" w:space="0"/>
              <w:bottom w:val="single" w:color="auto" w:sz="4" w:space="0"/>
              <w:right w:val="single" w:color="auto" w:sz="4" w:space="0"/>
            </w:tcBorders>
            <w:vAlign w:val="center"/>
          </w:tcPr>
          <w:p w14:paraId="60F4EAD2">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24安租03</w:t>
            </w:r>
          </w:p>
        </w:tc>
        <w:tc>
          <w:tcPr>
            <w:tcW w:w="750" w:type="pct"/>
            <w:tcBorders>
              <w:top w:val="single" w:color="auto" w:sz="4" w:space="0"/>
              <w:left w:val="single" w:color="auto" w:sz="4" w:space="0"/>
              <w:bottom w:val="single" w:color="auto" w:sz="4" w:space="0"/>
              <w:right w:val="single" w:color="auto" w:sz="4" w:space="0"/>
            </w:tcBorders>
            <w:vAlign w:val="center"/>
          </w:tcPr>
          <w:p w14:paraId="2EE17459">
            <w:pPr>
              <w:widowControl/>
              <w:snapToGrid w:val="0"/>
              <w:jc w:val="right"/>
              <w:rPr>
                <w:rFonts w:ascii="宋体" w:hAnsi="宋体"/>
                <w:color w:val="000000"/>
                <w:kern w:val="0"/>
                <w:sz w:val="25"/>
                <w:szCs w:val="24"/>
              </w:rPr>
            </w:pPr>
            <w:r>
              <w:rPr>
                <w:rFonts w:ascii="Times New Roman" w:hAnsi="Times New Roman"/>
                <w:color w:val="000000"/>
                <w:kern w:val="0"/>
                <w:sz w:val="25"/>
                <w:szCs w:val="24"/>
              </w:rPr>
              <w:t>500,000</w:t>
            </w:r>
          </w:p>
        </w:tc>
        <w:tc>
          <w:tcPr>
            <w:tcW w:w="750" w:type="pct"/>
            <w:tcBorders>
              <w:top w:val="single" w:color="auto" w:sz="4" w:space="0"/>
              <w:left w:val="single" w:color="auto" w:sz="4" w:space="0"/>
              <w:bottom w:val="single" w:color="auto" w:sz="4" w:space="0"/>
              <w:right w:val="single" w:color="auto" w:sz="4" w:space="0"/>
            </w:tcBorders>
            <w:vAlign w:val="center"/>
          </w:tcPr>
          <w:p w14:paraId="1A39500D">
            <w:pPr>
              <w:widowControl/>
              <w:snapToGrid w:val="0"/>
              <w:jc w:val="right"/>
              <w:rPr>
                <w:rFonts w:ascii="宋体" w:hAnsi="宋体"/>
                <w:color w:val="000000"/>
                <w:kern w:val="0"/>
                <w:sz w:val="25"/>
                <w:szCs w:val="24"/>
              </w:rPr>
            </w:pPr>
            <w:r>
              <w:rPr>
                <w:rFonts w:ascii="Times New Roman" w:hAnsi="Times New Roman"/>
                <w:color w:val="000000"/>
                <w:kern w:val="0"/>
                <w:sz w:val="25"/>
                <w:szCs w:val="24"/>
              </w:rPr>
              <w:t>51,453,200.00</w:t>
            </w:r>
          </w:p>
        </w:tc>
        <w:tc>
          <w:tcPr>
            <w:tcW w:w="750" w:type="pct"/>
            <w:tcBorders>
              <w:top w:val="single" w:color="auto" w:sz="4" w:space="0"/>
              <w:left w:val="single" w:color="auto" w:sz="4" w:space="0"/>
              <w:bottom w:val="single" w:color="auto" w:sz="4" w:space="0"/>
              <w:right w:val="single" w:color="auto" w:sz="4" w:space="0"/>
            </w:tcBorders>
            <w:vAlign w:val="center"/>
          </w:tcPr>
          <w:p w14:paraId="23C0D4C5">
            <w:pPr>
              <w:widowControl/>
              <w:snapToGrid w:val="0"/>
              <w:jc w:val="right"/>
              <w:rPr>
                <w:rFonts w:ascii="宋体" w:hAnsi="宋体"/>
                <w:color w:val="000000"/>
                <w:kern w:val="0"/>
                <w:sz w:val="25"/>
                <w:szCs w:val="24"/>
              </w:rPr>
            </w:pPr>
            <w:r>
              <w:rPr>
                <w:rFonts w:ascii="Times New Roman" w:hAnsi="Times New Roman"/>
                <w:color w:val="000000"/>
                <w:kern w:val="0"/>
                <w:sz w:val="25"/>
                <w:szCs w:val="24"/>
              </w:rPr>
              <w:t>4.07</w:t>
            </w:r>
          </w:p>
        </w:tc>
      </w:tr>
      <w:tr w14:paraId="5CC1A0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ED054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68F17553">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232480020</w:t>
            </w:r>
          </w:p>
        </w:tc>
        <w:tc>
          <w:tcPr>
            <w:tcW w:w="750" w:type="pct"/>
            <w:tcBorders>
              <w:top w:val="single" w:color="auto" w:sz="4" w:space="0"/>
              <w:left w:val="single" w:color="auto" w:sz="4" w:space="0"/>
              <w:bottom w:val="single" w:color="auto" w:sz="4" w:space="0"/>
              <w:right w:val="single" w:color="auto" w:sz="4" w:space="0"/>
            </w:tcBorders>
            <w:vAlign w:val="center"/>
          </w:tcPr>
          <w:p w14:paraId="122ED1E3">
            <w:pPr>
              <w:widowControl/>
              <w:snapToGrid w:val="0"/>
              <w:jc w:val="center"/>
              <w:rPr>
                <w:rFonts w:ascii="宋体" w:hAnsi="宋体"/>
                <w:color w:val="000000"/>
                <w:kern w:val="0"/>
                <w:sz w:val="25"/>
                <w:szCs w:val="24"/>
              </w:rPr>
            </w:pPr>
            <w:r>
              <w:rPr>
                <w:rFonts w:ascii="Times New Roman" w:hAnsi="Times New Roman"/>
                <w:color w:val="000000"/>
                <w:kern w:val="0"/>
                <w:sz w:val="25"/>
                <w:szCs w:val="24"/>
              </w:rPr>
              <w:t>24兴业银行二级资本债01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2936B80D">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400,000</w:t>
            </w:r>
          </w:p>
        </w:tc>
        <w:tc>
          <w:tcPr>
            <w:tcW w:w="750" w:type="pct"/>
            <w:tcBorders>
              <w:top w:val="single" w:color="auto" w:sz="4" w:space="0"/>
              <w:left w:val="single" w:color="auto" w:sz="4" w:space="0"/>
              <w:bottom w:val="single" w:color="auto" w:sz="4" w:space="0"/>
              <w:right w:val="single" w:color="auto" w:sz="4" w:space="0"/>
            </w:tcBorders>
            <w:vAlign w:val="center"/>
          </w:tcPr>
          <w:p w14:paraId="333F823F">
            <w:pPr>
              <w:widowControl/>
              <w:snapToGrid w:val="0"/>
              <w:jc w:val="right"/>
              <w:rPr>
                <w:rFonts w:ascii="宋体" w:hAnsi="宋体"/>
                <w:color w:val="000000"/>
                <w:kern w:val="0"/>
                <w:sz w:val="25"/>
                <w:szCs w:val="24"/>
              </w:rPr>
            </w:pPr>
            <w:r>
              <w:rPr>
                <w:rFonts w:ascii="Times New Roman" w:hAnsi="Times New Roman"/>
                <w:color w:val="000000"/>
                <w:kern w:val="0"/>
                <w:sz w:val="25"/>
                <w:szCs w:val="24"/>
              </w:rPr>
              <w:t>41,400,219.18</w:t>
            </w:r>
          </w:p>
        </w:tc>
        <w:tc>
          <w:tcPr>
            <w:tcW w:w="750" w:type="pct"/>
            <w:tcBorders>
              <w:top w:val="single" w:color="auto" w:sz="4" w:space="0"/>
              <w:left w:val="single" w:color="auto" w:sz="4" w:space="0"/>
              <w:bottom w:val="single" w:color="auto" w:sz="4" w:space="0"/>
              <w:right w:val="single" w:color="auto" w:sz="4" w:space="0"/>
            </w:tcBorders>
            <w:vAlign w:val="center"/>
          </w:tcPr>
          <w:p w14:paraId="26747538">
            <w:pPr>
              <w:widowControl/>
              <w:snapToGrid w:val="0"/>
              <w:jc w:val="right"/>
              <w:rPr>
                <w:rFonts w:ascii="宋体" w:hAnsi="宋体"/>
                <w:color w:val="000000"/>
                <w:kern w:val="0"/>
                <w:sz w:val="25"/>
                <w:szCs w:val="24"/>
              </w:rPr>
            </w:pPr>
            <w:r>
              <w:rPr>
                <w:rFonts w:ascii="Times New Roman" w:hAnsi="Times New Roman"/>
                <w:color w:val="000000"/>
                <w:kern w:val="0"/>
                <w:sz w:val="25"/>
                <w:szCs w:val="24"/>
              </w:rPr>
              <w:t>3.27</w:t>
            </w:r>
          </w:p>
        </w:tc>
      </w:tr>
    </w:tbl>
    <w:p w14:paraId="0B2475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10BE49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F0D5B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6E6F53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FE5B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6BCA83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324A7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14:paraId="4027F7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14:paraId="58483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59F9D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14:paraId="376E81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56FBF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14:paraId="4B012D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072B9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14:paraId="2F3C8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413552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35B35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2024年04月19日,国家金融监督管理总局湖北监管局公示鄂金监罚决字[2024]6号行政处罚决定书,给予湖北银行股份有限公司290万元人民币的行政处罚。　</w:t>
      </w:r>
    </w:p>
    <w:p w14:paraId="3B141D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2024年07月25日,国家金融监督管理总局福建监管局公示闽金罚决字[2024]12号行政处罚决定书,给予兴业银行股份有限公司190万元人民币的行政处罚。　</w:t>
      </w:r>
    </w:p>
    <w:p w14:paraId="0DB8E8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2025年01月27日,央行公示银罚决字[2024]67号行政处罚决定书,给予中国农业银行股份有限公司4672.94万元人民币的行政处罚，并没收违法所得487.59万元。　</w:t>
      </w:r>
    </w:p>
    <w:p w14:paraId="09B139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2024年04月03日,国家外汇管理局北京市分局公示京汇罚[2024]9号行政处罚决定书,给予中国银行股份有限公司罚没共计40.22万元人民币的行政处罚。</w:t>
      </w:r>
    </w:p>
    <w:p w14:paraId="6F018E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14:paraId="29CAB2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14:paraId="602703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14:paraId="53C887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4F0587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4B0FCCD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2239057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0948A1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5D81791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35FFBD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3307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18A9778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385BD4CE">
            <w:pPr>
              <w:widowControl/>
              <w:snapToGrid w:val="0"/>
              <w:jc w:val="right"/>
              <w:rPr>
                <w:rFonts w:ascii="宋体" w:hAnsi="宋体"/>
                <w:color w:val="000000"/>
                <w:kern w:val="0"/>
                <w:sz w:val="25"/>
                <w:szCs w:val="24"/>
              </w:rPr>
            </w:pPr>
            <w:r>
              <w:rPr>
                <w:rFonts w:ascii="Times New Roman" w:hAnsi="Times New Roman"/>
                <w:color w:val="000000"/>
                <w:kern w:val="0"/>
                <w:sz w:val="25"/>
                <w:szCs w:val="24"/>
              </w:rPr>
              <w:t>43,080.45</w:t>
            </w:r>
          </w:p>
        </w:tc>
      </w:tr>
      <w:tr w14:paraId="7ACE854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0FE95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07822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6BD8E4CD">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3,000,715.07</w:t>
            </w:r>
          </w:p>
        </w:tc>
      </w:tr>
      <w:tr w14:paraId="7FC1E37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DB075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70B4C69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6233FEC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4BE99E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3F6D5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3853B12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7DBFDE4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09789C0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237D4C">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6F8ABDE6">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38A412F9">
            <w:pPr>
              <w:widowControl/>
              <w:snapToGrid w:val="0"/>
              <w:jc w:val="right"/>
              <w:rPr>
                <w:rFonts w:ascii="宋体" w:hAnsi="宋体"/>
                <w:color w:val="000000"/>
                <w:kern w:val="0"/>
                <w:sz w:val="25"/>
                <w:szCs w:val="24"/>
              </w:rPr>
            </w:pPr>
            <w:r>
              <w:rPr>
                <w:rFonts w:ascii="Times New Roman" w:hAnsi="Times New Roman"/>
                <w:color w:val="000000"/>
                <w:kern w:val="0"/>
                <w:sz w:val="25"/>
                <w:szCs w:val="24"/>
              </w:rPr>
              <w:t>6,019,216.58</w:t>
            </w:r>
          </w:p>
        </w:tc>
      </w:tr>
      <w:tr w14:paraId="585C610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0643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524C33F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50729F7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059746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046B91">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239F81D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39446813">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D1C737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2D247B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68150958">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0A147014">
            <w:pPr>
              <w:widowControl/>
              <w:snapToGrid w:val="0"/>
              <w:jc w:val="right"/>
              <w:rPr>
                <w:rFonts w:ascii="宋体" w:hAnsi="宋体"/>
                <w:color w:val="000000"/>
                <w:kern w:val="0"/>
                <w:sz w:val="25"/>
                <w:szCs w:val="24"/>
              </w:rPr>
            </w:pPr>
            <w:r>
              <w:rPr>
                <w:rFonts w:ascii="Times New Roman" w:hAnsi="Times New Roman"/>
                <w:color w:val="000000"/>
                <w:kern w:val="0"/>
                <w:sz w:val="25"/>
                <w:szCs w:val="24"/>
              </w:rPr>
              <w:t>9,063,012.10</w:t>
            </w:r>
          </w:p>
        </w:tc>
      </w:tr>
    </w:tbl>
    <w:p w14:paraId="5785E7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14:paraId="1F648AD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71C97A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EF37688">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D16F9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55F2F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F9C6F3F">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014EB8B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2F5AD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6BC797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110075</w:t>
            </w:r>
          </w:p>
        </w:tc>
        <w:tc>
          <w:tcPr>
            <w:tcW w:w="750" w:type="pct"/>
            <w:tcBorders>
              <w:top w:val="single" w:color="auto" w:sz="4" w:space="0"/>
              <w:left w:val="single" w:color="auto" w:sz="4" w:space="0"/>
              <w:bottom w:val="single" w:color="auto" w:sz="4" w:space="0"/>
              <w:right w:val="single" w:color="auto" w:sz="4" w:space="0"/>
            </w:tcBorders>
            <w:vAlign w:val="center"/>
          </w:tcPr>
          <w:p w14:paraId="078CAD3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南航转债</w:t>
            </w:r>
          </w:p>
        </w:tc>
        <w:tc>
          <w:tcPr>
            <w:tcW w:w="750" w:type="pct"/>
            <w:tcBorders>
              <w:top w:val="single" w:color="auto" w:sz="4" w:space="0"/>
              <w:left w:val="single" w:color="auto" w:sz="4" w:space="0"/>
              <w:bottom w:val="single" w:color="auto" w:sz="4" w:space="0"/>
              <w:right w:val="single" w:color="auto" w:sz="4" w:space="0"/>
            </w:tcBorders>
            <w:vAlign w:val="center"/>
          </w:tcPr>
          <w:p w14:paraId="3ADDC86F">
            <w:pPr>
              <w:widowControl/>
              <w:snapToGrid w:val="0"/>
              <w:jc w:val="right"/>
              <w:rPr>
                <w:rFonts w:ascii="宋体" w:hAnsi="宋体"/>
                <w:color w:val="000000"/>
                <w:kern w:val="0"/>
                <w:sz w:val="25"/>
                <w:szCs w:val="24"/>
              </w:rPr>
            </w:pPr>
            <w:r>
              <w:rPr>
                <w:rFonts w:ascii="Times New Roman" w:hAnsi="Times New Roman"/>
                <w:color w:val="000000"/>
                <w:kern w:val="0"/>
                <w:sz w:val="25"/>
                <w:szCs w:val="24"/>
              </w:rPr>
              <w:t>11,756,922.86</w:t>
            </w:r>
          </w:p>
        </w:tc>
        <w:tc>
          <w:tcPr>
            <w:tcW w:w="750" w:type="pct"/>
            <w:tcBorders>
              <w:top w:val="single" w:color="auto" w:sz="4" w:space="0"/>
              <w:left w:val="single" w:color="auto" w:sz="4" w:space="0"/>
              <w:bottom w:val="single" w:color="auto" w:sz="4" w:space="0"/>
              <w:right w:val="single" w:color="auto" w:sz="4" w:space="0"/>
            </w:tcBorders>
            <w:vAlign w:val="center"/>
          </w:tcPr>
          <w:p w14:paraId="695F1FAA">
            <w:pPr>
              <w:widowControl/>
              <w:snapToGrid w:val="0"/>
              <w:jc w:val="right"/>
              <w:rPr>
                <w:rFonts w:ascii="宋体" w:hAnsi="宋体"/>
                <w:color w:val="000000"/>
                <w:kern w:val="0"/>
                <w:sz w:val="25"/>
                <w:szCs w:val="24"/>
              </w:rPr>
            </w:pPr>
            <w:r>
              <w:rPr>
                <w:rFonts w:ascii="Times New Roman" w:hAnsi="Times New Roman"/>
                <w:color w:val="000000"/>
                <w:kern w:val="0"/>
                <w:sz w:val="25"/>
                <w:szCs w:val="24"/>
              </w:rPr>
              <w:t>0.93</w:t>
            </w:r>
          </w:p>
        </w:tc>
      </w:tr>
      <w:tr w14:paraId="0AD9625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10226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3A04F4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14:paraId="6B1B4C4F">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14:paraId="114B65B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10,058,339.35</w:t>
            </w:r>
          </w:p>
        </w:tc>
        <w:tc>
          <w:tcPr>
            <w:tcW w:w="750" w:type="pct"/>
            <w:tcBorders>
              <w:top w:val="single" w:color="auto" w:sz="4" w:space="0"/>
              <w:left w:val="single" w:color="auto" w:sz="4" w:space="0"/>
              <w:bottom w:val="single" w:color="auto" w:sz="4" w:space="0"/>
              <w:right w:val="single" w:color="auto" w:sz="4" w:space="0"/>
            </w:tcBorders>
            <w:vAlign w:val="center"/>
          </w:tcPr>
          <w:p w14:paraId="1489F06E">
            <w:pPr>
              <w:widowControl/>
              <w:snapToGrid w:val="0"/>
              <w:jc w:val="right"/>
              <w:rPr>
                <w:rFonts w:ascii="宋体" w:hAnsi="宋体"/>
                <w:color w:val="000000"/>
                <w:kern w:val="0"/>
                <w:sz w:val="25"/>
                <w:szCs w:val="24"/>
              </w:rPr>
            </w:pPr>
            <w:r>
              <w:rPr>
                <w:rFonts w:ascii="Times New Roman" w:hAnsi="Times New Roman"/>
                <w:color w:val="000000"/>
                <w:kern w:val="0"/>
                <w:sz w:val="25"/>
                <w:szCs w:val="24"/>
              </w:rPr>
              <w:t>0.80</w:t>
            </w:r>
          </w:p>
        </w:tc>
      </w:tr>
      <w:tr w14:paraId="6DF1A03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09F3851">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07404D8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118000</w:t>
            </w:r>
          </w:p>
        </w:tc>
        <w:tc>
          <w:tcPr>
            <w:tcW w:w="750" w:type="pct"/>
            <w:tcBorders>
              <w:top w:val="single" w:color="auto" w:sz="4" w:space="0"/>
              <w:left w:val="single" w:color="auto" w:sz="4" w:space="0"/>
              <w:bottom w:val="single" w:color="auto" w:sz="4" w:space="0"/>
              <w:right w:val="single" w:color="auto" w:sz="4" w:space="0"/>
            </w:tcBorders>
            <w:vAlign w:val="center"/>
          </w:tcPr>
          <w:p w14:paraId="48EBD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嘉元转债</w:t>
            </w:r>
          </w:p>
        </w:tc>
        <w:tc>
          <w:tcPr>
            <w:tcW w:w="750" w:type="pct"/>
            <w:tcBorders>
              <w:top w:val="single" w:color="auto" w:sz="4" w:space="0"/>
              <w:left w:val="single" w:color="auto" w:sz="4" w:space="0"/>
              <w:bottom w:val="single" w:color="auto" w:sz="4" w:space="0"/>
              <w:right w:val="single" w:color="auto" w:sz="4" w:space="0"/>
            </w:tcBorders>
            <w:vAlign w:val="center"/>
          </w:tcPr>
          <w:p w14:paraId="19B21887">
            <w:pPr>
              <w:widowControl/>
              <w:snapToGrid w:val="0"/>
              <w:jc w:val="right"/>
              <w:rPr>
                <w:rFonts w:ascii="宋体" w:hAnsi="宋体"/>
                <w:color w:val="000000"/>
                <w:kern w:val="0"/>
                <w:sz w:val="25"/>
                <w:szCs w:val="24"/>
              </w:rPr>
            </w:pPr>
            <w:r>
              <w:rPr>
                <w:rFonts w:ascii="Times New Roman" w:hAnsi="Times New Roman"/>
                <w:color w:val="000000"/>
                <w:kern w:val="0"/>
                <w:sz w:val="25"/>
                <w:szCs w:val="24"/>
              </w:rPr>
              <w:t>8,743,707.14</w:t>
            </w:r>
          </w:p>
        </w:tc>
        <w:tc>
          <w:tcPr>
            <w:tcW w:w="750" w:type="pct"/>
            <w:tcBorders>
              <w:top w:val="single" w:color="auto" w:sz="4" w:space="0"/>
              <w:left w:val="single" w:color="auto" w:sz="4" w:space="0"/>
              <w:bottom w:val="single" w:color="auto" w:sz="4" w:space="0"/>
              <w:right w:val="single" w:color="auto" w:sz="4" w:space="0"/>
            </w:tcBorders>
            <w:vAlign w:val="center"/>
          </w:tcPr>
          <w:p w14:paraId="6063C10B">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14:paraId="644DD77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9BE99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1D5D4C0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127084</w:t>
            </w:r>
          </w:p>
        </w:tc>
        <w:tc>
          <w:tcPr>
            <w:tcW w:w="750" w:type="pct"/>
            <w:tcBorders>
              <w:top w:val="single" w:color="auto" w:sz="4" w:space="0"/>
              <w:left w:val="single" w:color="auto" w:sz="4" w:space="0"/>
              <w:bottom w:val="single" w:color="auto" w:sz="4" w:space="0"/>
              <w:right w:val="single" w:color="auto" w:sz="4" w:space="0"/>
            </w:tcBorders>
            <w:vAlign w:val="center"/>
          </w:tcPr>
          <w:p w14:paraId="1F3B74C7">
            <w:pPr>
              <w:widowControl/>
              <w:snapToGrid w:val="0"/>
              <w:jc w:val="center"/>
              <w:rPr>
                <w:rFonts w:ascii="宋体" w:hAnsi="宋体"/>
                <w:color w:val="000000"/>
                <w:kern w:val="0"/>
                <w:sz w:val="25"/>
                <w:szCs w:val="24"/>
              </w:rPr>
            </w:pPr>
            <w:r>
              <w:rPr>
                <w:rFonts w:ascii="Times New Roman" w:hAnsi="Times New Roman"/>
                <w:color w:val="000000"/>
                <w:kern w:val="0"/>
                <w:sz w:val="25"/>
                <w:szCs w:val="24"/>
              </w:rPr>
              <w:t>柳工转2</w:t>
            </w:r>
          </w:p>
        </w:tc>
        <w:tc>
          <w:tcPr>
            <w:tcW w:w="750" w:type="pct"/>
            <w:tcBorders>
              <w:top w:val="single" w:color="auto" w:sz="4" w:space="0"/>
              <w:left w:val="single" w:color="auto" w:sz="4" w:space="0"/>
              <w:bottom w:val="single" w:color="auto" w:sz="4" w:space="0"/>
              <w:right w:val="single" w:color="auto" w:sz="4" w:space="0"/>
            </w:tcBorders>
            <w:vAlign w:val="center"/>
          </w:tcPr>
          <w:p w14:paraId="46FBB8E7">
            <w:pPr>
              <w:widowControl/>
              <w:snapToGrid w:val="0"/>
              <w:jc w:val="right"/>
              <w:rPr>
                <w:rFonts w:ascii="宋体" w:hAnsi="宋体"/>
                <w:color w:val="000000"/>
                <w:kern w:val="0"/>
                <w:sz w:val="25"/>
                <w:szCs w:val="24"/>
              </w:rPr>
            </w:pPr>
            <w:r>
              <w:rPr>
                <w:rFonts w:ascii="Times New Roman" w:hAnsi="Times New Roman"/>
                <w:color w:val="000000"/>
                <w:kern w:val="0"/>
                <w:sz w:val="25"/>
                <w:szCs w:val="24"/>
              </w:rPr>
              <w:t>8,676,697.82</w:t>
            </w:r>
          </w:p>
        </w:tc>
        <w:tc>
          <w:tcPr>
            <w:tcW w:w="750" w:type="pct"/>
            <w:tcBorders>
              <w:top w:val="single" w:color="auto" w:sz="4" w:space="0"/>
              <w:left w:val="single" w:color="auto" w:sz="4" w:space="0"/>
              <w:bottom w:val="single" w:color="auto" w:sz="4" w:space="0"/>
              <w:right w:val="single" w:color="auto" w:sz="4" w:space="0"/>
            </w:tcBorders>
            <w:vAlign w:val="center"/>
          </w:tcPr>
          <w:p w14:paraId="41F1621D">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14:paraId="035BF45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4FBD6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3221C1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123128</w:t>
            </w:r>
          </w:p>
        </w:tc>
        <w:tc>
          <w:tcPr>
            <w:tcW w:w="750" w:type="pct"/>
            <w:tcBorders>
              <w:top w:val="single" w:color="auto" w:sz="4" w:space="0"/>
              <w:left w:val="single" w:color="auto" w:sz="4" w:space="0"/>
              <w:bottom w:val="single" w:color="auto" w:sz="4" w:space="0"/>
              <w:right w:val="single" w:color="auto" w:sz="4" w:space="0"/>
            </w:tcBorders>
            <w:vAlign w:val="center"/>
          </w:tcPr>
          <w:p w14:paraId="6E9B977B">
            <w:pPr>
              <w:widowControl/>
              <w:snapToGrid w:val="0"/>
              <w:jc w:val="center"/>
              <w:rPr>
                <w:rFonts w:ascii="宋体" w:hAnsi="宋体"/>
                <w:color w:val="000000"/>
                <w:kern w:val="0"/>
                <w:sz w:val="25"/>
                <w:szCs w:val="24"/>
              </w:rPr>
            </w:pPr>
            <w:r>
              <w:rPr>
                <w:rFonts w:ascii="Times New Roman" w:hAnsi="Times New Roman"/>
                <w:color w:val="000000"/>
                <w:kern w:val="0"/>
                <w:sz w:val="25"/>
                <w:szCs w:val="24"/>
              </w:rPr>
              <w:t>首华转债</w:t>
            </w:r>
          </w:p>
        </w:tc>
        <w:tc>
          <w:tcPr>
            <w:tcW w:w="750" w:type="pct"/>
            <w:tcBorders>
              <w:top w:val="single" w:color="auto" w:sz="4" w:space="0"/>
              <w:left w:val="single" w:color="auto" w:sz="4" w:space="0"/>
              <w:bottom w:val="single" w:color="auto" w:sz="4" w:space="0"/>
              <w:right w:val="single" w:color="auto" w:sz="4" w:space="0"/>
            </w:tcBorders>
            <w:vAlign w:val="center"/>
          </w:tcPr>
          <w:p w14:paraId="620F4BAF">
            <w:pPr>
              <w:widowControl/>
              <w:snapToGrid w:val="0"/>
              <w:jc w:val="right"/>
              <w:rPr>
                <w:rFonts w:ascii="宋体" w:hAnsi="宋体"/>
                <w:color w:val="000000"/>
                <w:kern w:val="0"/>
                <w:sz w:val="25"/>
                <w:szCs w:val="24"/>
              </w:rPr>
            </w:pPr>
            <w:r>
              <w:rPr>
                <w:rFonts w:ascii="Times New Roman" w:hAnsi="Times New Roman"/>
                <w:color w:val="000000"/>
                <w:kern w:val="0"/>
                <w:sz w:val="25"/>
                <w:szCs w:val="24"/>
              </w:rPr>
              <w:t>8,424,869.45</w:t>
            </w:r>
          </w:p>
        </w:tc>
        <w:tc>
          <w:tcPr>
            <w:tcW w:w="750" w:type="pct"/>
            <w:tcBorders>
              <w:top w:val="single" w:color="auto" w:sz="4" w:space="0"/>
              <w:left w:val="single" w:color="auto" w:sz="4" w:space="0"/>
              <w:bottom w:val="single" w:color="auto" w:sz="4" w:space="0"/>
              <w:right w:val="single" w:color="auto" w:sz="4" w:space="0"/>
            </w:tcBorders>
            <w:vAlign w:val="center"/>
          </w:tcPr>
          <w:p w14:paraId="7FD7581B">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14:paraId="465B8C5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B9F3F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6DD036D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127020</w:t>
            </w:r>
          </w:p>
        </w:tc>
        <w:tc>
          <w:tcPr>
            <w:tcW w:w="750" w:type="pct"/>
            <w:tcBorders>
              <w:top w:val="single" w:color="auto" w:sz="4" w:space="0"/>
              <w:left w:val="single" w:color="auto" w:sz="4" w:space="0"/>
              <w:bottom w:val="single" w:color="auto" w:sz="4" w:space="0"/>
              <w:right w:val="single" w:color="auto" w:sz="4" w:space="0"/>
            </w:tcBorders>
            <w:vAlign w:val="center"/>
          </w:tcPr>
          <w:p w14:paraId="67D4013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中金转债</w:t>
            </w:r>
          </w:p>
        </w:tc>
        <w:tc>
          <w:tcPr>
            <w:tcW w:w="750" w:type="pct"/>
            <w:tcBorders>
              <w:top w:val="single" w:color="auto" w:sz="4" w:space="0"/>
              <w:left w:val="single" w:color="auto" w:sz="4" w:space="0"/>
              <w:bottom w:val="single" w:color="auto" w:sz="4" w:space="0"/>
              <w:right w:val="single" w:color="auto" w:sz="4" w:space="0"/>
            </w:tcBorders>
            <w:vAlign w:val="center"/>
          </w:tcPr>
          <w:p w14:paraId="4B3F5640">
            <w:pPr>
              <w:widowControl/>
              <w:snapToGrid w:val="0"/>
              <w:jc w:val="right"/>
              <w:rPr>
                <w:rFonts w:ascii="宋体" w:hAnsi="宋体"/>
                <w:color w:val="000000"/>
                <w:kern w:val="0"/>
                <w:sz w:val="25"/>
                <w:szCs w:val="24"/>
              </w:rPr>
            </w:pPr>
            <w:r>
              <w:rPr>
                <w:rFonts w:ascii="Times New Roman" w:hAnsi="Times New Roman"/>
                <w:color w:val="000000"/>
                <w:kern w:val="0"/>
                <w:sz w:val="25"/>
                <w:szCs w:val="24"/>
              </w:rPr>
              <w:t>8,389,678.79</w:t>
            </w:r>
          </w:p>
        </w:tc>
        <w:tc>
          <w:tcPr>
            <w:tcW w:w="750" w:type="pct"/>
            <w:tcBorders>
              <w:top w:val="single" w:color="auto" w:sz="4" w:space="0"/>
              <w:left w:val="single" w:color="auto" w:sz="4" w:space="0"/>
              <w:bottom w:val="single" w:color="auto" w:sz="4" w:space="0"/>
              <w:right w:val="single" w:color="auto" w:sz="4" w:space="0"/>
            </w:tcBorders>
            <w:vAlign w:val="center"/>
          </w:tcPr>
          <w:p w14:paraId="57DCA2BA">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14:paraId="027B0EE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24C0F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3A0BED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118023</w:t>
            </w:r>
          </w:p>
        </w:tc>
        <w:tc>
          <w:tcPr>
            <w:tcW w:w="750" w:type="pct"/>
            <w:tcBorders>
              <w:top w:val="single" w:color="auto" w:sz="4" w:space="0"/>
              <w:left w:val="single" w:color="auto" w:sz="4" w:space="0"/>
              <w:bottom w:val="single" w:color="auto" w:sz="4" w:space="0"/>
              <w:right w:val="single" w:color="auto" w:sz="4" w:space="0"/>
            </w:tcBorders>
            <w:vAlign w:val="center"/>
          </w:tcPr>
          <w:p w14:paraId="76A6B196">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广大转债</w:t>
            </w:r>
          </w:p>
        </w:tc>
        <w:tc>
          <w:tcPr>
            <w:tcW w:w="750" w:type="pct"/>
            <w:tcBorders>
              <w:top w:val="single" w:color="auto" w:sz="4" w:space="0"/>
              <w:left w:val="single" w:color="auto" w:sz="4" w:space="0"/>
              <w:bottom w:val="single" w:color="auto" w:sz="4" w:space="0"/>
              <w:right w:val="single" w:color="auto" w:sz="4" w:space="0"/>
            </w:tcBorders>
            <w:vAlign w:val="center"/>
          </w:tcPr>
          <w:p w14:paraId="73F7D1BB">
            <w:pPr>
              <w:widowControl/>
              <w:snapToGrid w:val="0"/>
              <w:jc w:val="right"/>
              <w:rPr>
                <w:rFonts w:ascii="宋体" w:hAnsi="宋体"/>
                <w:color w:val="000000"/>
                <w:kern w:val="0"/>
                <w:sz w:val="25"/>
                <w:szCs w:val="24"/>
              </w:rPr>
            </w:pPr>
            <w:r>
              <w:rPr>
                <w:rFonts w:ascii="Times New Roman" w:hAnsi="Times New Roman"/>
                <w:color w:val="000000"/>
                <w:kern w:val="0"/>
                <w:sz w:val="25"/>
                <w:szCs w:val="24"/>
              </w:rPr>
              <w:t>7,696,748.71</w:t>
            </w:r>
          </w:p>
        </w:tc>
        <w:tc>
          <w:tcPr>
            <w:tcW w:w="750" w:type="pct"/>
            <w:tcBorders>
              <w:top w:val="single" w:color="auto" w:sz="4" w:space="0"/>
              <w:left w:val="single" w:color="auto" w:sz="4" w:space="0"/>
              <w:bottom w:val="single" w:color="auto" w:sz="4" w:space="0"/>
              <w:right w:val="single" w:color="auto" w:sz="4" w:space="0"/>
            </w:tcBorders>
            <w:vAlign w:val="center"/>
          </w:tcPr>
          <w:p w14:paraId="0535F816">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14:paraId="63886F9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F8770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67FA6A8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color="auto" w:sz="4" w:space="0"/>
              <w:left w:val="single" w:color="auto" w:sz="4" w:space="0"/>
              <w:bottom w:val="single" w:color="auto" w:sz="4" w:space="0"/>
              <w:right w:val="single" w:color="auto" w:sz="4" w:space="0"/>
            </w:tcBorders>
            <w:vAlign w:val="center"/>
          </w:tcPr>
          <w:p w14:paraId="0CD6D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color="auto" w:sz="4" w:space="0"/>
              <w:left w:val="single" w:color="auto" w:sz="4" w:space="0"/>
              <w:bottom w:val="single" w:color="auto" w:sz="4" w:space="0"/>
              <w:right w:val="single" w:color="auto" w:sz="4" w:space="0"/>
            </w:tcBorders>
            <w:vAlign w:val="center"/>
          </w:tcPr>
          <w:p w14:paraId="28164FE6">
            <w:pPr>
              <w:widowControl/>
              <w:snapToGrid w:val="0"/>
              <w:jc w:val="right"/>
              <w:rPr>
                <w:rFonts w:ascii="宋体" w:hAnsi="宋体"/>
                <w:color w:val="000000"/>
                <w:kern w:val="0"/>
                <w:sz w:val="25"/>
                <w:szCs w:val="24"/>
              </w:rPr>
            </w:pPr>
            <w:r>
              <w:rPr>
                <w:rFonts w:ascii="Times New Roman" w:hAnsi="Times New Roman"/>
                <w:color w:val="000000"/>
                <w:kern w:val="0"/>
                <w:sz w:val="25"/>
                <w:szCs w:val="24"/>
              </w:rPr>
              <w:t>7,301,856.06</w:t>
            </w:r>
          </w:p>
        </w:tc>
        <w:tc>
          <w:tcPr>
            <w:tcW w:w="750" w:type="pct"/>
            <w:tcBorders>
              <w:top w:val="single" w:color="auto" w:sz="4" w:space="0"/>
              <w:left w:val="single" w:color="auto" w:sz="4" w:space="0"/>
              <w:bottom w:val="single" w:color="auto" w:sz="4" w:space="0"/>
              <w:right w:val="single" w:color="auto" w:sz="4" w:space="0"/>
            </w:tcBorders>
            <w:vAlign w:val="center"/>
          </w:tcPr>
          <w:p w14:paraId="7B040032">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14:paraId="36F0DF1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2E677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03436DF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color="auto" w:sz="4" w:space="0"/>
              <w:left w:val="single" w:color="auto" w:sz="4" w:space="0"/>
              <w:bottom w:val="single" w:color="auto" w:sz="4" w:space="0"/>
              <w:right w:val="single" w:color="auto" w:sz="4" w:space="0"/>
            </w:tcBorders>
            <w:vAlign w:val="center"/>
          </w:tcPr>
          <w:p w14:paraId="4CDE3F46">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color="auto" w:sz="4" w:space="0"/>
              <w:left w:val="single" w:color="auto" w:sz="4" w:space="0"/>
              <w:bottom w:val="single" w:color="auto" w:sz="4" w:space="0"/>
              <w:right w:val="single" w:color="auto" w:sz="4" w:space="0"/>
            </w:tcBorders>
            <w:vAlign w:val="center"/>
          </w:tcPr>
          <w:p w14:paraId="052E3029">
            <w:pPr>
              <w:widowControl/>
              <w:snapToGrid w:val="0"/>
              <w:jc w:val="right"/>
              <w:rPr>
                <w:rFonts w:ascii="宋体" w:hAnsi="宋体"/>
                <w:color w:val="000000"/>
                <w:kern w:val="0"/>
                <w:sz w:val="25"/>
                <w:szCs w:val="24"/>
              </w:rPr>
            </w:pPr>
            <w:r>
              <w:rPr>
                <w:rFonts w:ascii="Times New Roman" w:hAnsi="Times New Roman"/>
                <w:color w:val="000000"/>
                <w:kern w:val="0"/>
                <w:sz w:val="25"/>
                <w:szCs w:val="24"/>
              </w:rPr>
              <w:t>7,269,838.41</w:t>
            </w:r>
          </w:p>
        </w:tc>
        <w:tc>
          <w:tcPr>
            <w:tcW w:w="750" w:type="pct"/>
            <w:tcBorders>
              <w:top w:val="single" w:color="auto" w:sz="4" w:space="0"/>
              <w:left w:val="single" w:color="auto" w:sz="4" w:space="0"/>
              <w:bottom w:val="single" w:color="auto" w:sz="4" w:space="0"/>
              <w:right w:val="single" w:color="auto" w:sz="4" w:space="0"/>
            </w:tcBorders>
            <w:vAlign w:val="center"/>
          </w:tcPr>
          <w:p w14:paraId="57FA4333">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14:paraId="7913DDF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ABF80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4D563F77">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color="auto" w:sz="4" w:space="0"/>
              <w:left w:val="single" w:color="auto" w:sz="4" w:space="0"/>
              <w:bottom w:val="single" w:color="auto" w:sz="4" w:space="0"/>
              <w:right w:val="single" w:color="auto" w:sz="4" w:space="0"/>
            </w:tcBorders>
            <w:vAlign w:val="center"/>
          </w:tcPr>
          <w:p w14:paraId="00CD90CD">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color="auto" w:sz="4" w:space="0"/>
              <w:left w:val="single" w:color="auto" w:sz="4" w:space="0"/>
              <w:bottom w:val="single" w:color="auto" w:sz="4" w:space="0"/>
              <w:right w:val="single" w:color="auto" w:sz="4" w:space="0"/>
            </w:tcBorders>
            <w:vAlign w:val="center"/>
          </w:tcPr>
          <w:p w14:paraId="6938B068">
            <w:pPr>
              <w:widowControl/>
              <w:snapToGrid w:val="0"/>
              <w:jc w:val="right"/>
              <w:rPr>
                <w:rFonts w:ascii="宋体" w:hAnsi="宋体"/>
                <w:color w:val="000000"/>
                <w:kern w:val="0"/>
                <w:sz w:val="25"/>
                <w:szCs w:val="24"/>
              </w:rPr>
            </w:pPr>
            <w:r>
              <w:rPr>
                <w:rFonts w:ascii="Times New Roman" w:hAnsi="Times New Roman"/>
                <w:color w:val="000000"/>
                <w:kern w:val="0"/>
                <w:sz w:val="25"/>
                <w:szCs w:val="24"/>
              </w:rPr>
              <w:t>7,016,655.19</w:t>
            </w:r>
          </w:p>
        </w:tc>
        <w:tc>
          <w:tcPr>
            <w:tcW w:w="750" w:type="pct"/>
            <w:tcBorders>
              <w:top w:val="single" w:color="auto" w:sz="4" w:space="0"/>
              <w:left w:val="single" w:color="auto" w:sz="4" w:space="0"/>
              <w:bottom w:val="single" w:color="auto" w:sz="4" w:space="0"/>
              <w:right w:val="single" w:color="auto" w:sz="4" w:space="0"/>
            </w:tcBorders>
            <w:vAlign w:val="center"/>
          </w:tcPr>
          <w:p w14:paraId="3ED47EDE">
            <w:pPr>
              <w:widowControl/>
              <w:snapToGrid w:val="0"/>
              <w:jc w:val="right"/>
              <w:rPr>
                <w:rFonts w:ascii="宋体" w:hAnsi="宋体"/>
                <w:color w:val="000000"/>
                <w:kern w:val="0"/>
                <w:sz w:val="25"/>
                <w:szCs w:val="24"/>
              </w:rPr>
            </w:pPr>
            <w:r>
              <w:rPr>
                <w:rFonts w:ascii="Times New Roman" w:hAnsi="Times New Roman"/>
                <w:color w:val="000000"/>
                <w:kern w:val="0"/>
                <w:sz w:val="25"/>
                <w:szCs w:val="24"/>
              </w:rPr>
              <w:t>0.56</w:t>
            </w:r>
          </w:p>
        </w:tc>
      </w:tr>
      <w:tr w14:paraId="2BEE72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A374C5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06783F9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113623</w:t>
            </w:r>
          </w:p>
        </w:tc>
        <w:tc>
          <w:tcPr>
            <w:tcW w:w="750" w:type="pct"/>
            <w:tcBorders>
              <w:top w:val="single" w:color="auto" w:sz="4" w:space="0"/>
              <w:left w:val="single" w:color="auto" w:sz="4" w:space="0"/>
              <w:bottom w:val="single" w:color="auto" w:sz="4" w:space="0"/>
              <w:right w:val="single" w:color="auto" w:sz="4" w:space="0"/>
            </w:tcBorders>
            <w:vAlign w:val="center"/>
          </w:tcPr>
          <w:p w14:paraId="4E2CF84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凤21转债</w:t>
            </w:r>
          </w:p>
        </w:tc>
        <w:tc>
          <w:tcPr>
            <w:tcW w:w="750" w:type="pct"/>
            <w:tcBorders>
              <w:top w:val="single" w:color="auto" w:sz="4" w:space="0"/>
              <w:left w:val="single" w:color="auto" w:sz="4" w:space="0"/>
              <w:bottom w:val="single" w:color="auto" w:sz="4" w:space="0"/>
              <w:right w:val="single" w:color="auto" w:sz="4" w:space="0"/>
            </w:tcBorders>
            <w:vAlign w:val="center"/>
          </w:tcPr>
          <w:p w14:paraId="2E3D5C8A">
            <w:pPr>
              <w:widowControl/>
              <w:snapToGrid w:val="0"/>
              <w:jc w:val="right"/>
              <w:rPr>
                <w:rFonts w:ascii="宋体" w:hAnsi="宋体"/>
                <w:color w:val="000000"/>
                <w:kern w:val="0"/>
                <w:sz w:val="25"/>
                <w:szCs w:val="24"/>
              </w:rPr>
            </w:pPr>
            <w:r>
              <w:rPr>
                <w:rFonts w:ascii="Times New Roman" w:hAnsi="Times New Roman"/>
                <w:color w:val="000000"/>
                <w:kern w:val="0"/>
                <w:sz w:val="25"/>
                <w:szCs w:val="24"/>
              </w:rPr>
              <w:t>6,953,819.18</w:t>
            </w:r>
          </w:p>
        </w:tc>
        <w:tc>
          <w:tcPr>
            <w:tcW w:w="750" w:type="pct"/>
            <w:tcBorders>
              <w:top w:val="single" w:color="auto" w:sz="4" w:space="0"/>
              <w:left w:val="single" w:color="auto" w:sz="4" w:space="0"/>
              <w:bottom w:val="single" w:color="auto" w:sz="4" w:space="0"/>
              <w:right w:val="single" w:color="auto" w:sz="4" w:space="0"/>
            </w:tcBorders>
            <w:vAlign w:val="center"/>
          </w:tcPr>
          <w:p w14:paraId="0313DC13">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14:paraId="0AB6D3B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A6FD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224EADC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14:paraId="3F6DC592">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14:paraId="71414BCD">
            <w:pPr>
              <w:widowControl/>
              <w:snapToGrid w:val="0"/>
              <w:jc w:val="right"/>
              <w:rPr>
                <w:rFonts w:ascii="宋体" w:hAnsi="宋体"/>
                <w:color w:val="000000"/>
                <w:kern w:val="0"/>
                <w:sz w:val="25"/>
                <w:szCs w:val="24"/>
              </w:rPr>
            </w:pPr>
            <w:r>
              <w:rPr>
                <w:rFonts w:ascii="Times New Roman" w:hAnsi="Times New Roman"/>
                <w:color w:val="000000"/>
                <w:kern w:val="0"/>
                <w:sz w:val="25"/>
                <w:szCs w:val="24"/>
              </w:rPr>
              <w:t>6,898,525.08</w:t>
            </w:r>
          </w:p>
        </w:tc>
        <w:tc>
          <w:tcPr>
            <w:tcW w:w="750" w:type="pct"/>
            <w:tcBorders>
              <w:top w:val="single" w:color="auto" w:sz="4" w:space="0"/>
              <w:left w:val="single" w:color="auto" w:sz="4" w:space="0"/>
              <w:bottom w:val="single" w:color="auto" w:sz="4" w:space="0"/>
              <w:right w:val="single" w:color="auto" w:sz="4" w:space="0"/>
            </w:tcBorders>
            <w:vAlign w:val="center"/>
          </w:tcPr>
          <w:p w14:paraId="7105E889">
            <w:pPr>
              <w:widowControl/>
              <w:snapToGrid w:val="0"/>
              <w:jc w:val="right"/>
              <w:rPr>
                <w:rFonts w:ascii="宋体" w:hAnsi="宋体"/>
                <w:color w:val="000000"/>
                <w:kern w:val="0"/>
                <w:sz w:val="25"/>
                <w:szCs w:val="24"/>
              </w:rPr>
            </w:pPr>
            <w:r>
              <w:rPr>
                <w:rFonts w:ascii="Times New Roman" w:hAnsi="Times New Roman"/>
                <w:color w:val="000000"/>
                <w:kern w:val="0"/>
                <w:sz w:val="25"/>
                <w:szCs w:val="24"/>
              </w:rPr>
              <w:t>0.55</w:t>
            </w:r>
          </w:p>
        </w:tc>
      </w:tr>
      <w:tr w14:paraId="0B78723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E50EBD">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48733AC8">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color="auto" w:sz="4" w:space="0"/>
              <w:left w:val="single" w:color="auto" w:sz="4" w:space="0"/>
              <w:bottom w:val="single" w:color="auto" w:sz="4" w:space="0"/>
              <w:right w:val="single" w:color="auto" w:sz="4" w:space="0"/>
            </w:tcBorders>
            <w:vAlign w:val="center"/>
          </w:tcPr>
          <w:p w14:paraId="07A2E77F">
            <w:pPr>
              <w:widowControl/>
              <w:snapToGrid w:val="0"/>
              <w:jc w:val="center"/>
              <w:rPr>
                <w:rFonts w:ascii="宋体" w:hAnsi="宋体"/>
                <w:color w:val="000000"/>
                <w:kern w:val="0"/>
                <w:sz w:val="25"/>
                <w:szCs w:val="24"/>
              </w:rPr>
            </w:pPr>
            <w:r>
              <w:rPr>
                <w:rFonts w:ascii="Times New Roman" w:hAnsi="Times New Roman"/>
                <w:color w:val="000000"/>
                <w:kern w:val="0"/>
                <w:sz w:val="25"/>
                <w:szCs w:val="24"/>
              </w:rPr>
              <w:t>G三峡EB2</w:t>
            </w:r>
          </w:p>
        </w:tc>
        <w:tc>
          <w:tcPr>
            <w:tcW w:w="750" w:type="pct"/>
            <w:tcBorders>
              <w:top w:val="single" w:color="auto" w:sz="4" w:space="0"/>
              <w:left w:val="single" w:color="auto" w:sz="4" w:space="0"/>
              <w:bottom w:val="single" w:color="auto" w:sz="4" w:space="0"/>
              <w:right w:val="single" w:color="auto" w:sz="4" w:space="0"/>
            </w:tcBorders>
            <w:vAlign w:val="center"/>
          </w:tcPr>
          <w:p w14:paraId="0F97A8A4">
            <w:pPr>
              <w:widowControl/>
              <w:snapToGrid w:val="0"/>
              <w:jc w:val="right"/>
              <w:rPr>
                <w:rFonts w:ascii="宋体" w:hAnsi="宋体"/>
                <w:color w:val="000000"/>
                <w:kern w:val="0"/>
                <w:sz w:val="25"/>
                <w:szCs w:val="24"/>
              </w:rPr>
            </w:pPr>
            <w:r>
              <w:rPr>
                <w:rFonts w:ascii="Times New Roman" w:hAnsi="Times New Roman"/>
                <w:color w:val="000000"/>
                <w:kern w:val="0"/>
                <w:sz w:val="25"/>
                <w:szCs w:val="24"/>
              </w:rPr>
              <w:t>6,798,831.51</w:t>
            </w:r>
          </w:p>
        </w:tc>
        <w:tc>
          <w:tcPr>
            <w:tcW w:w="750" w:type="pct"/>
            <w:tcBorders>
              <w:top w:val="single" w:color="auto" w:sz="4" w:space="0"/>
              <w:left w:val="single" w:color="auto" w:sz="4" w:space="0"/>
              <w:bottom w:val="single" w:color="auto" w:sz="4" w:space="0"/>
              <w:right w:val="single" w:color="auto" w:sz="4" w:space="0"/>
            </w:tcBorders>
            <w:vAlign w:val="center"/>
          </w:tcPr>
          <w:p w14:paraId="482D4337">
            <w:pPr>
              <w:widowControl/>
              <w:snapToGrid w:val="0"/>
              <w:jc w:val="right"/>
              <w:rPr>
                <w:rFonts w:ascii="宋体" w:hAnsi="宋体"/>
                <w:color w:val="000000"/>
                <w:kern w:val="0"/>
                <w:sz w:val="25"/>
                <w:szCs w:val="24"/>
              </w:rPr>
            </w:pPr>
            <w:r>
              <w:rPr>
                <w:rFonts w:ascii="Times New Roman" w:hAnsi="Times New Roman"/>
                <w:color w:val="000000"/>
                <w:kern w:val="0"/>
                <w:sz w:val="25"/>
                <w:szCs w:val="24"/>
              </w:rPr>
              <w:t>0.54</w:t>
            </w:r>
          </w:p>
        </w:tc>
      </w:tr>
      <w:tr w14:paraId="20A6AB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C19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6C4336D6">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14:paraId="699B8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14:paraId="0FC321D3">
            <w:pPr>
              <w:widowControl/>
              <w:snapToGrid w:val="0"/>
              <w:jc w:val="right"/>
              <w:rPr>
                <w:rFonts w:ascii="宋体" w:hAnsi="宋体"/>
                <w:color w:val="000000"/>
                <w:kern w:val="0"/>
                <w:sz w:val="25"/>
                <w:szCs w:val="24"/>
              </w:rPr>
            </w:pPr>
            <w:r>
              <w:rPr>
                <w:rFonts w:ascii="Times New Roman" w:hAnsi="Times New Roman"/>
                <w:color w:val="000000"/>
                <w:kern w:val="0"/>
                <w:sz w:val="25"/>
                <w:szCs w:val="24"/>
              </w:rPr>
              <w:t>6,445,281.72</w:t>
            </w:r>
          </w:p>
        </w:tc>
        <w:tc>
          <w:tcPr>
            <w:tcW w:w="750" w:type="pct"/>
            <w:tcBorders>
              <w:top w:val="single" w:color="auto" w:sz="4" w:space="0"/>
              <w:left w:val="single" w:color="auto" w:sz="4" w:space="0"/>
              <w:bottom w:val="single" w:color="auto" w:sz="4" w:space="0"/>
              <w:right w:val="single" w:color="auto" w:sz="4" w:space="0"/>
            </w:tcBorders>
            <w:vAlign w:val="center"/>
          </w:tcPr>
          <w:p w14:paraId="4BF56814">
            <w:pPr>
              <w:widowControl/>
              <w:snapToGrid w:val="0"/>
              <w:jc w:val="right"/>
              <w:rPr>
                <w:rFonts w:ascii="宋体" w:hAnsi="宋体"/>
                <w:color w:val="000000"/>
                <w:kern w:val="0"/>
                <w:sz w:val="25"/>
                <w:szCs w:val="24"/>
              </w:rPr>
            </w:pPr>
            <w:r>
              <w:rPr>
                <w:rFonts w:ascii="Times New Roman" w:hAnsi="Times New Roman"/>
                <w:color w:val="000000"/>
                <w:kern w:val="0"/>
                <w:sz w:val="25"/>
                <w:szCs w:val="24"/>
              </w:rPr>
              <w:t>0.51</w:t>
            </w:r>
          </w:p>
        </w:tc>
      </w:tr>
      <w:tr w14:paraId="455EE08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511C86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0640E2C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110063</w:t>
            </w:r>
          </w:p>
        </w:tc>
        <w:tc>
          <w:tcPr>
            <w:tcW w:w="750" w:type="pct"/>
            <w:tcBorders>
              <w:top w:val="single" w:color="auto" w:sz="4" w:space="0"/>
              <w:left w:val="single" w:color="auto" w:sz="4" w:space="0"/>
              <w:bottom w:val="single" w:color="auto" w:sz="4" w:space="0"/>
              <w:right w:val="single" w:color="auto" w:sz="4" w:space="0"/>
            </w:tcBorders>
            <w:vAlign w:val="center"/>
          </w:tcPr>
          <w:p w14:paraId="02485585">
            <w:pPr>
              <w:widowControl/>
              <w:snapToGrid w:val="0"/>
              <w:jc w:val="center"/>
              <w:rPr>
                <w:rFonts w:ascii="宋体" w:hAnsi="宋体"/>
                <w:color w:val="000000"/>
                <w:kern w:val="0"/>
                <w:sz w:val="25"/>
                <w:szCs w:val="24"/>
              </w:rPr>
            </w:pPr>
            <w:r>
              <w:rPr>
                <w:rFonts w:ascii="Times New Roman" w:hAnsi="Times New Roman"/>
                <w:color w:val="000000"/>
                <w:kern w:val="0"/>
                <w:sz w:val="25"/>
                <w:szCs w:val="24"/>
              </w:rPr>
              <w:t>鹰19转债</w:t>
            </w:r>
          </w:p>
        </w:tc>
        <w:tc>
          <w:tcPr>
            <w:tcW w:w="750" w:type="pct"/>
            <w:tcBorders>
              <w:top w:val="single" w:color="auto" w:sz="4" w:space="0"/>
              <w:left w:val="single" w:color="auto" w:sz="4" w:space="0"/>
              <w:bottom w:val="single" w:color="auto" w:sz="4" w:space="0"/>
              <w:right w:val="single" w:color="auto" w:sz="4" w:space="0"/>
            </w:tcBorders>
            <w:vAlign w:val="center"/>
          </w:tcPr>
          <w:p w14:paraId="2C057A67">
            <w:pPr>
              <w:widowControl/>
              <w:snapToGrid w:val="0"/>
              <w:jc w:val="right"/>
              <w:rPr>
                <w:rFonts w:ascii="宋体" w:hAnsi="宋体"/>
                <w:color w:val="000000"/>
                <w:kern w:val="0"/>
                <w:sz w:val="25"/>
                <w:szCs w:val="24"/>
              </w:rPr>
            </w:pPr>
            <w:r>
              <w:rPr>
                <w:rFonts w:ascii="Times New Roman" w:hAnsi="Times New Roman"/>
                <w:color w:val="000000"/>
                <w:kern w:val="0"/>
                <w:sz w:val="25"/>
                <w:szCs w:val="24"/>
              </w:rPr>
              <w:t>5,964,789.30</w:t>
            </w:r>
          </w:p>
        </w:tc>
        <w:tc>
          <w:tcPr>
            <w:tcW w:w="750" w:type="pct"/>
            <w:tcBorders>
              <w:top w:val="single" w:color="auto" w:sz="4" w:space="0"/>
              <w:left w:val="single" w:color="auto" w:sz="4" w:space="0"/>
              <w:bottom w:val="single" w:color="auto" w:sz="4" w:space="0"/>
              <w:right w:val="single" w:color="auto" w:sz="4" w:space="0"/>
            </w:tcBorders>
            <w:vAlign w:val="center"/>
          </w:tcPr>
          <w:p w14:paraId="693585E7">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14:paraId="42AE342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D7C326">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676686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color="auto" w:sz="4" w:space="0"/>
              <w:left w:val="single" w:color="auto" w:sz="4" w:space="0"/>
              <w:bottom w:val="single" w:color="auto" w:sz="4" w:space="0"/>
              <w:right w:val="single" w:color="auto" w:sz="4" w:space="0"/>
            </w:tcBorders>
            <w:vAlign w:val="center"/>
          </w:tcPr>
          <w:p w14:paraId="634407A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color="auto" w:sz="4" w:space="0"/>
              <w:left w:val="single" w:color="auto" w:sz="4" w:space="0"/>
              <w:bottom w:val="single" w:color="auto" w:sz="4" w:space="0"/>
              <w:right w:val="single" w:color="auto" w:sz="4" w:space="0"/>
            </w:tcBorders>
            <w:vAlign w:val="center"/>
          </w:tcPr>
          <w:p w14:paraId="43E6F30D">
            <w:pPr>
              <w:widowControl/>
              <w:snapToGrid w:val="0"/>
              <w:jc w:val="right"/>
              <w:rPr>
                <w:rFonts w:ascii="宋体" w:hAnsi="宋体"/>
                <w:color w:val="000000"/>
                <w:kern w:val="0"/>
                <w:sz w:val="25"/>
                <w:szCs w:val="24"/>
              </w:rPr>
            </w:pPr>
            <w:r>
              <w:rPr>
                <w:rFonts w:ascii="Times New Roman" w:hAnsi="Times New Roman"/>
                <w:color w:val="000000"/>
                <w:kern w:val="0"/>
                <w:sz w:val="25"/>
                <w:szCs w:val="24"/>
              </w:rPr>
              <w:t>5,816,480.42</w:t>
            </w:r>
          </w:p>
        </w:tc>
        <w:tc>
          <w:tcPr>
            <w:tcW w:w="750" w:type="pct"/>
            <w:tcBorders>
              <w:top w:val="single" w:color="auto" w:sz="4" w:space="0"/>
              <w:left w:val="single" w:color="auto" w:sz="4" w:space="0"/>
              <w:bottom w:val="single" w:color="auto" w:sz="4" w:space="0"/>
              <w:right w:val="single" w:color="auto" w:sz="4" w:space="0"/>
            </w:tcBorders>
            <w:vAlign w:val="center"/>
          </w:tcPr>
          <w:p w14:paraId="0E0721F4">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14:paraId="4196535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13A3F2">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7C85445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color="auto" w:sz="4" w:space="0"/>
              <w:left w:val="single" w:color="auto" w:sz="4" w:space="0"/>
              <w:bottom w:val="single" w:color="auto" w:sz="4" w:space="0"/>
              <w:right w:val="single" w:color="auto" w:sz="4" w:space="0"/>
            </w:tcBorders>
            <w:vAlign w:val="center"/>
          </w:tcPr>
          <w:p w14:paraId="1F9BBE1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天23转债</w:t>
            </w:r>
          </w:p>
        </w:tc>
        <w:tc>
          <w:tcPr>
            <w:tcW w:w="750" w:type="pct"/>
            <w:tcBorders>
              <w:top w:val="single" w:color="auto" w:sz="4" w:space="0"/>
              <w:left w:val="single" w:color="auto" w:sz="4" w:space="0"/>
              <w:bottom w:val="single" w:color="auto" w:sz="4" w:space="0"/>
              <w:right w:val="single" w:color="auto" w:sz="4" w:space="0"/>
            </w:tcBorders>
            <w:vAlign w:val="center"/>
          </w:tcPr>
          <w:p w14:paraId="34D8FF6E">
            <w:pPr>
              <w:widowControl/>
              <w:snapToGrid w:val="0"/>
              <w:jc w:val="right"/>
              <w:rPr>
                <w:rFonts w:ascii="宋体" w:hAnsi="宋体"/>
                <w:color w:val="000000"/>
                <w:kern w:val="0"/>
                <w:sz w:val="25"/>
                <w:szCs w:val="24"/>
              </w:rPr>
            </w:pPr>
            <w:r>
              <w:rPr>
                <w:rFonts w:ascii="Times New Roman" w:hAnsi="Times New Roman"/>
                <w:color w:val="000000"/>
                <w:kern w:val="0"/>
                <w:sz w:val="25"/>
                <w:szCs w:val="24"/>
              </w:rPr>
              <w:t>5,708,610.76</w:t>
            </w:r>
          </w:p>
        </w:tc>
        <w:tc>
          <w:tcPr>
            <w:tcW w:w="750" w:type="pct"/>
            <w:tcBorders>
              <w:top w:val="single" w:color="auto" w:sz="4" w:space="0"/>
              <w:left w:val="single" w:color="auto" w:sz="4" w:space="0"/>
              <w:bottom w:val="single" w:color="auto" w:sz="4" w:space="0"/>
              <w:right w:val="single" w:color="auto" w:sz="4" w:space="0"/>
            </w:tcBorders>
            <w:vAlign w:val="center"/>
          </w:tcPr>
          <w:p w14:paraId="03CBEED7">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14:paraId="57CE027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083B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39DA94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14:paraId="118504FD">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14:paraId="371D143C">
            <w:pPr>
              <w:widowControl/>
              <w:snapToGrid w:val="0"/>
              <w:jc w:val="right"/>
              <w:rPr>
                <w:rFonts w:ascii="宋体" w:hAnsi="宋体"/>
                <w:color w:val="000000"/>
                <w:kern w:val="0"/>
                <w:sz w:val="25"/>
                <w:szCs w:val="24"/>
              </w:rPr>
            </w:pPr>
            <w:r>
              <w:rPr>
                <w:rFonts w:ascii="Times New Roman" w:hAnsi="Times New Roman"/>
                <w:color w:val="000000"/>
                <w:kern w:val="0"/>
                <w:sz w:val="25"/>
                <w:szCs w:val="24"/>
              </w:rPr>
              <w:t>5,580,917.81</w:t>
            </w:r>
          </w:p>
        </w:tc>
        <w:tc>
          <w:tcPr>
            <w:tcW w:w="750" w:type="pct"/>
            <w:tcBorders>
              <w:top w:val="single" w:color="auto" w:sz="4" w:space="0"/>
              <w:left w:val="single" w:color="auto" w:sz="4" w:space="0"/>
              <w:bottom w:val="single" w:color="auto" w:sz="4" w:space="0"/>
              <w:right w:val="single" w:color="auto" w:sz="4" w:space="0"/>
            </w:tcBorders>
            <w:vAlign w:val="center"/>
          </w:tcPr>
          <w:p w14:paraId="719E0FB8">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14:paraId="7AE004C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40D2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72D12D6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127045</w:t>
            </w:r>
          </w:p>
        </w:tc>
        <w:tc>
          <w:tcPr>
            <w:tcW w:w="750" w:type="pct"/>
            <w:tcBorders>
              <w:top w:val="single" w:color="auto" w:sz="4" w:space="0"/>
              <w:left w:val="single" w:color="auto" w:sz="4" w:space="0"/>
              <w:bottom w:val="single" w:color="auto" w:sz="4" w:space="0"/>
              <w:right w:val="single" w:color="auto" w:sz="4" w:space="0"/>
            </w:tcBorders>
            <w:vAlign w:val="center"/>
          </w:tcPr>
          <w:p w14:paraId="5DC819FE">
            <w:pPr>
              <w:widowControl/>
              <w:snapToGrid w:val="0"/>
              <w:jc w:val="center"/>
              <w:rPr>
                <w:rFonts w:ascii="宋体" w:hAnsi="宋体"/>
                <w:color w:val="000000"/>
                <w:kern w:val="0"/>
                <w:sz w:val="25"/>
                <w:szCs w:val="24"/>
              </w:rPr>
            </w:pPr>
            <w:r>
              <w:rPr>
                <w:rFonts w:ascii="Times New Roman" w:hAnsi="Times New Roman"/>
                <w:color w:val="000000"/>
                <w:kern w:val="0"/>
                <w:sz w:val="25"/>
                <w:szCs w:val="24"/>
              </w:rPr>
              <w:t>牧原转债</w:t>
            </w:r>
          </w:p>
        </w:tc>
        <w:tc>
          <w:tcPr>
            <w:tcW w:w="750" w:type="pct"/>
            <w:tcBorders>
              <w:top w:val="single" w:color="auto" w:sz="4" w:space="0"/>
              <w:left w:val="single" w:color="auto" w:sz="4" w:space="0"/>
              <w:bottom w:val="single" w:color="auto" w:sz="4" w:space="0"/>
              <w:right w:val="single" w:color="auto" w:sz="4" w:space="0"/>
            </w:tcBorders>
            <w:vAlign w:val="center"/>
          </w:tcPr>
          <w:p w14:paraId="609A010F">
            <w:pPr>
              <w:widowControl/>
              <w:snapToGrid w:val="0"/>
              <w:jc w:val="right"/>
              <w:rPr>
                <w:rFonts w:ascii="宋体" w:hAnsi="宋体"/>
                <w:color w:val="000000"/>
                <w:kern w:val="0"/>
                <w:sz w:val="25"/>
                <w:szCs w:val="24"/>
              </w:rPr>
            </w:pPr>
            <w:r>
              <w:rPr>
                <w:rFonts w:ascii="Times New Roman" w:hAnsi="Times New Roman"/>
                <w:color w:val="000000"/>
                <w:kern w:val="0"/>
                <w:sz w:val="25"/>
                <w:szCs w:val="24"/>
              </w:rPr>
              <w:t>5,580,460.27</w:t>
            </w:r>
          </w:p>
        </w:tc>
        <w:tc>
          <w:tcPr>
            <w:tcW w:w="750" w:type="pct"/>
            <w:tcBorders>
              <w:top w:val="single" w:color="auto" w:sz="4" w:space="0"/>
              <w:left w:val="single" w:color="auto" w:sz="4" w:space="0"/>
              <w:bottom w:val="single" w:color="auto" w:sz="4" w:space="0"/>
              <w:right w:val="single" w:color="auto" w:sz="4" w:space="0"/>
            </w:tcBorders>
            <w:vAlign w:val="center"/>
          </w:tcPr>
          <w:p w14:paraId="0F2789D9">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14:paraId="5C3711B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25046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4A2820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color="auto" w:sz="4" w:space="0"/>
              <w:left w:val="single" w:color="auto" w:sz="4" w:space="0"/>
              <w:bottom w:val="single" w:color="auto" w:sz="4" w:space="0"/>
              <w:right w:val="single" w:color="auto" w:sz="4" w:space="0"/>
            </w:tcBorders>
            <w:vAlign w:val="center"/>
          </w:tcPr>
          <w:p w14:paraId="0064FA3D">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color="auto" w:sz="4" w:space="0"/>
              <w:left w:val="single" w:color="auto" w:sz="4" w:space="0"/>
              <w:bottom w:val="single" w:color="auto" w:sz="4" w:space="0"/>
              <w:right w:val="single" w:color="auto" w:sz="4" w:space="0"/>
            </w:tcBorders>
            <w:vAlign w:val="center"/>
          </w:tcPr>
          <w:p w14:paraId="3CE0B9BF">
            <w:pPr>
              <w:widowControl/>
              <w:snapToGrid w:val="0"/>
              <w:jc w:val="right"/>
              <w:rPr>
                <w:rFonts w:ascii="宋体" w:hAnsi="宋体"/>
                <w:color w:val="000000"/>
                <w:kern w:val="0"/>
                <w:sz w:val="25"/>
                <w:szCs w:val="24"/>
              </w:rPr>
            </w:pPr>
            <w:r>
              <w:rPr>
                <w:rFonts w:ascii="Times New Roman" w:hAnsi="Times New Roman"/>
                <w:color w:val="000000"/>
                <w:kern w:val="0"/>
                <w:sz w:val="25"/>
                <w:szCs w:val="24"/>
              </w:rPr>
              <w:t>5,012,750.38</w:t>
            </w:r>
          </w:p>
        </w:tc>
        <w:tc>
          <w:tcPr>
            <w:tcW w:w="750" w:type="pct"/>
            <w:tcBorders>
              <w:top w:val="single" w:color="auto" w:sz="4" w:space="0"/>
              <w:left w:val="single" w:color="auto" w:sz="4" w:space="0"/>
              <w:bottom w:val="single" w:color="auto" w:sz="4" w:space="0"/>
              <w:right w:val="single" w:color="auto" w:sz="4" w:space="0"/>
            </w:tcBorders>
            <w:vAlign w:val="center"/>
          </w:tcPr>
          <w:p w14:paraId="1442A816">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14:paraId="42B7182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7B0268C">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4BC3AD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color="auto" w:sz="4" w:space="0"/>
              <w:left w:val="single" w:color="auto" w:sz="4" w:space="0"/>
              <w:bottom w:val="single" w:color="auto" w:sz="4" w:space="0"/>
              <w:right w:val="single" w:color="auto" w:sz="4" w:space="0"/>
            </w:tcBorders>
            <w:vAlign w:val="center"/>
          </w:tcPr>
          <w:p w14:paraId="2CD50CB9">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color="auto" w:sz="4" w:space="0"/>
              <w:left w:val="single" w:color="auto" w:sz="4" w:space="0"/>
              <w:bottom w:val="single" w:color="auto" w:sz="4" w:space="0"/>
              <w:right w:val="single" w:color="auto" w:sz="4" w:space="0"/>
            </w:tcBorders>
            <w:vAlign w:val="center"/>
          </w:tcPr>
          <w:p w14:paraId="0455F139">
            <w:pPr>
              <w:widowControl/>
              <w:snapToGrid w:val="0"/>
              <w:jc w:val="right"/>
              <w:rPr>
                <w:rFonts w:ascii="宋体" w:hAnsi="宋体"/>
                <w:color w:val="000000"/>
                <w:kern w:val="0"/>
                <w:sz w:val="25"/>
                <w:szCs w:val="24"/>
              </w:rPr>
            </w:pPr>
            <w:r>
              <w:rPr>
                <w:rFonts w:ascii="Times New Roman" w:hAnsi="Times New Roman"/>
                <w:color w:val="000000"/>
                <w:kern w:val="0"/>
                <w:sz w:val="25"/>
                <w:szCs w:val="24"/>
              </w:rPr>
              <w:t>4,891,709.40</w:t>
            </w:r>
          </w:p>
        </w:tc>
        <w:tc>
          <w:tcPr>
            <w:tcW w:w="750" w:type="pct"/>
            <w:tcBorders>
              <w:top w:val="single" w:color="auto" w:sz="4" w:space="0"/>
              <w:left w:val="single" w:color="auto" w:sz="4" w:space="0"/>
              <w:bottom w:val="single" w:color="auto" w:sz="4" w:space="0"/>
              <w:right w:val="single" w:color="auto" w:sz="4" w:space="0"/>
            </w:tcBorders>
            <w:vAlign w:val="center"/>
          </w:tcPr>
          <w:p w14:paraId="7013CD47">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14:paraId="0C46C8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255CDE">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056870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color="auto" w:sz="4" w:space="0"/>
              <w:left w:val="single" w:color="auto" w:sz="4" w:space="0"/>
              <w:bottom w:val="single" w:color="auto" w:sz="4" w:space="0"/>
              <w:right w:val="single" w:color="auto" w:sz="4" w:space="0"/>
            </w:tcBorders>
            <w:vAlign w:val="center"/>
          </w:tcPr>
          <w:p w14:paraId="12C17B2F">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color="auto" w:sz="4" w:space="0"/>
              <w:left w:val="single" w:color="auto" w:sz="4" w:space="0"/>
              <w:bottom w:val="single" w:color="auto" w:sz="4" w:space="0"/>
              <w:right w:val="single" w:color="auto" w:sz="4" w:space="0"/>
            </w:tcBorders>
            <w:vAlign w:val="center"/>
          </w:tcPr>
          <w:p w14:paraId="239F854E">
            <w:pPr>
              <w:widowControl/>
              <w:snapToGrid w:val="0"/>
              <w:jc w:val="right"/>
              <w:rPr>
                <w:rFonts w:ascii="宋体" w:hAnsi="宋体"/>
                <w:color w:val="000000"/>
                <w:kern w:val="0"/>
                <w:sz w:val="25"/>
                <w:szCs w:val="24"/>
              </w:rPr>
            </w:pPr>
            <w:r>
              <w:rPr>
                <w:rFonts w:ascii="Times New Roman" w:hAnsi="Times New Roman"/>
                <w:color w:val="000000"/>
                <w:kern w:val="0"/>
                <w:sz w:val="25"/>
                <w:szCs w:val="24"/>
              </w:rPr>
              <w:t>4,651,487.05</w:t>
            </w:r>
          </w:p>
        </w:tc>
        <w:tc>
          <w:tcPr>
            <w:tcW w:w="750" w:type="pct"/>
            <w:tcBorders>
              <w:top w:val="single" w:color="auto" w:sz="4" w:space="0"/>
              <w:left w:val="single" w:color="auto" w:sz="4" w:space="0"/>
              <w:bottom w:val="single" w:color="auto" w:sz="4" w:space="0"/>
              <w:right w:val="single" w:color="auto" w:sz="4" w:space="0"/>
            </w:tcBorders>
            <w:vAlign w:val="center"/>
          </w:tcPr>
          <w:p w14:paraId="39C9C2E6">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14:paraId="2DCB30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96D7A2">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3FDB29C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14:paraId="55DEC5E1">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14:paraId="5E5A3BFA">
            <w:pPr>
              <w:widowControl/>
              <w:snapToGrid w:val="0"/>
              <w:jc w:val="right"/>
              <w:rPr>
                <w:rFonts w:ascii="宋体" w:hAnsi="宋体"/>
                <w:color w:val="000000"/>
                <w:kern w:val="0"/>
                <w:sz w:val="25"/>
                <w:szCs w:val="24"/>
              </w:rPr>
            </w:pPr>
            <w:r>
              <w:rPr>
                <w:rFonts w:ascii="Times New Roman" w:hAnsi="Times New Roman"/>
                <w:color w:val="000000"/>
                <w:kern w:val="0"/>
                <w:sz w:val="25"/>
                <w:szCs w:val="24"/>
              </w:rPr>
              <w:t>4,637,724.79</w:t>
            </w:r>
          </w:p>
        </w:tc>
        <w:tc>
          <w:tcPr>
            <w:tcW w:w="750" w:type="pct"/>
            <w:tcBorders>
              <w:top w:val="single" w:color="auto" w:sz="4" w:space="0"/>
              <w:left w:val="single" w:color="auto" w:sz="4" w:space="0"/>
              <w:bottom w:val="single" w:color="auto" w:sz="4" w:space="0"/>
              <w:right w:val="single" w:color="auto" w:sz="4" w:space="0"/>
            </w:tcBorders>
            <w:vAlign w:val="center"/>
          </w:tcPr>
          <w:p w14:paraId="46BBCD99">
            <w:pPr>
              <w:widowControl/>
              <w:snapToGrid w:val="0"/>
              <w:jc w:val="right"/>
              <w:rPr>
                <w:rFonts w:ascii="宋体" w:hAnsi="宋体"/>
                <w:color w:val="000000"/>
                <w:kern w:val="0"/>
                <w:sz w:val="25"/>
                <w:szCs w:val="24"/>
              </w:rPr>
            </w:pPr>
            <w:r>
              <w:rPr>
                <w:rFonts w:ascii="Times New Roman" w:hAnsi="Times New Roman"/>
                <w:color w:val="000000"/>
                <w:kern w:val="0"/>
                <w:sz w:val="25"/>
                <w:szCs w:val="24"/>
              </w:rPr>
              <w:t>0.37</w:t>
            </w:r>
          </w:p>
        </w:tc>
      </w:tr>
      <w:tr w14:paraId="065FB0F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FDBD3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2F51479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110095</w:t>
            </w:r>
          </w:p>
        </w:tc>
        <w:tc>
          <w:tcPr>
            <w:tcW w:w="750" w:type="pct"/>
            <w:tcBorders>
              <w:top w:val="single" w:color="auto" w:sz="4" w:space="0"/>
              <w:left w:val="single" w:color="auto" w:sz="4" w:space="0"/>
              <w:bottom w:val="single" w:color="auto" w:sz="4" w:space="0"/>
              <w:right w:val="single" w:color="auto" w:sz="4" w:space="0"/>
            </w:tcBorders>
            <w:vAlign w:val="center"/>
          </w:tcPr>
          <w:p w14:paraId="5C35414D">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双良转债</w:t>
            </w:r>
          </w:p>
        </w:tc>
        <w:tc>
          <w:tcPr>
            <w:tcW w:w="750" w:type="pct"/>
            <w:tcBorders>
              <w:top w:val="single" w:color="auto" w:sz="4" w:space="0"/>
              <w:left w:val="single" w:color="auto" w:sz="4" w:space="0"/>
              <w:bottom w:val="single" w:color="auto" w:sz="4" w:space="0"/>
              <w:right w:val="single" w:color="auto" w:sz="4" w:space="0"/>
            </w:tcBorders>
            <w:vAlign w:val="center"/>
          </w:tcPr>
          <w:p w14:paraId="02171D10">
            <w:pPr>
              <w:widowControl/>
              <w:snapToGrid w:val="0"/>
              <w:jc w:val="right"/>
              <w:rPr>
                <w:rFonts w:ascii="宋体" w:hAnsi="宋体"/>
                <w:color w:val="000000"/>
                <w:kern w:val="0"/>
                <w:sz w:val="25"/>
                <w:szCs w:val="24"/>
              </w:rPr>
            </w:pPr>
            <w:r>
              <w:rPr>
                <w:rFonts w:ascii="Times New Roman" w:hAnsi="Times New Roman"/>
                <w:color w:val="000000"/>
                <w:kern w:val="0"/>
                <w:sz w:val="25"/>
                <w:szCs w:val="24"/>
              </w:rPr>
              <w:t>4,383,386.75</w:t>
            </w:r>
          </w:p>
        </w:tc>
        <w:tc>
          <w:tcPr>
            <w:tcW w:w="750" w:type="pct"/>
            <w:tcBorders>
              <w:top w:val="single" w:color="auto" w:sz="4" w:space="0"/>
              <w:left w:val="single" w:color="auto" w:sz="4" w:space="0"/>
              <w:bottom w:val="single" w:color="auto" w:sz="4" w:space="0"/>
              <w:right w:val="single" w:color="auto" w:sz="4" w:space="0"/>
            </w:tcBorders>
            <w:vAlign w:val="center"/>
          </w:tcPr>
          <w:p w14:paraId="4BC2AC7A">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14:paraId="52F54D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014F31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5EBF4AE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128108</w:t>
            </w:r>
          </w:p>
        </w:tc>
        <w:tc>
          <w:tcPr>
            <w:tcW w:w="750" w:type="pct"/>
            <w:tcBorders>
              <w:top w:val="single" w:color="auto" w:sz="4" w:space="0"/>
              <w:left w:val="single" w:color="auto" w:sz="4" w:space="0"/>
              <w:bottom w:val="single" w:color="auto" w:sz="4" w:space="0"/>
              <w:right w:val="single" w:color="auto" w:sz="4" w:space="0"/>
            </w:tcBorders>
            <w:vAlign w:val="center"/>
          </w:tcPr>
          <w:p w14:paraId="6BA9F9BA">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蓝帆转债</w:t>
            </w:r>
          </w:p>
        </w:tc>
        <w:tc>
          <w:tcPr>
            <w:tcW w:w="750" w:type="pct"/>
            <w:tcBorders>
              <w:top w:val="single" w:color="auto" w:sz="4" w:space="0"/>
              <w:left w:val="single" w:color="auto" w:sz="4" w:space="0"/>
              <w:bottom w:val="single" w:color="auto" w:sz="4" w:space="0"/>
              <w:right w:val="single" w:color="auto" w:sz="4" w:space="0"/>
            </w:tcBorders>
            <w:vAlign w:val="center"/>
          </w:tcPr>
          <w:p w14:paraId="72DE4509">
            <w:pPr>
              <w:widowControl/>
              <w:snapToGrid w:val="0"/>
              <w:jc w:val="right"/>
              <w:rPr>
                <w:rFonts w:ascii="宋体" w:hAnsi="宋体"/>
                <w:color w:val="000000"/>
                <w:kern w:val="0"/>
                <w:sz w:val="25"/>
                <w:szCs w:val="24"/>
              </w:rPr>
            </w:pPr>
            <w:r>
              <w:rPr>
                <w:rFonts w:ascii="Times New Roman" w:hAnsi="Times New Roman"/>
                <w:color w:val="000000"/>
                <w:kern w:val="0"/>
                <w:sz w:val="25"/>
                <w:szCs w:val="24"/>
              </w:rPr>
              <w:t>4,365,731.98</w:t>
            </w:r>
          </w:p>
        </w:tc>
        <w:tc>
          <w:tcPr>
            <w:tcW w:w="750" w:type="pct"/>
            <w:tcBorders>
              <w:top w:val="single" w:color="auto" w:sz="4" w:space="0"/>
              <w:left w:val="single" w:color="auto" w:sz="4" w:space="0"/>
              <w:bottom w:val="single" w:color="auto" w:sz="4" w:space="0"/>
              <w:right w:val="single" w:color="auto" w:sz="4" w:space="0"/>
            </w:tcBorders>
            <w:vAlign w:val="center"/>
          </w:tcPr>
          <w:p w14:paraId="540B5CD6">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14:paraId="002B107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A112A6">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69553C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color="auto" w:sz="4" w:space="0"/>
              <w:left w:val="single" w:color="auto" w:sz="4" w:space="0"/>
              <w:bottom w:val="single" w:color="auto" w:sz="4" w:space="0"/>
              <w:right w:val="single" w:color="auto" w:sz="4" w:space="0"/>
            </w:tcBorders>
            <w:vAlign w:val="center"/>
          </w:tcPr>
          <w:p w14:paraId="06101D8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金23转债</w:t>
            </w:r>
          </w:p>
        </w:tc>
        <w:tc>
          <w:tcPr>
            <w:tcW w:w="750" w:type="pct"/>
            <w:tcBorders>
              <w:top w:val="single" w:color="auto" w:sz="4" w:space="0"/>
              <w:left w:val="single" w:color="auto" w:sz="4" w:space="0"/>
              <w:bottom w:val="single" w:color="auto" w:sz="4" w:space="0"/>
              <w:right w:val="single" w:color="auto" w:sz="4" w:space="0"/>
            </w:tcBorders>
            <w:vAlign w:val="center"/>
          </w:tcPr>
          <w:p w14:paraId="3349A96C">
            <w:pPr>
              <w:widowControl/>
              <w:snapToGrid w:val="0"/>
              <w:jc w:val="right"/>
              <w:rPr>
                <w:rFonts w:ascii="宋体" w:hAnsi="宋体"/>
                <w:color w:val="000000"/>
                <w:kern w:val="0"/>
                <w:sz w:val="25"/>
                <w:szCs w:val="24"/>
              </w:rPr>
            </w:pPr>
            <w:r>
              <w:rPr>
                <w:rFonts w:ascii="Times New Roman" w:hAnsi="Times New Roman"/>
                <w:color w:val="000000"/>
                <w:kern w:val="0"/>
                <w:sz w:val="25"/>
                <w:szCs w:val="24"/>
              </w:rPr>
              <w:t>4,308,455.28</w:t>
            </w:r>
          </w:p>
        </w:tc>
        <w:tc>
          <w:tcPr>
            <w:tcW w:w="750" w:type="pct"/>
            <w:tcBorders>
              <w:top w:val="single" w:color="auto" w:sz="4" w:space="0"/>
              <w:left w:val="single" w:color="auto" w:sz="4" w:space="0"/>
              <w:bottom w:val="single" w:color="auto" w:sz="4" w:space="0"/>
              <w:right w:val="single" w:color="auto" w:sz="4" w:space="0"/>
            </w:tcBorders>
            <w:vAlign w:val="center"/>
          </w:tcPr>
          <w:p w14:paraId="2BF564DC">
            <w:pPr>
              <w:widowControl/>
              <w:snapToGrid w:val="0"/>
              <w:jc w:val="right"/>
              <w:rPr>
                <w:rFonts w:ascii="宋体" w:hAnsi="宋体"/>
                <w:color w:val="000000"/>
                <w:kern w:val="0"/>
                <w:sz w:val="25"/>
                <w:szCs w:val="24"/>
              </w:rPr>
            </w:pPr>
            <w:r>
              <w:rPr>
                <w:rFonts w:ascii="Times New Roman" w:hAnsi="Times New Roman"/>
                <w:color w:val="000000"/>
                <w:kern w:val="0"/>
                <w:sz w:val="25"/>
                <w:szCs w:val="24"/>
              </w:rPr>
              <w:t>0.34</w:t>
            </w:r>
          </w:p>
        </w:tc>
      </w:tr>
      <w:tr w14:paraId="184313A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24203E">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77F5B10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110079</w:t>
            </w:r>
          </w:p>
        </w:tc>
        <w:tc>
          <w:tcPr>
            <w:tcW w:w="750" w:type="pct"/>
            <w:tcBorders>
              <w:top w:val="single" w:color="auto" w:sz="4" w:space="0"/>
              <w:left w:val="single" w:color="auto" w:sz="4" w:space="0"/>
              <w:bottom w:val="single" w:color="auto" w:sz="4" w:space="0"/>
              <w:right w:val="single" w:color="auto" w:sz="4" w:space="0"/>
            </w:tcBorders>
            <w:vAlign w:val="center"/>
          </w:tcPr>
          <w:p w14:paraId="27956531">
            <w:pPr>
              <w:widowControl/>
              <w:snapToGrid w:val="0"/>
              <w:jc w:val="center"/>
              <w:rPr>
                <w:rFonts w:ascii="宋体" w:hAnsi="宋体"/>
                <w:color w:val="000000"/>
                <w:kern w:val="0"/>
                <w:sz w:val="25"/>
                <w:szCs w:val="24"/>
              </w:rPr>
            </w:pPr>
            <w:r>
              <w:rPr>
                <w:rFonts w:ascii="Times New Roman" w:hAnsi="Times New Roman"/>
                <w:color w:val="000000"/>
                <w:kern w:val="0"/>
                <w:sz w:val="25"/>
                <w:szCs w:val="24"/>
              </w:rPr>
              <w:t>杭银转债</w:t>
            </w:r>
          </w:p>
        </w:tc>
        <w:tc>
          <w:tcPr>
            <w:tcW w:w="750" w:type="pct"/>
            <w:tcBorders>
              <w:top w:val="single" w:color="auto" w:sz="4" w:space="0"/>
              <w:left w:val="single" w:color="auto" w:sz="4" w:space="0"/>
              <w:bottom w:val="single" w:color="auto" w:sz="4" w:space="0"/>
              <w:right w:val="single" w:color="auto" w:sz="4" w:space="0"/>
            </w:tcBorders>
            <w:vAlign w:val="center"/>
          </w:tcPr>
          <w:p w14:paraId="2957DA66">
            <w:pPr>
              <w:widowControl/>
              <w:snapToGrid w:val="0"/>
              <w:jc w:val="right"/>
              <w:rPr>
                <w:rFonts w:ascii="宋体" w:hAnsi="宋体"/>
                <w:color w:val="000000"/>
                <w:kern w:val="0"/>
                <w:sz w:val="25"/>
                <w:szCs w:val="24"/>
              </w:rPr>
            </w:pPr>
            <w:r>
              <w:rPr>
                <w:rFonts w:ascii="Times New Roman" w:hAnsi="Times New Roman"/>
                <w:color w:val="000000"/>
                <w:kern w:val="0"/>
                <w:sz w:val="25"/>
                <w:szCs w:val="24"/>
              </w:rPr>
              <w:t>4,229,183.71</w:t>
            </w:r>
          </w:p>
        </w:tc>
        <w:tc>
          <w:tcPr>
            <w:tcW w:w="750" w:type="pct"/>
            <w:tcBorders>
              <w:top w:val="single" w:color="auto" w:sz="4" w:space="0"/>
              <w:left w:val="single" w:color="auto" w:sz="4" w:space="0"/>
              <w:bottom w:val="single" w:color="auto" w:sz="4" w:space="0"/>
              <w:right w:val="single" w:color="auto" w:sz="4" w:space="0"/>
            </w:tcBorders>
            <w:vAlign w:val="center"/>
          </w:tcPr>
          <w:p w14:paraId="2A624D7A">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44A3EFC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56527F">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6AA7C7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color="auto" w:sz="4" w:space="0"/>
              <w:left w:val="single" w:color="auto" w:sz="4" w:space="0"/>
              <w:bottom w:val="single" w:color="auto" w:sz="4" w:space="0"/>
              <w:right w:val="single" w:color="auto" w:sz="4" w:space="0"/>
            </w:tcBorders>
            <w:vAlign w:val="center"/>
          </w:tcPr>
          <w:p w14:paraId="41B077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鹤21转债</w:t>
            </w:r>
          </w:p>
        </w:tc>
        <w:tc>
          <w:tcPr>
            <w:tcW w:w="750" w:type="pct"/>
            <w:tcBorders>
              <w:top w:val="single" w:color="auto" w:sz="4" w:space="0"/>
              <w:left w:val="single" w:color="auto" w:sz="4" w:space="0"/>
              <w:bottom w:val="single" w:color="auto" w:sz="4" w:space="0"/>
              <w:right w:val="single" w:color="auto" w:sz="4" w:space="0"/>
            </w:tcBorders>
            <w:vAlign w:val="center"/>
          </w:tcPr>
          <w:p w14:paraId="29D6D946">
            <w:pPr>
              <w:widowControl/>
              <w:snapToGrid w:val="0"/>
              <w:jc w:val="right"/>
              <w:rPr>
                <w:rFonts w:ascii="宋体" w:hAnsi="宋体"/>
                <w:color w:val="000000"/>
                <w:kern w:val="0"/>
                <w:sz w:val="25"/>
                <w:szCs w:val="24"/>
              </w:rPr>
            </w:pPr>
            <w:r>
              <w:rPr>
                <w:rFonts w:ascii="Times New Roman" w:hAnsi="Times New Roman"/>
                <w:color w:val="000000"/>
                <w:kern w:val="0"/>
                <w:sz w:val="25"/>
                <w:szCs w:val="24"/>
              </w:rPr>
              <w:t>4,181,458.36</w:t>
            </w:r>
          </w:p>
        </w:tc>
        <w:tc>
          <w:tcPr>
            <w:tcW w:w="750" w:type="pct"/>
            <w:tcBorders>
              <w:top w:val="single" w:color="auto" w:sz="4" w:space="0"/>
              <w:left w:val="single" w:color="auto" w:sz="4" w:space="0"/>
              <w:bottom w:val="single" w:color="auto" w:sz="4" w:space="0"/>
              <w:right w:val="single" w:color="auto" w:sz="4" w:space="0"/>
            </w:tcBorders>
            <w:vAlign w:val="center"/>
          </w:tcPr>
          <w:p w14:paraId="325A1352">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5B1B2AA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338275">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3320AD6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127101</w:t>
            </w:r>
          </w:p>
        </w:tc>
        <w:tc>
          <w:tcPr>
            <w:tcW w:w="750" w:type="pct"/>
            <w:tcBorders>
              <w:top w:val="single" w:color="auto" w:sz="4" w:space="0"/>
              <w:left w:val="single" w:color="auto" w:sz="4" w:space="0"/>
              <w:bottom w:val="single" w:color="auto" w:sz="4" w:space="0"/>
              <w:right w:val="single" w:color="auto" w:sz="4" w:space="0"/>
            </w:tcBorders>
            <w:vAlign w:val="center"/>
          </w:tcPr>
          <w:p w14:paraId="07AA1028">
            <w:pPr>
              <w:widowControl/>
              <w:snapToGrid w:val="0"/>
              <w:jc w:val="center"/>
              <w:rPr>
                <w:rFonts w:ascii="宋体" w:hAnsi="宋体"/>
                <w:color w:val="000000"/>
                <w:kern w:val="0"/>
                <w:sz w:val="25"/>
                <w:szCs w:val="24"/>
              </w:rPr>
            </w:pPr>
            <w:r>
              <w:rPr>
                <w:rFonts w:ascii="Times New Roman" w:hAnsi="Times New Roman"/>
                <w:color w:val="000000"/>
                <w:kern w:val="0"/>
                <w:sz w:val="25"/>
                <w:szCs w:val="24"/>
              </w:rPr>
              <w:t>豪鹏转债</w:t>
            </w:r>
          </w:p>
        </w:tc>
        <w:tc>
          <w:tcPr>
            <w:tcW w:w="750" w:type="pct"/>
            <w:tcBorders>
              <w:top w:val="single" w:color="auto" w:sz="4" w:space="0"/>
              <w:left w:val="single" w:color="auto" w:sz="4" w:space="0"/>
              <w:bottom w:val="single" w:color="auto" w:sz="4" w:space="0"/>
              <w:right w:val="single" w:color="auto" w:sz="4" w:space="0"/>
            </w:tcBorders>
            <w:vAlign w:val="center"/>
          </w:tcPr>
          <w:p w14:paraId="223A950A">
            <w:pPr>
              <w:widowControl/>
              <w:snapToGrid w:val="0"/>
              <w:jc w:val="right"/>
              <w:rPr>
                <w:rFonts w:ascii="宋体" w:hAnsi="宋体"/>
                <w:color w:val="000000"/>
                <w:kern w:val="0"/>
                <w:sz w:val="25"/>
                <w:szCs w:val="24"/>
              </w:rPr>
            </w:pPr>
            <w:r>
              <w:rPr>
                <w:rFonts w:ascii="Times New Roman" w:hAnsi="Times New Roman"/>
                <w:color w:val="000000"/>
                <w:kern w:val="0"/>
                <w:sz w:val="25"/>
                <w:szCs w:val="24"/>
              </w:rPr>
              <w:t>4,005,478.57</w:t>
            </w:r>
          </w:p>
        </w:tc>
        <w:tc>
          <w:tcPr>
            <w:tcW w:w="750" w:type="pct"/>
            <w:tcBorders>
              <w:top w:val="single" w:color="auto" w:sz="4" w:space="0"/>
              <w:left w:val="single" w:color="auto" w:sz="4" w:space="0"/>
              <w:bottom w:val="single" w:color="auto" w:sz="4" w:space="0"/>
              <w:right w:val="single" w:color="auto" w:sz="4" w:space="0"/>
            </w:tcBorders>
            <w:vAlign w:val="center"/>
          </w:tcPr>
          <w:p w14:paraId="3C74778D">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14:paraId="6F6638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40E9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213CF00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color="auto" w:sz="4" w:space="0"/>
              <w:left w:val="single" w:color="auto" w:sz="4" w:space="0"/>
              <w:bottom w:val="single" w:color="auto" w:sz="4" w:space="0"/>
              <w:right w:val="single" w:color="auto" w:sz="4" w:space="0"/>
            </w:tcBorders>
            <w:vAlign w:val="center"/>
          </w:tcPr>
          <w:p w14:paraId="39D22B1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color="auto" w:sz="4" w:space="0"/>
              <w:left w:val="single" w:color="auto" w:sz="4" w:space="0"/>
              <w:bottom w:val="single" w:color="auto" w:sz="4" w:space="0"/>
              <w:right w:val="single" w:color="auto" w:sz="4" w:space="0"/>
            </w:tcBorders>
            <w:vAlign w:val="center"/>
          </w:tcPr>
          <w:p w14:paraId="4ECC01AC">
            <w:pPr>
              <w:widowControl/>
              <w:snapToGrid w:val="0"/>
              <w:jc w:val="right"/>
              <w:rPr>
                <w:rFonts w:ascii="宋体" w:hAnsi="宋体"/>
                <w:color w:val="000000"/>
                <w:kern w:val="0"/>
                <w:sz w:val="25"/>
                <w:szCs w:val="24"/>
              </w:rPr>
            </w:pPr>
            <w:r>
              <w:rPr>
                <w:rFonts w:ascii="Times New Roman" w:hAnsi="Times New Roman"/>
                <w:color w:val="000000"/>
                <w:kern w:val="0"/>
                <w:sz w:val="25"/>
                <w:szCs w:val="24"/>
              </w:rPr>
              <w:t>3,942,521.54</w:t>
            </w:r>
          </w:p>
        </w:tc>
        <w:tc>
          <w:tcPr>
            <w:tcW w:w="750" w:type="pct"/>
            <w:tcBorders>
              <w:top w:val="single" w:color="auto" w:sz="4" w:space="0"/>
              <w:left w:val="single" w:color="auto" w:sz="4" w:space="0"/>
              <w:bottom w:val="single" w:color="auto" w:sz="4" w:space="0"/>
              <w:right w:val="single" w:color="auto" w:sz="4" w:space="0"/>
            </w:tcBorders>
            <w:vAlign w:val="center"/>
          </w:tcPr>
          <w:p w14:paraId="0369080B">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468ADDD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8BE068">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742CD33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color="auto" w:sz="4" w:space="0"/>
              <w:left w:val="single" w:color="auto" w:sz="4" w:space="0"/>
              <w:bottom w:val="single" w:color="auto" w:sz="4" w:space="0"/>
              <w:right w:val="single" w:color="auto" w:sz="4" w:space="0"/>
            </w:tcBorders>
            <w:vAlign w:val="center"/>
          </w:tcPr>
          <w:p w14:paraId="76AFD23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color="auto" w:sz="4" w:space="0"/>
              <w:left w:val="single" w:color="auto" w:sz="4" w:space="0"/>
              <w:bottom w:val="single" w:color="auto" w:sz="4" w:space="0"/>
              <w:right w:val="single" w:color="auto" w:sz="4" w:space="0"/>
            </w:tcBorders>
            <w:vAlign w:val="center"/>
          </w:tcPr>
          <w:p w14:paraId="5220CE9D">
            <w:pPr>
              <w:widowControl/>
              <w:snapToGrid w:val="0"/>
              <w:jc w:val="right"/>
              <w:rPr>
                <w:rFonts w:ascii="宋体" w:hAnsi="宋体"/>
                <w:color w:val="000000"/>
                <w:kern w:val="0"/>
                <w:sz w:val="25"/>
                <w:szCs w:val="24"/>
              </w:rPr>
            </w:pPr>
            <w:r>
              <w:rPr>
                <w:rFonts w:ascii="Times New Roman" w:hAnsi="Times New Roman"/>
                <w:color w:val="000000"/>
                <w:kern w:val="0"/>
                <w:sz w:val="25"/>
                <w:szCs w:val="24"/>
              </w:rPr>
              <w:t>3,938,376.24</w:t>
            </w:r>
          </w:p>
        </w:tc>
        <w:tc>
          <w:tcPr>
            <w:tcW w:w="750" w:type="pct"/>
            <w:tcBorders>
              <w:top w:val="single" w:color="auto" w:sz="4" w:space="0"/>
              <w:left w:val="single" w:color="auto" w:sz="4" w:space="0"/>
              <w:bottom w:val="single" w:color="auto" w:sz="4" w:space="0"/>
              <w:right w:val="single" w:color="auto" w:sz="4" w:space="0"/>
            </w:tcBorders>
            <w:vAlign w:val="center"/>
          </w:tcPr>
          <w:p w14:paraId="4FA34B41">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50EA88D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6E8502">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14:paraId="22F1852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113641</w:t>
            </w:r>
          </w:p>
        </w:tc>
        <w:tc>
          <w:tcPr>
            <w:tcW w:w="750" w:type="pct"/>
            <w:tcBorders>
              <w:top w:val="single" w:color="auto" w:sz="4" w:space="0"/>
              <w:left w:val="single" w:color="auto" w:sz="4" w:space="0"/>
              <w:bottom w:val="single" w:color="auto" w:sz="4" w:space="0"/>
              <w:right w:val="single" w:color="auto" w:sz="4" w:space="0"/>
            </w:tcBorders>
            <w:vAlign w:val="center"/>
          </w:tcPr>
          <w:p w14:paraId="268D0FF1">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华友转债</w:t>
            </w:r>
          </w:p>
        </w:tc>
        <w:tc>
          <w:tcPr>
            <w:tcW w:w="750" w:type="pct"/>
            <w:tcBorders>
              <w:top w:val="single" w:color="auto" w:sz="4" w:space="0"/>
              <w:left w:val="single" w:color="auto" w:sz="4" w:space="0"/>
              <w:bottom w:val="single" w:color="auto" w:sz="4" w:space="0"/>
              <w:right w:val="single" w:color="auto" w:sz="4" w:space="0"/>
            </w:tcBorders>
            <w:vAlign w:val="center"/>
          </w:tcPr>
          <w:p w14:paraId="0CA958EF">
            <w:pPr>
              <w:widowControl/>
              <w:snapToGrid w:val="0"/>
              <w:jc w:val="right"/>
              <w:rPr>
                <w:rFonts w:ascii="宋体" w:hAnsi="宋体"/>
                <w:color w:val="000000"/>
                <w:kern w:val="0"/>
                <w:sz w:val="25"/>
                <w:szCs w:val="24"/>
              </w:rPr>
            </w:pPr>
            <w:r>
              <w:rPr>
                <w:rFonts w:ascii="Times New Roman" w:hAnsi="Times New Roman"/>
                <w:color w:val="000000"/>
                <w:kern w:val="0"/>
                <w:sz w:val="25"/>
                <w:szCs w:val="24"/>
              </w:rPr>
              <w:t>3,823,509.05</w:t>
            </w:r>
          </w:p>
        </w:tc>
        <w:tc>
          <w:tcPr>
            <w:tcW w:w="750" w:type="pct"/>
            <w:tcBorders>
              <w:top w:val="single" w:color="auto" w:sz="4" w:space="0"/>
              <w:left w:val="single" w:color="auto" w:sz="4" w:space="0"/>
              <w:bottom w:val="single" w:color="auto" w:sz="4" w:space="0"/>
              <w:right w:val="single" w:color="auto" w:sz="4" w:space="0"/>
            </w:tcBorders>
            <w:vAlign w:val="center"/>
          </w:tcPr>
          <w:p w14:paraId="57C58E22">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14:paraId="30D8505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091704F">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14:paraId="768E615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color="auto" w:sz="4" w:space="0"/>
              <w:left w:val="single" w:color="auto" w:sz="4" w:space="0"/>
              <w:bottom w:val="single" w:color="auto" w:sz="4" w:space="0"/>
              <w:right w:val="single" w:color="auto" w:sz="4" w:space="0"/>
            </w:tcBorders>
            <w:vAlign w:val="center"/>
          </w:tcPr>
          <w:p w14:paraId="4F39FE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精测转2</w:t>
            </w:r>
          </w:p>
        </w:tc>
        <w:tc>
          <w:tcPr>
            <w:tcW w:w="750" w:type="pct"/>
            <w:tcBorders>
              <w:top w:val="single" w:color="auto" w:sz="4" w:space="0"/>
              <w:left w:val="single" w:color="auto" w:sz="4" w:space="0"/>
              <w:bottom w:val="single" w:color="auto" w:sz="4" w:space="0"/>
              <w:right w:val="single" w:color="auto" w:sz="4" w:space="0"/>
            </w:tcBorders>
            <w:vAlign w:val="center"/>
          </w:tcPr>
          <w:p w14:paraId="7EE0C818">
            <w:pPr>
              <w:widowControl/>
              <w:snapToGrid w:val="0"/>
              <w:jc w:val="right"/>
              <w:rPr>
                <w:rFonts w:ascii="宋体" w:hAnsi="宋体"/>
                <w:color w:val="000000"/>
                <w:kern w:val="0"/>
                <w:sz w:val="25"/>
                <w:szCs w:val="24"/>
              </w:rPr>
            </w:pPr>
            <w:r>
              <w:rPr>
                <w:rFonts w:ascii="Times New Roman" w:hAnsi="Times New Roman"/>
                <w:color w:val="000000"/>
                <w:kern w:val="0"/>
                <w:sz w:val="25"/>
                <w:szCs w:val="24"/>
              </w:rPr>
              <w:t>3,589,121.86</w:t>
            </w:r>
          </w:p>
        </w:tc>
        <w:tc>
          <w:tcPr>
            <w:tcW w:w="750" w:type="pct"/>
            <w:tcBorders>
              <w:top w:val="single" w:color="auto" w:sz="4" w:space="0"/>
              <w:left w:val="single" w:color="auto" w:sz="4" w:space="0"/>
              <w:bottom w:val="single" w:color="auto" w:sz="4" w:space="0"/>
              <w:right w:val="single" w:color="auto" w:sz="4" w:space="0"/>
            </w:tcBorders>
            <w:vAlign w:val="center"/>
          </w:tcPr>
          <w:p w14:paraId="10694066">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14:paraId="6579EA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58DDCEF">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14:paraId="5E61AEC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color="auto" w:sz="4" w:space="0"/>
              <w:left w:val="single" w:color="auto" w:sz="4" w:space="0"/>
              <w:bottom w:val="single" w:color="auto" w:sz="4" w:space="0"/>
              <w:right w:val="single" w:color="auto" w:sz="4" w:space="0"/>
            </w:tcBorders>
            <w:vAlign w:val="center"/>
          </w:tcPr>
          <w:p w14:paraId="647B5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color="auto" w:sz="4" w:space="0"/>
              <w:left w:val="single" w:color="auto" w:sz="4" w:space="0"/>
              <w:bottom w:val="single" w:color="auto" w:sz="4" w:space="0"/>
              <w:right w:val="single" w:color="auto" w:sz="4" w:space="0"/>
            </w:tcBorders>
            <w:vAlign w:val="center"/>
          </w:tcPr>
          <w:p w14:paraId="6C196B03">
            <w:pPr>
              <w:widowControl/>
              <w:snapToGrid w:val="0"/>
              <w:jc w:val="right"/>
              <w:rPr>
                <w:rFonts w:ascii="宋体" w:hAnsi="宋体"/>
                <w:color w:val="000000"/>
                <w:kern w:val="0"/>
                <w:sz w:val="25"/>
                <w:szCs w:val="24"/>
              </w:rPr>
            </w:pPr>
            <w:r>
              <w:rPr>
                <w:rFonts w:ascii="Times New Roman" w:hAnsi="Times New Roman"/>
                <w:color w:val="000000"/>
                <w:kern w:val="0"/>
                <w:sz w:val="25"/>
                <w:szCs w:val="24"/>
              </w:rPr>
              <w:t>2,913,765.86</w:t>
            </w:r>
          </w:p>
        </w:tc>
        <w:tc>
          <w:tcPr>
            <w:tcW w:w="750" w:type="pct"/>
            <w:tcBorders>
              <w:top w:val="single" w:color="auto" w:sz="4" w:space="0"/>
              <w:left w:val="single" w:color="auto" w:sz="4" w:space="0"/>
              <w:bottom w:val="single" w:color="auto" w:sz="4" w:space="0"/>
              <w:right w:val="single" w:color="auto" w:sz="4" w:space="0"/>
            </w:tcBorders>
            <w:vAlign w:val="center"/>
          </w:tcPr>
          <w:p w14:paraId="262B481B">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14:paraId="1D23F52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292781">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14:paraId="72DD3D6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113046</w:t>
            </w:r>
          </w:p>
        </w:tc>
        <w:tc>
          <w:tcPr>
            <w:tcW w:w="750" w:type="pct"/>
            <w:tcBorders>
              <w:top w:val="single" w:color="auto" w:sz="4" w:space="0"/>
              <w:left w:val="single" w:color="auto" w:sz="4" w:space="0"/>
              <w:bottom w:val="single" w:color="auto" w:sz="4" w:space="0"/>
              <w:right w:val="single" w:color="auto" w:sz="4" w:space="0"/>
            </w:tcBorders>
            <w:vAlign w:val="center"/>
          </w:tcPr>
          <w:p w14:paraId="2C8890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金田转债</w:t>
            </w:r>
          </w:p>
        </w:tc>
        <w:tc>
          <w:tcPr>
            <w:tcW w:w="750" w:type="pct"/>
            <w:tcBorders>
              <w:top w:val="single" w:color="auto" w:sz="4" w:space="0"/>
              <w:left w:val="single" w:color="auto" w:sz="4" w:space="0"/>
              <w:bottom w:val="single" w:color="auto" w:sz="4" w:space="0"/>
              <w:right w:val="single" w:color="auto" w:sz="4" w:space="0"/>
            </w:tcBorders>
            <w:vAlign w:val="center"/>
          </w:tcPr>
          <w:p w14:paraId="0E2D8489">
            <w:pPr>
              <w:widowControl/>
              <w:snapToGrid w:val="0"/>
              <w:jc w:val="right"/>
              <w:rPr>
                <w:rFonts w:ascii="宋体" w:hAnsi="宋体"/>
                <w:color w:val="000000"/>
                <w:kern w:val="0"/>
                <w:sz w:val="25"/>
                <w:szCs w:val="24"/>
              </w:rPr>
            </w:pPr>
            <w:r>
              <w:rPr>
                <w:rFonts w:ascii="Times New Roman" w:hAnsi="Times New Roman"/>
                <w:color w:val="000000"/>
                <w:kern w:val="0"/>
                <w:sz w:val="25"/>
                <w:szCs w:val="24"/>
              </w:rPr>
              <w:t>2,773,736.30</w:t>
            </w:r>
          </w:p>
        </w:tc>
        <w:tc>
          <w:tcPr>
            <w:tcW w:w="750" w:type="pct"/>
            <w:tcBorders>
              <w:top w:val="single" w:color="auto" w:sz="4" w:space="0"/>
              <w:left w:val="single" w:color="auto" w:sz="4" w:space="0"/>
              <w:bottom w:val="single" w:color="auto" w:sz="4" w:space="0"/>
              <w:right w:val="single" w:color="auto" w:sz="4" w:space="0"/>
            </w:tcBorders>
            <w:vAlign w:val="center"/>
          </w:tcPr>
          <w:p w14:paraId="03422F79">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14:paraId="1583CBA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816604">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14:paraId="0A33677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113640</w:t>
            </w:r>
          </w:p>
        </w:tc>
        <w:tc>
          <w:tcPr>
            <w:tcW w:w="750" w:type="pct"/>
            <w:tcBorders>
              <w:top w:val="single" w:color="auto" w:sz="4" w:space="0"/>
              <w:left w:val="single" w:color="auto" w:sz="4" w:space="0"/>
              <w:bottom w:val="single" w:color="auto" w:sz="4" w:space="0"/>
              <w:right w:val="single" w:color="auto" w:sz="4" w:space="0"/>
            </w:tcBorders>
            <w:vAlign w:val="center"/>
          </w:tcPr>
          <w:p w14:paraId="71143888">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苏利转债</w:t>
            </w:r>
          </w:p>
        </w:tc>
        <w:tc>
          <w:tcPr>
            <w:tcW w:w="750" w:type="pct"/>
            <w:tcBorders>
              <w:top w:val="single" w:color="auto" w:sz="4" w:space="0"/>
              <w:left w:val="single" w:color="auto" w:sz="4" w:space="0"/>
              <w:bottom w:val="single" w:color="auto" w:sz="4" w:space="0"/>
              <w:right w:val="single" w:color="auto" w:sz="4" w:space="0"/>
            </w:tcBorders>
            <w:vAlign w:val="center"/>
          </w:tcPr>
          <w:p w14:paraId="2FC9BB7C">
            <w:pPr>
              <w:widowControl/>
              <w:snapToGrid w:val="0"/>
              <w:jc w:val="right"/>
              <w:rPr>
                <w:rFonts w:ascii="宋体" w:hAnsi="宋体"/>
                <w:color w:val="000000"/>
                <w:kern w:val="0"/>
                <w:sz w:val="25"/>
                <w:szCs w:val="24"/>
              </w:rPr>
            </w:pPr>
            <w:r>
              <w:rPr>
                <w:rFonts w:ascii="Times New Roman" w:hAnsi="Times New Roman"/>
                <w:color w:val="000000"/>
                <w:kern w:val="0"/>
                <w:sz w:val="25"/>
                <w:szCs w:val="24"/>
              </w:rPr>
              <w:t>2,539,891.37</w:t>
            </w:r>
          </w:p>
        </w:tc>
        <w:tc>
          <w:tcPr>
            <w:tcW w:w="750" w:type="pct"/>
            <w:tcBorders>
              <w:top w:val="single" w:color="auto" w:sz="4" w:space="0"/>
              <w:left w:val="single" w:color="auto" w:sz="4" w:space="0"/>
              <w:bottom w:val="single" w:color="auto" w:sz="4" w:space="0"/>
              <w:right w:val="single" w:color="auto" w:sz="4" w:space="0"/>
            </w:tcBorders>
            <w:vAlign w:val="center"/>
          </w:tcPr>
          <w:p w14:paraId="692A441C">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14:paraId="7CD290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2790B6">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14:paraId="14E7A34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123194</w:t>
            </w:r>
          </w:p>
        </w:tc>
        <w:tc>
          <w:tcPr>
            <w:tcW w:w="750" w:type="pct"/>
            <w:tcBorders>
              <w:top w:val="single" w:color="auto" w:sz="4" w:space="0"/>
              <w:left w:val="single" w:color="auto" w:sz="4" w:space="0"/>
              <w:bottom w:val="single" w:color="auto" w:sz="4" w:space="0"/>
              <w:right w:val="single" w:color="auto" w:sz="4" w:space="0"/>
            </w:tcBorders>
            <w:vAlign w:val="center"/>
          </w:tcPr>
          <w:p w14:paraId="156FE317">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百洋转债</w:t>
            </w:r>
          </w:p>
        </w:tc>
        <w:tc>
          <w:tcPr>
            <w:tcW w:w="750" w:type="pct"/>
            <w:tcBorders>
              <w:top w:val="single" w:color="auto" w:sz="4" w:space="0"/>
              <w:left w:val="single" w:color="auto" w:sz="4" w:space="0"/>
              <w:bottom w:val="single" w:color="auto" w:sz="4" w:space="0"/>
              <w:right w:val="single" w:color="auto" w:sz="4" w:space="0"/>
            </w:tcBorders>
            <w:vAlign w:val="center"/>
          </w:tcPr>
          <w:p w14:paraId="0067AC58">
            <w:pPr>
              <w:widowControl/>
              <w:snapToGrid w:val="0"/>
              <w:jc w:val="right"/>
              <w:rPr>
                <w:rFonts w:ascii="宋体" w:hAnsi="宋体"/>
                <w:color w:val="000000"/>
                <w:kern w:val="0"/>
                <w:sz w:val="25"/>
                <w:szCs w:val="24"/>
              </w:rPr>
            </w:pPr>
            <w:r>
              <w:rPr>
                <w:rFonts w:ascii="Times New Roman" w:hAnsi="Times New Roman"/>
                <w:color w:val="000000"/>
                <w:kern w:val="0"/>
                <w:sz w:val="25"/>
                <w:szCs w:val="24"/>
              </w:rPr>
              <w:t>2,335,915.07</w:t>
            </w:r>
          </w:p>
        </w:tc>
        <w:tc>
          <w:tcPr>
            <w:tcW w:w="750" w:type="pct"/>
            <w:tcBorders>
              <w:top w:val="single" w:color="auto" w:sz="4" w:space="0"/>
              <w:left w:val="single" w:color="auto" w:sz="4" w:space="0"/>
              <w:bottom w:val="single" w:color="auto" w:sz="4" w:space="0"/>
              <w:right w:val="single" w:color="auto" w:sz="4" w:space="0"/>
            </w:tcBorders>
            <w:vAlign w:val="center"/>
          </w:tcPr>
          <w:p w14:paraId="244B6E48">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752DDB1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FD9C1F">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14:paraId="005B183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color="auto" w:sz="4" w:space="0"/>
              <w:left w:val="single" w:color="auto" w:sz="4" w:space="0"/>
              <w:bottom w:val="single" w:color="auto" w:sz="4" w:space="0"/>
              <w:right w:val="single" w:color="auto" w:sz="4" w:space="0"/>
            </w:tcBorders>
            <w:vAlign w:val="center"/>
          </w:tcPr>
          <w:p w14:paraId="41BCF6B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color="auto" w:sz="4" w:space="0"/>
              <w:left w:val="single" w:color="auto" w:sz="4" w:space="0"/>
              <w:bottom w:val="single" w:color="auto" w:sz="4" w:space="0"/>
              <w:right w:val="single" w:color="auto" w:sz="4" w:space="0"/>
            </w:tcBorders>
            <w:vAlign w:val="center"/>
          </w:tcPr>
          <w:p w14:paraId="095159D9">
            <w:pPr>
              <w:widowControl/>
              <w:snapToGrid w:val="0"/>
              <w:jc w:val="right"/>
              <w:rPr>
                <w:rFonts w:ascii="宋体" w:hAnsi="宋体"/>
                <w:color w:val="000000"/>
                <w:kern w:val="0"/>
                <w:sz w:val="25"/>
                <w:szCs w:val="24"/>
              </w:rPr>
            </w:pPr>
            <w:r>
              <w:rPr>
                <w:rFonts w:ascii="Times New Roman" w:hAnsi="Times New Roman"/>
                <w:color w:val="000000"/>
                <w:kern w:val="0"/>
                <w:sz w:val="25"/>
                <w:szCs w:val="24"/>
              </w:rPr>
              <w:t>2,294,385.47</w:t>
            </w:r>
          </w:p>
        </w:tc>
        <w:tc>
          <w:tcPr>
            <w:tcW w:w="750" w:type="pct"/>
            <w:tcBorders>
              <w:top w:val="single" w:color="auto" w:sz="4" w:space="0"/>
              <w:left w:val="single" w:color="auto" w:sz="4" w:space="0"/>
              <w:bottom w:val="single" w:color="auto" w:sz="4" w:space="0"/>
              <w:right w:val="single" w:color="auto" w:sz="4" w:space="0"/>
            </w:tcBorders>
            <w:vAlign w:val="center"/>
          </w:tcPr>
          <w:p w14:paraId="10F07E66">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7F25B92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3B82A8">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14:paraId="35105DF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113064</w:t>
            </w:r>
          </w:p>
        </w:tc>
        <w:tc>
          <w:tcPr>
            <w:tcW w:w="750" w:type="pct"/>
            <w:tcBorders>
              <w:top w:val="single" w:color="auto" w:sz="4" w:space="0"/>
              <w:left w:val="single" w:color="auto" w:sz="4" w:space="0"/>
              <w:bottom w:val="single" w:color="auto" w:sz="4" w:space="0"/>
              <w:right w:val="single" w:color="auto" w:sz="4" w:space="0"/>
            </w:tcBorders>
            <w:vAlign w:val="center"/>
          </w:tcPr>
          <w:p w14:paraId="4FF0CA9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东材转债</w:t>
            </w:r>
          </w:p>
        </w:tc>
        <w:tc>
          <w:tcPr>
            <w:tcW w:w="750" w:type="pct"/>
            <w:tcBorders>
              <w:top w:val="single" w:color="auto" w:sz="4" w:space="0"/>
              <w:left w:val="single" w:color="auto" w:sz="4" w:space="0"/>
              <w:bottom w:val="single" w:color="auto" w:sz="4" w:space="0"/>
              <w:right w:val="single" w:color="auto" w:sz="4" w:space="0"/>
            </w:tcBorders>
            <w:vAlign w:val="center"/>
          </w:tcPr>
          <w:p w14:paraId="63987C69">
            <w:pPr>
              <w:widowControl/>
              <w:snapToGrid w:val="0"/>
              <w:jc w:val="right"/>
              <w:rPr>
                <w:rFonts w:ascii="宋体" w:hAnsi="宋体"/>
                <w:color w:val="000000"/>
                <w:kern w:val="0"/>
                <w:sz w:val="25"/>
                <w:szCs w:val="24"/>
              </w:rPr>
            </w:pPr>
            <w:r>
              <w:rPr>
                <w:rFonts w:ascii="Times New Roman" w:hAnsi="Times New Roman"/>
                <w:color w:val="000000"/>
                <w:kern w:val="0"/>
                <w:sz w:val="25"/>
                <w:szCs w:val="24"/>
              </w:rPr>
              <w:t>2,201,436.10</w:t>
            </w:r>
          </w:p>
        </w:tc>
        <w:tc>
          <w:tcPr>
            <w:tcW w:w="750" w:type="pct"/>
            <w:tcBorders>
              <w:top w:val="single" w:color="auto" w:sz="4" w:space="0"/>
              <w:left w:val="single" w:color="auto" w:sz="4" w:space="0"/>
              <w:bottom w:val="single" w:color="auto" w:sz="4" w:space="0"/>
              <w:right w:val="single" w:color="auto" w:sz="4" w:space="0"/>
            </w:tcBorders>
            <w:vAlign w:val="center"/>
          </w:tcPr>
          <w:p w14:paraId="6BE9B084">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0F991D8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3C0685">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14:paraId="4AD30CE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color="auto" w:sz="4" w:space="0"/>
              <w:left w:val="single" w:color="auto" w:sz="4" w:space="0"/>
              <w:bottom w:val="single" w:color="auto" w:sz="4" w:space="0"/>
              <w:right w:val="single" w:color="auto" w:sz="4" w:space="0"/>
            </w:tcBorders>
            <w:vAlign w:val="center"/>
          </w:tcPr>
          <w:p w14:paraId="1DA406E4">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color="auto" w:sz="4" w:space="0"/>
              <w:left w:val="single" w:color="auto" w:sz="4" w:space="0"/>
              <w:bottom w:val="single" w:color="auto" w:sz="4" w:space="0"/>
              <w:right w:val="single" w:color="auto" w:sz="4" w:space="0"/>
            </w:tcBorders>
            <w:vAlign w:val="center"/>
          </w:tcPr>
          <w:p w14:paraId="38A9190B">
            <w:pPr>
              <w:widowControl/>
              <w:snapToGrid w:val="0"/>
              <w:jc w:val="right"/>
              <w:rPr>
                <w:rFonts w:ascii="宋体" w:hAnsi="宋体"/>
                <w:color w:val="000000"/>
                <w:kern w:val="0"/>
                <w:sz w:val="25"/>
                <w:szCs w:val="24"/>
              </w:rPr>
            </w:pPr>
            <w:r>
              <w:rPr>
                <w:rFonts w:ascii="Times New Roman" w:hAnsi="Times New Roman"/>
                <w:color w:val="000000"/>
                <w:kern w:val="0"/>
                <w:sz w:val="25"/>
                <w:szCs w:val="24"/>
              </w:rPr>
              <w:t>2,159,231.46</w:t>
            </w:r>
          </w:p>
        </w:tc>
        <w:tc>
          <w:tcPr>
            <w:tcW w:w="750" w:type="pct"/>
            <w:tcBorders>
              <w:top w:val="single" w:color="auto" w:sz="4" w:space="0"/>
              <w:left w:val="single" w:color="auto" w:sz="4" w:space="0"/>
              <w:bottom w:val="single" w:color="auto" w:sz="4" w:space="0"/>
              <w:right w:val="single" w:color="auto" w:sz="4" w:space="0"/>
            </w:tcBorders>
            <w:vAlign w:val="center"/>
          </w:tcPr>
          <w:p w14:paraId="4A32880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7F9B333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0EAB99">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14:paraId="4DD9C11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color="auto" w:sz="4" w:space="0"/>
              <w:left w:val="single" w:color="auto" w:sz="4" w:space="0"/>
              <w:bottom w:val="single" w:color="auto" w:sz="4" w:space="0"/>
              <w:right w:val="single" w:color="auto" w:sz="4" w:space="0"/>
            </w:tcBorders>
            <w:vAlign w:val="center"/>
          </w:tcPr>
          <w:p w14:paraId="35D20F50">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color="auto" w:sz="4" w:space="0"/>
              <w:left w:val="single" w:color="auto" w:sz="4" w:space="0"/>
              <w:bottom w:val="single" w:color="auto" w:sz="4" w:space="0"/>
              <w:right w:val="single" w:color="auto" w:sz="4" w:space="0"/>
            </w:tcBorders>
            <w:vAlign w:val="center"/>
          </w:tcPr>
          <w:p w14:paraId="56A243C2">
            <w:pPr>
              <w:widowControl/>
              <w:snapToGrid w:val="0"/>
              <w:jc w:val="right"/>
              <w:rPr>
                <w:rFonts w:ascii="宋体" w:hAnsi="宋体"/>
                <w:color w:val="000000"/>
                <w:kern w:val="0"/>
                <w:sz w:val="25"/>
                <w:szCs w:val="24"/>
              </w:rPr>
            </w:pPr>
            <w:r>
              <w:rPr>
                <w:rFonts w:ascii="Times New Roman" w:hAnsi="Times New Roman"/>
                <w:color w:val="000000"/>
                <w:kern w:val="0"/>
                <w:sz w:val="25"/>
                <w:szCs w:val="24"/>
              </w:rPr>
              <w:t>2,128,799.34</w:t>
            </w:r>
          </w:p>
        </w:tc>
        <w:tc>
          <w:tcPr>
            <w:tcW w:w="750" w:type="pct"/>
            <w:tcBorders>
              <w:top w:val="single" w:color="auto" w:sz="4" w:space="0"/>
              <w:left w:val="single" w:color="auto" w:sz="4" w:space="0"/>
              <w:bottom w:val="single" w:color="auto" w:sz="4" w:space="0"/>
              <w:right w:val="single" w:color="auto" w:sz="4" w:space="0"/>
            </w:tcBorders>
            <w:vAlign w:val="center"/>
          </w:tcPr>
          <w:p w14:paraId="2A0E3F32">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285761F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08747D">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14:paraId="5F6999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color="auto" w:sz="4" w:space="0"/>
              <w:left w:val="single" w:color="auto" w:sz="4" w:space="0"/>
              <w:bottom w:val="single" w:color="auto" w:sz="4" w:space="0"/>
              <w:right w:val="single" w:color="auto" w:sz="4" w:space="0"/>
            </w:tcBorders>
            <w:vAlign w:val="center"/>
          </w:tcPr>
          <w:p w14:paraId="7126554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color="auto" w:sz="4" w:space="0"/>
              <w:left w:val="single" w:color="auto" w:sz="4" w:space="0"/>
              <w:bottom w:val="single" w:color="auto" w:sz="4" w:space="0"/>
              <w:right w:val="single" w:color="auto" w:sz="4" w:space="0"/>
            </w:tcBorders>
            <w:vAlign w:val="center"/>
          </w:tcPr>
          <w:p w14:paraId="66A2448E">
            <w:pPr>
              <w:widowControl/>
              <w:snapToGrid w:val="0"/>
              <w:jc w:val="right"/>
              <w:rPr>
                <w:rFonts w:ascii="宋体" w:hAnsi="宋体"/>
                <w:color w:val="000000"/>
                <w:kern w:val="0"/>
                <w:sz w:val="25"/>
                <w:szCs w:val="24"/>
              </w:rPr>
            </w:pPr>
            <w:r>
              <w:rPr>
                <w:rFonts w:ascii="Times New Roman" w:hAnsi="Times New Roman"/>
                <w:color w:val="000000"/>
                <w:kern w:val="0"/>
                <w:sz w:val="25"/>
                <w:szCs w:val="24"/>
              </w:rPr>
              <w:t>2,122,651.74</w:t>
            </w:r>
          </w:p>
        </w:tc>
        <w:tc>
          <w:tcPr>
            <w:tcW w:w="750" w:type="pct"/>
            <w:tcBorders>
              <w:top w:val="single" w:color="auto" w:sz="4" w:space="0"/>
              <w:left w:val="single" w:color="auto" w:sz="4" w:space="0"/>
              <w:bottom w:val="single" w:color="auto" w:sz="4" w:space="0"/>
              <w:right w:val="single" w:color="auto" w:sz="4" w:space="0"/>
            </w:tcBorders>
            <w:vAlign w:val="center"/>
          </w:tcPr>
          <w:p w14:paraId="7A2CEB9A">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3BE6C96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B57083E">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14:paraId="14E40A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110077</w:t>
            </w:r>
          </w:p>
        </w:tc>
        <w:tc>
          <w:tcPr>
            <w:tcW w:w="750" w:type="pct"/>
            <w:tcBorders>
              <w:top w:val="single" w:color="auto" w:sz="4" w:space="0"/>
              <w:left w:val="single" w:color="auto" w:sz="4" w:space="0"/>
              <w:bottom w:val="single" w:color="auto" w:sz="4" w:space="0"/>
              <w:right w:val="single" w:color="auto" w:sz="4" w:space="0"/>
            </w:tcBorders>
            <w:vAlign w:val="center"/>
          </w:tcPr>
          <w:p w14:paraId="0B734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洪城转债</w:t>
            </w:r>
          </w:p>
        </w:tc>
        <w:tc>
          <w:tcPr>
            <w:tcW w:w="750" w:type="pct"/>
            <w:tcBorders>
              <w:top w:val="single" w:color="auto" w:sz="4" w:space="0"/>
              <w:left w:val="single" w:color="auto" w:sz="4" w:space="0"/>
              <w:bottom w:val="single" w:color="auto" w:sz="4" w:space="0"/>
              <w:right w:val="single" w:color="auto" w:sz="4" w:space="0"/>
            </w:tcBorders>
            <w:vAlign w:val="center"/>
          </w:tcPr>
          <w:p w14:paraId="5F8593A0">
            <w:pPr>
              <w:widowControl/>
              <w:snapToGrid w:val="0"/>
              <w:jc w:val="right"/>
              <w:rPr>
                <w:rFonts w:ascii="宋体" w:hAnsi="宋体"/>
                <w:color w:val="000000"/>
                <w:kern w:val="0"/>
                <w:sz w:val="25"/>
                <w:szCs w:val="24"/>
              </w:rPr>
            </w:pPr>
            <w:r>
              <w:rPr>
                <w:rFonts w:ascii="Times New Roman" w:hAnsi="Times New Roman"/>
                <w:color w:val="000000"/>
                <w:kern w:val="0"/>
                <w:sz w:val="25"/>
                <w:szCs w:val="24"/>
              </w:rPr>
              <w:t>1,945,027.69</w:t>
            </w:r>
          </w:p>
        </w:tc>
        <w:tc>
          <w:tcPr>
            <w:tcW w:w="750" w:type="pct"/>
            <w:tcBorders>
              <w:top w:val="single" w:color="auto" w:sz="4" w:space="0"/>
              <w:left w:val="single" w:color="auto" w:sz="4" w:space="0"/>
              <w:bottom w:val="single" w:color="auto" w:sz="4" w:space="0"/>
              <w:right w:val="single" w:color="auto" w:sz="4" w:space="0"/>
            </w:tcBorders>
            <w:vAlign w:val="center"/>
          </w:tcPr>
          <w:p w14:paraId="227D4C59">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14:paraId="641CF2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FC92A72">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14:paraId="036E097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color="auto" w:sz="4" w:space="0"/>
              <w:left w:val="single" w:color="auto" w:sz="4" w:space="0"/>
              <w:bottom w:val="single" w:color="auto" w:sz="4" w:space="0"/>
              <w:right w:val="single" w:color="auto" w:sz="4" w:space="0"/>
            </w:tcBorders>
            <w:vAlign w:val="center"/>
          </w:tcPr>
          <w:p w14:paraId="2F6E00F5">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color="auto" w:sz="4" w:space="0"/>
              <w:left w:val="single" w:color="auto" w:sz="4" w:space="0"/>
              <w:bottom w:val="single" w:color="auto" w:sz="4" w:space="0"/>
              <w:right w:val="single" w:color="auto" w:sz="4" w:space="0"/>
            </w:tcBorders>
            <w:vAlign w:val="center"/>
          </w:tcPr>
          <w:p w14:paraId="2A2791F8">
            <w:pPr>
              <w:widowControl/>
              <w:snapToGrid w:val="0"/>
              <w:jc w:val="right"/>
              <w:rPr>
                <w:rFonts w:ascii="宋体" w:hAnsi="宋体"/>
                <w:color w:val="000000"/>
                <w:kern w:val="0"/>
                <w:sz w:val="25"/>
                <w:szCs w:val="24"/>
              </w:rPr>
            </w:pPr>
            <w:r>
              <w:rPr>
                <w:rFonts w:ascii="Times New Roman" w:hAnsi="Times New Roman"/>
                <w:color w:val="000000"/>
                <w:kern w:val="0"/>
                <w:sz w:val="25"/>
                <w:szCs w:val="24"/>
              </w:rPr>
              <w:t>1,911,994.52</w:t>
            </w:r>
          </w:p>
        </w:tc>
        <w:tc>
          <w:tcPr>
            <w:tcW w:w="750" w:type="pct"/>
            <w:tcBorders>
              <w:top w:val="single" w:color="auto" w:sz="4" w:space="0"/>
              <w:left w:val="single" w:color="auto" w:sz="4" w:space="0"/>
              <w:bottom w:val="single" w:color="auto" w:sz="4" w:space="0"/>
              <w:right w:val="single" w:color="auto" w:sz="4" w:space="0"/>
            </w:tcBorders>
            <w:vAlign w:val="center"/>
          </w:tcPr>
          <w:p w14:paraId="4B179E33">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14:paraId="43AC933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9C82DC">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color="auto" w:sz="4" w:space="0"/>
              <w:left w:val="single" w:color="auto" w:sz="4" w:space="0"/>
              <w:bottom w:val="single" w:color="auto" w:sz="4" w:space="0"/>
              <w:right w:val="single" w:color="auto" w:sz="4" w:space="0"/>
            </w:tcBorders>
            <w:vAlign w:val="center"/>
          </w:tcPr>
          <w:p w14:paraId="2055159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color="auto" w:sz="4" w:space="0"/>
              <w:left w:val="single" w:color="auto" w:sz="4" w:space="0"/>
              <w:bottom w:val="single" w:color="auto" w:sz="4" w:space="0"/>
              <w:right w:val="single" w:color="auto" w:sz="4" w:space="0"/>
            </w:tcBorders>
            <w:vAlign w:val="center"/>
          </w:tcPr>
          <w:p w14:paraId="7B299891">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color="auto" w:sz="4" w:space="0"/>
              <w:left w:val="single" w:color="auto" w:sz="4" w:space="0"/>
              <w:bottom w:val="single" w:color="auto" w:sz="4" w:space="0"/>
              <w:right w:val="single" w:color="auto" w:sz="4" w:space="0"/>
            </w:tcBorders>
            <w:vAlign w:val="center"/>
          </w:tcPr>
          <w:p w14:paraId="05CEEFA9">
            <w:pPr>
              <w:widowControl/>
              <w:snapToGrid w:val="0"/>
              <w:jc w:val="right"/>
              <w:rPr>
                <w:rFonts w:ascii="宋体" w:hAnsi="宋体"/>
                <w:color w:val="000000"/>
                <w:kern w:val="0"/>
                <w:sz w:val="25"/>
                <w:szCs w:val="24"/>
              </w:rPr>
            </w:pPr>
            <w:r>
              <w:rPr>
                <w:rFonts w:ascii="Times New Roman" w:hAnsi="Times New Roman"/>
                <w:color w:val="000000"/>
                <w:kern w:val="0"/>
                <w:sz w:val="25"/>
                <w:szCs w:val="24"/>
              </w:rPr>
              <w:t>1,811,311.27</w:t>
            </w:r>
          </w:p>
        </w:tc>
        <w:tc>
          <w:tcPr>
            <w:tcW w:w="750" w:type="pct"/>
            <w:tcBorders>
              <w:top w:val="single" w:color="auto" w:sz="4" w:space="0"/>
              <w:left w:val="single" w:color="auto" w:sz="4" w:space="0"/>
              <w:bottom w:val="single" w:color="auto" w:sz="4" w:space="0"/>
              <w:right w:val="single" w:color="auto" w:sz="4" w:space="0"/>
            </w:tcBorders>
            <w:vAlign w:val="center"/>
          </w:tcPr>
          <w:p w14:paraId="6ECCD8F8">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5A8A486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99496D">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color="auto" w:sz="4" w:space="0"/>
              <w:left w:val="single" w:color="auto" w:sz="4" w:space="0"/>
              <w:bottom w:val="single" w:color="auto" w:sz="4" w:space="0"/>
              <w:right w:val="single" w:color="auto" w:sz="4" w:space="0"/>
            </w:tcBorders>
            <w:vAlign w:val="center"/>
          </w:tcPr>
          <w:p w14:paraId="69A2B24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14:paraId="219DA21D">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14:paraId="3760E9FC">
            <w:pPr>
              <w:widowControl/>
              <w:snapToGrid w:val="0"/>
              <w:jc w:val="right"/>
              <w:rPr>
                <w:rFonts w:ascii="宋体" w:hAnsi="宋体"/>
                <w:color w:val="000000"/>
                <w:kern w:val="0"/>
                <w:sz w:val="25"/>
                <w:szCs w:val="24"/>
              </w:rPr>
            </w:pPr>
            <w:r>
              <w:rPr>
                <w:rFonts w:ascii="Times New Roman" w:hAnsi="Times New Roman"/>
                <w:color w:val="000000"/>
                <w:kern w:val="0"/>
                <w:sz w:val="25"/>
                <w:szCs w:val="24"/>
              </w:rPr>
              <w:t>1,766,473.16</w:t>
            </w:r>
          </w:p>
        </w:tc>
        <w:tc>
          <w:tcPr>
            <w:tcW w:w="750" w:type="pct"/>
            <w:tcBorders>
              <w:top w:val="single" w:color="auto" w:sz="4" w:space="0"/>
              <w:left w:val="single" w:color="auto" w:sz="4" w:space="0"/>
              <w:bottom w:val="single" w:color="auto" w:sz="4" w:space="0"/>
              <w:right w:val="single" w:color="auto" w:sz="4" w:space="0"/>
            </w:tcBorders>
            <w:vAlign w:val="center"/>
          </w:tcPr>
          <w:p w14:paraId="1BFD2BE9">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6354879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09AC69">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color="auto" w:sz="4" w:space="0"/>
              <w:left w:val="single" w:color="auto" w:sz="4" w:space="0"/>
              <w:bottom w:val="single" w:color="auto" w:sz="4" w:space="0"/>
              <w:right w:val="single" w:color="auto" w:sz="4" w:space="0"/>
            </w:tcBorders>
            <w:vAlign w:val="center"/>
          </w:tcPr>
          <w:p w14:paraId="3C27E2B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127073</w:t>
            </w:r>
          </w:p>
        </w:tc>
        <w:tc>
          <w:tcPr>
            <w:tcW w:w="750" w:type="pct"/>
            <w:tcBorders>
              <w:top w:val="single" w:color="auto" w:sz="4" w:space="0"/>
              <w:left w:val="single" w:color="auto" w:sz="4" w:space="0"/>
              <w:bottom w:val="single" w:color="auto" w:sz="4" w:space="0"/>
              <w:right w:val="single" w:color="auto" w:sz="4" w:space="0"/>
            </w:tcBorders>
            <w:vAlign w:val="center"/>
          </w:tcPr>
          <w:p w14:paraId="6130F3D2">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天赐转债</w:t>
            </w:r>
          </w:p>
        </w:tc>
        <w:tc>
          <w:tcPr>
            <w:tcW w:w="750" w:type="pct"/>
            <w:tcBorders>
              <w:top w:val="single" w:color="auto" w:sz="4" w:space="0"/>
              <w:left w:val="single" w:color="auto" w:sz="4" w:space="0"/>
              <w:bottom w:val="single" w:color="auto" w:sz="4" w:space="0"/>
              <w:right w:val="single" w:color="auto" w:sz="4" w:space="0"/>
            </w:tcBorders>
            <w:vAlign w:val="center"/>
          </w:tcPr>
          <w:p w14:paraId="2E06B6BA">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1,701,522.59</w:t>
            </w:r>
          </w:p>
        </w:tc>
        <w:tc>
          <w:tcPr>
            <w:tcW w:w="750" w:type="pct"/>
            <w:tcBorders>
              <w:top w:val="single" w:color="auto" w:sz="4" w:space="0"/>
              <w:left w:val="single" w:color="auto" w:sz="4" w:space="0"/>
              <w:bottom w:val="single" w:color="auto" w:sz="4" w:space="0"/>
              <w:right w:val="single" w:color="auto" w:sz="4" w:space="0"/>
            </w:tcBorders>
            <w:vAlign w:val="center"/>
          </w:tcPr>
          <w:p w14:paraId="529CC593">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44347C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E2C157">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color="auto" w:sz="4" w:space="0"/>
              <w:left w:val="single" w:color="auto" w:sz="4" w:space="0"/>
              <w:bottom w:val="single" w:color="auto" w:sz="4" w:space="0"/>
              <w:right w:val="single" w:color="auto" w:sz="4" w:space="0"/>
            </w:tcBorders>
            <w:vAlign w:val="center"/>
          </w:tcPr>
          <w:p w14:paraId="621FE86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color="auto" w:sz="4" w:space="0"/>
              <w:left w:val="single" w:color="auto" w:sz="4" w:space="0"/>
              <w:bottom w:val="single" w:color="auto" w:sz="4" w:space="0"/>
              <w:right w:val="single" w:color="auto" w:sz="4" w:space="0"/>
            </w:tcBorders>
            <w:vAlign w:val="center"/>
          </w:tcPr>
          <w:p w14:paraId="7D23309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color="auto" w:sz="4" w:space="0"/>
              <w:left w:val="single" w:color="auto" w:sz="4" w:space="0"/>
              <w:bottom w:val="single" w:color="auto" w:sz="4" w:space="0"/>
              <w:right w:val="single" w:color="auto" w:sz="4" w:space="0"/>
            </w:tcBorders>
            <w:vAlign w:val="center"/>
          </w:tcPr>
          <w:p w14:paraId="4A0C497A">
            <w:pPr>
              <w:widowControl/>
              <w:snapToGrid w:val="0"/>
              <w:jc w:val="right"/>
              <w:rPr>
                <w:rFonts w:ascii="宋体" w:hAnsi="宋体"/>
                <w:color w:val="000000"/>
                <w:kern w:val="0"/>
                <w:sz w:val="25"/>
                <w:szCs w:val="24"/>
              </w:rPr>
            </w:pPr>
            <w:r>
              <w:rPr>
                <w:rFonts w:ascii="Times New Roman" w:hAnsi="Times New Roman"/>
                <w:color w:val="000000"/>
                <w:kern w:val="0"/>
                <w:sz w:val="25"/>
                <w:szCs w:val="24"/>
              </w:rPr>
              <w:t>1,674,783.19</w:t>
            </w:r>
          </w:p>
        </w:tc>
        <w:tc>
          <w:tcPr>
            <w:tcW w:w="750" w:type="pct"/>
            <w:tcBorders>
              <w:top w:val="single" w:color="auto" w:sz="4" w:space="0"/>
              <w:left w:val="single" w:color="auto" w:sz="4" w:space="0"/>
              <w:bottom w:val="single" w:color="auto" w:sz="4" w:space="0"/>
              <w:right w:val="single" w:color="auto" w:sz="4" w:space="0"/>
            </w:tcBorders>
            <w:vAlign w:val="center"/>
          </w:tcPr>
          <w:p w14:paraId="546BBCBD">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04C37E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C923194">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color="auto" w:sz="4" w:space="0"/>
              <w:left w:val="single" w:color="auto" w:sz="4" w:space="0"/>
              <w:bottom w:val="single" w:color="auto" w:sz="4" w:space="0"/>
              <w:right w:val="single" w:color="auto" w:sz="4" w:space="0"/>
            </w:tcBorders>
            <w:vAlign w:val="center"/>
          </w:tcPr>
          <w:p w14:paraId="7F84C1C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111003</w:t>
            </w:r>
          </w:p>
        </w:tc>
        <w:tc>
          <w:tcPr>
            <w:tcW w:w="750" w:type="pct"/>
            <w:tcBorders>
              <w:top w:val="single" w:color="auto" w:sz="4" w:space="0"/>
              <w:left w:val="single" w:color="auto" w:sz="4" w:space="0"/>
              <w:bottom w:val="single" w:color="auto" w:sz="4" w:space="0"/>
              <w:right w:val="single" w:color="auto" w:sz="4" w:space="0"/>
            </w:tcBorders>
            <w:vAlign w:val="center"/>
          </w:tcPr>
          <w:p w14:paraId="230B9071">
            <w:pPr>
              <w:widowControl/>
              <w:snapToGrid w:val="0"/>
              <w:jc w:val="center"/>
              <w:rPr>
                <w:rFonts w:ascii="宋体" w:hAnsi="宋体"/>
                <w:color w:val="000000"/>
                <w:kern w:val="0"/>
                <w:sz w:val="25"/>
                <w:szCs w:val="24"/>
              </w:rPr>
            </w:pPr>
            <w:r>
              <w:rPr>
                <w:rFonts w:ascii="Times New Roman" w:hAnsi="Times New Roman"/>
                <w:color w:val="000000"/>
                <w:kern w:val="0"/>
                <w:sz w:val="25"/>
                <w:szCs w:val="24"/>
              </w:rPr>
              <w:t>聚合转债</w:t>
            </w:r>
          </w:p>
        </w:tc>
        <w:tc>
          <w:tcPr>
            <w:tcW w:w="750" w:type="pct"/>
            <w:tcBorders>
              <w:top w:val="single" w:color="auto" w:sz="4" w:space="0"/>
              <w:left w:val="single" w:color="auto" w:sz="4" w:space="0"/>
              <w:bottom w:val="single" w:color="auto" w:sz="4" w:space="0"/>
              <w:right w:val="single" w:color="auto" w:sz="4" w:space="0"/>
            </w:tcBorders>
            <w:vAlign w:val="center"/>
          </w:tcPr>
          <w:p w14:paraId="0DB11718">
            <w:pPr>
              <w:widowControl/>
              <w:snapToGrid w:val="0"/>
              <w:jc w:val="right"/>
              <w:rPr>
                <w:rFonts w:ascii="宋体" w:hAnsi="宋体"/>
                <w:color w:val="000000"/>
                <w:kern w:val="0"/>
                <w:sz w:val="25"/>
                <w:szCs w:val="24"/>
              </w:rPr>
            </w:pPr>
            <w:r>
              <w:rPr>
                <w:rFonts w:ascii="Times New Roman" w:hAnsi="Times New Roman"/>
                <w:color w:val="000000"/>
                <w:kern w:val="0"/>
                <w:sz w:val="25"/>
                <w:szCs w:val="24"/>
              </w:rPr>
              <w:t>1,654,333.54</w:t>
            </w:r>
          </w:p>
        </w:tc>
        <w:tc>
          <w:tcPr>
            <w:tcW w:w="750" w:type="pct"/>
            <w:tcBorders>
              <w:top w:val="single" w:color="auto" w:sz="4" w:space="0"/>
              <w:left w:val="single" w:color="auto" w:sz="4" w:space="0"/>
              <w:bottom w:val="single" w:color="auto" w:sz="4" w:space="0"/>
              <w:right w:val="single" w:color="auto" w:sz="4" w:space="0"/>
            </w:tcBorders>
            <w:vAlign w:val="center"/>
          </w:tcPr>
          <w:p w14:paraId="5DCFB79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71FA40A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D95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color="auto" w:sz="4" w:space="0"/>
              <w:left w:val="single" w:color="auto" w:sz="4" w:space="0"/>
              <w:bottom w:val="single" w:color="auto" w:sz="4" w:space="0"/>
              <w:right w:val="single" w:color="auto" w:sz="4" w:space="0"/>
            </w:tcBorders>
            <w:vAlign w:val="center"/>
          </w:tcPr>
          <w:p w14:paraId="5E592BF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color="auto" w:sz="4" w:space="0"/>
              <w:left w:val="single" w:color="auto" w:sz="4" w:space="0"/>
              <w:bottom w:val="single" w:color="auto" w:sz="4" w:space="0"/>
              <w:right w:val="single" w:color="auto" w:sz="4" w:space="0"/>
            </w:tcBorders>
            <w:vAlign w:val="center"/>
          </w:tcPr>
          <w:p w14:paraId="1DF92A55">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color="auto" w:sz="4" w:space="0"/>
              <w:left w:val="single" w:color="auto" w:sz="4" w:space="0"/>
              <w:bottom w:val="single" w:color="auto" w:sz="4" w:space="0"/>
              <w:right w:val="single" w:color="auto" w:sz="4" w:space="0"/>
            </w:tcBorders>
            <w:vAlign w:val="center"/>
          </w:tcPr>
          <w:p w14:paraId="7AD9B2CD">
            <w:pPr>
              <w:widowControl/>
              <w:snapToGrid w:val="0"/>
              <w:jc w:val="right"/>
              <w:rPr>
                <w:rFonts w:ascii="宋体" w:hAnsi="宋体"/>
                <w:color w:val="000000"/>
                <w:kern w:val="0"/>
                <w:sz w:val="25"/>
                <w:szCs w:val="24"/>
              </w:rPr>
            </w:pPr>
            <w:r>
              <w:rPr>
                <w:rFonts w:ascii="Times New Roman" w:hAnsi="Times New Roman"/>
                <w:color w:val="000000"/>
                <w:kern w:val="0"/>
                <w:sz w:val="25"/>
                <w:szCs w:val="24"/>
              </w:rPr>
              <w:t>1,628,992.05</w:t>
            </w:r>
          </w:p>
        </w:tc>
        <w:tc>
          <w:tcPr>
            <w:tcW w:w="750" w:type="pct"/>
            <w:tcBorders>
              <w:top w:val="single" w:color="auto" w:sz="4" w:space="0"/>
              <w:left w:val="single" w:color="auto" w:sz="4" w:space="0"/>
              <w:bottom w:val="single" w:color="auto" w:sz="4" w:space="0"/>
              <w:right w:val="single" w:color="auto" w:sz="4" w:space="0"/>
            </w:tcBorders>
            <w:vAlign w:val="center"/>
          </w:tcPr>
          <w:p w14:paraId="0CAD5DF5">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0585A92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8FB099">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color="auto" w:sz="4" w:space="0"/>
              <w:left w:val="single" w:color="auto" w:sz="4" w:space="0"/>
              <w:bottom w:val="single" w:color="auto" w:sz="4" w:space="0"/>
              <w:right w:val="single" w:color="auto" w:sz="4" w:space="0"/>
            </w:tcBorders>
            <w:vAlign w:val="center"/>
          </w:tcPr>
          <w:p w14:paraId="2B76945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123236</w:t>
            </w:r>
          </w:p>
        </w:tc>
        <w:tc>
          <w:tcPr>
            <w:tcW w:w="750" w:type="pct"/>
            <w:tcBorders>
              <w:top w:val="single" w:color="auto" w:sz="4" w:space="0"/>
              <w:left w:val="single" w:color="auto" w:sz="4" w:space="0"/>
              <w:bottom w:val="single" w:color="auto" w:sz="4" w:space="0"/>
              <w:right w:val="single" w:color="auto" w:sz="4" w:space="0"/>
            </w:tcBorders>
            <w:vAlign w:val="center"/>
          </w:tcPr>
          <w:p w14:paraId="7F26386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家联转债</w:t>
            </w:r>
          </w:p>
        </w:tc>
        <w:tc>
          <w:tcPr>
            <w:tcW w:w="750" w:type="pct"/>
            <w:tcBorders>
              <w:top w:val="single" w:color="auto" w:sz="4" w:space="0"/>
              <w:left w:val="single" w:color="auto" w:sz="4" w:space="0"/>
              <w:bottom w:val="single" w:color="auto" w:sz="4" w:space="0"/>
              <w:right w:val="single" w:color="auto" w:sz="4" w:space="0"/>
            </w:tcBorders>
            <w:vAlign w:val="center"/>
          </w:tcPr>
          <w:p w14:paraId="784FB7D6">
            <w:pPr>
              <w:widowControl/>
              <w:snapToGrid w:val="0"/>
              <w:jc w:val="right"/>
              <w:rPr>
                <w:rFonts w:ascii="宋体" w:hAnsi="宋体"/>
                <w:color w:val="000000"/>
                <w:kern w:val="0"/>
                <w:sz w:val="25"/>
                <w:szCs w:val="24"/>
              </w:rPr>
            </w:pPr>
            <w:r>
              <w:rPr>
                <w:rFonts w:ascii="Times New Roman" w:hAnsi="Times New Roman"/>
                <w:color w:val="000000"/>
                <w:kern w:val="0"/>
                <w:sz w:val="25"/>
                <w:szCs w:val="24"/>
              </w:rPr>
              <w:t>1,628,894.25</w:t>
            </w:r>
          </w:p>
        </w:tc>
        <w:tc>
          <w:tcPr>
            <w:tcW w:w="750" w:type="pct"/>
            <w:tcBorders>
              <w:top w:val="single" w:color="auto" w:sz="4" w:space="0"/>
              <w:left w:val="single" w:color="auto" w:sz="4" w:space="0"/>
              <w:bottom w:val="single" w:color="auto" w:sz="4" w:space="0"/>
              <w:right w:val="single" w:color="auto" w:sz="4" w:space="0"/>
            </w:tcBorders>
            <w:vAlign w:val="center"/>
          </w:tcPr>
          <w:p w14:paraId="254C91E4">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1C22108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B60D89">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color="auto" w:sz="4" w:space="0"/>
              <w:left w:val="single" w:color="auto" w:sz="4" w:space="0"/>
              <w:bottom w:val="single" w:color="auto" w:sz="4" w:space="0"/>
              <w:right w:val="single" w:color="auto" w:sz="4" w:space="0"/>
            </w:tcBorders>
            <w:vAlign w:val="center"/>
          </w:tcPr>
          <w:p w14:paraId="2A3223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color="auto" w:sz="4" w:space="0"/>
              <w:left w:val="single" w:color="auto" w:sz="4" w:space="0"/>
              <w:bottom w:val="single" w:color="auto" w:sz="4" w:space="0"/>
              <w:right w:val="single" w:color="auto" w:sz="4" w:space="0"/>
            </w:tcBorders>
            <w:vAlign w:val="center"/>
          </w:tcPr>
          <w:p w14:paraId="608C94E6">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color="auto" w:sz="4" w:space="0"/>
              <w:left w:val="single" w:color="auto" w:sz="4" w:space="0"/>
              <w:bottom w:val="single" w:color="auto" w:sz="4" w:space="0"/>
              <w:right w:val="single" w:color="auto" w:sz="4" w:space="0"/>
            </w:tcBorders>
            <w:vAlign w:val="center"/>
          </w:tcPr>
          <w:p w14:paraId="0C39201D">
            <w:pPr>
              <w:widowControl/>
              <w:snapToGrid w:val="0"/>
              <w:jc w:val="right"/>
              <w:rPr>
                <w:rFonts w:ascii="宋体" w:hAnsi="宋体"/>
                <w:color w:val="000000"/>
                <w:kern w:val="0"/>
                <w:sz w:val="25"/>
                <w:szCs w:val="24"/>
              </w:rPr>
            </w:pPr>
            <w:r>
              <w:rPr>
                <w:rFonts w:ascii="Times New Roman" w:hAnsi="Times New Roman"/>
                <w:color w:val="000000"/>
                <w:kern w:val="0"/>
                <w:sz w:val="25"/>
                <w:szCs w:val="24"/>
              </w:rPr>
              <w:t>1,557,352.41</w:t>
            </w:r>
          </w:p>
        </w:tc>
        <w:tc>
          <w:tcPr>
            <w:tcW w:w="750" w:type="pct"/>
            <w:tcBorders>
              <w:top w:val="single" w:color="auto" w:sz="4" w:space="0"/>
              <w:left w:val="single" w:color="auto" w:sz="4" w:space="0"/>
              <w:bottom w:val="single" w:color="auto" w:sz="4" w:space="0"/>
              <w:right w:val="single" w:color="auto" w:sz="4" w:space="0"/>
            </w:tcBorders>
            <w:vAlign w:val="center"/>
          </w:tcPr>
          <w:p w14:paraId="0691A2E0">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14:paraId="0EFFCE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E15B91">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color="auto" w:sz="4" w:space="0"/>
              <w:left w:val="single" w:color="auto" w:sz="4" w:space="0"/>
              <w:bottom w:val="single" w:color="auto" w:sz="4" w:space="0"/>
              <w:right w:val="single" w:color="auto" w:sz="4" w:space="0"/>
            </w:tcBorders>
            <w:vAlign w:val="center"/>
          </w:tcPr>
          <w:p w14:paraId="1D82B6E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127095</w:t>
            </w:r>
          </w:p>
        </w:tc>
        <w:tc>
          <w:tcPr>
            <w:tcW w:w="750" w:type="pct"/>
            <w:tcBorders>
              <w:top w:val="single" w:color="auto" w:sz="4" w:space="0"/>
              <w:left w:val="single" w:color="auto" w:sz="4" w:space="0"/>
              <w:bottom w:val="single" w:color="auto" w:sz="4" w:space="0"/>
              <w:right w:val="single" w:color="auto" w:sz="4" w:space="0"/>
            </w:tcBorders>
            <w:vAlign w:val="center"/>
          </w:tcPr>
          <w:p w14:paraId="3AB04F21">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广泰转债</w:t>
            </w:r>
          </w:p>
        </w:tc>
        <w:tc>
          <w:tcPr>
            <w:tcW w:w="750" w:type="pct"/>
            <w:tcBorders>
              <w:top w:val="single" w:color="auto" w:sz="4" w:space="0"/>
              <w:left w:val="single" w:color="auto" w:sz="4" w:space="0"/>
              <w:bottom w:val="single" w:color="auto" w:sz="4" w:space="0"/>
              <w:right w:val="single" w:color="auto" w:sz="4" w:space="0"/>
            </w:tcBorders>
            <w:vAlign w:val="center"/>
          </w:tcPr>
          <w:p w14:paraId="18D88533">
            <w:pPr>
              <w:widowControl/>
              <w:snapToGrid w:val="0"/>
              <w:jc w:val="right"/>
              <w:rPr>
                <w:rFonts w:ascii="宋体" w:hAnsi="宋体"/>
                <w:color w:val="000000"/>
                <w:kern w:val="0"/>
                <w:sz w:val="25"/>
                <w:szCs w:val="24"/>
              </w:rPr>
            </w:pPr>
            <w:r>
              <w:rPr>
                <w:rFonts w:ascii="Times New Roman" w:hAnsi="Times New Roman"/>
                <w:color w:val="000000"/>
                <w:kern w:val="0"/>
                <w:sz w:val="25"/>
                <w:szCs w:val="24"/>
              </w:rPr>
              <w:t>1,360,431.69</w:t>
            </w:r>
          </w:p>
        </w:tc>
        <w:tc>
          <w:tcPr>
            <w:tcW w:w="750" w:type="pct"/>
            <w:tcBorders>
              <w:top w:val="single" w:color="auto" w:sz="4" w:space="0"/>
              <w:left w:val="single" w:color="auto" w:sz="4" w:space="0"/>
              <w:bottom w:val="single" w:color="auto" w:sz="4" w:space="0"/>
              <w:right w:val="single" w:color="auto" w:sz="4" w:space="0"/>
            </w:tcBorders>
            <w:vAlign w:val="center"/>
          </w:tcPr>
          <w:p w14:paraId="457AB1B2">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13C7745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8FF6FB">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color="auto" w:sz="4" w:space="0"/>
              <w:left w:val="single" w:color="auto" w:sz="4" w:space="0"/>
              <w:bottom w:val="single" w:color="auto" w:sz="4" w:space="0"/>
              <w:right w:val="single" w:color="auto" w:sz="4" w:space="0"/>
            </w:tcBorders>
            <w:vAlign w:val="center"/>
          </w:tcPr>
          <w:p w14:paraId="5C02A8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color="auto" w:sz="4" w:space="0"/>
              <w:left w:val="single" w:color="auto" w:sz="4" w:space="0"/>
              <w:bottom w:val="single" w:color="auto" w:sz="4" w:space="0"/>
              <w:right w:val="single" w:color="auto" w:sz="4" w:space="0"/>
            </w:tcBorders>
            <w:vAlign w:val="center"/>
          </w:tcPr>
          <w:p w14:paraId="6CF94651">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隆22转债</w:t>
            </w:r>
          </w:p>
        </w:tc>
        <w:tc>
          <w:tcPr>
            <w:tcW w:w="750" w:type="pct"/>
            <w:tcBorders>
              <w:top w:val="single" w:color="auto" w:sz="4" w:space="0"/>
              <w:left w:val="single" w:color="auto" w:sz="4" w:space="0"/>
              <w:bottom w:val="single" w:color="auto" w:sz="4" w:space="0"/>
              <w:right w:val="single" w:color="auto" w:sz="4" w:space="0"/>
            </w:tcBorders>
            <w:vAlign w:val="center"/>
          </w:tcPr>
          <w:p w14:paraId="320B7814">
            <w:pPr>
              <w:widowControl/>
              <w:snapToGrid w:val="0"/>
              <w:jc w:val="right"/>
              <w:rPr>
                <w:rFonts w:ascii="宋体" w:hAnsi="宋体"/>
                <w:color w:val="000000"/>
                <w:kern w:val="0"/>
                <w:sz w:val="25"/>
                <w:szCs w:val="24"/>
              </w:rPr>
            </w:pPr>
            <w:r>
              <w:rPr>
                <w:rFonts w:ascii="Times New Roman" w:hAnsi="Times New Roman"/>
                <w:color w:val="000000"/>
                <w:kern w:val="0"/>
                <w:sz w:val="25"/>
                <w:szCs w:val="24"/>
              </w:rPr>
              <w:t>1,331,823.56</w:t>
            </w:r>
          </w:p>
        </w:tc>
        <w:tc>
          <w:tcPr>
            <w:tcW w:w="750" w:type="pct"/>
            <w:tcBorders>
              <w:top w:val="single" w:color="auto" w:sz="4" w:space="0"/>
              <w:left w:val="single" w:color="auto" w:sz="4" w:space="0"/>
              <w:bottom w:val="single" w:color="auto" w:sz="4" w:space="0"/>
              <w:right w:val="single" w:color="auto" w:sz="4" w:space="0"/>
            </w:tcBorders>
            <w:vAlign w:val="center"/>
          </w:tcPr>
          <w:p w14:paraId="7D0A6B68">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6B9E632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C5DA88">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color="auto" w:sz="4" w:space="0"/>
              <w:left w:val="single" w:color="auto" w:sz="4" w:space="0"/>
              <w:bottom w:val="single" w:color="auto" w:sz="4" w:space="0"/>
              <w:right w:val="single" w:color="auto" w:sz="4" w:space="0"/>
            </w:tcBorders>
            <w:vAlign w:val="center"/>
          </w:tcPr>
          <w:p w14:paraId="725D797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14:paraId="0709667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14:paraId="0EAD4298">
            <w:pPr>
              <w:widowControl/>
              <w:snapToGrid w:val="0"/>
              <w:jc w:val="right"/>
              <w:rPr>
                <w:rFonts w:ascii="宋体" w:hAnsi="宋体"/>
                <w:color w:val="000000"/>
                <w:kern w:val="0"/>
                <w:sz w:val="25"/>
                <w:szCs w:val="24"/>
              </w:rPr>
            </w:pPr>
            <w:r>
              <w:rPr>
                <w:rFonts w:ascii="Times New Roman" w:hAnsi="Times New Roman"/>
                <w:color w:val="000000"/>
                <w:kern w:val="0"/>
                <w:sz w:val="25"/>
                <w:szCs w:val="24"/>
              </w:rPr>
              <w:t>1,318,674.81</w:t>
            </w:r>
          </w:p>
        </w:tc>
        <w:tc>
          <w:tcPr>
            <w:tcW w:w="750" w:type="pct"/>
            <w:tcBorders>
              <w:top w:val="single" w:color="auto" w:sz="4" w:space="0"/>
              <w:left w:val="single" w:color="auto" w:sz="4" w:space="0"/>
              <w:bottom w:val="single" w:color="auto" w:sz="4" w:space="0"/>
              <w:right w:val="single" w:color="auto" w:sz="4" w:space="0"/>
            </w:tcBorders>
            <w:vAlign w:val="center"/>
          </w:tcPr>
          <w:p w14:paraId="27E086C1">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7560273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4F4648">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color="auto" w:sz="4" w:space="0"/>
              <w:left w:val="single" w:color="auto" w:sz="4" w:space="0"/>
              <w:bottom w:val="single" w:color="auto" w:sz="4" w:space="0"/>
              <w:right w:val="single" w:color="auto" w:sz="4" w:space="0"/>
            </w:tcBorders>
            <w:vAlign w:val="center"/>
          </w:tcPr>
          <w:p w14:paraId="1A4814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color="auto" w:sz="4" w:space="0"/>
              <w:left w:val="single" w:color="auto" w:sz="4" w:space="0"/>
              <w:bottom w:val="single" w:color="auto" w:sz="4" w:space="0"/>
              <w:right w:val="single" w:color="auto" w:sz="4" w:space="0"/>
            </w:tcBorders>
            <w:vAlign w:val="center"/>
          </w:tcPr>
          <w:p w14:paraId="5A37B1B0">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color="auto" w:sz="4" w:space="0"/>
              <w:left w:val="single" w:color="auto" w:sz="4" w:space="0"/>
              <w:bottom w:val="single" w:color="auto" w:sz="4" w:space="0"/>
              <w:right w:val="single" w:color="auto" w:sz="4" w:space="0"/>
            </w:tcBorders>
            <w:vAlign w:val="center"/>
          </w:tcPr>
          <w:p w14:paraId="25A88607">
            <w:pPr>
              <w:widowControl/>
              <w:snapToGrid w:val="0"/>
              <w:jc w:val="right"/>
              <w:rPr>
                <w:rFonts w:ascii="宋体" w:hAnsi="宋体"/>
                <w:color w:val="000000"/>
                <w:kern w:val="0"/>
                <w:sz w:val="25"/>
                <w:szCs w:val="24"/>
              </w:rPr>
            </w:pPr>
            <w:r>
              <w:rPr>
                <w:rFonts w:ascii="Times New Roman" w:hAnsi="Times New Roman"/>
                <w:color w:val="000000"/>
                <w:kern w:val="0"/>
                <w:sz w:val="25"/>
                <w:szCs w:val="24"/>
              </w:rPr>
              <w:t>1,258,930.83</w:t>
            </w:r>
          </w:p>
        </w:tc>
        <w:tc>
          <w:tcPr>
            <w:tcW w:w="750" w:type="pct"/>
            <w:tcBorders>
              <w:top w:val="single" w:color="auto" w:sz="4" w:space="0"/>
              <w:left w:val="single" w:color="auto" w:sz="4" w:space="0"/>
              <w:bottom w:val="single" w:color="auto" w:sz="4" w:space="0"/>
              <w:right w:val="single" w:color="auto" w:sz="4" w:space="0"/>
            </w:tcBorders>
            <w:vAlign w:val="center"/>
          </w:tcPr>
          <w:p w14:paraId="4D2A9342">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5C8F245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CD3377">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color="auto" w:sz="4" w:space="0"/>
              <w:left w:val="single" w:color="auto" w:sz="4" w:space="0"/>
              <w:bottom w:val="single" w:color="auto" w:sz="4" w:space="0"/>
              <w:right w:val="single" w:color="auto" w:sz="4" w:space="0"/>
            </w:tcBorders>
            <w:vAlign w:val="center"/>
          </w:tcPr>
          <w:p w14:paraId="4F3BFE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color="auto" w:sz="4" w:space="0"/>
              <w:left w:val="single" w:color="auto" w:sz="4" w:space="0"/>
              <w:bottom w:val="single" w:color="auto" w:sz="4" w:space="0"/>
              <w:right w:val="single" w:color="auto" w:sz="4" w:space="0"/>
            </w:tcBorders>
            <w:vAlign w:val="center"/>
          </w:tcPr>
          <w:p w14:paraId="4BA401E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color="auto" w:sz="4" w:space="0"/>
              <w:left w:val="single" w:color="auto" w:sz="4" w:space="0"/>
              <w:bottom w:val="single" w:color="auto" w:sz="4" w:space="0"/>
              <w:right w:val="single" w:color="auto" w:sz="4" w:space="0"/>
            </w:tcBorders>
            <w:vAlign w:val="center"/>
          </w:tcPr>
          <w:p w14:paraId="6DEA33EA">
            <w:pPr>
              <w:widowControl/>
              <w:snapToGrid w:val="0"/>
              <w:jc w:val="right"/>
              <w:rPr>
                <w:rFonts w:ascii="宋体" w:hAnsi="宋体"/>
                <w:color w:val="000000"/>
                <w:kern w:val="0"/>
                <w:sz w:val="25"/>
                <w:szCs w:val="24"/>
              </w:rPr>
            </w:pPr>
            <w:r>
              <w:rPr>
                <w:rFonts w:ascii="Times New Roman" w:hAnsi="Times New Roman"/>
                <w:color w:val="000000"/>
                <w:kern w:val="0"/>
                <w:sz w:val="25"/>
                <w:szCs w:val="24"/>
              </w:rPr>
              <w:t>1,230,592.27</w:t>
            </w:r>
          </w:p>
        </w:tc>
        <w:tc>
          <w:tcPr>
            <w:tcW w:w="750" w:type="pct"/>
            <w:tcBorders>
              <w:top w:val="single" w:color="auto" w:sz="4" w:space="0"/>
              <w:left w:val="single" w:color="auto" w:sz="4" w:space="0"/>
              <w:bottom w:val="single" w:color="auto" w:sz="4" w:space="0"/>
              <w:right w:val="single" w:color="auto" w:sz="4" w:space="0"/>
            </w:tcBorders>
            <w:vAlign w:val="center"/>
          </w:tcPr>
          <w:p w14:paraId="4CD683E7">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1D7DFFC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71D4E6">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color="auto" w:sz="4" w:space="0"/>
              <w:left w:val="single" w:color="auto" w:sz="4" w:space="0"/>
              <w:bottom w:val="single" w:color="auto" w:sz="4" w:space="0"/>
              <w:right w:val="single" w:color="auto" w:sz="4" w:space="0"/>
            </w:tcBorders>
            <w:vAlign w:val="center"/>
          </w:tcPr>
          <w:p w14:paraId="7C017DB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color="auto" w:sz="4" w:space="0"/>
              <w:left w:val="single" w:color="auto" w:sz="4" w:space="0"/>
              <w:bottom w:val="single" w:color="auto" w:sz="4" w:space="0"/>
              <w:right w:val="single" w:color="auto" w:sz="4" w:space="0"/>
            </w:tcBorders>
            <w:vAlign w:val="center"/>
          </w:tcPr>
          <w:p w14:paraId="60404FDC">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color="auto" w:sz="4" w:space="0"/>
              <w:left w:val="single" w:color="auto" w:sz="4" w:space="0"/>
              <w:bottom w:val="single" w:color="auto" w:sz="4" w:space="0"/>
              <w:right w:val="single" w:color="auto" w:sz="4" w:space="0"/>
            </w:tcBorders>
            <w:vAlign w:val="center"/>
          </w:tcPr>
          <w:p w14:paraId="1E44934D">
            <w:pPr>
              <w:widowControl/>
              <w:snapToGrid w:val="0"/>
              <w:jc w:val="right"/>
              <w:rPr>
                <w:rFonts w:ascii="宋体" w:hAnsi="宋体"/>
                <w:color w:val="000000"/>
                <w:kern w:val="0"/>
                <w:sz w:val="25"/>
                <w:szCs w:val="24"/>
              </w:rPr>
            </w:pPr>
            <w:r>
              <w:rPr>
                <w:rFonts w:ascii="Times New Roman" w:hAnsi="Times New Roman"/>
                <w:color w:val="000000"/>
                <w:kern w:val="0"/>
                <w:sz w:val="25"/>
                <w:szCs w:val="24"/>
              </w:rPr>
              <w:t>1,192,606.85</w:t>
            </w:r>
          </w:p>
        </w:tc>
        <w:tc>
          <w:tcPr>
            <w:tcW w:w="750" w:type="pct"/>
            <w:tcBorders>
              <w:top w:val="single" w:color="auto" w:sz="4" w:space="0"/>
              <w:left w:val="single" w:color="auto" w:sz="4" w:space="0"/>
              <w:bottom w:val="single" w:color="auto" w:sz="4" w:space="0"/>
              <w:right w:val="single" w:color="auto" w:sz="4" w:space="0"/>
            </w:tcBorders>
            <w:vAlign w:val="center"/>
          </w:tcPr>
          <w:p w14:paraId="47D3A56C">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0257EFF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C9F2C0">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color="auto" w:sz="4" w:space="0"/>
              <w:left w:val="single" w:color="auto" w:sz="4" w:space="0"/>
              <w:bottom w:val="single" w:color="auto" w:sz="4" w:space="0"/>
              <w:right w:val="single" w:color="auto" w:sz="4" w:space="0"/>
            </w:tcBorders>
            <w:vAlign w:val="center"/>
          </w:tcPr>
          <w:p w14:paraId="2F725C7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color="auto" w:sz="4" w:space="0"/>
              <w:left w:val="single" w:color="auto" w:sz="4" w:space="0"/>
              <w:bottom w:val="single" w:color="auto" w:sz="4" w:space="0"/>
              <w:right w:val="single" w:color="auto" w:sz="4" w:space="0"/>
            </w:tcBorders>
            <w:vAlign w:val="center"/>
          </w:tcPr>
          <w:p w14:paraId="5152C561">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伟22转债</w:t>
            </w:r>
          </w:p>
        </w:tc>
        <w:tc>
          <w:tcPr>
            <w:tcW w:w="750" w:type="pct"/>
            <w:tcBorders>
              <w:top w:val="single" w:color="auto" w:sz="4" w:space="0"/>
              <w:left w:val="single" w:color="auto" w:sz="4" w:space="0"/>
              <w:bottom w:val="single" w:color="auto" w:sz="4" w:space="0"/>
              <w:right w:val="single" w:color="auto" w:sz="4" w:space="0"/>
            </w:tcBorders>
            <w:vAlign w:val="center"/>
          </w:tcPr>
          <w:p w14:paraId="6F6B0D40">
            <w:pPr>
              <w:widowControl/>
              <w:snapToGrid w:val="0"/>
              <w:jc w:val="right"/>
              <w:rPr>
                <w:rFonts w:ascii="宋体" w:hAnsi="宋体"/>
                <w:color w:val="000000"/>
                <w:kern w:val="0"/>
                <w:sz w:val="25"/>
                <w:szCs w:val="24"/>
              </w:rPr>
            </w:pPr>
            <w:r>
              <w:rPr>
                <w:rFonts w:ascii="Times New Roman" w:hAnsi="Times New Roman"/>
                <w:color w:val="000000"/>
                <w:kern w:val="0"/>
                <w:sz w:val="25"/>
                <w:szCs w:val="24"/>
              </w:rPr>
              <w:t>1,186,521.54</w:t>
            </w:r>
          </w:p>
        </w:tc>
        <w:tc>
          <w:tcPr>
            <w:tcW w:w="750" w:type="pct"/>
            <w:tcBorders>
              <w:top w:val="single" w:color="auto" w:sz="4" w:space="0"/>
              <w:left w:val="single" w:color="auto" w:sz="4" w:space="0"/>
              <w:bottom w:val="single" w:color="auto" w:sz="4" w:space="0"/>
              <w:right w:val="single" w:color="auto" w:sz="4" w:space="0"/>
            </w:tcBorders>
            <w:vAlign w:val="center"/>
          </w:tcPr>
          <w:p w14:paraId="78E8497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3552D0A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9EA3F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color="auto" w:sz="4" w:space="0"/>
              <w:left w:val="single" w:color="auto" w:sz="4" w:space="0"/>
              <w:bottom w:val="single" w:color="auto" w:sz="4" w:space="0"/>
              <w:right w:val="single" w:color="auto" w:sz="4" w:space="0"/>
            </w:tcBorders>
            <w:vAlign w:val="center"/>
          </w:tcPr>
          <w:p w14:paraId="1B03FEA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123175</w:t>
            </w:r>
          </w:p>
        </w:tc>
        <w:tc>
          <w:tcPr>
            <w:tcW w:w="750" w:type="pct"/>
            <w:tcBorders>
              <w:top w:val="single" w:color="auto" w:sz="4" w:space="0"/>
              <w:left w:val="single" w:color="auto" w:sz="4" w:space="0"/>
              <w:bottom w:val="single" w:color="auto" w:sz="4" w:space="0"/>
              <w:right w:val="single" w:color="auto" w:sz="4" w:space="0"/>
            </w:tcBorders>
            <w:vAlign w:val="center"/>
          </w:tcPr>
          <w:p w14:paraId="034D8D62">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百畅转债</w:t>
            </w:r>
          </w:p>
        </w:tc>
        <w:tc>
          <w:tcPr>
            <w:tcW w:w="750" w:type="pct"/>
            <w:tcBorders>
              <w:top w:val="single" w:color="auto" w:sz="4" w:space="0"/>
              <w:left w:val="single" w:color="auto" w:sz="4" w:space="0"/>
              <w:bottom w:val="single" w:color="auto" w:sz="4" w:space="0"/>
              <w:right w:val="single" w:color="auto" w:sz="4" w:space="0"/>
            </w:tcBorders>
            <w:vAlign w:val="center"/>
          </w:tcPr>
          <w:p w14:paraId="51359B54">
            <w:pPr>
              <w:widowControl/>
              <w:snapToGrid w:val="0"/>
              <w:jc w:val="right"/>
              <w:rPr>
                <w:rFonts w:ascii="宋体" w:hAnsi="宋体"/>
                <w:color w:val="000000"/>
                <w:kern w:val="0"/>
                <w:sz w:val="25"/>
                <w:szCs w:val="24"/>
              </w:rPr>
            </w:pPr>
            <w:r>
              <w:rPr>
                <w:rFonts w:ascii="Times New Roman" w:hAnsi="Times New Roman"/>
                <w:color w:val="000000"/>
                <w:kern w:val="0"/>
                <w:sz w:val="25"/>
                <w:szCs w:val="24"/>
              </w:rPr>
              <w:t>1,157,303.72</w:t>
            </w:r>
          </w:p>
        </w:tc>
        <w:tc>
          <w:tcPr>
            <w:tcW w:w="750" w:type="pct"/>
            <w:tcBorders>
              <w:top w:val="single" w:color="auto" w:sz="4" w:space="0"/>
              <w:left w:val="single" w:color="auto" w:sz="4" w:space="0"/>
              <w:bottom w:val="single" w:color="auto" w:sz="4" w:space="0"/>
              <w:right w:val="single" w:color="auto" w:sz="4" w:space="0"/>
            </w:tcBorders>
            <w:vAlign w:val="center"/>
          </w:tcPr>
          <w:p w14:paraId="1094BE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11A8427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1C3E43">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color="auto" w:sz="4" w:space="0"/>
              <w:left w:val="single" w:color="auto" w:sz="4" w:space="0"/>
              <w:bottom w:val="single" w:color="auto" w:sz="4" w:space="0"/>
              <w:right w:val="single" w:color="auto" w:sz="4" w:space="0"/>
            </w:tcBorders>
            <w:vAlign w:val="center"/>
          </w:tcPr>
          <w:p w14:paraId="678D59C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128109</w:t>
            </w:r>
          </w:p>
        </w:tc>
        <w:tc>
          <w:tcPr>
            <w:tcW w:w="750" w:type="pct"/>
            <w:tcBorders>
              <w:top w:val="single" w:color="auto" w:sz="4" w:space="0"/>
              <w:left w:val="single" w:color="auto" w:sz="4" w:space="0"/>
              <w:bottom w:val="single" w:color="auto" w:sz="4" w:space="0"/>
              <w:right w:val="single" w:color="auto" w:sz="4" w:space="0"/>
            </w:tcBorders>
            <w:vAlign w:val="center"/>
          </w:tcPr>
          <w:p w14:paraId="34B9B4B5">
            <w:pPr>
              <w:widowControl/>
              <w:snapToGrid w:val="0"/>
              <w:jc w:val="center"/>
              <w:rPr>
                <w:rFonts w:ascii="宋体" w:hAnsi="宋体"/>
                <w:color w:val="000000"/>
                <w:kern w:val="0"/>
                <w:sz w:val="25"/>
                <w:szCs w:val="24"/>
              </w:rPr>
            </w:pPr>
            <w:r>
              <w:rPr>
                <w:rFonts w:ascii="Times New Roman" w:hAnsi="Times New Roman"/>
                <w:color w:val="000000"/>
                <w:kern w:val="0"/>
                <w:sz w:val="25"/>
                <w:szCs w:val="24"/>
              </w:rPr>
              <w:t>楚江转债</w:t>
            </w:r>
          </w:p>
        </w:tc>
        <w:tc>
          <w:tcPr>
            <w:tcW w:w="750" w:type="pct"/>
            <w:tcBorders>
              <w:top w:val="single" w:color="auto" w:sz="4" w:space="0"/>
              <w:left w:val="single" w:color="auto" w:sz="4" w:space="0"/>
              <w:bottom w:val="single" w:color="auto" w:sz="4" w:space="0"/>
              <w:right w:val="single" w:color="auto" w:sz="4" w:space="0"/>
            </w:tcBorders>
            <w:vAlign w:val="center"/>
          </w:tcPr>
          <w:p w14:paraId="53564AEF">
            <w:pPr>
              <w:widowControl/>
              <w:snapToGrid w:val="0"/>
              <w:jc w:val="right"/>
              <w:rPr>
                <w:rFonts w:ascii="宋体" w:hAnsi="宋体"/>
                <w:color w:val="000000"/>
                <w:kern w:val="0"/>
                <w:sz w:val="25"/>
                <w:szCs w:val="24"/>
              </w:rPr>
            </w:pPr>
            <w:r>
              <w:rPr>
                <w:rFonts w:ascii="Times New Roman" w:hAnsi="Times New Roman"/>
                <w:color w:val="000000"/>
                <w:kern w:val="0"/>
                <w:sz w:val="25"/>
                <w:szCs w:val="24"/>
              </w:rPr>
              <w:t>1,148,578.55</w:t>
            </w:r>
          </w:p>
        </w:tc>
        <w:tc>
          <w:tcPr>
            <w:tcW w:w="750" w:type="pct"/>
            <w:tcBorders>
              <w:top w:val="single" w:color="auto" w:sz="4" w:space="0"/>
              <w:left w:val="single" w:color="auto" w:sz="4" w:space="0"/>
              <w:bottom w:val="single" w:color="auto" w:sz="4" w:space="0"/>
              <w:right w:val="single" w:color="auto" w:sz="4" w:space="0"/>
            </w:tcBorders>
            <w:vAlign w:val="center"/>
          </w:tcPr>
          <w:p w14:paraId="3085A218">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7C68FDC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09CD14">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color="auto" w:sz="4" w:space="0"/>
              <w:left w:val="single" w:color="auto" w:sz="4" w:space="0"/>
              <w:bottom w:val="single" w:color="auto" w:sz="4" w:space="0"/>
              <w:right w:val="single" w:color="auto" w:sz="4" w:space="0"/>
            </w:tcBorders>
            <w:vAlign w:val="center"/>
          </w:tcPr>
          <w:p w14:paraId="360D64E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color="auto" w:sz="4" w:space="0"/>
              <w:left w:val="single" w:color="auto" w:sz="4" w:space="0"/>
              <w:bottom w:val="single" w:color="auto" w:sz="4" w:space="0"/>
              <w:right w:val="single" w:color="auto" w:sz="4" w:space="0"/>
            </w:tcBorders>
            <w:vAlign w:val="center"/>
          </w:tcPr>
          <w:p w14:paraId="3AE5272C">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希望转2</w:t>
            </w:r>
          </w:p>
        </w:tc>
        <w:tc>
          <w:tcPr>
            <w:tcW w:w="750" w:type="pct"/>
            <w:tcBorders>
              <w:top w:val="single" w:color="auto" w:sz="4" w:space="0"/>
              <w:left w:val="single" w:color="auto" w:sz="4" w:space="0"/>
              <w:bottom w:val="single" w:color="auto" w:sz="4" w:space="0"/>
              <w:right w:val="single" w:color="auto" w:sz="4" w:space="0"/>
            </w:tcBorders>
            <w:vAlign w:val="center"/>
          </w:tcPr>
          <w:p w14:paraId="041C8560">
            <w:pPr>
              <w:widowControl/>
              <w:snapToGrid w:val="0"/>
              <w:jc w:val="right"/>
              <w:rPr>
                <w:rFonts w:ascii="宋体" w:hAnsi="宋体"/>
                <w:color w:val="000000"/>
                <w:kern w:val="0"/>
                <w:sz w:val="25"/>
                <w:szCs w:val="24"/>
              </w:rPr>
            </w:pPr>
            <w:r>
              <w:rPr>
                <w:rFonts w:ascii="Times New Roman" w:hAnsi="Times New Roman"/>
                <w:color w:val="000000"/>
                <w:kern w:val="0"/>
                <w:sz w:val="25"/>
                <w:szCs w:val="24"/>
              </w:rPr>
              <w:t>1,089,445.21</w:t>
            </w:r>
          </w:p>
        </w:tc>
        <w:tc>
          <w:tcPr>
            <w:tcW w:w="750" w:type="pct"/>
            <w:tcBorders>
              <w:top w:val="single" w:color="auto" w:sz="4" w:space="0"/>
              <w:left w:val="single" w:color="auto" w:sz="4" w:space="0"/>
              <w:bottom w:val="single" w:color="auto" w:sz="4" w:space="0"/>
              <w:right w:val="single" w:color="auto" w:sz="4" w:space="0"/>
            </w:tcBorders>
            <w:vAlign w:val="center"/>
          </w:tcPr>
          <w:p w14:paraId="553564CD">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77C24DC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DC1441">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color="auto" w:sz="4" w:space="0"/>
              <w:left w:val="single" w:color="auto" w:sz="4" w:space="0"/>
              <w:bottom w:val="single" w:color="auto" w:sz="4" w:space="0"/>
              <w:right w:val="single" w:color="auto" w:sz="4" w:space="0"/>
            </w:tcBorders>
            <w:vAlign w:val="center"/>
          </w:tcPr>
          <w:p w14:paraId="3001E98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111021</w:t>
            </w:r>
          </w:p>
        </w:tc>
        <w:tc>
          <w:tcPr>
            <w:tcW w:w="750" w:type="pct"/>
            <w:tcBorders>
              <w:top w:val="single" w:color="auto" w:sz="4" w:space="0"/>
              <w:left w:val="single" w:color="auto" w:sz="4" w:space="0"/>
              <w:bottom w:val="single" w:color="auto" w:sz="4" w:space="0"/>
              <w:right w:val="single" w:color="auto" w:sz="4" w:space="0"/>
            </w:tcBorders>
            <w:vAlign w:val="center"/>
          </w:tcPr>
          <w:p w14:paraId="54692A80">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奥锐转债</w:t>
            </w:r>
          </w:p>
        </w:tc>
        <w:tc>
          <w:tcPr>
            <w:tcW w:w="750" w:type="pct"/>
            <w:tcBorders>
              <w:top w:val="single" w:color="auto" w:sz="4" w:space="0"/>
              <w:left w:val="single" w:color="auto" w:sz="4" w:space="0"/>
              <w:bottom w:val="single" w:color="auto" w:sz="4" w:space="0"/>
              <w:right w:val="single" w:color="auto" w:sz="4" w:space="0"/>
            </w:tcBorders>
            <w:vAlign w:val="center"/>
          </w:tcPr>
          <w:p w14:paraId="61904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1,085,043.46</w:t>
            </w:r>
          </w:p>
        </w:tc>
        <w:tc>
          <w:tcPr>
            <w:tcW w:w="750" w:type="pct"/>
            <w:tcBorders>
              <w:top w:val="single" w:color="auto" w:sz="4" w:space="0"/>
              <w:left w:val="single" w:color="auto" w:sz="4" w:space="0"/>
              <w:bottom w:val="single" w:color="auto" w:sz="4" w:space="0"/>
              <w:right w:val="single" w:color="auto" w:sz="4" w:space="0"/>
            </w:tcBorders>
            <w:vAlign w:val="center"/>
          </w:tcPr>
          <w:p w14:paraId="76500AFC">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259E310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2E71E1">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color="auto" w:sz="4" w:space="0"/>
              <w:left w:val="single" w:color="auto" w:sz="4" w:space="0"/>
              <w:bottom w:val="single" w:color="auto" w:sz="4" w:space="0"/>
              <w:right w:val="single" w:color="auto" w:sz="4" w:space="0"/>
            </w:tcBorders>
            <w:vAlign w:val="center"/>
          </w:tcPr>
          <w:p w14:paraId="34D3B38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127019</w:t>
            </w:r>
          </w:p>
        </w:tc>
        <w:tc>
          <w:tcPr>
            <w:tcW w:w="750" w:type="pct"/>
            <w:tcBorders>
              <w:top w:val="single" w:color="auto" w:sz="4" w:space="0"/>
              <w:left w:val="single" w:color="auto" w:sz="4" w:space="0"/>
              <w:bottom w:val="single" w:color="auto" w:sz="4" w:space="0"/>
              <w:right w:val="single" w:color="auto" w:sz="4" w:space="0"/>
            </w:tcBorders>
            <w:vAlign w:val="center"/>
          </w:tcPr>
          <w:p w14:paraId="389C414D">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国城转债</w:t>
            </w:r>
          </w:p>
        </w:tc>
        <w:tc>
          <w:tcPr>
            <w:tcW w:w="750" w:type="pct"/>
            <w:tcBorders>
              <w:top w:val="single" w:color="auto" w:sz="4" w:space="0"/>
              <w:left w:val="single" w:color="auto" w:sz="4" w:space="0"/>
              <w:bottom w:val="single" w:color="auto" w:sz="4" w:space="0"/>
              <w:right w:val="single" w:color="auto" w:sz="4" w:space="0"/>
            </w:tcBorders>
            <w:vAlign w:val="center"/>
          </w:tcPr>
          <w:p w14:paraId="5D820455">
            <w:pPr>
              <w:widowControl/>
              <w:snapToGrid w:val="0"/>
              <w:jc w:val="right"/>
              <w:rPr>
                <w:rFonts w:ascii="宋体" w:hAnsi="宋体"/>
                <w:color w:val="000000"/>
                <w:kern w:val="0"/>
                <w:sz w:val="25"/>
                <w:szCs w:val="24"/>
              </w:rPr>
            </w:pPr>
            <w:r>
              <w:rPr>
                <w:rFonts w:ascii="Times New Roman" w:hAnsi="Times New Roman"/>
                <w:color w:val="000000"/>
                <w:kern w:val="0"/>
                <w:sz w:val="25"/>
                <w:szCs w:val="24"/>
              </w:rPr>
              <w:t>1,079,627.98</w:t>
            </w:r>
          </w:p>
        </w:tc>
        <w:tc>
          <w:tcPr>
            <w:tcW w:w="750" w:type="pct"/>
            <w:tcBorders>
              <w:top w:val="single" w:color="auto" w:sz="4" w:space="0"/>
              <w:left w:val="single" w:color="auto" w:sz="4" w:space="0"/>
              <w:bottom w:val="single" w:color="auto" w:sz="4" w:space="0"/>
              <w:right w:val="single" w:color="auto" w:sz="4" w:space="0"/>
            </w:tcBorders>
            <w:vAlign w:val="center"/>
          </w:tcPr>
          <w:p w14:paraId="5FED1728">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D2161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CC7931">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color="auto" w:sz="4" w:space="0"/>
              <w:left w:val="single" w:color="auto" w:sz="4" w:space="0"/>
              <w:bottom w:val="single" w:color="auto" w:sz="4" w:space="0"/>
              <w:right w:val="single" w:color="auto" w:sz="4" w:space="0"/>
            </w:tcBorders>
            <w:vAlign w:val="center"/>
          </w:tcPr>
          <w:p w14:paraId="7F5232D9">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111011</w:t>
            </w:r>
          </w:p>
        </w:tc>
        <w:tc>
          <w:tcPr>
            <w:tcW w:w="750" w:type="pct"/>
            <w:tcBorders>
              <w:top w:val="single" w:color="auto" w:sz="4" w:space="0"/>
              <w:left w:val="single" w:color="auto" w:sz="4" w:space="0"/>
              <w:bottom w:val="single" w:color="auto" w:sz="4" w:space="0"/>
              <w:right w:val="single" w:color="auto" w:sz="4" w:space="0"/>
            </w:tcBorders>
            <w:vAlign w:val="center"/>
          </w:tcPr>
          <w:p w14:paraId="0F75BE2C">
            <w:pPr>
              <w:widowControl/>
              <w:snapToGrid w:val="0"/>
              <w:jc w:val="center"/>
              <w:rPr>
                <w:rFonts w:ascii="宋体" w:hAnsi="宋体"/>
                <w:color w:val="000000"/>
                <w:kern w:val="0"/>
                <w:sz w:val="25"/>
                <w:szCs w:val="24"/>
              </w:rPr>
            </w:pPr>
            <w:r>
              <w:rPr>
                <w:rFonts w:ascii="Times New Roman" w:hAnsi="Times New Roman"/>
                <w:color w:val="000000"/>
                <w:kern w:val="0"/>
                <w:sz w:val="25"/>
                <w:szCs w:val="24"/>
              </w:rPr>
              <w:t>冠盛转债</w:t>
            </w:r>
          </w:p>
        </w:tc>
        <w:tc>
          <w:tcPr>
            <w:tcW w:w="750" w:type="pct"/>
            <w:tcBorders>
              <w:top w:val="single" w:color="auto" w:sz="4" w:space="0"/>
              <w:left w:val="single" w:color="auto" w:sz="4" w:space="0"/>
              <w:bottom w:val="single" w:color="auto" w:sz="4" w:space="0"/>
              <w:right w:val="single" w:color="auto" w:sz="4" w:space="0"/>
            </w:tcBorders>
            <w:vAlign w:val="center"/>
          </w:tcPr>
          <w:p w14:paraId="330D63E5">
            <w:pPr>
              <w:widowControl/>
              <w:snapToGrid w:val="0"/>
              <w:jc w:val="right"/>
              <w:rPr>
                <w:rFonts w:ascii="宋体" w:hAnsi="宋体"/>
                <w:color w:val="000000"/>
                <w:kern w:val="0"/>
                <w:sz w:val="25"/>
                <w:szCs w:val="24"/>
              </w:rPr>
            </w:pPr>
            <w:r>
              <w:rPr>
                <w:rFonts w:ascii="Times New Roman" w:hAnsi="Times New Roman"/>
                <w:color w:val="000000"/>
                <w:kern w:val="0"/>
                <w:sz w:val="25"/>
                <w:szCs w:val="24"/>
              </w:rPr>
              <w:t>1,074,404.02</w:t>
            </w:r>
          </w:p>
        </w:tc>
        <w:tc>
          <w:tcPr>
            <w:tcW w:w="750" w:type="pct"/>
            <w:tcBorders>
              <w:top w:val="single" w:color="auto" w:sz="4" w:space="0"/>
              <w:left w:val="single" w:color="auto" w:sz="4" w:space="0"/>
              <w:bottom w:val="single" w:color="auto" w:sz="4" w:space="0"/>
              <w:right w:val="single" w:color="auto" w:sz="4" w:space="0"/>
            </w:tcBorders>
            <w:vAlign w:val="center"/>
          </w:tcPr>
          <w:p w14:paraId="23BE0DB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4EE3DA3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AB14CA">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color="auto" w:sz="4" w:space="0"/>
              <w:left w:val="single" w:color="auto" w:sz="4" w:space="0"/>
              <w:bottom w:val="single" w:color="auto" w:sz="4" w:space="0"/>
              <w:right w:val="single" w:color="auto" w:sz="4" w:space="0"/>
            </w:tcBorders>
            <w:vAlign w:val="center"/>
          </w:tcPr>
          <w:p w14:paraId="02493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113542</w:t>
            </w:r>
          </w:p>
        </w:tc>
        <w:tc>
          <w:tcPr>
            <w:tcW w:w="750" w:type="pct"/>
            <w:tcBorders>
              <w:top w:val="single" w:color="auto" w:sz="4" w:space="0"/>
              <w:left w:val="single" w:color="auto" w:sz="4" w:space="0"/>
              <w:bottom w:val="single" w:color="auto" w:sz="4" w:space="0"/>
              <w:right w:val="single" w:color="auto" w:sz="4" w:space="0"/>
            </w:tcBorders>
            <w:vAlign w:val="center"/>
          </w:tcPr>
          <w:p w14:paraId="4EFB52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好客转债</w:t>
            </w:r>
          </w:p>
        </w:tc>
        <w:tc>
          <w:tcPr>
            <w:tcW w:w="750" w:type="pct"/>
            <w:tcBorders>
              <w:top w:val="single" w:color="auto" w:sz="4" w:space="0"/>
              <w:left w:val="single" w:color="auto" w:sz="4" w:space="0"/>
              <w:bottom w:val="single" w:color="auto" w:sz="4" w:space="0"/>
              <w:right w:val="single" w:color="auto" w:sz="4" w:space="0"/>
            </w:tcBorders>
            <w:vAlign w:val="center"/>
          </w:tcPr>
          <w:p w14:paraId="1A8E82C5">
            <w:pPr>
              <w:widowControl/>
              <w:snapToGrid w:val="0"/>
              <w:jc w:val="right"/>
              <w:rPr>
                <w:rFonts w:ascii="宋体" w:hAnsi="宋体"/>
                <w:color w:val="000000"/>
                <w:kern w:val="0"/>
                <w:sz w:val="25"/>
                <w:szCs w:val="24"/>
              </w:rPr>
            </w:pPr>
            <w:r>
              <w:rPr>
                <w:rFonts w:ascii="Times New Roman" w:hAnsi="Times New Roman"/>
                <w:color w:val="000000"/>
                <w:kern w:val="0"/>
                <w:sz w:val="25"/>
                <w:szCs w:val="24"/>
              </w:rPr>
              <w:t>850,853.90</w:t>
            </w:r>
          </w:p>
        </w:tc>
        <w:tc>
          <w:tcPr>
            <w:tcW w:w="750" w:type="pct"/>
            <w:tcBorders>
              <w:top w:val="single" w:color="auto" w:sz="4" w:space="0"/>
              <w:left w:val="single" w:color="auto" w:sz="4" w:space="0"/>
              <w:bottom w:val="single" w:color="auto" w:sz="4" w:space="0"/>
              <w:right w:val="single" w:color="auto" w:sz="4" w:space="0"/>
            </w:tcBorders>
            <w:vAlign w:val="center"/>
          </w:tcPr>
          <w:p w14:paraId="683B882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37157EA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636A4AE">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color="auto" w:sz="4" w:space="0"/>
              <w:left w:val="single" w:color="auto" w:sz="4" w:space="0"/>
              <w:bottom w:val="single" w:color="auto" w:sz="4" w:space="0"/>
              <w:right w:val="single" w:color="auto" w:sz="4" w:space="0"/>
            </w:tcBorders>
            <w:vAlign w:val="center"/>
          </w:tcPr>
          <w:p w14:paraId="49586BF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14:paraId="6033E5BC">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14:paraId="42013DCE">
            <w:pPr>
              <w:widowControl/>
              <w:snapToGrid w:val="0"/>
              <w:jc w:val="right"/>
              <w:rPr>
                <w:rFonts w:ascii="宋体" w:hAnsi="宋体"/>
                <w:color w:val="000000"/>
                <w:kern w:val="0"/>
                <w:sz w:val="25"/>
                <w:szCs w:val="24"/>
              </w:rPr>
            </w:pPr>
            <w:r>
              <w:rPr>
                <w:rFonts w:ascii="Times New Roman" w:hAnsi="Times New Roman"/>
                <w:color w:val="000000"/>
                <w:kern w:val="0"/>
                <w:sz w:val="25"/>
                <w:szCs w:val="24"/>
              </w:rPr>
              <w:t>792,119.23</w:t>
            </w:r>
          </w:p>
        </w:tc>
        <w:tc>
          <w:tcPr>
            <w:tcW w:w="750" w:type="pct"/>
            <w:tcBorders>
              <w:top w:val="single" w:color="auto" w:sz="4" w:space="0"/>
              <w:left w:val="single" w:color="auto" w:sz="4" w:space="0"/>
              <w:bottom w:val="single" w:color="auto" w:sz="4" w:space="0"/>
              <w:right w:val="single" w:color="auto" w:sz="4" w:space="0"/>
            </w:tcBorders>
            <w:vAlign w:val="center"/>
          </w:tcPr>
          <w:p w14:paraId="44ACDFE0">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57CADD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A78954">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color="auto" w:sz="4" w:space="0"/>
              <w:left w:val="single" w:color="auto" w:sz="4" w:space="0"/>
              <w:bottom w:val="single" w:color="auto" w:sz="4" w:space="0"/>
              <w:right w:val="single" w:color="auto" w:sz="4" w:space="0"/>
            </w:tcBorders>
            <w:vAlign w:val="center"/>
          </w:tcPr>
          <w:p w14:paraId="0C4C471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color="auto" w:sz="4" w:space="0"/>
              <w:left w:val="single" w:color="auto" w:sz="4" w:space="0"/>
              <w:bottom w:val="single" w:color="auto" w:sz="4" w:space="0"/>
              <w:right w:val="single" w:color="auto" w:sz="4" w:space="0"/>
            </w:tcBorders>
            <w:vAlign w:val="center"/>
          </w:tcPr>
          <w:p w14:paraId="6550F714">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color="auto" w:sz="4" w:space="0"/>
              <w:left w:val="single" w:color="auto" w:sz="4" w:space="0"/>
              <w:bottom w:val="single" w:color="auto" w:sz="4" w:space="0"/>
              <w:right w:val="single" w:color="auto" w:sz="4" w:space="0"/>
            </w:tcBorders>
            <w:vAlign w:val="center"/>
          </w:tcPr>
          <w:p w14:paraId="6E23A868">
            <w:pPr>
              <w:widowControl/>
              <w:snapToGrid w:val="0"/>
              <w:jc w:val="right"/>
              <w:rPr>
                <w:rFonts w:ascii="宋体" w:hAnsi="宋体"/>
                <w:color w:val="000000"/>
                <w:kern w:val="0"/>
                <w:sz w:val="25"/>
                <w:szCs w:val="24"/>
              </w:rPr>
            </w:pPr>
            <w:r>
              <w:rPr>
                <w:rFonts w:ascii="Times New Roman" w:hAnsi="Times New Roman"/>
                <w:color w:val="000000"/>
                <w:kern w:val="0"/>
                <w:sz w:val="25"/>
                <w:szCs w:val="24"/>
              </w:rPr>
              <w:t>739,805.91</w:t>
            </w:r>
          </w:p>
        </w:tc>
        <w:tc>
          <w:tcPr>
            <w:tcW w:w="750" w:type="pct"/>
            <w:tcBorders>
              <w:top w:val="single" w:color="auto" w:sz="4" w:space="0"/>
              <w:left w:val="single" w:color="auto" w:sz="4" w:space="0"/>
              <w:bottom w:val="single" w:color="auto" w:sz="4" w:space="0"/>
              <w:right w:val="single" w:color="auto" w:sz="4" w:space="0"/>
            </w:tcBorders>
            <w:vAlign w:val="center"/>
          </w:tcPr>
          <w:p w14:paraId="69009E6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3F30B4C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A0FEF3">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color="auto" w:sz="4" w:space="0"/>
              <w:left w:val="single" w:color="auto" w:sz="4" w:space="0"/>
              <w:bottom w:val="single" w:color="auto" w:sz="4" w:space="0"/>
              <w:right w:val="single" w:color="auto" w:sz="4" w:space="0"/>
            </w:tcBorders>
            <w:vAlign w:val="center"/>
          </w:tcPr>
          <w:p w14:paraId="67617CA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113045</w:t>
            </w:r>
          </w:p>
        </w:tc>
        <w:tc>
          <w:tcPr>
            <w:tcW w:w="750" w:type="pct"/>
            <w:tcBorders>
              <w:top w:val="single" w:color="auto" w:sz="4" w:space="0"/>
              <w:left w:val="single" w:color="auto" w:sz="4" w:space="0"/>
              <w:bottom w:val="single" w:color="auto" w:sz="4" w:space="0"/>
              <w:right w:val="single" w:color="auto" w:sz="4" w:space="0"/>
            </w:tcBorders>
            <w:vAlign w:val="center"/>
          </w:tcPr>
          <w:p w14:paraId="21F709DA">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环旭转债</w:t>
            </w:r>
          </w:p>
        </w:tc>
        <w:tc>
          <w:tcPr>
            <w:tcW w:w="750" w:type="pct"/>
            <w:tcBorders>
              <w:top w:val="single" w:color="auto" w:sz="4" w:space="0"/>
              <w:left w:val="single" w:color="auto" w:sz="4" w:space="0"/>
              <w:bottom w:val="single" w:color="auto" w:sz="4" w:space="0"/>
              <w:right w:val="single" w:color="auto" w:sz="4" w:space="0"/>
            </w:tcBorders>
            <w:vAlign w:val="center"/>
          </w:tcPr>
          <w:p w14:paraId="1D41B01D">
            <w:pPr>
              <w:widowControl/>
              <w:snapToGrid w:val="0"/>
              <w:jc w:val="right"/>
              <w:rPr>
                <w:rFonts w:ascii="宋体" w:hAnsi="宋体"/>
                <w:color w:val="000000"/>
                <w:kern w:val="0"/>
                <w:sz w:val="25"/>
                <w:szCs w:val="24"/>
              </w:rPr>
            </w:pPr>
            <w:r>
              <w:rPr>
                <w:rFonts w:ascii="Times New Roman" w:hAnsi="Times New Roman"/>
                <w:color w:val="000000"/>
                <w:kern w:val="0"/>
                <w:sz w:val="25"/>
                <w:szCs w:val="24"/>
              </w:rPr>
              <w:t>619,347.29</w:t>
            </w:r>
          </w:p>
        </w:tc>
        <w:tc>
          <w:tcPr>
            <w:tcW w:w="750" w:type="pct"/>
            <w:tcBorders>
              <w:top w:val="single" w:color="auto" w:sz="4" w:space="0"/>
              <w:left w:val="single" w:color="auto" w:sz="4" w:space="0"/>
              <w:bottom w:val="single" w:color="auto" w:sz="4" w:space="0"/>
              <w:right w:val="single" w:color="auto" w:sz="4" w:space="0"/>
            </w:tcBorders>
            <w:vAlign w:val="center"/>
          </w:tcPr>
          <w:p w14:paraId="7C0DF9AF">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05DB18F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93CFB1">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color="auto" w:sz="4" w:space="0"/>
              <w:left w:val="single" w:color="auto" w:sz="4" w:space="0"/>
              <w:bottom w:val="single" w:color="auto" w:sz="4" w:space="0"/>
              <w:right w:val="single" w:color="auto" w:sz="4" w:space="0"/>
            </w:tcBorders>
            <w:vAlign w:val="center"/>
          </w:tcPr>
          <w:p w14:paraId="2393A93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111004</w:t>
            </w:r>
          </w:p>
        </w:tc>
        <w:tc>
          <w:tcPr>
            <w:tcW w:w="750" w:type="pct"/>
            <w:tcBorders>
              <w:top w:val="single" w:color="auto" w:sz="4" w:space="0"/>
              <w:left w:val="single" w:color="auto" w:sz="4" w:space="0"/>
              <w:bottom w:val="single" w:color="auto" w:sz="4" w:space="0"/>
              <w:right w:val="single" w:color="auto" w:sz="4" w:space="0"/>
            </w:tcBorders>
            <w:vAlign w:val="center"/>
          </w:tcPr>
          <w:p w14:paraId="72D09799">
            <w:pPr>
              <w:widowControl/>
              <w:snapToGrid w:val="0"/>
              <w:jc w:val="center"/>
              <w:rPr>
                <w:rFonts w:ascii="宋体" w:hAnsi="宋体"/>
                <w:color w:val="000000"/>
                <w:kern w:val="0"/>
                <w:sz w:val="25"/>
                <w:szCs w:val="24"/>
              </w:rPr>
            </w:pPr>
            <w:r>
              <w:rPr>
                <w:rFonts w:ascii="Times New Roman" w:hAnsi="Times New Roman"/>
                <w:color w:val="000000"/>
                <w:kern w:val="0"/>
                <w:sz w:val="25"/>
                <w:szCs w:val="24"/>
              </w:rPr>
              <w:t>XD明新转</w:t>
            </w:r>
          </w:p>
        </w:tc>
        <w:tc>
          <w:tcPr>
            <w:tcW w:w="750" w:type="pct"/>
            <w:tcBorders>
              <w:top w:val="single" w:color="auto" w:sz="4" w:space="0"/>
              <w:left w:val="single" w:color="auto" w:sz="4" w:space="0"/>
              <w:bottom w:val="single" w:color="auto" w:sz="4" w:space="0"/>
              <w:right w:val="single" w:color="auto" w:sz="4" w:space="0"/>
            </w:tcBorders>
            <w:vAlign w:val="center"/>
          </w:tcPr>
          <w:p w14:paraId="4754ADE3">
            <w:pPr>
              <w:widowControl/>
              <w:snapToGrid w:val="0"/>
              <w:jc w:val="right"/>
              <w:rPr>
                <w:rFonts w:ascii="宋体" w:hAnsi="宋体"/>
                <w:color w:val="000000"/>
                <w:kern w:val="0"/>
                <w:sz w:val="25"/>
                <w:szCs w:val="24"/>
              </w:rPr>
            </w:pPr>
            <w:r>
              <w:rPr>
                <w:rFonts w:ascii="Times New Roman" w:hAnsi="Times New Roman"/>
                <w:color w:val="000000"/>
                <w:kern w:val="0"/>
                <w:sz w:val="25"/>
                <w:szCs w:val="24"/>
              </w:rPr>
              <w:t>611,548.85</w:t>
            </w:r>
          </w:p>
        </w:tc>
        <w:tc>
          <w:tcPr>
            <w:tcW w:w="750" w:type="pct"/>
            <w:tcBorders>
              <w:top w:val="single" w:color="auto" w:sz="4" w:space="0"/>
              <w:left w:val="single" w:color="auto" w:sz="4" w:space="0"/>
              <w:bottom w:val="single" w:color="auto" w:sz="4" w:space="0"/>
              <w:right w:val="single" w:color="auto" w:sz="4" w:space="0"/>
            </w:tcBorders>
            <w:vAlign w:val="center"/>
          </w:tcPr>
          <w:p w14:paraId="169FA71F">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4E61616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58B6BC">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color="auto" w:sz="4" w:space="0"/>
              <w:left w:val="single" w:color="auto" w:sz="4" w:space="0"/>
              <w:bottom w:val="single" w:color="auto" w:sz="4" w:space="0"/>
              <w:right w:val="single" w:color="auto" w:sz="4" w:space="0"/>
            </w:tcBorders>
            <w:vAlign w:val="center"/>
          </w:tcPr>
          <w:p w14:paraId="036714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123189</w:t>
            </w:r>
          </w:p>
        </w:tc>
        <w:tc>
          <w:tcPr>
            <w:tcW w:w="750" w:type="pct"/>
            <w:tcBorders>
              <w:top w:val="single" w:color="auto" w:sz="4" w:space="0"/>
              <w:left w:val="single" w:color="auto" w:sz="4" w:space="0"/>
              <w:bottom w:val="single" w:color="auto" w:sz="4" w:space="0"/>
              <w:right w:val="single" w:color="auto" w:sz="4" w:space="0"/>
            </w:tcBorders>
            <w:vAlign w:val="center"/>
          </w:tcPr>
          <w:p w14:paraId="24839FAD">
            <w:pPr>
              <w:widowControl/>
              <w:snapToGrid w:val="0"/>
              <w:jc w:val="center"/>
              <w:rPr>
                <w:rFonts w:ascii="宋体" w:hAnsi="宋体"/>
                <w:color w:val="000000"/>
                <w:kern w:val="0"/>
                <w:sz w:val="25"/>
                <w:szCs w:val="24"/>
              </w:rPr>
            </w:pPr>
            <w:r>
              <w:rPr>
                <w:rFonts w:ascii="Times New Roman" w:hAnsi="Times New Roman"/>
                <w:color w:val="000000"/>
                <w:kern w:val="0"/>
                <w:sz w:val="25"/>
                <w:szCs w:val="24"/>
              </w:rPr>
              <w:t>晓鸣转债</w:t>
            </w:r>
          </w:p>
        </w:tc>
        <w:tc>
          <w:tcPr>
            <w:tcW w:w="750" w:type="pct"/>
            <w:tcBorders>
              <w:top w:val="single" w:color="auto" w:sz="4" w:space="0"/>
              <w:left w:val="single" w:color="auto" w:sz="4" w:space="0"/>
              <w:bottom w:val="single" w:color="auto" w:sz="4" w:space="0"/>
              <w:right w:val="single" w:color="auto" w:sz="4" w:space="0"/>
            </w:tcBorders>
            <w:vAlign w:val="center"/>
          </w:tcPr>
          <w:p w14:paraId="68917C6C">
            <w:pPr>
              <w:widowControl/>
              <w:snapToGrid w:val="0"/>
              <w:jc w:val="right"/>
              <w:rPr>
                <w:rFonts w:ascii="宋体" w:hAnsi="宋体"/>
                <w:color w:val="000000"/>
                <w:kern w:val="0"/>
                <w:sz w:val="25"/>
                <w:szCs w:val="24"/>
              </w:rPr>
            </w:pPr>
            <w:r>
              <w:rPr>
                <w:rFonts w:ascii="Times New Roman" w:hAnsi="Times New Roman"/>
                <w:color w:val="000000"/>
                <w:kern w:val="0"/>
                <w:sz w:val="25"/>
                <w:szCs w:val="24"/>
              </w:rPr>
              <w:t>599,416.56</w:t>
            </w:r>
          </w:p>
        </w:tc>
        <w:tc>
          <w:tcPr>
            <w:tcW w:w="750" w:type="pct"/>
            <w:tcBorders>
              <w:top w:val="single" w:color="auto" w:sz="4" w:space="0"/>
              <w:left w:val="single" w:color="auto" w:sz="4" w:space="0"/>
              <w:bottom w:val="single" w:color="auto" w:sz="4" w:space="0"/>
              <w:right w:val="single" w:color="auto" w:sz="4" w:space="0"/>
            </w:tcBorders>
            <w:vAlign w:val="center"/>
          </w:tcPr>
          <w:p w14:paraId="305F2D80">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53B3F9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8E2F827">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color="auto" w:sz="4" w:space="0"/>
              <w:left w:val="single" w:color="auto" w:sz="4" w:space="0"/>
              <w:bottom w:val="single" w:color="auto" w:sz="4" w:space="0"/>
              <w:right w:val="single" w:color="auto" w:sz="4" w:space="0"/>
            </w:tcBorders>
            <w:vAlign w:val="center"/>
          </w:tcPr>
          <w:p w14:paraId="06569F1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113618</w:t>
            </w:r>
          </w:p>
        </w:tc>
        <w:tc>
          <w:tcPr>
            <w:tcW w:w="750" w:type="pct"/>
            <w:tcBorders>
              <w:top w:val="single" w:color="auto" w:sz="4" w:space="0"/>
              <w:left w:val="single" w:color="auto" w:sz="4" w:space="0"/>
              <w:bottom w:val="single" w:color="auto" w:sz="4" w:space="0"/>
              <w:right w:val="single" w:color="auto" w:sz="4" w:space="0"/>
            </w:tcBorders>
            <w:vAlign w:val="center"/>
          </w:tcPr>
          <w:p w14:paraId="44216A81">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美诺转债</w:t>
            </w:r>
          </w:p>
        </w:tc>
        <w:tc>
          <w:tcPr>
            <w:tcW w:w="750" w:type="pct"/>
            <w:tcBorders>
              <w:top w:val="single" w:color="auto" w:sz="4" w:space="0"/>
              <w:left w:val="single" w:color="auto" w:sz="4" w:space="0"/>
              <w:bottom w:val="single" w:color="auto" w:sz="4" w:space="0"/>
              <w:right w:val="single" w:color="auto" w:sz="4" w:space="0"/>
            </w:tcBorders>
            <w:vAlign w:val="center"/>
          </w:tcPr>
          <w:p w14:paraId="50FF9F18">
            <w:pPr>
              <w:widowControl/>
              <w:snapToGrid w:val="0"/>
              <w:jc w:val="right"/>
              <w:rPr>
                <w:rFonts w:ascii="宋体" w:hAnsi="宋体"/>
                <w:color w:val="000000"/>
                <w:kern w:val="0"/>
                <w:sz w:val="25"/>
                <w:szCs w:val="24"/>
              </w:rPr>
            </w:pPr>
            <w:r>
              <w:rPr>
                <w:rFonts w:ascii="Times New Roman" w:hAnsi="Times New Roman"/>
                <w:color w:val="000000"/>
                <w:kern w:val="0"/>
                <w:sz w:val="25"/>
                <w:szCs w:val="24"/>
              </w:rPr>
              <w:t>592,639.28</w:t>
            </w:r>
          </w:p>
        </w:tc>
        <w:tc>
          <w:tcPr>
            <w:tcW w:w="750" w:type="pct"/>
            <w:tcBorders>
              <w:top w:val="single" w:color="auto" w:sz="4" w:space="0"/>
              <w:left w:val="single" w:color="auto" w:sz="4" w:space="0"/>
              <w:bottom w:val="single" w:color="auto" w:sz="4" w:space="0"/>
              <w:right w:val="single" w:color="auto" w:sz="4" w:space="0"/>
            </w:tcBorders>
            <w:vAlign w:val="center"/>
          </w:tcPr>
          <w:p w14:paraId="79873973">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0A0A58F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86AF9E">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color="auto" w:sz="4" w:space="0"/>
              <w:left w:val="single" w:color="auto" w:sz="4" w:space="0"/>
              <w:bottom w:val="single" w:color="auto" w:sz="4" w:space="0"/>
              <w:right w:val="single" w:color="auto" w:sz="4" w:space="0"/>
            </w:tcBorders>
            <w:vAlign w:val="center"/>
          </w:tcPr>
          <w:p w14:paraId="5C0C09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123217</w:t>
            </w:r>
          </w:p>
        </w:tc>
        <w:tc>
          <w:tcPr>
            <w:tcW w:w="750" w:type="pct"/>
            <w:tcBorders>
              <w:top w:val="single" w:color="auto" w:sz="4" w:space="0"/>
              <w:left w:val="single" w:color="auto" w:sz="4" w:space="0"/>
              <w:bottom w:val="single" w:color="auto" w:sz="4" w:space="0"/>
              <w:right w:val="single" w:color="auto" w:sz="4" w:space="0"/>
            </w:tcBorders>
            <w:vAlign w:val="center"/>
          </w:tcPr>
          <w:p w14:paraId="54DC2469">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富仕转债</w:t>
            </w:r>
          </w:p>
        </w:tc>
        <w:tc>
          <w:tcPr>
            <w:tcW w:w="750" w:type="pct"/>
            <w:tcBorders>
              <w:top w:val="single" w:color="auto" w:sz="4" w:space="0"/>
              <w:left w:val="single" w:color="auto" w:sz="4" w:space="0"/>
              <w:bottom w:val="single" w:color="auto" w:sz="4" w:space="0"/>
              <w:right w:val="single" w:color="auto" w:sz="4" w:space="0"/>
            </w:tcBorders>
            <w:vAlign w:val="center"/>
          </w:tcPr>
          <w:p w14:paraId="1C6DC5EF">
            <w:pPr>
              <w:widowControl/>
              <w:snapToGrid w:val="0"/>
              <w:jc w:val="right"/>
              <w:rPr>
                <w:rFonts w:ascii="宋体" w:hAnsi="宋体"/>
                <w:color w:val="000000"/>
                <w:kern w:val="0"/>
                <w:sz w:val="25"/>
                <w:szCs w:val="24"/>
              </w:rPr>
            </w:pPr>
            <w:r>
              <w:rPr>
                <w:rFonts w:ascii="Times New Roman" w:hAnsi="Times New Roman"/>
                <w:color w:val="000000"/>
                <w:kern w:val="0"/>
                <w:sz w:val="25"/>
                <w:szCs w:val="24"/>
              </w:rPr>
              <w:t>568,905.15</w:t>
            </w:r>
          </w:p>
        </w:tc>
        <w:tc>
          <w:tcPr>
            <w:tcW w:w="750" w:type="pct"/>
            <w:tcBorders>
              <w:top w:val="single" w:color="auto" w:sz="4" w:space="0"/>
              <w:left w:val="single" w:color="auto" w:sz="4" w:space="0"/>
              <w:bottom w:val="single" w:color="auto" w:sz="4" w:space="0"/>
              <w:right w:val="single" w:color="auto" w:sz="4" w:space="0"/>
            </w:tcBorders>
            <w:vAlign w:val="center"/>
          </w:tcPr>
          <w:p w14:paraId="3A4F29F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60AC886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A034927">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color="auto" w:sz="4" w:space="0"/>
              <w:left w:val="single" w:color="auto" w:sz="4" w:space="0"/>
              <w:bottom w:val="single" w:color="auto" w:sz="4" w:space="0"/>
              <w:right w:val="single" w:color="auto" w:sz="4" w:space="0"/>
            </w:tcBorders>
            <w:vAlign w:val="center"/>
          </w:tcPr>
          <w:p w14:paraId="7B1A461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127016</w:t>
            </w:r>
          </w:p>
        </w:tc>
        <w:tc>
          <w:tcPr>
            <w:tcW w:w="750" w:type="pct"/>
            <w:tcBorders>
              <w:top w:val="single" w:color="auto" w:sz="4" w:space="0"/>
              <w:left w:val="single" w:color="auto" w:sz="4" w:space="0"/>
              <w:bottom w:val="single" w:color="auto" w:sz="4" w:space="0"/>
              <w:right w:val="single" w:color="auto" w:sz="4" w:space="0"/>
            </w:tcBorders>
            <w:vAlign w:val="center"/>
          </w:tcPr>
          <w:p w14:paraId="39FEDF68">
            <w:pPr>
              <w:widowControl/>
              <w:snapToGrid w:val="0"/>
              <w:jc w:val="center"/>
              <w:rPr>
                <w:rFonts w:ascii="宋体" w:hAnsi="宋体"/>
                <w:color w:val="000000"/>
                <w:kern w:val="0"/>
                <w:sz w:val="25"/>
                <w:szCs w:val="24"/>
              </w:rPr>
            </w:pPr>
            <w:r>
              <w:rPr>
                <w:rFonts w:ascii="Times New Roman" w:hAnsi="Times New Roman"/>
                <w:color w:val="000000"/>
                <w:kern w:val="0"/>
                <w:sz w:val="25"/>
                <w:szCs w:val="24"/>
              </w:rPr>
              <w:t>鲁泰转债</w:t>
            </w:r>
          </w:p>
        </w:tc>
        <w:tc>
          <w:tcPr>
            <w:tcW w:w="750" w:type="pct"/>
            <w:tcBorders>
              <w:top w:val="single" w:color="auto" w:sz="4" w:space="0"/>
              <w:left w:val="single" w:color="auto" w:sz="4" w:space="0"/>
              <w:bottom w:val="single" w:color="auto" w:sz="4" w:space="0"/>
              <w:right w:val="single" w:color="auto" w:sz="4" w:space="0"/>
            </w:tcBorders>
            <w:vAlign w:val="center"/>
          </w:tcPr>
          <w:p w14:paraId="01CD5B8C">
            <w:pPr>
              <w:widowControl/>
              <w:snapToGrid w:val="0"/>
              <w:jc w:val="right"/>
              <w:rPr>
                <w:rFonts w:ascii="宋体" w:hAnsi="宋体"/>
                <w:color w:val="000000"/>
                <w:kern w:val="0"/>
                <w:sz w:val="25"/>
                <w:szCs w:val="24"/>
              </w:rPr>
            </w:pPr>
            <w:r>
              <w:rPr>
                <w:rFonts w:ascii="Times New Roman" w:hAnsi="Times New Roman"/>
                <w:color w:val="000000"/>
                <w:kern w:val="0"/>
                <w:sz w:val="25"/>
                <w:szCs w:val="24"/>
              </w:rPr>
              <w:t>562,342.19</w:t>
            </w:r>
          </w:p>
        </w:tc>
        <w:tc>
          <w:tcPr>
            <w:tcW w:w="750" w:type="pct"/>
            <w:tcBorders>
              <w:top w:val="single" w:color="auto" w:sz="4" w:space="0"/>
              <w:left w:val="single" w:color="auto" w:sz="4" w:space="0"/>
              <w:bottom w:val="single" w:color="auto" w:sz="4" w:space="0"/>
              <w:right w:val="single" w:color="auto" w:sz="4" w:space="0"/>
            </w:tcBorders>
            <w:vAlign w:val="center"/>
          </w:tcPr>
          <w:p w14:paraId="3E3DB744">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061AC4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F94941">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color="auto" w:sz="4" w:space="0"/>
              <w:left w:val="single" w:color="auto" w:sz="4" w:space="0"/>
              <w:bottom w:val="single" w:color="auto" w:sz="4" w:space="0"/>
              <w:right w:val="single" w:color="auto" w:sz="4" w:space="0"/>
            </w:tcBorders>
            <w:vAlign w:val="center"/>
          </w:tcPr>
          <w:p w14:paraId="577C3627">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color="auto" w:sz="4" w:space="0"/>
              <w:left w:val="single" w:color="auto" w:sz="4" w:space="0"/>
              <w:bottom w:val="single" w:color="auto" w:sz="4" w:space="0"/>
              <w:right w:val="single" w:color="auto" w:sz="4" w:space="0"/>
            </w:tcBorders>
            <w:vAlign w:val="center"/>
          </w:tcPr>
          <w:p w14:paraId="5336537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color="auto" w:sz="4" w:space="0"/>
              <w:left w:val="single" w:color="auto" w:sz="4" w:space="0"/>
              <w:bottom w:val="single" w:color="auto" w:sz="4" w:space="0"/>
              <w:right w:val="single" w:color="auto" w:sz="4" w:space="0"/>
            </w:tcBorders>
            <w:vAlign w:val="center"/>
          </w:tcPr>
          <w:p w14:paraId="662C6873">
            <w:pPr>
              <w:widowControl/>
              <w:snapToGrid w:val="0"/>
              <w:jc w:val="right"/>
              <w:rPr>
                <w:rFonts w:ascii="宋体" w:hAnsi="宋体"/>
                <w:color w:val="000000"/>
                <w:kern w:val="0"/>
                <w:sz w:val="25"/>
                <w:szCs w:val="24"/>
              </w:rPr>
            </w:pPr>
            <w:r>
              <w:rPr>
                <w:rFonts w:ascii="Times New Roman" w:hAnsi="Times New Roman"/>
                <w:color w:val="000000"/>
                <w:kern w:val="0"/>
                <w:sz w:val="25"/>
                <w:szCs w:val="24"/>
              </w:rPr>
              <w:t>488,986.50</w:t>
            </w:r>
          </w:p>
        </w:tc>
        <w:tc>
          <w:tcPr>
            <w:tcW w:w="750" w:type="pct"/>
            <w:tcBorders>
              <w:top w:val="single" w:color="auto" w:sz="4" w:space="0"/>
              <w:left w:val="single" w:color="auto" w:sz="4" w:space="0"/>
              <w:bottom w:val="single" w:color="auto" w:sz="4" w:space="0"/>
              <w:right w:val="single" w:color="auto" w:sz="4" w:space="0"/>
            </w:tcBorders>
            <w:vAlign w:val="center"/>
          </w:tcPr>
          <w:p w14:paraId="50AFDF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643953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03214E">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color="auto" w:sz="4" w:space="0"/>
              <w:left w:val="single" w:color="auto" w:sz="4" w:space="0"/>
              <w:bottom w:val="single" w:color="auto" w:sz="4" w:space="0"/>
              <w:right w:val="single" w:color="auto" w:sz="4" w:space="0"/>
            </w:tcBorders>
            <w:vAlign w:val="center"/>
          </w:tcPr>
          <w:p w14:paraId="2F21848E">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14:paraId="33E6FF8C">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14:paraId="3FE66E08">
            <w:pPr>
              <w:widowControl/>
              <w:snapToGrid w:val="0"/>
              <w:jc w:val="right"/>
              <w:rPr>
                <w:rFonts w:ascii="宋体" w:hAnsi="宋体"/>
                <w:color w:val="000000"/>
                <w:kern w:val="0"/>
                <w:sz w:val="25"/>
                <w:szCs w:val="24"/>
              </w:rPr>
            </w:pPr>
            <w:r>
              <w:rPr>
                <w:rFonts w:ascii="Times New Roman" w:hAnsi="Times New Roman"/>
                <w:color w:val="000000"/>
                <w:kern w:val="0"/>
                <w:sz w:val="25"/>
                <w:szCs w:val="24"/>
              </w:rPr>
              <w:t>404,883.45</w:t>
            </w:r>
          </w:p>
        </w:tc>
        <w:tc>
          <w:tcPr>
            <w:tcW w:w="750" w:type="pct"/>
            <w:tcBorders>
              <w:top w:val="single" w:color="auto" w:sz="4" w:space="0"/>
              <w:left w:val="single" w:color="auto" w:sz="4" w:space="0"/>
              <w:bottom w:val="single" w:color="auto" w:sz="4" w:space="0"/>
              <w:right w:val="single" w:color="auto" w:sz="4" w:space="0"/>
            </w:tcBorders>
            <w:vAlign w:val="center"/>
          </w:tcPr>
          <w:p w14:paraId="06181063">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14:paraId="1666482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45FFF1">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color="auto" w:sz="4" w:space="0"/>
              <w:left w:val="single" w:color="auto" w:sz="4" w:space="0"/>
              <w:bottom w:val="single" w:color="auto" w:sz="4" w:space="0"/>
              <w:right w:val="single" w:color="auto" w:sz="4" w:space="0"/>
            </w:tcBorders>
            <w:vAlign w:val="center"/>
          </w:tcPr>
          <w:p w14:paraId="467886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113653</w:t>
            </w:r>
          </w:p>
        </w:tc>
        <w:tc>
          <w:tcPr>
            <w:tcW w:w="750" w:type="pct"/>
            <w:tcBorders>
              <w:top w:val="single" w:color="auto" w:sz="4" w:space="0"/>
              <w:left w:val="single" w:color="auto" w:sz="4" w:space="0"/>
              <w:bottom w:val="single" w:color="auto" w:sz="4" w:space="0"/>
              <w:right w:val="single" w:color="auto" w:sz="4" w:space="0"/>
            </w:tcBorders>
            <w:vAlign w:val="center"/>
          </w:tcPr>
          <w:p w14:paraId="18C282CB">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永22转债</w:t>
            </w:r>
          </w:p>
        </w:tc>
        <w:tc>
          <w:tcPr>
            <w:tcW w:w="750" w:type="pct"/>
            <w:tcBorders>
              <w:top w:val="single" w:color="auto" w:sz="4" w:space="0"/>
              <w:left w:val="single" w:color="auto" w:sz="4" w:space="0"/>
              <w:bottom w:val="single" w:color="auto" w:sz="4" w:space="0"/>
              <w:right w:val="single" w:color="auto" w:sz="4" w:space="0"/>
            </w:tcBorders>
            <w:vAlign w:val="center"/>
          </w:tcPr>
          <w:p w14:paraId="792054CC">
            <w:pPr>
              <w:widowControl/>
              <w:snapToGrid w:val="0"/>
              <w:jc w:val="right"/>
              <w:rPr>
                <w:rFonts w:ascii="宋体" w:hAnsi="宋体"/>
                <w:color w:val="000000"/>
                <w:kern w:val="0"/>
                <w:sz w:val="25"/>
                <w:szCs w:val="24"/>
              </w:rPr>
            </w:pPr>
            <w:r>
              <w:rPr>
                <w:rFonts w:ascii="Times New Roman" w:hAnsi="Times New Roman"/>
                <w:color w:val="000000"/>
                <w:kern w:val="0"/>
                <w:sz w:val="25"/>
                <w:szCs w:val="24"/>
              </w:rPr>
              <w:t>370,070.38</w:t>
            </w:r>
          </w:p>
        </w:tc>
        <w:tc>
          <w:tcPr>
            <w:tcW w:w="750" w:type="pct"/>
            <w:tcBorders>
              <w:top w:val="single" w:color="auto" w:sz="4" w:space="0"/>
              <w:left w:val="single" w:color="auto" w:sz="4" w:space="0"/>
              <w:bottom w:val="single" w:color="auto" w:sz="4" w:space="0"/>
              <w:right w:val="single" w:color="auto" w:sz="4" w:space="0"/>
            </w:tcBorders>
            <w:vAlign w:val="center"/>
          </w:tcPr>
          <w:p w14:paraId="68621902">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14:paraId="337413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EAE59E">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color="auto" w:sz="4" w:space="0"/>
              <w:left w:val="single" w:color="auto" w:sz="4" w:space="0"/>
              <w:bottom w:val="single" w:color="auto" w:sz="4" w:space="0"/>
              <w:right w:val="single" w:color="auto" w:sz="4" w:space="0"/>
            </w:tcBorders>
            <w:vAlign w:val="center"/>
          </w:tcPr>
          <w:p w14:paraId="0A77DC5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123210</w:t>
            </w:r>
          </w:p>
        </w:tc>
        <w:tc>
          <w:tcPr>
            <w:tcW w:w="750" w:type="pct"/>
            <w:tcBorders>
              <w:top w:val="single" w:color="auto" w:sz="4" w:space="0"/>
              <w:left w:val="single" w:color="auto" w:sz="4" w:space="0"/>
              <w:bottom w:val="single" w:color="auto" w:sz="4" w:space="0"/>
              <w:right w:val="single" w:color="auto" w:sz="4" w:space="0"/>
            </w:tcBorders>
            <w:vAlign w:val="center"/>
          </w:tcPr>
          <w:p w14:paraId="334D4F93">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信服转债</w:t>
            </w:r>
          </w:p>
        </w:tc>
        <w:tc>
          <w:tcPr>
            <w:tcW w:w="750" w:type="pct"/>
            <w:tcBorders>
              <w:top w:val="single" w:color="auto" w:sz="4" w:space="0"/>
              <w:left w:val="single" w:color="auto" w:sz="4" w:space="0"/>
              <w:bottom w:val="single" w:color="auto" w:sz="4" w:space="0"/>
              <w:right w:val="single" w:color="auto" w:sz="4" w:space="0"/>
            </w:tcBorders>
            <w:vAlign w:val="center"/>
          </w:tcPr>
          <w:p w14:paraId="37F27CF1">
            <w:pPr>
              <w:widowControl/>
              <w:snapToGrid w:val="0"/>
              <w:jc w:val="right"/>
              <w:rPr>
                <w:rFonts w:ascii="宋体" w:hAnsi="宋体"/>
                <w:color w:val="000000"/>
                <w:kern w:val="0"/>
                <w:sz w:val="25"/>
                <w:szCs w:val="24"/>
              </w:rPr>
            </w:pPr>
            <w:r>
              <w:rPr>
                <w:rFonts w:ascii="Times New Roman" w:hAnsi="Times New Roman"/>
                <w:color w:val="000000"/>
                <w:kern w:val="0"/>
                <w:sz w:val="25"/>
                <w:szCs w:val="24"/>
              </w:rPr>
              <w:t>290,631.46</w:t>
            </w:r>
          </w:p>
        </w:tc>
        <w:tc>
          <w:tcPr>
            <w:tcW w:w="750" w:type="pct"/>
            <w:tcBorders>
              <w:top w:val="single" w:color="auto" w:sz="4" w:space="0"/>
              <w:left w:val="single" w:color="auto" w:sz="4" w:space="0"/>
              <w:bottom w:val="single" w:color="auto" w:sz="4" w:space="0"/>
              <w:right w:val="single" w:color="auto" w:sz="4" w:space="0"/>
            </w:tcBorders>
            <w:vAlign w:val="center"/>
          </w:tcPr>
          <w:p w14:paraId="6CAFE8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14:paraId="4E2DAA1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1F21E8">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color="auto" w:sz="4" w:space="0"/>
              <w:left w:val="single" w:color="auto" w:sz="4" w:space="0"/>
              <w:bottom w:val="single" w:color="auto" w:sz="4" w:space="0"/>
              <w:right w:val="single" w:color="auto" w:sz="4" w:space="0"/>
            </w:tcBorders>
            <w:vAlign w:val="center"/>
          </w:tcPr>
          <w:p w14:paraId="5064634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color="auto" w:sz="4" w:space="0"/>
              <w:left w:val="single" w:color="auto" w:sz="4" w:space="0"/>
              <w:bottom w:val="single" w:color="auto" w:sz="4" w:space="0"/>
              <w:right w:val="single" w:color="auto" w:sz="4" w:space="0"/>
            </w:tcBorders>
            <w:vAlign w:val="center"/>
          </w:tcPr>
          <w:p w14:paraId="36424648">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color="auto" w:sz="4" w:space="0"/>
              <w:left w:val="single" w:color="auto" w:sz="4" w:space="0"/>
              <w:bottom w:val="single" w:color="auto" w:sz="4" w:space="0"/>
              <w:right w:val="single" w:color="auto" w:sz="4" w:space="0"/>
            </w:tcBorders>
            <w:vAlign w:val="center"/>
          </w:tcPr>
          <w:p w14:paraId="278F12AC">
            <w:pPr>
              <w:widowControl/>
              <w:snapToGrid w:val="0"/>
              <w:jc w:val="right"/>
              <w:rPr>
                <w:rFonts w:ascii="宋体" w:hAnsi="宋体"/>
                <w:color w:val="000000"/>
                <w:kern w:val="0"/>
                <w:sz w:val="25"/>
                <w:szCs w:val="24"/>
              </w:rPr>
            </w:pPr>
            <w:r>
              <w:rPr>
                <w:rFonts w:ascii="Times New Roman" w:hAnsi="Times New Roman"/>
                <w:color w:val="000000"/>
                <w:kern w:val="0"/>
                <w:sz w:val="25"/>
                <w:szCs w:val="24"/>
              </w:rPr>
              <w:t>258,795.66</w:t>
            </w:r>
          </w:p>
        </w:tc>
        <w:tc>
          <w:tcPr>
            <w:tcW w:w="750" w:type="pct"/>
            <w:tcBorders>
              <w:top w:val="single" w:color="auto" w:sz="4" w:space="0"/>
              <w:left w:val="single" w:color="auto" w:sz="4" w:space="0"/>
              <w:bottom w:val="single" w:color="auto" w:sz="4" w:space="0"/>
              <w:right w:val="single" w:color="auto" w:sz="4" w:space="0"/>
            </w:tcBorders>
            <w:vAlign w:val="center"/>
          </w:tcPr>
          <w:p w14:paraId="36CC1425">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14:paraId="041F51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E39F68">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color="auto" w:sz="4" w:space="0"/>
              <w:left w:val="single" w:color="auto" w:sz="4" w:space="0"/>
              <w:bottom w:val="single" w:color="auto" w:sz="4" w:space="0"/>
              <w:right w:val="single" w:color="auto" w:sz="4" w:space="0"/>
            </w:tcBorders>
            <w:vAlign w:val="center"/>
          </w:tcPr>
          <w:p w14:paraId="5F672B3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113654</w:t>
            </w:r>
          </w:p>
        </w:tc>
        <w:tc>
          <w:tcPr>
            <w:tcW w:w="750" w:type="pct"/>
            <w:tcBorders>
              <w:top w:val="single" w:color="auto" w:sz="4" w:space="0"/>
              <w:left w:val="single" w:color="auto" w:sz="4" w:space="0"/>
              <w:bottom w:val="single" w:color="auto" w:sz="4" w:space="0"/>
              <w:right w:val="single" w:color="auto" w:sz="4" w:space="0"/>
            </w:tcBorders>
            <w:vAlign w:val="center"/>
          </w:tcPr>
          <w:p w14:paraId="13F13C3D">
            <w:pPr>
              <w:widowControl/>
              <w:snapToGrid w:val="0"/>
              <w:jc w:val="center"/>
              <w:rPr>
                <w:rFonts w:ascii="宋体" w:hAnsi="宋体"/>
                <w:color w:val="000000"/>
                <w:kern w:val="0"/>
                <w:sz w:val="25"/>
                <w:szCs w:val="24"/>
              </w:rPr>
            </w:pPr>
            <w:r>
              <w:rPr>
                <w:rFonts w:ascii="Times New Roman" w:hAnsi="Times New Roman"/>
                <w:color w:val="000000"/>
                <w:kern w:val="0"/>
                <w:sz w:val="25"/>
                <w:szCs w:val="24"/>
              </w:rPr>
              <w:t>永02转债</w:t>
            </w:r>
          </w:p>
        </w:tc>
        <w:tc>
          <w:tcPr>
            <w:tcW w:w="750" w:type="pct"/>
            <w:tcBorders>
              <w:top w:val="single" w:color="auto" w:sz="4" w:space="0"/>
              <w:left w:val="single" w:color="auto" w:sz="4" w:space="0"/>
              <w:bottom w:val="single" w:color="auto" w:sz="4" w:space="0"/>
              <w:right w:val="single" w:color="auto" w:sz="4" w:space="0"/>
            </w:tcBorders>
            <w:vAlign w:val="center"/>
          </w:tcPr>
          <w:p w14:paraId="28A0BB8A">
            <w:pPr>
              <w:widowControl/>
              <w:snapToGrid w:val="0"/>
              <w:jc w:val="right"/>
              <w:rPr>
                <w:rFonts w:ascii="宋体" w:hAnsi="宋体"/>
                <w:color w:val="000000"/>
                <w:kern w:val="0"/>
                <w:sz w:val="25"/>
                <w:szCs w:val="24"/>
              </w:rPr>
            </w:pPr>
            <w:r>
              <w:rPr>
                <w:rFonts w:ascii="Times New Roman" w:hAnsi="Times New Roman"/>
                <w:color w:val="000000"/>
                <w:kern w:val="0"/>
                <w:sz w:val="25"/>
                <w:szCs w:val="24"/>
              </w:rPr>
              <w:t>152,551.23</w:t>
            </w:r>
          </w:p>
        </w:tc>
        <w:tc>
          <w:tcPr>
            <w:tcW w:w="750" w:type="pct"/>
            <w:tcBorders>
              <w:top w:val="single" w:color="auto" w:sz="4" w:space="0"/>
              <w:left w:val="single" w:color="auto" w:sz="4" w:space="0"/>
              <w:bottom w:val="single" w:color="auto" w:sz="4" w:space="0"/>
              <w:right w:val="single" w:color="auto" w:sz="4" w:space="0"/>
            </w:tcBorders>
            <w:vAlign w:val="center"/>
          </w:tcPr>
          <w:p w14:paraId="39476CA2">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14:paraId="4098B6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14:paraId="3D9CDA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5768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14:paraId="6F01E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36A5613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1908F86">
      <w:pPr>
        <w:pStyle w:val="2"/>
        <w:snapToGrid w:val="0"/>
        <w:spacing w:before="240" w:beforeLines="0" w:after="240"/>
        <w:rPr>
          <w:rFonts w:ascii="宋体" w:hAnsi="宋体"/>
          <w:szCs w:val="30"/>
        </w:rPr>
      </w:pPr>
      <w:bookmarkStart w:id="13" w:name="_Toc201216798"/>
      <w:r>
        <w:rPr>
          <w:rFonts w:ascii="Times New Roman" w:hAnsi="Times New Roman"/>
          <w:sz w:val="30"/>
        </w:rPr>
        <w:t>十一、基金的业绩</w:t>
      </w:r>
      <w:bookmarkEnd w:id="13"/>
    </w:p>
    <w:p w14:paraId="21DEA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基金业绩截止日为2025年03月31日，所载财务数据未经审计师审计。</w:t>
      </w:r>
    </w:p>
    <w:p w14:paraId="76E47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3557D2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14:paraId="053FA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14:paraId="770750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（1）交银增利增强债券A：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1237B55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EACC58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752340F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6480D5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3D7DBEF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1C12D68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19BBDA1F">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56ABA72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51EE460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E33C8D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23AC5624">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14:paraId="257176ED">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0CEC1F64">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14:paraId="597D092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2CD433F8">
            <w:pPr>
              <w:widowControl/>
              <w:snapToGrid w:val="0"/>
              <w:jc w:val="left"/>
              <w:rPr>
                <w:rFonts w:ascii="宋体" w:hAnsi="宋体"/>
                <w:color w:val="000000"/>
                <w:kern w:val="0"/>
                <w:sz w:val="25"/>
                <w:szCs w:val="24"/>
              </w:rPr>
            </w:pPr>
            <w:r>
              <w:rPr>
                <w:rFonts w:ascii="Times New Roman" w:hAnsi="Times New Roman"/>
                <w:color w:val="000000"/>
                <w:kern w:val="0"/>
                <w:sz w:val="25"/>
                <w:szCs w:val="24"/>
              </w:rPr>
              <w:t>2.19%</w:t>
            </w:r>
          </w:p>
        </w:tc>
        <w:tc>
          <w:tcPr>
            <w:tcW w:w="750" w:type="pct"/>
            <w:tcBorders>
              <w:top w:val="single" w:color="auto" w:sz="4" w:space="0"/>
              <w:left w:val="single" w:color="auto" w:sz="4" w:space="0"/>
              <w:bottom w:val="single" w:color="auto" w:sz="4" w:space="0"/>
              <w:right w:val="single" w:color="auto" w:sz="4" w:space="0"/>
            </w:tcBorders>
            <w:vAlign w:val="center"/>
          </w:tcPr>
          <w:p w14:paraId="63DA8A08">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14:paraId="7EDE7B3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D021ED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1565E7D6">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color="auto" w:sz="4" w:space="0"/>
              <w:left w:val="single" w:color="auto" w:sz="4" w:space="0"/>
              <w:bottom w:val="single" w:color="auto" w:sz="4" w:space="0"/>
              <w:right w:val="single" w:color="auto" w:sz="4" w:space="0"/>
            </w:tcBorders>
            <w:vAlign w:val="center"/>
          </w:tcPr>
          <w:p w14:paraId="017BCC65">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14:paraId="055CF565">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14:paraId="5A3EC7BB">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3581446F">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14:paraId="3B2B1557">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14:paraId="17D3770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82A4AF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498BD3E8">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c>
          <w:tcPr>
            <w:tcW w:w="750" w:type="pct"/>
            <w:tcBorders>
              <w:top w:val="single" w:color="auto" w:sz="4" w:space="0"/>
              <w:left w:val="single" w:color="auto" w:sz="4" w:space="0"/>
              <w:bottom w:val="single" w:color="auto" w:sz="4" w:space="0"/>
              <w:right w:val="single" w:color="auto" w:sz="4" w:space="0"/>
            </w:tcBorders>
            <w:vAlign w:val="center"/>
          </w:tcPr>
          <w:p w14:paraId="144D38C3">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71873D45">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14:paraId="6C46754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660D1BBF">
            <w:pPr>
              <w:widowControl/>
              <w:snapToGrid w:val="0"/>
              <w:jc w:val="left"/>
              <w:rPr>
                <w:rFonts w:ascii="宋体" w:hAnsi="宋体"/>
                <w:color w:val="000000"/>
                <w:kern w:val="0"/>
                <w:sz w:val="25"/>
                <w:szCs w:val="24"/>
              </w:rPr>
            </w:pPr>
            <w:r>
              <w:rPr>
                <w:rFonts w:ascii="Times New Roman" w:hAnsi="Times New Roman"/>
                <w:color w:val="000000"/>
                <w:kern w:val="0"/>
                <w:sz w:val="25"/>
                <w:szCs w:val="24"/>
              </w:rPr>
              <w:t>-1.51%</w:t>
            </w:r>
          </w:p>
        </w:tc>
        <w:tc>
          <w:tcPr>
            <w:tcW w:w="750" w:type="pct"/>
            <w:tcBorders>
              <w:top w:val="single" w:color="auto" w:sz="4" w:space="0"/>
              <w:left w:val="single" w:color="auto" w:sz="4" w:space="0"/>
              <w:bottom w:val="single" w:color="auto" w:sz="4" w:space="0"/>
              <w:right w:val="single" w:color="auto" w:sz="4" w:space="0"/>
            </w:tcBorders>
            <w:vAlign w:val="center"/>
          </w:tcPr>
          <w:p w14:paraId="1FEE663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14:paraId="5FDFB04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68988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054D45D8">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color="auto" w:sz="4" w:space="0"/>
              <w:left w:val="single" w:color="auto" w:sz="4" w:space="0"/>
              <w:bottom w:val="single" w:color="auto" w:sz="4" w:space="0"/>
              <w:right w:val="single" w:color="auto" w:sz="4" w:space="0"/>
            </w:tcBorders>
            <w:vAlign w:val="center"/>
          </w:tcPr>
          <w:p w14:paraId="007D1FA7">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5B33F546">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14:paraId="735573B1">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30443CDF">
            <w:pPr>
              <w:widowControl/>
              <w:snapToGrid w:val="0"/>
              <w:jc w:val="left"/>
              <w:rPr>
                <w:rFonts w:ascii="宋体" w:hAnsi="宋体"/>
                <w:color w:val="000000"/>
                <w:kern w:val="0"/>
                <w:sz w:val="25"/>
                <w:szCs w:val="24"/>
              </w:rPr>
            </w:pPr>
            <w:r>
              <w:rPr>
                <w:rFonts w:ascii="Times New Roman" w:hAnsi="Times New Roman"/>
                <w:color w:val="000000"/>
                <w:kern w:val="0"/>
                <w:sz w:val="25"/>
                <w:szCs w:val="24"/>
              </w:rPr>
              <w:t>-1.92%</w:t>
            </w:r>
          </w:p>
        </w:tc>
        <w:tc>
          <w:tcPr>
            <w:tcW w:w="750" w:type="pct"/>
            <w:tcBorders>
              <w:top w:val="single" w:color="auto" w:sz="4" w:space="0"/>
              <w:left w:val="single" w:color="auto" w:sz="4" w:space="0"/>
              <w:bottom w:val="single" w:color="auto" w:sz="4" w:space="0"/>
              <w:right w:val="single" w:color="auto" w:sz="4" w:space="0"/>
            </w:tcBorders>
            <w:vAlign w:val="center"/>
          </w:tcPr>
          <w:p w14:paraId="44DFFC52">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14:paraId="4D6B8EC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37B6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4FB8084D">
            <w:pPr>
              <w:widowControl/>
              <w:snapToGrid w:val="0"/>
              <w:jc w:val="left"/>
              <w:rPr>
                <w:rFonts w:ascii="宋体" w:hAnsi="宋体"/>
                <w:color w:val="000000"/>
                <w:kern w:val="0"/>
                <w:sz w:val="25"/>
                <w:szCs w:val="24"/>
              </w:rPr>
            </w:pPr>
            <w:r>
              <w:rPr>
                <w:rFonts w:ascii="Times New Roman" w:hAnsi="Times New Roman"/>
                <w:color w:val="000000"/>
                <w:kern w:val="0"/>
                <w:sz w:val="25"/>
                <w:szCs w:val="24"/>
              </w:rPr>
              <w:t>11.49%</w:t>
            </w:r>
          </w:p>
        </w:tc>
        <w:tc>
          <w:tcPr>
            <w:tcW w:w="750" w:type="pct"/>
            <w:tcBorders>
              <w:top w:val="single" w:color="auto" w:sz="4" w:space="0"/>
              <w:left w:val="single" w:color="auto" w:sz="4" w:space="0"/>
              <w:bottom w:val="single" w:color="auto" w:sz="4" w:space="0"/>
              <w:right w:val="single" w:color="auto" w:sz="4" w:space="0"/>
            </w:tcBorders>
            <w:vAlign w:val="center"/>
          </w:tcPr>
          <w:p w14:paraId="62234391">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14:paraId="7DE40A75">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14:paraId="3072233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25BDC06F">
            <w:pPr>
              <w:widowControl/>
              <w:snapToGrid w:val="0"/>
              <w:jc w:val="left"/>
              <w:rPr>
                <w:rFonts w:ascii="宋体" w:hAnsi="宋体"/>
                <w:color w:val="000000"/>
                <w:kern w:val="0"/>
                <w:sz w:val="25"/>
                <w:szCs w:val="24"/>
              </w:rPr>
            </w:pPr>
            <w:r>
              <w:rPr>
                <w:rFonts w:ascii="Times New Roman" w:hAnsi="Times New Roman"/>
                <w:color w:val="000000"/>
                <w:kern w:val="0"/>
                <w:sz w:val="25"/>
                <w:szCs w:val="24"/>
              </w:rPr>
              <w:t>9.39%</w:t>
            </w:r>
          </w:p>
        </w:tc>
        <w:tc>
          <w:tcPr>
            <w:tcW w:w="750" w:type="pct"/>
            <w:tcBorders>
              <w:top w:val="single" w:color="auto" w:sz="4" w:space="0"/>
              <w:left w:val="single" w:color="auto" w:sz="4" w:space="0"/>
              <w:bottom w:val="single" w:color="auto" w:sz="4" w:space="0"/>
              <w:right w:val="single" w:color="auto" w:sz="4" w:space="0"/>
            </w:tcBorders>
            <w:vAlign w:val="center"/>
          </w:tcPr>
          <w:p w14:paraId="7B8C38C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14:paraId="520B60B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2502E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4921FF2B">
            <w:pPr>
              <w:widowControl/>
              <w:snapToGrid w:val="0"/>
              <w:jc w:val="left"/>
              <w:rPr>
                <w:rFonts w:ascii="宋体" w:hAnsi="宋体"/>
                <w:color w:val="000000"/>
                <w:kern w:val="0"/>
                <w:sz w:val="25"/>
                <w:szCs w:val="24"/>
              </w:rPr>
            </w:pPr>
            <w:r>
              <w:rPr>
                <w:rFonts w:ascii="Times New Roman" w:hAnsi="Times New Roman"/>
                <w:color w:val="000000"/>
                <w:kern w:val="0"/>
                <w:sz w:val="25"/>
                <w:szCs w:val="24"/>
              </w:rPr>
              <w:t>17.42%</w:t>
            </w:r>
          </w:p>
        </w:tc>
        <w:tc>
          <w:tcPr>
            <w:tcW w:w="750" w:type="pct"/>
            <w:tcBorders>
              <w:top w:val="single" w:color="auto" w:sz="4" w:space="0"/>
              <w:left w:val="single" w:color="auto" w:sz="4" w:space="0"/>
              <w:bottom w:val="single" w:color="auto" w:sz="4" w:space="0"/>
              <w:right w:val="single" w:color="auto" w:sz="4" w:space="0"/>
            </w:tcBorders>
            <w:vAlign w:val="center"/>
          </w:tcPr>
          <w:p w14:paraId="3846E146">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14:paraId="123D0D4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4B3418C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28A6F038">
            <w:pPr>
              <w:widowControl/>
              <w:snapToGrid w:val="0"/>
              <w:jc w:val="left"/>
              <w:rPr>
                <w:rFonts w:ascii="宋体" w:hAnsi="宋体"/>
                <w:color w:val="000000"/>
                <w:kern w:val="0"/>
                <w:sz w:val="25"/>
                <w:szCs w:val="24"/>
              </w:rPr>
            </w:pPr>
            <w:r>
              <w:rPr>
                <w:rFonts w:ascii="Times New Roman" w:hAnsi="Times New Roman"/>
                <w:color w:val="000000"/>
                <w:kern w:val="0"/>
                <w:sz w:val="25"/>
                <w:szCs w:val="24"/>
              </w:rPr>
              <w:t>17.49%</w:t>
            </w:r>
          </w:p>
        </w:tc>
        <w:tc>
          <w:tcPr>
            <w:tcW w:w="750" w:type="pct"/>
            <w:tcBorders>
              <w:top w:val="single" w:color="auto" w:sz="4" w:space="0"/>
              <w:left w:val="single" w:color="auto" w:sz="4" w:space="0"/>
              <w:bottom w:val="single" w:color="auto" w:sz="4" w:space="0"/>
              <w:right w:val="single" w:color="auto" w:sz="4" w:space="0"/>
            </w:tcBorders>
            <w:vAlign w:val="center"/>
          </w:tcPr>
          <w:p w14:paraId="275A6618">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14:paraId="3A83302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98A1696">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6191449E">
            <w:pPr>
              <w:widowControl/>
              <w:snapToGrid w:val="0"/>
              <w:jc w:val="left"/>
              <w:rPr>
                <w:rFonts w:ascii="宋体" w:hAnsi="宋体"/>
                <w:color w:val="000000"/>
                <w:kern w:val="0"/>
                <w:sz w:val="25"/>
                <w:szCs w:val="24"/>
              </w:rPr>
            </w:pPr>
            <w:r>
              <w:rPr>
                <w:rFonts w:ascii="Times New Roman" w:hAnsi="Times New Roman"/>
                <w:color w:val="000000"/>
                <w:kern w:val="0"/>
                <w:sz w:val="25"/>
                <w:szCs w:val="24"/>
              </w:rPr>
              <w:t>14.70%</w:t>
            </w:r>
          </w:p>
        </w:tc>
        <w:tc>
          <w:tcPr>
            <w:tcW w:w="750" w:type="pct"/>
            <w:tcBorders>
              <w:top w:val="single" w:color="auto" w:sz="4" w:space="0"/>
              <w:left w:val="single" w:color="auto" w:sz="4" w:space="0"/>
              <w:bottom w:val="single" w:color="auto" w:sz="4" w:space="0"/>
              <w:right w:val="single" w:color="auto" w:sz="4" w:space="0"/>
            </w:tcBorders>
            <w:vAlign w:val="center"/>
          </w:tcPr>
          <w:p w14:paraId="1D025038">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14:paraId="7CCC409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14:paraId="42D7EA2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703EC4A3">
            <w:pPr>
              <w:widowControl/>
              <w:snapToGrid w:val="0"/>
              <w:jc w:val="left"/>
              <w:rPr>
                <w:rFonts w:ascii="宋体" w:hAnsi="宋体"/>
                <w:color w:val="000000"/>
                <w:kern w:val="0"/>
                <w:sz w:val="25"/>
                <w:szCs w:val="24"/>
              </w:rPr>
            </w:pPr>
            <w:r>
              <w:rPr>
                <w:rFonts w:ascii="Times New Roman" w:hAnsi="Times New Roman"/>
                <w:color w:val="000000"/>
                <w:kern w:val="0"/>
                <w:sz w:val="25"/>
                <w:szCs w:val="24"/>
              </w:rPr>
              <w:t>13.39%</w:t>
            </w:r>
          </w:p>
        </w:tc>
        <w:tc>
          <w:tcPr>
            <w:tcW w:w="750" w:type="pct"/>
            <w:tcBorders>
              <w:top w:val="single" w:color="auto" w:sz="4" w:space="0"/>
              <w:left w:val="single" w:color="auto" w:sz="4" w:space="0"/>
              <w:bottom w:val="single" w:color="auto" w:sz="4" w:space="0"/>
              <w:right w:val="single" w:color="auto" w:sz="4" w:space="0"/>
            </w:tcBorders>
            <w:vAlign w:val="center"/>
          </w:tcPr>
          <w:p w14:paraId="330AA5B0">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14:paraId="2A82EF1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5DBDCA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6EACD63F">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color="auto" w:sz="4" w:space="0"/>
              <w:left w:val="single" w:color="auto" w:sz="4" w:space="0"/>
              <w:bottom w:val="single" w:color="auto" w:sz="4" w:space="0"/>
              <w:right w:val="single" w:color="auto" w:sz="4" w:space="0"/>
            </w:tcBorders>
            <w:vAlign w:val="center"/>
          </w:tcPr>
          <w:p w14:paraId="77A41815">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6D3CDEBA">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14:paraId="53398493">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609FD0BE">
            <w:pPr>
              <w:widowControl/>
              <w:snapToGrid w:val="0"/>
              <w:jc w:val="left"/>
              <w:rPr>
                <w:rFonts w:ascii="宋体" w:hAnsi="宋体"/>
                <w:color w:val="000000"/>
                <w:kern w:val="0"/>
                <w:sz w:val="25"/>
                <w:szCs w:val="24"/>
              </w:rPr>
            </w:pPr>
            <w:r>
              <w:rPr>
                <w:rFonts w:ascii="Times New Roman" w:hAnsi="Times New Roman"/>
                <w:color w:val="000000"/>
                <w:kern w:val="0"/>
                <w:sz w:val="25"/>
                <w:szCs w:val="24"/>
              </w:rPr>
              <w:t>-1.68%</w:t>
            </w:r>
          </w:p>
        </w:tc>
        <w:tc>
          <w:tcPr>
            <w:tcW w:w="750" w:type="pct"/>
            <w:tcBorders>
              <w:top w:val="single" w:color="auto" w:sz="4" w:space="0"/>
              <w:left w:val="single" w:color="auto" w:sz="4" w:space="0"/>
              <w:bottom w:val="single" w:color="auto" w:sz="4" w:space="0"/>
              <w:right w:val="single" w:color="auto" w:sz="4" w:space="0"/>
            </w:tcBorders>
            <w:vAlign w:val="center"/>
          </w:tcPr>
          <w:p w14:paraId="6E1804F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3F726BD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C1C09B7">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2017年度（自基金合同生效日起至2017年12月31日）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5AADBE0B">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color="auto" w:sz="4" w:space="0"/>
              <w:left w:val="single" w:color="auto" w:sz="4" w:space="0"/>
              <w:bottom w:val="single" w:color="auto" w:sz="4" w:space="0"/>
              <w:right w:val="single" w:color="auto" w:sz="4" w:space="0"/>
            </w:tcBorders>
            <w:vAlign w:val="center"/>
          </w:tcPr>
          <w:p w14:paraId="5660A2E8">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5456823C">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14:paraId="15CF1D7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45AA9774">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color="auto" w:sz="4" w:space="0"/>
              <w:left w:val="single" w:color="auto" w:sz="4" w:space="0"/>
              <w:bottom w:val="single" w:color="auto" w:sz="4" w:space="0"/>
              <w:right w:val="single" w:color="auto" w:sz="4" w:space="0"/>
            </w:tcBorders>
            <w:vAlign w:val="center"/>
          </w:tcPr>
          <w:p w14:paraId="3C811794">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14:paraId="239F3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（2）交银增利增强债券C：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0208C0D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DEA482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0FDDC99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4A8AA6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442737F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2F9BEC6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0BC82EA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19B2F90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1A136AF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4DAA12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7265B6C7">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color="auto" w:sz="4" w:space="0"/>
              <w:left w:val="single" w:color="auto" w:sz="4" w:space="0"/>
              <w:bottom w:val="single" w:color="auto" w:sz="4" w:space="0"/>
              <w:right w:val="single" w:color="auto" w:sz="4" w:space="0"/>
            </w:tcBorders>
            <w:vAlign w:val="center"/>
          </w:tcPr>
          <w:p w14:paraId="4321DE10">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0550E9B4">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color="auto" w:sz="4" w:space="0"/>
              <w:left w:val="single" w:color="auto" w:sz="4" w:space="0"/>
              <w:bottom w:val="single" w:color="auto" w:sz="4" w:space="0"/>
              <w:right w:val="single" w:color="auto" w:sz="4" w:space="0"/>
            </w:tcBorders>
            <w:vAlign w:val="center"/>
          </w:tcPr>
          <w:p w14:paraId="0C22425C">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19587E18">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color="auto" w:sz="4" w:space="0"/>
              <w:left w:val="single" w:color="auto" w:sz="4" w:space="0"/>
              <w:bottom w:val="single" w:color="auto" w:sz="4" w:space="0"/>
              <w:right w:val="single" w:color="auto" w:sz="4" w:space="0"/>
            </w:tcBorders>
            <w:vAlign w:val="center"/>
          </w:tcPr>
          <w:p w14:paraId="72EA1ACF">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14:paraId="3BA96EB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5FB51A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45778DC4">
            <w:pPr>
              <w:widowControl/>
              <w:snapToGrid w:val="0"/>
              <w:jc w:val="left"/>
              <w:rPr>
                <w:rFonts w:ascii="宋体" w:hAnsi="宋体"/>
                <w:color w:val="000000"/>
                <w:kern w:val="0"/>
                <w:sz w:val="25"/>
                <w:szCs w:val="24"/>
              </w:rPr>
            </w:pPr>
            <w:r>
              <w:rPr>
                <w:rFonts w:ascii="Times New Roman" w:hAnsi="Times New Roman"/>
                <w:color w:val="000000"/>
                <w:kern w:val="0"/>
                <w:sz w:val="25"/>
                <w:szCs w:val="24"/>
              </w:rPr>
              <w:t>3.78%</w:t>
            </w:r>
          </w:p>
        </w:tc>
        <w:tc>
          <w:tcPr>
            <w:tcW w:w="750" w:type="pct"/>
            <w:tcBorders>
              <w:top w:val="single" w:color="auto" w:sz="4" w:space="0"/>
              <w:left w:val="single" w:color="auto" w:sz="4" w:space="0"/>
              <w:bottom w:val="single" w:color="auto" w:sz="4" w:space="0"/>
              <w:right w:val="single" w:color="auto" w:sz="4" w:space="0"/>
            </w:tcBorders>
            <w:vAlign w:val="center"/>
          </w:tcPr>
          <w:p w14:paraId="168670D9">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color="auto" w:sz="4" w:space="0"/>
              <w:left w:val="single" w:color="auto" w:sz="4" w:space="0"/>
              <w:bottom w:val="single" w:color="auto" w:sz="4" w:space="0"/>
              <w:right w:val="single" w:color="auto" w:sz="4" w:space="0"/>
            </w:tcBorders>
            <w:vAlign w:val="center"/>
          </w:tcPr>
          <w:p w14:paraId="3EA3E3BD">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14:paraId="30649843">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1E320A93">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color="auto" w:sz="4" w:space="0"/>
              <w:left w:val="single" w:color="auto" w:sz="4" w:space="0"/>
              <w:bottom w:val="single" w:color="auto" w:sz="4" w:space="0"/>
              <w:right w:val="single" w:color="auto" w:sz="4" w:space="0"/>
            </w:tcBorders>
            <w:vAlign w:val="center"/>
          </w:tcPr>
          <w:p w14:paraId="00CC60C7">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14:paraId="48EAE9CC">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E0818D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47AE2A01">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7F8E34DD">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0D8EED96">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14:paraId="3F3D4B2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2D796286">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color="auto" w:sz="4" w:space="0"/>
              <w:left w:val="single" w:color="auto" w:sz="4" w:space="0"/>
              <w:bottom w:val="single" w:color="auto" w:sz="4" w:space="0"/>
              <w:right w:val="single" w:color="auto" w:sz="4" w:space="0"/>
            </w:tcBorders>
            <w:vAlign w:val="center"/>
          </w:tcPr>
          <w:p w14:paraId="24C5877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14:paraId="6B80242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71823D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74236B5B">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p>
        </w:tc>
        <w:tc>
          <w:tcPr>
            <w:tcW w:w="750" w:type="pct"/>
            <w:tcBorders>
              <w:top w:val="single" w:color="auto" w:sz="4" w:space="0"/>
              <w:left w:val="single" w:color="auto" w:sz="4" w:space="0"/>
              <w:bottom w:val="single" w:color="auto" w:sz="4" w:space="0"/>
              <w:right w:val="single" w:color="auto" w:sz="4" w:space="0"/>
            </w:tcBorders>
            <w:vAlign w:val="center"/>
          </w:tcPr>
          <w:p w14:paraId="0DDA7F4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12511B43">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14:paraId="4C8F9EB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3CC900B0">
            <w:pPr>
              <w:widowControl/>
              <w:snapToGrid w:val="0"/>
              <w:jc w:val="left"/>
              <w:rPr>
                <w:rFonts w:ascii="宋体" w:hAnsi="宋体"/>
                <w:color w:val="000000"/>
                <w:kern w:val="0"/>
                <w:sz w:val="25"/>
                <w:szCs w:val="24"/>
              </w:rPr>
            </w:pPr>
            <w:r>
              <w:rPr>
                <w:rFonts w:ascii="Times New Roman" w:hAnsi="Times New Roman"/>
                <w:color w:val="000000"/>
                <w:kern w:val="0"/>
                <w:sz w:val="25"/>
                <w:szCs w:val="24"/>
              </w:rPr>
              <w:t>-2.31%</w:t>
            </w:r>
          </w:p>
        </w:tc>
        <w:tc>
          <w:tcPr>
            <w:tcW w:w="750" w:type="pct"/>
            <w:tcBorders>
              <w:top w:val="single" w:color="auto" w:sz="4" w:space="0"/>
              <w:left w:val="single" w:color="auto" w:sz="4" w:space="0"/>
              <w:bottom w:val="single" w:color="auto" w:sz="4" w:space="0"/>
              <w:right w:val="single" w:color="auto" w:sz="4" w:space="0"/>
            </w:tcBorders>
            <w:vAlign w:val="center"/>
          </w:tcPr>
          <w:p w14:paraId="062C45D8">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14:paraId="1736CBB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DF76D8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08314549">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color="auto" w:sz="4" w:space="0"/>
              <w:left w:val="single" w:color="auto" w:sz="4" w:space="0"/>
              <w:bottom w:val="single" w:color="auto" w:sz="4" w:space="0"/>
              <w:right w:val="single" w:color="auto" w:sz="4" w:space="0"/>
            </w:tcBorders>
            <w:vAlign w:val="center"/>
          </w:tcPr>
          <w:p w14:paraId="653BBD4F">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color="auto" w:sz="4" w:space="0"/>
              <w:left w:val="single" w:color="auto" w:sz="4" w:space="0"/>
              <w:bottom w:val="single" w:color="auto" w:sz="4" w:space="0"/>
              <w:right w:val="single" w:color="auto" w:sz="4" w:space="0"/>
            </w:tcBorders>
            <w:vAlign w:val="center"/>
          </w:tcPr>
          <w:p w14:paraId="3FDA7DF4">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14:paraId="3C1ED5F4">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0602C317">
            <w:pPr>
              <w:widowControl/>
              <w:snapToGrid w:val="0"/>
              <w:jc w:val="left"/>
              <w:rPr>
                <w:rFonts w:ascii="宋体" w:hAnsi="宋体"/>
                <w:color w:val="000000"/>
                <w:kern w:val="0"/>
                <w:sz w:val="25"/>
                <w:szCs w:val="24"/>
              </w:rPr>
            </w:pPr>
            <w:r>
              <w:rPr>
                <w:rFonts w:ascii="Times New Roman" w:hAnsi="Times New Roman"/>
                <w:color w:val="000000"/>
                <w:kern w:val="0"/>
                <w:sz w:val="25"/>
                <w:szCs w:val="24"/>
              </w:rPr>
              <w:t>8.92%</w:t>
            </w:r>
          </w:p>
        </w:tc>
        <w:tc>
          <w:tcPr>
            <w:tcW w:w="750" w:type="pct"/>
            <w:tcBorders>
              <w:top w:val="single" w:color="auto" w:sz="4" w:space="0"/>
              <w:left w:val="single" w:color="auto" w:sz="4" w:space="0"/>
              <w:bottom w:val="single" w:color="auto" w:sz="4" w:space="0"/>
              <w:right w:val="single" w:color="auto" w:sz="4" w:space="0"/>
            </w:tcBorders>
            <w:vAlign w:val="center"/>
          </w:tcPr>
          <w:p w14:paraId="33030DD7">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14:paraId="1FC13F5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C31364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76FCB1C9">
            <w:pPr>
              <w:widowControl/>
              <w:snapToGrid w:val="0"/>
              <w:jc w:val="left"/>
              <w:rPr>
                <w:rFonts w:ascii="宋体" w:hAnsi="宋体"/>
                <w:color w:val="000000"/>
                <w:kern w:val="0"/>
                <w:sz w:val="25"/>
                <w:szCs w:val="24"/>
              </w:rPr>
            </w:pPr>
            <w:r>
              <w:rPr>
                <w:rFonts w:ascii="Times New Roman" w:hAnsi="Times New Roman"/>
                <w:color w:val="000000"/>
                <w:kern w:val="0"/>
                <w:sz w:val="25"/>
                <w:szCs w:val="24"/>
              </w:rPr>
              <w:t>16.91%</w:t>
            </w:r>
          </w:p>
        </w:tc>
        <w:tc>
          <w:tcPr>
            <w:tcW w:w="750" w:type="pct"/>
            <w:tcBorders>
              <w:top w:val="single" w:color="auto" w:sz="4" w:space="0"/>
              <w:left w:val="single" w:color="auto" w:sz="4" w:space="0"/>
              <w:bottom w:val="single" w:color="auto" w:sz="4" w:space="0"/>
              <w:right w:val="single" w:color="auto" w:sz="4" w:space="0"/>
            </w:tcBorders>
            <w:vAlign w:val="center"/>
          </w:tcPr>
          <w:p w14:paraId="573D645A">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color="auto" w:sz="4" w:space="0"/>
              <w:left w:val="single" w:color="auto" w:sz="4" w:space="0"/>
              <w:bottom w:val="single" w:color="auto" w:sz="4" w:space="0"/>
              <w:right w:val="single" w:color="auto" w:sz="4" w:space="0"/>
            </w:tcBorders>
            <w:vAlign w:val="center"/>
          </w:tcPr>
          <w:p w14:paraId="693FC61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4E9FEBD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6827CF34">
            <w:pPr>
              <w:widowControl/>
              <w:snapToGrid w:val="0"/>
              <w:jc w:val="left"/>
              <w:rPr>
                <w:rFonts w:ascii="宋体" w:hAnsi="宋体"/>
                <w:color w:val="000000"/>
                <w:kern w:val="0"/>
                <w:sz w:val="25"/>
                <w:szCs w:val="24"/>
              </w:rPr>
            </w:pPr>
            <w:r>
              <w:rPr>
                <w:rFonts w:ascii="Times New Roman" w:hAnsi="Times New Roman"/>
                <w:color w:val="000000"/>
                <w:kern w:val="0"/>
                <w:sz w:val="25"/>
                <w:szCs w:val="24"/>
              </w:rPr>
              <w:t>16.98%</w:t>
            </w:r>
          </w:p>
        </w:tc>
        <w:tc>
          <w:tcPr>
            <w:tcW w:w="750" w:type="pct"/>
            <w:tcBorders>
              <w:top w:val="single" w:color="auto" w:sz="4" w:space="0"/>
              <w:left w:val="single" w:color="auto" w:sz="4" w:space="0"/>
              <w:bottom w:val="single" w:color="auto" w:sz="4" w:space="0"/>
              <w:right w:val="single" w:color="auto" w:sz="4" w:space="0"/>
            </w:tcBorders>
            <w:vAlign w:val="center"/>
          </w:tcPr>
          <w:p w14:paraId="5A44E2E5">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14:paraId="3509B5D3">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3A79F68">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609B3877">
            <w:pPr>
              <w:widowControl/>
              <w:snapToGrid w:val="0"/>
              <w:jc w:val="left"/>
              <w:rPr>
                <w:rFonts w:ascii="宋体" w:hAnsi="宋体"/>
                <w:color w:val="000000"/>
                <w:kern w:val="0"/>
                <w:sz w:val="25"/>
                <w:szCs w:val="24"/>
              </w:rPr>
            </w:pPr>
            <w:r>
              <w:rPr>
                <w:rFonts w:ascii="Times New Roman" w:hAnsi="Times New Roman"/>
                <w:color w:val="000000"/>
                <w:kern w:val="0"/>
                <w:sz w:val="25"/>
                <w:szCs w:val="24"/>
              </w:rPr>
              <w:t>14.19%</w:t>
            </w:r>
          </w:p>
        </w:tc>
        <w:tc>
          <w:tcPr>
            <w:tcW w:w="750" w:type="pct"/>
            <w:tcBorders>
              <w:top w:val="single" w:color="auto" w:sz="4" w:space="0"/>
              <w:left w:val="single" w:color="auto" w:sz="4" w:space="0"/>
              <w:bottom w:val="single" w:color="auto" w:sz="4" w:space="0"/>
              <w:right w:val="single" w:color="auto" w:sz="4" w:space="0"/>
            </w:tcBorders>
            <w:vAlign w:val="center"/>
          </w:tcPr>
          <w:p w14:paraId="3DD20559">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14:paraId="3D23F23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14:paraId="270EE086">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00C83A4B">
            <w:pPr>
              <w:widowControl/>
              <w:snapToGrid w:val="0"/>
              <w:jc w:val="left"/>
              <w:rPr>
                <w:rFonts w:ascii="宋体" w:hAnsi="宋体"/>
                <w:color w:val="000000"/>
                <w:kern w:val="0"/>
                <w:sz w:val="25"/>
                <w:szCs w:val="24"/>
              </w:rPr>
            </w:pPr>
            <w:r>
              <w:rPr>
                <w:rFonts w:ascii="Times New Roman" w:hAnsi="Times New Roman"/>
                <w:color w:val="000000"/>
                <w:kern w:val="0"/>
                <w:sz w:val="25"/>
                <w:szCs w:val="24"/>
              </w:rPr>
              <w:t>12.88%</w:t>
            </w:r>
          </w:p>
        </w:tc>
        <w:tc>
          <w:tcPr>
            <w:tcW w:w="750" w:type="pct"/>
            <w:tcBorders>
              <w:top w:val="single" w:color="auto" w:sz="4" w:space="0"/>
              <w:left w:val="single" w:color="auto" w:sz="4" w:space="0"/>
              <w:bottom w:val="single" w:color="auto" w:sz="4" w:space="0"/>
              <w:right w:val="single" w:color="auto" w:sz="4" w:space="0"/>
            </w:tcBorders>
            <w:vAlign w:val="center"/>
          </w:tcPr>
          <w:p w14:paraId="1C70F8E9">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r>
      <w:tr w14:paraId="113D2FE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09120F4">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6AAA02CC">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color="auto" w:sz="4" w:space="0"/>
              <w:left w:val="single" w:color="auto" w:sz="4" w:space="0"/>
              <w:bottom w:val="single" w:color="auto" w:sz="4" w:space="0"/>
              <w:right w:val="single" w:color="auto" w:sz="4" w:space="0"/>
            </w:tcBorders>
            <w:vAlign w:val="center"/>
          </w:tcPr>
          <w:p w14:paraId="173A3FA7">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color="auto" w:sz="4" w:space="0"/>
              <w:left w:val="single" w:color="auto" w:sz="4" w:space="0"/>
              <w:bottom w:val="single" w:color="auto" w:sz="4" w:space="0"/>
              <w:right w:val="single" w:color="auto" w:sz="4" w:space="0"/>
            </w:tcBorders>
            <w:vAlign w:val="center"/>
          </w:tcPr>
          <w:p w14:paraId="30A8A097">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14:paraId="5025A02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14:paraId="4E7E46E5">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color="auto" w:sz="4" w:space="0"/>
              <w:left w:val="single" w:color="auto" w:sz="4" w:space="0"/>
              <w:bottom w:val="single" w:color="auto" w:sz="4" w:space="0"/>
              <w:right w:val="single" w:color="auto" w:sz="4" w:space="0"/>
            </w:tcBorders>
            <w:vAlign w:val="center"/>
          </w:tcPr>
          <w:p w14:paraId="5D729EA6">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4512F82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362A1F4">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2017年度（自基金合同生效日起至2017年12月31日）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29EBF7F7">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color="auto" w:sz="4" w:space="0"/>
              <w:left w:val="single" w:color="auto" w:sz="4" w:space="0"/>
              <w:bottom w:val="single" w:color="auto" w:sz="4" w:space="0"/>
              <w:right w:val="single" w:color="auto" w:sz="4" w:space="0"/>
            </w:tcBorders>
            <w:vAlign w:val="center"/>
          </w:tcPr>
          <w:p w14:paraId="5C948EF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4A3DFB44">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color="auto" w:sz="4" w:space="0"/>
              <w:left w:val="single" w:color="auto" w:sz="4" w:space="0"/>
              <w:bottom w:val="single" w:color="auto" w:sz="4" w:space="0"/>
              <w:right w:val="single" w:color="auto" w:sz="4" w:space="0"/>
            </w:tcBorders>
            <w:vAlign w:val="center"/>
          </w:tcPr>
          <w:p w14:paraId="46DD2F8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2E742C80">
            <w:pPr>
              <w:widowControl/>
              <w:snapToGrid w:val="0"/>
              <w:jc w:val="left"/>
              <w:rPr>
                <w:rFonts w:ascii="宋体" w:hAnsi="宋体"/>
                <w:color w:val="000000"/>
                <w:kern w:val="0"/>
                <w:sz w:val="25"/>
                <w:szCs w:val="24"/>
              </w:rPr>
            </w:pPr>
            <w:r>
              <w:rPr>
                <w:rFonts w:ascii="Times New Roman" w:hAnsi="Times New Roman"/>
                <w:color w:val="000000"/>
                <w:kern w:val="0"/>
                <w:sz w:val="25"/>
                <w:szCs w:val="24"/>
              </w:rPr>
              <w:t>3.12%</w:t>
            </w:r>
          </w:p>
        </w:tc>
        <w:tc>
          <w:tcPr>
            <w:tcW w:w="750" w:type="pct"/>
            <w:tcBorders>
              <w:top w:val="single" w:color="auto" w:sz="4" w:space="0"/>
              <w:left w:val="single" w:color="auto" w:sz="4" w:space="0"/>
              <w:bottom w:val="single" w:color="auto" w:sz="4" w:space="0"/>
              <w:right w:val="single" w:color="auto" w:sz="4" w:space="0"/>
            </w:tcBorders>
            <w:vAlign w:val="center"/>
          </w:tcPr>
          <w:p w14:paraId="39DBECA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bl>
    <w:p w14:paraId="03C67A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注：1、本基金的业绩比较基准为中债综合全价指数。</w:t>
      </w:r>
    </w:p>
    <w:p w14:paraId="705F49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2、本基金自2025年4月2日起，开始销售D类份额，截至财务数据截止日，无D类份额。</w:t>
      </w:r>
    </w:p>
    <w:p w14:paraId="12890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2D234730">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交银施罗德增利增强债券型证券投资基金</w:t>
      </w:r>
    </w:p>
    <w:p w14:paraId="3D6ED3CE">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14:paraId="5FC057BB">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（2017年6月2日至2025年03月31日）</w:t>
      </w:r>
    </w:p>
    <w:p w14:paraId="70F28F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（1）交银增利增强债券A</w:t>
      </w:r>
    </w:p>
    <w:p w14:paraId="246D8C4C">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456pt;width:439.5pt;" filled="f" o:preferrelative="t" stroked="f" coordsize="21600,21600">
            <v:path/>
            <v:fill on="f" focussize="0,0"/>
            <v:stroke on="f" joinstyle="miter"/>
            <v:imagedata r:id="rId15" o:title="1521256610242020828"/>
            <o:lock v:ext="edit" aspectratio="t"/>
            <w10:wrap type="none"/>
            <w10:anchorlock/>
          </v:shape>
        </w:pict>
      </w:r>
    </w:p>
    <w:p w14:paraId="19AC0C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（2）交银增利增强债券C</w:t>
      </w:r>
    </w:p>
    <w:p w14:paraId="786AB8B1">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462.75pt;width:439.5pt;" filled="f" o:preferrelative="t" stroked="f" coordsize="21600,21600">
            <v:path/>
            <v:fill on="f" focussize="0,0"/>
            <v:stroke on="f" joinstyle="miter"/>
            <v:imagedata r:id="rId16" o:title="1521256610242020828"/>
            <o:lock v:ext="edit" aspectratio="t"/>
            <w10:wrap type="none"/>
            <w10:anchorlock/>
          </v:shape>
        </w:pict>
      </w:r>
    </w:p>
    <w:p w14:paraId="313C4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14:paraId="70EEB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2、本基金自2025年4月2日起，开始销售D类份额，截至财务数据截止日，无D类份额。</w:t>
      </w:r>
    </w:p>
    <w:p w14:paraId="0FE486F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D1B6E74">
      <w:pPr>
        <w:pStyle w:val="2"/>
        <w:snapToGrid w:val="0"/>
        <w:spacing w:before="240" w:beforeLines="0" w:after="240"/>
        <w:rPr>
          <w:rFonts w:ascii="宋体" w:hAnsi="宋体"/>
          <w:szCs w:val="30"/>
        </w:rPr>
      </w:pPr>
      <w:bookmarkStart w:id="14" w:name="_Toc201216799"/>
      <w:r>
        <w:rPr>
          <w:rFonts w:ascii="Times New Roman" w:hAnsi="Times New Roman"/>
          <w:sz w:val="30"/>
        </w:rPr>
        <w:t>十二、基金的财产</w:t>
      </w:r>
      <w:bookmarkEnd w:id="14"/>
    </w:p>
    <w:p w14:paraId="30692A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14:paraId="4D8169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14:paraId="78B6AB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14:paraId="12DB68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0639C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14:paraId="711EFD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4CDF73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14:paraId="335C1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02B71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4DB7931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6939A93">
      <w:pPr>
        <w:pStyle w:val="2"/>
        <w:snapToGrid w:val="0"/>
        <w:spacing w:before="240" w:beforeLines="0" w:after="240"/>
        <w:rPr>
          <w:rFonts w:ascii="宋体" w:hAnsi="宋体"/>
          <w:szCs w:val="30"/>
        </w:rPr>
      </w:pPr>
      <w:bookmarkStart w:id="15" w:name="_Toc201216800"/>
      <w:r>
        <w:rPr>
          <w:rFonts w:ascii="Times New Roman" w:hAnsi="Times New Roman"/>
          <w:sz w:val="30"/>
        </w:rPr>
        <w:t>十三、基金资产的估值</w:t>
      </w:r>
      <w:bookmarkEnd w:id="15"/>
    </w:p>
    <w:p w14:paraId="379DC7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14:paraId="3AFA77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14:paraId="35C73D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14:paraId="37979B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基金所拥有的股票、权证、债券和银行存款本息、应收款项、其它投资等资产及负债。</w:t>
      </w:r>
    </w:p>
    <w:p w14:paraId="4E47A1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14:paraId="2D0705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14:paraId="015B31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2759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14:paraId="141E00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14:paraId="5DF8EE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14:paraId="31EE6F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14:paraId="233674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w:t>
      </w:r>
    </w:p>
    <w:p w14:paraId="7B271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14:paraId="24F3EF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14:paraId="3D3127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3、全国银行间债券市场交易的债券、资产支持证券等固定收益品种，采用估值技术确定公允价值。</w:t>
      </w:r>
    </w:p>
    <w:p w14:paraId="21C47BD8">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4、同一债券同时在两个或两个以上市场交易的，按债券所处的市场分别估值。</w:t>
      </w:r>
    </w:p>
    <w:p w14:paraId="09CFBF00">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5、本基金投资存托凭证的估值核算依照境内上市交易的股票执行。</w:t>
      </w:r>
    </w:p>
    <w:p w14:paraId="01DF1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14:paraId="66CCF3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7、相关法律法规以及监管部门有强制规定的，从其规定。如有新增事项，按法律法规以及监管部门最新规定估值。</w:t>
      </w:r>
    </w:p>
    <w:p w14:paraId="5FAEEB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47C69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43EEF9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14:paraId="41F0F8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14:paraId="54724D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基金管理人于每个工作日计算基金资产净值及各类基金份额净值，并按规定公告。</w:t>
      </w:r>
    </w:p>
    <w:p w14:paraId="40143C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依据基金合同和相关法律法规的规定对外公布。</w:t>
      </w:r>
    </w:p>
    <w:p w14:paraId="6354B2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14:paraId="435A8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基金管理人和基金托管人将采取必要、适当、合理的措施确保基金资产估值的准确性、及时性。当任一类基金份额净值小数点后第4位以内（含第4位) 发生估值错误时，视为该类基金份额净值错误。</w:t>
      </w:r>
    </w:p>
    <w:p w14:paraId="035429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本基金合同的当事人应按照以下约定处理：</w:t>
      </w:r>
    </w:p>
    <w:p w14:paraId="4EC7D0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14:paraId="629240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14:paraId="1FB22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14:paraId="1101DB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14:paraId="0F4DA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12DD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14:paraId="461BA0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2CEDE0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14:paraId="3CC11E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14:paraId="57B8AB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14:paraId="629A92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14:paraId="5EE39A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14:paraId="5CA378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14:paraId="064A22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14:paraId="6523C2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14:paraId="27F885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14:paraId="04370B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4EB75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14:paraId="6BD8B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14:paraId="72FC20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14:paraId="4D6827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14:paraId="2FB62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14:paraId="79DCBB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14:paraId="241F32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14:paraId="5BD780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14:paraId="756C0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14:paraId="4B67D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各类基金份额净值由基金管理人负责计算，基金托管人负责进行复核。基金管理人应于每个开放日交易结束后计算当日的基金资产净值和各类基金份额净值并发送给基金托管人。基金托管人对净值计算结果复核确认后发送给基金管理人，由基金管理人对基金净值予以公布。</w:t>
      </w:r>
    </w:p>
    <w:p w14:paraId="6AFB5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14:paraId="46B93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基金管理人、基金托管人按估值方法的第6项进行估值时，所造成的误差不作为基金资产估值错误处理。</w:t>
      </w:r>
    </w:p>
    <w:p w14:paraId="4B5B52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（九）实施侧袋机制期间的基金资产估值</w:t>
      </w:r>
    </w:p>
    <w:p w14:paraId="097736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3D7C8BA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E06D4C4">
      <w:pPr>
        <w:pStyle w:val="2"/>
        <w:snapToGrid w:val="0"/>
        <w:spacing w:before="240" w:beforeLines="0" w:after="240"/>
        <w:rPr>
          <w:rFonts w:ascii="宋体" w:hAnsi="宋体"/>
          <w:szCs w:val="30"/>
        </w:rPr>
      </w:pPr>
      <w:bookmarkStart w:id="16" w:name="_Toc201216801"/>
      <w:r>
        <w:rPr>
          <w:rFonts w:ascii="Times New Roman" w:hAnsi="Times New Roman"/>
          <w:sz w:val="30"/>
        </w:rPr>
        <w:t>十四、基金的收益与分配</w:t>
      </w:r>
      <w:bookmarkEnd w:id="16"/>
    </w:p>
    <w:p w14:paraId="171D65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14:paraId="5DCBD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14:paraId="7099D6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14:paraId="58C09C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14:paraId="70352D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14:paraId="431464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1、由于本基金A类、B类和D类基金份额不收取销售服务费，C类基金份额收取销售服务费，各基金份额类别对应的可供分配利润将有所不同；</w:t>
      </w:r>
    </w:p>
    <w:p w14:paraId="006FEE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90%，若《基金合同》生效不满3个月可不进行收益分配；</w:t>
      </w:r>
    </w:p>
    <w:p w14:paraId="611E6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各类基金份额分别选择不同的收益分配方式；</w:t>
      </w:r>
    </w:p>
    <w:p w14:paraId="6667AF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4、基金收益分配后各类基金份额净值不能低于面值，即基金收益分配基准日的该类基金份额净值减去每单位该类基金份额收益分配金额后不能低于面值；</w:t>
      </w:r>
    </w:p>
    <w:p w14:paraId="32C32F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5、本基金同一基金份额类别的每一基金份额享有同等分配权；</w:t>
      </w:r>
    </w:p>
    <w:p w14:paraId="0512DD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6、法律法规或监管机关另有规定的，从其规定。</w:t>
      </w:r>
    </w:p>
    <w:p w14:paraId="3FC89D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14:paraId="0E4DC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14:paraId="5886E6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14:paraId="4A3618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14:paraId="184F76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14:paraId="3B86AF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14:paraId="390746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14:paraId="672EFC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14:paraId="109656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14:paraId="728A37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14:paraId="3B737A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投资人同一日多次申报分红方式变更的，按照《业务规则》执行，最终确认的分红方式以登记机构记录为准。</w:t>
      </w:r>
    </w:p>
    <w:p w14:paraId="583954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14:paraId="2A6595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1614E35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A61D6CC">
      <w:pPr>
        <w:pStyle w:val="2"/>
        <w:snapToGrid w:val="0"/>
        <w:spacing w:before="240" w:beforeLines="0" w:after="240"/>
        <w:rPr>
          <w:rFonts w:ascii="宋体" w:hAnsi="宋体"/>
          <w:szCs w:val="30"/>
        </w:rPr>
      </w:pPr>
      <w:bookmarkStart w:id="17" w:name="_Toc201216802"/>
      <w:r>
        <w:rPr>
          <w:rFonts w:ascii="Times New Roman" w:hAnsi="Times New Roman"/>
          <w:sz w:val="30"/>
        </w:rPr>
        <w:t>十五、基金的费用与税收</w:t>
      </w:r>
      <w:bookmarkEnd w:id="17"/>
    </w:p>
    <w:p w14:paraId="567A1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14:paraId="259CF8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11F59B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165DE0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14:paraId="2A7835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14:paraId="60B9AD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14:paraId="4E54F4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14:paraId="2C42AB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14:paraId="14B3CF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14:paraId="511AB9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9、本基金从C类基金份额的基金财产中计提的销售服务费；</w:t>
      </w:r>
    </w:p>
    <w:p w14:paraId="0956E1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14:paraId="65116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14:paraId="68850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5342A6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3F02FB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本基金的管理费按前一日基金资产净值的0.6%年费率计提。管理费的计算方法如下：</w:t>
      </w:r>
    </w:p>
    <w:p w14:paraId="70742D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H＝E×0.6%÷当年天数</w:t>
      </w:r>
    </w:p>
    <w:p w14:paraId="3402B4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66DF48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1EE4D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14:paraId="4D558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65054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本基金的托管费按前一日基金资产净值的0.2%的年费率计提。托管费的计算方法如下：</w:t>
      </w:r>
    </w:p>
    <w:p w14:paraId="16CDF3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H＝E×0.2%÷当年天数</w:t>
      </w:r>
    </w:p>
    <w:p w14:paraId="760AA8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11F73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14:paraId="553A0B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14:paraId="2EE813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（3）C类基金份额的销售服务费</w:t>
      </w:r>
    </w:p>
    <w:p w14:paraId="183E53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14:paraId="2A1EEE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14:paraId="7FB33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14:paraId="191371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14:paraId="19FBDC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至最近可支付日。费用自动扣划后，基金管理人应进行核对，如发现数据不符，及时联系基金托管人协商解决。</w:t>
      </w:r>
    </w:p>
    <w:p w14:paraId="6E3883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C类基金份额的销售服务费将专门用于本基金的推广、销售与基金份额持有人服务。</w:t>
      </w:r>
    </w:p>
    <w:p w14:paraId="09290B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2、上述“（一）基金费用的种类”中第3－8、第10项费用，根据有关法规及相应协议规定，按费用实际支出金额列入当期费用，由基金托管人从基金财产中支付。</w:t>
      </w:r>
    </w:p>
    <w:p w14:paraId="06A3C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14:paraId="531036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14:paraId="2FF815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14:paraId="5B6F0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14:paraId="4D51E8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14:paraId="5A48D4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14:paraId="371FE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14:paraId="5F211E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14:paraId="14A1E1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214E4C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14:paraId="53DD7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14:paraId="7249D4B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572DAEF">
      <w:pPr>
        <w:pStyle w:val="2"/>
        <w:snapToGrid w:val="0"/>
        <w:spacing w:before="240" w:beforeLines="0" w:after="240"/>
        <w:rPr>
          <w:rFonts w:ascii="宋体" w:hAnsi="宋体"/>
          <w:szCs w:val="30"/>
        </w:rPr>
      </w:pPr>
      <w:bookmarkStart w:id="18" w:name="_Toc201216803"/>
      <w:r>
        <w:rPr>
          <w:rFonts w:ascii="Times New Roman" w:hAnsi="Times New Roman"/>
          <w:sz w:val="30"/>
        </w:rPr>
        <w:t>十六、基金的会计与审计</w:t>
      </w:r>
      <w:bookmarkEnd w:id="18"/>
    </w:p>
    <w:p w14:paraId="7245C3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14:paraId="797AA2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70A9D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14:paraId="3DADF8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14:paraId="56131B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361921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7D14BB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14:paraId="1F7BFC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14:paraId="728ADC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14:paraId="543371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14:paraId="54A3DB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14:paraId="2D32B5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14:paraId="0D70DF5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E35654C">
      <w:pPr>
        <w:pStyle w:val="2"/>
        <w:snapToGrid w:val="0"/>
        <w:spacing w:before="240" w:beforeLines="0" w:after="240"/>
        <w:rPr>
          <w:rFonts w:ascii="宋体" w:hAnsi="宋体"/>
          <w:szCs w:val="30"/>
        </w:rPr>
      </w:pPr>
      <w:bookmarkStart w:id="19" w:name="_Toc201216804"/>
      <w:r>
        <w:rPr>
          <w:rFonts w:ascii="Times New Roman" w:hAnsi="Times New Roman"/>
          <w:sz w:val="30"/>
        </w:rPr>
        <w:t>十七、基金的信息披露</w:t>
      </w:r>
      <w:bookmarkEnd w:id="19"/>
    </w:p>
    <w:p w14:paraId="217BFA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14:paraId="2C37EF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14:paraId="78E33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14:paraId="3F2C9B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14:paraId="2D557D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43AEEE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14:paraId="290ED9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39BD9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39C3CB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2757A4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14:paraId="68617D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7F2A30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109226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14:paraId="51E9B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0E8B20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14:paraId="0A6AE5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4203B8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14:paraId="23DBF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14:paraId="488503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31F648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14:paraId="50368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56D82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14:paraId="3D7814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14:paraId="42B0E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14:paraId="17E5BD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14:paraId="63B4B6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14:paraId="26CCC7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14:paraId="1916B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《基金合同》生效后，在开始办理基金份额申购或者赎回前，基金管理人应当至少每周在指定网站披露一次各类基金份额所对应的基金份额净值和基金份额累计净值。</w:t>
      </w:r>
    </w:p>
    <w:p w14:paraId="18AB39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在开始办理基金份额申购或者赎回后，基金管理人应当在不晚于每个开放日的次日，通过指定网站、销售机构网站或者营业网点披露开放日的各类基金份额所对应的基金份额净值和基金份额累计净值。</w:t>
      </w:r>
    </w:p>
    <w:p w14:paraId="7BCC81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基金管理人应当在不晚于半年度和年度最后一日的次日，在指定网站披露半年度和年度最后一日的各类基金份额所对应的基金份额净值和基金份额累计净值。</w:t>
      </w:r>
    </w:p>
    <w:p w14:paraId="6F933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14:paraId="7EBA1F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4565E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14:paraId="70B56B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7ADE5C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14:paraId="3F8B52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14:paraId="5EEEA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14:paraId="03A01F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0E374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14:paraId="210A06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14:paraId="189C21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14:paraId="38C1D3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14:paraId="7ED53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554BD1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58C0C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771489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69E41F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6F9455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28A4E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59AB78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2227A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653A66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0C83B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339D5A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369E81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79E004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220B75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（15）管理费、托管费、申购费、赎回费、销售服务费等费用计提标准、计提方式和费率发生变更；</w:t>
      </w:r>
    </w:p>
    <w:p w14:paraId="2CB4FC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14:paraId="364569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1FECFC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61B047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42C02B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615DB3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14:paraId="62B4DB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14:paraId="4F4FFC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14:paraId="4AA941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5A5462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14:paraId="7248CE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6E302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14:paraId="4809DE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14:paraId="3DABB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7F0095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11、清算报告</w:t>
      </w:r>
    </w:p>
    <w:p w14:paraId="547218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14:paraId="381711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12、中国证监会规定的其他信息。</w:t>
      </w:r>
    </w:p>
    <w:p w14:paraId="680D05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14:paraId="568CF4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788338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14:paraId="5D0B48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14EE41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1364CB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1CE412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74ADBC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483126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14:paraId="20B1B7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14:paraId="5CD443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14:paraId="562E61B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C685A23">
      <w:pPr>
        <w:pStyle w:val="2"/>
        <w:snapToGrid w:val="0"/>
        <w:spacing w:before="240" w:beforeLines="0" w:after="240"/>
        <w:rPr>
          <w:rFonts w:ascii="宋体" w:hAnsi="宋体"/>
          <w:szCs w:val="30"/>
        </w:rPr>
      </w:pPr>
      <w:bookmarkStart w:id="20" w:name="_Toc201216805"/>
      <w:r>
        <w:rPr>
          <w:rFonts w:ascii="Times New Roman" w:hAnsi="Times New Roman"/>
          <w:sz w:val="30"/>
        </w:rPr>
        <w:t>十八、侧袋机制</w:t>
      </w:r>
      <w:bookmarkEnd w:id="20"/>
    </w:p>
    <w:p w14:paraId="5A56DFA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14:paraId="51D01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370711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2538798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14:paraId="029C0C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379F76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7B81D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3FD5305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14:paraId="70AD93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4DF0A6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242BC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3F626DD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14:paraId="3E1C38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5BBFDC6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14:paraId="6A77E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14:paraId="140ACD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7D82CCA7">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14:paraId="1DF227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6DDFEE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42D8C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12223E7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14:paraId="46C39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579EC6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01330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1E0DBD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103522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616C08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088A10A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3AE64B6">
      <w:pPr>
        <w:pStyle w:val="2"/>
        <w:snapToGrid w:val="0"/>
        <w:spacing w:before="240" w:beforeLines="0" w:after="240"/>
        <w:rPr>
          <w:rFonts w:ascii="宋体" w:hAnsi="宋体"/>
          <w:szCs w:val="30"/>
        </w:rPr>
      </w:pPr>
      <w:bookmarkStart w:id="21" w:name="_Toc201216806"/>
      <w:r>
        <w:rPr>
          <w:rFonts w:ascii="Times New Roman" w:hAnsi="Times New Roman"/>
          <w:sz w:val="30"/>
        </w:rPr>
        <w:t>十九、风险揭示</w:t>
      </w:r>
      <w:bookmarkEnd w:id="21"/>
    </w:p>
    <w:p w14:paraId="445A65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5B02E7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14:paraId="198AB5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14:paraId="796D01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65D66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6CAE18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14:paraId="6DEE2E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6567B8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570AB7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14:paraId="512FC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31D65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072F7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14:paraId="43BCF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425A59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14:paraId="1F3921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6DD973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14:paraId="4A253D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14:paraId="11AC86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14:paraId="22BE9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14:paraId="05A79A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14:paraId="09DC36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602ED2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14:paraId="7F4E6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7CDEAC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058F6F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6AB085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111081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14:paraId="4156B8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36FB4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60FEE6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2DCF6B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095F2D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14:paraId="234FA0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40C9D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巨额赎回业务的场内处理，按照上海证券交易所及中国证券登记结算有限责任公司的有关规定办理。</w:t>
      </w:r>
    </w:p>
    <w:p w14:paraId="1B2853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750DBF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2B68F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742E0E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25F7A0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27D831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2BFB2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5CD655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25A2B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14:paraId="6E0E6B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14:paraId="3A3BF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14:paraId="2AA9E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14:paraId="53BDD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36305D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3、本基金在主要投资于固定收益类资产的同时也积极关注股票、权证市场的投资机会，会因投资权益类资产而面临的权益类资产市场的系统性风险和个券风险。</w:t>
      </w:r>
    </w:p>
    <w:p w14:paraId="7873F4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14:paraId="1374A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（六）投资科创板股票的特定风险</w:t>
      </w:r>
    </w:p>
    <w:p w14:paraId="7C771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7FB21F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14:paraId="6F7C81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14:paraId="166DCD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14:paraId="0D7600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14:paraId="02FF75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14:paraId="1D446D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14:paraId="652325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14:paraId="10667F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14:paraId="47487D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14:paraId="42FF9B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14:paraId="62F3E7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14:paraId="41FF4043">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（七）本基金法律文件风险收益特征表述与销售机构基金风险评价可能不一致的风险</w:t>
      </w:r>
    </w:p>
    <w:p w14:paraId="785118A3">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5A2B1E4C">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（八）投资存托凭证的特定风险</w:t>
      </w:r>
    </w:p>
    <w:p w14:paraId="433637D4">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1208A147">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01FCB6D">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本基金可根据投资策略需要或市场环境的变化，选择将部分基金资产投资于存托凭证或选择不将基金资产投资于存托凭证，基金资产并非必然投资存托凭证。</w:t>
      </w:r>
    </w:p>
    <w:p w14:paraId="0ECBF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rPr>
        <w:t>九</w:t>
      </w:r>
      <w:r>
        <w:rPr>
          <w:rFonts w:ascii="宋体" w:hAnsi="宋体"/>
          <w:sz w:val="24"/>
        </w:rPr>
        <w:t>）其他风险</w:t>
      </w:r>
    </w:p>
    <w:p w14:paraId="428F5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105451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0DB518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77794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03AF4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75542D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39576F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6A5F1C4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DCDE35B">
      <w:pPr>
        <w:pStyle w:val="2"/>
        <w:snapToGrid w:val="0"/>
        <w:spacing w:before="240" w:beforeLines="0" w:after="240"/>
        <w:rPr>
          <w:rFonts w:ascii="宋体" w:hAnsi="宋体"/>
          <w:szCs w:val="30"/>
        </w:rPr>
      </w:pPr>
      <w:bookmarkStart w:id="22" w:name="_Toc201216807"/>
      <w:r>
        <w:rPr>
          <w:rFonts w:ascii="Times New Roman" w:hAnsi="Times New Roman"/>
          <w:sz w:val="30"/>
        </w:rPr>
        <w:t>二十、基金合同的变更、终止与基金财产的清算</w:t>
      </w:r>
      <w:bookmarkEnd w:id="22"/>
    </w:p>
    <w:p w14:paraId="3E980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14:paraId="68463B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695CDC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14:paraId="2A8D6F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14:paraId="0F0C4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14:paraId="642FFF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207452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29969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14:paraId="1124A3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14:paraId="459A60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14:paraId="4E87F9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516EB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200869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7DD695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2C324F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21117F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374895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76AD52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723E61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5E3EAE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25C35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51437B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14:paraId="24F1AD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14:paraId="6688F1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2EAFB3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14:paraId="258485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680B95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14:paraId="1F77F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5992C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14:paraId="6EEF90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7783290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DC94C73">
      <w:pPr>
        <w:pStyle w:val="2"/>
        <w:snapToGrid w:val="0"/>
        <w:spacing w:before="240" w:beforeLines="0" w:after="240"/>
        <w:rPr>
          <w:rFonts w:ascii="宋体" w:hAnsi="宋体"/>
          <w:szCs w:val="30"/>
        </w:rPr>
      </w:pPr>
      <w:bookmarkStart w:id="23" w:name="_Toc201216808"/>
      <w:r>
        <w:rPr>
          <w:rFonts w:ascii="Times New Roman" w:hAnsi="Times New Roman"/>
          <w:sz w:val="30"/>
        </w:rPr>
        <w:t>二十一、基金合同内容摘要</w:t>
      </w:r>
      <w:bookmarkEnd w:id="23"/>
    </w:p>
    <w:p w14:paraId="2E86DB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14:paraId="069CC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47175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14:paraId="65695E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w:t>
      </w:r>
    </w:p>
    <w:p w14:paraId="1663A2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14:paraId="076919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14:paraId="6601D9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14:paraId="700C2C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5）召集基金份额持有人大会；</w:t>
      </w:r>
    </w:p>
    <w:p w14:paraId="1E185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14:paraId="27177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14:paraId="4A18AC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14:paraId="2F9645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14:paraId="32E24B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14:paraId="2E7445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14:paraId="3D8AD7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14:paraId="12839F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13）在法律法规允许的前提下，为基金的利益依法为基金进行融资融券；</w:t>
      </w:r>
    </w:p>
    <w:p w14:paraId="5E7DF3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14:paraId="210124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14:paraId="43E02E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16）在符合有关法律、法规的前提下，制定和调整有关基金认购、申购、赎回、转换和非交易过户等的业务规则；</w:t>
      </w:r>
    </w:p>
    <w:p w14:paraId="0A5E7B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14:paraId="65C4E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14:paraId="4F1338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2F69D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0B00FB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14:paraId="3FB8C2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2E06E7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14:paraId="59ECC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14:paraId="6CA9C8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48883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14:paraId="2DC074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14:paraId="4B35AF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14:paraId="65A704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14:paraId="53627E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14:paraId="049FB7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14:paraId="7E3F7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14:paraId="63054D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14:paraId="5D898F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14:paraId="0153D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8B4EB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14:paraId="1FC93D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14:paraId="06578F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14:paraId="68246B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14:paraId="584FD9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14:paraId="0A48E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14:paraId="29519D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14:paraId="3B09E9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14:paraId="064BEF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14:paraId="2A39A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14:paraId="01179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0228B6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14:paraId="6EFF33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14:paraId="4F7945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14:paraId="7A7515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8B4EF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4）根据相关市场规则，为基金开设证券账户、为基金办理证券交易资金清算；</w:t>
      </w:r>
    </w:p>
    <w:p w14:paraId="5041F9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14:paraId="0E1001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14:paraId="17136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14:paraId="5F39CD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14:paraId="4786B5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14:paraId="15E553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14:paraId="19C57A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7F225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14:paraId="2F93BD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51DB2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14:paraId="608B1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14:paraId="52F5F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14:paraId="403771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14:paraId="29FD2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11BB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14:paraId="50771B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14:paraId="0453B7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14:paraId="1ABA38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14:paraId="7509BF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14:paraId="11F287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14:paraId="20563A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14:paraId="270CA7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14:paraId="2B79A7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14:paraId="751FB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14:paraId="5DF7C6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14:paraId="058119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14:paraId="44C2D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01CEE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14:paraId="79A666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同一类别每份基金份额具有同等的合法权益。</w:t>
      </w:r>
    </w:p>
    <w:p w14:paraId="7FAF2A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14:paraId="7DFD9C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14:paraId="056429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14:paraId="6E9E90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3）依法并按照基金合同的规定申请赎回其持有的基金份额；</w:t>
      </w:r>
    </w:p>
    <w:p w14:paraId="54077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w:t>
      </w:r>
    </w:p>
    <w:p w14:paraId="3DE944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14:paraId="38E2F6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14:paraId="76122E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14:paraId="3289AB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8）对基金管理人、基金托管人、基金销售机构损害其合法权益的行为依法提起诉讼或仲裁；</w:t>
      </w:r>
    </w:p>
    <w:p w14:paraId="667803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14:paraId="253133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14:paraId="6BA3B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w:t>
      </w:r>
    </w:p>
    <w:p w14:paraId="03F7A9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2）了解所投资基金产品，了解自身风险承受能力，自行承担投资风险；</w:t>
      </w:r>
    </w:p>
    <w:p w14:paraId="4F3674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14:paraId="772A98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4）缴纳基金认购、申购款项及法律法规和《基金合同》所规定的费用；</w:t>
      </w:r>
    </w:p>
    <w:p w14:paraId="382D7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14:paraId="43A890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14:paraId="34C295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14:paraId="27FCED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14:paraId="2D4043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14:paraId="1557A0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14:paraId="5DB47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14:paraId="6F95F1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14:paraId="6668F5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14:paraId="63AF33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14:paraId="534B3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14:paraId="080BB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14:paraId="447E9F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14:paraId="48C811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14:paraId="3E467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14:paraId="306FF3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14:paraId="51DC8C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14F3B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14:paraId="6603BA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14:paraId="380BFF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14:paraId="3F5CD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14:paraId="6840F3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12）对基金当事人权利和义务产生重大影响的其他事项；</w:t>
      </w:r>
    </w:p>
    <w:p w14:paraId="1EC8A5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14:paraId="12718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14:paraId="2961E7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w:t>
      </w:r>
    </w:p>
    <w:p w14:paraId="2BEF6E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14:paraId="1B7903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3）在法律法规和《基金合同》规定的范围内调整本基金的申购费率、调低赎回费率、在不影响现基金份额持有人利益的前提下变更或增加收费方式；</w:t>
      </w:r>
    </w:p>
    <w:p w14:paraId="0C8875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4）因相应的法律法规发生变动而应当对《基金合同》进行修改；</w:t>
      </w:r>
    </w:p>
    <w:p w14:paraId="6A1C49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5）对《基金合同》的修改对基金份额持有人利益无实质性不利影响或修改不涉及《基金合同》当事人权利义务关系发生变化；</w:t>
      </w:r>
    </w:p>
    <w:p w14:paraId="5A2AB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6）在不影响现基金份额持有人利益的前提下，在法律法规和基金合同规定的范围内调整本基金份额类别的设置；</w:t>
      </w:r>
    </w:p>
    <w:p w14:paraId="34085A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7）按照法律法规和《基金合同》规定不需召开基金份额持有人大会的以外的其他情形。</w:t>
      </w:r>
    </w:p>
    <w:p w14:paraId="3F7CBD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14:paraId="2F8076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14:paraId="6E51F9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14:paraId="59F019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14:paraId="6B1AC4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14:paraId="7D03C6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4E3C7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14:paraId="016AD0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14:paraId="79C4F0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14:paraId="135623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14:paraId="6A95A6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14:paraId="0A2BF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14:paraId="54AED5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14:paraId="52527C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14:paraId="417C67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14:paraId="5CA6B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14:paraId="03A5C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14:paraId="09D35C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0C9CE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14:paraId="7B9FF4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14:paraId="426C3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4BB880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018E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14:paraId="57711D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14:paraId="298D1F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14:paraId="2602AB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14:paraId="4F750D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14:paraId="5884F4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14:paraId="7FB0C3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14:paraId="3B3F59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14:paraId="08584E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14:paraId="3EB8F8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591FB4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06EE8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14:paraId="29D20F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14:paraId="7ABB29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7929A6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4DE97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FA04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14:paraId="125B70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590848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14:paraId="2DCD9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14:paraId="440C51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14:paraId="278D5F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14:paraId="759373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4C0F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14:paraId="69D8DD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14:paraId="3FAF01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14:paraId="37E706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14:paraId="34EF46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14:paraId="5A60B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4A91F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14:paraId="5BBD54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14:paraId="095AD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D1836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14:paraId="24E3C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14:paraId="5173C5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14:paraId="617EF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14:paraId="5F445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14:paraId="5BFC1A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基金份额持有人大会的决议自完成备案手续之日起生效。</w:t>
      </w:r>
    </w:p>
    <w:p w14:paraId="7187DD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14:paraId="044544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14:paraId="706F65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14:paraId="7C919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7CFD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7BD298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59363C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10B10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1878E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78699B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068E8E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25F473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2E08D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14:paraId="23A6D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14:paraId="53AE9D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6CCC36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14:paraId="71545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14:paraId="4CE5C9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14:paraId="266E4D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14:paraId="70AE18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61F306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14:paraId="433F7B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14:paraId="756FEB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14:paraId="61BBCF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7D07BB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2CB4DD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318F7C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14:paraId="68A649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4E4F57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14:paraId="54EC94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14:paraId="13026E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14:paraId="5F57A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14:paraId="41C0D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14:paraId="1E2A42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14:paraId="5635AB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14:paraId="640E4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14:paraId="12F67D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14:paraId="153448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11DCAF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14:paraId="5A4146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14:paraId="152844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14:paraId="44E9DF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14:paraId="5B3FF2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14:paraId="3F40E7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38075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14:paraId="0BFC3502">
      <w:pPr>
        <w:autoSpaceDE w:val="0"/>
        <w:autoSpaceDN w:val="0"/>
        <w:adjustRightInd w:val="0"/>
        <w:snapToGrid w:val="0"/>
        <w:spacing w:line="360" w:lineRule="auto"/>
        <w:ind w:firstLine="480" w:firstLineChars="200"/>
        <w:jc w:val="left"/>
        <w:rPr>
          <w:rFonts w:ascii="宋体" w:hAnsi="宋体"/>
          <w:b/>
          <w:szCs w:val="24"/>
        </w:rPr>
      </w:pPr>
      <w:r>
        <w:rPr>
          <w:rFonts w:ascii="宋体" w:hAnsi="宋体"/>
          <w:b/>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14:paraId="658A45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14:paraId="04AC3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14:paraId="5CEB9B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14:paraId="55C12E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14:paraId="6F254DC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5253C29">
      <w:pPr>
        <w:pStyle w:val="2"/>
        <w:snapToGrid w:val="0"/>
        <w:spacing w:before="240" w:beforeLines="0" w:after="240"/>
        <w:rPr>
          <w:rFonts w:ascii="宋体" w:hAnsi="宋体"/>
          <w:szCs w:val="30"/>
        </w:rPr>
      </w:pPr>
      <w:bookmarkStart w:id="24" w:name="_Toc201216809"/>
      <w:r>
        <w:rPr>
          <w:rFonts w:ascii="Times New Roman" w:hAnsi="Times New Roman"/>
          <w:sz w:val="30"/>
        </w:rPr>
        <w:t>二十二、托管协议的内容摘要</w:t>
      </w:r>
      <w:bookmarkEnd w:id="24"/>
    </w:p>
    <w:p w14:paraId="0081B0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14:paraId="0A578D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5BDBEC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1F1ED5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14:paraId="7CED90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40C9C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177B40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6E65E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14:paraId="56A10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14:paraId="7AC331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2D550A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14:paraId="328625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5F51A7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14:paraId="5A9E6E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0B139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14:paraId="0A5099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51291F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14:paraId="31B3A6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14:paraId="5412B3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14:paraId="6C85DB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14:paraId="66499E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14:paraId="315BB4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262ECF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14:paraId="6CCFB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76D9F4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14:paraId="228809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14:paraId="57DFC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14:paraId="3E457D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w:t>
      </w:r>
      <w:r>
        <w:rPr>
          <w:rFonts w:hint="eastAsia" w:ascii="宋体" w:hAnsi="宋体"/>
          <w:sz w:val="24"/>
        </w:rPr>
        <w:t>、存托凭证</w:t>
      </w:r>
      <w:r>
        <w:rPr>
          <w:rFonts w:ascii="宋体" w:hAnsi="宋体"/>
          <w:sz w:val="24"/>
        </w:rPr>
        <w:t>）、权证等权益类品种以及法律法规或中国证监会允许基金投资的其他金融工具(但须符合中国证监会相关规定)。</w:t>
      </w:r>
    </w:p>
    <w:p w14:paraId="0ADB20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14:paraId="13838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w:t>
      </w:r>
      <w:r>
        <w:rPr>
          <w:rFonts w:hint="eastAsia" w:ascii="宋体" w:hAnsi="宋体"/>
          <w:sz w:val="24"/>
        </w:rPr>
        <w:t>（含存托凭证）</w:t>
      </w:r>
      <w:r>
        <w:rPr>
          <w:rFonts w:ascii="宋体" w:hAnsi="宋体"/>
          <w:sz w:val="24"/>
        </w:rPr>
        <w:t>、权证等权益类资产的投资比例不高于基金资产净值的20%；现金或到期日在一年以内的政府债券的投资比例合计不低于基金资产净值的5%，其中现金不包括结算备付金、存出保证金和应收申购款等。</w:t>
      </w:r>
    </w:p>
    <w:p w14:paraId="3875ED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1F1EAF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（1）债券的投资比例不低于基金资产的80%，股票</w:t>
      </w:r>
      <w:r>
        <w:rPr>
          <w:rFonts w:hint="eastAsia" w:ascii="宋体" w:hAnsi="宋体"/>
          <w:sz w:val="24"/>
        </w:rPr>
        <w:t>（含存托凭证）</w:t>
      </w:r>
      <w:r>
        <w:rPr>
          <w:rFonts w:ascii="宋体" w:hAnsi="宋体"/>
          <w:sz w:val="24"/>
        </w:rPr>
        <w:t>、权证等权益类资产的投资比例不高于基金资产净值的20%；</w:t>
      </w:r>
    </w:p>
    <w:p w14:paraId="772E18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14:paraId="3E75A3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（3）本基金持有一家上市公司的股票，其市值不超过基金资产净值的10％；</w:t>
      </w:r>
    </w:p>
    <w:p w14:paraId="420798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14:paraId="386D3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14:paraId="514768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（6）本基金在任何交易日买入权证的总金额，不得超过上一交易日基金资产净值的0.5％；</w:t>
      </w:r>
    </w:p>
    <w:p w14:paraId="3B74EF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（7）本基金投资于同一原始权益人的各类资产支持证券的比例，不得超过基金资产净值的10％；</w:t>
      </w:r>
    </w:p>
    <w:p w14:paraId="10214B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（8）本基金持有的全部资产支持证券，其市值不得超过基金资产净值的20％；</w:t>
      </w:r>
    </w:p>
    <w:p w14:paraId="684E72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（9）本基金持有的同一(指同一信用级别)资产支持证券的比例，不得超过该资产支持证券规模的10％；</w:t>
      </w:r>
    </w:p>
    <w:p w14:paraId="249D3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（10）本基金应投资于信用级别评级为BBB以上(含BBB)的资产支持证券。基金持有资产支持证券期间，如果其信用等级下降、不再符合投资标准，应在评级报告发布之日起3个月内予以全部卖出；</w:t>
      </w:r>
    </w:p>
    <w:p w14:paraId="3D76E4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（11）基金财产参与股票发行申购，本基金所申报的金额不超过本基金的总资产，本基金所申报的股票数量不超过拟发行股票公司本次发行股票的总量；</w:t>
      </w:r>
    </w:p>
    <w:p w14:paraId="151F45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（12）本基金进入全国银行间同业市场进行债券回购的资金余额不得超过基金资产净值的40％；</w:t>
      </w:r>
    </w:p>
    <w:p w14:paraId="6BAA55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（13）本基金持有的所有流通受限证券，其公允价值不得超过本基金资产净值的15%；本基金持有的同一流通受限证券，其公允价值不得超过本基金资产净值的2%；</w:t>
      </w:r>
    </w:p>
    <w:p w14:paraId="008CC6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33B88D20">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14:paraId="4A0AD759">
      <w:pPr>
        <w:autoSpaceDE w:val="0"/>
        <w:autoSpaceDN w:val="0"/>
        <w:adjustRightInd w:val="0"/>
        <w:snapToGrid w:val="0"/>
        <w:spacing w:line="360" w:lineRule="auto"/>
        <w:ind w:firstLine="480" w:firstLineChars="200"/>
        <w:jc w:val="left"/>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）本基金投资存托凭证的比例限制依照境内上市交易的股票执行。</w:t>
      </w:r>
    </w:p>
    <w:p w14:paraId="1CF444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法律法规或监管部门取消上述限制，如适用于本基金，基金管理人在履行适当程序后，则本基金投资不再受相关限制。</w:t>
      </w:r>
    </w:p>
    <w:p w14:paraId="61FC03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基金管理人应当自基金合同生效之日起6个月内使基金的投资组合比例符合基金合同的有关约定。基金托管人对基金的投资的监督与检查自基金合同生效之日起开始。</w:t>
      </w:r>
    </w:p>
    <w:p w14:paraId="1C2DB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10）、（14）、（15）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14:paraId="20CB2E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w:t>
      </w:r>
    </w:p>
    <w:p w14:paraId="2DD1C4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14:paraId="6364A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14:paraId="284E53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14:paraId="5FEB5E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14:paraId="638B5C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14:paraId="745704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14:paraId="49653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14:paraId="4AFF47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本基金投资流通受限证券，不得预付任何形式的保证金。</w:t>
      </w:r>
    </w:p>
    <w:p w14:paraId="3E60DA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14:paraId="24AE30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按法律法规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14:paraId="49974F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14:paraId="4CE43B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1）中国证监会批准发行非公开发行股票的批准文件。</w:t>
      </w:r>
    </w:p>
    <w:p w14:paraId="6AC21C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2）非公开发行股票有关发行数量、发行价格、锁定期等发行资料。</w:t>
      </w:r>
    </w:p>
    <w:p w14:paraId="33BD1C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14:paraId="78F8CC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4）基金拟认购的数量、价格、总成本、账面价值。</w:t>
      </w:r>
    </w:p>
    <w:p w14:paraId="7BC486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在本基金投资非公开发行股票后两个交易日内，在中国证监会指定媒体披露所投资非公开发行股票的名称、数量、总成本、账面价值，以及总成本和账面价值占基金资产净值的比例、锁定期等信息。</w:t>
      </w:r>
    </w:p>
    <w:p w14:paraId="3D6761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本基金有关投资流通受限证券比例如违反有关限制规定，在合理期限内未能进行及时调整，基金管理人应在两个工作日内编制临时报告书，予以公告。</w:t>
      </w:r>
    </w:p>
    <w:p w14:paraId="420586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（5）基金托管人根据有关规定有权对基金管理人进行以下事项监督：</w:t>
      </w:r>
    </w:p>
    <w:p w14:paraId="68FE1F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1）本基金投资流通受限证券时的法律法规遵守情况。</w:t>
      </w:r>
    </w:p>
    <w:p w14:paraId="781D7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2）在基金投资流通受限证券管理工作方面有关制度、流动性风险处置预案的建立与完善情况。</w:t>
      </w:r>
    </w:p>
    <w:p w14:paraId="1CA346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14:paraId="3ED54B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14:paraId="17B04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（6）相关法律法规对基金投资流通受限证券有新规定的，从其规定。</w:t>
      </w:r>
    </w:p>
    <w:p w14:paraId="61136B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411643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0E1B2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438DA5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14:paraId="2C1FFD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624919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14:paraId="2956EA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14:paraId="06812B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2467D2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3E150F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14:paraId="491266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61F11C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79F06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14:paraId="15DC59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14:paraId="41687B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14:paraId="605C14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托管资产开户银行扣收结算费和账户维护费等费用）。</w:t>
      </w:r>
    </w:p>
    <w:p w14:paraId="4798B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14:paraId="482F14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14:paraId="5142BD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086196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14:paraId="22E272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14:paraId="644FEF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w:t>
      </w:r>
    </w:p>
    <w:p w14:paraId="69944D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14:paraId="797F42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（1）基金托管人可以本基金的名义在其营业机构开立基金的银行账户，并根据基金管理人合法合规的指令办理资金收付。本基金的银行预留印鉴由基金托管人保管和使用。</w:t>
      </w:r>
    </w:p>
    <w:p w14:paraId="22191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14:paraId="36AA66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14:paraId="421EB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14:paraId="2FEB0D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677D64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（1）基金托管人在中国证券登记结算有限责任公司上海分公司、深圳分公司为基金开立基金托管人与本基金联名的证券账户。</w:t>
      </w:r>
    </w:p>
    <w:p w14:paraId="508D81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5FBCF7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14:paraId="6F7468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14:paraId="5FE92D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14:paraId="0F7407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14:paraId="71509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14:paraId="3BC3DB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63CF8F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14:paraId="2CC7EE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14:paraId="0D15EB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14:paraId="1CF5E4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有价凭证的购买和转让，由基金管理人和基金托管人共同办理。基金托管人对由基金托管人以外机构实际有效控制的资产不承担保管责任。</w:t>
      </w:r>
    </w:p>
    <w:p w14:paraId="205E3A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5A09D2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本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14:paraId="45DE5D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14:paraId="7EC857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是指基金资产总值减去负债后的价值。各类基金份额的基金份额净值是按照每个工作日闭市后，该类基金份额的基金资产净值除以当日该类基金份额的余额数量计算，精确到0.0001元，小数点后第五位四舍五入。国家另有规定的，从其规定。</w:t>
      </w:r>
    </w:p>
    <w:p w14:paraId="66CAEF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基金管理人于每个工作日计算基金资产净值及各类基金份额净值，并按规定公告。</w:t>
      </w:r>
    </w:p>
    <w:p w14:paraId="1257E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月末、年中和年末估值复核与基金会计账目的核对同时进行。</w:t>
      </w:r>
    </w:p>
    <w:p w14:paraId="50C57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14:paraId="42FF0B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14:paraId="4D5F3A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14:paraId="595A70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14:paraId="7D909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14:paraId="300603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71C03C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14:paraId="76DC25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14:paraId="76A5E6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5584EA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14:paraId="671730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14:paraId="7F9E6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7ABC5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2743EA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739548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14:paraId="4118614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5F58E6B0">
      <w:pPr>
        <w:pStyle w:val="2"/>
        <w:snapToGrid w:val="0"/>
        <w:spacing w:before="240" w:beforeLines="0" w:after="240"/>
        <w:rPr>
          <w:rFonts w:ascii="宋体" w:hAnsi="宋体"/>
          <w:szCs w:val="30"/>
        </w:rPr>
      </w:pPr>
      <w:bookmarkStart w:id="25" w:name="_Toc201216810"/>
      <w:r>
        <w:rPr>
          <w:rFonts w:ascii="Times New Roman" w:hAnsi="Times New Roman"/>
          <w:sz w:val="30"/>
        </w:rPr>
        <w:t>二十三、对基金份额持有人的服务</w:t>
      </w:r>
      <w:bookmarkEnd w:id="25"/>
    </w:p>
    <w:p w14:paraId="7096DE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14:paraId="66E1E7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14:paraId="0385A8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1、场外投资者。基金合同生效后的每次交易结束后，可在T+2个工作日后通过销售机构的网点查询和打印确认单；</w:t>
      </w:r>
    </w:p>
    <w:p w14:paraId="398D67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2、场内投资者。基金合同生效后的每次交易结束后，可在T+2个工作日后到交易网点进行确认单的查询和打印，或通过交易网点提供的自助、电话、网上服务手段查询。</w:t>
      </w:r>
    </w:p>
    <w:p w14:paraId="00D3CB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3、本基金管理人将向持有人提供电子或纸质对账单，需要订阅或取消的客户可与本基金管理人客户服务中心（400-700-5000，021-61055000）联系。</w:t>
      </w:r>
    </w:p>
    <w:p w14:paraId="58408D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14:paraId="3F7180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转换、定期定额投资等业务。通过网上直销交易平台办理本基金A类或D类基金份额的申购和定期定额投资业务的个人投资者将享受前端申购费率的优惠。具体优惠费率请参见公司网站列示的网上直销交易平台申购、定期定额投资费率表或相关公告。</w:t>
      </w:r>
    </w:p>
    <w:p w14:paraId="0068F3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基金网上直销交易平台已开通的银行卡及各银行卡交易金额限额请参阅本基金管理人网站。</w:t>
      </w:r>
    </w:p>
    <w:p w14:paraId="555DD9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14:paraId="0C7503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14:paraId="00045C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425E72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3C5588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387067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14:paraId="4B3B50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本基金已开通基金转换业务，具体实施方法请参见相关公告。</w:t>
      </w:r>
    </w:p>
    <w:p w14:paraId="3D95C5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14:paraId="35C27F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14:paraId="01B143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087BCC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10633A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 fund001.com</w:t>
      </w:r>
    </w:p>
    <w:p w14:paraId="49C28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479767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14:paraId="1661499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14:paraId="2D4FD31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A61A830">
      <w:pPr>
        <w:pStyle w:val="2"/>
        <w:snapToGrid w:val="0"/>
        <w:spacing w:before="240" w:beforeLines="0" w:after="240"/>
        <w:rPr>
          <w:rFonts w:ascii="宋体" w:hAnsi="宋体"/>
          <w:szCs w:val="30"/>
        </w:rPr>
      </w:pPr>
      <w:bookmarkStart w:id="26" w:name="_Toc201216811"/>
      <w:r>
        <w:rPr>
          <w:rFonts w:ascii="Times New Roman" w:hAnsi="Times New Roman"/>
          <w:sz w:val="30"/>
        </w:rPr>
        <w:t>二十四、其他应披露事项</w:t>
      </w:r>
      <w:bookmarkEnd w:id="26"/>
    </w:p>
    <w:p w14:paraId="3F7E38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基金合同如有未尽事宜，由基金合同各方当事人按有关法律法规协商解决。</w:t>
      </w:r>
    </w:p>
    <w:p w14:paraId="68425C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68BA667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E6709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277AD82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2EC334F3">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11D30D8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0BD9DC5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FA5B3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C8B3C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交银施罗德增利增强债券型证券投资基金(更新)招募说明书(2024年第1号)</w:t>
            </w:r>
          </w:p>
        </w:tc>
        <w:tc>
          <w:tcPr>
            <w:tcW w:w="750" w:type="pct"/>
            <w:tcBorders>
              <w:top w:val="single" w:color="auto" w:sz="4" w:space="0"/>
              <w:left w:val="single" w:color="auto" w:sz="4" w:space="0"/>
              <w:bottom w:val="single" w:color="auto" w:sz="4" w:space="0"/>
              <w:right w:val="single" w:color="auto" w:sz="4" w:space="0"/>
            </w:tcBorders>
            <w:vAlign w:val="center"/>
          </w:tcPr>
          <w:p w14:paraId="549179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BE358F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14:paraId="2B5524C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E6EE51">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195164C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交银施罗德增利增强债券型证券投资基金（A类份额）基金产品资料概要更新(2024年第1号)</w:t>
            </w:r>
          </w:p>
        </w:tc>
        <w:tc>
          <w:tcPr>
            <w:tcW w:w="750" w:type="pct"/>
            <w:tcBorders>
              <w:top w:val="single" w:color="auto" w:sz="4" w:space="0"/>
              <w:left w:val="single" w:color="auto" w:sz="4" w:space="0"/>
              <w:bottom w:val="single" w:color="auto" w:sz="4" w:space="0"/>
              <w:right w:val="single" w:color="auto" w:sz="4" w:space="0"/>
            </w:tcBorders>
            <w:vAlign w:val="center"/>
          </w:tcPr>
          <w:p w14:paraId="6295025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9876C5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14:paraId="7266CD1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7166F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25892A0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交银施罗德增利增强债券型证券投资基金（C类份额）基金产品资料概要更新(2024年第1号)</w:t>
            </w:r>
          </w:p>
        </w:tc>
        <w:tc>
          <w:tcPr>
            <w:tcW w:w="750" w:type="pct"/>
            <w:tcBorders>
              <w:top w:val="single" w:color="auto" w:sz="4" w:space="0"/>
              <w:left w:val="single" w:color="auto" w:sz="4" w:space="0"/>
              <w:bottom w:val="single" w:color="auto" w:sz="4" w:space="0"/>
              <w:right w:val="single" w:color="auto" w:sz="4" w:space="0"/>
            </w:tcBorders>
            <w:vAlign w:val="center"/>
          </w:tcPr>
          <w:p w14:paraId="1A1DAC2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F621FB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2024-06-21</w:t>
            </w:r>
          </w:p>
        </w:tc>
      </w:tr>
      <w:tr w14:paraId="048D5A6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D72566">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14C2BAD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交银施罗德基金管理有限公司关于增加东方证券股份有限公司为旗下基金的销售机构的公告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D8746B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9AFB3B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2024-06-26</w:t>
            </w:r>
          </w:p>
        </w:tc>
      </w:tr>
      <w:tr w14:paraId="169273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D1F7BC">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3B19CAB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交银施罗德基金管理有限公司旗下全部基金2024年第二季度报告提示性公告</w:t>
            </w:r>
          </w:p>
        </w:tc>
        <w:tc>
          <w:tcPr>
            <w:tcW w:w="750" w:type="pct"/>
            <w:tcBorders>
              <w:top w:val="single" w:color="auto" w:sz="4" w:space="0"/>
              <w:left w:val="single" w:color="auto" w:sz="4" w:space="0"/>
              <w:bottom w:val="single" w:color="auto" w:sz="4" w:space="0"/>
              <w:right w:val="single" w:color="auto" w:sz="4" w:space="0"/>
            </w:tcBorders>
            <w:vAlign w:val="center"/>
          </w:tcPr>
          <w:p w14:paraId="67831CD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F5FA5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14:paraId="64D0A98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5BC08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59F4EA6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交银施罗德增利增强债券型证券投资基金2024年第2季度报告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23D2687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9FD486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2024-07-18</w:t>
            </w:r>
          </w:p>
        </w:tc>
      </w:tr>
      <w:tr w14:paraId="0661992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05A79F">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7FC3B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交银施罗德基金管理有限公司关于增加深圳前海微众银行股份有限公司为旗下基金的销售机构的公告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295CF0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833CD8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2024-07-29</w:t>
            </w:r>
          </w:p>
        </w:tc>
      </w:tr>
      <w:tr w14:paraId="3A538C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3D5278">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091B59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交银施罗德基金管理有限公司关于董事长离任及代任董事长（法定代表人）的公告</w:t>
            </w:r>
          </w:p>
        </w:tc>
        <w:tc>
          <w:tcPr>
            <w:tcW w:w="750" w:type="pct"/>
            <w:tcBorders>
              <w:top w:val="single" w:color="auto" w:sz="4" w:space="0"/>
              <w:left w:val="single" w:color="auto" w:sz="4" w:space="0"/>
              <w:bottom w:val="single" w:color="auto" w:sz="4" w:space="0"/>
              <w:right w:val="single" w:color="auto" w:sz="4" w:space="0"/>
            </w:tcBorders>
            <w:vAlign w:val="center"/>
          </w:tcPr>
          <w:p w14:paraId="20F110B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B1B1D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2024-08-17</w:t>
            </w:r>
          </w:p>
        </w:tc>
      </w:tr>
      <w:tr w14:paraId="184FE5B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42FA53">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4E8A0F7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交银施罗德基金管理有限公司旗下全部基金2024年中期报告提示性公告</w:t>
            </w:r>
          </w:p>
        </w:tc>
        <w:tc>
          <w:tcPr>
            <w:tcW w:w="750" w:type="pct"/>
            <w:tcBorders>
              <w:top w:val="single" w:color="auto" w:sz="4" w:space="0"/>
              <w:left w:val="single" w:color="auto" w:sz="4" w:space="0"/>
              <w:bottom w:val="single" w:color="auto" w:sz="4" w:space="0"/>
              <w:right w:val="single" w:color="auto" w:sz="4" w:space="0"/>
            </w:tcBorders>
            <w:vAlign w:val="center"/>
          </w:tcPr>
          <w:p w14:paraId="2180A68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F81F99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14:paraId="7338C6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2BDC71">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49B4C1C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交银施罗德增利增强债券型证券投资基金2024年中期报告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367ACA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FAE0D1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2024-08-30</w:t>
            </w:r>
          </w:p>
        </w:tc>
      </w:tr>
      <w:tr w14:paraId="224B9D3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346C4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4A2BD01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DD9ECF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C63F8C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14:paraId="6B53DC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DC4125">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21BBF85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4332070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1447BF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14:paraId="2BE6B82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2D3F7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61E90F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color="auto" w:sz="4" w:space="0"/>
              <w:left w:val="single" w:color="auto" w:sz="4" w:space="0"/>
              <w:bottom w:val="single" w:color="auto" w:sz="4" w:space="0"/>
              <w:right w:val="single" w:color="auto" w:sz="4" w:space="0"/>
            </w:tcBorders>
            <w:vAlign w:val="center"/>
          </w:tcPr>
          <w:p w14:paraId="44F3367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17E78A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701918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D3410E1">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6178579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color="auto" w:sz="4" w:space="0"/>
              <w:left w:val="single" w:color="auto" w:sz="4" w:space="0"/>
              <w:bottom w:val="single" w:color="auto" w:sz="4" w:space="0"/>
              <w:right w:val="single" w:color="auto" w:sz="4" w:space="0"/>
            </w:tcBorders>
            <w:vAlign w:val="center"/>
          </w:tcPr>
          <w:p w14:paraId="60C5ED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43A6A9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03DE3F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DCEA074">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4AEE389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交银施罗德增利增强债券型证券投资基金2024年第3季度报告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2FFEBAE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A54D78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14:paraId="21B13FE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0424D74">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0AA2148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14:paraId="06FAAAD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97968A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14:paraId="76E5D06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ECE39F">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45E523C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交银施罗德基金管理有限公司关于增加光大证券股份有限公司为旗下基金的销售机构的公告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29A5B0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6A36EF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2024-12-20</w:t>
            </w:r>
          </w:p>
        </w:tc>
      </w:tr>
      <w:tr w14:paraId="03C36F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77FC5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3B1987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5D8255E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C25DE0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6E40A9F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ABEE4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0DE15B4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1976CCD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D9C3F9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0550A12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1C583C2">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515C7C4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交银施罗德基金管理有限公司关于增加海通证券股份有限公司为旗下基金的销售机构的公告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6418584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4FE92C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2025-02-13</w:t>
            </w:r>
          </w:p>
        </w:tc>
      </w:tr>
      <w:tr w14:paraId="2DCA1D9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420625">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5CF271C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5C041CA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4CB7EB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001A9C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DDBFCF">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7F144A8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14:paraId="487B1CB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608867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14:paraId="724F748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F5B974">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48D848E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交银施罗德基金管理有限公司关于交银施罗德增利增强债券型证券投资基金增加D类基金份额并修改基金合同和托管协议的公告</w:t>
            </w:r>
          </w:p>
        </w:tc>
        <w:tc>
          <w:tcPr>
            <w:tcW w:w="750" w:type="pct"/>
            <w:tcBorders>
              <w:top w:val="single" w:color="auto" w:sz="4" w:space="0"/>
              <w:left w:val="single" w:color="auto" w:sz="4" w:space="0"/>
              <w:bottom w:val="single" w:color="auto" w:sz="4" w:space="0"/>
              <w:right w:val="single" w:color="auto" w:sz="4" w:space="0"/>
            </w:tcBorders>
            <w:vAlign w:val="center"/>
          </w:tcPr>
          <w:p w14:paraId="2C7152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27374A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08F20C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361F8E">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5065738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交银施罗德增利增强债券型证券投资基金基金合同更新</w:t>
            </w:r>
          </w:p>
        </w:tc>
        <w:tc>
          <w:tcPr>
            <w:tcW w:w="750" w:type="pct"/>
            <w:tcBorders>
              <w:top w:val="single" w:color="auto" w:sz="4" w:space="0"/>
              <w:left w:val="single" w:color="auto" w:sz="4" w:space="0"/>
              <w:bottom w:val="single" w:color="auto" w:sz="4" w:space="0"/>
              <w:right w:val="single" w:color="auto" w:sz="4" w:space="0"/>
            </w:tcBorders>
            <w:vAlign w:val="center"/>
          </w:tcPr>
          <w:p w14:paraId="5F0F213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27A4D3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2BCCE51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D9676D">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57619C6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交银施罗德增利增强债券型证券投资基金托管协议更新</w:t>
            </w:r>
          </w:p>
        </w:tc>
        <w:tc>
          <w:tcPr>
            <w:tcW w:w="750" w:type="pct"/>
            <w:tcBorders>
              <w:top w:val="single" w:color="auto" w:sz="4" w:space="0"/>
              <w:left w:val="single" w:color="auto" w:sz="4" w:space="0"/>
              <w:bottom w:val="single" w:color="auto" w:sz="4" w:space="0"/>
              <w:right w:val="single" w:color="auto" w:sz="4" w:space="0"/>
            </w:tcBorders>
            <w:vAlign w:val="center"/>
          </w:tcPr>
          <w:p w14:paraId="56B948F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D323F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771ABBC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7C53BA">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32A4FA4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7E21A13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B31F8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10869BD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A1C18A">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738AB0A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2AA821F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F2B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63C525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153E55">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2504F15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9AB3B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91272A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3059573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47AE45">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61F5588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C51BCC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6C4360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14:paraId="0DBCB6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E732341">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521C6BC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275E776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E1744F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2025-04-11</w:t>
            </w:r>
          </w:p>
        </w:tc>
      </w:tr>
      <w:tr w14:paraId="190127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C29929">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137A856D">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交银施罗德增利增强债券型证券投资基金2025年第1季度报告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5E5D5DA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EDF565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bl>
    <w:p w14:paraId="5C56DFB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BD0DEED">
      <w:pPr>
        <w:pStyle w:val="2"/>
        <w:snapToGrid w:val="0"/>
        <w:spacing w:before="240" w:beforeLines="0" w:after="240"/>
        <w:rPr>
          <w:rFonts w:ascii="宋体" w:hAnsi="宋体"/>
          <w:szCs w:val="30"/>
        </w:rPr>
      </w:pPr>
      <w:bookmarkStart w:id="27" w:name="_Toc201216812"/>
      <w:r>
        <w:rPr>
          <w:rFonts w:ascii="Times New Roman" w:hAnsi="Times New Roman"/>
          <w:sz w:val="30"/>
        </w:rPr>
        <w:t>二十五、招募说明书的存放及查阅方式</w:t>
      </w:r>
      <w:bookmarkEnd w:id="27"/>
    </w:p>
    <w:p w14:paraId="6704D8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3FE34B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0DD4DA4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9C688AC">
      <w:pPr>
        <w:pStyle w:val="2"/>
        <w:snapToGrid w:val="0"/>
        <w:spacing w:before="240" w:beforeLines="0" w:after="240"/>
        <w:rPr>
          <w:rFonts w:ascii="宋体" w:hAnsi="宋体"/>
          <w:szCs w:val="30"/>
        </w:rPr>
      </w:pPr>
      <w:bookmarkStart w:id="28" w:name="_Toc201216813"/>
      <w:r>
        <w:rPr>
          <w:rFonts w:ascii="Times New Roman" w:hAnsi="Times New Roman"/>
          <w:sz w:val="30"/>
        </w:rPr>
        <w:t>二十六、备查文件</w:t>
      </w:r>
      <w:bookmarkEnd w:id="28"/>
    </w:p>
    <w:p w14:paraId="1075E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1755F5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（一）中国证监会准予交银施罗德增利增强债券型证券投资基金募集注册的文件</w:t>
      </w:r>
    </w:p>
    <w:p w14:paraId="57C850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（二）《交银施罗德增利增强债券型证券投资基金基金合同》</w:t>
      </w:r>
    </w:p>
    <w:p w14:paraId="3ABE68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（三）《交银施罗德增利增强债券型证券投资基金托管协议》</w:t>
      </w:r>
    </w:p>
    <w:p w14:paraId="35AB9E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13F17E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329853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（六）关于申请募集注册交银施罗德增利增强债券型证券投资基金之法律意见书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944D9">
    <w:pPr>
      <w:autoSpaceDE w:val="0"/>
      <w:autoSpaceDN w:val="0"/>
      <w:adjustRightInd w:val="0"/>
      <w:spacing w:line="200" w:lineRule="exact"/>
      <w:jc w:val="left"/>
      <w:rPr>
        <w:rFonts w:ascii="Times New Roman" w:hAnsi="Times New Roman"/>
        <w:kern w:val="0"/>
        <w:sz w:val="20"/>
        <w:szCs w:val="20"/>
      </w:rPr>
    </w:pPr>
    <w:r>
      <w:pict>
        <v:shape id="_x0000_s3073" o:spid="_x0000_s3073" o:spt="202" type="#_x0000_t202" style="position:absolute;left:0pt;margin-left:293.4pt;margin-top:782.6pt;height:11pt;width:21.6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6F1E559D">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B6791">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ACA8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681C4">
    <w:pPr>
      <w:autoSpaceDE w:val="0"/>
      <w:autoSpaceDN w:val="0"/>
      <w:adjustRightInd w:val="0"/>
      <w:spacing w:line="200" w:lineRule="exact"/>
      <w:jc w:val="left"/>
      <w:rPr>
        <w:rFonts w:ascii="Times New Roman" w:hAnsi="Times New Roman"/>
        <w:kern w:val="0"/>
        <w:sz w:val="20"/>
        <w:szCs w:val="20"/>
      </w:rPr>
    </w:pPr>
    <w:r>
      <w:pict>
        <v:shape id="_x0000_s3074" o:spid="_x0000_s3074"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14:paraId="6E59278C">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14</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DF3A">
    <w:pPr>
      <w:pStyle w:val="9"/>
      <w:jc w:val="right"/>
    </w:pPr>
    <w:r>
      <w:pict>
        <v:shape id="图片 3" o:spid="_x0000_s3077" o:spt="75" alt="logo1" type="#_x0000_t75" style="position:absolute;left:0pt;margin-left:1.5pt;margin-top:-12pt;height:18.75pt;width:135pt;z-index:251659264;mso-width-relative:page;mso-height-relative:page;" filled="f" o:preferrelative="t" stroked="f" coordsize="21600,21600">
          <v:path/>
          <v:fill on="f" focussize="0,0"/>
          <v:stroke on="f" joinstyle="miter"/>
          <v:imagedata r:id="rId1" o:title="logo1"/>
          <o:lock v:ext="edit" aspectratio="t"/>
        </v:shape>
      </w:pict>
    </w:r>
  </w:p>
  <w:p w14:paraId="5A1C6705">
    <w:pPr>
      <w:pStyle w:val="9"/>
      <w:jc w:val="right"/>
      <w:rPr>
        <w:rFonts w:ascii="宋体" w:hAnsi="宋体"/>
      </w:rPr>
    </w:pPr>
    <w:r>
      <w:rPr>
        <w:rFonts w:hint="eastAsia" w:ascii="宋体" w:hAnsi="宋体"/>
      </w:rPr>
      <w:t>交银施罗德增利增强债券型证券投资基金招募说明书更新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0C06C">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7EA1D">
    <w:pPr>
      <w:pStyle w:val="10"/>
      <w:jc w:val="right"/>
    </w:pPr>
  </w:p>
  <w:p w14:paraId="796D61B4">
    <w:pPr>
      <w:pStyle w:val="10"/>
      <w:jc w:val="right"/>
    </w:pPr>
  </w:p>
  <w:p w14:paraId="744A2A4D">
    <w:pPr>
      <w:pStyle w:val="9"/>
      <w:jc w:val="right"/>
    </w:pPr>
  </w:p>
  <w:p w14:paraId="5C45CC2C">
    <w:pPr>
      <w:pStyle w:val="9"/>
      <w:jc w:val="right"/>
    </w:pPr>
    <w:r>
      <w:pict>
        <v:shape id="图片 1" o:spid="_x0000_s3076" o:spt="75" alt="logo1" type="#_x0000_t75" style="position:absolute;left:0pt;margin-left:1.5pt;margin-top:-12pt;height:18.75pt;width:135pt;z-index:251659264;mso-width-relative:page;mso-height-relative:page;" filled="f" o:preferrelative="t" stroked="f" coordsize="21600,21600">
          <v:path/>
          <v:fill on="f" focussize="0,0"/>
          <v:stroke on="f" joinstyle="miter"/>
          <v:imagedata r:id="rId1" o:title="logo1"/>
          <o:lock v:ext="edit" aspectratio="t"/>
        </v:shape>
      </w:pict>
    </w:r>
  </w:p>
  <w:p w14:paraId="7CB6AC17">
    <w:pPr>
      <w:pStyle w:val="9"/>
      <w:jc w:val="right"/>
      <w:rPr>
        <w:rFonts w:ascii="宋体" w:hAnsi="宋体"/>
      </w:rPr>
    </w:pPr>
    <w:r>
      <w:rPr>
        <w:rFonts w:hint="eastAsia" w:ascii="宋体" w:hAnsi="宋体"/>
      </w:rPr>
      <w:t>交银施罗德增利增强债券型证券投资基金招募说明书更新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EB1F8">
    <w:pPr>
      <w:pStyle w:val="9"/>
      <w:jc w:val="right"/>
    </w:pPr>
  </w:p>
  <w:p w14:paraId="22EE2BB2">
    <w:pPr>
      <w:pStyle w:val="9"/>
      <w:jc w:val="right"/>
    </w:pPr>
  </w:p>
  <w:p w14:paraId="260F12C6">
    <w:pPr>
      <w:pStyle w:val="9"/>
      <w:jc w:val="right"/>
    </w:pPr>
  </w:p>
  <w:p w14:paraId="2B4FF7DE">
    <w:pPr>
      <w:pStyle w:val="9"/>
      <w:jc w:val="right"/>
    </w:pPr>
    <w:r>
      <w:pict>
        <v:shape id="图片 4" o:spid="_x0000_s3075" o:spt="75" alt="logo1" type="#_x0000_t75" style="position:absolute;left:0pt;margin-left:1.5pt;margin-top:-12pt;height:18.75pt;width:135pt;z-index:251659264;mso-width-relative:page;mso-height-relative:page;" filled="f" o:preferrelative="t" stroked="f" coordsize="21600,21600">
          <v:path/>
          <v:fill on="f" focussize="0,0"/>
          <v:stroke on="f" joinstyle="miter"/>
          <v:imagedata r:id="rId1" o:title="logo1"/>
          <o:lock v:ext="edit" aspectratio="t"/>
        </v:shape>
      </w:pict>
    </w:r>
  </w:p>
  <w:p w14:paraId="35E4D37E">
    <w:pPr>
      <w:pStyle w:val="9"/>
      <w:jc w:val="right"/>
      <w:rPr>
        <w:rFonts w:ascii="宋体" w:hAnsi="宋体"/>
      </w:rPr>
    </w:pPr>
    <w:r>
      <w:rPr>
        <w:rFonts w:hint="eastAsia" w:ascii="宋体" w:hAnsi="宋体"/>
      </w:rPr>
      <w:t>交银施罗德增利增强债券型证券投资基金招募说明书更新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7449A6"/>
    <w:multiLevelType w:val="singleLevel"/>
    <w:tmpl w:val="BB7449A6"/>
    <w:lvl w:ilvl="0" w:tentative="0">
      <w:start w:val="3"/>
      <w:numFmt w:val="decimal"/>
      <w:suff w:val="nothing"/>
      <w:lvlText w:val="%1、"/>
      <w:lvlJc w:val="left"/>
    </w:lvl>
  </w:abstractNum>
  <w:abstractNum w:abstractNumId="1">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NotTrackMoves/>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13024"/>
    <w:rsid w:val="00026A29"/>
    <w:rsid w:val="00026D00"/>
    <w:rsid w:val="00027A94"/>
    <w:rsid w:val="00027C73"/>
    <w:rsid w:val="00030964"/>
    <w:rsid w:val="00030F3E"/>
    <w:rsid w:val="000368A2"/>
    <w:rsid w:val="00037EE5"/>
    <w:rsid w:val="00044AFD"/>
    <w:rsid w:val="00044E2C"/>
    <w:rsid w:val="000457B7"/>
    <w:rsid w:val="0004614E"/>
    <w:rsid w:val="00046212"/>
    <w:rsid w:val="000500B8"/>
    <w:rsid w:val="000506ED"/>
    <w:rsid w:val="000543D5"/>
    <w:rsid w:val="00055792"/>
    <w:rsid w:val="00055F52"/>
    <w:rsid w:val="00061C0D"/>
    <w:rsid w:val="0006212F"/>
    <w:rsid w:val="0006220F"/>
    <w:rsid w:val="000623CC"/>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96427"/>
    <w:rsid w:val="000A01A0"/>
    <w:rsid w:val="000A352B"/>
    <w:rsid w:val="000B0F8B"/>
    <w:rsid w:val="000B359E"/>
    <w:rsid w:val="000B3894"/>
    <w:rsid w:val="000B4E04"/>
    <w:rsid w:val="000C0651"/>
    <w:rsid w:val="000C1E1E"/>
    <w:rsid w:val="000C38F1"/>
    <w:rsid w:val="000C5E77"/>
    <w:rsid w:val="000C68E9"/>
    <w:rsid w:val="000D0ADE"/>
    <w:rsid w:val="000D179E"/>
    <w:rsid w:val="000D66DC"/>
    <w:rsid w:val="000E1F3B"/>
    <w:rsid w:val="000E3AB4"/>
    <w:rsid w:val="000E7544"/>
    <w:rsid w:val="000F0591"/>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294A"/>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172A"/>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1A0D"/>
    <w:rsid w:val="0023578C"/>
    <w:rsid w:val="00235AC5"/>
    <w:rsid w:val="002377E0"/>
    <w:rsid w:val="00240BB6"/>
    <w:rsid w:val="002432CA"/>
    <w:rsid w:val="00243D40"/>
    <w:rsid w:val="00245250"/>
    <w:rsid w:val="002477CB"/>
    <w:rsid w:val="00247BF6"/>
    <w:rsid w:val="00250A33"/>
    <w:rsid w:val="00251126"/>
    <w:rsid w:val="002517FD"/>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0691"/>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742"/>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E6D06"/>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4F7AD3"/>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65E53"/>
    <w:rsid w:val="00570EBC"/>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88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172A"/>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1CB6"/>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31C5"/>
    <w:rsid w:val="007E60E9"/>
    <w:rsid w:val="007E63F3"/>
    <w:rsid w:val="007E6F5A"/>
    <w:rsid w:val="007F0916"/>
    <w:rsid w:val="007F1E7D"/>
    <w:rsid w:val="007F2A79"/>
    <w:rsid w:val="007F3026"/>
    <w:rsid w:val="007F36CB"/>
    <w:rsid w:val="007F42DD"/>
    <w:rsid w:val="007F4E0F"/>
    <w:rsid w:val="007F77CA"/>
    <w:rsid w:val="008011ED"/>
    <w:rsid w:val="00801636"/>
    <w:rsid w:val="00803935"/>
    <w:rsid w:val="008045D0"/>
    <w:rsid w:val="008059B8"/>
    <w:rsid w:val="00806777"/>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56E"/>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5816"/>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78D"/>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376F8"/>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184"/>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32B4"/>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785317C"/>
    <w:rsid w:val="1A113708"/>
    <w:rsid w:val="1F4D086E"/>
    <w:rsid w:val="246C74A2"/>
    <w:rsid w:val="29EC17AF"/>
    <w:rsid w:val="2D0C0797"/>
    <w:rsid w:val="35896CE3"/>
    <w:rsid w:val="4D067FF4"/>
    <w:rsid w:val="4D8212ED"/>
    <w:rsid w:val="50644601"/>
    <w:rsid w:val="67D86A33"/>
    <w:rsid w:val="6B6E17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字符"/>
    <w:link w:val="6"/>
    <w:qFormat/>
    <w:uiPriority w:val="0"/>
    <w:rPr>
      <w:kern w:val="2"/>
      <w:sz w:val="21"/>
      <w:szCs w:val="22"/>
    </w:rPr>
  </w:style>
  <w:style w:type="character" w:customStyle="1" w:styleId="32">
    <w:name w:val="批注主题 字符"/>
    <w:link w:val="13"/>
    <w:semiHidden/>
    <w:qFormat/>
    <w:uiPriority w:val="99"/>
    <w:rPr>
      <w:b/>
      <w:bCs/>
      <w:kern w:val="2"/>
      <w:sz w:val="21"/>
      <w:szCs w:val="22"/>
    </w:rPr>
  </w:style>
  <w:style w:type="character" w:customStyle="1" w:styleId="33">
    <w:name w:val="页眉 字符"/>
    <w:link w:val="9"/>
    <w:qFormat/>
    <w:uiPriority w:val="99"/>
    <w:rPr>
      <w:sz w:val="18"/>
      <w:szCs w:val="18"/>
    </w:rPr>
  </w:style>
  <w:style w:type="character" w:customStyle="1" w:styleId="34">
    <w:name w:val="副标题 字符"/>
    <w:link w:val="11"/>
    <w:qFormat/>
    <w:uiPriority w:val="0"/>
    <w:rPr>
      <w:rFonts w:ascii="Cambria" w:hAnsi="Cambria" w:cs="Times New Roman"/>
      <w:b/>
      <w:bCs/>
      <w:kern w:val="28"/>
      <w:sz w:val="32"/>
      <w:szCs w:val="32"/>
    </w:rPr>
  </w:style>
  <w:style w:type="character" w:customStyle="1" w:styleId="35">
    <w:name w:val="文档结构图 字符"/>
    <w:link w:val="5"/>
    <w:semiHidden/>
    <w:qFormat/>
    <w:uiPriority w:val="99"/>
    <w:rPr>
      <w:rFonts w:ascii="宋体"/>
      <w:kern w:val="2"/>
      <w:sz w:val="18"/>
      <w:szCs w:val="18"/>
    </w:rPr>
  </w:style>
  <w:style w:type="character" w:customStyle="1" w:styleId="36">
    <w:name w:val="页脚 字符"/>
    <w:link w:val="8"/>
    <w:qFormat/>
    <w:uiPriority w:val="99"/>
    <w:rPr>
      <w:sz w:val="18"/>
      <w:szCs w:val="18"/>
    </w:rPr>
  </w:style>
  <w:style w:type="character" w:customStyle="1" w:styleId="37">
    <w:name w:val="标题 2 字符"/>
    <w:link w:val="3"/>
    <w:semiHidden/>
    <w:qFormat/>
    <w:uiPriority w:val="9"/>
    <w:rPr>
      <w:rFonts w:ascii="Cambria" w:hAnsi="Cambria" w:eastAsia="宋体" w:cs="Times New Roman"/>
      <w:b/>
      <w:bCs/>
      <w:kern w:val="2"/>
      <w:sz w:val="32"/>
      <w:szCs w:val="32"/>
    </w:rPr>
  </w:style>
  <w:style w:type="character" w:customStyle="1" w:styleId="38">
    <w:name w:val="标题 4 字符"/>
    <w:link w:val="4"/>
    <w:semiHidden/>
    <w:qFormat/>
    <w:uiPriority w:val="9"/>
    <w:rPr>
      <w:rFonts w:ascii="Cambria" w:hAnsi="Cambria" w:eastAsia="宋体" w:cs="Times New Roman"/>
      <w:b/>
      <w:bCs/>
      <w:kern w:val="2"/>
      <w:sz w:val="28"/>
      <w:szCs w:val="28"/>
    </w:rPr>
  </w:style>
  <w:style w:type="character" w:customStyle="1" w:styleId="39">
    <w:name w:val="标题 1 字符"/>
    <w:link w:val="2"/>
    <w:qFormat/>
    <w:uiPriority w:val="9"/>
    <w:rPr>
      <w:b/>
      <w:bCs/>
      <w:kern w:val="44"/>
      <w:sz w:val="28"/>
      <w:szCs w:val="44"/>
    </w:rPr>
  </w:style>
  <w:style w:type="paragraph" w:customStyle="1" w:styleId="40">
    <w:name w:val="Revision"/>
    <w:hidden/>
    <w:semiHidden/>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7"/>
    <customShpInfo spid="_x0000_s3076"/>
    <customShpInfo spid="_x0000_s3073"/>
    <customShpInfo spid="_x0000_s3075"/>
    <customShpInfo spid="_x0000_s307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9F3D66-3AC3-464E-96E3-300A375165F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163</Pages>
  <Words>16980</Words>
  <Characters>96788</Characters>
  <Lines>806</Lines>
  <Paragraphs>227</Paragraphs>
  <TotalTime>1</TotalTime>
  <ScaleCrop>false</ScaleCrop>
  <LinksUpToDate>false</LinksUpToDate>
  <CharactersWithSpaces>113541</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2025-06-19T01:12:00Z</dcterms:created>
  <dc:creator>系统用户</dc:creator>
  <cp:lastModifiedBy>刘晨晨</cp:lastModifiedBy>
  <cp:lastPrinted>2013-02-18T03:10:00Z</cp:lastPrinted>
  <dcterms:modified xsi:type="dcterms:W3CDTF">2026-03-02T01:47:32Z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578DD95976FB48659B387F18C2FF3AFD</vt:lpwstr>
  </property>
</Properties>
</file>