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2524E4">
      <w:pPr>
        <w:jc w:val="center"/>
        <w:rPr>
          <w:rFonts w:ascii="黑体" w:hAnsi="黑体" w:eastAsia="黑体"/>
          <w:b/>
          <w:sz w:val="36"/>
        </w:rPr>
      </w:pPr>
      <w:bookmarkStart w:id="0" w:name="_GoBack"/>
      <w:bookmarkEnd w:id="0"/>
      <w:r>
        <w:rPr>
          <w:rFonts w:hint="eastAsia" w:ascii="黑体" w:hAnsi="黑体" w:eastAsia="黑体"/>
          <w:b/>
          <w:sz w:val="36"/>
        </w:rPr>
        <w:t>交银施罗德定期支付月月丰债券型证券投资基金（C类份额）</w:t>
      </w:r>
    </w:p>
    <w:p w14:paraId="1C0516A6">
      <w:pPr>
        <w:jc w:val="center"/>
        <w:rPr>
          <w:rFonts w:ascii="黑体" w:hAnsi="黑体" w:eastAsia="黑体"/>
          <w:b/>
          <w:sz w:val="36"/>
        </w:rPr>
      </w:pPr>
      <w:r>
        <w:rPr>
          <w:rFonts w:hint="eastAsia" w:ascii="黑体" w:hAnsi="黑体" w:eastAsia="黑体"/>
          <w:b/>
          <w:sz w:val="36"/>
        </w:rPr>
        <w:t>基金产品资料概要更新</w:t>
      </w:r>
    </w:p>
    <w:p w14:paraId="0A428D4A">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2026-03-0</w:t>
      </w:r>
      <w:r>
        <w:rPr>
          <w:rFonts w:hint="eastAsia" w:ascii="仿宋_GB2312" w:hAnsi="宋体" w:eastAsia="仿宋_GB2312" w:cs="宋体"/>
          <w:kern w:val="0"/>
          <w:szCs w:val="21"/>
          <w:lang w:val="en-US" w:eastAsia="zh-CN"/>
        </w:rPr>
        <w:t>2</w:t>
      </w:r>
    </w:p>
    <w:p w14:paraId="3632FF17">
      <w:pPr>
        <w:spacing w:line="380" w:lineRule="exact"/>
        <w:jc w:val="center"/>
        <w:rPr>
          <w:rFonts w:ascii="方正仿宋简体" w:hAnsi="方正仿宋简体" w:cs="方正仿宋简体"/>
          <w:b/>
          <w:iCs/>
          <w:szCs w:val="21"/>
        </w:rPr>
      </w:pPr>
      <w:r>
        <w:rPr>
          <w:rFonts w:ascii="方正仿宋简体" w:hAnsi="方正仿宋简体"/>
        </w:rPr>
        <w:t>送出日期：</w:t>
      </w:r>
      <w:r>
        <w:rPr>
          <w:rFonts w:hint="eastAsia" w:ascii="Times New Roman" w:hAnsi="Times New Roman" w:cs="Times New Roman"/>
        </w:rPr>
        <w:t>2026-03-03</w:t>
      </w:r>
      <w:r>
        <w:rPr>
          <w:rFonts w:hint="eastAsia" w:ascii="方正仿宋简体" w:hAnsi="方正仿宋简体" w:cs="方正仿宋简体"/>
          <w:b/>
          <w:iCs/>
          <w:szCs w:val="21"/>
        </w:rPr>
        <w:t xml:space="preserve"> </w:t>
      </w:r>
    </w:p>
    <w:p w14:paraId="5D70D977">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14:paraId="4D538857">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14:paraId="18A250D8">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14:paraId="714256C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26041CC7">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14:paraId="06D0BB83">
            <w:pPr>
              <w:rPr>
                <w:rFonts w:ascii="仿宋_GB2312" w:eastAsia="仿宋_GB2312"/>
                <w:szCs w:val="21"/>
              </w:rPr>
            </w:pPr>
            <w:r>
              <w:rPr>
                <w:rFonts w:hint="eastAsia" w:ascii="仿宋_GB2312" w:eastAsia="仿宋_GB2312"/>
                <w:szCs w:val="21"/>
              </w:rPr>
              <w:t>交银定期支付月月丰债券C</w:t>
            </w:r>
          </w:p>
        </w:tc>
        <w:tc>
          <w:tcPr>
            <w:tcW w:w="3649" w:type="dxa"/>
            <w:vAlign w:val="center"/>
          </w:tcPr>
          <w:p w14:paraId="10B6536E">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14:paraId="3DAB5756">
            <w:pPr>
              <w:rPr>
                <w:rFonts w:ascii="仿宋_GB2312" w:eastAsia="仿宋_GB2312"/>
                <w:szCs w:val="21"/>
              </w:rPr>
            </w:pPr>
            <w:r>
              <w:rPr>
                <w:rFonts w:hint="eastAsia" w:ascii="仿宋_GB2312" w:eastAsia="仿宋_GB2312"/>
                <w:szCs w:val="21"/>
              </w:rPr>
              <w:t>519731</w:t>
            </w:r>
          </w:p>
        </w:tc>
      </w:tr>
      <w:tr w14:paraId="583ECB3D">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19091181">
            <w:pPr>
              <w:rPr>
                <w:rFonts w:ascii="仿宋_GB2312" w:eastAsia="仿宋_GB2312"/>
                <w:szCs w:val="21"/>
              </w:rPr>
            </w:pPr>
            <w:r>
              <w:rPr>
                <w:rFonts w:hint="eastAsia" w:ascii="仿宋_GB2312" w:eastAsia="仿宋_GB2312"/>
                <w:szCs w:val="21"/>
              </w:rPr>
              <w:t>基金管理人</w:t>
            </w:r>
          </w:p>
        </w:tc>
        <w:tc>
          <w:tcPr>
            <w:tcW w:w="1601" w:type="dxa"/>
            <w:vAlign w:val="center"/>
          </w:tcPr>
          <w:p w14:paraId="0BF12E4D">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14:paraId="3E89E86F">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14:paraId="4BA6C776">
            <w:pPr>
              <w:rPr>
                <w:rFonts w:ascii="仿宋_GB2312" w:eastAsia="仿宋_GB2312"/>
                <w:szCs w:val="21"/>
              </w:rPr>
            </w:pPr>
            <w:r>
              <w:rPr>
                <w:rFonts w:hint="eastAsia" w:ascii="仿宋_GB2312" w:eastAsia="仿宋_GB2312"/>
                <w:szCs w:val="21"/>
              </w:rPr>
              <w:t>中国建设银行股份有限公司</w:t>
            </w:r>
          </w:p>
        </w:tc>
      </w:tr>
      <w:tr w14:paraId="2A4C5F39">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14:paraId="7C07C709">
            <w:pPr>
              <w:rPr>
                <w:rFonts w:ascii="仿宋_GB2312" w:eastAsia="仿宋_GB2312"/>
                <w:szCs w:val="21"/>
              </w:rPr>
            </w:pPr>
            <w:r>
              <w:rPr>
                <w:rFonts w:hint="eastAsia" w:ascii="仿宋_GB2312" w:eastAsia="仿宋_GB2312"/>
                <w:szCs w:val="21"/>
              </w:rPr>
              <w:t>基金合同生效日</w:t>
            </w:r>
          </w:p>
        </w:tc>
        <w:tc>
          <w:tcPr>
            <w:tcW w:w="1601" w:type="dxa"/>
            <w:vAlign w:val="center"/>
          </w:tcPr>
          <w:p w14:paraId="516BA957">
            <w:pPr>
              <w:rPr>
                <w:rFonts w:ascii="仿宋_GB2312" w:eastAsia="仿宋_GB2312"/>
                <w:szCs w:val="21"/>
              </w:rPr>
            </w:pPr>
            <w:r>
              <w:rPr>
                <w:rFonts w:hint="eastAsia" w:ascii="仿宋_GB2312" w:eastAsia="仿宋_GB2312"/>
                <w:szCs w:val="21"/>
              </w:rPr>
              <w:t>2013-08-13</w:t>
            </w:r>
          </w:p>
        </w:tc>
      </w:tr>
      <w:tr w14:paraId="341A321A">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4EEDE7C5">
            <w:pPr>
              <w:rPr>
                <w:rFonts w:ascii="仿宋_GB2312" w:eastAsia="仿宋_GB2312"/>
                <w:szCs w:val="21"/>
              </w:rPr>
            </w:pPr>
            <w:r>
              <w:rPr>
                <w:rFonts w:hint="eastAsia" w:ascii="仿宋_GB2312" w:eastAsia="仿宋_GB2312"/>
                <w:szCs w:val="21"/>
              </w:rPr>
              <w:t>基金类型</w:t>
            </w:r>
          </w:p>
        </w:tc>
        <w:tc>
          <w:tcPr>
            <w:tcW w:w="1601" w:type="dxa"/>
            <w:vAlign w:val="center"/>
          </w:tcPr>
          <w:p w14:paraId="17E15725">
            <w:pPr>
              <w:rPr>
                <w:rFonts w:ascii="仿宋_GB2312" w:eastAsia="仿宋_GB2312"/>
                <w:szCs w:val="21"/>
              </w:rPr>
            </w:pPr>
            <w:r>
              <w:rPr>
                <w:rFonts w:hint="eastAsia" w:ascii="仿宋_GB2312" w:eastAsia="仿宋_GB2312"/>
                <w:szCs w:val="21"/>
              </w:rPr>
              <w:t>债券型</w:t>
            </w:r>
          </w:p>
        </w:tc>
        <w:tc>
          <w:tcPr>
            <w:tcW w:w="3649" w:type="dxa"/>
            <w:vAlign w:val="center"/>
          </w:tcPr>
          <w:p w14:paraId="3AD8F378">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14:paraId="300111F2">
            <w:pPr>
              <w:rPr>
                <w:rFonts w:ascii="仿宋_GB2312" w:eastAsia="仿宋_GB2312"/>
                <w:szCs w:val="21"/>
              </w:rPr>
            </w:pPr>
            <w:r>
              <w:rPr>
                <w:rFonts w:hint="eastAsia" w:ascii="仿宋_GB2312" w:eastAsia="仿宋_GB2312"/>
                <w:szCs w:val="21"/>
              </w:rPr>
              <w:t>人民币</w:t>
            </w:r>
          </w:p>
        </w:tc>
      </w:tr>
      <w:tr w14:paraId="2D5DC955">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6C00EA55">
            <w:pPr>
              <w:rPr>
                <w:rFonts w:ascii="仿宋_GB2312" w:eastAsia="仿宋_GB2312"/>
                <w:szCs w:val="21"/>
              </w:rPr>
            </w:pPr>
            <w:r>
              <w:rPr>
                <w:rFonts w:hint="eastAsia" w:ascii="仿宋_GB2312" w:eastAsia="仿宋_GB2312"/>
                <w:szCs w:val="21"/>
              </w:rPr>
              <w:t>运作方式</w:t>
            </w:r>
          </w:p>
        </w:tc>
        <w:tc>
          <w:tcPr>
            <w:tcW w:w="1601" w:type="dxa"/>
            <w:vAlign w:val="center"/>
          </w:tcPr>
          <w:p w14:paraId="7A2AA561">
            <w:pPr>
              <w:rPr>
                <w:rFonts w:ascii="仿宋_GB2312" w:eastAsia="仿宋_GB2312"/>
                <w:szCs w:val="21"/>
              </w:rPr>
            </w:pPr>
            <w:r>
              <w:rPr>
                <w:rFonts w:hint="eastAsia" w:ascii="仿宋_GB2312" w:eastAsia="仿宋_GB2312"/>
                <w:szCs w:val="21"/>
              </w:rPr>
              <w:t>普通开放式</w:t>
            </w:r>
          </w:p>
        </w:tc>
        <w:tc>
          <w:tcPr>
            <w:tcW w:w="3649" w:type="dxa"/>
            <w:vAlign w:val="center"/>
          </w:tcPr>
          <w:p w14:paraId="511766A9">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14:paraId="09CA34F1">
            <w:pPr>
              <w:rPr>
                <w:rFonts w:ascii="仿宋_GB2312" w:eastAsia="仿宋_GB2312"/>
                <w:szCs w:val="21"/>
              </w:rPr>
            </w:pPr>
            <w:r>
              <w:rPr>
                <w:rFonts w:hint="eastAsia" w:ascii="仿宋_GB2312" w:eastAsia="仿宋_GB2312"/>
                <w:szCs w:val="21"/>
              </w:rPr>
              <w:t>每个开放日</w:t>
            </w:r>
          </w:p>
        </w:tc>
      </w:tr>
      <w:tr w14:paraId="2782FC8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14:paraId="02019C2C">
            <w:pPr>
              <w:jc w:val="left"/>
              <w:rPr>
                <w:rFonts w:ascii="仿宋_GB2312" w:eastAsia="仿宋_GB2312"/>
                <w:szCs w:val="21"/>
              </w:rPr>
            </w:pPr>
            <w:r>
              <w:rPr>
                <w:rFonts w:hint="eastAsia" w:ascii="仿宋_GB2312" w:eastAsia="仿宋_GB2312"/>
                <w:szCs w:val="21"/>
              </w:rPr>
              <w:t>基金经理</w:t>
            </w:r>
          </w:p>
        </w:tc>
        <w:tc>
          <w:tcPr>
            <w:tcW w:w="1601" w:type="dxa"/>
            <w:vMerge w:val="restart"/>
          </w:tcPr>
          <w:p w14:paraId="12D0F2BE">
            <w:pPr>
              <w:jc w:val="left"/>
              <w:rPr>
                <w:rFonts w:ascii="仿宋_GB2312" w:eastAsia="仿宋_GB2312"/>
                <w:szCs w:val="21"/>
              </w:rPr>
            </w:pPr>
            <w:r>
              <w:rPr>
                <w:rFonts w:hint="eastAsia" w:ascii="仿宋_GB2312" w:eastAsia="仿宋_GB2312"/>
                <w:szCs w:val="21"/>
              </w:rPr>
              <w:t>魏玉敏</w:t>
            </w:r>
          </w:p>
        </w:tc>
        <w:tc>
          <w:tcPr>
            <w:tcW w:w="3000" w:type="dxa"/>
          </w:tcPr>
          <w:p w14:paraId="74FD23B0">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14:paraId="2E4EFE6A">
            <w:pPr>
              <w:jc w:val="left"/>
              <w:rPr>
                <w:rFonts w:ascii="仿宋_GB2312" w:eastAsia="仿宋_GB2312"/>
                <w:szCs w:val="21"/>
              </w:rPr>
            </w:pPr>
            <w:r>
              <w:rPr>
                <w:rFonts w:hint="eastAsia" w:ascii="仿宋_GB2312" w:eastAsia="仿宋_GB2312"/>
                <w:szCs w:val="21"/>
              </w:rPr>
              <w:t>2024-12-27</w:t>
            </w:r>
          </w:p>
        </w:tc>
      </w:tr>
      <w:tr w14:paraId="49B9DA70">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14:paraId="671DAC17">
            <w:pPr>
              <w:jc w:val="left"/>
              <w:rPr>
                <w:rFonts w:ascii="仿宋_GB2312" w:eastAsia="仿宋_GB2312"/>
                <w:szCs w:val="21"/>
              </w:rPr>
            </w:pPr>
          </w:p>
        </w:tc>
        <w:tc>
          <w:tcPr>
            <w:tcW w:w="1601" w:type="dxa"/>
            <w:vMerge w:val="continue"/>
          </w:tcPr>
          <w:p w14:paraId="785FD647">
            <w:pPr>
              <w:jc w:val="left"/>
              <w:rPr>
                <w:rFonts w:ascii="仿宋_GB2312" w:eastAsia="仿宋_GB2312"/>
                <w:szCs w:val="21"/>
              </w:rPr>
            </w:pPr>
          </w:p>
        </w:tc>
        <w:tc>
          <w:tcPr>
            <w:tcW w:w="3649" w:type="dxa"/>
          </w:tcPr>
          <w:p w14:paraId="0FAC5F87">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14:paraId="62D969B9">
            <w:pPr>
              <w:jc w:val="left"/>
              <w:rPr>
                <w:rFonts w:ascii="仿宋_GB2312" w:eastAsia="仿宋_GB2312"/>
                <w:szCs w:val="21"/>
              </w:rPr>
            </w:pPr>
            <w:r>
              <w:rPr>
                <w:rFonts w:hint="eastAsia" w:ascii="仿宋_GB2312" w:eastAsia="仿宋_GB2312"/>
                <w:szCs w:val="21"/>
              </w:rPr>
              <w:t>2012-06-28</w:t>
            </w:r>
          </w:p>
        </w:tc>
      </w:tr>
      <w:tr w14:paraId="0A4F00E8">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79FDDAAB">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14:paraId="1ABAC61D">
            <w:pPr>
              <w:ind w:firstLine="420"/>
              <w:jc w:val="left"/>
              <w:rPr>
                <w:rFonts w:ascii="仿宋_GB2312" w:eastAsia="仿宋_GB2312"/>
                <w:szCs w:val="21"/>
              </w:rPr>
            </w:pPr>
            <w:r>
              <w:rPr>
                <w:rFonts w:ascii="仿宋_GB2312" w:eastAsia="仿宋_GB2312"/>
                <w:szCs w:val="21"/>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tc>
      </w:tr>
    </w:tbl>
    <w:p w14:paraId="13E28ADE">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本基金每月定期按照当前年化现金支付比率（3%）计算现金支付金额并通过自动赎回基金份额向基金份额持有人支付一定现金，定期支付不等同于收益分配，年化现金支付比率也不代表本基金的实际投资收益率。</w:t>
      </w:r>
    </w:p>
    <w:p w14:paraId="74F61E2B">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14:paraId="20F04851">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14:paraId="5BAFF0BF">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3D130618">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14:paraId="1DDDA92D">
            <w:pPr>
              <w:ind w:firstLine="420"/>
              <w:jc w:val="left"/>
              <w:rPr>
                <w:rFonts w:ascii="仿宋_GB2312" w:eastAsia="仿宋_GB2312"/>
                <w:szCs w:val="21"/>
              </w:rPr>
            </w:pPr>
            <w:r>
              <w:rPr>
                <w:rFonts w:hint="eastAsia" w:ascii="仿宋_GB2312" w:eastAsia="仿宋_GB2312"/>
                <w:szCs w:val="21"/>
              </w:rPr>
              <w:t>本基金精选具有较高息票率的债券，以获取稳定的债息收入，并通过适当参与股票市场，力争实现基金资产的长期增值。</w:t>
            </w:r>
          </w:p>
        </w:tc>
      </w:tr>
      <w:tr w14:paraId="518937F9">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07B3C195">
            <w:pPr>
              <w:rPr>
                <w:rFonts w:ascii="仿宋_GB2312" w:eastAsia="仿宋_GB2312"/>
                <w:szCs w:val="21"/>
              </w:rPr>
            </w:pPr>
            <w:r>
              <w:rPr>
                <w:rFonts w:hint="eastAsia" w:ascii="仿宋_GB2312" w:eastAsia="仿宋_GB2312"/>
                <w:szCs w:val="21"/>
              </w:rPr>
              <w:t>投资范围</w:t>
            </w:r>
          </w:p>
        </w:tc>
        <w:tc>
          <w:tcPr>
            <w:tcW w:w="6525" w:type="dxa"/>
            <w:vAlign w:val="center"/>
          </w:tcPr>
          <w:p w14:paraId="16161DB7">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货币市场工具、权证以及法律法规或中国证监会允许基金投资的其他金融工具(但须符合中国证监会的相关规定)。</w:t>
            </w:r>
          </w:p>
          <w:p w14:paraId="697EABE0">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14:paraId="3B94ABA2">
            <w:pPr>
              <w:ind w:firstLine="420"/>
              <w:jc w:val="left"/>
              <w:rPr>
                <w:rFonts w:ascii="仿宋_GB2312" w:eastAsia="仿宋_GB2312"/>
                <w:szCs w:val="21"/>
              </w:rPr>
            </w:pPr>
            <w:r>
              <w:rPr>
                <w:rFonts w:hint="eastAsia" w:ascii="仿宋_GB2312" w:eastAsia="仿宋_GB2312"/>
                <w:szCs w:val="21"/>
              </w:rPr>
              <w:t>基金的投资组合比例为：本基金投资于固定收益类资产的比例不低于基金资产净值的80%，固定收益类资产包括国债、金融债、央行票据、地方政府债、企业债、公司债、短期融资券、中期票据、可转换债券及可分离转债、资产支持证券、次级债、债券回购等金融工具；对股票（含存托凭证）、权证等权益类资产的投资比例不高于基金资产的20%；其中现金或到期日在一年以内的政府债券的投资比例合计不低于基金资产净值的5%，现金不包括结算备付金、存出保证金和应收申购款等；本基金持有的全部权证，其市值不得超过基金资产净值的3%。</w:t>
            </w:r>
          </w:p>
        </w:tc>
      </w:tr>
      <w:tr w14:paraId="25EADE32">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1835284C">
            <w:pPr>
              <w:rPr>
                <w:rFonts w:ascii="仿宋_GB2312" w:eastAsia="仿宋_GB2312"/>
                <w:szCs w:val="21"/>
              </w:rPr>
            </w:pPr>
            <w:r>
              <w:rPr>
                <w:rFonts w:hint="eastAsia" w:ascii="仿宋_GB2312" w:eastAsia="仿宋_GB2312"/>
                <w:szCs w:val="21"/>
              </w:rPr>
              <w:t>主要投资策略</w:t>
            </w:r>
          </w:p>
        </w:tc>
        <w:tc>
          <w:tcPr>
            <w:tcW w:w="6525" w:type="dxa"/>
            <w:vAlign w:val="center"/>
          </w:tcPr>
          <w:p w14:paraId="4A57A11C">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基本面研究分析与积极主动的投资风格相结合，在分析和判断宏观经济运行状况和金融市场运行趋势的基础上，自上而下决定债券组合久期、期限结构配置及债券类别配置；同时在严谨深入的信用分析基础上，综合考量企业债券的信用评级以及各类债券的流动性、供求关系和收益率水平等，自下而上地精选具有较高息票率的个券。同时，本基金深度关注股票、权证一级市场和二级市场的运行状况与相应风险收益特征，在严格控制基金资产运作风险的基础上，把握投资机会。</w:t>
            </w:r>
          </w:p>
          <w:p w14:paraId="1ECC7D2D">
            <w:pPr>
              <w:ind w:firstLine="420"/>
              <w:jc w:val="left"/>
              <w:rPr>
                <w:rFonts w:ascii="仿宋_GB2312" w:eastAsia="仿宋_GB2312"/>
                <w:szCs w:val="21"/>
              </w:rPr>
            </w:pPr>
            <w:r>
              <w:rPr>
                <w:rFonts w:hint="eastAsia" w:ascii="仿宋_GB2312" w:eastAsia="仿宋_GB2312"/>
                <w:szCs w:val="21"/>
              </w:rPr>
              <w:t>1、资产配置策略；2、债券投资策略；3、股票投资策略。</w:t>
            </w:r>
          </w:p>
        </w:tc>
      </w:tr>
      <w:tr w14:paraId="630B72D8">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3E5AFC81">
            <w:pPr>
              <w:rPr>
                <w:rFonts w:ascii="仿宋_GB2312" w:eastAsia="仿宋_GB2312"/>
                <w:szCs w:val="21"/>
              </w:rPr>
            </w:pPr>
            <w:r>
              <w:rPr>
                <w:rFonts w:hint="eastAsia" w:ascii="仿宋_GB2312" w:eastAsia="仿宋_GB2312"/>
                <w:szCs w:val="21"/>
              </w:rPr>
              <w:t>业绩比较基准</w:t>
            </w:r>
          </w:p>
        </w:tc>
        <w:tc>
          <w:tcPr>
            <w:tcW w:w="6525" w:type="dxa"/>
            <w:vAlign w:val="center"/>
          </w:tcPr>
          <w:p w14:paraId="4395C09F">
            <w:pPr>
              <w:ind w:firstLine="420"/>
              <w:jc w:val="left"/>
              <w:rPr>
                <w:rFonts w:ascii="仿宋_GB2312" w:eastAsia="仿宋_GB2312"/>
                <w:szCs w:val="21"/>
              </w:rPr>
            </w:pPr>
            <w:r>
              <w:rPr>
                <w:rFonts w:hint="eastAsia" w:ascii="仿宋_GB2312" w:eastAsia="仿宋_GB2312"/>
                <w:szCs w:val="21"/>
              </w:rPr>
              <w:t>90%×中债综合全价指数收益率+10%×沪深300指数收益率</w:t>
            </w:r>
          </w:p>
        </w:tc>
      </w:tr>
      <w:tr w14:paraId="27D29DC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4941B590">
            <w:pPr>
              <w:rPr>
                <w:rFonts w:ascii="仿宋_GB2312" w:eastAsia="仿宋_GB2312"/>
                <w:szCs w:val="21"/>
              </w:rPr>
            </w:pPr>
            <w:r>
              <w:rPr>
                <w:rFonts w:hint="eastAsia" w:ascii="仿宋_GB2312" w:eastAsia="仿宋_GB2312"/>
                <w:szCs w:val="21"/>
              </w:rPr>
              <w:t>风险收益特征</w:t>
            </w:r>
          </w:p>
        </w:tc>
        <w:tc>
          <w:tcPr>
            <w:tcW w:w="6525" w:type="dxa"/>
            <w:vAlign w:val="center"/>
          </w:tcPr>
          <w:p w14:paraId="78DF4122">
            <w:pPr>
              <w:ind w:firstLine="420"/>
              <w:jc w:val="left"/>
              <w:rPr>
                <w:rFonts w:ascii="仿宋_GB2312" w:eastAsia="仿宋_GB2312"/>
                <w:szCs w:val="21"/>
              </w:rPr>
            </w:pPr>
            <w:r>
              <w:rPr>
                <w:rFonts w:hint="eastAsia" w:ascii="仿宋_GB2312" w:eastAsia="仿宋_GB2312"/>
                <w:szCs w:val="21"/>
              </w:rPr>
              <w:t>本基金是一只债券型基金，属于证券投资基金中中等风险的品种，其长期平均的预期收益和预期风险高于货币市场基金，低于混合型基金和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14:paraId="55FCA367">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详见《交银施罗德定期支付月月丰债券型证券投资基金招募说明书》第十一部分“基金的投资”。</w:t>
      </w:r>
    </w:p>
    <w:p w14:paraId="58158FC4">
      <w:pPr>
        <w:jc w:val="left"/>
        <w:rPr>
          <w:rFonts w:ascii="仿宋_GB2312" w:eastAsia="仿宋_GB2312"/>
          <w:b/>
          <w:szCs w:val="21"/>
        </w:rPr>
      </w:pPr>
      <w:r>
        <w:rPr>
          <w:rFonts w:hint="eastAsia" w:ascii="仿宋_GB2312" w:eastAsia="仿宋_GB2312"/>
          <w:b/>
          <w:szCs w:val="21"/>
        </w:rPr>
        <w:t>（二）投资组合资产配置图表/区域配置图表</w:t>
      </w:r>
    </w:p>
    <w:p w14:paraId="4E393AE1">
      <w:pPr>
        <w:jc w:val="center"/>
        <w:rPr>
          <w:rFonts w:ascii="仿宋_GB2312" w:eastAsia="仿宋_GB2312"/>
          <w:b/>
          <w:szCs w:val="21"/>
        </w:rPr>
      </w:pPr>
      <w:r>
        <w:rPr>
          <w:rFonts w:ascii="宋体" w:hAnsi="宋体"/>
          <w:kern w:val="0"/>
        </w:rPr>
        <w:pict>
          <v:shape id="_x0000_i1025" o:spt="75" type="#_x0000_t75" style="height:249.75pt;width:315.75pt;" filled="f" o:preferrelative="t" stroked="f" coordsize="21600,21600">
            <v:path/>
            <v:fill on="f" focussize="0,0"/>
            <v:stroke on="f" joinstyle="miter"/>
            <v:imagedata r:id="rId4" o:title="1521256610242020828"/>
            <o:lock v:ext="edit" aspectratio="t"/>
            <w10:wrap type="none"/>
            <w10:anchorlock/>
          </v:shape>
        </w:pict>
      </w:r>
    </w:p>
    <w:p w14:paraId="04949A11">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14:paraId="53E726DC">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14:paraId="65CAB7F6">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14:paraId="2D0043BE">
      <w:pPr>
        <w:ind w:firstLine="420"/>
        <w:jc w:val="left"/>
        <w:rPr>
          <w:rFonts w:ascii="仿宋_GB2312" w:eastAsia="仿宋_GB2312"/>
          <w:szCs w:val="21"/>
        </w:rPr>
      </w:pPr>
      <w:r>
        <w:rPr>
          <w:rFonts w:hint="eastAsia" w:ascii="仿宋_GB2312" w:eastAsia="仿宋_GB2312"/>
          <w:szCs w:val="21"/>
        </w:rPr>
        <w:t>注：1、净值表现数据的截止日为2024年12月31日。</w:t>
      </w:r>
    </w:p>
    <w:p w14:paraId="7E338EA9">
      <w:pPr>
        <w:ind w:left="420" w:firstLine="420" w:firstLineChars="200"/>
        <w:jc w:val="left"/>
        <w:rPr>
          <w:rFonts w:ascii="仿宋_GB2312" w:eastAsia="仿宋_GB2312"/>
          <w:szCs w:val="21"/>
        </w:rPr>
      </w:pPr>
      <w:r>
        <w:rPr>
          <w:rFonts w:hint="eastAsia" w:ascii="仿宋_GB2312" w:eastAsia="仿宋_GB2312"/>
          <w:szCs w:val="21"/>
        </w:rPr>
        <w:t>2、本基金合同于2013年8月13日生效，合同生效当年净值增长率按实际存续期计算。</w:t>
      </w:r>
    </w:p>
    <w:p w14:paraId="1AF4E3E8">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14:paraId="3FD7EE28">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14:paraId="59D85B2F">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14:paraId="5C2EEE11">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14:paraId="53D739EF">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14:paraId="0F6FF3C5">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14:paraId="54E78E21">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14:paraId="52445F5B">
            <w:pPr>
              <w:rPr>
                <w:rFonts w:ascii="仿宋_GB2312" w:eastAsia="仿宋_GB2312"/>
                <w:szCs w:val="21"/>
              </w:rPr>
            </w:pPr>
            <w:r>
              <w:rPr>
                <w:rFonts w:hint="eastAsia" w:ascii="仿宋_GB2312" w:eastAsia="仿宋_GB2312"/>
                <w:szCs w:val="21"/>
              </w:rPr>
              <w:t>收费方式/费率</w:t>
            </w:r>
          </w:p>
        </w:tc>
        <w:tc>
          <w:tcPr>
            <w:tcW w:w="2126" w:type="dxa"/>
            <w:vAlign w:val="center"/>
          </w:tcPr>
          <w:p w14:paraId="240AF7F5">
            <w:pPr>
              <w:widowControl/>
              <w:jc w:val="left"/>
              <w:rPr>
                <w:rFonts w:ascii="仿宋_GB2312" w:eastAsia="仿宋_GB2312"/>
                <w:szCs w:val="21"/>
              </w:rPr>
            </w:pPr>
            <w:r>
              <w:rPr>
                <w:rFonts w:hint="eastAsia" w:ascii="仿宋_GB2312" w:hAnsi="宋体" w:eastAsia="仿宋_GB2312" w:cs="宋体"/>
                <w:kern w:val="0"/>
                <w:szCs w:val="21"/>
              </w:rPr>
              <w:t>备注</w:t>
            </w:r>
          </w:p>
        </w:tc>
      </w:tr>
      <w:tr w14:paraId="6829CDA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14:paraId="02D66E0E">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14:paraId="7748B599">
            <w:pPr>
              <w:rPr>
                <w:rFonts w:ascii="仿宋_GB2312" w:eastAsia="仿宋_GB2312"/>
                <w:szCs w:val="21"/>
              </w:rPr>
            </w:pPr>
            <w:r>
              <w:rPr>
                <w:rFonts w:hint="eastAsia" w:ascii="仿宋_GB2312" w:eastAsia="仿宋_GB2312"/>
                <w:szCs w:val="21"/>
              </w:rPr>
              <w:t>N＜7天</w:t>
            </w:r>
          </w:p>
        </w:tc>
        <w:tc>
          <w:tcPr>
            <w:tcW w:w="1843" w:type="dxa"/>
            <w:vAlign w:val="center"/>
          </w:tcPr>
          <w:p w14:paraId="3B6B965C">
            <w:pPr>
              <w:rPr>
                <w:rFonts w:ascii="仿宋_GB2312" w:eastAsia="仿宋_GB2312"/>
                <w:szCs w:val="21"/>
              </w:rPr>
            </w:pPr>
            <w:r>
              <w:rPr>
                <w:rFonts w:hint="eastAsia" w:ascii="仿宋_GB2312" w:eastAsia="仿宋_GB2312"/>
                <w:szCs w:val="21"/>
              </w:rPr>
              <w:t>1.5%</w:t>
            </w:r>
          </w:p>
        </w:tc>
        <w:tc>
          <w:tcPr>
            <w:tcW w:w="1843" w:type="dxa"/>
            <w:vAlign w:val="center"/>
          </w:tcPr>
          <w:p w14:paraId="297427DB">
            <w:pPr>
              <w:rPr>
                <w:rFonts w:ascii="仿宋_GB2312" w:eastAsia="仿宋_GB2312"/>
                <w:szCs w:val="21"/>
              </w:rPr>
            </w:pPr>
          </w:p>
        </w:tc>
      </w:tr>
      <w:tr w14:paraId="0E21C562">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14:paraId="26C287DC">
            <w:pPr>
              <w:widowControl/>
              <w:jc w:val="left"/>
              <w:rPr>
                <w:rFonts w:ascii="仿宋_GB2312" w:hAnsi="宋体" w:eastAsia="仿宋_GB2312" w:cs="宋体"/>
                <w:kern w:val="0"/>
                <w:szCs w:val="21"/>
              </w:rPr>
            </w:pPr>
          </w:p>
        </w:tc>
        <w:tc>
          <w:tcPr>
            <w:tcW w:w="3000" w:type="dxa"/>
          </w:tcPr>
          <w:p w14:paraId="0FE2CBC1">
            <w:pPr>
              <w:rPr>
                <w:rFonts w:ascii="仿宋_GB2312" w:eastAsia="仿宋_GB2312"/>
                <w:szCs w:val="21"/>
              </w:rPr>
            </w:pPr>
            <w:r>
              <w:rPr>
                <w:rFonts w:hint="eastAsia" w:ascii="仿宋_GB2312" w:eastAsia="仿宋_GB2312"/>
                <w:szCs w:val="21"/>
              </w:rPr>
              <w:t>7天≤N</w:t>
            </w:r>
          </w:p>
        </w:tc>
        <w:tc>
          <w:tcPr>
            <w:tcW w:w="1843" w:type="dxa"/>
            <w:vAlign w:val="center"/>
          </w:tcPr>
          <w:p w14:paraId="0AAF73DF">
            <w:pPr>
              <w:rPr>
                <w:rFonts w:ascii="仿宋_GB2312" w:eastAsia="仿宋_GB2312"/>
                <w:szCs w:val="21"/>
              </w:rPr>
            </w:pPr>
            <w:r>
              <w:rPr>
                <w:rFonts w:hint="eastAsia" w:ascii="仿宋_GB2312" w:eastAsia="仿宋_GB2312"/>
                <w:szCs w:val="21"/>
              </w:rPr>
              <w:t>0%</w:t>
            </w:r>
          </w:p>
        </w:tc>
        <w:tc>
          <w:tcPr>
            <w:tcW w:w="1843" w:type="dxa"/>
            <w:vAlign w:val="center"/>
          </w:tcPr>
          <w:p w14:paraId="07FCF3CD">
            <w:pPr>
              <w:rPr>
                <w:rFonts w:ascii="仿宋_GB2312" w:eastAsia="仿宋_GB2312"/>
                <w:szCs w:val="21"/>
              </w:rPr>
            </w:pPr>
          </w:p>
        </w:tc>
      </w:tr>
    </w:tbl>
    <w:p w14:paraId="409E0623">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w:t>
      </w:r>
    </w:p>
    <w:p w14:paraId="095E35C6">
      <w:pPr>
        <w:jc w:val="left"/>
        <w:rPr>
          <w:rFonts w:ascii="仿宋_GB2312" w:eastAsia="仿宋_GB2312"/>
          <w:b/>
          <w:szCs w:val="21"/>
        </w:rPr>
      </w:pPr>
      <w:r>
        <w:rPr>
          <w:rFonts w:hint="eastAsia" w:ascii="仿宋_GB2312" w:eastAsia="仿宋_GB2312"/>
          <w:b/>
          <w:szCs w:val="21"/>
        </w:rPr>
        <w:t>（二）基金运作相关费用</w:t>
      </w:r>
    </w:p>
    <w:p w14:paraId="7E41A439">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14:paraId="5CC36D50">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374620DC">
            <w:pPr>
              <w:rPr>
                <w:rFonts w:ascii="仿宋_GB2312" w:eastAsia="仿宋_GB2312"/>
                <w:b/>
                <w:szCs w:val="21"/>
              </w:rPr>
            </w:pPr>
            <w:r>
              <w:rPr>
                <w:rFonts w:hint="eastAsia" w:ascii="仿宋_GB2312" w:eastAsia="仿宋_GB2312"/>
                <w:b/>
                <w:szCs w:val="21"/>
              </w:rPr>
              <w:t>费用类别</w:t>
            </w:r>
          </w:p>
        </w:tc>
        <w:tc>
          <w:tcPr>
            <w:tcW w:w="5958" w:type="dxa"/>
            <w:vAlign w:val="center"/>
          </w:tcPr>
          <w:p w14:paraId="18675F08">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14:paraId="50B577D8">
            <w:pPr>
              <w:rPr>
                <w:rFonts w:ascii="仿宋" w:hAnsi="仿宋" w:eastAsia="仿宋" w:cs="仿宋"/>
                <w:b/>
                <w:sz w:val="24"/>
                <w:szCs w:val="24"/>
              </w:rPr>
            </w:pPr>
            <w:r>
              <w:rPr>
                <w:rFonts w:hint="eastAsia" w:ascii="仿宋" w:hAnsi="仿宋" w:eastAsia="仿宋" w:cs="仿宋"/>
                <w:b/>
                <w:sz w:val="24"/>
                <w:szCs w:val="24"/>
              </w:rPr>
              <w:t>收取方</w:t>
            </w:r>
          </w:p>
        </w:tc>
      </w:tr>
      <w:tr w14:paraId="6666EDAC">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504579B7">
            <w:pPr>
              <w:rPr>
                <w:rFonts w:ascii="仿宋_GB2312" w:eastAsia="仿宋_GB2312"/>
                <w:szCs w:val="21"/>
              </w:rPr>
            </w:pPr>
            <w:r>
              <w:rPr>
                <w:rFonts w:hint="eastAsia" w:ascii="仿宋_GB2312" w:eastAsia="仿宋_GB2312"/>
                <w:szCs w:val="21"/>
              </w:rPr>
              <w:t>管理费</w:t>
            </w:r>
          </w:p>
        </w:tc>
        <w:tc>
          <w:tcPr>
            <w:tcW w:w="5958" w:type="dxa"/>
            <w:vAlign w:val="center"/>
          </w:tcPr>
          <w:p w14:paraId="145B51A7">
            <w:pPr>
              <w:rPr>
                <w:rFonts w:ascii="仿宋_GB2312" w:eastAsia="仿宋_GB2312"/>
                <w:szCs w:val="21"/>
              </w:rPr>
            </w:pPr>
            <w:r>
              <w:rPr>
                <w:rFonts w:hint="eastAsia" w:ascii="仿宋_GB2312" w:eastAsia="仿宋_GB2312"/>
                <w:szCs w:val="21"/>
              </w:rPr>
              <w:t>0.70%</w:t>
            </w:r>
          </w:p>
        </w:tc>
        <w:tc>
          <w:tcPr>
            <w:tcW w:w="3078" w:type="dxa"/>
          </w:tcPr>
          <w:p w14:paraId="0E5823ED">
            <w:pPr>
              <w:rPr>
                <w:rFonts w:ascii="仿宋_GB2312" w:eastAsia="仿宋_GB2312"/>
                <w:szCs w:val="21"/>
              </w:rPr>
            </w:pPr>
            <w:r>
              <w:rPr>
                <w:rFonts w:hint="eastAsia" w:ascii="仿宋_GB2312" w:eastAsia="仿宋_GB2312"/>
                <w:szCs w:val="21"/>
              </w:rPr>
              <w:t>基金管理人和销售机构</w:t>
            </w:r>
          </w:p>
        </w:tc>
      </w:tr>
      <w:tr w14:paraId="38B02148">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15B8D0A1">
            <w:pPr>
              <w:rPr>
                <w:rFonts w:ascii="仿宋_GB2312" w:eastAsia="仿宋_GB2312"/>
                <w:szCs w:val="21"/>
              </w:rPr>
            </w:pPr>
            <w:r>
              <w:rPr>
                <w:rFonts w:hint="eastAsia" w:ascii="仿宋_GB2312" w:eastAsia="仿宋_GB2312"/>
                <w:szCs w:val="21"/>
              </w:rPr>
              <w:t>托管费</w:t>
            </w:r>
          </w:p>
        </w:tc>
        <w:tc>
          <w:tcPr>
            <w:tcW w:w="5958" w:type="dxa"/>
            <w:vAlign w:val="center"/>
          </w:tcPr>
          <w:p w14:paraId="6E286E9A">
            <w:pPr>
              <w:rPr>
                <w:rFonts w:ascii="仿宋_GB2312" w:eastAsia="仿宋_GB2312"/>
                <w:szCs w:val="21"/>
              </w:rPr>
            </w:pPr>
            <w:r>
              <w:rPr>
                <w:rFonts w:hint="eastAsia" w:ascii="仿宋_GB2312" w:eastAsia="仿宋_GB2312"/>
                <w:szCs w:val="21"/>
              </w:rPr>
              <w:t>0.20%</w:t>
            </w:r>
          </w:p>
        </w:tc>
        <w:tc>
          <w:tcPr>
            <w:tcW w:w="3078" w:type="dxa"/>
          </w:tcPr>
          <w:p w14:paraId="2027FA0A">
            <w:pPr>
              <w:rPr>
                <w:rFonts w:ascii="仿宋_GB2312" w:eastAsia="仿宋_GB2312"/>
                <w:szCs w:val="21"/>
              </w:rPr>
            </w:pPr>
            <w:r>
              <w:rPr>
                <w:rFonts w:hint="eastAsia" w:ascii="仿宋_GB2312" w:eastAsia="仿宋_GB2312"/>
                <w:szCs w:val="21"/>
              </w:rPr>
              <w:t>基金托管人</w:t>
            </w:r>
          </w:p>
        </w:tc>
      </w:tr>
      <w:tr w14:paraId="47D3114D">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57F9A437">
            <w:pPr>
              <w:jc w:val="left"/>
              <w:rPr>
                <w:rFonts w:ascii="仿宋_GB2312" w:eastAsia="仿宋_GB2312"/>
                <w:szCs w:val="21"/>
              </w:rPr>
            </w:pPr>
            <w:r>
              <w:rPr>
                <w:rFonts w:hint="eastAsia" w:ascii="仿宋_GB2312" w:eastAsia="仿宋_GB2312"/>
                <w:szCs w:val="21"/>
              </w:rPr>
              <w:t>销售服务费</w:t>
            </w:r>
          </w:p>
        </w:tc>
        <w:tc>
          <w:tcPr>
            <w:tcW w:w="3080" w:type="dxa"/>
            <w:vAlign w:val="center"/>
          </w:tcPr>
          <w:p w14:paraId="1F1DC2C0">
            <w:pPr>
              <w:rPr>
                <w:rFonts w:ascii="仿宋_GB2312" w:eastAsia="仿宋_GB2312"/>
                <w:szCs w:val="21"/>
              </w:rPr>
            </w:pPr>
            <w:r>
              <w:rPr>
                <w:rFonts w:hint="eastAsia" w:ascii="仿宋_GB2312" w:eastAsia="仿宋_GB2312"/>
                <w:szCs w:val="21"/>
              </w:rPr>
              <w:t>0.40%</w:t>
            </w:r>
          </w:p>
        </w:tc>
        <w:tc>
          <w:tcPr>
            <w:tcW w:w="3078" w:type="dxa"/>
          </w:tcPr>
          <w:p w14:paraId="53C50163">
            <w:pPr>
              <w:rPr>
                <w:rFonts w:ascii="仿宋_GB2312" w:eastAsia="仿宋_GB2312"/>
                <w:szCs w:val="21"/>
              </w:rPr>
            </w:pPr>
            <w:r>
              <w:rPr>
                <w:rFonts w:hint="eastAsia" w:ascii="仿宋_GB2312" w:eastAsia="仿宋_GB2312"/>
                <w:szCs w:val="21"/>
              </w:rPr>
              <w:t>销售机构</w:t>
            </w:r>
          </w:p>
        </w:tc>
      </w:tr>
      <w:tr w14:paraId="0C3B1F05">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074B84C1">
            <w:pPr>
              <w:jc w:val="left"/>
              <w:rPr>
                <w:rFonts w:ascii="仿宋_GB2312" w:eastAsia="仿宋_GB2312"/>
                <w:szCs w:val="21"/>
              </w:rPr>
            </w:pPr>
            <w:r>
              <w:rPr>
                <w:rFonts w:hint="eastAsia" w:ascii="仿宋_GB2312" w:eastAsia="仿宋_GB2312"/>
                <w:szCs w:val="21"/>
              </w:rPr>
              <w:t>审计费用</w:t>
            </w:r>
          </w:p>
        </w:tc>
        <w:tc>
          <w:tcPr>
            <w:tcW w:w="3080" w:type="dxa"/>
            <w:vAlign w:val="center"/>
          </w:tcPr>
          <w:p w14:paraId="7730820E">
            <w:pPr>
              <w:rPr>
                <w:rFonts w:ascii="仿宋_GB2312" w:eastAsia="仿宋_GB2312"/>
                <w:szCs w:val="21"/>
              </w:rPr>
            </w:pPr>
            <w:r>
              <w:rPr>
                <w:rFonts w:hint="eastAsia" w:ascii="仿宋_GB2312" w:eastAsia="仿宋_GB2312"/>
                <w:szCs w:val="21"/>
              </w:rPr>
              <w:t>4,958.90</w:t>
            </w:r>
          </w:p>
        </w:tc>
        <w:tc>
          <w:tcPr>
            <w:tcW w:w="3078" w:type="dxa"/>
          </w:tcPr>
          <w:p w14:paraId="1AFA37CB">
            <w:pPr>
              <w:rPr>
                <w:rFonts w:ascii="仿宋_GB2312" w:eastAsia="仿宋_GB2312"/>
                <w:szCs w:val="21"/>
              </w:rPr>
            </w:pPr>
            <w:r>
              <w:rPr>
                <w:rFonts w:hint="eastAsia" w:ascii="仿宋_GB2312" w:eastAsia="仿宋_GB2312"/>
                <w:szCs w:val="21"/>
              </w:rPr>
              <w:t>会计师事务所</w:t>
            </w:r>
          </w:p>
        </w:tc>
      </w:tr>
      <w:tr w14:paraId="47F77DD9">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5321C61A">
            <w:pPr>
              <w:jc w:val="left"/>
              <w:rPr>
                <w:rFonts w:ascii="仿宋_GB2312" w:eastAsia="仿宋_GB2312"/>
                <w:szCs w:val="21"/>
              </w:rPr>
            </w:pPr>
            <w:r>
              <w:rPr>
                <w:rFonts w:hint="eastAsia" w:ascii="仿宋_GB2312" w:eastAsia="仿宋_GB2312"/>
                <w:szCs w:val="21"/>
              </w:rPr>
              <w:t>信息披露费</w:t>
            </w:r>
          </w:p>
        </w:tc>
        <w:tc>
          <w:tcPr>
            <w:tcW w:w="3080" w:type="dxa"/>
            <w:vAlign w:val="center"/>
          </w:tcPr>
          <w:p w14:paraId="51B9B1A1">
            <w:pPr>
              <w:rPr>
                <w:rFonts w:ascii="仿宋_GB2312" w:eastAsia="仿宋_GB2312"/>
                <w:szCs w:val="21"/>
              </w:rPr>
            </w:pPr>
            <w:r>
              <w:rPr>
                <w:rFonts w:hint="eastAsia" w:ascii="仿宋_GB2312" w:eastAsia="仿宋_GB2312"/>
                <w:szCs w:val="21"/>
              </w:rPr>
              <w:t>39,671.23</w:t>
            </w:r>
          </w:p>
        </w:tc>
        <w:tc>
          <w:tcPr>
            <w:tcW w:w="3078" w:type="dxa"/>
          </w:tcPr>
          <w:p w14:paraId="5BE053B0">
            <w:pPr>
              <w:rPr>
                <w:rFonts w:ascii="仿宋_GB2312" w:eastAsia="仿宋_GB2312"/>
                <w:szCs w:val="21"/>
              </w:rPr>
            </w:pPr>
            <w:r>
              <w:rPr>
                <w:rFonts w:hint="eastAsia" w:ascii="仿宋_GB2312" w:eastAsia="仿宋_GB2312"/>
                <w:szCs w:val="21"/>
              </w:rPr>
              <w:t>规定披露报刊</w:t>
            </w:r>
          </w:p>
        </w:tc>
      </w:tr>
      <w:tr w14:paraId="1963AD35">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7CA3D1C8">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14:paraId="33B3F1B3">
            <w:pPr>
              <w:rPr>
                <w:rFonts w:ascii="仿宋_GB2312" w:eastAsia="仿宋_GB2312"/>
                <w:szCs w:val="21"/>
              </w:rPr>
            </w:pPr>
            <w:r>
              <w:rPr>
                <w:rFonts w:hint="eastAsia" w:ascii="仿宋_GB2312" w:eastAsia="仿宋_GB2312"/>
                <w:szCs w:val="21"/>
              </w:rPr>
              <w:t>-</w:t>
            </w:r>
          </w:p>
        </w:tc>
        <w:tc>
          <w:tcPr>
            <w:tcW w:w="3078" w:type="dxa"/>
          </w:tcPr>
          <w:p w14:paraId="194C263D">
            <w:pPr>
              <w:rPr>
                <w:rFonts w:ascii="仿宋_GB2312" w:eastAsia="仿宋_GB2312"/>
                <w:szCs w:val="21"/>
              </w:rPr>
            </w:pPr>
            <w:r>
              <w:rPr>
                <w:rFonts w:hint="eastAsia" w:ascii="仿宋_GB2312" w:eastAsia="仿宋_GB2312"/>
                <w:szCs w:val="21"/>
              </w:rPr>
              <w:t>指数编制公司</w:t>
            </w:r>
          </w:p>
        </w:tc>
      </w:tr>
      <w:tr w14:paraId="5DA8160A">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1FF882D4">
            <w:pPr>
              <w:rPr>
                <w:rFonts w:ascii="仿宋_GB2312" w:eastAsia="仿宋_GB2312"/>
                <w:szCs w:val="21"/>
              </w:rPr>
            </w:pPr>
            <w:r>
              <w:rPr>
                <w:rFonts w:hint="eastAsia" w:ascii="仿宋_GB2312" w:eastAsia="仿宋_GB2312"/>
                <w:szCs w:val="21"/>
              </w:rPr>
              <w:t>其他费用</w:t>
            </w:r>
          </w:p>
        </w:tc>
        <w:tc>
          <w:tcPr>
            <w:tcW w:w="3080" w:type="dxa"/>
            <w:vAlign w:val="center"/>
          </w:tcPr>
          <w:p w14:paraId="1BBFB7D0">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14:paraId="24FB7444">
            <w:pPr>
              <w:rPr>
                <w:rFonts w:ascii="仿宋_GB2312" w:eastAsia="仿宋_GB2312"/>
                <w:szCs w:val="21"/>
              </w:rPr>
            </w:pPr>
          </w:p>
        </w:tc>
      </w:tr>
    </w:tbl>
    <w:p w14:paraId="14626676">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14:paraId="1E0174C4">
      <w:pPr>
        <w:jc w:val="left"/>
        <w:rPr>
          <w:rFonts w:ascii="仿宋" w:hAnsi="仿宋" w:eastAsia="仿宋" w:cs="仿宋"/>
          <w:b/>
          <w:sz w:val="24"/>
          <w:szCs w:val="24"/>
        </w:rPr>
      </w:pPr>
      <w:r>
        <w:rPr>
          <w:rFonts w:hint="eastAsia" w:ascii="仿宋" w:hAnsi="仿宋" w:eastAsia="仿宋" w:cs="仿宋"/>
          <w:b/>
          <w:szCs w:val="21"/>
        </w:rPr>
        <w:t>（三）基金运作综合费用测算</w:t>
      </w:r>
    </w:p>
    <w:p w14:paraId="38E94A03">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14:paraId="31C61150">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68C92184">
            <w:pPr>
              <w:rPr>
                <w:rFonts w:ascii="仿宋_GB2312" w:eastAsia="仿宋_GB2312"/>
                <w:b/>
                <w:szCs w:val="21"/>
              </w:rPr>
            </w:pPr>
          </w:p>
        </w:tc>
        <w:tc>
          <w:tcPr>
            <w:tcW w:w="5342" w:type="dxa"/>
          </w:tcPr>
          <w:p w14:paraId="0717A949">
            <w:pPr>
              <w:rPr>
                <w:rFonts w:ascii="仿宋" w:hAnsi="仿宋" w:eastAsia="仿宋" w:cs="仿宋"/>
                <w:b/>
                <w:szCs w:val="21"/>
              </w:rPr>
            </w:pPr>
            <w:r>
              <w:rPr>
                <w:rFonts w:hint="eastAsia" w:ascii="仿宋" w:hAnsi="仿宋" w:eastAsia="仿宋" w:cs="仿宋"/>
                <w:b/>
                <w:sz w:val="24"/>
                <w:szCs w:val="24"/>
              </w:rPr>
              <w:t>基金运作综合费率（年化）</w:t>
            </w:r>
          </w:p>
        </w:tc>
      </w:tr>
      <w:tr w14:paraId="52566716">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169301F5">
            <w:pPr>
              <w:rPr>
                <w:rFonts w:ascii="仿宋_GB2312" w:eastAsia="仿宋_GB2312"/>
                <w:b/>
                <w:szCs w:val="21"/>
              </w:rPr>
            </w:pPr>
          </w:p>
        </w:tc>
        <w:tc>
          <w:tcPr>
            <w:tcW w:w="3080" w:type="dxa"/>
            <w:vAlign w:val="center"/>
          </w:tcPr>
          <w:p w14:paraId="20BEC9F4">
            <w:pPr>
              <w:rPr>
                <w:rFonts w:ascii="仿宋_GB2312" w:eastAsia="仿宋_GB2312"/>
                <w:szCs w:val="21"/>
              </w:rPr>
            </w:pPr>
            <w:r>
              <w:rPr>
                <w:rFonts w:hint="eastAsia" w:ascii="仿宋_GB2312" w:eastAsia="仿宋_GB2312"/>
                <w:szCs w:val="21"/>
              </w:rPr>
              <w:t>1.42%</w:t>
            </w:r>
          </w:p>
        </w:tc>
      </w:tr>
    </w:tbl>
    <w:p w14:paraId="57BDA1D7">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14:paraId="20F68FB2">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14:paraId="2DF36A4B">
      <w:pPr>
        <w:jc w:val="left"/>
        <w:rPr>
          <w:rFonts w:ascii="仿宋_GB2312" w:eastAsia="仿宋_GB2312"/>
          <w:b/>
          <w:szCs w:val="21"/>
        </w:rPr>
      </w:pPr>
      <w:r>
        <w:rPr>
          <w:rFonts w:hint="eastAsia" w:ascii="仿宋_GB2312" w:eastAsia="仿宋_GB2312"/>
          <w:b/>
          <w:szCs w:val="21"/>
        </w:rPr>
        <w:t>（一）风险揭示</w:t>
      </w:r>
    </w:p>
    <w:p w14:paraId="6E4195C9">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14:paraId="651C385A">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14:paraId="06AACA1D">
      <w:pPr>
        <w:ind w:firstLine="420"/>
        <w:jc w:val="left"/>
        <w:rPr>
          <w:rFonts w:ascii="仿宋_GB2312" w:eastAsia="仿宋_GB2312"/>
          <w:szCs w:val="21"/>
        </w:rPr>
      </w:pPr>
      <w:r>
        <w:rPr>
          <w:rFonts w:hint="eastAsia" w:ascii="仿宋_GB2312" w:eastAsia="仿宋_GB2312"/>
          <w:szCs w:val="21"/>
        </w:rPr>
        <w:t>基金份额持有人须了解并承受以下风险：</w:t>
      </w:r>
    </w:p>
    <w:p w14:paraId="61185FD9">
      <w:pPr>
        <w:ind w:firstLine="420"/>
        <w:jc w:val="left"/>
        <w:rPr>
          <w:rFonts w:ascii="仿宋_GB2312" w:eastAsia="仿宋_GB2312"/>
          <w:szCs w:val="21"/>
        </w:rPr>
      </w:pPr>
      <w:r>
        <w:rPr>
          <w:rFonts w:hint="eastAsia" w:ascii="仿宋_GB2312" w:eastAsia="仿宋_GB2312"/>
          <w:szCs w:val="21"/>
        </w:rPr>
        <w:t>1、市场风险</w:t>
      </w:r>
    </w:p>
    <w:p w14:paraId="7F21F333">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w:t>
      </w:r>
    </w:p>
    <w:p w14:paraId="547BF6E5">
      <w:pPr>
        <w:ind w:firstLine="420"/>
        <w:jc w:val="left"/>
        <w:rPr>
          <w:rFonts w:ascii="仿宋_GB2312" w:eastAsia="仿宋_GB2312"/>
          <w:szCs w:val="21"/>
        </w:rPr>
      </w:pPr>
      <w:r>
        <w:rPr>
          <w:rFonts w:hint="eastAsia" w:ascii="仿宋_GB2312" w:eastAsia="仿宋_GB2312"/>
          <w:szCs w:val="21"/>
        </w:rPr>
        <w:t>2、管理风险</w:t>
      </w:r>
    </w:p>
    <w:p w14:paraId="32BB8356">
      <w:pPr>
        <w:ind w:firstLine="420"/>
        <w:jc w:val="left"/>
        <w:rPr>
          <w:rFonts w:ascii="仿宋_GB2312" w:eastAsia="仿宋_GB2312"/>
          <w:szCs w:val="21"/>
        </w:rPr>
      </w:pPr>
      <w:r>
        <w:rPr>
          <w:rFonts w:hint="eastAsia" w:ascii="仿宋_GB2312" w:eastAsia="仿宋_GB2312"/>
          <w:szCs w:val="21"/>
        </w:rPr>
        <w:t>3、流动性风险</w:t>
      </w:r>
    </w:p>
    <w:p w14:paraId="5EAA5368">
      <w:pPr>
        <w:ind w:firstLine="420"/>
        <w:jc w:val="left"/>
        <w:rPr>
          <w:rFonts w:ascii="仿宋_GB2312" w:eastAsia="仿宋_GB2312"/>
          <w:szCs w:val="21"/>
        </w:rPr>
      </w:pPr>
      <w:r>
        <w:rPr>
          <w:rFonts w:hint="eastAsia" w:ascii="仿宋_GB2312" w:eastAsia="仿宋_GB2312"/>
          <w:szCs w:val="21"/>
        </w:rPr>
        <w:t>4、交易对手违约风险</w:t>
      </w:r>
    </w:p>
    <w:p w14:paraId="474E9C77">
      <w:pPr>
        <w:ind w:firstLine="420"/>
        <w:jc w:val="left"/>
        <w:rPr>
          <w:rFonts w:ascii="仿宋_GB2312" w:eastAsia="仿宋_GB2312"/>
          <w:szCs w:val="21"/>
        </w:rPr>
      </w:pPr>
      <w:r>
        <w:rPr>
          <w:rFonts w:hint="eastAsia" w:ascii="仿宋_GB2312" w:eastAsia="仿宋_GB2312"/>
          <w:szCs w:val="21"/>
        </w:rPr>
        <w:t>5、本基金投资策略所特有的风险</w:t>
      </w:r>
    </w:p>
    <w:p w14:paraId="2DD55959">
      <w:pPr>
        <w:ind w:firstLine="420"/>
        <w:jc w:val="left"/>
        <w:rPr>
          <w:rFonts w:ascii="仿宋_GB2312" w:eastAsia="仿宋_GB2312"/>
          <w:szCs w:val="21"/>
        </w:rPr>
      </w:pPr>
      <w:r>
        <w:rPr>
          <w:rFonts w:hint="eastAsia" w:ascii="仿宋_GB2312" w:eastAsia="仿宋_GB2312"/>
          <w:szCs w:val="21"/>
        </w:rPr>
        <w:t>本基金为债券型基金，固定收益类资产的比例不低于基金资产净值的80%，因投资固定收益类资产而面临的固定收益类资产市场的系统性风险和个券风险；</w:t>
      </w:r>
    </w:p>
    <w:p w14:paraId="6CD1762F">
      <w:pPr>
        <w:ind w:firstLine="420"/>
        <w:jc w:val="left"/>
        <w:rPr>
          <w:rFonts w:ascii="仿宋_GB2312" w:eastAsia="仿宋_GB2312"/>
          <w:szCs w:val="21"/>
        </w:rPr>
      </w:pPr>
      <w:r>
        <w:rPr>
          <w:rFonts w:hint="eastAsia" w:ascii="仿宋_GB2312" w:eastAsia="仿宋_GB2312"/>
          <w:szCs w:val="21"/>
        </w:rPr>
        <w:t>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14:paraId="3AAFD486">
      <w:pPr>
        <w:ind w:firstLine="420"/>
        <w:jc w:val="left"/>
        <w:rPr>
          <w:rFonts w:ascii="仿宋_GB2312" w:eastAsia="仿宋_GB2312"/>
          <w:szCs w:val="21"/>
        </w:rPr>
      </w:pPr>
      <w:r>
        <w:rPr>
          <w:rFonts w:hint="eastAsia" w:ascii="仿宋_GB2312" w:eastAsia="仿宋_GB2312"/>
          <w:szCs w:val="21"/>
        </w:rPr>
        <w:t>本基金可投资科创板股票和创业板股票，科创板和创业板个股上市后的前五个交易日不设价格涨跌幅限制，第六个交易日开始涨跌幅限制比例为20%。</w:t>
      </w:r>
    </w:p>
    <w:p w14:paraId="0678DE71">
      <w:pPr>
        <w:ind w:firstLine="420"/>
        <w:jc w:val="left"/>
        <w:rPr>
          <w:rFonts w:ascii="仿宋_GB2312" w:eastAsia="仿宋_GB2312"/>
          <w:szCs w:val="21"/>
        </w:rPr>
      </w:pPr>
      <w:r>
        <w:rPr>
          <w:rFonts w:hint="eastAsia" w:ascii="仿宋_GB2312" w:eastAsia="仿宋_GB2312"/>
          <w:szCs w:val="21"/>
        </w:rPr>
        <w:t>6、本基金定期支付相关的特定风险</w:t>
      </w:r>
    </w:p>
    <w:p w14:paraId="65FA4CA5">
      <w:pPr>
        <w:ind w:firstLine="420"/>
        <w:jc w:val="left"/>
        <w:rPr>
          <w:rFonts w:ascii="仿宋_GB2312" w:eastAsia="仿宋_GB2312"/>
          <w:szCs w:val="21"/>
        </w:rPr>
      </w:pPr>
      <w:r>
        <w:rPr>
          <w:rFonts w:hint="eastAsia" w:ascii="仿宋_GB2312" w:eastAsia="仿宋_GB2312"/>
          <w:szCs w:val="21"/>
        </w:rPr>
        <w:t>（1）定期支付不等同于收益分配、（2）年化现金支付比率不代表基金实际投资收益率、（3）定期支付被确认失败的风险、（4）年化现金支付比率发生调整的风险</w:t>
      </w:r>
    </w:p>
    <w:p w14:paraId="4E5B4D9A">
      <w:pPr>
        <w:ind w:firstLine="420"/>
        <w:jc w:val="left"/>
        <w:rPr>
          <w:rFonts w:ascii="仿宋_GB2312" w:eastAsia="仿宋_GB2312"/>
          <w:szCs w:val="21"/>
        </w:rPr>
      </w:pPr>
      <w:r>
        <w:rPr>
          <w:rFonts w:hint="eastAsia" w:ascii="仿宋_GB2312" w:eastAsia="仿宋_GB2312"/>
          <w:szCs w:val="21"/>
        </w:rPr>
        <w:t>7、本基金法律文件风险收益特征表述与销售机构基金风险评价可能不一致的风险</w:t>
      </w:r>
    </w:p>
    <w:p w14:paraId="1FBCE9DC">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14:paraId="2D645964">
      <w:pPr>
        <w:ind w:firstLine="420"/>
        <w:jc w:val="left"/>
        <w:rPr>
          <w:rFonts w:ascii="仿宋_GB2312" w:eastAsia="仿宋_GB2312"/>
          <w:szCs w:val="21"/>
        </w:rPr>
      </w:pPr>
      <w:r>
        <w:rPr>
          <w:rFonts w:hint="eastAsia" w:ascii="仿宋_GB2312" w:eastAsia="仿宋_GB2312"/>
          <w:szCs w:val="21"/>
        </w:rPr>
        <w:t>8、投资存托凭证的特定风险</w:t>
      </w:r>
    </w:p>
    <w:p w14:paraId="7DC61B34">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14:paraId="340E9DD7">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2FCA1600">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14:paraId="76BAD01E">
      <w:pPr>
        <w:ind w:firstLine="420"/>
        <w:jc w:val="left"/>
        <w:rPr>
          <w:rFonts w:ascii="仿宋_GB2312" w:eastAsia="仿宋_GB2312"/>
          <w:szCs w:val="21"/>
        </w:rPr>
      </w:pPr>
      <w:r>
        <w:rPr>
          <w:rFonts w:ascii="仿宋_GB2312" w:eastAsia="仿宋_GB2312"/>
          <w:szCs w:val="21"/>
        </w:rPr>
        <w:t>9</w:t>
      </w:r>
      <w:r>
        <w:rPr>
          <w:rFonts w:hint="eastAsia" w:ascii="仿宋_GB2312" w:eastAsia="仿宋_GB2312"/>
          <w:szCs w:val="21"/>
        </w:rPr>
        <w:t>、其他风险</w:t>
      </w:r>
    </w:p>
    <w:p w14:paraId="77CF1218">
      <w:pPr>
        <w:jc w:val="left"/>
        <w:rPr>
          <w:rFonts w:ascii="仿宋_GB2312" w:eastAsia="仿宋_GB2312"/>
          <w:b/>
          <w:szCs w:val="21"/>
        </w:rPr>
      </w:pPr>
      <w:r>
        <w:rPr>
          <w:rFonts w:hint="eastAsia" w:ascii="仿宋_GB2312" w:eastAsia="仿宋_GB2312"/>
          <w:b/>
          <w:szCs w:val="21"/>
        </w:rPr>
        <w:t>（二）重要提示</w:t>
      </w:r>
    </w:p>
    <w:p w14:paraId="5DF62504">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14:paraId="46F705DC">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14:paraId="0DA8A8FC">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14:paraId="1A6779C8">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14:paraId="0EB7A3E8">
      <w:pPr>
        <w:ind w:firstLine="420"/>
        <w:jc w:val="left"/>
        <w:rPr>
          <w:rFonts w:ascii="仿宋_GB2312" w:eastAsia="仿宋_GB2312"/>
          <w:szCs w:val="21"/>
        </w:rPr>
      </w:pPr>
      <w:r>
        <w:rPr>
          <w:rFonts w:hint="eastAsia" w:ascii="仿宋_GB2312" w:eastAsia="仿宋_GB2312"/>
          <w:szCs w:val="21"/>
        </w:rPr>
        <w:t>▲▲</w:t>
      </w:r>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p w14:paraId="3617C23D">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14:paraId="48837886">
      <w:pPr>
        <w:ind w:firstLine="420"/>
        <w:jc w:val="left"/>
        <w:rPr>
          <w:rFonts w:ascii="仿宋_GB2312" w:eastAsia="仿宋_GB2312"/>
          <w:szCs w:val="21"/>
        </w:rPr>
      </w:pPr>
    </w:p>
    <w:p w14:paraId="76B388C3">
      <w:pPr>
        <w:jc w:val="left"/>
        <w:rPr>
          <w:rFonts w:ascii="仿宋_GB2312" w:eastAsia="仿宋_GB2312"/>
          <w:b/>
          <w:szCs w:val="21"/>
        </w:rPr>
      </w:pPr>
      <w:r>
        <w:rPr>
          <w:rFonts w:hint="eastAsia" w:ascii="仿宋_GB2312" w:eastAsia="仿宋_GB2312"/>
          <w:b/>
          <w:szCs w:val="21"/>
        </w:rPr>
        <w:t>五、其他资料查询方式</w:t>
      </w:r>
    </w:p>
    <w:p w14:paraId="6092AA1B">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14:paraId="7594C504">
      <w:pPr>
        <w:ind w:firstLine="420"/>
        <w:jc w:val="left"/>
        <w:rPr>
          <w:rFonts w:ascii="仿宋_GB2312" w:eastAsia="仿宋_GB2312"/>
          <w:szCs w:val="21"/>
        </w:rPr>
      </w:pPr>
      <w:r>
        <w:rPr>
          <w:rFonts w:hint="eastAsia" w:ascii="仿宋_GB2312" w:eastAsia="仿宋_GB2312"/>
          <w:szCs w:val="21"/>
        </w:rPr>
        <w:t>●《交银施罗德定期支付月月丰债券型证券投资基金基金合同》、</w:t>
      </w:r>
    </w:p>
    <w:p w14:paraId="67572A47">
      <w:pPr>
        <w:ind w:firstLine="420"/>
        <w:jc w:val="left"/>
        <w:rPr>
          <w:rFonts w:ascii="仿宋_GB2312" w:eastAsia="仿宋_GB2312"/>
          <w:szCs w:val="21"/>
        </w:rPr>
      </w:pPr>
      <w:r>
        <w:rPr>
          <w:rFonts w:hint="eastAsia" w:ascii="仿宋_GB2312" w:eastAsia="仿宋_GB2312"/>
          <w:szCs w:val="21"/>
        </w:rPr>
        <w:t>《交银施罗德定期支付月月丰债券型证券投资基金托管协议》、</w:t>
      </w:r>
    </w:p>
    <w:p w14:paraId="15FDE181">
      <w:pPr>
        <w:ind w:firstLine="420"/>
        <w:jc w:val="left"/>
        <w:rPr>
          <w:rFonts w:ascii="仿宋_GB2312" w:eastAsia="仿宋_GB2312"/>
          <w:szCs w:val="21"/>
        </w:rPr>
      </w:pPr>
      <w:r>
        <w:rPr>
          <w:rFonts w:hint="eastAsia" w:ascii="仿宋_GB2312" w:eastAsia="仿宋_GB2312"/>
          <w:szCs w:val="21"/>
        </w:rPr>
        <w:t>《交银施罗德定期支付月月丰债券型证券投资基金招募说明书》</w:t>
      </w:r>
    </w:p>
    <w:p w14:paraId="47C0C111">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14:paraId="48BB93A6">
      <w:pPr>
        <w:ind w:firstLine="420"/>
        <w:jc w:val="left"/>
        <w:rPr>
          <w:rFonts w:ascii="仿宋_GB2312" w:eastAsia="仿宋_GB2312"/>
          <w:szCs w:val="21"/>
        </w:rPr>
      </w:pPr>
      <w:r>
        <w:rPr>
          <w:rFonts w:hint="eastAsia" w:ascii="仿宋_GB2312" w:eastAsia="仿宋_GB2312"/>
          <w:szCs w:val="21"/>
        </w:rPr>
        <w:t>●基金份额净值</w:t>
      </w:r>
    </w:p>
    <w:p w14:paraId="5F1C256A">
      <w:pPr>
        <w:ind w:firstLine="420"/>
        <w:jc w:val="left"/>
        <w:rPr>
          <w:rFonts w:ascii="仿宋_GB2312" w:eastAsia="仿宋_GB2312"/>
          <w:szCs w:val="21"/>
        </w:rPr>
      </w:pPr>
      <w:r>
        <w:rPr>
          <w:rFonts w:hint="eastAsia" w:ascii="仿宋_GB2312" w:eastAsia="仿宋_GB2312"/>
          <w:szCs w:val="21"/>
        </w:rPr>
        <w:t>●基金销售机构及联系方式</w:t>
      </w:r>
    </w:p>
    <w:p w14:paraId="55D432BE">
      <w:pPr>
        <w:ind w:firstLine="420"/>
        <w:jc w:val="left"/>
        <w:rPr>
          <w:rFonts w:ascii="仿宋_GB2312" w:eastAsia="仿宋_GB2312"/>
          <w:szCs w:val="21"/>
        </w:rPr>
      </w:pPr>
      <w:r>
        <w:rPr>
          <w:rFonts w:hint="eastAsia" w:ascii="仿宋_GB2312" w:eastAsia="仿宋_GB2312"/>
          <w:szCs w:val="21"/>
        </w:rPr>
        <w:t>●其他重要资料</w:t>
      </w:r>
    </w:p>
    <w:p w14:paraId="48AB77B1">
      <w:pPr>
        <w:jc w:val="left"/>
        <w:rPr>
          <w:rFonts w:ascii="仿宋_GB2312" w:eastAsia="仿宋_GB2312"/>
          <w:b/>
          <w:szCs w:val="21"/>
        </w:rPr>
      </w:pPr>
      <w:r>
        <w:rPr>
          <w:rFonts w:hint="eastAsia" w:ascii="仿宋_GB2312" w:eastAsia="仿宋_GB2312"/>
          <w:b/>
          <w:szCs w:val="21"/>
        </w:rPr>
        <w:t>六、其他情况说明</w:t>
      </w:r>
    </w:p>
    <w:p w14:paraId="751BA4E1">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仿宋简体">
    <w:altName w:val="宋体"/>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0B30AA"/>
    <w:rsid w:val="00131F08"/>
    <w:rsid w:val="0019752C"/>
    <w:rsid w:val="001B3C20"/>
    <w:rsid w:val="001D24C0"/>
    <w:rsid w:val="001E402A"/>
    <w:rsid w:val="00286449"/>
    <w:rsid w:val="00287210"/>
    <w:rsid w:val="002E5E82"/>
    <w:rsid w:val="002F5DBC"/>
    <w:rsid w:val="00335FE8"/>
    <w:rsid w:val="003E751E"/>
    <w:rsid w:val="00401C56"/>
    <w:rsid w:val="00447692"/>
    <w:rsid w:val="004A275D"/>
    <w:rsid w:val="00623EFE"/>
    <w:rsid w:val="006240B9"/>
    <w:rsid w:val="006919E6"/>
    <w:rsid w:val="006A53E7"/>
    <w:rsid w:val="007A64C5"/>
    <w:rsid w:val="00846EFA"/>
    <w:rsid w:val="00880454"/>
    <w:rsid w:val="008A6FA6"/>
    <w:rsid w:val="008D4352"/>
    <w:rsid w:val="00902522"/>
    <w:rsid w:val="0090269C"/>
    <w:rsid w:val="009467F8"/>
    <w:rsid w:val="009728DC"/>
    <w:rsid w:val="009C0C41"/>
    <w:rsid w:val="009F4EAE"/>
    <w:rsid w:val="00AB59CB"/>
    <w:rsid w:val="00AF7A1E"/>
    <w:rsid w:val="00C0525C"/>
    <w:rsid w:val="00CD7637"/>
    <w:rsid w:val="00D04A15"/>
    <w:rsid w:val="00D373CC"/>
    <w:rsid w:val="00DB319C"/>
    <w:rsid w:val="00E51B6D"/>
    <w:rsid w:val="00F75715"/>
    <w:rsid w:val="00F811C4"/>
    <w:rsid w:val="00FC2918"/>
    <w:rsid w:val="0E4A657A"/>
    <w:rsid w:val="16CC219B"/>
    <w:rsid w:val="1FE143E8"/>
    <w:rsid w:val="6E9256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字符"/>
    <w:basedOn w:val="9"/>
    <w:link w:val="5"/>
    <w:qFormat/>
    <w:uiPriority w:val="99"/>
    <w:rPr>
      <w:sz w:val="18"/>
      <w:szCs w:val="18"/>
    </w:rPr>
  </w:style>
  <w:style w:type="character" w:customStyle="1" w:styleId="12">
    <w:name w:val="页脚 字符"/>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字符"/>
    <w:basedOn w:val="9"/>
    <w:link w:val="2"/>
    <w:semiHidden/>
    <w:qFormat/>
    <w:uiPriority w:val="99"/>
  </w:style>
  <w:style w:type="character" w:customStyle="1" w:styleId="15">
    <w:name w:val="批注主题 字符"/>
    <w:basedOn w:val="14"/>
    <w:link w:val="6"/>
    <w:semiHidden/>
    <w:uiPriority w:val="99"/>
    <w:rPr>
      <w:b/>
      <w:bCs/>
    </w:rPr>
  </w:style>
  <w:style w:type="character" w:customStyle="1" w:styleId="16">
    <w:name w:val="批注框文本 字符"/>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657</Words>
  <Characters>3746</Characters>
  <Lines>31</Lines>
  <Paragraphs>8</Paragraphs>
  <TotalTime>3</TotalTime>
  <ScaleCrop>false</ScaleCrop>
  <LinksUpToDate>false</LinksUpToDate>
  <CharactersWithSpaces>4395</CharactersWithSpaces>
  <Application>WPS Office_12.8.2.19823_F1E327BC-269C-435d-A152-05C5408002CA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2025-07-07T08:24:00Z</dcterms:created>
  <dc:creator>Cc</dc:creator>
  <cp:lastModifiedBy>刘晨晨</cp:lastModifiedBy>
  <dcterms:modified xsi:type="dcterms:W3CDTF">2026-03-02T01:46:49Z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398F7F8154CB4F6E996F5CF417E88241</vt:lpwstr>
  </property>
</Properties>
</file>