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262D8">
      <w:pPr>
        <w:jc w:val="center"/>
        <w:rPr>
          <w:rFonts w:ascii="黑体" w:hAnsi="黑体" w:eastAsia="黑体"/>
          <w:b/>
          <w:sz w:val="36"/>
        </w:rPr>
      </w:pPr>
      <w:bookmarkStart w:id="0" w:name="_GoBack"/>
      <w:bookmarkEnd w:id="0"/>
      <w:r>
        <w:rPr>
          <w:rFonts w:hint="eastAsia" w:ascii="黑体" w:hAnsi="黑体" w:eastAsia="黑体"/>
          <w:b/>
          <w:sz w:val="36"/>
        </w:rPr>
        <w:t>交银施罗德增利增强债券型证券投资基金（C类份额）</w:t>
      </w:r>
    </w:p>
    <w:p w14:paraId="7776C7F7">
      <w:pPr>
        <w:jc w:val="center"/>
        <w:rPr>
          <w:rFonts w:ascii="黑体" w:hAnsi="黑体" w:eastAsia="黑体"/>
          <w:b/>
          <w:sz w:val="36"/>
        </w:rPr>
      </w:pPr>
      <w:r>
        <w:rPr>
          <w:rFonts w:hint="eastAsia" w:ascii="黑体" w:hAnsi="黑体" w:eastAsia="黑体"/>
          <w:b/>
          <w:sz w:val="36"/>
        </w:rPr>
        <w:t>基金产品资料概要更新</w:t>
      </w:r>
    </w:p>
    <w:p w14:paraId="22E24438">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2026-03-0</w:t>
      </w:r>
      <w:r>
        <w:rPr>
          <w:rFonts w:hint="eastAsia" w:ascii="仿宋_GB2312" w:hAnsi="宋体" w:eastAsia="仿宋_GB2312" w:cs="宋体"/>
          <w:kern w:val="0"/>
          <w:szCs w:val="21"/>
          <w:lang w:val="en-US" w:eastAsia="zh-CN"/>
        </w:rPr>
        <w:t>2</w:t>
      </w:r>
    </w:p>
    <w:p w14:paraId="5D5FEAFD">
      <w:pPr>
        <w:spacing w:line="380" w:lineRule="exact"/>
        <w:jc w:val="center"/>
        <w:rPr>
          <w:rFonts w:ascii="方正仿宋简体" w:hAnsi="方正仿宋简体" w:cs="方正仿宋简体"/>
          <w:b/>
          <w:iCs/>
          <w:szCs w:val="21"/>
        </w:rPr>
      </w:pPr>
      <w:r>
        <w:rPr>
          <w:rFonts w:ascii="方正仿宋简体" w:hAnsi="方正仿宋简体"/>
        </w:rPr>
        <w:t>送出日期：</w:t>
      </w:r>
      <w:r>
        <w:rPr>
          <w:rFonts w:hint="eastAsia" w:ascii="Times New Roman" w:hAnsi="Times New Roman" w:cs="Times New Roman"/>
        </w:rPr>
        <w:t>2026-03-03</w:t>
      </w:r>
      <w:r>
        <w:rPr>
          <w:rFonts w:hint="eastAsia" w:ascii="方正仿宋简体" w:hAnsi="方正仿宋简体" w:cs="方正仿宋简体"/>
          <w:b/>
          <w:iCs/>
          <w:szCs w:val="21"/>
        </w:rPr>
        <w:t xml:space="preserve"> </w:t>
      </w:r>
    </w:p>
    <w:p w14:paraId="43C6D329">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3D9FB146">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32609B0E">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5C3A8F6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3F292CA5">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29A29780">
            <w:pPr>
              <w:rPr>
                <w:rFonts w:ascii="仿宋_GB2312" w:eastAsia="仿宋_GB2312"/>
                <w:szCs w:val="21"/>
              </w:rPr>
            </w:pPr>
            <w:r>
              <w:rPr>
                <w:rFonts w:hint="eastAsia" w:ascii="仿宋_GB2312" w:eastAsia="仿宋_GB2312"/>
                <w:szCs w:val="21"/>
              </w:rPr>
              <w:t>交银增利增强债券C</w:t>
            </w:r>
          </w:p>
        </w:tc>
        <w:tc>
          <w:tcPr>
            <w:tcW w:w="3649" w:type="dxa"/>
            <w:vAlign w:val="center"/>
          </w:tcPr>
          <w:p w14:paraId="5D9AD002">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172AB3A5">
            <w:pPr>
              <w:rPr>
                <w:rFonts w:ascii="仿宋_GB2312" w:eastAsia="仿宋_GB2312"/>
                <w:szCs w:val="21"/>
              </w:rPr>
            </w:pPr>
            <w:r>
              <w:rPr>
                <w:rFonts w:hint="eastAsia" w:ascii="仿宋_GB2312" w:eastAsia="仿宋_GB2312"/>
                <w:szCs w:val="21"/>
              </w:rPr>
              <w:t>004428</w:t>
            </w:r>
          </w:p>
        </w:tc>
      </w:tr>
      <w:tr w14:paraId="4880666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4D9BCFFC">
            <w:pPr>
              <w:rPr>
                <w:rFonts w:ascii="仿宋_GB2312" w:eastAsia="仿宋_GB2312"/>
                <w:szCs w:val="21"/>
              </w:rPr>
            </w:pPr>
            <w:r>
              <w:rPr>
                <w:rFonts w:hint="eastAsia" w:ascii="仿宋_GB2312" w:eastAsia="仿宋_GB2312"/>
                <w:szCs w:val="21"/>
              </w:rPr>
              <w:t>基金管理人</w:t>
            </w:r>
          </w:p>
        </w:tc>
        <w:tc>
          <w:tcPr>
            <w:tcW w:w="1601" w:type="dxa"/>
            <w:vAlign w:val="center"/>
          </w:tcPr>
          <w:p w14:paraId="6D86DC86">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69C6E2AF">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0DF343E5">
            <w:pPr>
              <w:rPr>
                <w:rFonts w:ascii="仿宋_GB2312" w:eastAsia="仿宋_GB2312"/>
                <w:szCs w:val="21"/>
              </w:rPr>
            </w:pPr>
            <w:r>
              <w:rPr>
                <w:rFonts w:hint="eastAsia" w:ascii="仿宋_GB2312" w:eastAsia="仿宋_GB2312"/>
                <w:szCs w:val="21"/>
              </w:rPr>
              <w:t>中国建设银行股份有限公司</w:t>
            </w:r>
          </w:p>
        </w:tc>
      </w:tr>
      <w:tr w14:paraId="71DE6AE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00E48E4E">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5B33EB80">
            <w:pPr>
              <w:rPr>
                <w:rFonts w:ascii="仿宋_GB2312" w:eastAsia="仿宋_GB2312"/>
                <w:szCs w:val="21"/>
              </w:rPr>
            </w:pPr>
            <w:r>
              <w:rPr>
                <w:rFonts w:hint="eastAsia" w:ascii="仿宋_GB2312" w:eastAsia="仿宋_GB2312"/>
                <w:szCs w:val="21"/>
              </w:rPr>
              <w:t>2017-06-02</w:t>
            </w:r>
          </w:p>
        </w:tc>
      </w:tr>
      <w:tr w14:paraId="6B2A617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CB94B88">
            <w:pPr>
              <w:rPr>
                <w:rFonts w:ascii="仿宋_GB2312" w:eastAsia="仿宋_GB2312"/>
                <w:szCs w:val="21"/>
              </w:rPr>
            </w:pPr>
            <w:r>
              <w:rPr>
                <w:rFonts w:hint="eastAsia" w:ascii="仿宋_GB2312" w:eastAsia="仿宋_GB2312"/>
                <w:szCs w:val="21"/>
              </w:rPr>
              <w:t>基金类型</w:t>
            </w:r>
          </w:p>
        </w:tc>
        <w:tc>
          <w:tcPr>
            <w:tcW w:w="1601" w:type="dxa"/>
            <w:vAlign w:val="center"/>
          </w:tcPr>
          <w:p w14:paraId="6B939238">
            <w:pPr>
              <w:rPr>
                <w:rFonts w:ascii="仿宋_GB2312" w:eastAsia="仿宋_GB2312"/>
                <w:szCs w:val="21"/>
              </w:rPr>
            </w:pPr>
            <w:r>
              <w:rPr>
                <w:rFonts w:hint="eastAsia" w:ascii="仿宋_GB2312" w:eastAsia="仿宋_GB2312"/>
                <w:szCs w:val="21"/>
              </w:rPr>
              <w:t>债券型</w:t>
            </w:r>
          </w:p>
        </w:tc>
        <w:tc>
          <w:tcPr>
            <w:tcW w:w="3649" w:type="dxa"/>
            <w:vAlign w:val="center"/>
          </w:tcPr>
          <w:p w14:paraId="175D6B41">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75E8484B">
            <w:pPr>
              <w:rPr>
                <w:rFonts w:ascii="仿宋_GB2312" w:eastAsia="仿宋_GB2312"/>
                <w:szCs w:val="21"/>
              </w:rPr>
            </w:pPr>
            <w:r>
              <w:rPr>
                <w:rFonts w:hint="eastAsia" w:ascii="仿宋_GB2312" w:eastAsia="仿宋_GB2312"/>
                <w:szCs w:val="21"/>
              </w:rPr>
              <w:t>人民币</w:t>
            </w:r>
          </w:p>
        </w:tc>
      </w:tr>
      <w:tr w14:paraId="70A8795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53EA6574">
            <w:pPr>
              <w:rPr>
                <w:rFonts w:ascii="仿宋_GB2312" w:eastAsia="仿宋_GB2312"/>
                <w:szCs w:val="21"/>
              </w:rPr>
            </w:pPr>
            <w:r>
              <w:rPr>
                <w:rFonts w:hint="eastAsia" w:ascii="仿宋_GB2312" w:eastAsia="仿宋_GB2312"/>
                <w:szCs w:val="21"/>
              </w:rPr>
              <w:t>运作方式</w:t>
            </w:r>
          </w:p>
        </w:tc>
        <w:tc>
          <w:tcPr>
            <w:tcW w:w="1601" w:type="dxa"/>
            <w:vAlign w:val="center"/>
          </w:tcPr>
          <w:p w14:paraId="6242EEC7">
            <w:pPr>
              <w:rPr>
                <w:rFonts w:ascii="仿宋_GB2312" w:eastAsia="仿宋_GB2312"/>
                <w:szCs w:val="21"/>
              </w:rPr>
            </w:pPr>
            <w:r>
              <w:rPr>
                <w:rFonts w:hint="eastAsia" w:ascii="仿宋_GB2312" w:eastAsia="仿宋_GB2312"/>
                <w:szCs w:val="21"/>
              </w:rPr>
              <w:t>普通开放式</w:t>
            </w:r>
          </w:p>
        </w:tc>
        <w:tc>
          <w:tcPr>
            <w:tcW w:w="3649" w:type="dxa"/>
            <w:vAlign w:val="center"/>
          </w:tcPr>
          <w:p w14:paraId="3CCF27C1">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7234DA52">
            <w:pPr>
              <w:rPr>
                <w:rFonts w:ascii="仿宋_GB2312" w:eastAsia="仿宋_GB2312"/>
                <w:szCs w:val="21"/>
              </w:rPr>
            </w:pPr>
            <w:r>
              <w:rPr>
                <w:rFonts w:hint="eastAsia" w:ascii="仿宋_GB2312" w:eastAsia="仿宋_GB2312"/>
                <w:szCs w:val="21"/>
              </w:rPr>
              <w:t>每个开放日</w:t>
            </w:r>
          </w:p>
        </w:tc>
      </w:tr>
      <w:tr w14:paraId="465A71A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0A44F57A">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1289F335">
            <w:pPr>
              <w:jc w:val="left"/>
              <w:rPr>
                <w:rFonts w:ascii="仿宋_GB2312" w:eastAsia="仿宋_GB2312"/>
                <w:szCs w:val="21"/>
              </w:rPr>
            </w:pPr>
            <w:r>
              <w:rPr>
                <w:rFonts w:hint="eastAsia" w:ascii="仿宋_GB2312" w:eastAsia="仿宋_GB2312"/>
                <w:szCs w:val="21"/>
              </w:rPr>
              <w:t>魏玉敏</w:t>
            </w:r>
          </w:p>
        </w:tc>
        <w:tc>
          <w:tcPr>
            <w:tcW w:w="3000" w:type="dxa"/>
          </w:tcPr>
          <w:p w14:paraId="51440056">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38CDB30B">
            <w:pPr>
              <w:jc w:val="left"/>
              <w:rPr>
                <w:rFonts w:ascii="仿宋_GB2312" w:eastAsia="仿宋_GB2312"/>
                <w:szCs w:val="21"/>
              </w:rPr>
            </w:pPr>
            <w:r>
              <w:rPr>
                <w:rFonts w:hint="eastAsia" w:ascii="仿宋_GB2312" w:eastAsia="仿宋_GB2312"/>
                <w:szCs w:val="21"/>
              </w:rPr>
              <w:t>2018-11-02</w:t>
            </w:r>
          </w:p>
        </w:tc>
      </w:tr>
      <w:tr w14:paraId="6C97FA9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16C61604">
            <w:pPr>
              <w:jc w:val="left"/>
              <w:rPr>
                <w:rFonts w:ascii="仿宋_GB2312" w:eastAsia="仿宋_GB2312"/>
                <w:szCs w:val="21"/>
              </w:rPr>
            </w:pPr>
          </w:p>
        </w:tc>
        <w:tc>
          <w:tcPr>
            <w:tcW w:w="1601" w:type="dxa"/>
            <w:vMerge w:val="continue"/>
          </w:tcPr>
          <w:p w14:paraId="484759D7">
            <w:pPr>
              <w:jc w:val="left"/>
              <w:rPr>
                <w:rFonts w:ascii="仿宋_GB2312" w:eastAsia="仿宋_GB2312"/>
                <w:szCs w:val="21"/>
              </w:rPr>
            </w:pPr>
          </w:p>
        </w:tc>
        <w:tc>
          <w:tcPr>
            <w:tcW w:w="3649" w:type="dxa"/>
          </w:tcPr>
          <w:p w14:paraId="744E6465">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7E6E67FB">
            <w:pPr>
              <w:jc w:val="left"/>
              <w:rPr>
                <w:rFonts w:ascii="仿宋_GB2312" w:eastAsia="仿宋_GB2312"/>
                <w:szCs w:val="21"/>
              </w:rPr>
            </w:pPr>
            <w:r>
              <w:rPr>
                <w:rFonts w:hint="eastAsia" w:ascii="仿宋_GB2312" w:eastAsia="仿宋_GB2312"/>
                <w:szCs w:val="21"/>
              </w:rPr>
              <w:t>2012-06-28</w:t>
            </w:r>
          </w:p>
        </w:tc>
      </w:tr>
      <w:tr w14:paraId="58BB61F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D75A783">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45A7FDAB">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14:paraId="27AAEAB9">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62FB7D71">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2B85D4F7">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50847C4">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09B623BE">
            <w:pPr>
              <w:ind w:firstLine="420"/>
              <w:jc w:val="left"/>
              <w:rPr>
                <w:rFonts w:ascii="仿宋_GB2312" w:eastAsia="仿宋_GB2312"/>
                <w:szCs w:val="21"/>
              </w:rPr>
            </w:pPr>
            <w:r>
              <w:rPr>
                <w:rFonts w:hint="eastAsia" w:ascii="仿宋_GB2312" w:eastAsia="仿宋_GB2312"/>
                <w:szCs w:val="21"/>
              </w:rPr>
              <w:t>本基金以债券投资为主，通过自上而下进行宏观分析，自下而上精选个券，在严格控制风险的前提下，力争实现基金资产的长期稳定增值。</w:t>
            </w:r>
          </w:p>
        </w:tc>
      </w:tr>
      <w:tr w14:paraId="2084A1C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847D043">
            <w:pPr>
              <w:rPr>
                <w:rFonts w:ascii="仿宋_GB2312" w:eastAsia="仿宋_GB2312"/>
                <w:szCs w:val="21"/>
              </w:rPr>
            </w:pPr>
            <w:r>
              <w:rPr>
                <w:rFonts w:hint="eastAsia" w:ascii="仿宋_GB2312" w:eastAsia="仿宋_GB2312"/>
                <w:szCs w:val="21"/>
              </w:rPr>
              <w:t>投资范围</w:t>
            </w:r>
          </w:p>
        </w:tc>
        <w:tc>
          <w:tcPr>
            <w:tcW w:w="6525" w:type="dxa"/>
            <w:vAlign w:val="center"/>
          </w:tcPr>
          <w:p w14:paraId="060D6D97">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14:paraId="4C31E5C3">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3148549D">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14:paraId="3EE2DEA8">
            <w:pPr>
              <w:ind w:firstLine="420"/>
              <w:jc w:val="left"/>
              <w:rPr>
                <w:rFonts w:ascii="仿宋_GB2312" w:eastAsia="仿宋_GB2312"/>
                <w:szCs w:val="21"/>
              </w:rPr>
            </w:pPr>
            <w:r>
              <w:rPr>
                <w:rFonts w:hint="eastAsia" w:ascii="仿宋_GB2312" w:eastAsia="仿宋_GB2312"/>
                <w:szCs w:val="21"/>
              </w:rPr>
              <w:t>本基金通过参与一级市场新股申购、股票增发，以及因所持股票进行股票配售及派发所形成的股票不超过基金资产净值的20%，通过二级市场买入股票（含存托凭证）、权证等权益类资产不高于基金资产净值的5%。</w:t>
            </w:r>
          </w:p>
        </w:tc>
      </w:tr>
      <w:tr w14:paraId="2C96A72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1B3F4BD4">
            <w:pPr>
              <w:rPr>
                <w:rFonts w:ascii="仿宋_GB2312" w:eastAsia="仿宋_GB2312"/>
                <w:szCs w:val="21"/>
              </w:rPr>
            </w:pPr>
            <w:r>
              <w:rPr>
                <w:rFonts w:hint="eastAsia" w:ascii="仿宋_GB2312" w:eastAsia="仿宋_GB2312"/>
                <w:szCs w:val="21"/>
              </w:rPr>
              <w:t>主要投资策略</w:t>
            </w:r>
          </w:p>
        </w:tc>
        <w:tc>
          <w:tcPr>
            <w:tcW w:w="6525" w:type="dxa"/>
            <w:vAlign w:val="center"/>
          </w:tcPr>
          <w:p w14:paraId="664CB325">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资产比例。本基金自上而下决定债券组合久期、期限结构配置及债券类属配置；在严谨深入的信用分析基础上，综合考量信用债券的信用评级，以及各类债券的流动性、供求关系和收益率水平等，自下而上地精选个券。通过综合运用骑乘操作、套利操作等策略，提高投资组合收益。此外，本基金深度关注股票、权证市场的运行状况与相应风险收益特征，在严格控制基金资产运作风险的前提下，有效把握投资机会，适时增强组合收益。</w:t>
            </w:r>
          </w:p>
          <w:p w14:paraId="278175F3">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14:paraId="379B341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A97154D">
            <w:pPr>
              <w:rPr>
                <w:rFonts w:ascii="仿宋_GB2312" w:eastAsia="仿宋_GB2312"/>
                <w:szCs w:val="21"/>
              </w:rPr>
            </w:pPr>
            <w:r>
              <w:rPr>
                <w:rFonts w:hint="eastAsia" w:ascii="仿宋_GB2312" w:eastAsia="仿宋_GB2312"/>
                <w:szCs w:val="21"/>
              </w:rPr>
              <w:t>业绩比较基准</w:t>
            </w:r>
          </w:p>
        </w:tc>
        <w:tc>
          <w:tcPr>
            <w:tcW w:w="6525" w:type="dxa"/>
            <w:vAlign w:val="center"/>
          </w:tcPr>
          <w:p w14:paraId="0119032B">
            <w:pPr>
              <w:ind w:firstLine="420"/>
              <w:jc w:val="left"/>
              <w:rPr>
                <w:rFonts w:ascii="仿宋_GB2312" w:eastAsia="仿宋_GB2312"/>
                <w:szCs w:val="21"/>
              </w:rPr>
            </w:pPr>
            <w:r>
              <w:rPr>
                <w:rFonts w:hint="eastAsia" w:ascii="仿宋_GB2312" w:eastAsia="仿宋_GB2312"/>
                <w:szCs w:val="21"/>
              </w:rPr>
              <w:t>中债综合全价指数</w:t>
            </w:r>
          </w:p>
        </w:tc>
      </w:tr>
      <w:tr w14:paraId="0896369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829CA97">
            <w:pPr>
              <w:rPr>
                <w:rFonts w:ascii="仿宋_GB2312" w:eastAsia="仿宋_GB2312"/>
                <w:szCs w:val="21"/>
              </w:rPr>
            </w:pPr>
            <w:r>
              <w:rPr>
                <w:rFonts w:hint="eastAsia" w:ascii="仿宋_GB2312" w:eastAsia="仿宋_GB2312"/>
                <w:szCs w:val="21"/>
              </w:rPr>
              <w:t>风险收益特征</w:t>
            </w:r>
          </w:p>
        </w:tc>
        <w:tc>
          <w:tcPr>
            <w:tcW w:w="6525" w:type="dxa"/>
            <w:vAlign w:val="center"/>
          </w:tcPr>
          <w:p w14:paraId="564DFAAA">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05B9B2E7">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详见《交银施罗德增利增强债券型证券投资基金招募说明书》第十部分“基金的投资”。</w:t>
      </w:r>
    </w:p>
    <w:p w14:paraId="4010EC2F">
      <w:pPr>
        <w:jc w:val="left"/>
        <w:rPr>
          <w:rFonts w:ascii="仿宋_GB2312" w:eastAsia="仿宋_GB2312"/>
          <w:b/>
          <w:szCs w:val="21"/>
        </w:rPr>
      </w:pPr>
      <w:r>
        <w:rPr>
          <w:rFonts w:hint="eastAsia" w:ascii="仿宋_GB2312" w:eastAsia="仿宋_GB2312"/>
          <w:b/>
          <w:szCs w:val="21"/>
        </w:rPr>
        <w:t>（二）投资组合资产配置图表/区域配置图表</w:t>
      </w:r>
    </w:p>
    <w:p w14:paraId="64419D9D">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14:paraId="4448885F">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2DA4736A">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18EC6740">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14:paraId="4041CF80">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37C245C1">
      <w:pPr>
        <w:ind w:left="420" w:firstLine="420" w:firstLineChars="200"/>
        <w:jc w:val="left"/>
        <w:rPr>
          <w:rFonts w:ascii="仿宋_GB2312" w:eastAsia="仿宋_GB2312"/>
          <w:szCs w:val="21"/>
        </w:rPr>
      </w:pPr>
      <w:r>
        <w:rPr>
          <w:rFonts w:hint="eastAsia" w:ascii="仿宋_GB2312" w:eastAsia="仿宋_GB2312"/>
          <w:szCs w:val="21"/>
        </w:rPr>
        <w:t>2、本基金合同于2017年6月2日生效，合同生效当年净值增长率按实际存续期计算；</w:t>
      </w:r>
    </w:p>
    <w:p w14:paraId="32FAD84D">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5C48DDFC">
      <w:pPr>
        <w:ind w:left="420" w:firstLine="420" w:firstLineChars="200"/>
        <w:jc w:val="left"/>
        <w:rPr>
          <w:rFonts w:ascii="仿宋_GB2312" w:eastAsia="仿宋_GB2312"/>
          <w:szCs w:val="21"/>
        </w:rPr>
      </w:pPr>
    </w:p>
    <w:p w14:paraId="7278E87B">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237BB205">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5B691CB1">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14:paraId="5FF7102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6A7E98F3">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15BE9CA3">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4C8BE471">
            <w:pPr>
              <w:rPr>
                <w:rFonts w:ascii="仿宋_GB2312" w:eastAsia="仿宋_GB2312"/>
                <w:szCs w:val="21"/>
              </w:rPr>
            </w:pPr>
            <w:r>
              <w:rPr>
                <w:rFonts w:hint="eastAsia" w:ascii="仿宋_GB2312" w:eastAsia="仿宋_GB2312"/>
                <w:szCs w:val="21"/>
              </w:rPr>
              <w:t>收费方式/费率</w:t>
            </w:r>
          </w:p>
        </w:tc>
        <w:tc>
          <w:tcPr>
            <w:tcW w:w="2126" w:type="dxa"/>
            <w:vAlign w:val="center"/>
          </w:tcPr>
          <w:p w14:paraId="2DC7AAFA">
            <w:pPr>
              <w:widowControl/>
              <w:jc w:val="left"/>
              <w:rPr>
                <w:rFonts w:ascii="仿宋_GB2312" w:eastAsia="仿宋_GB2312"/>
                <w:szCs w:val="21"/>
              </w:rPr>
            </w:pPr>
            <w:r>
              <w:rPr>
                <w:rFonts w:hint="eastAsia" w:ascii="仿宋_GB2312" w:hAnsi="宋体" w:eastAsia="仿宋_GB2312" w:cs="宋体"/>
                <w:kern w:val="0"/>
                <w:szCs w:val="21"/>
              </w:rPr>
              <w:t>备注</w:t>
            </w:r>
          </w:p>
        </w:tc>
      </w:tr>
      <w:tr w14:paraId="697BB78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2434D356">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199C522D">
            <w:pPr>
              <w:rPr>
                <w:rFonts w:ascii="仿宋_GB2312" w:eastAsia="仿宋_GB2312"/>
                <w:szCs w:val="21"/>
              </w:rPr>
            </w:pPr>
            <w:r>
              <w:rPr>
                <w:rFonts w:hint="eastAsia" w:ascii="仿宋_GB2312" w:eastAsia="仿宋_GB2312"/>
                <w:szCs w:val="21"/>
              </w:rPr>
              <w:t>N＜7天</w:t>
            </w:r>
          </w:p>
        </w:tc>
        <w:tc>
          <w:tcPr>
            <w:tcW w:w="1843" w:type="dxa"/>
            <w:vAlign w:val="center"/>
          </w:tcPr>
          <w:p w14:paraId="1D094A36">
            <w:pPr>
              <w:rPr>
                <w:rFonts w:ascii="仿宋_GB2312" w:eastAsia="仿宋_GB2312"/>
                <w:szCs w:val="21"/>
              </w:rPr>
            </w:pPr>
            <w:r>
              <w:rPr>
                <w:rFonts w:hint="eastAsia" w:ascii="仿宋_GB2312" w:eastAsia="仿宋_GB2312"/>
                <w:szCs w:val="21"/>
              </w:rPr>
              <w:t>1.5%</w:t>
            </w:r>
          </w:p>
        </w:tc>
        <w:tc>
          <w:tcPr>
            <w:tcW w:w="1843" w:type="dxa"/>
            <w:vAlign w:val="center"/>
          </w:tcPr>
          <w:p w14:paraId="0870C67F">
            <w:pPr>
              <w:rPr>
                <w:rFonts w:ascii="仿宋_GB2312" w:eastAsia="仿宋_GB2312"/>
                <w:szCs w:val="21"/>
              </w:rPr>
            </w:pPr>
          </w:p>
        </w:tc>
      </w:tr>
      <w:tr w14:paraId="1569E3F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4A3D65A7">
            <w:pPr>
              <w:widowControl/>
              <w:jc w:val="left"/>
              <w:rPr>
                <w:rFonts w:ascii="仿宋_GB2312" w:hAnsi="宋体" w:eastAsia="仿宋_GB2312" w:cs="宋体"/>
                <w:kern w:val="0"/>
                <w:szCs w:val="21"/>
              </w:rPr>
            </w:pPr>
          </w:p>
        </w:tc>
        <w:tc>
          <w:tcPr>
            <w:tcW w:w="3000" w:type="dxa"/>
          </w:tcPr>
          <w:p w14:paraId="307191CF">
            <w:pPr>
              <w:rPr>
                <w:rFonts w:ascii="仿宋_GB2312" w:eastAsia="仿宋_GB2312"/>
                <w:szCs w:val="21"/>
              </w:rPr>
            </w:pPr>
            <w:r>
              <w:rPr>
                <w:rFonts w:hint="eastAsia" w:ascii="仿宋_GB2312" w:eastAsia="仿宋_GB2312"/>
                <w:szCs w:val="21"/>
              </w:rPr>
              <w:t>7天≤N</w:t>
            </w:r>
          </w:p>
        </w:tc>
        <w:tc>
          <w:tcPr>
            <w:tcW w:w="1843" w:type="dxa"/>
            <w:vAlign w:val="center"/>
          </w:tcPr>
          <w:p w14:paraId="0FF37962">
            <w:pPr>
              <w:rPr>
                <w:rFonts w:ascii="仿宋_GB2312" w:eastAsia="仿宋_GB2312"/>
                <w:szCs w:val="21"/>
              </w:rPr>
            </w:pPr>
            <w:r>
              <w:rPr>
                <w:rFonts w:hint="eastAsia" w:ascii="仿宋_GB2312" w:eastAsia="仿宋_GB2312"/>
                <w:szCs w:val="21"/>
              </w:rPr>
              <w:t>0%</w:t>
            </w:r>
          </w:p>
        </w:tc>
        <w:tc>
          <w:tcPr>
            <w:tcW w:w="1843" w:type="dxa"/>
            <w:vAlign w:val="center"/>
          </w:tcPr>
          <w:p w14:paraId="0A846D83">
            <w:pPr>
              <w:rPr>
                <w:rFonts w:ascii="仿宋_GB2312" w:eastAsia="仿宋_GB2312"/>
                <w:szCs w:val="21"/>
              </w:rPr>
            </w:pPr>
          </w:p>
        </w:tc>
      </w:tr>
    </w:tbl>
    <w:p w14:paraId="1A5AC54F">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14:paraId="27502DFC">
      <w:pPr>
        <w:jc w:val="left"/>
        <w:rPr>
          <w:rFonts w:ascii="仿宋_GB2312" w:eastAsia="仿宋_GB2312"/>
          <w:b/>
          <w:szCs w:val="21"/>
        </w:rPr>
      </w:pPr>
      <w:r>
        <w:rPr>
          <w:rFonts w:hint="eastAsia" w:ascii="仿宋_GB2312" w:eastAsia="仿宋_GB2312"/>
          <w:b/>
          <w:szCs w:val="21"/>
        </w:rPr>
        <w:t>（二）基金运作相关费用</w:t>
      </w:r>
    </w:p>
    <w:p w14:paraId="4A00DE8F">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7853C35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E66EEC4">
            <w:pPr>
              <w:rPr>
                <w:rFonts w:ascii="仿宋_GB2312" w:eastAsia="仿宋_GB2312"/>
                <w:b/>
                <w:szCs w:val="21"/>
              </w:rPr>
            </w:pPr>
            <w:r>
              <w:rPr>
                <w:rFonts w:hint="eastAsia" w:ascii="仿宋_GB2312" w:eastAsia="仿宋_GB2312"/>
                <w:b/>
                <w:szCs w:val="21"/>
              </w:rPr>
              <w:t>费用类别</w:t>
            </w:r>
          </w:p>
        </w:tc>
        <w:tc>
          <w:tcPr>
            <w:tcW w:w="5958" w:type="dxa"/>
            <w:vAlign w:val="center"/>
          </w:tcPr>
          <w:p w14:paraId="6DE28E5F">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277CC30E">
            <w:pPr>
              <w:rPr>
                <w:rFonts w:ascii="仿宋" w:hAnsi="仿宋" w:eastAsia="仿宋" w:cs="仿宋"/>
                <w:b/>
                <w:sz w:val="24"/>
                <w:szCs w:val="24"/>
              </w:rPr>
            </w:pPr>
            <w:r>
              <w:rPr>
                <w:rFonts w:hint="eastAsia" w:ascii="仿宋" w:hAnsi="仿宋" w:eastAsia="仿宋" w:cs="仿宋"/>
                <w:b/>
                <w:sz w:val="24"/>
                <w:szCs w:val="24"/>
              </w:rPr>
              <w:t>收取方</w:t>
            </w:r>
          </w:p>
        </w:tc>
      </w:tr>
      <w:tr w14:paraId="145D4F8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0796627">
            <w:pPr>
              <w:rPr>
                <w:rFonts w:ascii="仿宋_GB2312" w:eastAsia="仿宋_GB2312"/>
                <w:szCs w:val="21"/>
              </w:rPr>
            </w:pPr>
            <w:r>
              <w:rPr>
                <w:rFonts w:hint="eastAsia" w:ascii="仿宋_GB2312" w:eastAsia="仿宋_GB2312"/>
                <w:szCs w:val="21"/>
              </w:rPr>
              <w:t>管理费</w:t>
            </w:r>
          </w:p>
        </w:tc>
        <w:tc>
          <w:tcPr>
            <w:tcW w:w="5958" w:type="dxa"/>
            <w:vAlign w:val="center"/>
          </w:tcPr>
          <w:p w14:paraId="0C50AABB">
            <w:pPr>
              <w:rPr>
                <w:rFonts w:ascii="仿宋_GB2312" w:eastAsia="仿宋_GB2312"/>
                <w:szCs w:val="21"/>
              </w:rPr>
            </w:pPr>
            <w:r>
              <w:rPr>
                <w:rFonts w:hint="eastAsia" w:ascii="仿宋_GB2312" w:eastAsia="仿宋_GB2312"/>
                <w:szCs w:val="21"/>
              </w:rPr>
              <w:t>0.60%</w:t>
            </w:r>
          </w:p>
        </w:tc>
        <w:tc>
          <w:tcPr>
            <w:tcW w:w="3078" w:type="dxa"/>
          </w:tcPr>
          <w:p w14:paraId="0DB28321">
            <w:pPr>
              <w:rPr>
                <w:rFonts w:ascii="仿宋_GB2312" w:eastAsia="仿宋_GB2312"/>
                <w:szCs w:val="21"/>
              </w:rPr>
            </w:pPr>
            <w:r>
              <w:rPr>
                <w:rFonts w:hint="eastAsia" w:ascii="仿宋_GB2312" w:eastAsia="仿宋_GB2312"/>
                <w:szCs w:val="21"/>
              </w:rPr>
              <w:t>基金管理人和销售机构</w:t>
            </w:r>
          </w:p>
        </w:tc>
      </w:tr>
      <w:tr w14:paraId="49BC3C9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ABF920D">
            <w:pPr>
              <w:rPr>
                <w:rFonts w:ascii="仿宋_GB2312" w:eastAsia="仿宋_GB2312"/>
                <w:szCs w:val="21"/>
              </w:rPr>
            </w:pPr>
            <w:r>
              <w:rPr>
                <w:rFonts w:hint="eastAsia" w:ascii="仿宋_GB2312" w:eastAsia="仿宋_GB2312"/>
                <w:szCs w:val="21"/>
              </w:rPr>
              <w:t>托管费</w:t>
            </w:r>
          </w:p>
        </w:tc>
        <w:tc>
          <w:tcPr>
            <w:tcW w:w="5958" w:type="dxa"/>
            <w:vAlign w:val="center"/>
          </w:tcPr>
          <w:p w14:paraId="0252F18A">
            <w:pPr>
              <w:rPr>
                <w:rFonts w:ascii="仿宋_GB2312" w:eastAsia="仿宋_GB2312"/>
                <w:szCs w:val="21"/>
              </w:rPr>
            </w:pPr>
            <w:r>
              <w:rPr>
                <w:rFonts w:hint="eastAsia" w:ascii="仿宋_GB2312" w:eastAsia="仿宋_GB2312"/>
                <w:szCs w:val="21"/>
              </w:rPr>
              <w:t>0.20%</w:t>
            </w:r>
          </w:p>
        </w:tc>
        <w:tc>
          <w:tcPr>
            <w:tcW w:w="3078" w:type="dxa"/>
          </w:tcPr>
          <w:p w14:paraId="4308F56D">
            <w:pPr>
              <w:rPr>
                <w:rFonts w:ascii="仿宋_GB2312" w:eastAsia="仿宋_GB2312"/>
                <w:szCs w:val="21"/>
              </w:rPr>
            </w:pPr>
            <w:r>
              <w:rPr>
                <w:rFonts w:hint="eastAsia" w:ascii="仿宋_GB2312" w:eastAsia="仿宋_GB2312"/>
                <w:szCs w:val="21"/>
              </w:rPr>
              <w:t>基金托管人</w:t>
            </w:r>
          </w:p>
        </w:tc>
      </w:tr>
      <w:tr w14:paraId="76C1622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56CCC69">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49EABF65">
            <w:pPr>
              <w:rPr>
                <w:rFonts w:ascii="仿宋_GB2312" w:eastAsia="仿宋_GB2312"/>
                <w:szCs w:val="21"/>
              </w:rPr>
            </w:pPr>
            <w:r>
              <w:rPr>
                <w:rFonts w:hint="eastAsia" w:ascii="仿宋_GB2312" w:eastAsia="仿宋_GB2312"/>
                <w:szCs w:val="21"/>
              </w:rPr>
              <w:t>0.40%</w:t>
            </w:r>
          </w:p>
        </w:tc>
        <w:tc>
          <w:tcPr>
            <w:tcW w:w="3078" w:type="dxa"/>
          </w:tcPr>
          <w:p w14:paraId="4DBD6B12">
            <w:pPr>
              <w:rPr>
                <w:rFonts w:ascii="仿宋_GB2312" w:eastAsia="仿宋_GB2312"/>
                <w:szCs w:val="21"/>
              </w:rPr>
            </w:pPr>
            <w:r>
              <w:rPr>
                <w:rFonts w:hint="eastAsia" w:ascii="仿宋_GB2312" w:eastAsia="仿宋_GB2312"/>
                <w:szCs w:val="21"/>
              </w:rPr>
              <w:t>销售机构</w:t>
            </w:r>
          </w:p>
        </w:tc>
      </w:tr>
      <w:tr w14:paraId="5A12CF4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3DFA9D0">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6682988E">
            <w:pPr>
              <w:rPr>
                <w:rFonts w:ascii="仿宋_GB2312" w:eastAsia="仿宋_GB2312"/>
                <w:szCs w:val="21"/>
              </w:rPr>
            </w:pPr>
            <w:r>
              <w:rPr>
                <w:rFonts w:hint="eastAsia" w:ascii="仿宋_GB2312" w:eastAsia="仿宋_GB2312"/>
                <w:szCs w:val="21"/>
              </w:rPr>
              <w:t>50000.00</w:t>
            </w:r>
          </w:p>
        </w:tc>
        <w:tc>
          <w:tcPr>
            <w:tcW w:w="3078" w:type="dxa"/>
          </w:tcPr>
          <w:p w14:paraId="3B237380">
            <w:pPr>
              <w:rPr>
                <w:rFonts w:ascii="仿宋_GB2312" w:eastAsia="仿宋_GB2312"/>
                <w:szCs w:val="21"/>
              </w:rPr>
            </w:pPr>
            <w:r>
              <w:rPr>
                <w:rFonts w:hint="eastAsia" w:ascii="仿宋_GB2312" w:eastAsia="仿宋_GB2312"/>
                <w:szCs w:val="21"/>
              </w:rPr>
              <w:t>会计师事务所</w:t>
            </w:r>
          </w:p>
        </w:tc>
      </w:tr>
      <w:tr w14:paraId="72DABE5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EA62E69">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684F294A">
            <w:pPr>
              <w:rPr>
                <w:rFonts w:ascii="仿宋_GB2312" w:eastAsia="仿宋_GB2312"/>
                <w:szCs w:val="21"/>
              </w:rPr>
            </w:pPr>
            <w:r>
              <w:rPr>
                <w:rFonts w:hint="eastAsia" w:ascii="仿宋_GB2312" w:eastAsia="仿宋_GB2312"/>
                <w:szCs w:val="21"/>
              </w:rPr>
              <w:t>120000.00</w:t>
            </w:r>
          </w:p>
        </w:tc>
        <w:tc>
          <w:tcPr>
            <w:tcW w:w="3078" w:type="dxa"/>
          </w:tcPr>
          <w:p w14:paraId="3FEFF019">
            <w:pPr>
              <w:rPr>
                <w:rFonts w:ascii="仿宋_GB2312" w:eastAsia="仿宋_GB2312"/>
                <w:szCs w:val="21"/>
              </w:rPr>
            </w:pPr>
            <w:r>
              <w:rPr>
                <w:rFonts w:hint="eastAsia" w:ascii="仿宋_GB2312" w:eastAsia="仿宋_GB2312"/>
                <w:szCs w:val="21"/>
              </w:rPr>
              <w:t>规定披露报刊</w:t>
            </w:r>
          </w:p>
        </w:tc>
      </w:tr>
      <w:tr w14:paraId="66F9163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CC589A4">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513E37A9">
            <w:pPr>
              <w:rPr>
                <w:rFonts w:ascii="仿宋_GB2312" w:eastAsia="仿宋_GB2312"/>
                <w:szCs w:val="21"/>
              </w:rPr>
            </w:pPr>
            <w:r>
              <w:rPr>
                <w:rFonts w:hint="eastAsia" w:ascii="仿宋_GB2312" w:eastAsia="仿宋_GB2312"/>
                <w:szCs w:val="21"/>
              </w:rPr>
              <w:t>-</w:t>
            </w:r>
          </w:p>
        </w:tc>
        <w:tc>
          <w:tcPr>
            <w:tcW w:w="3078" w:type="dxa"/>
          </w:tcPr>
          <w:p w14:paraId="5AEA3B7D">
            <w:pPr>
              <w:rPr>
                <w:rFonts w:ascii="仿宋_GB2312" w:eastAsia="仿宋_GB2312"/>
                <w:szCs w:val="21"/>
              </w:rPr>
            </w:pPr>
            <w:r>
              <w:rPr>
                <w:rFonts w:hint="eastAsia" w:ascii="仿宋_GB2312" w:eastAsia="仿宋_GB2312"/>
                <w:szCs w:val="21"/>
              </w:rPr>
              <w:t>指数编制公司</w:t>
            </w:r>
          </w:p>
        </w:tc>
      </w:tr>
      <w:tr w14:paraId="41234F6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7CD6BDE1">
            <w:pPr>
              <w:rPr>
                <w:rFonts w:ascii="仿宋_GB2312" w:eastAsia="仿宋_GB2312"/>
                <w:szCs w:val="21"/>
              </w:rPr>
            </w:pPr>
            <w:r>
              <w:rPr>
                <w:rFonts w:hint="eastAsia" w:ascii="仿宋_GB2312" w:eastAsia="仿宋_GB2312"/>
                <w:szCs w:val="21"/>
              </w:rPr>
              <w:t>其他费用</w:t>
            </w:r>
          </w:p>
        </w:tc>
        <w:tc>
          <w:tcPr>
            <w:tcW w:w="3080" w:type="dxa"/>
            <w:vAlign w:val="center"/>
          </w:tcPr>
          <w:p w14:paraId="553F68E2">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7CA78196">
            <w:pPr>
              <w:rPr>
                <w:rFonts w:ascii="仿宋_GB2312" w:eastAsia="仿宋_GB2312"/>
                <w:szCs w:val="21"/>
              </w:rPr>
            </w:pPr>
          </w:p>
        </w:tc>
      </w:tr>
    </w:tbl>
    <w:p w14:paraId="02A907B2">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2998E7C5">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6A003B92">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0772E3E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25FA3A11">
            <w:pPr>
              <w:rPr>
                <w:rFonts w:ascii="仿宋_GB2312" w:eastAsia="仿宋_GB2312"/>
                <w:b/>
                <w:szCs w:val="21"/>
              </w:rPr>
            </w:pPr>
          </w:p>
        </w:tc>
        <w:tc>
          <w:tcPr>
            <w:tcW w:w="5342" w:type="dxa"/>
          </w:tcPr>
          <w:p w14:paraId="0B92527B">
            <w:pPr>
              <w:rPr>
                <w:rFonts w:ascii="仿宋" w:hAnsi="仿宋" w:eastAsia="仿宋" w:cs="仿宋"/>
                <w:b/>
                <w:szCs w:val="21"/>
              </w:rPr>
            </w:pPr>
            <w:r>
              <w:rPr>
                <w:rFonts w:hint="eastAsia" w:ascii="仿宋" w:hAnsi="仿宋" w:eastAsia="仿宋" w:cs="仿宋"/>
                <w:b/>
                <w:sz w:val="24"/>
                <w:szCs w:val="24"/>
              </w:rPr>
              <w:t>基金运作综合费率（年化）</w:t>
            </w:r>
          </w:p>
        </w:tc>
      </w:tr>
      <w:tr w14:paraId="6AEC6A1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5D9E80CA">
            <w:pPr>
              <w:rPr>
                <w:rFonts w:ascii="仿宋_GB2312" w:eastAsia="仿宋_GB2312"/>
                <w:b/>
                <w:szCs w:val="21"/>
              </w:rPr>
            </w:pPr>
          </w:p>
        </w:tc>
        <w:tc>
          <w:tcPr>
            <w:tcW w:w="3080" w:type="dxa"/>
            <w:vAlign w:val="center"/>
          </w:tcPr>
          <w:p w14:paraId="24BFBE18">
            <w:pPr>
              <w:rPr>
                <w:rFonts w:ascii="仿宋_GB2312" w:eastAsia="仿宋_GB2312"/>
                <w:szCs w:val="21"/>
              </w:rPr>
            </w:pPr>
            <w:r>
              <w:rPr>
                <w:rFonts w:hint="eastAsia" w:ascii="仿宋_GB2312" w:eastAsia="仿宋_GB2312"/>
                <w:szCs w:val="21"/>
              </w:rPr>
              <w:t>1.22%</w:t>
            </w:r>
          </w:p>
        </w:tc>
      </w:tr>
    </w:tbl>
    <w:p w14:paraId="0AAF1096">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791BF353">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4052B721">
      <w:pPr>
        <w:jc w:val="left"/>
        <w:rPr>
          <w:rFonts w:ascii="仿宋_GB2312" w:eastAsia="仿宋_GB2312"/>
          <w:b/>
          <w:szCs w:val="21"/>
        </w:rPr>
      </w:pPr>
      <w:r>
        <w:rPr>
          <w:rFonts w:hint="eastAsia" w:ascii="仿宋_GB2312" w:eastAsia="仿宋_GB2312"/>
          <w:b/>
          <w:szCs w:val="21"/>
        </w:rPr>
        <w:t>（一）风险揭示</w:t>
      </w:r>
    </w:p>
    <w:p w14:paraId="4048501E">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313674A7">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1125F7C6">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789F16E1">
      <w:pPr>
        <w:ind w:firstLine="420"/>
        <w:jc w:val="left"/>
        <w:rPr>
          <w:rFonts w:ascii="仿宋_GB2312" w:eastAsia="仿宋_GB2312"/>
          <w:szCs w:val="21"/>
        </w:rPr>
      </w:pPr>
      <w:r>
        <w:rPr>
          <w:rFonts w:hint="eastAsia" w:ascii="仿宋_GB2312" w:eastAsia="仿宋_GB2312"/>
          <w:szCs w:val="21"/>
        </w:rPr>
        <w:t>1、市场风险</w:t>
      </w:r>
    </w:p>
    <w:p w14:paraId="0A3DBF89">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14:paraId="7DE99FBE">
      <w:pPr>
        <w:ind w:firstLine="420"/>
        <w:jc w:val="left"/>
        <w:rPr>
          <w:rFonts w:ascii="仿宋_GB2312" w:eastAsia="仿宋_GB2312"/>
          <w:szCs w:val="21"/>
        </w:rPr>
      </w:pPr>
      <w:r>
        <w:rPr>
          <w:rFonts w:hint="eastAsia" w:ascii="仿宋_GB2312" w:eastAsia="仿宋_GB2312"/>
          <w:szCs w:val="21"/>
        </w:rPr>
        <w:t>2、管理风险</w:t>
      </w:r>
    </w:p>
    <w:p w14:paraId="06A225FA">
      <w:pPr>
        <w:ind w:firstLine="420"/>
        <w:jc w:val="left"/>
        <w:rPr>
          <w:rFonts w:ascii="仿宋_GB2312" w:eastAsia="仿宋_GB2312"/>
          <w:szCs w:val="21"/>
        </w:rPr>
      </w:pPr>
      <w:r>
        <w:rPr>
          <w:rFonts w:hint="eastAsia" w:ascii="仿宋_GB2312" w:eastAsia="仿宋_GB2312"/>
          <w:szCs w:val="21"/>
        </w:rPr>
        <w:t>3、流动性风险</w:t>
      </w:r>
    </w:p>
    <w:p w14:paraId="1597954E">
      <w:pPr>
        <w:ind w:firstLine="420"/>
        <w:jc w:val="left"/>
        <w:rPr>
          <w:rFonts w:ascii="仿宋_GB2312" w:eastAsia="仿宋_GB2312"/>
          <w:szCs w:val="21"/>
        </w:rPr>
      </w:pPr>
      <w:r>
        <w:rPr>
          <w:rFonts w:hint="eastAsia" w:ascii="仿宋_GB2312" w:eastAsia="仿宋_GB2312"/>
          <w:szCs w:val="21"/>
        </w:rPr>
        <w:t>4、交易对手违约风险</w:t>
      </w:r>
    </w:p>
    <w:p w14:paraId="73478EA0">
      <w:pPr>
        <w:ind w:firstLine="420"/>
        <w:jc w:val="left"/>
        <w:rPr>
          <w:rFonts w:ascii="仿宋_GB2312" w:eastAsia="仿宋_GB2312"/>
          <w:szCs w:val="21"/>
        </w:rPr>
      </w:pPr>
      <w:r>
        <w:rPr>
          <w:rFonts w:hint="eastAsia" w:ascii="仿宋_GB2312" w:eastAsia="仿宋_GB2312"/>
          <w:szCs w:val="21"/>
        </w:rPr>
        <w:t>5、本基金投资策略所特有的风险</w:t>
      </w:r>
    </w:p>
    <w:p w14:paraId="1B37804C">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14:paraId="3B4193F0">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5DD53E18">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14:paraId="58BC0BBD">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14:paraId="411B3684">
      <w:pPr>
        <w:ind w:firstLine="420"/>
        <w:jc w:val="left"/>
        <w:rPr>
          <w:rFonts w:ascii="仿宋_GB2312" w:eastAsia="仿宋_GB2312"/>
          <w:szCs w:val="21"/>
        </w:rPr>
      </w:pPr>
      <w:r>
        <w:rPr>
          <w:rFonts w:hint="eastAsia" w:ascii="仿宋_GB2312" w:eastAsia="仿宋_GB2312"/>
          <w:szCs w:val="21"/>
        </w:rPr>
        <w:t>6、投资科创板股票的特定风险</w:t>
      </w:r>
    </w:p>
    <w:p w14:paraId="4C072C29">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14:paraId="4A36024D">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14:paraId="150322E9">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345EFD71">
      <w:pPr>
        <w:ind w:firstLine="420"/>
        <w:jc w:val="left"/>
        <w:rPr>
          <w:rFonts w:ascii="仿宋_GB2312" w:eastAsia="仿宋_GB2312"/>
          <w:szCs w:val="21"/>
        </w:rPr>
      </w:pPr>
      <w:r>
        <w:rPr>
          <w:rFonts w:hint="eastAsia" w:ascii="仿宋_GB2312" w:eastAsia="仿宋_GB2312"/>
          <w:szCs w:val="21"/>
        </w:rPr>
        <w:t>8、投资存托凭证的特定风险</w:t>
      </w:r>
    </w:p>
    <w:p w14:paraId="3B2DA5C1">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613C9E73">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6D978A99">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69AD1434">
      <w:pPr>
        <w:ind w:firstLine="420"/>
        <w:jc w:val="left"/>
        <w:rPr>
          <w:rFonts w:ascii="仿宋_GB2312" w:eastAsia="仿宋_GB2312"/>
          <w:szCs w:val="21"/>
        </w:rPr>
      </w:pPr>
      <w:r>
        <w:rPr>
          <w:rFonts w:ascii="仿宋_GB2312" w:eastAsia="仿宋_GB2312"/>
          <w:szCs w:val="21"/>
        </w:rPr>
        <w:t>9</w:t>
      </w:r>
      <w:r>
        <w:rPr>
          <w:rFonts w:hint="eastAsia" w:ascii="仿宋_GB2312" w:eastAsia="仿宋_GB2312"/>
          <w:szCs w:val="21"/>
        </w:rPr>
        <w:t>、其他风险</w:t>
      </w:r>
    </w:p>
    <w:p w14:paraId="2FECFC36">
      <w:pPr>
        <w:jc w:val="left"/>
        <w:rPr>
          <w:rFonts w:ascii="仿宋_GB2312" w:eastAsia="仿宋_GB2312"/>
          <w:b/>
          <w:szCs w:val="21"/>
        </w:rPr>
      </w:pPr>
      <w:r>
        <w:rPr>
          <w:rFonts w:hint="eastAsia" w:ascii="仿宋_GB2312" w:eastAsia="仿宋_GB2312"/>
          <w:b/>
          <w:szCs w:val="21"/>
        </w:rPr>
        <w:t>（二）重要提示</w:t>
      </w:r>
    </w:p>
    <w:p w14:paraId="31947DFB">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28B1E246">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4B4253F9">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4A9C484E">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688EB1CC">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4547DAAB">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709C99C0">
      <w:pPr>
        <w:ind w:firstLine="420"/>
        <w:jc w:val="left"/>
        <w:rPr>
          <w:rFonts w:ascii="仿宋_GB2312" w:eastAsia="仿宋_GB2312"/>
          <w:szCs w:val="21"/>
        </w:rPr>
      </w:pPr>
    </w:p>
    <w:p w14:paraId="42C34D77">
      <w:pPr>
        <w:jc w:val="left"/>
        <w:rPr>
          <w:rFonts w:ascii="仿宋_GB2312" w:eastAsia="仿宋_GB2312"/>
          <w:b/>
          <w:szCs w:val="21"/>
        </w:rPr>
      </w:pPr>
      <w:r>
        <w:rPr>
          <w:rFonts w:hint="eastAsia" w:ascii="仿宋_GB2312" w:eastAsia="仿宋_GB2312"/>
          <w:b/>
          <w:szCs w:val="21"/>
        </w:rPr>
        <w:t>五、其他资料查询方式</w:t>
      </w:r>
    </w:p>
    <w:p w14:paraId="597FABAA">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11E98602">
      <w:pPr>
        <w:ind w:firstLine="420"/>
        <w:jc w:val="left"/>
        <w:rPr>
          <w:rFonts w:ascii="仿宋_GB2312" w:eastAsia="仿宋_GB2312"/>
          <w:szCs w:val="21"/>
        </w:rPr>
      </w:pPr>
      <w:r>
        <w:rPr>
          <w:rFonts w:hint="eastAsia" w:ascii="仿宋_GB2312" w:eastAsia="仿宋_GB2312"/>
          <w:szCs w:val="21"/>
        </w:rPr>
        <w:t>●《交银施罗德增利增强债券型证券投资基金基金合同》、</w:t>
      </w:r>
    </w:p>
    <w:p w14:paraId="46C6A7C2">
      <w:pPr>
        <w:ind w:firstLine="420"/>
        <w:jc w:val="left"/>
        <w:rPr>
          <w:rFonts w:ascii="仿宋_GB2312" w:eastAsia="仿宋_GB2312"/>
          <w:szCs w:val="21"/>
        </w:rPr>
      </w:pPr>
      <w:r>
        <w:rPr>
          <w:rFonts w:hint="eastAsia" w:ascii="仿宋_GB2312" w:eastAsia="仿宋_GB2312"/>
          <w:szCs w:val="21"/>
        </w:rPr>
        <w:t>《交银施罗德增利增强债券型证券投资基金托管协议》、</w:t>
      </w:r>
    </w:p>
    <w:p w14:paraId="4E1E9DAF">
      <w:pPr>
        <w:ind w:firstLine="420"/>
        <w:jc w:val="left"/>
        <w:rPr>
          <w:rFonts w:ascii="仿宋_GB2312" w:eastAsia="仿宋_GB2312"/>
          <w:szCs w:val="21"/>
        </w:rPr>
      </w:pPr>
      <w:r>
        <w:rPr>
          <w:rFonts w:hint="eastAsia" w:ascii="仿宋_GB2312" w:eastAsia="仿宋_GB2312"/>
          <w:szCs w:val="21"/>
        </w:rPr>
        <w:t>《交银施罗德增利增强债券型证券投资基金招募说明书》</w:t>
      </w:r>
    </w:p>
    <w:p w14:paraId="0794251C">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5960512D">
      <w:pPr>
        <w:ind w:firstLine="420"/>
        <w:jc w:val="left"/>
        <w:rPr>
          <w:rFonts w:ascii="仿宋_GB2312" w:eastAsia="仿宋_GB2312"/>
          <w:szCs w:val="21"/>
        </w:rPr>
      </w:pPr>
      <w:r>
        <w:rPr>
          <w:rFonts w:hint="eastAsia" w:ascii="仿宋_GB2312" w:eastAsia="仿宋_GB2312"/>
          <w:szCs w:val="21"/>
        </w:rPr>
        <w:t>●基金份额净值</w:t>
      </w:r>
    </w:p>
    <w:p w14:paraId="5F17196A">
      <w:pPr>
        <w:ind w:firstLine="420"/>
        <w:jc w:val="left"/>
        <w:rPr>
          <w:rFonts w:ascii="仿宋_GB2312" w:eastAsia="仿宋_GB2312"/>
          <w:szCs w:val="21"/>
        </w:rPr>
      </w:pPr>
      <w:r>
        <w:rPr>
          <w:rFonts w:hint="eastAsia" w:ascii="仿宋_GB2312" w:eastAsia="仿宋_GB2312"/>
          <w:szCs w:val="21"/>
        </w:rPr>
        <w:t>●基金销售机构及联系方式</w:t>
      </w:r>
    </w:p>
    <w:p w14:paraId="1436F132">
      <w:pPr>
        <w:ind w:firstLine="420"/>
        <w:jc w:val="left"/>
        <w:rPr>
          <w:rFonts w:ascii="仿宋_GB2312" w:eastAsia="仿宋_GB2312"/>
          <w:szCs w:val="21"/>
        </w:rPr>
      </w:pPr>
      <w:r>
        <w:rPr>
          <w:rFonts w:hint="eastAsia" w:ascii="仿宋_GB2312" w:eastAsia="仿宋_GB2312"/>
          <w:szCs w:val="21"/>
        </w:rPr>
        <w:t>●其他重要资料</w:t>
      </w:r>
    </w:p>
    <w:p w14:paraId="1ACFBE0B">
      <w:pPr>
        <w:jc w:val="left"/>
        <w:rPr>
          <w:rFonts w:ascii="仿宋_GB2312" w:eastAsia="仿宋_GB2312"/>
          <w:b/>
          <w:szCs w:val="21"/>
        </w:rPr>
      </w:pPr>
      <w:r>
        <w:rPr>
          <w:rFonts w:hint="eastAsia" w:ascii="仿宋_GB2312" w:eastAsia="仿宋_GB2312"/>
          <w:b/>
          <w:szCs w:val="21"/>
        </w:rPr>
        <w:t>六、其他情况说明</w:t>
      </w:r>
    </w:p>
    <w:p w14:paraId="2EBA6C49">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74142"/>
    <w:rsid w:val="0019752C"/>
    <w:rsid w:val="001E402A"/>
    <w:rsid w:val="00287210"/>
    <w:rsid w:val="002F5DBC"/>
    <w:rsid w:val="003069C5"/>
    <w:rsid w:val="00335FE8"/>
    <w:rsid w:val="003A0826"/>
    <w:rsid w:val="003E751E"/>
    <w:rsid w:val="00401C56"/>
    <w:rsid w:val="00447692"/>
    <w:rsid w:val="004A275D"/>
    <w:rsid w:val="00551F81"/>
    <w:rsid w:val="006240B9"/>
    <w:rsid w:val="006A53E7"/>
    <w:rsid w:val="00725E5E"/>
    <w:rsid w:val="007A64C5"/>
    <w:rsid w:val="00846EFA"/>
    <w:rsid w:val="00880454"/>
    <w:rsid w:val="008A6FA6"/>
    <w:rsid w:val="00902522"/>
    <w:rsid w:val="0090269C"/>
    <w:rsid w:val="009728DC"/>
    <w:rsid w:val="009C0C41"/>
    <w:rsid w:val="009F4EAE"/>
    <w:rsid w:val="00AB59CB"/>
    <w:rsid w:val="00AF7A1E"/>
    <w:rsid w:val="00C0525C"/>
    <w:rsid w:val="00CD0317"/>
    <w:rsid w:val="00CD7637"/>
    <w:rsid w:val="00D04A15"/>
    <w:rsid w:val="00D373CC"/>
    <w:rsid w:val="00DB319C"/>
    <w:rsid w:val="00E13FEC"/>
    <w:rsid w:val="00E51B6D"/>
    <w:rsid w:val="00F75715"/>
    <w:rsid w:val="00F811C4"/>
    <w:rsid w:val="00FC2918"/>
    <w:rsid w:val="0744653A"/>
    <w:rsid w:val="49EF7FBF"/>
    <w:rsid w:val="77AE2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677</Words>
  <Characters>3859</Characters>
  <Lines>32</Lines>
  <Paragraphs>9</Paragraphs>
  <TotalTime>11</TotalTime>
  <ScaleCrop>false</ScaleCrop>
  <LinksUpToDate>false</LinksUpToDate>
  <CharactersWithSpaces>4527</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2025-06-11T09:14:00Z</dcterms:created>
  <dc:creator>Cc</dc:creator>
  <cp:lastModifiedBy>刘晨晨</cp:lastModifiedBy>
  <dcterms:modified xsi:type="dcterms:W3CDTF">2026-03-02T01:46:43Z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C11373DB76D1482BBC9588E1398A82EE</vt:lpwstr>
  </property>
</Properties>
</file>