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468D1B">
      <w:pPr>
        <w:jc w:val="center"/>
        <w:rPr>
          <w:rFonts w:ascii="黑体" w:hAnsi="黑体" w:eastAsia="黑体"/>
          <w:b/>
          <w:sz w:val="36"/>
        </w:rPr>
      </w:pPr>
      <w:bookmarkStart w:id="0" w:name="_GoBack"/>
      <w:bookmarkEnd w:id="0"/>
      <w:r>
        <w:rPr>
          <w:rFonts w:hint="eastAsia" w:ascii="黑体" w:hAnsi="黑体" w:eastAsia="黑体"/>
          <w:b/>
          <w:sz w:val="36"/>
        </w:rPr>
        <w:t>交银施罗德增利债券证券投资基金（C类份额）</w:t>
      </w:r>
    </w:p>
    <w:p w14:paraId="645C3DE0">
      <w:pPr>
        <w:jc w:val="center"/>
        <w:rPr>
          <w:rFonts w:ascii="黑体" w:hAnsi="黑体" w:eastAsia="黑体"/>
          <w:b/>
          <w:sz w:val="36"/>
        </w:rPr>
      </w:pPr>
      <w:r>
        <w:rPr>
          <w:rFonts w:hint="eastAsia" w:ascii="黑体" w:hAnsi="黑体" w:eastAsia="黑体"/>
          <w:b/>
          <w:sz w:val="36"/>
        </w:rPr>
        <w:t>基金产品资料概要更新</w:t>
      </w:r>
    </w:p>
    <w:p w14:paraId="33480342">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w:t>
      </w:r>
      <w:r>
        <w:rPr>
          <w:rFonts w:hint="eastAsia" w:ascii="仿宋_GB2312" w:hAnsi="宋体" w:eastAsia="仿宋_GB2312" w:cs="宋体"/>
          <w:kern w:val="0"/>
          <w:szCs w:val="21"/>
          <w:lang w:val="en-US" w:eastAsia="zh-CN"/>
        </w:rPr>
        <w:t>6</w:t>
      </w:r>
      <w:r>
        <w:rPr>
          <w:rFonts w:hint="eastAsia" w:ascii="仿宋_GB2312" w:hAnsi="宋体" w:eastAsia="仿宋_GB2312" w:cs="宋体"/>
          <w:kern w:val="0"/>
          <w:szCs w:val="21"/>
        </w:rPr>
        <w:t>-</w:t>
      </w:r>
      <w:r>
        <w:rPr>
          <w:rFonts w:hint="eastAsia" w:ascii="仿宋_GB2312" w:hAnsi="宋体" w:eastAsia="仿宋_GB2312" w:cs="宋体"/>
          <w:kern w:val="0"/>
          <w:szCs w:val="21"/>
          <w:lang w:val="en-US" w:eastAsia="zh-CN"/>
        </w:rPr>
        <w:t>03</w:t>
      </w:r>
      <w:r>
        <w:rPr>
          <w:rFonts w:hint="eastAsia" w:ascii="仿宋_GB2312" w:hAnsi="宋体" w:eastAsia="仿宋_GB2312" w:cs="宋体"/>
          <w:kern w:val="0"/>
          <w:szCs w:val="21"/>
        </w:rPr>
        <w:t>-0</w:t>
      </w:r>
      <w:r>
        <w:rPr>
          <w:rFonts w:hint="eastAsia" w:ascii="仿宋_GB2312" w:hAnsi="宋体" w:eastAsia="仿宋_GB2312" w:cs="宋体"/>
          <w:kern w:val="0"/>
          <w:szCs w:val="21"/>
          <w:lang w:val="en-US" w:eastAsia="zh-CN"/>
        </w:rPr>
        <w:t>2</w:t>
      </w:r>
    </w:p>
    <w:p w14:paraId="2DB020C0">
      <w:pPr>
        <w:spacing w:line="380" w:lineRule="exact"/>
        <w:jc w:val="center"/>
        <w:rPr>
          <w:rFonts w:ascii="方正仿宋简体" w:hAnsi="方正仿宋简体" w:cs="方正仿宋简体"/>
          <w:b/>
          <w:iCs/>
          <w:szCs w:val="21"/>
        </w:rPr>
      </w:pPr>
      <w:r>
        <w:rPr>
          <w:rFonts w:ascii="方正仿宋简体" w:hAnsi="方正仿宋简体"/>
        </w:rPr>
        <w:t>送出日期：</w:t>
      </w:r>
      <w:r>
        <w:rPr>
          <w:rFonts w:hint="eastAsia" w:ascii="Times New Roman" w:hAnsi="Times New Roman" w:cs="Times New Roman"/>
        </w:rPr>
        <w:t>2026-03-0</w:t>
      </w:r>
      <w:r>
        <w:rPr>
          <w:rFonts w:hint="eastAsia" w:ascii="Times New Roman" w:hAnsi="Times New Roman" w:cs="Times New Roman"/>
          <w:lang w:eastAsia="zh-CN"/>
        </w:rPr>
        <w:t>3</w:t>
      </w:r>
      <w:r>
        <w:rPr>
          <w:rFonts w:hint="eastAsia" w:ascii="方正仿宋简体" w:hAnsi="方正仿宋简体" w:cs="方正仿宋简体"/>
          <w:b/>
          <w:iCs/>
          <w:szCs w:val="21"/>
        </w:rPr>
        <w:t xml:space="preserve"> </w:t>
      </w:r>
    </w:p>
    <w:p w14:paraId="1AFC8C3D">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14:paraId="5F709A2A">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14:paraId="2DC87185">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14:paraId="6B09DFAE">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029528F5">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14:paraId="25ED12DE">
            <w:pPr>
              <w:rPr>
                <w:rFonts w:ascii="仿宋_GB2312" w:eastAsia="仿宋_GB2312"/>
                <w:szCs w:val="21"/>
              </w:rPr>
            </w:pPr>
            <w:r>
              <w:rPr>
                <w:rFonts w:hint="eastAsia" w:ascii="仿宋_GB2312" w:eastAsia="仿宋_GB2312"/>
                <w:szCs w:val="21"/>
              </w:rPr>
              <w:t>交银增利债券C</w:t>
            </w:r>
          </w:p>
        </w:tc>
        <w:tc>
          <w:tcPr>
            <w:tcW w:w="3649" w:type="dxa"/>
            <w:vAlign w:val="center"/>
          </w:tcPr>
          <w:p w14:paraId="72597A3F">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14:paraId="45BA7E90">
            <w:pPr>
              <w:rPr>
                <w:rFonts w:ascii="仿宋_GB2312" w:eastAsia="仿宋_GB2312"/>
                <w:szCs w:val="21"/>
              </w:rPr>
            </w:pPr>
            <w:r>
              <w:rPr>
                <w:rFonts w:hint="eastAsia" w:ascii="仿宋_GB2312" w:eastAsia="仿宋_GB2312"/>
                <w:szCs w:val="21"/>
              </w:rPr>
              <w:t>519682</w:t>
            </w:r>
          </w:p>
        </w:tc>
      </w:tr>
      <w:tr w14:paraId="5A7153E8">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03DA2257">
            <w:pPr>
              <w:rPr>
                <w:rFonts w:ascii="仿宋_GB2312" w:eastAsia="仿宋_GB2312"/>
                <w:szCs w:val="21"/>
              </w:rPr>
            </w:pPr>
            <w:r>
              <w:rPr>
                <w:rFonts w:hint="eastAsia" w:ascii="仿宋_GB2312" w:eastAsia="仿宋_GB2312"/>
                <w:szCs w:val="21"/>
              </w:rPr>
              <w:t>基金管理人</w:t>
            </w:r>
          </w:p>
        </w:tc>
        <w:tc>
          <w:tcPr>
            <w:tcW w:w="1601" w:type="dxa"/>
            <w:vAlign w:val="center"/>
          </w:tcPr>
          <w:p w14:paraId="7179E95A">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14:paraId="78F2228B">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14:paraId="0E158AA5">
            <w:pPr>
              <w:rPr>
                <w:rFonts w:ascii="仿宋_GB2312" w:eastAsia="仿宋_GB2312"/>
                <w:szCs w:val="21"/>
              </w:rPr>
            </w:pPr>
            <w:r>
              <w:rPr>
                <w:rFonts w:hint="eastAsia" w:ascii="仿宋_GB2312" w:eastAsia="仿宋_GB2312"/>
                <w:szCs w:val="21"/>
              </w:rPr>
              <w:t>中国建设银行股份有限公司</w:t>
            </w:r>
          </w:p>
        </w:tc>
      </w:tr>
      <w:tr w14:paraId="6B0E74EA">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14:paraId="181C7336">
            <w:pPr>
              <w:rPr>
                <w:rFonts w:ascii="仿宋_GB2312" w:eastAsia="仿宋_GB2312"/>
                <w:szCs w:val="21"/>
              </w:rPr>
            </w:pPr>
            <w:r>
              <w:rPr>
                <w:rFonts w:hint="eastAsia" w:ascii="仿宋_GB2312" w:eastAsia="仿宋_GB2312"/>
                <w:szCs w:val="21"/>
              </w:rPr>
              <w:t>基金合同生效日</w:t>
            </w:r>
          </w:p>
        </w:tc>
        <w:tc>
          <w:tcPr>
            <w:tcW w:w="1601" w:type="dxa"/>
            <w:vAlign w:val="center"/>
          </w:tcPr>
          <w:p w14:paraId="47A420FF">
            <w:pPr>
              <w:rPr>
                <w:rFonts w:ascii="仿宋_GB2312" w:eastAsia="仿宋_GB2312"/>
                <w:szCs w:val="21"/>
              </w:rPr>
            </w:pPr>
            <w:r>
              <w:rPr>
                <w:rFonts w:hint="eastAsia" w:ascii="仿宋_GB2312" w:eastAsia="仿宋_GB2312"/>
                <w:szCs w:val="21"/>
              </w:rPr>
              <w:t>2008-03-31</w:t>
            </w:r>
          </w:p>
        </w:tc>
      </w:tr>
      <w:tr w14:paraId="7870F9C4">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1E908DEB">
            <w:pPr>
              <w:rPr>
                <w:rFonts w:ascii="仿宋_GB2312" w:eastAsia="仿宋_GB2312"/>
                <w:szCs w:val="21"/>
              </w:rPr>
            </w:pPr>
            <w:r>
              <w:rPr>
                <w:rFonts w:hint="eastAsia" w:ascii="仿宋_GB2312" w:eastAsia="仿宋_GB2312"/>
                <w:szCs w:val="21"/>
              </w:rPr>
              <w:t>基金类型</w:t>
            </w:r>
          </w:p>
        </w:tc>
        <w:tc>
          <w:tcPr>
            <w:tcW w:w="1601" w:type="dxa"/>
            <w:vAlign w:val="center"/>
          </w:tcPr>
          <w:p w14:paraId="281D1CBD">
            <w:pPr>
              <w:rPr>
                <w:rFonts w:ascii="仿宋_GB2312" w:eastAsia="仿宋_GB2312"/>
                <w:szCs w:val="21"/>
              </w:rPr>
            </w:pPr>
            <w:r>
              <w:rPr>
                <w:rFonts w:hint="eastAsia" w:ascii="仿宋_GB2312" w:eastAsia="仿宋_GB2312"/>
                <w:szCs w:val="21"/>
              </w:rPr>
              <w:t>债券型</w:t>
            </w:r>
          </w:p>
        </w:tc>
        <w:tc>
          <w:tcPr>
            <w:tcW w:w="3649" w:type="dxa"/>
            <w:vAlign w:val="center"/>
          </w:tcPr>
          <w:p w14:paraId="622431A4">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14:paraId="1F555A53">
            <w:pPr>
              <w:rPr>
                <w:rFonts w:ascii="仿宋_GB2312" w:eastAsia="仿宋_GB2312"/>
                <w:szCs w:val="21"/>
              </w:rPr>
            </w:pPr>
            <w:r>
              <w:rPr>
                <w:rFonts w:hint="eastAsia" w:ascii="仿宋_GB2312" w:eastAsia="仿宋_GB2312"/>
                <w:szCs w:val="21"/>
              </w:rPr>
              <w:t>人民币</w:t>
            </w:r>
          </w:p>
        </w:tc>
      </w:tr>
      <w:tr w14:paraId="687FD01A">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49696566">
            <w:pPr>
              <w:rPr>
                <w:rFonts w:ascii="仿宋_GB2312" w:eastAsia="仿宋_GB2312"/>
                <w:szCs w:val="21"/>
              </w:rPr>
            </w:pPr>
            <w:r>
              <w:rPr>
                <w:rFonts w:hint="eastAsia" w:ascii="仿宋_GB2312" w:eastAsia="仿宋_GB2312"/>
                <w:szCs w:val="21"/>
              </w:rPr>
              <w:t>运作方式</w:t>
            </w:r>
          </w:p>
        </w:tc>
        <w:tc>
          <w:tcPr>
            <w:tcW w:w="1601" w:type="dxa"/>
            <w:vAlign w:val="center"/>
          </w:tcPr>
          <w:p w14:paraId="75CD7554">
            <w:pPr>
              <w:rPr>
                <w:rFonts w:ascii="仿宋_GB2312" w:eastAsia="仿宋_GB2312"/>
                <w:szCs w:val="21"/>
              </w:rPr>
            </w:pPr>
            <w:r>
              <w:rPr>
                <w:rFonts w:hint="eastAsia" w:ascii="仿宋_GB2312" w:eastAsia="仿宋_GB2312"/>
                <w:szCs w:val="21"/>
              </w:rPr>
              <w:t>普通开放式</w:t>
            </w:r>
          </w:p>
        </w:tc>
        <w:tc>
          <w:tcPr>
            <w:tcW w:w="3649" w:type="dxa"/>
            <w:vAlign w:val="center"/>
          </w:tcPr>
          <w:p w14:paraId="5CC44C7F">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14:paraId="31AC2F72">
            <w:pPr>
              <w:rPr>
                <w:rFonts w:ascii="仿宋_GB2312" w:eastAsia="仿宋_GB2312"/>
                <w:szCs w:val="21"/>
              </w:rPr>
            </w:pPr>
            <w:r>
              <w:rPr>
                <w:rFonts w:hint="eastAsia" w:ascii="仿宋_GB2312" w:eastAsia="仿宋_GB2312"/>
                <w:szCs w:val="21"/>
              </w:rPr>
              <w:t>每个开放日</w:t>
            </w:r>
          </w:p>
        </w:tc>
      </w:tr>
      <w:tr w14:paraId="5796CF4E">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14:paraId="0B5394BA">
            <w:pPr>
              <w:jc w:val="left"/>
              <w:rPr>
                <w:rFonts w:ascii="仿宋_GB2312" w:eastAsia="仿宋_GB2312"/>
                <w:szCs w:val="21"/>
              </w:rPr>
            </w:pPr>
            <w:r>
              <w:rPr>
                <w:rFonts w:hint="eastAsia" w:ascii="仿宋_GB2312" w:eastAsia="仿宋_GB2312"/>
                <w:szCs w:val="21"/>
              </w:rPr>
              <w:t>基金经理</w:t>
            </w:r>
          </w:p>
        </w:tc>
        <w:tc>
          <w:tcPr>
            <w:tcW w:w="1601" w:type="dxa"/>
            <w:vMerge w:val="restart"/>
          </w:tcPr>
          <w:p w14:paraId="415A69AA">
            <w:pPr>
              <w:jc w:val="left"/>
              <w:rPr>
                <w:rFonts w:ascii="仿宋_GB2312" w:eastAsia="仿宋_GB2312"/>
                <w:szCs w:val="21"/>
              </w:rPr>
            </w:pPr>
            <w:r>
              <w:rPr>
                <w:rFonts w:hint="eastAsia" w:ascii="仿宋_GB2312" w:eastAsia="仿宋_GB2312"/>
                <w:szCs w:val="21"/>
              </w:rPr>
              <w:t>魏玉敏</w:t>
            </w:r>
          </w:p>
        </w:tc>
        <w:tc>
          <w:tcPr>
            <w:tcW w:w="3000" w:type="dxa"/>
          </w:tcPr>
          <w:p w14:paraId="5C8C9D63">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14:paraId="590D7AE8">
            <w:pPr>
              <w:jc w:val="left"/>
              <w:rPr>
                <w:rFonts w:ascii="仿宋_GB2312" w:eastAsia="仿宋_GB2312"/>
                <w:szCs w:val="21"/>
              </w:rPr>
            </w:pPr>
            <w:r>
              <w:rPr>
                <w:rFonts w:hint="eastAsia" w:ascii="仿宋_GB2312" w:eastAsia="仿宋_GB2312"/>
                <w:szCs w:val="21"/>
              </w:rPr>
              <w:t>2018-08-29</w:t>
            </w:r>
          </w:p>
        </w:tc>
      </w:tr>
      <w:tr w14:paraId="0B932D41">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14:paraId="0398B157">
            <w:pPr>
              <w:jc w:val="left"/>
              <w:rPr>
                <w:rFonts w:ascii="仿宋_GB2312" w:eastAsia="仿宋_GB2312"/>
                <w:szCs w:val="21"/>
              </w:rPr>
            </w:pPr>
          </w:p>
        </w:tc>
        <w:tc>
          <w:tcPr>
            <w:tcW w:w="1601" w:type="dxa"/>
            <w:vMerge w:val="continue"/>
          </w:tcPr>
          <w:p w14:paraId="049EBAA4">
            <w:pPr>
              <w:jc w:val="left"/>
              <w:rPr>
                <w:rFonts w:ascii="仿宋_GB2312" w:eastAsia="仿宋_GB2312"/>
                <w:szCs w:val="21"/>
              </w:rPr>
            </w:pPr>
          </w:p>
        </w:tc>
        <w:tc>
          <w:tcPr>
            <w:tcW w:w="3649" w:type="dxa"/>
          </w:tcPr>
          <w:p w14:paraId="0A1D4992">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14:paraId="4FE14A44">
            <w:pPr>
              <w:jc w:val="left"/>
              <w:rPr>
                <w:rFonts w:ascii="仿宋_GB2312" w:eastAsia="仿宋_GB2312"/>
                <w:szCs w:val="21"/>
              </w:rPr>
            </w:pPr>
            <w:r>
              <w:rPr>
                <w:rFonts w:hint="eastAsia" w:ascii="仿宋_GB2312" w:eastAsia="仿宋_GB2312"/>
                <w:szCs w:val="21"/>
              </w:rPr>
              <w:t>2012-06-28</w:t>
            </w:r>
          </w:p>
        </w:tc>
      </w:tr>
      <w:tr w14:paraId="2374D335">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7ED7D28E">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14:paraId="511B1B69">
            <w:pPr>
              <w:ind w:firstLine="420"/>
              <w:jc w:val="left"/>
              <w:rPr>
                <w:rFonts w:ascii="仿宋_GB2312" w:eastAsia="仿宋_GB2312"/>
                <w:szCs w:val="21"/>
              </w:rPr>
            </w:pPr>
            <w:r>
              <w:rPr>
                <w:rFonts w:ascii="仿宋_GB2312" w:eastAsia="仿宋_GB2312"/>
                <w:szCs w:val="21"/>
              </w:rPr>
              <w:t>基金合同生效后的存续期内，基金份额持有人数量不满200人或者基金资产净值低于5000万元，基金管理人应当及时报告中国证监会；基金份额持有人数量连续20个工作日达不到200人，或连续20个工作日基金资产净值低于5000万元，基金管理人应当向中国证监会说明出现上述情况的原因并提出解决方案。</w:t>
            </w:r>
          </w:p>
        </w:tc>
      </w:tr>
    </w:tbl>
    <w:p w14:paraId="15A45354">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14:paraId="058BCD7C">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14:paraId="4FB16688">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66BB463C">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14:paraId="739AD167">
            <w:pPr>
              <w:ind w:firstLine="420"/>
              <w:jc w:val="left"/>
              <w:rPr>
                <w:rFonts w:ascii="仿宋_GB2312" w:eastAsia="仿宋_GB2312"/>
                <w:szCs w:val="21"/>
              </w:rPr>
            </w:pPr>
            <w:r>
              <w:rPr>
                <w:rFonts w:hint="eastAsia" w:ascii="仿宋_GB2312" w:eastAsia="仿宋_GB2312"/>
                <w:szCs w:val="21"/>
              </w:rPr>
              <w:t>本基金根据宏观经济运行状况和金融市场的运行趋势，自上而下进行宏观分析，自下而上精选个券，在控制信用风险、利率风险、流动性风险前提下，主要通过投资承担一定信用风险、具有较高息票率的债券，实现基金资产的长期稳定增长。</w:t>
            </w:r>
          </w:p>
        </w:tc>
      </w:tr>
      <w:tr w14:paraId="43E33DB3">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64051E40">
            <w:pPr>
              <w:rPr>
                <w:rFonts w:ascii="仿宋_GB2312" w:eastAsia="仿宋_GB2312"/>
                <w:szCs w:val="21"/>
              </w:rPr>
            </w:pPr>
            <w:r>
              <w:rPr>
                <w:rFonts w:hint="eastAsia" w:ascii="仿宋_GB2312" w:eastAsia="仿宋_GB2312"/>
                <w:szCs w:val="21"/>
              </w:rPr>
              <w:t>投资范围</w:t>
            </w:r>
          </w:p>
        </w:tc>
        <w:tc>
          <w:tcPr>
            <w:tcW w:w="6525" w:type="dxa"/>
            <w:vAlign w:val="center"/>
          </w:tcPr>
          <w:p w14:paraId="6B861DC6">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债券、股票、权证以及法律法规或中国证监会允许基金投资的其他金融工具，其中股票投资仅限于参与新股认购和可转债转股获得的股票，权证投资仅限于参与可分离转债申购而获得的权证，即本基金不从二级市场购买股票或权证。本基金通过新股认购策略所认购新发行股票，在其上市后持有时间不超60个交易日，所持可转换债券转股后的股票持有时间不超过5个交易日，通过可转债认购所获得的权证，在其上市后持有时间不超过20个交易日。本基金的投资对象重点为承载一定信用风险、具有较高息票率的债券，包括企业债、公司债、短期融资券、次级债、资产支持证券（含资产收益计划）、可转换债券等以企业为主体发行的债券。</w:t>
            </w:r>
          </w:p>
          <w:p w14:paraId="11F97293">
            <w:pPr>
              <w:ind w:firstLine="420"/>
              <w:jc w:val="left"/>
              <w:rPr>
                <w:rFonts w:ascii="仿宋_GB2312" w:eastAsia="仿宋_GB2312"/>
                <w:szCs w:val="21"/>
              </w:rPr>
            </w:pPr>
            <w:r>
              <w:rPr>
                <w:rFonts w:hint="eastAsia" w:ascii="仿宋_GB2312" w:eastAsia="仿宋_GB2312"/>
                <w:szCs w:val="21"/>
              </w:rPr>
              <w:t>如法律法规或监管机构以后允许基金投资的其他品种，基金管理人在履行适当程序后，可以将其纳入投资范围。</w:t>
            </w:r>
          </w:p>
          <w:p w14:paraId="4C7428A0">
            <w:pPr>
              <w:ind w:firstLine="420"/>
              <w:jc w:val="left"/>
              <w:rPr>
                <w:rFonts w:ascii="仿宋_GB2312" w:eastAsia="仿宋_GB2312"/>
                <w:szCs w:val="21"/>
              </w:rPr>
            </w:pPr>
            <w:r>
              <w:rPr>
                <w:rFonts w:hint="eastAsia" w:ascii="仿宋_GB2312" w:eastAsia="仿宋_GB2312"/>
                <w:szCs w:val="21"/>
              </w:rPr>
              <w:t>本基金的投资组合比例为：固定收益类资产（包括国债、金融债、央行票据、企业债、公司债、短期融资券、资产支持证券、次级债、可转换债券等）占基金资产的比例为80%-100%，其中次级债、资产支持证券（含资产收益计划）和可转换债券占基金资产的比例为0-40%，基金保留的现金以及投资于到期日在一年以内的政府债券的比例合计不低于基金资产净值的5%，其中现金不包括结算备付金、存出保证金和应收申购款等；股票、权证等资产占基金资产的比例为0-20%，其中权证资产占基金资产净值的比例为0-3%。在基金实际管理过程中，本基金具体配置比例由基金管理人根据中国宏观经济情况和证券市场的阶段性变化做主动调整，以求基金资产在各类资产的投资中达到风险和收益的最佳平衡，但比例不超出基金合同约定的限定范围。</w:t>
            </w:r>
          </w:p>
        </w:tc>
      </w:tr>
      <w:tr w14:paraId="6416D865">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3C5221A3">
            <w:pPr>
              <w:rPr>
                <w:rFonts w:ascii="仿宋_GB2312" w:eastAsia="仿宋_GB2312"/>
                <w:szCs w:val="21"/>
              </w:rPr>
            </w:pPr>
            <w:r>
              <w:rPr>
                <w:rFonts w:hint="eastAsia" w:ascii="仿宋_GB2312" w:eastAsia="仿宋_GB2312"/>
                <w:szCs w:val="21"/>
              </w:rPr>
              <w:t>主要投资策略</w:t>
            </w:r>
          </w:p>
        </w:tc>
        <w:tc>
          <w:tcPr>
            <w:tcW w:w="6525" w:type="dxa"/>
            <w:vAlign w:val="center"/>
          </w:tcPr>
          <w:p w14:paraId="037B659B">
            <w:pPr>
              <w:ind w:firstLine="420"/>
              <w:jc w:val="left"/>
              <w:rPr>
                <w:rFonts w:ascii="仿宋_GB2312" w:eastAsia="仿宋_GB2312"/>
                <w:szCs w:val="21"/>
              </w:rPr>
            </w:pPr>
            <w:r>
              <w:rPr>
                <w:rFonts w:hint="eastAsia" w:ascii="仿宋_GB2312" w:eastAsia="仿宋_GB2312"/>
                <w:szCs w:val="21"/>
              </w:rPr>
              <w:t>本基金充分发挥基金管理人的研究优势，将严谨、规范化的基本面研究分析与积极主动的投资风格相结合，在分析和判断宏观经济运行状况和金融市场运行趋势的基础上，动态调整大类金融资产比例，自上而下决定债券组合久期、期限结构配置及债券类别配置；同时在对企业债券进行信用评级的基础上，综合考量企业债券（含公司债、企业短期融资券）的信用评级以及包括其它券种在内的债券流动性、供求关系、收益率水平等因素，自下而上地配置债券类属和精选个券。通过综合运用骑乘操作、套利操作、新股认购等策略，提高投资组合收益。</w:t>
            </w:r>
          </w:p>
          <w:p w14:paraId="381ED5F2">
            <w:pPr>
              <w:ind w:firstLine="420"/>
              <w:jc w:val="left"/>
              <w:rPr>
                <w:rFonts w:ascii="仿宋_GB2312" w:eastAsia="仿宋_GB2312"/>
                <w:szCs w:val="21"/>
              </w:rPr>
            </w:pPr>
            <w:r>
              <w:rPr>
                <w:rFonts w:hint="eastAsia" w:ascii="仿宋_GB2312" w:eastAsia="仿宋_GB2312"/>
                <w:szCs w:val="21"/>
              </w:rPr>
              <w:t>1、资产配置策略；2、久期管理策略；3、企业债投资策略；4、资产支持证券（含资产收益计划）投资策略；5、可转换债券投资策略；6、股票投资策略；7、权证投资策略。</w:t>
            </w:r>
          </w:p>
        </w:tc>
      </w:tr>
      <w:tr w14:paraId="31FD101E">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2B1F3E83">
            <w:pPr>
              <w:rPr>
                <w:rFonts w:ascii="仿宋_GB2312" w:eastAsia="仿宋_GB2312"/>
                <w:szCs w:val="21"/>
              </w:rPr>
            </w:pPr>
            <w:r>
              <w:rPr>
                <w:rFonts w:hint="eastAsia" w:ascii="仿宋_GB2312" w:eastAsia="仿宋_GB2312"/>
                <w:szCs w:val="21"/>
              </w:rPr>
              <w:t>业绩比较基准</w:t>
            </w:r>
          </w:p>
        </w:tc>
        <w:tc>
          <w:tcPr>
            <w:tcW w:w="6525" w:type="dxa"/>
            <w:vAlign w:val="center"/>
          </w:tcPr>
          <w:p w14:paraId="53562CC4">
            <w:pPr>
              <w:ind w:firstLine="420"/>
              <w:jc w:val="left"/>
              <w:rPr>
                <w:rFonts w:ascii="仿宋_GB2312" w:eastAsia="仿宋_GB2312"/>
                <w:szCs w:val="21"/>
              </w:rPr>
            </w:pPr>
            <w:r>
              <w:rPr>
                <w:rFonts w:hint="eastAsia" w:ascii="仿宋_GB2312" w:eastAsia="仿宋_GB2312"/>
                <w:szCs w:val="21"/>
              </w:rPr>
              <w:t>中债企业债总指数</w:t>
            </w:r>
          </w:p>
        </w:tc>
      </w:tr>
      <w:tr w14:paraId="04344D52">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494820B6">
            <w:pPr>
              <w:rPr>
                <w:rFonts w:ascii="仿宋_GB2312" w:eastAsia="仿宋_GB2312"/>
                <w:szCs w:val="21"/>
              </w:rPr>
            </w:pPr>
            <w:r>
              <w:rPr>
                <w:rFonts w:hint="eastAsia" w:ascii="仿宋_GB2312" w:eastAsia="仿宋_GB2312"/>
                <w:szCs w:val="21"/>
              </w:rPr>
              <w:t>风险收益特征</w:t>
            </w:r>
          </w:p>
        </w:tc>
        <w:tc>
          <w:tcPr>
            <w:tcW w:w="6525" w:type="dxa"/>
            <w:vAlign w:val="center"/>
          </w:tcPr>
          <w:p w14:paraId="459823F2">
            <w:pPr>
              <w:ind w:firstLine="420"/>
              <w:jc w:val="left"/>
              <w:rPr>
                <w:rFonts w:ascii="仿宋_GB2312" w:eastAsia="仿宋_GB2312"/>
                <w:szCs w:val="21"/>
              </w:rPr>
            </w:pPr>
            <w:r>
              <w:rPr>
                <w:rFonts w:hint="eastAsia" w:ascii="仿宋_GB2312" w:eastAsia="仿宋_GB2312"/>
                <w:szCs w:val="21"/>
              </w:rPr>
              <w:t>本基金是一只债券型基金，在证券投资基金中属于中等风险的品种，其长期平均风险和预期收益高于货币市场基金，低于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14:paraId="6BDC8E23">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详见《交银施罗德增利债券证券投资基金招募说明书》第十部分“基金的投资”。</w:t>
      </w:r>
    </w:p>
    <w:p w14:paraId="339728F2">
      <w:pPr>
        <w:jc w:val="left"/>
        <w:rPr>
          <w:rFonts w:ascii="仿宋_GB2312" w:eastAsia="仿宋_GB2312"/>
          <w:b/>
          <w:szCs w:val="21"/>
        </w:rPr>
      </w:pPr>
      <w:r>
        <w:rPr>
          <w:rFonts w:hint="eastAsia" w:ascii="仿宋_GB2312" w:eastAsia="仿宋_GB2312"/>
          <w:b/>
          <w:szCs w:val="21"/>
        </w:rPr>
        <w:t>（二）投资组合资产配置图表/区域配置图表</w:t>
      </w:r>
    </w:p>
    <w:p w14:paraId="24C7C9A6">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14:paraId="5494D896">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14:paraId="51B06562">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14:paraId="2C289B06">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14:paraId="07CA47D1">
      <w:pPr>
        <w:ind w:firstLine="420"/>
        <w:jc w:val="left"/>
        <w:rPr>
          <w:rFonts w:ascii="仿宋_GB2312" w:eastAsia="仿宋_GB2312"/>
          <w:szCs w:val="21"/>
        </w:rPr>
      </w:pPr>
      <w:r>
        <w:rPr>
          <w:rFonts w:hint="eastAsia" w:ascii="仿宋_GB2312" w:eastAsia="仿宋_GB2312"/>
          <w:szCs w:val="21"/>
        </w:rPr>
        <w:t>注：1、净值表现数据的截止日为2024年12月31日。</w:t>
      </w:r>
    </w:p>
    <w:p w14:paraId="23158273">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14:paraId="6A65E0ED">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14:paraId="67546156">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14:paraId="63484126">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14:paraId="6E1EFAEC">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14:paraId="72443B55">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14:paraId="466713DF">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14:paraId="33880912">
            <w:pPr>
              <w:rPr>
                <w:rFonts w:ascii="仿宋_GB2312" w:eastAsia="仿宋_GB2312"/>
                <w:szCs w:val="21"/>
              </w:rPr>
            </w:pPr>
            <w:r>
              <w:rPr>
                <w:rFonts w:hint="eastAsia" w:ascii="仿宋_GB2312" w:eastAsia="仿宋_GB2312"/>
                <w:szCs w:val="21"/>
              </w:rPr>
              <w:t>收费方式/费率</w:t>
            </w:r>
          </w:p>
        </w:tc>
        <w:tc>
          <w:tcPr>
            <w:tcW w:w="2126" w:type="dxa"/>
            <w:vAlign w:val="center"/>
          </w:tcPr>
          <w:p w14:paraId="554091B2">
            <w:pPr>
              <w:widowControl/>
              <w:jc w:val="left"/>
              <w:rPr>
                <w:rFonts w:ascii="仿宋_GB2312" w:eastAsia="仿宋_GB2312"/>
                <w:szCs w:val="21"/>
              </w:rPr>
            </w:pPr>
            <w:r>
              <w:rPr>
                <w:rFonts w:hint="eastAsia" w:ascii="仿宋_GB2312" w:hAnsi="宋体" w:eastAsia="仿宋_GB2312" w:cs="宋体"/>
                <w:kern w:val="0"/>
                <w:szCs w:val="21"/>
              </w:rPr>
              <w:t>备注</w:t>
            </w:r>
          </w:p>
        </w:tc>
      </w:tr>
      <w:tr w14:paraId="59CC0AF9">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14:paraId="0BC56E91">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14:paraId="60844BB1">
            <w:pPr>
              <w:rPr>
                <w:rFonts w:ascii="仿宋_GB2312" w:eastAsia="仿宋_GB2312"/>
                <w:szCs w:val="21"/>
              </w:rPr>
            </w:pPr>
            <w:r>
              <w:rPr>
                <w:rFonts w:hint="eastAsia" w:ascii="仿宋_GB2312" w:eastAsia="仿宋_GB2312"/>
                <w:szCs w:val="21"/>
              </w:rPr>
              <w:t>N＜7天</w:t>
            </w:r>
          </w:p>
        </w:tc>
        <w:tc>
          <w:tcPr>
            <w:tcW w:w="1843" w:type="dxa"/>
            <w:vAlign w:val="center"/>
          </w:tcPr>
          <w:p w14:paraId="5A635CA0">
            <w:pPr>
              <w:rPr>
                <w:rFonts w:ascii="仿宋_GB2312" w:eastAsia="仿宋_GB2312"/>
                <w:szCs w:val="21"/>
              </w:rPr>
            </w:pPr>
            <w:r>
              <w:rPr>
                <w:rFonts w:hint="eastAsia" w:ascii="仿宋_GB2312" w:eastAsia="仿宋_GB2312"/>
                <w:szCs w:val="21"/>
              </w:rPr>
              <w:t>1.5%</w:t>
            </w:r>
          </w:p>
        </w:tc>
        <w:tc>
          <w:tcPr>
            <w:tcW w:w="1843" w:type="dxa"/>
            <w:vAlign w:val="center"/>
          </w:tcPr>
          <w:p w14:paraId="79CBB62C">
            <w:pPr>
              <w:rPr>
                <w:rFonts w:ascii="仿宋_GB2312" w:eastAsia="仿宋_GB2312"/>
                <w:szCs w:val="21"/>
              </w:rPr>
            </w:pPr>
          </w:p>
        </w:tc>
      </w:tr>
      <w:tr w14:paraId="045EA7C6">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14:paraId="6AD73011">
            <w:pPr>
              <w:widowControl/>
              <w:jc w:val="left"/>
              <w:rPr>
                <w:rFonts w:ascii="仿宋_GB2312" w:hAnsi="宋体" w:eastAsia="仿宋_GB2312" w:cs="宋体"/>
                <w:kern w:val="0"/>
                <w:szCs w:val="21"/>
              </w:rPr>
            </w:pPr>
          </w:p>
        </w:tc>
        <w:tc>
          <w:tcPr>
            <w:tcW w:w="3000" w:type="dxa"/>
          </w:tcPr>
          <w:p w14:paraId="5ED1787F">
            <w:pPr>
              <w:rPr>
                <w:rFonts w:ascii="仿宋_GB2312" w:eastAsia="仿宋_GB2312"/>
                <w:szCs w:val="21"/>
              </w:rPr>
            </w:pPr>
            <w:r>
              <w:rPr>
                <w:rFonts w:hint="eastAsia" w:ascii="仿宋_GB2312" w:eastAsia="仿宋_GB2312"/>
                <w:szCs w:val="21"/>
              </w:rPr>
              <w:t>7天≤N</w:t>
            </w:r>
          </w:p>
        </w:tc>
        <w:tc>
          <w:tcPr>
            <w:tcW w:w="1843" w:type="dxa"/>
            <w:vAlign w:val="center"/>
          </w:tcPr>
          <w:p w14:paraId="3A2E2865">
            <w:pPr>
              <w:rPr>
                <w:rFonts w:ascii="仿宋_GB2312" w:eastAsia="仿宋_GB2312"/>
                <w:szCs w:val="21"/>
              </w:rPr>
            </w:pPr>
            <w:r>
              <w:rPr>
                <w:rFonts w:hint="eastAsia" w:ascii="仿宋_GB2312" w:eastAsia="仿宋_GB2312"/>
                <w:szCs w:val="21"/>
              </w:rPr>
              <w:t>0%</w:t>
            </w:r>
          </w:p>
        </w:tc>
        <w:tc>
          <w:tcPr>
            <w:tcW w:w="1843" w:type="dxa"/>
            <w:vAlign w:val="center"/>
          </w:tcPr>
          <w:p w14:paraId="738E7403">
            <w:pPr>
              <w:rPr>
                <w:rFonts w:ascii="仿宋_GB2312" w:eastAsia="仿宋_GB2312"/>
                <w:szCs w:val="21"/>
              </w:rPr>
            </w:pPr>
          </w:p>
        </w:tc>
      </w:tr>
    </w:tbl>
    <w:p w14:paraId="4E2B68A0">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w:t>
      </w:r>
    </w:p>
    <w:p w14:paraId="196C416C">
      <w:pPr>
        <w:jc w:val="left"/>
        <w:rPr>
          <w:rFonts w:ascii="仿宋_GB2312" w:eastAsia="仿宋_GB2312"/>
          <w:b/>
          <w:szCs w:val="21"/>
        </w:rPr>
      </w:pPr>
      <w:r>
        <w:rPr>
          <w:rFonts w:hint="eastAsia" w:ascii="仿宋_GB2312" w:eastAsia="仿宋_GB2312"/>
          <w:b/>
          <w:szCs w:val="21"/>
        </w:rPr>
        <w:t>（二）基金运作相关费用</w:t>
      </w:r>
    </w:p>
    <w:p w14:paraId="4CC255AB">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14:paraId="0737A6D2">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39B0B421">
            <w:pPr>
              <w:rPr>
                <w:rFonts w:ascii="仿宋_GB2312" w:eastAsia="仿宋_GB2312"/>
                <w:b/>
                <w:szCs w:val="21"/>
              </w:rPr>
            </w:pPr>
            <w:r>
              <w:rPr>
                <w:rFonts w:hint="eastAsia" w:ascii="仿宋_GB2312" w:eastAsia="仿宋_GB2312"/>
                <w:b/>
                <w:szCs w:val="21"/>
              </w:rPr>
              <w:t>费用类别</w:t>
            </w:r>
          </w:p>
        </w:tc>
        <w:tc>
          <w:tcPr>
            <w:tcW w:w="5958" w:type="dxa"/>
            <w:vAlign w:val="center"/>
          </w:tcPr>
          <w:p w14:paraId="00B70EA8">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14:paraId="7DF55F0D">
            <w:pPr>
              <w:rPr>
                <w:rFonts w:ascii="仿宋" w:hAnsi="仿宋" w:eastAsia="仿宋" w:cs="仿宋"/>
                <w:b/>
                <w:sz w:val="24"/>
                <w:szCs w:val="24"/>
              </w:rPr>
            </w:pPr>
            <w:r>
              <w:rPr>
                <w:rFonts w:hint="eastAsia" w:ascii="仿宋" w:hAnsi="仿宋" w:eastAsia="仿宋" w:cs="仿宋"/>
                <w:b/>
                <w:sz w:val="24"/>
                <w:szCs w:val="24"/>
              </w:rPr>
              <w:t>收取方</w:t>
            </w:r>
          </w:p>
        </w:tc>
      </w:tr>
      <w:tr w14:paraId="2F92A1EC">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585276B2">
            <w:pPr>
              <w:rPr>
                <w:rFonts w:ascii="仿宋_GB2312" w:eastAsia="仿宋_GB2312"/>
                <w:szCs w:val="21"/>
              </w:rPr>
            </w:pPr>
            <w:r>
              <w:rPr>
                <w:rFonts w:hint="eastAsia" w:ascii="仿宋_GB2312" w:eastAsia="仿宋_GB2312"/>
                <w:szCs w:val="21"/>
              </w:rPr>
              <w:t>管理费</w:t>
            </w:r>
          </w:p>
        </w:tc>
        <w:tc>
          <w:tcPr>
            <w:tcW w:w="5958" w:type="dxa"/>
            <w:vAlign w:val="center"/>
          </w:tcPr>
          <w:p w14:paraId="35A18B3D">
            <w:pPr>
              <w:rPr>
                <w:rFonts w:ascii="仿宋_GB2312" w:eastAsia="仿宋_GB2312"/>
                <w:szCs w:val="21"/>
              </w:rPr>
            </w:pPr>
            <w:r>
              <w:rPr>
                <w:rFonts w:hint="eastAsia" w:ascii="仿宋_GB2312" w:eastAsia="仿宋_GB2312"/>
                <w:szCs w:val="21"/>
              </w:rPr>
              <w:t>0.30%</w:t>
            </w:r>
          </w:p>
        </w:tc>
        <w:tc>
          <w:tcPr>
            <w:tcW w:w="3078" w:type="dxa"/>
          </w:tcPr>
          <w:p w14:paraId="1C4062D6">
            <w:pPr>
              <w:rPr>
                <w:rFonts w:ascii="仿宋_GB2312" w:eastAsia="仿宋_GB2312"/>
                <w:szCs w:val="21"/>
              </w:rPr>
            </w:pPr>
            <w:r>
              <w:rPr>
                <w:rFonts w:hint="eastAsia" w:ascii="仿宋_GB2312" w:eastAsia="仿宋_GB2312"/>
                <w:szCs w:val="21"/>
              </w:rPr>
              <w:t>基金管理人和销售机构</w:t>
            </w:r>
          </w:p>
        </w:tc>
      </w:tr>
      <w:tr w14:paraId="131276AD">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5D426735">
            <w:pPr>
              <w:rPr>
                <w:rFonts w:ascii="仿宋_GB2312" w:eastAsia="仿宋_GB2312"/>
                <w:szCs w:val="21"/>
              </w:rPr>
            </w:pPr>
            <w:r>
              <w:rPr>
                <w:rFonts w:hint="eastAsia" w:ascii="仿宋_GB2312" w:eastAsia="仿宋_GB2312"/>
                <w:szCs w:val="21"/>
              </w:rPr>
              <w:t>托管费</w:t>
            </w:r>
          </w:p>
        </w:tc>
        <w:tc>
          <w:tcPr>
            <w:tcW w:w="5958" w:type="dxa"/>
            <w:vAlign w:val="center"/>
          </w:tcPr>
          <w:p w14:paraId="6D22EB95">
            <w:pPr>
              <w:rPr>
                <w:rFonts w:ascii="仿宋_GB2312" w:eastAsia="仿宋_GB2312"/>
                <w:szCs w:val="21"/>
              </w:rPr>
            </w:pPr>
            <w:r>
              <w:rPr>
                <w:rFonts w:hint="eastAsia" w:ascii="仿宋_GB2312" w:eastAsia="仿宋_GB2312"/>
                <w:szCs w:val="21"/>
              </w:rPr>
              <w:t>0.10%</w:t>
            </w:r>
          </w:p>
        </w:tc>
        <w:tc>
          <w:tcPr>
            <w:tcW w:w="3078" w:type="dxa"/>
          </w:tcPr>
          <w:p w14:paraId="2E499AFB">
            <w:pPr>
              <w:rPr>
                <w:rFonts w:ascii="仿宋_GB2312" w:eastAsia="仿宋_GB2312"/>
                <w:szCs w:val="21"/>
              </w:rPr>
            </w:pPr>
            <w:r>
              <w:rPr>
                <w:rFonts w:hint="eastAsia" w:ascii="仿宋_GB2312" w:eastAsia="仿宋_GB2312"/>
                <w:szCs w:val="21"/>
              </w:rPr>
              <w:t>基金托管人</w:t>
            </w:r>
          </w:p>
        </w:tc>
      </w:tr>
      <w:tr w14:paraId="2AF73981">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35AA5A16">
            <w:pPr>
              <w:jc w:val="left"/>
              <w:rPr>
                <w:rFonts w:ascii="仿宋_GB2312" w:eastAsia="仿宋_GB2312"/>
                <w:szCs w:val="21"/>
              </w:rPr>
            </w:pPr>
            <w:r>
              <w:rPr>
                <w:rFonts w:hint="eastAsia" w:ascii="仿宋_GB2312" w:eastAsia="仿宋_GB2312"/>
                <w:szCs w:val="21"/>
              </w:rPr>
              <w:t>销售服务费</w:t>
            </w:r>
          </w:p>
        </w:tc>
        <w:tc>
          <w:tcPr>
            <w:tcW w:w="3080" w:type="dxa"/>
            <w:vAlign w:val="center"/>
          </w:tcPr>
          <w:p w14:paraId="7D3D0527">
            <w:pPr>
              <w:rPr>
                <w:rFonts w:ascii="仿宋_GB2312" w:eastAsia="仿宋_GB2312"/>
                <w:szCs w:val="21"/>
              </w:rPr>
            </w:pPr>
            <w:r>
              <w:rPr>
                <w:rFonts w:hint="eastAsia" w:ascii="仿宋_GB2312" w:eastAsia="仿宋_GB2312"/>
                <w:szCs w:val="21"/>
              </w:rPr>
              <w:t>0.40%</w:t>
            </w:r>
          </w:p>
        </w:tc>
        <w:tc>
          <w:tcPr>
            <w:tcW w:w="3078" w:type="dxa"/>
          </w:tcPr>
          <w:p w14:paraId="297CC3A0">
            <w:pPr>
              <w:rPr>
                <w:rFonts w:ascii="仿宋_GB2312" w:eastAsia="仿宋_GB2312"/>
                <w:szCs w:val="21"/>
              </w:rPr>
            </w:pPr>
            <w:r>
              <w:rPr>
                <w:rFonts w:hint="eastAsia" w:ascii="仿宋_GB2312" w:eastAsia="仿宋_GB2312"/>
                <w:szCs w:val="21"/>
              </w:rPr>
              <w:t>销售机构</w:t>
            </w:r>
          </w:p>
        </w:tc>
      </w:tr>
      <w:tr w14:paraId="2214054C">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0A379BDF">
            <w:pPr>
              <w:jc w:val="left"/>
              <w:rPr>
                <w:rFonts w:ascii="仿宋_GB2312" w:eastAsia="仿宋_GB2312"/>
                <w:szCs w:val="21"/>
              </w:rPr>
            </w:pPr>
            <w:r>
              <w:rPr>
                <w:rFonts w:hint="eastAsia" w:ascii="仿宋_GB2312" w:eastAsia="仿宋_GB2312"/>
                <w:szCs w:val="21"/>
              </w:rPr>
              <w:t>审计费用</w:t>
            </w:r>
          </w:p>
        </w:tc>
        <w:tc>
          <w:tcPr>
            <w:tcW w:w="3080" w:type="dxa"/>
            <w:vAlign w:val="center"/>
          </w:tcPr>
          <w:p w14:paraId="01E77BC0">
            <w:pPr>
              <w:rPr>
                <w:rFonts w:ascii="仿宋_GB2312" w:eastAsia="仿宋_GB2312"/>
                <w:szCs w:val="21"/>
              </w:rPr>
            </w:pPr>
            <w:r>
              <w:rPr>
                <w:rFonts w:hint="eastAsia" w:ascii="仿宋_GB2312" w:eastAsia="仿宋_GB2312"/>
                <w:szCs w:val="21"/>
              </w:rPr>
              <w:t>50000.00</w:t>
            </w:r>
          </w:p>
        </w:tc>
        <w:tc>
          <w:tcPr>
            <w:tcW w:w="3078" w:type="dxa"/>
          </w:tcPr>
          <w:p w14:paraId="33C1808E">
            <w:pPr>
              <w:rPr>
                <w:rFonts w:ascii="仿宋_GB2312" w:eastAsia="仿宋_GB2312"/>
                <w:szCs w:val="21"/>
              </w:rPr>
            </w:pPr>
            <w:r>
              <w:rPr>
                <w:rFonts w:hint="eastAsia" w:ascii="仿宋_GB2312" w:eastAsia="仿宋_GB2312"/>
                <w:szCs w:val="21"/>
              </w:rPr>
              <w:t>会计师事务所</w:t>
            </w:r>
          </w:p>
        </w:tc>
      </w:tr>
      <w:tr w14:paraId="5AA6064A">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6735C00A">
            <w:pPr>
              <w:jc w:val="left"/>
              <w:rPr>
                <w:rFonts w:ascii="仿宋_GB2312" w:eastAsia="仿宋_GB2312"/>
                <w:szCs w:val="21"/>
              </w:rPr>
            </w:pPr>
            <w:r>
              <w:rPr>
                <w:rFonts w:hint="eastAsia" w:ascii="仿宋_GB2312" w:eastAsia="仿宋_GB2312"/>
                <w:szCs w:val="21"/>
              </w:rPr>
              <w:t>信息披露费</w:t>
            </w:r>
          </w:p>
        </w:tc>
        <w:tc>
          <w:tcPr>
            <w:tcW w:w="3080" w:type="dxa"/>
            <w:vAlign w:val="center"/>
          </w:tcPr>
          <w:p w14:paraId="571904C0">
            <w:pPr>
              <w:rPr>
                <w:rFonts w:ascii="仿宋_GB2312" w:eastAsia="仿宋_GB2312"/>
                <w:szCs w:val="21"/>
              </w:rPr>
            </w:pPr>
            <w:r>
              <w:rPr>
                <w:rFonts w:hint="eastAsia" w:ascii="仿宋_GB2312" w:eastAsia="仿宋_GB2312"/>
                <w:szCs w:val="21"/>
              </w:rPr>
              <w:t>120000.00</w:t>
            </w:r>
          </w:p>
        </w:tc>
        <w:tc>
          <w:tcPr>
            <w:tcW w:w="3078" w:type="dxa"/>
          </w:tcPr>
          <w:p w14:paraId="0FA1D7E6">
            <w:pPr>
              <w:rPr>
                <w:rFonts w:ascii="仿宋_GB2312" w:eastAsia="仿宋_GB2312"/>
                <w:szCs w:val="21"/>
              </w:rPr>
            </w:pPr>
            <w:r>
              <w:rPr>
                <w:rFonts w:hint="eastAsia" w:ascii="仿宋_GB2312" w:eastAsia="仿宋_GB2312"/>
                <w:szCs w:val="21"/>
              </w:rPr>
              <w:t>规定披露报刊</w:t>
            </w:r>
          </w:p>
        </w:tc>
      </w:tr>
      <w:tr w14:paraId="1E6ECB96">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300A9AD4">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14:paraId="2E979603">
            <w:pPr>
              <w:rPr>
                <w:rFonts w:ascii="仿宋_GB2312" w:eastAsia="仿宋_GB2312"/>
                <w:szCs w:val="21"/>
              </w:rPr>
            </w:pPr>
            <w:r>
              <w:rPr>
                <w:rFonts w:hint="eastAsia" w:ascii="仿宋_GB2312" w:eastAsia="仿宋_GB2312"/>
                <w:szCs w:val="21"/>
              </w:rPr>
              <w:t>-</w:t>
            </w:r>
          </w:p>
        </w:tc>
        <w:tc>
          <w:tcPr>
            <w:tcW w:w="3078" w:type="dxa"/>
          </w:tcPr>
          <w:p w14:paraId="08E987D9">
            <w:pPr>
              <w:rPr>
                <w:rFonts w:ascii="仿宋_GB2312" w:eastAsia="仿宋_GB2312"/>
                <w:szCs w:val="21"/>
              </w:rPr>
            </w:pPr>
            <w:r>
              <w:rPr>
                <w:rFonts w:hint="eastAsia" w:ascii="仿宋_GB2312" w:eastAsia="仿宋_GB2312"/>
                <w:szCs w:val="21"/>
              </w:rPr>
              <w:t>指数编制公司</w:t>
            </w:r>
          </w:p>
        </w:tc>
      </w:tr>
      <w:tr w14:paraId="34D18D71">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14:paraId="3809057A">
            <w:pPr>
              <w:rPr>
                <w:rFonts w:ascii="仿宋_GB2312" w:eastAsia="仿宋_GB2312"/>
                <w:szCs w:val="21"/>
              </w:rPr>
            </w:pPr>
            <w:r>
              <w:rPr>
                <w:rFonts w:hint="eastAsia" w:ascii="仿宋_GB2312" w:eastAsia="仿宋_GB2312"/>
                <w:szCs w:val="21"/>
              </w:rPr>
              <w:t>其他费用</w:t>
            </w:r>
          </w:p>
        </w:tc>
        <w:tc>
          <w:tcPr>
            <w:tcW w:w="3080" w:type="dxa"/>
            <w:vAlign w:val="center"/>
          </w:tcPr>
          <w:p w14:paraId="1006382E">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14:paraId="4B0A3EA4">
            <w:pPr>
              <w:rPr>
                <w:rFonts w:ascii="仿宋_GB2312" w:eastAsia="仿宋_GB2312"/>
                <w:szCs w:val="21"/>
              </w:rPr>
            </w:pPr>
          </w:p>
        </w:tc>
      </w:tr>
    </w:tbl>
    <w:p w14:paraId="23A993C6">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14:paraId="34383B75">
      <w:pPr>
        <w:jc w:val="left"/>
        <w:rPr>
          <w:rFonts w:ascii="仿宋" w:hAnsi="仿宋" w:eastAsia="仿宋" w:cs="仿宋"/>
          <w:b/>
          <w:sz w:val="24"/>
          <w:szCs w:val="24"/>
        </w:rPr>
      </w:pPr>
      <w:r>
        <w:rPr>
          <w:rFonts w:hint="eastAsia" w:ascii="仿宋" w:hAnsi="仿宋" w:eastAsia="仿宋" w:cs="仿宋"/>
          <w:b/>
          <w:szCs w:val="21"/>
        </w:rPr>
        <w:t>（三）基金运作综合费用测算</w:t>
      </w:r>
    </w:p>
    <w:p w14:paraId="1446167C">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14:paraId="424EDF42">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14:paraId="41DAD494">
            <w:pPr>
              <w:rPr>
                <w:rFonts w:ascii="仿宋_GB2312" w:eastAsia="仿宋_GB2312"/>
                <w:b/>
                <w:szCs w:val="21"/>
              </w:rPr>
            </w:pPr>
          </w:p>
        </w:tc>
        <w:tc>
          <w:tcPr>
            <w:tcW w:w="5342" w:type="dxa"/>
          </w:tcPr>
          <w:p w14:paraId="03211CB7">
            <w:pPr>
              <w:rPr>
                <w:rFonts w:ascii="仿宋" w:hAnsi="仿宋" w:eastAsia="仿宋" w:cs="仿宋"/>
                <w:b/>
                <w:szCs w:val="21"/>
              </w:rPr>
            </w:pPr>
            <w:r>
              <w:rPr>
                <w:rFonts w:hint="eastAsia" w:ascii="仿宋" w:hAnsi="仿宋" w:eastAsia="仿宋" w:cs="仿宋"/>
                <w:b/>
                <w:sz w:val="24"/>
                <w:szCs w:val="24"/>
              </w:rPr>
              <w:t>基金运作综合费率（年化）</w:t>
            </w:r>
          </w:p>
        </w:tc>
      </w:tr>
      <w:tr w14:paraId="702F8F76">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14:paraId="5CC4267C">
            <w:pPr>
              <w:rPr>
                <w:rFonts w:ascii="仿宋_GB2312" w:eastAsia="仿宋_GB2312"/>
                <w:b/>
                <w:szCs w:val="21"/>
              </w:rPr>
            </w:pPr>
          </w:p>
        </w:tc>
        <w:tc>
          <w:tcPr>
            <w:tcW w:w="3080" w:type="dxa"/>
            <w:vAlign w:val="center"/>
          </w:tcPr>
          <w:p w14:paraId="61ADA660">
            <w:pPr>
              <w:rPr>
                <w:rFonts w:ascii="仿宋_GB2312" w:eastAsia="仿宋_GB2312"/>
                <w:szCs w:val="21"/>
              </w:rPr>
            </w:pPr>
            <w:r>
              <w:rPr>
                <w:rFonts w:hint="eastAsia" w:ascii="仿宋_GB2312" w:eastAsia="仿宋_GB2312"/>
                <w:szCs w:val="21"/>
              </w:rPr>
              <w:t>0.81%</w:t>
            </w:r>
          </w:p>
        </w:tc>
      </w:tr>
    </w:tbl>
    <w:p w14:paraId="4FE56D36">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14:paraId="304617F8">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14:paraId="52857534">
      <w:pPr>
        <w:jc w:val="left"/>
        <w:rPr>
          <w:rFonts w:ascii="仿宋_GB2312" w:eastAsia="仿宋_GB2312"/>
          <w:b/>
          <w:szCs w:val="21"/>
        </w:rPr>
      </w:pPr>
      <w:r>
        <w:rPr>
          <w:rFonts w:hint="eastAsia" w:ascii="仿宋_GB2312" w:eastAsia="仿宋_GB2312"/>
          <w:b/>
          <w:szCs w:val="21"/>
        </w:rPr>
        <w:t>（一）风险揭示</w:t>
      </w:r>
    </w:p>
    <w:p w14:paraId="24CF0CD3">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14:paraId="3CD19A08">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14:paraId="6EAA77E1">
      <w:pPr>
        <w:ind w:firstLine="420"/>
        <w:jc w:val="left"/>
        <w:rPr>
          <w:rFonts w:ascii="仿宋_GB2312" w:eastAsia="仿宋_GB2312"/>
          <w:szCs w:val="21"/>
        </w:rPr>
      </w:pPr>
      <w:r>
        <w:rPr>
          <w:rFonts w:hint="eastAsia" w:ascii="仿宋_GB2312" w:eastAsia="仿宋_GB2312"/>
          <w:szCs w:val="21"/>
        </w:rPr>
        <w:t>基金份额持有人须了解并承受以下风险：</w:t>
      </w:r>
    </w:p>
    <w:p w14:paraId="1B2780CF">
      <w:pPr>
        <w:ind w:firstLine="420"/>
        <w:jc w:val="left"/>
        <w:rPr>
          <w:rFonts w:ascii="仿宋_GB2312" w:eastAsia="仿宋_GB2312"/>
          <w:szCs w:val="21"/>
        </w:rPr>
      </w:pPr>
      <w:r>
        <w:rPr>
          <w:rFonts w:hint="eastAsia" w:ascii="仿宋_GB2312" w:eastAsia="仿宋_GB2312"/>
          <w:szCs w:val="21"/>
        </w:rPr>
        <w:t>1、市场风险</w:t>
      </w:r>
    </w:p>
    <w:p w14:paraId="30011C77">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14:paraId="568964BC">
      <w:pPr>
        <w:ind w:firstLine="420"/>
        <w:jc w:val="left"/>
        <w:rPr>
          <w:rFonts w:ascii="仿宋_GB2312" w:eastAsia="仿宋_GB2312"/>
          <w:szCs w:val="21"/>
        </w:rPr>
      </w:pPr>
      <w:r>
        <w:rPr>
          <w:rFonts w:hint="eastAsia" w:ascii="仿宋_GB2312" w:eastAsia="仿宋_GB2312"/>
          <w:szCs w:val="21"/>
        </w:rPr>
        <w:t>2、管理风险</w:t>
      </w:r>
    </w:p>
    <w:p w14:paraId="20200193">
      <w:pPr>
        <w:ind w:firstLine="420"/>
        <w:jc w:val="left"/>
        <w:rPr>
          <w:rFonts w:ascii="仿宋_GB2312" w:eastAsia="仿宋_GB2312"/>
          <w:szCs w:val="21"/>
        </w:rPr>
      </w:pPr>
      <w:r>
        <w:rPr>
          <w:rFonts w:hint="eastAsia" w:ascii="仿宋_GB2312" w:eastAsia="仿宋_GB2312"/>
          <w:szCs w:val="21"/>
        </w:rPr>
        <w:t>3、流动性风险</w:t>
      </w:r>
    </w:p>
    <w:p w14:paraId="127BDF1A">
      <w:pPr>
        <w:ind w:firstLine="420"/>
        <w:jc w:val="left"/>
        <w:rPr>
          <w:rFonts w:ascii="仿宋_GB2312" w:eastAsia="仿宋_GB2312"/>
          <w:szCs w:val="21"/>
        </w:rPr>
      </w:pPr>
      <w:r>
        <w:rPr>
          <w:rFonts w:hint="eastAsia" w:ascii="仿宋_GB2312" w:eastAsia="仿宋_GB2312"/>
          <w:szCs w:val="21"/>
        </w:rPr>
        <w:t>4、信用风险</w:t>
      </w:r>
    </w:p>
    <w:p w14:paraId="28A88D8F">
      <w:pPr>
        <w:ind w:firstLine="420"/>
        <w:jc w:val="left"/>
        <w:rPr>
          <w:rFonts w:ascii="仿宋_GB2312" w:eastAsia="仿宋_GB2312"/>
          <w:szCs w:val="21"/>
        </w:rPr>
      </w:pPr>
      <w:r>
        <w:rPr>
          <w:rFonts w:hint="eastAsia" w:ascii="仿宋_GB2312" w:eastAsia="仿宋_GB2312"/>
          <w:szCs w:val="21"/>
        </w:rPr>
        <w:t>5、本基金投资策略所特有的风险</w:t>
      </w:r>
    </w:p>
    <w:p w14:paraId="1CD4D774">
      <w:pPr>
        <w:ind w:firstLine="420"/>
        <w:jc w:val="left"/>
        <w:rPr>
          <w:rFonts w:ascii="仿宋_GB2312" w:eastAsia="仿宋_GB2312"/>
          <w:szCs w:val="21"/>
        </w:rPr>
      </w:pPr>
      <w:r>
        <w:rPr>
          <w:rFonts w:hint="eastAsia" w:ascii="仿宋_GB2312" w:eastAsia="仿宋_GB2312"/>
          <w:szCs w:val="21"/>
        </w:rPr>
        <w:t>本基金属于债券型基金，将维持较高的债券持仓比例。如果债券市场出现整体下跌，本基金的净值表现将受到影响。</w:t>
      </w:r>
    </w:p>
    <w:p w14:paraId="14F030C5">
      <w:pPr>
        <w:ind w:firstLine="420"/>
        <w:jc w:val="left"/>
        <w:rPr>
          <w:rFonts w:ascii="仿宋_GB2312" w:eastAsia="仿宋_GB2312"/>
          <w:szCs w:val="21"/>
        </w:rPr>
      </w:pPr>
      <w:r>
        <w:rPr>
          <w:rFonts w:hint="eastAsia" w:ascii="仿宋_GB2312" w:eastAsia="仿宋_GB2312"/>
          <w:szCs w:val="21"/>
        </w:rPr>
        <w:t>本基金主要通过投资于承担一定信用风险、具有较高息票率的债券，实现基金资产的长期稳定增长。在债券投资中，本基金特有的风险主要来自两个方面：一是对宏观经济趋势、政策以及债券市场基本面研究是否准确、深入。二是对企业债券的优选和判断是否科学、准确。基本面研究及企业债券分析的错误均可能导致所选择的证券不能完全符合本基金的预期目标。三是本基金所投资的企业债券承载的信用风险要高于高信用等级的债券（如国债），若债券发行人出现违约、不能按时或全额支付本金和利息，将导致基金资产损失，发生信用风险。</w:t>
      </w:r>
    </w:p>
    <w:p w14:paraId="7302220A">
      <w:pPr>
        <w:ind w:firstLine="420"/>
        <w:jc w:val="left"/>
        <w:rPr>
          <w:rFonts w:ascii="仿宋_GB2312" w:eastAsia="仿宋_GB2312"/>
          <w:szCs w:val="21"/>
        </w:rPr>
      </w:pPr>
      <w:r>
        <w:rPr>
          <w:rFonts w:hint="eastAsia" w:ascii="仿宋_GB2312" w:eastAsia="仿宋_GB2312"/>
          <w:szCs w:val="21"/>
        </w:rPr>
        <w:t>本基金可投资创业板股票，创业板个股上市后的前五个交易日不设价格涨跌幅限制，第六个交易日开始涨跌幅限制比例为20%。</w:t>
      </w:r>
    </w:p>
    <w:p w14:paraId="456A3EB8">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14:paraId="51B72528">
      <w:pPr>
        <w:ind w:firstLine="420"/>
        <w:jc w:val="left"/>
        <w:rPr>
          <w:rFonts w:ascii="仿宋_GB2312" w:eastAsia="仿宋_GB2312"/>
          <w:szCs w:val="21"/>
        </w:rPr>
      </w:pPr>
      <w:r>
        <w:rPr>
          <w:rFonts w:hint="eastAsia" w:ascii="仿宋_GB2312" w:eastAsia="仿宋_GB2312"/>
          <w:szCs w:val="21"/>
        </w:rPr>
        <w:t>7、其他风险</w:t>
      </w:r>
    </w:p>
    <w:p w14:paraId="11B694CF">
      <w:pPr>
        <w:jc w:val="left"/>
        <w:rPr>
          <w:rFonts w:ascii="仿宋_GB2312" w:eastAsia="仿宋_GB2312"/>
          <w:b/>
          <w:szCs w:val="21"/>
        </w:rPr>
      </w:pPr>
      <w:r>
        <w:rPr>
          <w:rFonts w:hint="eastAsia" w:ascii="仿宋_GB2312" w:eastAsia="仿宋_GB2312"/>
          <w:b/>
          <w:szCs w:val="21"/>
        </w:rPr>
        <w:t>（二）重要提示</w:t>
      </w:r>
    </w:p>
    <w:p w14:paraId="1E4DF44F">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14:paraId="59809093">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14:paraId="41389A16">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14:paraId="0AF53200">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14:paraId="5DDF6007">
      <w:pPr>
        <w:ind w:firstLine="420"/>
        <w:jc w:val="left"/>
        <w:rPr>
          <w:rFonts w:ascii="仿宋_GB2312" w:eastAsia="仿宋_GB2312"/>
          <w:b/>
          <w:bCs/>
          <w:szCs w:val="21"/>
        </w:rPr>
      </w:pPr>
      <w:r>
        <w:rPr>
          <w:rFonts w:hint="eastAsia" w:ascii="仿宋_GB2312" w:eastAsia="仿宋_GB2312"/>
          <w:szCs w:val="21"/>
        </w:rPr>
        <w:t>▲▲</w:t>
      </w:r>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p w14:paraId="1DC0F69F">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14:paraId="550D529E">
      <w:pPr>
        <w:ind w:firstLine="420"/>
        <w:jc w:val="left"/>
        <w:rPr>
          <w:rFonts w:ascii="仿宋_GB2312" w:eastAsia="仿宋_GB2312"/>
          <w:szCs w:val="21"/>
        </w:rPr>
      </w:pPr>
    </w:p>
    <w:p w14:paraId="11A3F51D">
      <w:pPr>
        <w:jc w:val="left"/>
        <w:rPr>
          <w:rFonts w:ascii="仿宋_GB2312" w:eastAsia="仿宋_GB2312"/>
          <w:b/>
          <w:szCs w:val="21"/>
        </w:rPr>
      </w:pPr>
      <w:r>
        <w:rPr>
          <w:rFonts w:hint="eastAsia" w:ascii="仿宋_GB2312" w:eastAsia="仿宋_GB2312"/>
          <w:b/>
          <w:szCs w:val="21"/>
        </w:rPr>
        <w:t>五、其他资料查询方式</w:t>
      </w:r>
    </w:p>
    <w:p w14:paraId="162BDA4E">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14:paraId="34989137">
      <w:pPr>
        <w:ind w:firstLine="420"/>
        <w:jc w:val="left"/>
        <w:rPr>
          <w:rFonts w:ascii="仿宋_GB2312" w:eastAsia="仿宋_GB2312"/>
          <w:szCs w:val="21"/>
        </w:rPr>
      </w:pPr>
      <w:r>
        <w:rPr>
          <w:rFonts w:hint="eastAsia" w:ascii="仿宋_GB2312" w:eastAsia="仿宋_GB2312"/>
          <w:szCs w:val="21"/>
        </w:rPr>
        <w:t>●《交银施罗德增利债券证券投资基金基金合同》、</w:t>
      </w:r>
    </w:p>
    <w:p w14:paraId="65F21E84">
      <w:pPr>
        <w:ind w:firstLine="420"/>
        <w:jc w:val="left"/>
        <w:rPr>
          <w:rFonts w:ascii="仿宋_GB2312" w:eastAsia="仿宋_GB2312"/>
          <w:szCs w:val="21"/>
        </w:rPr>
      </w:pPr>
      <w:r>
        <w:rPr>
          <w:rFonts w:hint="eastAsia" w:ascii="仿宋_GB2312" w:eastAsia="仿宋_GB2312"/>
          <w:szCs w:val="21"/>
        </w:rPr>
        <w:t>《交银施罗德增利债券证券投资基金托管协议》、</w:t>
      </w:r>
    </w:p>
    <w:p w14:paraId="0C34B894">
      <w:pPr>
        <w:ind w:firstLine="420"/>
        <w:jc w:val="left"/>
        <w:rPr>
          <w:rFonts w:ascii="仿宋_GB2312" w:eastAsia="仿宋_GB2312"/>
          <w:szCs w:val="21"/>
        </w:rPr>
      </w:pPr>
      <w:r>
        <w:rPr>
          <w:rFonts w:hint="eastAsia" w:ascii="仿宋_GB2312" w:eastAsia="仿宋_GB2312"/>
          <w:szCs w:val="21"/>
        </w:rPr>
        <w:t>《交银施罗德增利债券证券投资基金招募说明书》</w:t>
      </w:r>
    </w:p>
    <w:p w14:paraId="1321B418">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14:paraId="16BC61FE">
      <w:pPr>
        <w:ind w:firstLine="420"/>
        <w:jc w:val="left"/>
        <w:rPr>
          <w:rFonts w:ascii="仿宋_GB2312" w:eastAsia="仿宋_GB2312"/>
          <w:szCs w:val="21"/>
        </w:rPr>
      </w:pPr>
      <w:r>
        <w:rPr>
          <w:rFonts w:hint="eastAsia" w:ascii="仿宋_GB2312" w:eastAsia="仿宋_GB2312"/>
          <w:szCs w:val="21"/>
        </w:rPr>
        <w:t>●基金份额净值</w:t>
      </w:r>
    </w:p>
    <w:p w14:paraId="6E7E2F87">
      <w:pPr>
        <w:ind w:firstLine="420"/>
        <w:jc w:val="left"/>
        <w:rPr>
          <w:rFonts w:ascii="仿宋_GB2312" w:eastAsia="仿宋_GB2312"/>
          <w:szCs w:val="21"/>
        </w:rPr>
      </w:pPr>
      <w:r>
        <w:rPr>
          <w:rFonts w:hint="eastAsia" w:ascii="仿宋_GB2312" w:eastAsia="仿宋_GB2312"/>
          <w:szCs w:val="21"/>
        </w:rPr>
        <w:t>●基金销售机构及联系方式</w:t>
      </w:r>
    </w:p>
    <w:p w14:paraId="74CC7636">
      <w:pPr>
        <w:ind w:firstLine="420"/>
        <w:jc w:val="left"/>
        <w:rPr>
          <w:rFonts w:ascii="仿宋_GB2312" w:eastAsia="仿宋_GB2312"/>
          <w:szCs w:val="21"/>
        </w:rPr>
      </w:pPr>
      <w:r>
        <w:rPr>
          <w:rFonts w:hint="eastAsia" w:ascii="仿宋_GB2312" w:eastAsia="仿宋_GB2312"/>
          <w:szCs w:val="21"/>
        </w:rPr>
        <w:t>●其他重要资料</w:t>
      </w:r>
    </w:p>
    <w:p w14:paraId="48EFEAE3">
      <w:pPr>
        <w:jc w:val="left"/>
        <w:rPr>
          <w:rFonts w:ascii="仿宋_GB2312" w:eastAsia="仿宋_GB2312"/>
          <w:b/>
          <w:szCs w:val="21"/>
        </w:rPr>
      </w:pPr>
      <w:r>
        <w:rPr>
          <w:rFonts w:hint="eastAsia" w:ascii="仿宋_GB2312" w:eastAsia="仿宋_GB2312"/>
          <w:b/>
          <w:szCs w:val="21"/>
        </w:rPr>
        <w:t>六、其他情况说明</w:t>
      </w:r>
    </w:p>
    <w:p w14:paraId="07893EA4">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B6562"/>
    <w:rsid w:val="00FC2918"/>
    <w:rsid w:val="113D3283"/>
    <w:rsid w:val="4AFB02B6"/>
    <w:rsid w:val="7C3312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599</Words>
  <Characters>3416</Characters>
  <Lines>28</Lines>
  <Paragraphs>8</Paragraphs>
  <TotalTime>0</TotalTime>
  <ScaleCrop>false</ScaleCrop>
  <LinksUpToDate>false</LinksUpToDate>
  <CharactersWithSpaces>4007</CharactersWithSpaces>
  <Application>WPS Office_12.8.2.19823_F1E327BC-269C-435d-A152-05C5408002CA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2025-12-16T05:24:00Z</dcterms:created>
  <dc:creator>Cc</dc:creator>
  <cp:lastModifiedBy>刘晨晨</cp:lastModifiedBy>
  <dcterms:modified xsi:type="dcterms:W3CDTF">2026-03-02T01:47:50Z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2052-12.8.2.19823</vt:lpwstr>
  </property>
  <property fmtid="{D5CDD505-2E9C-101B-9397-08002B2CF9AE}" pid="3" name="ICV">
    <vt:lpwstr>15E7091132C1483D8E2EE0BB17A3B80F</vt:lpwstr>
  </property>
</Properties>
</file>