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15848">
      <w:pPr>
        <w:rPr>
          <w:sz w:val="32"/>
        </w:rPr>
      </w:pPr>
      <w:bookmarkStart w:id="29" w:name="_GoBack"/>
      <w:bookmarkEnd w:id="29"/>
    </w:p>
    <w:p w14:paraId="44A6A167">
      <w:pPr>
        <w:rPr>
          <w:sz w:val="32"/>
        </w:rPr>
      </w:pPr>
    </w:p>
    <w:p w14:paraId="2FDD3438">
      <w:pPr>
        <w:rPr>
          <w:sz w:val="32"/>
        </w:rPr>
      </w:pPr>
    </w:p>
    <w:p w14:paraId="5438AA5F">
      <w:pPr>
        <w:jc w:val="center"/>
        <w:rPr>
          <w:sz w:val="32"/>
        </w:rPr>
      </w:pPr>
      <w:r>
        <w:drawing>
          <wp:inline distT="0" distB="0" distL="0" distR="0">
            <wp:extent cx="4343400" cy="571500"/>
            <wp:effectExtent l="19050" t="0" r="0" b="0"/>
            <wp:docPr id="2"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1"/>
                    <pic:cNvPicPr>
                      <a:picLocks noChangeAspect="1" noChangeArrowheads="1"/>
                    </pic:cNvPicPr>
                  </pic:nvPicPr>
                  <pic:blipFill>
                    <a:blip r:embed="rId12" cstate="print"/>
                    <a:srcRect/>
                    <a:stretch>
                      <a:fillRect/>
                    </a:stretch>
                  </pic:blipFill>
                  <pic:spPr>
                    <a:xfrm>
                      <a:off x="0" y="0"/>
                      <a:ext cx="4343400" cy="571500"/>
                    </a:xfrm>
                    <a:prstGeom prst="rect">
                      <a:avLst/>
                    </a:prstGeom>
                    <a:noFill/>
                    <a:ln w="9525">
                      <a:noFill/>
                      <a:miter lim="800000"/>
                      <a:headEnd/>
                      <a:tailEnd/>
                    </a:ln>
                  </pic:spPr>
                </pic:pic>
              </a:graphicData>
            </a:graphic>
          </wp:inline>
        </w:drawing>
      </w:r>
    </w:p>
    <w:p w14:paraId="520C3AEA">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63F13C45">
      <w:pPr>
        <w:autoSpaceDE w:val="0"/>
        <w:autoSpaceDN w:val="0"/>
        <w:adjustRightInd w:val="0"/>
        <w:snapToGrid w:val="0"/>
        <w:spacing w:before="63" w:line="360" w:lineRule="auto"/>
        <w:ind w:right="13" w:rightChars="6"/>
        <w:jc w:val="center"/>
        <w:rPr>
          <w:rFonts w:ascii="宋体" w:hAnsi="宋体"/>
          <w:b/>
          <w:spacing w:val="2"/>
          <w:w w:val="99"/>
          <w:kern w:val="0"/>
          <w:position w:val="-4"/>
          <w:sz w:val="44"/>
          <w:szCs w:val="44"/>
        </w:rPr>
      </w:pPr>
    </w:p>
    <w:p w14:paraId="79AFDEDF">
      <w:pPr>
        <w:autoSpaceDE w:val="0"/>
        <w:autoSpaceDN w:val="0"/>
        <w:adjustRightInd w:val="0"/>
        <w:snapToGrid w:val="0"/>
        <w:spacing w:before="63" w:line="360" w:lineRule="auto"/>
        <w:ind w:right="13" w:rightChars="6"/>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交银施罗德增利债券证券投资基金</w:t>
      </w:r>
    </w:p>
    <w:p w14:paraId="3CDBE7E0">
      <w:pPr>
        <w:autoSpaceDE w:val="0"/>
        <w:autoSpaceDN w:val="0"/>
        <w:adjustRightInd w:val="0"/>
        <w:snapToGrid w:val="0"/>
        <w:spacing w:before="63" w:line="360" w:lineRule="auto"/>
        <w:ind w:right="13" w:rightChars="6"/>
        <w:jc w:val="center"/>
        <w:rPr>
          <w:rFonts w:ascii="宋体" w:hAnsi="宋体"/>
          <w:b/>
          <w:kern w:val="0"/>
          <w:sz w:val="44"/>
          <w:szCs w:val="44"/>
        </w:rPr>
      </w:pPr>
      <w:r>
        <w:rPr>
          <w:rFonts w:ascii="宋体" w:hAnsi="宋体"/>
          <w:b/>
          <w:spacing w:val="2"/>
          <w:w w:val="99"/>
          <w:kern w:val="0"/>
          <w:sz w:val="44"/>
          <w:szCs w:val="44"/>
        </w:rPr>
        <w:t>招募说明书(更新)</w:t>
      </w:r>
    </w:p>
    <w:p w14:paraId="5FCF383C">
      <w:pPr>
        <w:snapToGrid w:val="0"/>
        <w:spacing w:line="360" w:lineRule="auto"/>
        <w:jc w:val="center"/>
        <w:rPr>
          <w:rFonts w:ascii="宋体" w:hAnsi="宋体"/>
          <w:b/>
          <w:sz w:val="30"/>
          <w:szCs w:val="30"/>
        </w:rPr>
      </w:pPr>
    </w:p>
    <w:p w14:paraId="50BB385A">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136BD795">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6D531C31">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34860856">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101F80EE">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D2D11B1">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50A918C">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基金管理人：交银施罗德基金管理有限公司</w:t>
      </w:r>
    </w:p>
    <w:p w14:paraId="77682147">
      <w:pPr>
        <w:autoSpaceDE w:val="0"/>
        <w:autoSpaceDN w:val="0"/>
        <w:adjustRightInd w:val="0"/>
        <w:snapToGrid w:val="0"/>
        <w:spacing w:line="360" w:lineRule="auto"/>
        <w:ind w:firstLine="1406" w:firstLineChars="500"/>
        <w:rPr>
          <w:rFonts w:ascii="宋体" w:hAnsi="宋体"/>
          <w:b/>
          <w:w w:val="99"/>
          <w:kern w:val="0"/>
          <w:sz w:val="28"/>
          <w:szCs w:val="32"/>
        </w:rPr>
      </w:pPr>
      <w:r>
        <w:rPr>
          <w:rFonts w:ascii="宋体" w:hAnsi="宋体"/>
          <w:b/>
          <w:spacing w:val="2"/>
          <w:w w:val="99"/>
          <w:kern w:val="0"/>
          <w:sz w:val="28"/>
          <w:szCs w:val="32"/>
        </w:rPr>
        <w:t>基金托管人：中国建设银行股份有限公司</w:t>
      </w:r>
    </w:p>
    <w:p w14:paraId="3A6DE0B2">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14EEF1A7">
      <w:pPr>
        <w:autoSpaceDE w:val="0"/>
        <w:autoSpaceDN w:val="0"/>
        <w:adjustRightInd w:val="0"/>
        <w:snapToGrid w:val="0"/>
        <w:spacing w:line="360" w:lineRule="auto"/>
        <w:ind w:right="13" w:rightChars="6"/>
        <w:jc w:val="center"/>
        <w:rPr>
          <w:rFonts w:ascii="宋体" w:hAnsi="宋体"/>
          <w:spacing w:val="2"/>
          <w:w w:val="99"/>
          <w:kern w:val="0"/>
          <w:sz w:val="32"/>
          <w:szCs w:val="32"/>
        </w:rPr>
      </w:pPr>
    </w:p>
    <w:p w14:paraId="468B9C56">
      <w:pPr>
        <w:autoSpaceDE w:val="0"/>
        <w:autoSpaceDN w:val="0"/>
        <w:adjustRightInd w:val="0"/>
        <w:snapToGrid w:val="0"/>
        <w:spacing w:line="360" w:lineRule="auto"/>
        <w:ind w:right="13" w:rightChars="6"/>
        <w:jc w:val="center"/>
        <w:rPr>
          <w:rFonts w:ascii="宋体" w:hAnsi="宋体"/>
          <w:b/>
          <w:kern w:val="0"/>
          <w:sz w:val="28"/>
          <w:szCs w:val="32"/>
        </w:rPr>
      </w:pPr>
      <w:r>
        <w:rPr>
          <w:rFonts w:ascii="Times New Roman" w:hAnsi="Times New Roman"/>
          <w:b/>
          <w:spacing w:val="2"/>
          <w:w w:val="99"/>
          <w:kern w:val="0"/>
          <w:sz w:val="28"/>
          <w:szCs w:val="32"/>
        </w:rPr>
        <w:t>二〇二</w:t>
      </w:r>
      <w:r>
        <w:rPr>
          <w:rFonts w:hint="eastAsia" w:ascii="Times New Roman" w:hAnsi="Times New Roman"/>
          <w:b/>
          <w:spacing w:val="2"/>
          <w:w w:val="99"/>
          <w:kern w:val="0"/>
          <w:sz w:val="28"/>
          <w:szCs w:val="32"/>
          <w:lang w:val="en-US" w:eastAsia="zh-CN"/>
        </w:rPr>
        <w:t>六</w:t>
      </w:r>
      <w:r>
        <w:rPr>
          <w:rFonts w:ascii="Times New Roman" w:hAnsi="Times New Roman"/>
          <w:b/>
          <w:spacing w:val="2"/>
          <w:w w:val="99"/>
          <w:kern w:val="0"/>
          <w:sz w:val="28"/>
          <w:szCs w:val="32"/>
        </w:rPr>
        <w:t>年</w:t>
      </w:r>
      <w:r>
        <w:rPr>
          <w:rFonts w:hint="eastAsia" w:ascii="Times New Roman" w:hAnsi="Times New Roman"/>
          <w:b/>
          <w:spacing w:val="2"/>
          <w:w w:val="99"/>
          <w:kern w:val="0"/>
          <w:sz w:val="28"/>
          <w:szCs w:val="32"/>
          <w:lang w:val="en-US" w:eastAsia="zh-CN"/>
        </w:rPr>
        <w:t>三</w:t>
      </w:r>
      <w:r>
        <w:rPr>
          <w:rFonts w:ascii="Times New Roman" w:hAnsi="Times New Roman"/>
          <w:b/>
          <w:spacing w:val="2"/>
          <w:w w:val="99"/>
          <w:kern w:val="0"/>
          <w:sz w:val="28"/>
          <w:szCs w:val="32"/>
        </w:rPr>
        <w:t>月</w:t>
      </w:r>
    </w:p>
    <w:p w14:paraId="749FABE9">
      <w:pPr>
        <w:autoSpaceDE w:val="0"/>
        <w:autoSpaceDN w:val="0"/>
        <w:adjustRightInd w:val="0"/>
        <w:snapToGrid w:val="0"/>
        <w:spacing w:line="360" w:lineRule="auto"/>
        <w:ind w:left="1347" w:right="13" w:rightChars="6"/>
        <w:rPr>
          <w:rFonts w:ascii="宋体" w:hAnsi="宋体"/>
          <w:kern w:val="0"/>
          <w:sz w:val="32"/>
          <w:szCs w:val="32"/>
        </w:rPr>
        <w:sectPr>
          <w:headerReference r:id="rId5" w:type="first"/>
          <w:footerReference r:id="rId8" w:type="first"/>
          <w:headerReference r:id="rId3" w:type="default"/>
          <w:footerReference r:id="rId6" w:type="default"/>
          <w:headerReference r:id="rId4" w:type="even"/>
          <w:footerReference r:id="rId7" w:type="even"/>
          <w:pgSz w:w="11920" w:h="16840"/>
          <w:pgMar w:top="1560" w:right="1680" w:bottom="280" w:left="1680" w:header="0" w:footer="1073" w:gutter="0"/>
          <w:pgNumType w:start="1"/>
          <w:cols w:space="720" w:num="1"/>
          <w:titlePg/>
          <w:docGrid w:linePitch="286" w:charSpace="0"/>
        </w:sectPr>
      </w:pPr>
    </w:p>
    <w:p w14:paraId="6E6B2C3E">
      <w:pPr>
        <w:pStyle w:val="2"/>
        <w:snapToGrid w:val="0"/>
        <w:spacing w:before="240" w:beforeLines="0" w:after="240"/>
        <w:rPr>
          <w:rFonts w:ascii="宋体" w:hAnsi="宋体"/>
          <w:kern w:val="0"/>
        </w:rPr>
      </w:pPr>
      <w:bookmarkStart w:id="0" w:name="_Toc496884613"/>
      <w:bookmarkStart w:id="1" w:name="_Toc216956594"/>
      <w:bookmarkStart w:id="2" w:name="_Toc324920538"/>
      <w:r>
        <w:rPr>
          <w:rFonts w:ascii="Times New Roman" w:hAnsi="Times New Roman"/>
          <w:kern w:val="0"/>
        </w:rPr>
        <w:t>重要提示</w:t>
      </w:r>
      <w:bookmarkEnd w:id="0"/>
      <w:bookmarkEnd w:id="1"/>
      <w:bookmarkEnd w:id="2"/>
    </w:p>
    <w:p w14:paraId="12B6DD43">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交银施罗德增利债券证券投资基金（以下简称“本基金”）经2008年2月5日中国证券监督管理委员会证监许可【2008】239号文核准募集。本基金基金合同于2008年3月31日正式生效。</w:t>
      </w:r>
    </w:p>
    <w:p w14:paraId="5C3B81EB">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14:paraId="34995A08">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14:paraId="21FB34C4">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认（申）购基金的意愿、时机、数量等投资行为作出独立决策。投资人根据所持有份额享受基金的收益，但同时也需承担相应的投资风险。投资本基金可能遇到的风险包括：因政治、经济、社会等因素对证券价格波动产生影响而引发的系统性风险，个别证券特有的非系统性风险，流动性风险（包括实施侧袋机制时的特定风险），基金管理人在基金管理实施过程中产生的基金管理风险，本基金投资债券引发的信用风险，以及本基金投资策略所特有的风险等等。本基金是一只债券型基金，属证券投资基金中的中等风险收益品种。</w:t>
      </w:r>
    </w:p>
    <w:p w14:paraId="538F4132">
      <w:pPr>
        <w:autoSpaceDE w:val="0"/>
        <w:autoSpaceDN w:val="0"/>
        <w:adjustRightInd w:val="0"/>
        <w:snapToGrid w:val="0"/>
        <w:spacing w:line="360" w:lineRule="auto"/>
        <w:ind w:left="105" w:leftChars="50" w:firstLine="480" w:firstLineChars="200"/>
        <w:rPr>
          <w:rFonts w:ascii="宋体" w:hAnsi="宋体"/>
          <w:kern w:val="0"/>
          <w:sz w:val="24"/>
        </w:rPr>
      </w:pPr>
      <w:r>
        <w:rPr>
          <w:rFonts w:ascii="Times New Roman" w:hAnsi="Times New Roman"/>
          <w:kern w:val="0"/>
          <w:sz w:val="24"/>
        </w:rPr>
        <w:t>投资有风险，投资人在认（申）购本基金前应认真阅读本基金的招募说明书、基金合同、基金产品资料概要。过往业绩并不代表将来表现。基金管理人管理的其他基金的业绩并不构成对本基金业绩表现的保证。</w:t>
      </w:r>
    </w:p>
    <w:p w14:paraId="12D587F4">
      <w:pPr>
        <w:autoSpaceDE w:val="0"/>
        <w:autoSpaceDN w:val="0"/>
        <w:adjustRightInd w:val="0"/>
        <w:snapToGrid w:val="0"/>
        <w:spacing w:line="360" w:lineRule="auto"/>
        <w:ind w:left="105" w:leftChars="50" w:firstLine="480" w:firstLineChars="200"/>
        <w:rPr>
          <w:rFonts w:ascii="宋体" w:hAnsi="宋体"/>
          <w:kern w:val="0"/>
          <w:sz w:val="24"/>
        </w:rPr>
      </w:pPr>
      <w:r>
        <w:rPr>
          <w:rFonts w:hint="eastAsia" w:ascii="Times New Roman" w:hAnsi="Times New Roman"/>
          <w:kern w:val="0"/>
          <w:sz w:val="24"/>
        </w:rPr>
        <w:t>本次更新招募说明书主要对修改基金转换的相关事项进行更新，更新截止日为20</w:t>
      </w:r>
      <w:r>
        <w:rPr>
          <w:rFonts w:hint="eastAsia" w:ascii="Times New Roman" w:hAnsi="Times New Roman"/>
          <w:kern w:val="0"/>
          <w:sz w:val="24"/>
          <w:lang w:val="en-US" w:eastAsia="zh-CN"/>
        </w:rPr>
        <w:t>26</w:t>
      </w:r>
      <w:r>
        <w:rPr>
          <w:rFonts w:hint="eastAsia" w:ascii="Times New Roman" w:hAnsi="Times New Roman"/>
          <w:kern w:val="0"/>
          <w:sz w:val="24"/>
        </w:rPr>
        <w:t>年</w:t>
      </w:r>
      <w:r>
        <w:rPr>
          <w:rFonts w:hint="eastAsia" w:ascii="Times New Roman" w:hAnsi="Times New Roman"/>
          <w:kern w:val="0"/>
          <w:sz w:val="24"/>
          <w:lang w:val="en-US" w:eastAsia="zh-CN"/>
        </w:rPr>
        <w:t>03</w:t>
      </w:r>
      <w:r>
        <w:rPr>
          <w:rFonts w:hint="eastAsia" w:ascii="Times New Roman" w:hAnsi="Times New Roman"/>
          <w:kern w:val="0"/>
          <w:sz w:val="24"/>
        </w:rPr>
        <w:t>月</w:t>
      </w:r>
      <w:r>
        <w:rPr>
          <w:rFonts w:hint="eastAsia" w:ascii="Times New Roman" w:hAnsi="Times New Roman"/>
          <w:kern w:val="0"/>
          <w:sz w:val="24"/>
          <w:lang w:val="en-US" w:eastAsia="zh-CN"/>
        </w:rPr>
        <w:t>02</w:t>
      </w:r>
      <w:r>
        <w:rPr>
          <w:rFonts w:hint="eastAsia" w:ascii="Times New Roman" w:hAnsi="Times New Roman"/>
          <w:kern w:val="0"/>
          <w:sz w:val="24"/>
        </w:rPr>
        <w:t>日，除非另有说明，</w:t>
      </w:r>
      <w:r>
        <w:rPr>
          <w:rFonts w:ascii="Times New Roman" w:hAnsi="Times New Roman"/>
          <w:kern w:val="0"/>
          <w:sz w:val="24"/>
        </w:rPr>
        <w:t>本招募说明书</w:t>
      </w:r>
      <w:r>
        <w:rPr>
          <w:rFonts w:hint="eastAsia" w:ascii="Times New Roman" w:hAnsi="Times New Roman"/>
          <w:kern w:val="0"/>
          <w:sz w:val="24"/>
          <w:lang w:val="en-US" w:eastAsia="zh-CN"/>
        </w:rPr>
        <w:t>其他</w:t>
      </w:r>
      <w:r>
        <w:rPr>
          <w:rFonts w:ascii="Times New Roman" w:hAnsi="Times New Roman"/>
          <w:kern w:val="0"/>
          <w:sz w:val="24"/>
        </w:rPr>
        <w:t>所载内容截止日为2025年12月01日，有关财务数据和净值表现截止日为2025年09月30日。本招募说明书所载的财务数据未经审计。</w:t>
      </w:r>
    </w:p>
    <w:p w14:paraId="473EB492">
      <w:pPr>
        <w:autoSpaceDE w:val="0"/>
        <w:autoSpaceDN w:val="0"/>
        <w:adjustRightInd w:val="0"/>
        <w:snapToGrid w:val="0"/>
        <w:spacing w:before="51" w:line="360" w:lineRule="auto"/>
        <w:ind w:left="120" w:right="13" w:rightChars="6" w:firstLine="480"/>
        <w:rPr>
          <w:rFonts w:ascii="宋体" w:hAnsi="宋体"/>
          <w:kern w:val="0"/>
          <w:szCs w:val="24"/>
        </w:rPr>
        <w:sectPr>
          <w:headerReference r:id="rId9" w:type="default"/>
          <w:pgSz w:w="11920" w:h="16840"/>
          <w:pgMar w:top="1440" w:right="1680" w:bottom="280" w:left="1680" w:header="0" w:footer="1073" w:gutter="0"/>
          <w:pgNumType w:start="1"/>
          <w:cols w:space="720" w:num="1"/>
        </w:sectPr>
      </w:pPr>
    </w:p>
    <w:p w14:paraId="2A0ADD88">
      <w:pPr>
        <w:pStyle w:val="20"/>
        <w:snapToGrid w:val="0"/>
        <w:spacing w:after="240" w:line="360" w:lineRule="auto"/>
        <w:jc w:val="center"/>
        <w:rPr>
          <w:rFonts w:ascii="宋体" w:hAnsi="宋体"/>
          <w:sz w:val="24"/>
        </w:rPr>
      </w:pPr>
      <w:r>
        <w:rPr>
          <w:rFonts w:ascii="宋体" w:hAnsi="宋体"/>
          <w:color w:val="000000"/>
          <w:position w:val="-4"/>
          <w:sz w:val="24"/>
          <w:szCs w:val="30"/>
        </w:rPr>
        <w:t>目</w:t>
      </w:r>
      <w:r>
        <w:rPr>
          <w:rFonts w:ascii="宋体" w:hAnsi="宋体"/>
          <w:color w:val="000000"/>
          <w:position w:val="-4"/>
          <w:sz w:val="24"/>
          <w:szCs w:val="30"/>
        </w:rPr>
        <w:tab/>
      </w:r>
      <w:r>
        <w:rPr>
          <w:rFonts w:ascii="宋体" w:hAnsi="宋体"/>
          <w:color w:val="000000"/>
          <w:position w:val="-4"/>
          <w:sz w:val="24"/>
          <w:szCs w:val="30"/>
        </w:rPr>
        <w:t>录</w:t>
      </w:r>
      <w:r>
        <w:rPr>
          <w:rFonts w:ascii="宋体" w:hAnsi="宋体"/>
          <w:color w:val="000000"/>
          <w:position w:val="-4"/>
          <w:sz w:val="24"/>
          <w:szCs w:val="30"/>
        </w:rPr>
        <w:fldChar w:fldCharType="begin"/>
      </w:r>
      <w:r>
        <w:rPr>
          <w:rFonts w:ascii="宋体" w:hAnsi="宋体"/>
          <w:color w:val="000000"/>
          <w:position w:val="-4"/>
          <w:sz w:val="24"/>
          <w:szCs w:val="30"/>
        </w:rPr>
        <w:instrText xml:space="preserve"> TOC \o "1-3" \f - \h \t "-1" </w:instrText>
      </w:r>
      <w:r>
        <w:rPr>
          <w:rFonts w:ascii="宋体" w:hAnsi="宋体"/>
          <w:color w:val="000000"/>
          <w:position w:val="-4"/>
          <w:sz w:val="24"/>
          <w:szCs w:val="30"/>
        </w:rPr>
        <w:fldChar w:fldCharType="separate"/>
      </w:r>
    </w:p>
    <w:p w14:paraId="02DDF147">
      <w:pPr>
        <w:pStyle w:val="10"/>
        <w:tabs>
          <w:tab w:val="right" w:leader="dot" w:pos="8550"/>
        </w:tabs>
        <w:spacing w:line="360" w:lineRule="auto"/>
        <w:rPr>
          <w:rFonts w:ascii="宋体" w:hAnsi="宋体" w:cstheme="minorBidi"/>
          <w:sz w:val="24"/>
        </w:rPr>
      </w:pPr>
      <w:r>
        <w:fldChar w:fldCharType="begin"/>
      </w:r>
      <w:r>
        <w:instrText xml:space="preserve"> HYPERLINK \l "_Toc216956594" </w:instrText>
      </w:r>
      <w:r>
        <w:fldChar w:fldCharType="separate"/>
      </w:r>
      <w:r>
        <w:rPr>
          <w:rStyle w:val="18"/>
          <w:rFonts w:hint="eastAsia" w:ascii="宋体" w:hAnsi="宋体"/>
          <w:kern w:val="0"/>
          <w:sz w:val="24"/>
        </w:rPr>
        <w:t>重要提示</w:t>
      </w:r>
      <w:r>
        <w:rPr>
          <w:rFonts w:ascii="宋体" w:hAnsi="宋体"/>
          <w:sz w:val="24"/>
        </w:rPr>
        <w:tab/>
      </w:r>
      <w:r>
        <w:rPr>
          <w:rFonts w:ascii="宋体" w:hAnsi="宋体"/>
          <w:sz w:val="24"/>
        </w:rPr>
        <w:fldChar w:fldCharType="begin"/>
      </w:r>
      <w:r>
        <w:rPr>
          <w:rFonts w:ascii="宋体" w:hAnsi="宋体"/>
          <w:sz w:val="24"/>
        </w:rPr>
        <w:instrText xml:space="preserve"> PAGEREF _Toc216956594 \h </w:instrText>
      </w:r>
      <w:r>
        <w:rPr>
          <w:rFonts w:ascii="宋体" w:hAnsi="宋体"/>
          <w:sz w:val="24"/>
        </w:rPr>
        <w:fldChar w:fldCharType="separate"/>
      </w:r>
      <w:r>
        <w:rPr>
          <w:rFonts w:ascii="宋体" w:hAnsi="宋体"/>
          <w:sz w:val="24"/>
        </w:rPr>
        <w:t>1</w:t>
      </w:r>
      <w:r>
        <w:rPr>
          <w:rFonts w:ascii="宋体" w:hAnsi="宋体"/>
          <w:sz w:val="24"/>
        </w:rPr>
        <w:fldChar w:fldCharType="end"/>
      </w:r>
      <w:r>
        <w:rPr>
          <w:rFonts w:ascii="宋体" w:hAnsi="宋体"/>
          <w:sz w:val="24"/>
        </w:rPr>
        <w:fldChar w:fldCharType="end"/>
      </w:r>
    </w:p>
    <w:p w14:paraId="7CE6E3E6">
      <w:pPr>
        <w:pStyle w:val="10"/>
        <w:tabs>
          <w:tab w:val="right" w:leader="dot" w:pos="8550"/>
        </w:tabs>
        <w:spacing w:line="360" w:lineRule="auto"/>
        <w:rPr>
          <w:rFonts w:ascii="宋体" w:hAnsi="宋体" w:cstheme="minorBidi"/>
          <w:sz w:val="24"/>
        </w:rPr>
      </w:pPr>
      <w:r>
        <w:fldChar w:fldCharType="begin"/>
      </w:r>
      <w:r>
        <w:instrText xml:space="preserve"> HYPERLINK \l "_Toc216956595" </w:instrText>
      </w:r>
      <w:r>
        <w:fldChar w:fldCharType="separate"/>
      </w:r>
      <w:r>
        <w:rPr>
          <w:rStyle w:val="18"/>
          <w:rFonts w:hint="eastAsia" w:ascii="宋体" w:hAnsi="宋体"/>
          <w:sz w:val="24"/>
        </w:rPr>
        <w:t>一、绪言</w:t>
      </w:r>
      <w:r>
        <w:rPr>
          <w:rFonts w:ascii="宋体" w:hAnsi="宋体"/>
          <w:sz w:val="24"/>
        </w:rPr>
        <w:tab/>
      </w:r>
      <w:r>
        <w:rPr>
          <w:rFonts w:ascii="宋体" w:hAnsi="宋体"/>
          <w:sz w:val="24"/>
        </w:rPr>
        <w:fldChar w:fldCharType="begin"/>
      </w:r>
      <w:r>
        <w:rPr>
          <w:rFonts w:ascii="宋体" w:hAnsi="宋体"/>
          <w:sz w:val="24"/>
        </w:rPr>
        <w:instrText xml:space="preserve"> PAGEREF _Toc216956595 \h </w:instrText>
      </w:r>
      <w:r>
        <w:rPr>
          <w:rFonts w:ascii="宋体" w:hAnsi="宋体"/>
          <w:sz w:val="24"/>
        </w:rPr>
        <w:fldChar w:fldCharType="separate"/>
      </w:r>
      <w:r>
        <w:rPr>
          <w:rFonts w:ascii="宋体" w:hAnsi="宋体"/>
          <w:sz w:val="24"/>
        </w:rPr>
        <w:t>3</w:t>
      </w:r>
      <w:r>
        <w:rPr>
          <w:rFonts w:ascii="宋体" w:hAnsi="宋体"/>
          <w:sz w:val="24"/>
        </w:rPr>
        <w:fldChar w:fldCharType="end"/>
      </w:r>
      <w:r>
        <w:rPr>
          <w:rFonts w:ascii="宋体" w:hAnsi="宋体"/>
          <w:sz w:val="24"/>
        </w:rPr>
        <w:fldChar w:fldCharType="end"/>
      </w:r>
    </w:p>
    <w:p w14:paraId="35B8FD25">
      <w:pPr>
        <w:pStyle w:val="10"/>
        <w:tabs>
          <w:tab w:val="right" w:leader="dot" w:pos="8550"/>
        </w:tabs>
        <w:spacing w:line="360" w:lineRule="auto"/>
        <w:rPr>
          <w:rFonts w:ascii="宋体" w:hAnsi="宋体" w:cstheme="minorBidi"/>
          <w:sz w:val="24"/>
        </w:rPr>
      </w:pPr>
      <w:r>
        <w:fldChar w:fldCharType="begin"/>
      </w:r>
      <w:r>
        <w:instrText xml:space="preserve"> HYPERLINK \l "_Toc216956596" </w:instrText>
      </w:r>
      <w:r>
        <w:fldChar w:fldCharType="separate"/>
      </w:r>
      <w:r>
        <w:rPr>
          <w:rStyle w:val="18"/>
          <w:rFonts w:hint="eastAsia" w:ascii="宋体" w:hAnsi="宋体"/>
          <w:sz w:val="24"/>
        </w:rPr>
        <w:t>二、释义</w:t>
      </w:r>
      <w:r>
        <w:rPr>
          <w:rFonts w:ascii="宋体" w:hAnsi="宋体"/>
          <w:sz w:val="24"/>
        </w:rPr>
        <w:tab/>
      </w:r>
      <w:r>
        <w:rPr>
          <w:rFonts w:ascii="宋体" w:hAnsi="宋体"/>
          <w:sz w:val="24"/>
        </w:rPr>
        <w:fldChar w:fldCharType="begin"/>
      </w:r>
      <w:r>
        <w:rPr>
          <w:rFonts w:ascii="宋体" w:hAnsi="宋体"/>
          <w:sz w:val="24"/>
        </w:rPr>
        <w:instrText xml:space="preserve"> PAGEREF _Toc216956596 \h </w:instrText>
      </w:r>
      <w:r>
        <w:rPr>
          <w:rFonts w:ascii="宋体" w:hAnsi="宋体"/>
          <w:sz w:val="24"/>
        </w:rPr>
        <w:fldChar w:fldCharType="separate"/>
      </w:r>
      <w:r>
        <w:rPr>
          <w:rFonts w:ascii="宋体" w:hAnsi="宋体"/>
          <w:sz w:val="24"/>
        </w:rPr>
        <w:t>4</w:t>
      </w:r>
      <w:r>
        <w:rPr>
          <w:rFonts w:ascii="宋体" w:hAnsi="宋体"/>
          <w:sz w:val="24"/>
        </w:rPr>
        <w:fldChar w:fldCharType="end"/>
      </w:r>
      <w:r>
        <w:rPr>
          <w:rFonts w:ascii="宋体" w:hAnsi="宋体"/>
          <w:sz w:val="24"/>
        </w:rPr>
        <w:fldChar w:fldCharType="end"/>
      </w:r>
    </w:p>
    <w:p w14:paraId="39957796">
      <w:pPr>
        <w:pStyle w:val="10"/>
        <w:tabs>
          <w:tab w:val="right" w:leader="dot" w:pos="8550"/>
        </w:tabs>
        <w:spacing w:line="360" w:lineRule="auto"/>
        <w:rPr>
          <w:rFonts w:ascii="宋体" w:hAnsi="宋体" w:cstheme="minorBidi"/>
          <w:sz w:val="24"/>
        </w:rPr>
      </w:pPr>
      <w:r>
        <w:fldChar w:fldCharType="begin"/>
      </w:r>
      <w:r>
        <w:instrText xml:space="preserve"> HYPERLINK \l "_Toc216956597" </w:instrText>
      </w:r>
      <w:r>
        <w:fldChar w:fldCharType="separate"/>
      </w:r>
      <w:r>
        <w:rPr>
          <w:rStyle w:val="18"/>
          <w:rFonts w:hint="eastAsia" w:ascii="宋体" w:hAnsi="宋体"/>
          <w:sz w:val="24"/>
        </w:rPr>
        <w:t>三、基金管理人</w:t>
      </w:r>
      <w:r>
        <w:rPr>
          <w:rFonts w:ascii="宋体" w:hAnsi="宋体"/>
          <w:sz w:val="24"/>
        </w:rPr>
        <w:tab/>
      </w:r>
      <w:r>
        <w:rPr>
          <w:rFonts w:ascii="宋体" w:hAnsi="宋体"/>
          <w:sz w:val="24"/>
        </w:rPr>
        <w:fldChar w:fldCharType="begin"/>
      </w:r>
      <w:r>
        <w:rPr>
          <w:rFonts w:ascii="宋体" w:hAnsi="宋体"/>
          <w:sz w:val="24"/>
        </w:rPr>
        <w:instrText xml:space="preserve"> PAGEREF _Toc216956597 \h </w:instrText>
      </w:r>
      <w:r>
        <w:rPr>
          <w:rFonts w:ascii="宋体" w:hAnsi="宋体"/>
          <w:sz w:val="24"/>
        </w:rPr>
        <w:fldChar w:fldCharType="separate"/>
      </w:r>
      <w:r>
        <w:rPr>
          <w:rFonts w:ascii="宋体" w:hAnsi="宋体"/>
          <w:sz w:val="24"/>
        </w:rPr>
        <w:t>10</w:t>
      </w:r>
      <w:r>
        <w:rPr>
          <w:rFonts w:ascii="宋体" w:hAnsi="宋体"/>
          <w:sz w:val="24"/>
        </w:rPr>
        <w:fldChar w:fldCharType="end"/>
      </w:r>
      <w:r>
        <w:rPr>
          <w:rFonts w:ascii="宋体" w:hAnsi="宋体"/>
          <w:sz w:val="24"/>
        </w:rPr>
        <w:fldChar w:fldCharType="end"/>
      </w:r>
    </w:p>
    <w:p w14:paraId="520697EF">
      <w:pPr>
        <w:pStyle w:val="10"/>
        <w:tabs>
          <w:tab w:val="right" w:leader="dot" w:pos="8550"/>
        </w:tabs>
        <w:spacing w:line="360" w:lineRule="auto"/>
        <w:rPr>
          <w:rFonts w:ascii="宋体" w:hAnsi="宋体" w:cstheme="minorBidi"/>
          <w:sz w:val="24"/>
        </w:rPr>
      </w:pPr>
      <w:r>
        <w:fldChar w:fldCharType="begin"/>
      </w:r>
      <w:r>
        <w:instrText xml:space="preserve"> HYPERLINK \l "_Toc216956598" </w:instrText>
      </w:r>
      <w:r>
        <w:fldChar w:fldCharType="separate"/>
      </w:r>
      <w:r>
        <w:rPr>
          <w:rStyle w:val="18"/>
          <w:rFonts w:hint="eastAsia" w:ascii="宋体" w:hAnsi="宋体"/>
          <w:sz w:val="24"/>
        </w:rPr>
        <w:t>四、基金托管人</w:t>
      </w:r>
      <w:r>
        <w:rPr>
          <w:rFonts w:ascii="宋体" w:hAnsi="宋体"/>
          <w:sz w:val="24"/>
        </w:rPr>
        <w:tab/>
      </w:r>
      <w:r>
        <w:rPr>
          <w:rFonts w:ascii="宋体" w:hAnsi="宋体"/>
          <w:sz w:val="24"/>
        </w:rPr>
        <w:fldChar w:fldCharType="begin"/>
      </w:r>
      <w:r>
        <w:rPr>
          <w:rFonts w:ascii="宋体" w:hAnsi="宋体"/>
          <w:sz w:val="24"/>
        </w:rPr>
        <w:instrText xml:space="preserve"> PAGEREF _Toc216956598 \h </w:instrText>
      </w:r>
      <w:r>
        <w:rPr>
          <w:rFonts w:ascii="宋体" w:hAnsi="宋体"/>
          <w:sz w:val="24"/>
        </w:rPr>
        <w:fldChar w:fldCharType="separate"/>
      </w:r>
      <w:r>
        <w:rPr>
          <w:rFonts w:ascii="宋体" w:hAnsi="宋体"/>
          <w:sz w:val="24"/>
        </w:rPr>
        <w:t>18</w:t>
      </w:r>
      <w:r>
        <w:rPr>
          <w:rFonts w:ascii="宋体" w:hAnsi="宋体"/>
          <w:sz w:val="24"/>
        </w:rPr>
        <w:fldChar w:fldCharType="end"/>
      </w:r>
      <w:r>
        <w:rPr>
          <w:rFonts w:ascii="宋体" w:hAnsi="宋体"/>
          <w:sz w:val="24"/>
        </w:rPr>
        <w:fldChar w:fldCharType="end"/>
      </w:r>
    </w:p>
    <w:p w14:paraId="17382011">
      <w:pPr>
        <w:pStyle w:val="10"/>
        <w:tabs>
          <w:tab w:val="right" w:leader="dot" w:pos="8550"/>
        </w:tabs>
        <w:spacing w:line="360" w:lineRule="auto"/>
        <w:rPr>
          <w:rFonts w:ascii="宋体" w:hAnsi="宋体" w:cstheme="minorBidi"/>
          <w:sz w:val="24"/>
        </w:rPr>
      </w:pPr>
      <w:r>
        <w:fldChar w:fldCharType="begin"/>
      </w:r>
      <w:r>
        <w:instrText xml:space="preserve"> HYPERLINK \l "_Toc216956599" </w:instrText>
      </w:r>
      <w:r>
        <w:fldChar w:fldCharType="separate"/>
      </w:r>
      <w:r>
        <w:rPr>
          <w:rStyle w:val="18"/>
          <w:rFonts w:hint="eastAsia" w:ascii="宋体" w:hAnsi="宋体"/>
          <w:sz w:val="24"/>
        </w:rPr>
        <w:t>五、相关服务机构</w:t>
      </w:r>
      <w:r>
        <w:rPr>
          <w:rFonts w:ascii="宋体" w:hAnsi="宋体"/>
          <w:sz w:val="24"/>
        </w:rPr>
        <w:tab/>
      </w:r>
      <w:r>
        <w:rPr>
          <w:rFonts w:ascii="宋体" w:hAnsi="宋体"/>
          <w:sz w:val="24"/>
        </w:rPr>
        <w:fldChar w:fldCharType="begin"/>
      </w:r>
      <w:r>
        <w:rPr>
          <w:rFonts w:ascii="宋体" w:hAnsi="宋体"/>
          <w:sz w:val="24"/>
        </w:rPr>
        <w:instrText xml:space="preserve"> PAGEREF _Toc216956599 \h </w:instrText>
      </w:r>
      <w:r>
        <w:rPr>
          <w:rFonts w:ascii="宋体" w:hAnsi="宋体"/>
          <w:sz w:val="24"/>
        </w:rPr>
        <w:fldChar w:fldCharType="separate"/>
      </w:r>
      <w:r>
        <w:rPr>
          <w:rFonts w:ascii="宋体" w:hAnsi="宋体"/>
          <w:sz w:val="24"/>
        </w:rPr>
        <w:t>21</w:t>
      </w:r>
      <w:r>
        <w:rPr>
          <w:rFonts w:ascii="宋体" w:hAnsi="宋体"/>
          <w:sz w:val="24"/>
        </w:rPr>
        <w:fldChar w:fldCharType="end"/>
      </w:r>
      <w:r>
        <w:rPr>
          <w:rFonts w:ascii="宋体" w:hAnsi="宋体"/>
          <w:sz w:val="24"/>
        </w:rPr>
        <w:fldChar w:fldCharType="end"/>
      </w:r>
    </w:p>
    <w:p w14:paraId="3BD1E5B6">
      <w:pPr>
        <w:pStyle w:val="10"/>
        <w:tabs>
          <w:tab w:val="right" w:leader="dot" w:pos="8550"/>
        </w:tabs>
        <w:spacing w:line="360" w:lineRule="auto"/>
        <w:rPr>
          <w:rFonts w:ascii="宋体" w:hAnsi="宋体" w:cstheme="minorBidi"/>
          <w:sz w:val="24"/>
        </w:rPr>
      </w:pPr>
      <w:r>
        <w:fldChar w:fldCharType="begin"/>
      </w:r>
      <w:r>
        <w:instrText xml:space="preserve"> HYPERLINK \l "_Toc216956600" </w:instrText>
      </w:r>
      <w:r>
        <w:fldChar w:fldCharType="separate"/>
      </w:r>
      <w:r>
        <w:rPr>
          <w:rStyle w:val="18"/>
          <w:rFonts w:hint="eastAsia" w:ascii="宋体" w:hAnsi="宋体"/>
          <w:sz w:val="24"/>
        </w:rPr>
        <w:t>六、基金的募集</w:t>
      </w:r>
      <w:r>
        <w:rPr>
          <w:rFonts w:ascii="宋体" w:hAnsi="宋体"/>
          <w:sz w:val="24"/>
        </w:rPr>
        <w:tab/>
      </w:r>
      <w:r>
        <w:rPr>
          <w:rFonts w:ascii="宋体" w:hAnsi="宋体"/>
          <w:sz w:val="24"/>
        </w:rPr>
        <w:fldChar w:fldCharType="begin"/>
      </w:r>
      <w:r>
        <w:rPr>
          <w:rFonts w:ascii="宋体" w:hAnsi="宋体"/>
          <w:sz w:val="24"/>
        </w:rPr>
        <w:instrText xml:space="preserve"> PAGEREF _Toc216956600 \h </w:instrText>
      </w:r>
      <w:r>
        <w:rPr>
          <w:rFonts w:ascii="宋体" w:hAnsi="宋体"/>
          <w:sz w:val="24"/>
        </w:rPr>
        <w:fldChar w:fldCharType="separate"/>
      </w:r>
      <w:r>
        <w:rPr>
          <w:rFonts w:ascii="宋体" w:hAnsi="宋体"/>
          <w:sz w:val="24"/>
        </w:rPr>
        <w:t>60</w:t>
      </w:r>
      <w:r>
        <w:rPr>
          <w:rFonts w:ascii="宋体" w:hAnsi="宋体"/>
          <w:sz w:val="24"/>
        </w:rPr>
        <w:fldChar w:fldCharType="end"/>
      </w:r>
      <w:r>
        <w:rPr>
          <w:rFonts w:ascii="宋体" w:hAnsi="宋体"/>
          <w:sz w:val="24"/>
        </w:rPr>
        <w:fldChar w:fldCharType="end"/>
      </w:r>
    </w:p>
    <w:p w14:paraId="65217986">
      <w:pPr>
        <w:pStyle w:val="10"/>
        <w:tabs>
          <w:tab w:val="right" w:leader="dot" w:pos="8550"/>
        </w:tabs>
        <w:spacing w:line="360" w:lineRule="auto"/>
        <w:rPr>
          <w:rFonts w:ascii="宋体" w:hAnsi="宋体" w:cstheme="minorBidi"/>
          <w:sz w:val="24"/>
        </w:rPr>
      </w:pPr>
      <w:r>
        <w:fldChar w:fldCharType="begin"/>
      </w:r>
      <w:r>
        <w:instrText xml:space="preserve"> HYPERLINK \l "_Toc216956601" </w:instrText>
      </w:r>
      <w:r>
        <w:fldChar w:fldCharType="separate"/>
      </w:r>
      <w:r>
        <w:rPr>
          <w:rStyle w:val="18"/>
          <w:rFonts w:hint="eastAsia" w:ascii="宋体" w:hAnsi="宋体"/>
          <w:sz w:val="24"/>
        </w:rPr>
        <w:t>七、基金合同的生效</w:t>
      </w:r>
      <w:r>
        <w:rPr>
          <w:rFonts w:ascii="宋体" w:hAnsi="宋体"/>
          <w:sz w:val="24"/>
        </w:rPr>
        <w:tab/>
      </w:r>
      <w:r>
        <w:rPr>
          <w:rFonts w:ascii="宋体" w:hAnsi="宋体"/>
          <w:sz w:val="24"/>
        </w:rPr>
        <w:fldChar w:fldCharType="begin"/>
      </w:r>
      <w:r>
        <w:rPr>
          <w:rFonts w:ascii="宋体" w:hAnsi="宋体"/>
          <w:sz w:val="24"/>
        </w:rPr>
        <w:instrText xml:space="preserve"> PAGEREF _Toc216956601 \h </w:instrText>
      </w:r>
      <w:r>
        <w:rPr>
          <w:rFonts w:ascii="宋体" w:hAnsi="宋体"/>
          <w:sz w:val="24"/>
        </w:rPr>
        <w:fldChar w:fldCharType="separate"/>
      </w:r>
      <w:r>
        <w:rPr>
          <w:rFonts w:ascii="宋体" w:hAnsi="宋体"/>
          <w:sz w:val="24"/>
        </w:rPr>
        <w:t>61</w:t>
      </w:r>
      <w:r>
        <w:rPr>
          <w:rFonts w:ascii="宋体" w:hAnsi="宋体"/>
          <w:sz w:val="24"/>
        </w:rPr>
        <w:fldChar w:fldCharType="end"/>
      </w:r>
      <w:r>
        <w:rPr>
          <w:rFonts w:ascii="宋体" w:hAnsi="宋体"/>
          <w:sz w:val="24"/>
        </w:rPr>
        <w:fldChar w:fldCharType="end"/>
      </w:r>
    </w:p>
    <w:p w14:paraId="798C3175">
      <w:pPr>
        <w:pStyle w:val="10"/>
        <w:tabs>
          <w:tab w:val="right" w:leader="dot" w:pos="8550"/>
        </w:tabs>
        <w:spacing w:line="360" w:lineRule="auto"/>
        <w:rPr>
          <w:rFonts w:ascii="宋体" w:hAnsi="宋体" w:cstheme="minorBidi"/>
          <w:sz w:val="24"/>
        </w:rPr>
      </w:pPr>
      <w:r>
        <w:fldChar w:fldCharType="begin"/>
      </w:r>
      <w:r>
        <w:instrText xml:space="preserve"> HYPERLINK \l "_Toc216956602" </w:instrText>
      </w:r>
      <w:r>
        <w:fldChar w:fldCharType="separate"/>
      </w:r>
      <w:r>
        <w:rPr>
          <w:rStyle w:val="18"/>
          <w:rFonts w:hint="eastAsia" w:ascii="宋体" w:hAnsi="宋体"/>
          <w:sz w:val="24"/>
        </w:rPr>
        <w:t>八、基金份额的申购与赎回</w:t>
      </w:r>
      <w:r>
        <w:rPr>
          <w:rFonts w:ascii="宋体" w:hAnsi="宋体"/>
          <w:sz w:val="24"/>
        </w:rPr>
        <w:tab/>
      </w:r>
      <w:r>
        <w:rPr>
          <w:rFonts w:ascii="宋体" w:hAnsi="宋体"/>
          <w:sz w:val="24"/>
        </w:rPr>
        <w:fldChar w:fldCharType="begin"/>
      </w:r>
      <w:r>
        <w:rPr>
          <w:rFonts w:ascii="宋体" w:hAnsi="宋体"/>
          <w:sz w:val="24"/>
        </w:rPr>
        <w:instrText xml:space="preserve"> PAGEREF _Toc216956602 \h </w:instrText>
      </w:r>
      <w:r>
        <w:rPr>
          <w:rFonts w:ascii="宋体" w:hAnsi="宋体"/>
          <w:sz w:val="24"/>
        </w:rPr>
        <w:fldChar w:fldCharType="separate"/>
      </w:r>
      <w:r>
        <w:rPr>
          <w:rFonts w:ascii="宋体" w:hAnsi="宋体"/>
          <w:sz w:val="24"/>
        </w:rPr>
        <w:t>62</w:t>
      </w:r>
      <w:r>
        <w:rPr>
          <w:rFonts w:ascii="宋体" w:hAnsi="宋体"/>
          <w:sz w:val="24"/>
        </w:rPr>
        <w:fldChar w:fldCharType="end"/>
      </w:r>
      <w:r>
        <w:rPr>
          <w:rFonts w:ascii="宋体" w:hAnsi="宋体"/>
          <w:sz w:val="24"/>
        </w:rPr>
        <w:fldChar w:fldCharType="end"/>
      </w:r>
    </w:p>
    <w:p w14:paraId="7189C2BA">
      <w:pPr>
        <w:pStyle w:val="10"/>
        <w:tabs>
          <w:tab w:val="right" w:leader="dot" w:pos="8550"/>
        </w:tabs>
        <w:spacing w:line="360" w:lineRule="auto"/>
        <w:rPr>
          <w:rFonts w:ascii="宋体" w:hAnsi="宋体" w:cstheme="minorBidi"/>
          <w:sz w:val="24"/>
        </w:rPr>
      </w:pPr>
      <w:r>
        <w:fldChar w:fldCharType="begin"/>
      </w:r>
      <w:r>
        <w:instrText xml:space="preserve"> HYPERLINK \l "_Toc216956603" </w:instrText>
      </w:r>
      <w:r>
        <w:fldChar w:fldCharType="separate"/>
      </w:r>
      <w:r>
        <w:rPr>
          <w:rStyle w:val="18"/>
          <w:rFonts w:hint="eastAsia" w:ascii="宋体" w:hAnsi="宋体"/>
          <w:sz w:val="24"/>
        </w:rPr>
        <w:t>九、基金的转换</w:t>
      </w:r>
      <w:r>
        <w:rPr>
          <w:rFonts w:ascii="宋体" w:hAnsi="宋体"/>
          <w:sz w:val="24"/>
        </w:rPr>
        <w:tab/>
      </w:r>
      <w:r>
        <w:rPr>
          <w:rFonts w:ascii="宋体" w:hAnsi="宋体"/>
          <w:sz w:val="24"/>
        </w:rPr>
        <w:fldChar w:fldCharType="begin"/>
      </w:r>
      <w:r>
        <w:rPr>
          <w:rFonts w:ascii="宋体" w:hAnsi="宋体"/>
          <w:sz w:val="24"/>
        </w:rPr>
        <w:instrText xml:space="preserve"> PAGEREF _Toc216956603 \h </w:instrText>
      </w:r>
      <w:r>
        <w:rPr>
          <w:rFonts w:ascii="宋体" w:hAnsi="宋体"/>
          <w:sz w:val="24"/>
        </w:rPr>
        <w:fldChar w:fldCharType="separate"/>
      </w:r>
      <w:r>
        <w:rPr>
          <w:rFonts w:ascii="宋体" w:hAnsi="宋体"/>
          <w:sz w:val="24"/>
        </w:rPr>
        <w:t>77</w:t>
      </w:r>
      <w:r>
        <w:rPr>
          <w:rFonts w:ascii="宋体" w:hAnsi="宋体"/>
          <w:sz w:val="24"/>
        </w:rPr>
        <w:fldChar w:fldCharType="end"/>
      </w:r>
      <w:r>
        <w:rPr>
          <w:rFonts w:ascii="宋体" w:hAnsi="宋体"/>
          <w:sz w:val="24"/>
        </w:rPr>
        <w:fldChar w:fldCharType="end"/>
      </w:r>
    </w:p>
    <w:p w14:paraId="55988DB0">
      <w:pPr>
        <w:pStyle w:val="10"/>
        <w:tabs>
          <w:tab w:val="right" w:leader="dot" w:pos="8550"/>
        </w:tabs>
        <w:spacing w:line="360" w:lineRule="auto"/>
        <w:rPr>
          <w:rFonts w:ascii="宋体" w:hAnsi="宋体" w:cstheme="minorBidi"/>
          <w:sz w:val="24"/>
        </w:rPr>
      </w:pPr>
      <w:r>
        <w:fldChar w:fldCharType="begin"/>
      </w:r>
      <w:r>
        <w:instrText xml:space="preserve"> HYPERLINK \l "_Toc216956604" </w:instrText>
      </w:r>
      <w:r>
        <w:fldChar w:fldCharType="separate"/>
      </w:r>
      <w:r>
        <w:rPr>
          <w:rStyle w:val="18"/>
          <w:rFonts w:hint="eastAsia" w:ascii="宋体" w:hAnsi="宋体"/>
          <w:sz w:val="24"/>
        </w:rPr>
        <w:t>十、基金的投资</w:t>
      </w:r>
      <w:r>
        <w:rPr>
          <w:rFonts w:ascii="宋体" w:hAnsi="宋体"/>
          <w:sz w:val="24"/>
        </w:rPr>
        <w:tab/>
      </w:r>
      <w:r>
        <w:rPr>
          <w:rFonts w:ascii="宋体" w:hAnsi="宋体"/>
          <w:sz w:val="24"/>
        </w:rPr>
        <w:fldChar w:fldCharType="begin"/>
      </w:r>
      <w:r>
        <w:rPr>
          <w:rFonts w:ascii="宋体" w:hAnsi="宋体"/>
          <w:sz w:val="24"/>
        </w:rPr>
        <w:instrText xml:space="preserve"> PAGEREF _Toc216956604 \h </w:instrText>
      </w:r>
      <w:r>
        <w:rPr>
          <w:rFonts w:ascii="宋体" w:hAnsi="宋体"/>
          <w:sz w:val="24"/>
        </w:rPr>
        <w:fldChar w:fldCharType="separate"/>
      </w:r>
      <w:r>
        <w:rPr>
          <w:rFonts w:ascii="宋体" w:hAnsi="宋体"/>
          <w:sz w:val="24"/>
        </w:rPr>
        <w:t>84</w:t>
      </w:r>
      <w:r>
        <w:rPr>
          <w:rFonts w:ascii="宋体" w:hAnsi="宋体"/>
          <w:sz w:val="24"/>
        </w:rPr>
        <w:fldChar w:fldCharType="end"/>
      </w:r>
      <w:r>
        <w:rPr>
          <w:rFonts w:ascii="宋体" w:hAnsi="宋体"/>
          <w:sz w:val="24"/>
        </w:rPr>
        <w:fldChar w:fldCharType="end"/>
      </w:r>
    </w:p>
    <w:p w14:paraId="778860E4">
      <w:pPr>
        <w:pStyle w:val="10"/>
        <w:tabs>
          <w:tab w:val="right" w:leader="dot" w:pos="8550"/>
        </w:tabs>
        <w:spacing w:line="360" w:lineRule="auto"/>
        <w:rPr>
          <w:rFonts w:ascii="宋体" w:hAnsi="宋体" w:cstheme="minorBidi"/>
          <w:sz w:val="24"/>
        </w:rPr>
      </w:pPr>
      <w:r>
        <w:fldChar w:fldCharType="begin"/>
      </w:r>
      <w:r>
        <w:instrText xml:space="preserve"> HYPERLINK \l "_Toc216956605" </w:instrText>
      </w:r>
      <w:r>
        <w:fldChar w:fldCharType="separate"/>
      </w:r>
      <w:r>
        <w:rPr>
          <w:rStyle w:val="18"/>
          <w:rFonts w:hint="eastAsia" w:ascii="宋体" w:hAnsi="宋体"/>
          <w:sz w:val="24"/>
        </w:rPr>
        <w:t>十一、基金的业绩</w:t>
      </w:r>
      <w:r>
        <w:rPr>
          <w:rFonts w:ascii="宋体" w:hAnsi="宋体"/>
          <w:sz w:val="24"/>
        </w:rPr>
        <w:tab/>
      </w:r>
      <w:r>
        <w:rPr>
          <w:rFonts w:ascii="宋体" w:hAnsi="宋体"/>
          <w:sz w:val="24"/>
        </w:rPr>
        <w:fldChar w:fldCharType="begin"/>
      </w:r>
      <w:r>
        <w:rPr>
          <w:rFonts w:ascii="宋体" w:hAnsi="宋体"/>
          <w:sz w:val="24"/>
        </w:rPr>
        <w:instrText xml:space="preserve"> PAGEREF _Toc216956605 \h </w:instrText>
      </w:r>
      <w:r>
        <w:rPr>
          <w:rFonts w:ascii="宋体" w:hAnsi="宋体"/>
          <w:sz w:val="24"/>
        </w:rPr>
        <w:fldChar w:fldCharType="separate"/>
      </w:r>
      <w:r>
        <w:rPr>
          <w:rFonts w:ascii="宋体" w:hAnsi="宋体"/>
          <w:sz w:val="24"/>
        </w:rPr>
        <w:t>101</w:t>
      </w:r>
      <w:r>
        <w:rPr>
          <w:rFonts w:ascii="宋体" w:hAnsi="宋体"/>
          <w:sz w:val="24"/>
        </w:rPr>
        <w:fldChar w:fldCharType="end"/>
      </w:r>
      <w:r>
        <w:rPr>
          <w:rFonts w:ascii="宋体" w:hAnsi="宋体"/>
          <w:sz w:val="24"/>
        </w:rPr>
        <w:fldChar w:fldCharType="end"/>
      </w:r>
    </w:p>
    <w:p w14:paraId="497B17BE">
      <w:pPr>
        <w:pStyle w:val="10"/>
        <w:tabs>
          <w:tab w:val="right" w:leader="dot" w:pos="8550"/>
        </w:tabs>
        <w:spacing w:line="360" w:lineRule="auto"/>
        <w:rPr>
          <w:rFonts w:ascii="宋体" w:hAnsi="宋体" w:cstheme="minorBidi"/>
          <w:sz w:val="24"/>
        </w:rPr>
      </w:pPr>
      <w:r>
        <w:fldChar w:fldCharType="begin"/>
      </w:r>
      <w:r>
        <w:instrText xml:space="preserve"> HYPERLINK \l "_Toc216956606" </w:instrText>
      </w:r>
      <w:r>
        <w:fldChar w:fldCharType="separate"/>
      </w:r>
      <w:r>
        <w:rPr>
          <w:rStyle w:val="18"/>
          <w:rFonts w:hint="eastAsia" w:ascii="宋体" w:hAnsi="宋体"/>
          <w:sz w:val="24"/>
        </w:rPr>
        <w:t>十二、基金的财产</w:t>
      </w:r>
      <w:r>
        <w:rPr>
          <w:rFonts w:ascii="宋体" w:hAnsi="宋体"/>
          <w:sz w:val="24"/>
        </w:rPr>
        <w:tab/>
      </w:r>
      <w:r>
        <w:rPr>
          <w:rFonts w:ascii="宋体" w:hAnsi="宋体"/>
          <w:sz w:val="24"/>
        </w:rPr>
        <w:fldChar w:fldCharType="begin"/>
      </w:r>
      <w:r>
        <w:rPr>
          <w:rFonts w:ascii="宋体" w:hAnsi="宋体"/>
          <w:sz w:val="24"/>
        </w:rPr>
        <w:instrText xml:space="preserve"> PAGEREF _Toc216956606 \h </w:instrText>
      </w:r>
      <w:r>
        <w:rPr>
          <w:rFonts w:ascii="宋体" w:hAnsi="宋体"/>
          <w:sz w:val="24"/>
        </w:rPr>
        <w:fldChar w:fldCharType="separate"/>
      </w:r>
      <w:r>
        <w:rPr>
          <w:rFonts w:ascii="宋体" w:hAnsi="宋体"/>
          <w:sz w:val="24"/>
        </w:rPr>
        <w:t>107</w:t>
      </w:r>
      <w:r>
        <w:rPr>
          <w:rFonts w:ascii="宋体" w:hAnsi="宋体"/>
          <w:sz w:val="24"/>
        </w:rPr>
        <w:fldChar w:fldCharType="end"/>
      </w:r>
      <w:r>
        <w:rPr>
          <w:rFonts w:ascii="宋体" w:hAnsi="宋体"/>
          <w:sz w:val="24"/>
        </w:rPr>
        <w:fldChar w:fldCharType="end"/>
      </w:r>
    </w:p>
    <w:p w14:paraId="3DB16A3D">
      <w:pPr>
        <w:pStyle w:val="10"/>
        <w:tabs>
          <w:tab w:val="right" w:leader="dot" w:pos="8550"/>
        </w:tabs>
        <w:spacing w:line="360" w:lineRule="auto"/>
        <w:rPr>
          <w:rFonts w:ascii="宋体" w:hAnsi="宋体" w:cstheme="minorBidi"/>
          <w:sz w:val="24"/>
        </w:rPr>
      </w:pPr>
      <w:r>
        <w:fldChar w:fldCharType="begin"/>
      </w:r>
      <w:r>
        <w:instrText xml:space="preserve"> HYPERLINK \l "_Toc216956607" </w:instrText>
      </w:r>
      <w:r>
        <w:fldChar w:fldCharType="separate"/>
      </w:r>
      <w:r>
        <w:rPr>
          <w:rStyle w:val="18"/>
          <w:rFonts w:hint="eastAsia" w:ascii="宋体" w:hAnsi="宋体"/>
          <w:sz w:val="24"/>
        </w:rPr>
        <w:t>十三、基金资产的估值</w:t>
      </w:r>
      <w:r>
        <w:rPr>
          <w:rFonts w:ascii="宋体" w:hAnsi="宋体"/>
          <w:sz w:val="24"/>
        </w:rPr>
        <w:tab/>
      </w:r>
      <w:r>
        <w:rPr>
          <w:rFonts w:ascii="宋体" w:hAnsi="宋体"/>
          <w:sz w:val="24"/>
        </w:rPr>
        <w:fldChar w:fldCharType="begin"/>
      </w:r>
      <w:r>
        <w:rPr>
          <w:rFonts w:ascii="宋体" w:hAnsi="宋体"/>
          <w:sz w:val="24"/>
        </w:rPr>
        <w:instrText xml:space="preserve"> PAGEREF _Toc216956607 \h </w:instrText>
      </w:r>
      <w:r>
        <w:rPr>
          <w:rFonts w:ascii="宋体" w:hAnsi="宋体"/>
          <w:sz w:val="24"/>
        </w:rPr>
        <w:fldChar w:fldCharType="separate"/>
      </w:r>
      <w:r>
        <w:rPr>
          <w:rFonts w:ascii="宋体" w:hAnsi="宋体"/>
          <w:sz w:val="24"/>
        </w:rPr>
        <w:t>108</w:t>
      </w:r>
      <w:r>
        <w:rPr>
          <w:rFonts w:ascii="宋体" w:hAnsi="宋体"/>
          <w:sz w:val="24"/>
        </w:rPr>
        <w:fldChar w:fldCharType="end"/>
      </w:r>
      <w:r>
        <w:rPr>
          <w:rFonts w:ascii="宋体" w:hAnsi="宋体"/>
          <w:sz w:val="24"/>
        </w:rPr>
        <w:fldChar w:fldCharType="end"/>
      </w:r>
    </w:p>
    <w:p w14:paraId="01F35B3E">
      <w:pPr>
        <w:pStyle w:val="10"/>
        <w:tabs>
          <w:tab w:val="right" w:leader="dot" w:pos="8550"/>
        </w:tabs>
        <w:spacing w:line="360" w:lineRule="auto"/>
        <w:rPr>
          <w:rFonts w:ascii="宋体" w:hAnsi="宋体" w:cstheme="minorBidi"/>
          <w:sz w:val="24"/>
        </w:rPr>
      </w:pPr>
      <w:r>
        <w:fldChar w:fldCharType="begin"/>
      </w:r>
      <w:r>
        <w:instrText xml:space="preserve"> HYPERLINK \l "_Toc216956608" </w:instrText>
      </w:r>
      <w:r>
        <w:fldChar w:fldCharType="separate"/>
      </w:r>
      <w:r>
        <w:rPr>
          <w:rStyle w:val="18"/>
          <w:rFonts w:hint="eastAsia" w:ascii="宋体" w:hAnsi="宋体"/>
          <w:sz w:val="24"/>
        </w:rPr>
        <w:t>十四、基金的收益与分配</w:t>
      </w:r>
      <w:r>
        <w:rPr>
          <w:rFonts w:ascii="宋体" w:hAnsi="宋体"/>
          <w:sz w:val="24"/>
        </w:rPr>
        <w:tab/>
      </w:r>
      <w:r>
        <w:rPr>
          <w:rFonts w:ascii="宋体" w:hAnsi="宋体"/>
          <w:sz w:val="24"/>
        </w:rPr>
        <w:fldChar w:fldCharType="begin"/>
      </w:r>
      <w:r>
        <w:rPr>
          <w:rFonts w:ascii="宋体" w:hAnsi="宋体"/>
          <w:sz w:val="24"/>
        </w:rPr>
        <w:instrText xml:space="preserve"> PAGEREF _Toc216956608 \h </w:instrText>
      </w:r>
      <w:r>
        <w:rPr>
          <w:rFonts w:ascii="宋体" w:hAnsi="宋体"/>
          <w:sz w:val="24"/>
        </w:rPr>
        <w:fldChar w:fldCharType="separate"/>
      </w:r>
      <w:r>
        <w:rPr>
          <w:rFonts w:ascii="宋体" w:hAnsi="宋体"/>
          <w:sz w:val="24"/>
        </w:rPr>
        <w:t>114</w:t>
      </w:r>
      <w:r>
        <w:rPr>
          <w:rFonts w:ascii="宋体" w:hAnsi="宋体"/>
          <w:sz w:val="24"/>
        </w:rPr>
        <w:fldChar w:fldCharType="end"/>
      </w:r>
      <w:r>
        <w:rPr>
          <w:rFonts w:ascii="宋体" w:hAnsi="宋体"/>
          <w:sz w:val="24"/>
        </w:rPr>
        <w:fldChar w:fldCharType="end"/>
      </w:r>
    </w:p>
    <w:p w14:paraId="2FC5F8E6">
      <w:pPr>
        <w:pStyle w:val="10"/>
        <w:tabs>
          <w:tab w:val="right" w:leader="dot" w:pos="8550"/>
        </w:tabs>
        <w:spacing w:line="360" w:lineRule="auto"/>
        <w:rPr>
          <w:rFonts w:ascii="宋体" w:hAnsi="宋体" w:cstheme="minorBidi"/>
          <w:sz w:val="24"/>
        </w:rPr>
      </w:pPr>
      <w:r>
        <w:fldChar w:fldCharType="begin"/>
      </w:r>
      <w:r>
        <w:instrText xml:space="preserve"> HYPERLINK \l "_Toc216956609" </w:instrText>
      </w:r>
      <w:r>
        <w:fldChar w:fldCharType="separate"/>
      </w:r>
      <w:r>
        <w:rPr>
          <w:rStyle w:val="18"/>
          <w:rFonts w:hint="eastAsia" w:ascii="宋体" w:hAnsi="宋体"/>
          <w:sz w:val="24"/>
        </w:rPr>
        <w:t>十五、基金的费用与税收</w:t>
      </w:r>
      <w:r>
        <w:rPr>
          <w:rFonts w:ascii="宋体" w:hAnsi="宋体"/>
          <w:sz w:val="24"/>
        </w:rPr>
        <w:tab/>
      </w:r>
      <w:r>
        <w:rPr>
          <w:rFonts w:ascii="宋体" w:hAnsi="宋体"/>
          <w:sz w:val="24"/>
        </w:rPr>
        <w:fldChar w:fldCharType="begin"/>
      </w:r>
      <w:r>
        <w:rPr>
          <w:rFonts w:ascii="宋体" w:hAnsi="宋体"/>
          <w:sz w:val="24"/>
        </w:rPr>
        <w:instrText xml:space="preserve"> PAGEREF _Toc216956609 \h </w:instrText>
      </w:r>
      <w:r>
        <w:rPr>
          <w:rFonts w:ascii="宋体" w:hAnsi="宋体"/>
          <w:sz w:val="24"/>
        </w:rPr>
        <w:fldChar w:fldCharType="separate"/>
      </w:r>
      <w:r>
        <w:rPr>
          <w:rFonts w:ascii="宋体" w:hAnsi="宋体"/>
          <w:sz w:val="24"/>
        </w:rPr>
        <w:t>116</w:t>
      </w:r>
      <w:r>
        <w:rPr>
          <w:rFonts w:ascii="宋体" w:hAnsi="宋体"/>
          <w:sz w:val="24"/>
        </w:rPr>
        <w:fldChar w:fldCharType="end"/>
      </w:r>
      <w:r>
        <w:rPr>
          <w:rFonts w:ascii="宋体" w:hAnsi="宋体"/>
          <w:sz w:val="24"/>
        </w:rPr>
        <w:fldChar w:fldCharType="end"/>
      </w:r>
    </w:p>
    <w:p w14:paraId="2AC3AFE4">
      <w:pPr>
        <w:pStyle w:val="10"/>
        <w:tabs>
          <w:tab w:val="right" w:leader="dot" w:pos="8550"/>
        </w:tabs>
        <w:spacing w:line="360" w:lineRule="auto"/>
        <w:rPr>
          <w:rFonts w:ascii="宋体" w:hAnsi="宋体" w:cstheme="minorBidi"/>
          <w:sz w:val="24"/>
        </w:rPr>
      </w:pPr>
      <w:r>
        <w:fldChar w:fldCharType="begin"/>
      </w:r>
      <w:r>
        <w:instrText xml:space="preserve"> HYPERLINK \l "_Toc216956610" </w:instrText>
      </w:r>
      <w:r>
        <w:fldChar w:fldCharType="separate"/>
      </w:r>
      <w:r>
        <w:rPr>
          <w:rStyle w:val="18"/>
          <w:rFonts w:hint="eastAsia" w:ascii="宋体" w:hAnsi="宋体"/>
          <w:sz w:val="24"/>
        </w:rPr>
        <w:t>十六、基金的会计与审计</w:t>
      </w:r>
      <w:r>
        <w:rPr>
          <w:rFonts w:ascii="宋体" w:hAnsi="宋体"/>
          <w:sz w:val="24"/>
        </w:rPr>
        <w:tab/>
      </w:r>
      <w:r>
        <w:rPr>
          <w:rFonts w:ascii="宋体" w:hAnsi="宋体"/>
          <w:sz w:val="24"/>
        </w:rPr>
        <w:fldChar w:fldCharType="begin"/>
      </w:r>
      <w:r>
        <w:rPr>
          <w:rFonts w:ascii="宋体" w:hAnsi="宋体"/>
          <w:sz w:val="24"/>
        </w:rPr>
        <w:instrText xml:space="preserve"> PAGEREF _Toc216956610 \h </w:instrText>
      </w:r>
      <w:r>
        <w:rPr>
          <w:rFonts w:ascii="宋体" w:hAnsi="宋体"/>
          <w:sz w:val="24"/>
        </w:rPr>
        <w:fldChar w:fldCharType="separate"/>
      </w:r>
      <w:r>
        <w:rPr>
          <w:rFonts w:ascii="宋体" w:hAnsi="宋体"/>
          <w:sz w:val="24"/>
        </w:rPr>
        <w:t>119</w:t>
      </w:r>
      <w:r>
        <w:rPr>
          <w:rFonts w:ascii="宋体" w:hAnsi="宋体"/>
          <w:sz w:val="24"/>
        </w:rPr>
        <w:fldChar w:fldCharType="end"/>
      </w:r>
      <w:r>
        <w:rPr>
          <w:rFonts w:ascii="宋体" w:hAnsi="宋体"/>
          <w:sz w:val="24"/>
        </w:rPr>
        <w:fldChar w:fldCharType="end"/>
      </w:r>
    </w:p>
    <w:p w14:paraId="25D4FD79">
      <w:pPr>
        <w:pStyle w:val="10"/>
        <w:tabs>
          <w:tab w:val="right" w:leader="dot" w:pos="8550"/>
        </w:tabs>
        <w:spacing w:line="360" w:lineRule="auto"/>
        <w:rPr>
          <w:rFonts w:ascii="宋体" w:hAnsi="宋体" w:cstheme="minorBidi"/>
          <w:sz w:val="24"/>
        </w:rPr>
      </w:pPr>
      <w:r>
        <w:fldChar w:fldCharType="begin"/>
      </w:r>
      <w:r>
        <w:instrText xml:space="preserve"> HYPERLINK \l "_Toc216956611" </w:instrText>
      </w:r>
      <w:r>
        <w:fldChar w:fldCharType="separate"/>
      </w:r>
      <w:r>
        <w:rPr>
          <w:rStyle w:val="18"/>
          <w:rFonts w:hint="eastAsia" w:ascii="宋体" w:hAnsi="宋体"/>
          <w:sz w:val="24"/>
        </w:rPr>
        <w:t>十七、基金的信息披露</w:t>
      </w:r>
      <w:r>
        <w:rPr>
          <w:rFonts w:ascii="宋体" w:hAnsi="宋体"/>
          <w:sz w:val="24"/>
        </w:rPr>
        <w:tab/>
      </w:r>
      <w:r>
        <w:rPr>
          <w:rFonts w:ascii="宋体" w:hAnsi="宋体"/>
          <w:sz w:val="24"/>
        </w:rPr>
        <w:fldChar w:fldCharType="begin"/>
      </w:r>
      <w:r>
        <w:rPr>
          <w:rFonts w:ascii="宋体" w:hAnsi="宋体"/>
          <w:sz w:val="24"/>
        </w:rPr>
        <w:instrText xml:space="preserve"> PAGEREF _Toc216956611 \h </w:instrText>
      </w:r>
      <w:r>
        <w:rPr>
          <w:rFonts w:ascii="宋体" w:hAnsi="宋体"/>
          <w:sz w:val="24"/>
        </w:rPr>
        <w:fldChar w:fldCharType="separate"/>
      </w:r>
      <w:r>
        <w:rPr>
          <w:rFonts w:ascii="宋体" w:hAnsi="宋体"/>
          <w:sz w:val="24"/>
        </w:rPr>
        <w:t>120</w:t>
      </w:r>
      <w:r>
        <w:rPr>
          <w:rFonts w:ascii="宋体" w:hAnsi="宋体"/>
          <w:sz w:val="24"/>
        </w:rPr>
        <w:fldChar w:fldCharType="end"/>
      </w:r>
      <w:r>
        <w:rPr>
          <w:rFonts w:ascii="宋体" w:hAnsi="宋体"/>
          <w:sz w:val="24"/>
        </w:rPr>
        <w:fldChar w:fldCharType="end"/>
      </w:r>
    </w:p>
    <w:p w14:paraId="75A3A671">
      <w:pPr>
        <w:pStyle w:val="10"/>
        <w:tabs>
          <w:tab w:val="right" w:leader="dot" w:pos="8550"/>
        </w:tabs>
        <w:spacing w:line="360" w:lineRule="auto"/>
        <w:rPr>
          <w:rFonts w:ascii="宋体" w:hAnsi="宋体" w:cstheme="minorBidi"/>
          <w:sz w:val="24"/>
        </w:rPr>
      </w:pPr>
      <w:r>
        <w:fldChar w:fldCharType="begin"/>
      </w:r>
      <w:r>
        <w:instrText xml:space="preserve"> HYPERLINK \l "_Toc216956612" </w:instrText>
      </w:r>
      <w:r>
        <w:fldChar w:fldCharType="separate"/>
      </w:r>
      <w:r>
        <w:rPr>
          <w:rStyle w:val="18"/>
          <w:rFonts w:hint="eastAsia" w:ascii="宋体" w:hAnsi="宋体"/>
          <w:sz w:val="24"/>
        </w:rPr>
        <w:t>十八、侧袋机制</w:t>
      </w:r>
      <w:r>
        <w:rPr>
          <w:rFonts w:ascii="宋体" w:hAnsi="宋体"/>
          <w:sz w:val="24"/>
        </w:rPr>
        <w:tab/>
      </w:r>
      <w:r>
        <w:rPr>
          <w:rFonts w:ascii="宋体" w:hAnsi="宋体"/>
          <w:sz w:val="24"/>
        </w:rPr>
        <w:fldChar w:fldCharType="begin"/>
      </w:r>
      <w:r>
        <w:rPr>
          <w:rFonts w:ascii="宋体" w:hAnsi="宋体"/>
          <w:sz w:val="24"/>
        </w:rPr>
        <w:instrText xml:space="preserve"> PAGEREF _Toc216956612 \h </w:instrText>
      </w:r>
      <w:r>
        <w:rPr>
          <w:rFonts w:ascii="宋体" w:hAnsi="宋体"/>
          <w:sz w:val="24"/>
        </w:rPr>
        <w:fldChar w:fldCharType="separate"/>
      </w:r>
      <w:r>
        <w:rPr>
          <w:rFonts w:ascii="宋体" w:hAnsi="宋体"/>
          <w:sz w:val="24"/>
        </w:rPr>
        <w:t>126</w:t>
      </w:r>
      <w:r>
        <w:rPr>
          <w:rFonts w:ascii="宋体" w:hAnsi="宋体"/>
          <w:sz w:val="24"/>
        </w:rPr>
        <w:fldChar w:fldCharType="end"/>
      </w:r>
      <w:r>
        <w:rPr>
          <w:rFonts w:ascii="宋体" w:hAnsi="宋体"/>
          <w:sz w:val="24"/>
        </w:rPr>
        <w:fldChar w:fldCharType="end"/>
      </w:r>
    </w:p>
    <w:p w14:paraId="76DE52C2">
      <w:pPr>
        <w:pStyle w:val="10"/>
        <w:tabs>
          <w:tab w:val="right" w:leader="dot" w:pos="8550"/>
        </w:tabs>
        <w:spacing w:line="360" w:lineRule="auto"/>
        <w:rPr>
          <w:rFonts w:ascii="宋体" w:hAnsi="宋体" w:cstheme="minorBidi"/>
          <w:sz w:val="24"/>
        </w:rPr>
      </w:pPr>
      <w:r>
        <w:fldChar w:fldCharType="begin"/>
      </w:r>
      <w:r>
        <w:instrText xml:space="preserve"> HYPERLINK \l "_Toc216956613" </w:instrText>
      </w:r>
      <w:r>
        <w:fldChar w:fldCharType="separate"/>
      </w:r>
      <w:r>
        <w:rPr>
          <w:rStyle w:val="18"/>
          <w:rFonts w:hint="eastAsia" w:ascii="宋体" w:hAnsi="宋体"/>
          <w:sz w:val="24"/>
        </w:rPr>
        <w:t>十九、风险揭示</w:t>
      </w:r>
      <w:r>
        <w:rPr>
          <w:rFonts w:ascii="宋体" w:hAnsi="宋体"/>
          <w:sz w:val="24"/>
        </w:rPr>
        <w:tab/>
      </w:r>
      <w:r>
        <w:rPr>
          <w:rFonts w:ascii="宋体" w:hAnsi="宋体"/>
          <w:sz w:val="24"/>
        </w:rPr>
        <w:fldChar w:fldCharType="begin"/>
      </w:r>
      <w:r>
        <w:rPr>
          <w:rFonts w:ascii="宋体" w:hAnsi="宋体"/>
          <w:sz w:val="24"/>
        </w:rPr>
        <w:instrText xml:space="preserve"> PAGEREF _Toc216956613 \h </w:instrText>
      </w:r>
      <w:r>
        <w:rPr>
          <w:rFonts w:ascii="宋体" w:hAnsi="宋体"/>
          <w:sz w:val="24"/>
        </w:rPr>
        <w:fldChar w:fldCharType="separate"/>
      </w:r>
      <w:r>
        <w:rPr>
          <w:rFonts w:ascii="宋体" w:hAnsi="宋体"/>
          <w:sz w:val="24"/>
        </w:rPr>
        <w:t>129</w:t>
      </w:r>
      <w:r>
        <w:rPr>
          <w:rFonts w:ascii="宋体" w:hAnsi="宋体"/>
          <w:sz w:val="24"/>
        </w:rPr>
        <w:fldChar w:fldCharType="end"/>
      </w:r>
      <w:r>
        <w:rPr>
          <w:rFonts w:ascii="宋体" w:hAnsi="宋体"/>
          <w:sz w:val="24"/>
        </w:rPr>
        <w:fldChar w:fldCharType="end"/>
      </w:r>
    </w:p>
    <w:p w14:paraId="4091B736">
      <w:pPr>
        <w:pStyle w:val="10"/>
        <w:tabs>
          <w:tab w:val="right" w:leader="dot" w:pos="8550"/>
        </w:tabs>
        <w:spacing w:line="360" w:lineRule="auto"/>
        <w:rPr>
          <w:rFonts w:ascii="宋体" w:hAnsi="宋体" w:cstheme="minorBidi"/>
          <w:sz w:val="24"/>
        </w:rPr>
      </w:pPr>
      <w:r>
        <w:fldChar w:fldCharType="begin"/>
      </w:r>
      <w:r>
        <w:instrText xml:space="preserve"> HYPERLINK \l "_Toc216956614" </w:instrText>
      </w:r>
      <w:r>
        <w:fldChar w:fldCharType="separate"/>
      </w:r>
      <w:r>
        <w:rPr>
          <w:rStyle w:val="18"/>
          <w:rFonts w:hint="eastAsia" w:ascii="宋体" w:hAnsi="宋体"/>
          <w:sz w:val="24"/>
        </w:rPr>
        <w:t>二十、基金合同的终止与基金财产的清算</w:t>
      </w:r>
      <w:r>
        <w:rPr>
          <w:rFonts w:ascii="宋体" w:hAnsi="宋体"/>
          <w:sz w:val="24"/>
        </w:rPr>
        <w:tab/>
      </w:r>
      <w:r>
        <w:rPr>
          <w:rFonts w:ascii="宋体" w:hAnsi="宋体"/>
          <w:sz w:val="24"/>
        </w:rPr>
        <w:fldChar w:fldCharType="begin"/>
      </w:r>
      <w:r>
        <w:rPr>
          <w:rFonts w:ascii="宋体" w:hAnsi="宋体"/>
          <w:sz w:val="24"/>
        </w:rPr>
        <w:instrText xml:space="preserve"> PAGEREF _Toc216956614 \h </w:instrText>
      </w:r>
      <w:r>
        <w:rPr>
          <w:rFonts w:ascii="宋体" w:hAnsi="宋体"/>
          <w:sz w:val="24"/>
        </w:rPr>
        <w:fldChar w:fldCharType="separate"/>
      </w:r>
      <w:r>
        <w:rPr>
          <w:rFonts w:ascii="宋体" w:hAnsi="宋体"/>
          <w:sz w:val="24"/>
        </w:rPr>
        <w:t>135</w:t>
      </w:r>
      <w:r>
        <w:rPr>
          <w:rFonts w:ascii="宋体" w:hAnsi="宋体"/>
          <w:sz w:val="24"/>
        </w:rPr>
        <w:fldChar w:fldCharType="end"/>
      </w:r>
      <w:r>
        <w:rPr>
          <w:rFonts w:ascii="宋体" w:hAnsi="宋体"/>
          <w:sz w:val="24"/>
        </w:rPr>
        <w:fldChar w:fldCharType="end"/>
      </w:r>
    </w:p>
    <w:p w14:paraId="6CF856CD">
      <w:pPr>
        <w:pStyle w:val="10"/>
        <w:tabs>
          <w:tab w:val="right" w:leader="dot" w:pos="8550"/>
        </w:tabs>
        <w:spacing w:line="360" w:lineRule="auto"/>
        <w:rPr>
          <w:rFonts w:ascii="宋体" w:hAnsi="宋体" w:cstheme="minorBidi"/>
          <w:sz w:val="24"/>
        </w:rPr>
      </w:pPr>
      <w:r>
        <w:fldChar w:fldCharType="begin"/>
      </w:r>
      <w:r>
        <w:instrText xml:space="preserve"> HYPERLINK \l "_Toc216956615" </w:instrText>
      </w:r>
      <w:r>
        <w:fldChar w:fldCharType="separate"/>
      </w:r>
      <w:r>
        <w:rPr>
          <w:rStyle w:val="18"/>
          <w:rFonts w:hint="eastAsia" w:ascii="宋体" w:hAnsi="宋体"/>
          <w:sz w:val="24"/>
        </w:rPr>
        <w:t>二十一、基金合同内容摘要</w:t>
      </w:r>
      <w:r>
        <w:rPr>
          <w:rFonts w:ascii="宋体" w:hAnsi="宋体"/>
          <w:sz w:val="24"/>
        </w:rPr>
        <w:tab/>
      </w:r>
      <w:r>
        <w:rPr>
          <w:rFonts w:ascii="宋体" w:hAnsi="宋体"/>
          <w:sz w:val="24"/>
        </w:rPr>
        <w:fldChar w:fldCharType="begin"/>
      </w:r>
      <w:r>
        <w:rPr>
          <w:rFonts w:ascii="宋体" w:hAnsi="宋体"/>
          <w:sz w:val="24"/>
        </w:rPr>
        <w:instrText xml:space="preserve"> PAGEREF _Toc216956615 \h </w:instrText>
      </w:r>
      <w:r>
        <w:rPr>
          <w:rFonts w:ascii="宋体" w:hAnsi="宋体"/>
          <w:sz w:val="24"/>
        </w:rPr>
        <w:fldChar w:fldCharType="separate"/>
      </w:r>
      <w:r>
        <w:rPr>
          <w:rFonts w:ascii="宋体" w:hAnsi="宋体"/>
          <w:sz w:val="24"/>
        </w:rPr>
        <w:t>137</w:t>
      </w:r>
      <w:r>
        <w:rPr>
          <w:rFonts w:ascii="宋体" w:hAnsi="宋体"/>
          <w:sz w:val="24"/>
        </w:rPr>
        <w:fldChar w:fldCharType="end"/>
      </w:r>
      <w:r>
        <w:rPr>
          <w:rFonts w:ascii="宋体" w:hAnsi="宋体"/>
          <w:sz w:val="24"/>
        </w:rPr>
        <w:fldChar w:fldCharType="end"/>
      </w:r>
    </w:p>
    <w:p w14:paraId="652EFC66">
      <w:pPr>
        <w:pStyle w:val="10"/>
        <w:tabs>
          <w:tab w:val="right" w:leader="dot" w:pos="8550"/>
        </w:tabs>
        <w:spacing w:line="360" w:lineRule="auto"/>
        <w:rPr>
          <w:rFonts w:ascii="宋体" w:hAnsi="宋体" w:cstheme="minorBidi"/>
          <w:sz w:val="24"/>
        </w:rPr>
      </w:pPr>
      <w:r>
        <w:fldChar w:fldCharType="begin"/>
      </w:r>
      <w:r>
        <w:instrText xml:space="preserve"> HYPERLINK \l "_Toc216956616" </w:instrText>
      </w:r>
      <w:r>
        <w:fldChar w:fldCharType="separate"/>
      </w:r>
      <w:r>
        <w:rPr>
          <w:rStyle w:val="18"/>
          <w:rFonts w:hint="eastAsia" w:ascii="宋体" w:hAnsi="宋体"/>
          <w:sz w:val="24"/>
        </w:rPr>
        <w:t>二十二、托管协议的内容摘要</w:t>
      </w:r>
      <w:r>
        <w:rPr>
          <w:rFonts w:ascii="宋体" w:hAnsi="宋体"/>
          <w:sz w:val="24"/>
        </w:rPr>
        <w:tab/>
      </w:r>
      <w:r>
        <w:rPr>
          <w:rFonts w:ascii="宋体" w:hAnsi="宋体"/>
          <w:sz w:val="24"/>
        </w:rPr>
        <w:fldChar w:fldCharType="begin"/>
      </w:r>
      <w:r>
        <w:rPr>
          <w:rFonts w:ascii="宋体" w:hAnsi="宋体"/>
          <w:sz w:val="24"/>
        </w:rPr>
        <w:instrText xml:space="preserve"> PAGEREF _Toc216956616 \h </w:instrText>
      </w:r>
      <w:r>
        <w:rPr>
          <w:rFonts w:ascii="宋体" w:hAnsi="宋体"/>
          <w:sz w:val="24"/>
        </w:rPr>
        <w:fldChar w:fldCharType="separate"/>
      </w:r>
      <w:r>
        <w:rPr>
          <w:rFonts w:ascii="宋体" w:hAnsi="宋体"/>
          <w:sz w:val="24"/>
        </w:rPr>
        <w:t>153</w:t>
      </w:r>
      <w:r>
        <w:rPr>
          <w:rFonts w:ascii="宋体" w:hAnsi="宋体"/>
          <w:sz w:val="24"/>
        </w:rPr>
        <w:fldChar w:fldCharType="end"/>
      </w:r>
      <w:r>
        <w:rPr>
          <w:rFonts w:ascii="宋体" w:hAnsi="宋体"/>
          <w:sz w:val="24"/>
        </w:rPr>
        <w:fldChar w:fldCharType="end"/>
      </w:r>
    </w:p>
    <w:p w14:paraId="1FCA628E">
      <w:pPr>
        <w:pStyle w:val="10"/>
        <w:tabs>
          <w:tab w:val="right" w:leader="dot" w:pos="8550"/>
        </w:tabs>
        <w:spacing w:line="360" w:lineRule="auto"/>
        <w:rPr>
          <w:rFonts w:ascii="宋体" w:hAnsi="宋体" w:cstheme="minorBidi"/>
          <w:sz w:val="24"/>
        </w:rPr>
      </w:pPr>
      <w:r>
        <w:fldChar w:fldCharType="begin"/>
      </w:r>
      <w:r>
        <w:instrText xml:space="preserve"> HYPERLINK \l "_Toc216956617" </w:instrText>
      </w:r>
      <w:r>
        <w:fldChar w:fldCharType="separate"/>
      </w:r>
      <w:r>
        <w:rPr>
          <w:rStyle w:val="18"/>
          <w:rFonts w:hint="eastAsia" w:ascii="宋体" w:hAnsi="宋体"/>
          <w:sz w:val="24"/>
        </w:rPr>
        <w:t>二十三、对基金份额持有人的服务</w:t>
      </w:r>
      <w:r>
        <w:rPr>
          <w:rFonts w:ascii="宋体" w:hAnsi="宋体"/>
          <w:sz w:val="24"/>
        </w:rPr>
        <w:tab/>
      </w:r>
      <w:r>
        <w:rPr>
          <w:rFonts w:ascii="宋体" w:hAnsi="宋体"/>
          <w:sz w:val="24"/>
        </w:rPr>
        <w:fldChar w:fldCharType="begin"/>
      </w:r>
      <w:r>
        <w:rPr>
          <w:rFonts w:ascii="宋体" w:hAnsi="宋体"/>
          <w:sz w:val="24"/>
        </w:rPr>
        <w:instrText xml:space="preserve"> PAGEREF _Toc216956617 \h </w:instrText>
      </w:r>
      <w:r>
        <w:rPr>
          <w:rFonts w:ascii="宋体" w:hAnsi="宋体"/>
          <w:sz w:val="24"/>
        </w:rPr>
        <w:fldChar w:fldCharType="separate"/>
      </w:r>
      <w:r>
        <w:rPr>
          <w:rFonts w:ascii="宋体" w:hAnsi="宋体"/>
          <w:sz w:val="24"/>
        </w:rPr>
        <w:t>164</w:t>
      </w:r>
      <w:r>
        <w:rPr>
          <w:rFonts w:ascii="宋体" w:hAnsi="宋体"/>
          <w:sz w:val="24"/>
        </w:rPr>
        <w:fldChar w:fldCharType="end"/>
      </w:r>
      <w:r>
        <w:rPr>
          <w:rFonts w:ascii="宋体" w:hAnsi="宋体"/>
          <w:sz w:val="24"/>
        </w:rPr>
        <w:fldChar w:fldCharType="end"/>
      </w:r>
    </w:p>
    <w:p w14:paraId="495F3710">
      <w:pPr>
        <w:pStyle w:val="10"/>
        <w:tabs>
          <w:tab w:val="right" w:leader="dot" w:pos="8550"/>
        </w:tabs>
        <w:spacing w:line="360" w:lineRule="auto"/>
        <w:rPr>
          <w:rFonts w:ascii="宋体" w:hAnsi="宋体" w:cstheme="minorBidi"/>
          <w:sz w:val="24"/>
        </w:rPr>
      </w:pPr>
      <w:r>
        <w:fldChar w:fldCharType="begin"/>
      </w:r>
      <w:r>
        <w:instrText xml:space="preserve"> HYPERLINK \l "_Toc216956618" </w:instrText>
      </w:r>
      <w:r>
        <w:fldChar w:fldCharType="separate"/>
      </w:r>
      <w:r>
        <w:rPr>
          <w:rStyle w:val="18"/>
          <w:rFonts w:hint="eastAsia" w:ascii="宋体" w:hAnsi="宋体"/>
          <w:sz w:val="24"/>
        </w:rPr>
        <w:t>二十四、其他应披露事项</w:t>
      </w:r>
      <w:r>
        <w:rPr>
          <w:rFonts w:ascii="宋体" w:hAnsi="宋体"/>
          <w:sz w:val="24"/>
        </w:rPr>
        <w:tab/>
      </w:r>
      <w:r>
        <w:rPr>
          <w:rFonts w:ascii="宋体" w:hAnsi="宋体"/>
          <w:sz w:val="24"/>
        </w:rPr>
        <w:fldChar w:fldCharType="begin"/>
      </w:r>
      <w:r>
        <w:rPr>
          <w:rFonts w:ascii="宋体" w:hAnsi="宋体"/>
          <w:sz w:val="24"/>
        </w:rPr>
        <w:instrText xml:space="preserve"> PAGEREF _Toc216956618 \h </w:instrText>
      </w:r>
      <w:r>
        <w:rPr>
          <w:rFonts w:ascii="宋体" w:hAnsi="宋体"/>
          <w:sz w:val="24"/>
        </w:rPr>
        <w:fldChar w:fldCharType="separate"/>
      </w:r>
      <w:r>
        <w:rPr>
          <w:rFonts w:ascii="宋体" w:hAnsi="宋体"/>
          <w:sz w:val="24"/>
        </w:rPr>
        <w:t>166</w:t>
      </w:r>
      <w:r>
        <w:rPr>
          <w:rFonts w:ascii="宋体" w:hAnsi="宋体"/>
          <w:sz w:val="24"/>
        </w:rPr>
        <w:fldChar w:fldCharType="end"/>
      </w:r>
      <w:r>
        <w:rPr>
          <w:rFonts w:ascii="宋体" w:hAnsi="宋体"/>
          <w:sz w:val="24"/>
        </w:rPr>
        <w:fldChar w:fldCharType="end"/>
      </w:r>
    </w:p>
    <w:p w14:paraId="7F76F154">
      <w:pPr>
        <w:pStyle w:val="10"/>
        <w:tabs>
          <w:tab w:val="right" w:leader="dot" w:pos="8550"/>
        </w:tabs>
        <w:spacing w:line="360" w:lineRule="auto"/>
        <w:rPr>
          <w:rFonts w:ascii="宋体" w:hAnsi="宋体" w:cstheme="minorBidi"/>
          <w:sz w:val="24"/>
        </w:rPr>
      </w:pPr>
      <w:r>
        <w:fldChar w:fldCharType="begin"/>
      </w:r>
      <w:r>
        <w:instrText xml:space="preserve"> HYPERLINK \l "_Toc216956619" </w:instrText>
      </w:r>
      <w:r>
        <w:fldChar w:fldCharType="separate"/>
      </w:r>
      <w:r>
        <w:rPr>
          <w:rStyle w:val="18"/>
          <w:rFonts w:hint="eastAsia" w:ascii="宋体" w:hAnsi="宋体"/>
          <w:sz w:val="24"/>
        </w:rPr>
        <w:t>二十五、招募说明书的存放及查阅方式</w:t>
      </w:r>
      <w:r>
        <w:rPr>
          <w:rFonts w:ascii="宋体" w:hAnsi="宋体"/>
          <w:sz w:val="24"/>
        </w:rPr>
        <w:tab/>
      </w:r>
      <w:r>
        <w:rPr>
          <w:rFonts w:ascii="宋体" w:hAnsi="宋体"/>
          <w:sz w:val="24"/>
        </w:rPr>
        <w:fldChar w:fldCharType="begin"/>
      </w:r>
      <w:r>
        <w:rPr>
          <w:rFonts w:ascii="宋体" w:hAnsi="宋体"/>
          <w:sz w:val="24"/>
        </w:rPr>
        <w:instrText xml:space="preserve"> PAGEREF _Toc216956619 \h </w:instrText>
      </w:r>
      <w:r>
        <w:rPr>
          <w:rFonts w:ascii="宋体" w:hAnsi="宋体"/>
          <w:sz w:val="24"/>
        </w:rPr>
        <w:fldChar w:fldCharType="separate"/>
      </w:r>
      <w:r>
        <w:rPr>
          <w:rFonts w:ascii="宋体" w:hAnsi="宋体"/>
          <w:sz w:val="24"/>
        </w:rPr>
        <w:t>170</w:t>
      </w:r>
      <w:r>
        <w:rPr>
          <w:rFonts w:ascii="宋体" w:hAnsi="宋体"/>
          <w:sz w:val="24"/>
        </w:rPr>
        <w:fldChar w:fldCharType="end"/>
      </w:r>
      <w:r>
        <w:rPr>
          <w:rFonts w:ascii="宋体" w:hAnsi="宋体"/>
          <w:sz w:val="24"/>
        </w:rPr>
        <w:fldChar w:fldCharType="end"/>
      </w:r>
    </w:p>
    <w:p w14:paraId="03755EDE">
      <w:pPr>
        <w:pStyle w:val="10"/>
        <w:tabs>
          <w:tab w:val="right" w:leader="dot" w:pos="8550"/>
        </w:tabs>
        <w:spacing w:line="360" w:lineRule="auto"/>
        <w:rPr>
          <w:rFonts w:ascii="宋体" w:hAnsi="宋体" w:cstheme="minorBidi"/>
          <w:sz w:val="24"/>
        </w:rPr>
      </w:pPr>
      <w:r>
        <w:fldChar w:fldCharType="begin"/>
      </w:r>
      <w:r>
        <w:instrText xml:space="preserve"> HYPERLINK \l "_Toc216956620" </w:instrText>
      </w:r>
      <w:r>
        <w:fldChar w:fldCharType="separate"/>
      </w:r>
      <w:r>
        <w:rPr>
          <w:rStyle w:val="18"/>
          <w:rFonts w:hint="eastAsia" w:ascii="宋体" w:hAnsi="宋体"/>
          <w:sz w:val="24"/>
        </w:rPr>
        <w:t>二十六、备查文件</w:t>
      </w:r>
      <w:r>
        <w:rPr>
          <w:rFonts w:ascii="宋体" w:hAnsi="宋体"/>
          <w:sz w:val="24"/>
        </w:rPr>
        <w:tab/>
      </w:r>
      <w:r>
        <w:rPr>
          <w:rFonts w:ascii="宋体" w:hAnsi="宋体"/>
          <w:sz w:val="24"/>
        </w:rPr>
        <w:fldChar w:fldCharType="begin"/>
      </w:r>
      <w:r>
        <w:rPr>
          <w:rFonts w:ascii="宋体" w:hAnsi="宋体"/>
          <w:sz w:val="24"/>
        </w:rPr>
        <w:instrText xml:space="preserve"> PAGEREF _Toc216956620 \h </w:instrText>
      </w:r>
      <w:r>
        <w:rPr>
          <w:rFonts w:ascii="宋体" w:hAnsi="宋体"/>
          <w:sz w:val="24"/>
        </w:rPr>
        <w:fldChar w:fldCharType="separate"/>
      </w:r>
      <w:r>
        <w:rPr>
          <w:rFonts w:ascii="宋体" w:hAnsi="宋体"/>
          <w:sz w:val="24"/>
        </w:rPr>
        <w:t>171</w:t>
      </w:r>
      <w:r>
        <w:rPr>
          <w:rFonts w:ascii="宋体" w:hAnsi="宋体"/>
          <w:sz w:val="24"/>
        </w:rPr>
        <w:fldChar w:fldCharType="end"/>
      </w:r>
      <w:r>
        <w:rPr>
          <w:rFonts w:ascii="宋体" w:hAnsi="宋体"/>
          <w:sz w:val="24"/>
        </w:rPr>
        <w:fldChar w:fldCharType="end"/>
      </w:r>
    </w:p>
    <w:p w14:paraId="036E65EB">
      <w:pPr>
        <w:pStyle w:val="20"/>
        <w:snapToGrid w:val="0"/>
        <w:spacing w:after="240" w:line="360" w:lineRule="auto"/>
        <w:jc w:val="center"/>
        <w:rPr>
          <w:rFonts w:ascii="宋体" w:hAnsi="宋体"/>
          <w:color w:val="000000"/>
          <w:sz w:val="24"/>
        </w:rPr>
      </w:pPr>
      <w:r>
        <w:rPr>
          <w:rFonts w:ascii="宋体" w:hAnsi="宋体"/>
          <w:color w:val="000000"/>
          <w:position w:val="-4"/>
          <w:sz w:val="24"/>
          <w:szCs w:val="30"/>
        </w:rPr>
        <w:fldChar w:fldCharType="end"/>
      </w:r>
    </w:p>
    <w:p w14:paraId="66D88599">
      <w:pPr>
        <w:autoSpaceDE w:val="0"/>
        <w:autoSpaceDN w:val="0"/>
        <w:adjustRightInd w:val="0"/>
        <w:snapToGrid w:val="0"/>
        <w:spacing w:line="360" w:lineRule="auto"/>
        <w:ind w:left="120" w:right="13" w:rightChars="6"/>
        <w:rPr>
          <w:rFonts w:ascii="宋体" w:hAnsi="宋体"/>
          <w:kern w:val="0"/>
          <w:szCs w:val="24"/>
        </w:rPr>
        <w:sectPr>
          <w:pgSz w:w="11920" w:h="16840"/>
          <w:pgMar w:top="1480" w:right="1680" w:bottom="280" w:left="1680" w:header="0" w:footer="1073" w:gutter="0"/>
          <w:cols w:space="720" w:num="1"/>
        </w:sectPr>
      </w:pPr>
    </w:p>
    <w:p w14:paraId="69B878BB">
      <w:pPr>
        <w:pStyle w:val="2"/>
        <w:snapToGrid w:val="0"/>
        <w:spacing w:before="240" w:beforeLines="0" w:after="240"/>
        <w:rPr>
          <w:rFonts w:ascii="宋体" w:hAnsi="宋体"/>
          <w:szCs w:val="30"/>
        </w:rPr>
      </w:pPr>
      <w:bookmarkStart w:id="3" w:name="_Toc216956595"/>
      <w:r>
        <w:rPr>
          <w:rFonts w:ascii="Times New Roman" w:hAnsi="Times New Roman"/>
          <w:sz w:val="30"/>
        </w:rPr>
        <w:t>一、绪言</w:t>
      </w:r>
      <w:bookmarkEnd w:id="3"/>
    </w:p>
    <w:p w14:paraId="52838C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增利债券证券投资基金基金合同》（以下简称“基金合同”）编写。</w:t>
      </w:r>
    </w:p>
    <w:p w14:paraId="766C8F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14:paraId="641726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168714A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BD34729">
      <w:pPr>
        <w:pStyle w:val="2"/>
        <w:snapToGrid w:val="0"/>
        <w:spacing w:before="240" w:beforeLines="0" w:after="240"/>
        <w:rPr>
          <w:rFonts w:ascii="宋体" w:hAnsi="宋体"/>
          <w:szCs w:val="30"/>
        </w:rPr>
      </w:pPr>
      <w:bookmarkStart w:id="4" w:name="_Toc216956596"/>
      <w:r>
        <w:rPr>
          <w:rFonts w:ascii="Times New Roman" w:hAnsi="Times New Roman"/>
          <w:sz w:val="30"/>
        </w:rPr>
        <w:t>二、释义</w:t>
      </w:r>
      <w:bookmarkEnd w:id="4"/>
    </w:p>
    <w:p w14:paraId="5640CA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在本招募说明书中，除非文意另有所指，下列词语或简称具有如下含义：</w:t>
      </w:r>
    </w:p>
    <w:p w14:paraId="51FD2D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1.基金或本基金：指交银施罗德增利债券证券投资基金；</w:t>
      </w:r>
    </w:p>
    <w:p w14:paraId="1487F0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2.基金管理人：指交银施罗德基金管理有限公司；</w:t>
      </w:r>
    </w:p>
    <w:p w14:paraId="566DC7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3.基金托管人：指中国建设银行股份有限公司；</w:t>
      </w:r>
    </w:p>
    <w:p w14:paraId="64B64E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4.基金合同：指《交银施罗德增利债券证券投资基金基金合同》及对基金合同的任何有效修订和补充；</w:t>
      </w:r>
    </w:p>
    <w:p w14:paraId="1A7FED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5.托管协议：指基金管理人与基金托管人就本基金签订之《交银施罗德增利债券证券投资基金托管协议》及对该托管协议的任何有效修订和补充；</w:t>
      </w:r>
    </w:p>
    <w:p w14:paraId="7D5BCB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6.招募说明书：指《交银施罗德增利债券证券投资基金招募说明书》及其更新；</w:t>
      </w:r>
    </w:p>
    <w:p w14:paraId="3CBC15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7.基金份额发售公告：指《交银施罗德增利债券证券投资基金基金份额发售公告》；</w:t>
      </w:r>
    </w:p>
    <w:p w14:paraId="054114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8.基金产品资料概要：指《交银施罗德增利债券证券投资基金基金产品资料概要》及其更新</w:t>
      </w:r>
    </w:p>
    <w:p w14:paraId="063A22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14:paraId="45C204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10.《证券法》：指2005年10月27日经第十届全国人民代表大会常务委员会第十八次会议通过，自2006年1月1日实施的《中华人民共和国证券法》及颁布机关对其不时做出的修订；</w:t>
      </w:r>
    </w:p>
    <w:p w14:paraId="4627F1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11.《基金法》：指2003年10月28日经第十届全国人民代表大会常务委员会第五次会议通过，自2004年6月1日起实施的《中华人民共和国证券投资基金法》及颁布机关对其不时做出的修订；</w:t>
      </w:r>
    </w:p>
    <w:p w14:paraId="142B3C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12.《销售办法》：指中国证监会2011年6月9日颁布、同年10月1日实施的《证券投资基金销售管理办法》及颁布机关对其不时做出的修订；</w:t>
      </w:r>
    </w:p>
    <w:p w14:paraId="44DB0B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13.《信息披露办法》：指中国证监会2019年7月26日颁布、同年9月1日实施的《公开募集证券投资基金信息披露管理办法》及颁布机关对其不时做出的修订；</w:t>
      </w:r>
    </w:p>
    <w:p w14:paraId="7D0D96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14.《运作办法》：指中国证监会2004年6月29日颁布、同年7月1日实施的《证券投资基金运作管理办法》及颁布机关对其不时做出的修订；</w:t>
      </w:r>
    </w:p>
    <w:p w14:paraId="56F273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15.《流动性风险规定》:指中国证监会2017年8月31日颁布、同年10月1日实施的《公开募集开放式证券投资基金流动性风险管理规定》及颁布机关对其不时做出的修订</w:t>
      </w:r>
    </w:p>
    <w:p w14:paraId="75D8B4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16.中国：就本招募说明书之目的，指中华人民共和国，但不包括香港特别行政区、澳门特别行政区和台湾地区；</w:t>
      </w:r>
    </w:p>
    <w:p w14:paraId="626D3B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17.中国证监会：指中国证券监督管理委员会；</w:t>
      </w:r>
    </w:p>
    <w:p w14:paraId="2EC124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18.银行业监督管理机构：指中国人民银行和/或中国银行业监督管理委员会；</w:t>
      </w:r>
    </w:p>
    <w:p w14:paraId="1E775F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14:paraId="322DCB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20.个人投资者：指年满18周岁，合法持有现时有效的中华人民共和国居民身份证、军人证件等有效身份证件的中国公民，以及中国证监会批准的其他可投资基金的自然人；</w:t>
      </w:r>
    </w:p>
    <w:p w14:paraId="6F07A9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21.机构投资者：指依法可以投资开放式证券投资基金的、在中华人民共和国境内合法注册登记并存续或经有关政府部门批准设立并存续的企业法人、事业法人、社会团体或其他组织；</w:t>
      </w:r>
    </w:p>
    <w:p w14:paraId="7B4139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22.合格境外机构投资者：指符合现实有效的相关法律法规规定可以投资于中国境内证券市场的中国境外的机构投资者；</w:t>
      </w:r>
    </w:p>
    <w:p w14:paraId="2D80B8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23.投资人：指个人投资者、机构投资者和合格境外机构投资者以及法律法规或中国证监会允许购买证券投资基金的其他投资人的合称；</w:t>
      </w:r>
    </w:p>
    <w:p w14:paraId="16A66A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24.基金份额持有人：指依基金合同和招募说明书合法取得基金份额的投资人；</w:t>
      </w:r>
    </w:p>
    <w:p w14:paraId="02215E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25.基金销售业务：指基金管理人或代销机构宣传推介基金，发售基金份额，办理基金份额的申购、赎回、转换、非交易过户、转托管及定期定额投资等业务；</w:t>
      </w:r>
    </w:p>
    <w:p w14:paraId="173FF3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26.销售机构：指直销机构和代销机构；</w:t>
      </w:r>
    </w:p>
    <w:p w14:paraId="0E589C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27.直销机构：指交银施罗德基金管理有限公司；</w:t>
      </w:r>
    </w:p>
    <w:p w14:paraId="1C9385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代销机构：指符合《销售办法》和中国证监会规定的其他条件，取得基金代销业务资格并与基金管理人签订了基金销售服务代理协议，代为办理基金销售业务的机构，以及可通过上海证券交易所交易系统办理基金销售服务业务的会员单位；</w:t>
      </w:r>
    </w:p>
    <w:p w14:paraId="1DB822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会员单位：指具有开放式基金代销资格，经上海证券交易所和中国证券登记结算有限责任公司认可的、可通过上海证券交易所交易系统办理开放式基金的认购、申购、赎回和转托管等业务的上海证券交易所会员单位；</w:t>
      </w:r>
    </w:p>
    <w:p w14:paraId="618844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30.基金销售网点：指直销机构的直销中心及代销机构的代销网点；</w:t>
      </w:r>
    </w:p>
    <w:p w14:paraId="0115C2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登记结算业务：指基金登记、存管、过户、清算和结算业务，具体内容包括投资人基金账户的建立和管理、基金份额注册登记、基金销售业务的确认、清算和结算、代理发放红利、建立并保管基金份额持有人名册等；</w:t>
      </w:r>
    </w:p>
    <w:p w14:paraId="78D86E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32.登记结算机构：指办理登记结算业务的机构。基金的登记结算机构为交银施罗德基金管理有限公司或接受交银施罗德基金管理有限公司委托代为办理登记结算业务的机构；</w:t>
      </w:r>
    </w:p>
    <w:p w14:paraId="051ACA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33.基金账户：指登记结算机构为投资人开立的、记录其持有的、基金管理人所管理的基金份额余额及其变动情况的账户；</w:t>
      </w:r>
    </w:p>
    <w:p w14:paraId="46CE0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34.基金交易账户：指销售机构为投资人开立的、记录投资人通过该销售机构买卖本基金的基金份额变动及结余情况的账户；</w:t>
      </w:r>
    </w:p>
    <w:p w14:paraId="1B51F0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35.基金合同生效日：指基金募集达到法律法规规定及基金合同规定的条件，基金管理人向中国证监会办理基金备案手续完毕，并获得中国证监会书面确认的日期；</w:t>
      </w:r>
    </w:p>
    <w:p w14:paraId="402AB9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36.基金合同终止日：指基金合同规定的基金合同终止事由出现后，基金财产清算完毕，清算结果报中国证监会备案并予以公告的日期；</w:t>
      </w:r>
    </w:p>
    <w:p w14:paraId="4397A2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37.基金募集期：指自基金份额发售之日起至发售结束之日止的期间，最长不得超过3个月；</w:t>
      </w:r>
    </w:p>
    <w:p w14:paraId="430FBE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38.存续期：指基金合同生效至终止之间的不定期期限；</w:t>
      </w:r>
    </w:p>
    <w:p w14:paraId="6D55C6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39.日/天：指公历日；</w:t>
      </w:r>
    </w:p>
    <w:p w14:paraId="091050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40.月：指公历月；</w:t>
      </w:r>
    </w:p>
    <w:p w14:paraId="04284C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41.工作日：指上海证券交易所、深圳证券交易所的正常交易日；</w:t>
      </w:r>
    </w:p>
    <w:p w14:paraId="3674FF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42.T日：指销售机构在规定时间受理投资人申购、赎回或其他业务申请的工作日；</w:t>
      </w:r>
    </w:p>
    <w:p w14:paraId="485DAE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43.T+n日：指自T日起第n个工作日(不包含T日)；</w:t>
      </w:r>
    </w:p>
    <w:p w14:paraId="0FF18B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44.开放日：指为投资人办理基金份额申购、赎回或其他业务的工作日；</w:t>
      </w:r>
    </w:p>
    <w:p w14:paraId="0F837B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45.交易时间：指开放日基金接受申购、赎回或其他交易的时间段；</w:t>
      </w:r>
    </w:p>
    <w:p w14:paraId="1C7F09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46.上证所《业务规则》：指2005年7月14日上海证券交易所发布并于2005年7月14日起施行的《上海证券交易所开放式基金认购、申购、赎回业务办理规则（试行）》及颁布机关对其不时做出的修订；</w:t>
      </w:r>
    </w:p>
    <w:p w14:paraId="5F3944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47.《业务规则》：指《交银施罗德基金管理有限公司开放式基金业务规则》，是规范基金管理人所管理的开放式证券投资基金登记结算方面的业务规则，由基金管理人和投资人共同遵守；</w:t>
      </w:r>
    </w:p>
    <w:p w14:paraId="456AD4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48.认购：指在基金募集期内，投资人申请购买基金份额的行为；</w:t>
      </w:r>
    </w:p>
    <w:p w14:paraId="101CCE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49.申购：指基金合同生效后，投资人根据基金合同和招募说明书的规定申请购买基金份额的行为；</w:t>
      </w:r>
    </w:p>
    <w:p w14:paraId="327FE8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50.赎回：指基金合同生效后，基金份额持有人按基金合同规定的条件要求将基金份额兑换为现金的行为；</w:t>
      </w:r>
    </w:p>
    <w:p w14:paraId="6A2A3E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51.场外：指不通过上海证券交易所的交易系统办理基金份额认购、申购和赎回等业务的销售机构和场所；</w:t>
      </w:r>
    </w:p>
    <w:p w14:paraId="0E8F7D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52.场内：指通过上海证券交易所的交易系统办理基金份额认购、申购和赎回等业务的销售机构和场所；</w:t>
      </w:r>
    </w:p>
    <w:p w14:paraId="5B34BD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53.销售服务费：指从基金资产中计提的，用于本基金市场推广、销售以及基金份额持有人服务的费用；</w:t>
      </w:r>
    </w:p>
    <w:p w14:paraId="5AD5D1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基金份额类别：指本基金根据认购/申购费用、赎回费用收取方式的不同，将基金份额分为不同的类别。在投资人认购/申购时收取前端认购/申购费用、赎回时收取赎回费用的，称为A类基金份额；在投资人认购/申购时不收取认购/申购费用、赎回时收取后端认购/申购费用和赎回费用的，称为B类基金份额；在投资人认购/申购时不收取认购/申购费用、赎回时收取赎回费用，并从本类别基金资产中计提销售服务费的，称为C类基金份额；在投资人申购时收取申购费用、赎回时收取赎回费用的，称为D类基金份额；</w:t>
      </w:r>
    </w:p>
    <w:p w14:paraId="6A317D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55.基金转换：指基金份额持有人按照本基金合同和基金管理人届时有效公告规定的条件，申请将其持有基金管理人管理的、某一基金的基金份额转换为</w:t>
      </w:r>
      <w:r>
        <w:rPr>
          <w:rFonts w:hint="eastAsia" w:ascii="宋体" w:hAnsi="宋体"/>
          <w:sz w:val="24"/>
        </w:rPr>
        <w:t>该基金其他份额（如有）或</w:t>
      </w:r>
      <w:r>
        <w:rPr>
          <w:rFonts w:ascii="宋体" w:hAnsi="宋体"/>
          <w:sz w:val="24"/>
        </w:rPr>
        <w:t>基金管理人管理的其他基金基金份额的行为；</w:t>
      </w:r>
    </w:p>
    <w:p w14:paraId="3A94D6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56.转托管：指基金份额持有人在本基金的不同销售机构之间实施的变更所持基金份额销售机构的操作；</w:t>
      </w:r>
    </w:p>
    <w:p w14:paraId="44CBEC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定期定额投资计划：指投资人通过向有关销售机构提交申请，约定每期申购日、扣款金额及扣款方式，由指定的销售机构在投资人指定资金账户内自动扣款并于每期约定申购日提交基金申购申请的一种投资方式；</w:t>
      </w:r>
    </w:p>
    <w:p w14:paraId="54031D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58.巨额赎回：指本基金单个开放日，基金净赎回申请(赎回申请份额总数加上基金转换中转出申请份额总数后扣除申购申请份额总数及基金转换中转入申请份额总数后的余额)超过上一开放日基金总份额的10%；</w:t>
      </w:r>
    </w:p>
    <w:p w14:paraId="2A3A59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59.元：指人民币元；</w:t>
      </w:r>
    </w:p>
    <w:p w14:paraId="13AA74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60.基金收益：指基金投资所得红利、股息、债券利息、买卖证券价差、银行存款利息、已实现的其他合法收入及因运用基金财产带来的成本和费用的节约；</w:t>
      </w:r>
    </w:p>
    <w:p w14:paraId="35262E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61.基金资产总值：指基金拥有的各类有价证券、银行存款本息、基金应收申购款及其他资产的价值总和；</w:t>
      </w:r>
    </w:p>
    <w:p w14:paraId="32E77A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62.基金资产净值：指基金资产总值减去基金负债后的价值；</w:t>
      </w:r>
    </w:p>
    <w:p w14:paraId="76611E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63.基金份额净值：指计算日基金资产净值除以计算日基金份额总数；</w:t>
      </w:r>
    </w:p>
    <w:p w14:paraId="260F1A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64.基金资产估值：指计算评估基金资产和负债的价值，以确定基金资产净值和基金份额净值的过程；</w:t>
      </w:r>
    </w:p>
    <w:p w14:paraId="66C4E7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45B147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66.指定媒介：指中国证监会指定的用以进行信息披露的全国性报刊及指定互联网网站（包括基金管理人网站、基金托管人网站、中国证监会基金电子披露网站）等媒介；</w:t>
      </w:r>
    </w:p>
    <w:p w14:paraId="451C27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14:paraId="37E101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14:paraId="733004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不可抗力：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w:t>
      </w:r>
    </w:p>
    <w:p w14:paraId="01F7A0DD">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2CDE595A">
      <w:pPr>
        <w:pStyle w:val="2"/>
        <w:snapToGrid w:val="0"/>
        <w:spacing w:before="240" w:beforeLines="0" w:after="240"/>
        <w:rPr>
          <w:rFonts w:ascii="宋体" w:hAnsi="宋体"/>
          <w:szCs w:val="30"/>
        </w:rPr>
      </w:pPr>
      <w:bookmarkStart w:id="5" w:name="_Toc216956597"/>
      <w:r>
        <w:rPr>
          <w:rFonts w:ascii="Times New Roman" w:hAnsi="Times New Roman"/>
          <w:sz w:val="30"/>
        </w:rPr>
        <w:t>三、基金管理人</w:t>
      </w:r>
      <w:bookmarkEnd w:id="5"/>
    </w:p>
    <w:p w14:paraId="54C6DD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（一）基金管理人概况</w:t>
      </w:r>
    </w:p>
    <w:p w14:paraId="5C3103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096E6B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60B313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37B2C2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7FB9C8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6EB941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36D4B9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注册资本：2亿元人民币</w:t>
      </w:r>
    </w:p>
    <w:p w14:paraId="36C81D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4352C0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联系人：何佳妮</w:t>
      </w:r>
    </w:p>
    <w:p w14:paraId="38F881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电话：（021）61055050</w:t>
      </w:r>
    </w:p>
    <w:p w14:paraId="677E20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传真：（021）61055034</w:t>
      </w:r>
    </w:p>
    <w:p w14:paraId="55199A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414AF47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9C27A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color="auto" w:sz="4" w:space="0"/>
              <w:left w:val="single" w:color="auto" w:sz="4" w:space="0"/>
              <w:bottom w:val="single" w:color="auto" w:sz="4" w:space="0"/>
              <w:right w:val="single" w:color="auto" w:sz="4" w:space="0"/>
            </w:tcBorders>
            <w:vAlign w:val="center"/>
          </w:tcPr>
          <w:p w14:paraId="2216674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14:paraId="4B1B7A6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35274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交通银行股份有限公司（以下使用全称或其简称“交通银行”）</w:t>
            </w:r>
          </w:p>
        </w:tc>
        <w:tc>
          <w:tcPr>
            <w:tcW w:w="750" w:type="pct"/>
            <w:tcBorders>
              <w:top w:val="single" w:color="auto" w:sz="4" w:space="0"/>
              <w:left w:val="single" w:color="auto" w:sz="4" w:space="0"/>
              <w:bottom w:val="single" w:color="auto" w:sz="4" w:space="0"/>
              <w:right w:val="single" w:color="auto" w:sz="4" w:space="0"/>
            </w:tcBorders>
            <w:vAlign w:val="center"/>
          </w:tcPr>
          <w:p w14:paraId="3D44A373">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14:paraId="21113CA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6950A7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color="auto" w:sz="4" w:space="0"/>
              <w:left w:val="single" w:color="auto" w:sz="4" w:space="0"/>
              <w:bottom w:val="single" w:color="auto" w:sz="4" w:space="0"/>
              <w:right w:val="single" w:color="auto" w:sz="4" w:space="0"/>
            </w:tcBorders>
            <w:vAlign w:val="center"/>
          </w:tcPr>
          <w:p w14:paraId="3CDA1D0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14:paraId="1CC06D5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ABF6A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color="auto" w:sz="4" w:space="0"/>
              <w:left w:val="single" w:color="auto" w:sz="4" w:space="0"/>
              <w:bottom w:val="single" w:color="auto" w:sz="4" w:space="0"/>
              <w:right w:val="single" w:color="auto" w:sz="4" w:space="0"/>
            </w:tcBorders>
            <w:vAlign w:val="center"/>
          </w:tcPr>
          <w:p w14:paraId="225677D6">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14:paraId="130143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（二）主要成员情况</w:t>
      </w:r>
    </w:p>
    <w:p w14:paraId="39A508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1、基金管理人董事会成员</w:t>
      </w:r>
    </w:p>
    <w:p w14:paraId="47467643">
      <w:pPr>
        <w:widowControl/>
        <w:adjustRightInd w:val="0"/>
        <w:snapToGrid w:val="0"/>
        <w:spacing w:line="360" w:lineRule="auto"/>
        <w:ind w:firstLine="480" w:firstLineChars="200"/>
        <w:rPr>
          <w:kern w:val="0"/>
          <w:sz w:val="24"/>
        </w:rPr>
      </w:pPr>
      <w:r>
        <w:rPr>
          <w:rFonts w:hint="eastAsia"/>
          <w:kern w:val="0"/>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14:paraId="445633D2">
      <w:pPr>
        <w:widowControl/>
        <w:adjustRightInd w:val="0"/>
        <w:snapToGrid w:val="0"/>
        <w:spacing w:line="360" w:lineRule="auto"/>
        <w:ind w:firstLine="480" w:firstLineChars="200"/>
        <w:rPr>
          <w:kern w:val="0"/>
          <w:sz w:val="24"/>
        </w:rPr>
      </w:pPr>
      <w:r>
        <w:rPr>
          <w:rFonts w:hint="eastAsia"/>
          <w:kern w:val="0"/>
          <w:sz w:val="24"/>
        </w:rPr>
        <w:t>袁庆伟女士，董事，总经理，硕士。历任交通银行乌鲁木齐分行财务会计处副处长、会计结算部高级经理，交通银行总行资产托管业务中心（资产托管部）副总裁、总裁，交通银行总行金融机构部总经理、资产管理业务中心总裁等职务。</w:t>
      </w:r>
    </w:p>
    <w:p w14:paraId="4CA33EA6">
      <w:pPr>
        <w:widowControl/>
        <w:adjustRightInd w:val="0"/>
        <w:snapToGrid w:val="0"/>
        <w:spacing w:line="360" w:lineRule="auto"/>
        <w:ind w:firstLine="480" w:firstLineChars="200"/>
        <w:rPr>
          <w:kern w:val="0"/>
          <w:sz w:val="24"/>
        </w:rPr>
      </w:pPr>
      <w:r>
        <w:rPr>
          <w:rFonts w:hint="eastAsia"/>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14:paraId="5A15B949">
      <w:pPr>
        <w:widowControl/>
        <w:adjustRightInd w:val="0"/>
        <w:snapToGrid w:val="0"/>
        <w:spacing w:line="360" w:lineRule="auto"/>
        <w:ind w:firstLine="480" w:firstLineChars="200"/>
        <w:rPr>
          <w:kern w:val="0"/>
          <w:sz w:val="24"/>
        </w:rPr>
      </w:pPr>
      <w:r>
        <w:rPr>
          <w:rFonts w:hint="eastAsia"/>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14:paraId="71DA1021">
      <w:pPr>
        <w:widowControl/>
        <w:adjustRightInd w:val="0"/>
        <w:snapToGrid w:val="0"/>
        <w:spacing w:line="360" w:lineRule="auto"/>
        <w:ind w:firstLine="480" w:firstLineChars="200"/>
        <w:rPr>
          <w:kern w:val="0"/>
          <w:sz w:val="24"/>
        </w:rPr>
      </w:pPr>
      <w:r>
        <w:rPr>
          <w:rFonts w:hint="eastAsia"/>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14:paraId="26AF43A7">
      <w:pPr>
        <w:widowControl/>
        <w:adjustRightInd w:val="0"/>
        <w:snapToGrid w:val="0"/>
        <w:spacing w:line="360" w:lineRule="auto"/>
        <w:ind w:firstLine="480" w:firstLineChars="200"/>
        <w:rPr>
          <w:kern w:val="0"/>
          <w:sz w:val="24"/>
        </w:rPr>
      </w:pPr>
      <w:r>
        <w:rPr>
          <w:rFonts w:hint="eastAsia"/>
          <w:kern w:val="0"/>
          <w:sz w:val="24"/>
        </w:rPr>
        <w:t>单锋先生，独立董事，博士。现任南京大学法学教授职务。历任南京大学法学院助教、讲师、副教授。</w:t>
      </w:r>
    </w:p>
    <w:p w14:paraId="1A97992C">
      <w:pPr>
        <w:widowControl/>
        <w:adjustRightInd w:val="0"/>
        <w:snapToGrid w:val="0"/>
        <w:spacing w:line="360" w:lineRule="auto"/>
        <w:ind w:firstLine="480" w:firstLineChars="200"/>
        <w:rPr>
          <w:kern w:val="0"/>
          <w:sz w:val="24"/>
        </w:rPr>
      </w:pPr>
      <w:r>
        <w:rPr>
          <w:rFonts w:hint="eastAsia"/>
          <w:kern w:val="0"/>
          <w:sz w:val="24"/>
        </w:rPr>
        <w:t>刘凤元先生，独立董事，博士。现任华东政法大学国际金融法律学院教授，资本市场研究中心主任，兼任多家香港和大陆上市公司（非证券基金经营机构）独立董事。</w:t>
      </w:r>
    </w:p>
    <w:p w14:paraId="1BE838D6">
      <w:pPr>
        <w:autoSpaceDE w:val="0"/>
        <w:autoSpaceDN w:val="0"/>
        <w:adjustRightInd w:val="0"/>
        <w:snapToGrid w:val="0"/>
        <w:spacing w:line="360" w:lineRule="auto"/>
        <w:ind w:firstLine="480" w:firstLineChars="200"/>
        <w:jc w:val="left"/>
        <w:rPr>
          <w:rFonts w:ascii="宋体" w:hAnsi="宋体"/>
          <w:sz w:val="24"/>
        </w:rPr>
      </w:pPr>
      <w:r>
        <w:rPr>
          <w:rFonts w:hint="eastAsia"/>
          <w:kern w:val="0"/>
          <w:sz w:val="24"/>
        </w:rPr>
        <w:t>宋若坤女士，独立董事，学士。英格兰及威尔士特许会计师协会和香港会计师公会特许会计师、注册金融分析师。历任毕马威会计师事务所香港分所审计部主管副经理，摩根资产管理（香港）亚太区资产管理合规主管、董事总经理等。</w:t>
      </w:r>
    </w:p>
    <w:p w14:paraId="04F8ED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2、基金管理人高级管理人员</w:t>
      </w:r>
    </w:p>
    <w:p w14:paraId="5B4EF8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袁庆伟女士，总经理。简历同上。</w:t>
      </w:r>
    </w:p>
    <w:p w14:paraId="218364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14:paraId="356857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14:paraId="1954FB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14:paraId="6132D2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3、本基金基金经理</w:t>
      </w:r>
    </w:p>
    <w:p w14:paraId="6413F3C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sz w:val="24"/>
        </w:rPr>
        <w:t>魏玉敏女士：基金经理。厦门大学金融学硕士、学士，14年证券投资行业从业经验。2012年至2013年任招商证券固定收益研究员，2013年至2016年任国信证券固定收益高级分析师。2016年加入交银施罗德基金管理有限公司，曾任固定收益部基金经理，现任混合资产投资部基金经理。曾任交银施罗德丰晟收益债券型证券投资基金(2018年08月29日至2020年10月16日)、交银施罗德纯债债券型发起式证券投资基金(2018年08月29日至2025年01月15日)、交银施罗德裕如纯债债券型证券投资基金(2018年08月29日至2023年09月11日)、交银施罗德丰润收益债券型证券投资基金(2018年11月02日至2021年12月16日)、交银施罗德中债1-3年农发行债券指数证券投资基金(2019年01月23日至2021年12月16日)、交银施罗德裕泰两年定期开放债券型证券投资基金(2019年12月10日至2025年01月07日)、交银施罗德鑫选回报混合型证券投资基金(2021年04月29日至2024年05月22日)的基金经理。现任交银施罗德增利债券证券投资基金(2018年08月29日至今)、交银施罗德增利增强债券型证券投资基金(2018年11月02日至今)、交银施罗德可转债债券型证券投资基金(2019年07月11日至今)、交银施罗德安心收益债券型证券投资基金(2022年01月27日至今)、交银施罗德双利债券证券投资基金(2022年08月18日至今)、交银施罗德强化回报债券型证券投资基金(2023年04月15日至今)、交银施罗德定期支付月月丰债券型证券投资基金(2024年12月27日至今)、交银施罗德优选回报灵活配置混合型证券投资基金(2025年03月22日至今)、交银施罗德180天持有期债券型证券投资基金(2025年07月18日至今)的基金经理。</w:t>
      </w:r>
    </w:p>
    <w:p w14:paraId="024E49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本基金历任基金经理：</w:t>
      </w:r>
    </w:p>
    <w:p w14:paraId="7D114D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李家春先生(2008年03月31日至2014年08月20日)；</w:t>
      </w:r>
    </w:p>
    <w:p w14:paraId="5C3442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陈晓秋女士(2008年03月31日至2009年10月30日)；</w:t>
      </w:r>
    </w:p>
    <w:p w14:paraId="584D31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林洪钧先生(2014年08月04日至2015年05月30日)；</w:t>
      </w:r>
    </w:p>
    <w:p w14:paraId="0B5BCC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赵凌琦女士(2015年05月09日至2015年08月28日)；</w:t>
      </w:r>
    </w:p>
    <w:p w14:paraId="0AC081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孙超先生(2015年07月18日至2017年06月21日)；</w:t>
      </w:r>
    </w:p>
    <w:p w14:paraId="57EA18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于海颖女士(2017年06月10日至2020年08月21日)；</w:t>
      </w:r>
    </w:p>
    <w:p w14:paraId="16EE6C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张顺晨女士(2023年06月09日至2024年11月23日)。</w:t>
      </w:r>
    </w:p>
    <w:p w14:paraId="3CAB8E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4、投资决策委员会成员</w:t>
      </w:r>
    </w:p>
    <w:p w14:paraId="5A2EE7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委员：袁庆伟（总经理）</w:t>
      </w:r>
    </w:p>
    <w:p w14:paraId="712E0E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马俊（副总经理）</w:t>
      </w:r>
    </w:p>
    <w:p w14:paraId="358E52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于海颖（混合资产投资总监、基金经理）</w:t>
      </w:r>
    </w:p>
    <w:p w14:paraId="2DAD8A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王崇（权益投资副总监、权益部一级专家、基金经理）</w:t>
      </w:r>
    </w:p>
    <w:p w14:paraId="1532CC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马韬（研究总监）</w:t>
      </w:r>
    </w:p>
    <w:p w14:paraId="6D413B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上述人员之间不存在近亲属关系。</w:t>
      </w:r>
    </w:p>
    <w:p w14:paraId="0D2633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（三）基金管理人的职责</w:t>
      </w:r>
    </w:p>
    <w:p w14:paraId="4A6EEE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14:paraId="623036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71C39B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3、对所管理的不同基金财产分别管理、分别记账，进行证券投资；</w:t>
      </w:r>
    </w:p>
    <w:p w14:paraId="183E20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4、按照基金合同的约定确定基金收益分配方案，及时向基金份额持有人分配收益；</w:t>
      </w:r>
    </w:p>
    <w:p w14:paraId="4EF2F8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5、进行基金会计核算并编制基金财务会计报告；</w:t>
      </w:r>
    </w:p>
    <w:p w14:paraId="519ED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6、编制季度报告、中期报告和年度报告；</w:t>
      </w:r>
    </w:p>
    <w:p w14:paraId="06D1C2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7、计算并公告基金净值信息，确定基金份额申购、赎回价格；</w:t>
      </w:r>
    </w:p>
    <w:p w14:paraId="6356BE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8、办理与基金财产管理业务活动有关的信息披露事项；</w:t>
      </w:r>
    </w:p>
    <w:p w14:paraId="4C7260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9、召集基金份额持有人大会；</w:t>
      </w:r>
    </w:p>
    <w:p w14:paraId="4B769F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10、保存基金财产管理业务活动的记录、账册、报表和其他相关资料；</w:t>
      </w:r>
    </w:p>
    <w:p w14:paraId="394F86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11、以基金管理人名义，代表基金份额持有人利益行使诉讼权利或者实施其他法律行为；</w:t>
      </w:r>
    </w:p>
    <w:p w14:paraId="5E1FF8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12、有关法律法规和中国证监会规定的其他职责。</w:t>
      </w:r>
    </w:p>
    <w:p w14:paraId="35FC05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（四）基金管理人的承诺</w:t>
      </w:r>
    </w:p>
    <w:p w14:paraId="676359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14:paraId="1D1539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14:paraId="71F7EF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（1）将基金管理人固有财产或者他人财产混同于基金财产从事证券投资；</w:t>
      </w:r>
    </w:p>
    <w:p w14:paraId="663864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（2）不公平地对待管理的不同基金财产；</w:t>
      </w:r>
    </w:p>
    <w:p w14:paraId="21DB53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（3）利用基金财产为基金份额持有人以外的第三人牟取利益；</w:t>
      </w:r>
    </w:p>
    <w:p w14:paraId="25BB4C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（4）向基金份额持有人违规承诺收益或者承担损失；</w:t>
      </w:r>
    </w:p>
    <w:p w14:paraId="7A8F74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（5）依照法律、行政法规有关规定，由中国证监会规定禁止的其他行为。</w:t>
      </w:r>
    </w:p>
    <w:p w14:paraId="618E29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14:paraId="2698EA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14:paraId="3977A2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5、基金管理人承诺不从事其他法规规定禁止从事的行为。</w:t>
      </w:r>
    </w:p>
    <w:p w14:paraId="73AFF0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（五）基金经理承诺</w:t>
      </w:r>
    </w:p>
    <w:p w14:paraId="6523AA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1、依照有关法律法规和基金合同的规定，本着谨慎的原则为基金份额持有人谋取最大利益；</w:t>
      </w:r>
    </w:p>
    <w:p w14:paraId="775B41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2、不利用职务之便为自己、受雇人或任何第三者谋取利益；</w:t>
      </w:r>
    </w:p>
    <w:p w14:paraId="6516BB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14:paraId="19C1BF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4、不以任何形式为其他组织或个人进行证券交易。</w:t>
      </w:r>
    </w:p>
    <w:p w14:paraId="7F8F89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（六）基金管理人的内部控制制度</w:t>
      </w:r>
    </w:p>
    <w:p w14:paraId="6BAEDF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1、内部控制的原则</w:t>
      </w:r>
    </w:p>
    <w:p w14:paraId="5E1A04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（1）健全性原则</w:t>
      </w:r>
    </w:p>
    <w:p w14:paraId="0F787A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内部控制应当包括公司的各项业务、各个部门或机构和各级人员</w:t>
      </w:r>
      <w:r>
        <w:rPr>
          <w:rFonts w:hint="eastAsia" w:ascii="宋体" w:hAnsi="宋体"/>
          <w:sz w:val="24"/>
          <w:lang w:eastAsia="zh-CN"/>
        </w:rPr>
        <w:t>，</w:t>
      </w:r>
      <w:r>
        <w:rPr>
          <w:rFonts w:ascii="宋体" w:hAnsi="宋体"/>
          <w:sz w:val="24"/>
        </w:rPr>
        <w:t>并涵盖到决策、执行、监督、反馈等各个环节。</w:t>
      </w:r>
    </w:p>
    <w:p w14:paraId="03DE18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（2）有效性原则</w:t>
      </w:r>
    </w:p>
    <w:p w14:paraId="2B8A47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通过科学的内控手段和方法，建立合理的内控程序，维护内控制度的有效执行。</w:t>
      </w:r>
    </w:p>
    <w:p w14:paraId="7F03F6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（3）独立性原则</w:t>
      </w:r>
    </w:p>
    <w:p w14:paraId="0BF054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14:paraId="5FDBA3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（4）相互制约原则</w:t>
      </w:r>
    </w:p>
    <w:p w14:paraId="4D97DB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公司内部部门和岗位的设置应当体现权责分明、相互制衡。</w:t>
      </w:r>
    </w:p>
    <w:p w14:paraId="06ABE2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（5）成本效益原则</w:t>
      </w:r>
    </w:p>
    <w:p w14:paraId="72A37C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14:paraId="1B7806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2、风险管理和内部风险控制体系结构</w:t>
      </w:r>
    </w:p>
    <w:p w14:paraId="05AE3C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14:paraId="7D29EA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（1）董事会</w:t>
      </w:r>
    </w:p>
    <w:p w14:paraId="12B573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14:paraId="50A353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（2）合规风险及审计委员会</w:t>
      </w:r>
    </w:p>
    <w:p w14:paraId="41BDD3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14:paraId="119CEF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（3）风险控制委员会</w:t>
      </w:r>
    </w:p>
    <w:p w14:paraId="3A8A11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14:paraId="1F2E40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（4）督察长</w:t>
      </w:r>
    </w:p>
    <w:p w14:paraId="08549C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14:paraId="2F4CD2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（5）风险管理部</w:t>
      </w:r>
    </w:p>
    <w:p w14:paraId="2B0D62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14:paraId="51F193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（6）审计部</w:t>
      </w:r>
    </w:p>
    <w:p w14:paraId="4D62BB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14:paraId="296A13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（7）内控合规及法律事务部</w:t>
      </w:r>
    </w:p>
    <w:p w14:paraId="3C0209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14:paraId="70B4B6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（8）业务部门</w:t>
      </w:r>
    </w:p>
    <w:p w14:paraId="28CD0E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14:paraId="2BC439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3、风险管理和内部风险控制的措施</w:t>
      </w:r>
    </w:p>
    <w:p w14:paraId="23BCA7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（1）建立内控体系，完善内控制度</w:t>
      </w:r>
    </w:p>
    <w:p w14:paraId="7D7E52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14:paraId="6001F6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（2）建立相互分离、相互制衡的内控机制</w:t>
      </w:r>
    </w:p>
    <w:p w14:paraId="37D31D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14:paraId="2BDBF0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（3）建立、健全岗位责任制</w:t>
      </w:r>
    </w:p>
    <w:p w14:paraId="4838B1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14:paraId="4B26CC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（4）建立风险分类、识别、评估、报告、提示程序</w:t>
      </w:r>
    </w:p>
    <w:p w14:paraId="184C1A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14:paraId="03CF12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（5）建立有效的内部监控系统</w:t>
      </w:r>
    </w:p>
    <w:p w14:paraId="3C0AF3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建立了足够、有效的内部监控系统，对可能出现的各种风险进行全面和实时的监控。</w:t>
      </w:r>
    </w:p>
    <w:p w14:paraId="255B6A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（6）使用数量化的风险管理手段</w:t>
      </w:r>
    </w:p>
    <w:p w14:paraId="19D958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采取数量化、技术化的风险控制手段，建立数量化的风险管理模型，用以提示指数趋势、行业及</w:t>
      </w:r>
      <w:r>
        <w:rPr>
          <w:rFonts w:hint="eastAsia" w:ascii="宋体" w:hAnsi="宋体"/>
          <w:sz w:val="24"/>
          <w:lang w:val="en-US" w:eastAsia="zh-CN"/>
        </w:rPr>
        <w:t>个</w:t>
      </w:r>
      <w:r>
        <w:rPr>
          <w:rFonts w:hint="eastAsia" w:ascii="宋体" w:hAnsi="宋体"/>
          <w:sz w:val="24"/>
        </w:rPr>
        <w:t>券</w:t>
      </w:r>
      <w:r>
        <w:rPr>
          <w:rFonts w:ascii="宋体" w:hAnsi="宋体"/>
          <w:sz w:val="24"/>
        </w:rPr>
        <w:t>的风险，以便公司及时采取有效的措施，对风险进行分散、控制和规避，尽可能地减少损失。</w:t>
      </w:r>
    </w:p>
    <w:p w14:paraId="4FA3E6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（7）提供足够的培训</w:t>
      </w:r>
    </w:p>
    <w:p w14:paraId="6BC4DB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制定了完整的培训计划，为所有员工提供足够和适当的培训，使员工明确其职责所在，控制风险。</w:t>
      </w:r>
    </w:p>
    <w:p w14:paraId="7A09053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C22B4BE">
      <w:pPr>
        <w:pStyle w:val="2"/>
        <w:snapToGrid w:val="0"/>
        <w:spacing w:before="240" w:beforeLines="0" w:after="240"/>
        <w:rPr>
          <w:rFonts w:ascii="宋体" w:hAnsi="宋体"/>
          <w:szCs w:val="30"/>
        </w:rPr>
      </w:pPr>
      <w:bookmarkStart w:id="6" w:name="_Toc216956598"/>
      <w:r>
        <w:rPr>
          <w:rFonts w:ascii="Times New Roman" w:hAnsi="Times New Roman"/>
          <w:sz w:val="30"/>
        </w:rPr>
        <w:t>四、基金托管人</w:t>
      </w:r>
      <w:bookmarkEnd w:id="6"/>
    </w:p>
    <w:p w14:paraId="68126BBF">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（一）基金托管人情况</w:t>
      </w:r>
    </w:p>
    <w:p w14:paraId="5D6942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1、基本情况</w:t>
      </w:r>
    </w:p>
    <w:p w14:paraId="0E81CB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名称：中国建设银行股份有限公司(简称：中国建设银行)</w:t>
      </w:r>
    </w:p>
    <w:p w14:paraId="45ACED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14:paraId="5B23B3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14:paraId="171A21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14:paraId="310BD2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成立时间：2004年09月17日</w:t>
      </w:r>
    </w:p>
    <w:p w14:paraId="17E125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14:paraId="34AABB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14:paraId="581D32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0663CA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基金托管资格批文及文号：中国证监会证监基字[1998]12号</w:t>
      </w:r>
    </w:p>
    <w:p w14:paraId="0218DF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联系人：王小飞</w:t>
      </w:r>
    </w:p>
    <w:p w14:paraId="4E9F80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联系电话：(021)6063 7103</w:t>
      </w:r>
    </w:p>
    <w:p w14:paraId="3F88DE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2、主要人员情况</w:t>
      </w:r>
    </w:p>
    <w:p w14:paraId="25625B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14:paraId="3C722D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3、基金托管业务经营情况</w:t>
      </w:r>
    </w:p>
    <w:p w14:paraId="0E4958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2024年末，中国建设银行已托管1405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2020及2022年度“中国年度托管银行（大型银行）”奖项。2022年度，荣获《环球金融》 “中国最佳次托管银行”，并作为唯一中资银行获得《财资》“中国最佳QFI托管银行”奖项。2023年度，荣获中国基金报“公募基金25年最佳基金托管银行”奖项。2024年度，荣获《中国基金报》“优秀ETF托管人”、《中国证券报》“ETF金牛生态圈卓越托管机构（银行）”、《环球金融》“中国最佳次托管人”等奖项。</w:t>
      </w:r>
    </w:p>
    <w:p w14:paraId="6665673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（二）基金托管人的内部控制制度</w:t>
      </w:r>
    </w:p>
    <w:p w14:paraId="45A8D8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1、内部控制目标</w:t>
      </w:r>
    </w:p>
    <w:p w14:paraId="3EDF11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14:paraId="626B01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2、内部控制组织结构</w:t>
      </w:r>
    </w:p>
    <w:p w14:paraId="1CC61D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14:paraId="5BDCB8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3、内部控制制度及措施</w:t>
      </w:r>
    </w:p>
    <w:p w14:paraId="7E3C7D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14:paraId="0CEF536E">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（三）基金托管人对基金管理人运作基金进行监督的方法和程序</w:t>
      </w:r>
    </w:p>
    <w:p w14:paraId="318C92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1、监督方法</w:t>
      </w:r>
    </w:p>
    <w:p w14:paraId="382717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14:paraId="0695D9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2、监督流程</w:t>
      </w:r>
    </w:p>
    <w:p w14:paraId="7AEEA4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14:paraId="0088C2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(2)收到基金管理人的划款指令后，对指令要素等内容进行核查。</w:t>
      </w:r>
    </w:p>
    <w:p w14:paraId="5638A6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14:paraId="06432C2E">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AB54497">
      <w:pPr>
        <w:pStyle w:val="2"/>
        <w:snapToGrid w:val="0"/>
        <w:spacing w:before="240" w:beforeLines="0" w:after="240"/>
        <w:rPr>
          <w:rFonts w:ascii="宋体" w:hAnsi="宋体"/>
          <w:szCs w:val="30"/>
        </w:rPr>
      </w:pPr>
      <w:bookmarkStart w:id="7" w:name="_Toc216956599"/>
      <w:r>
        <w:rPr>
          <w:rFonts w:ascii="Times New Roman" w:hAnsi="Times New Roman"/>
          <w:sz w:val="30"/>
        </w:rPr>
        <w:t>五、相关服务机构</w:t>
      </w:r>
      <w:bookmarkEnd w:id="7"/>
    </w:p>
    <w:p w14:paraId="2128C2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（一）基金份额销售机构</w:t>
      </w:r>
    </w:p>
    <w:p w14:paraId="7BC836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0FD0D0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本基金直销机构为本公司直销柜台以及本公司的网上直销交易平台（网站及APP，下同）。</w:t>
      </w:r>
    </w:p>
    <w:p w14:paraId="253499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机构名称：交银施罗德基金管理有限公司</w:t>
      </w:r>
    </w:p>
    <w:p w14:paraId="4EE3B3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661DB0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65EE7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6FE578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成立时间：2005年8月4日</w:t>
      </w:r>
    </w:p>
    <w:p w14:paraId="196186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3A8F50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6AC238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1F90AC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4DC74A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6C48B8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14:paraId="0C662D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网上直销交易平台网址：www. fund001.com。</w:t>
      </w:r>
    </w:p>
    <w:p w14:paraId="1A37E0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2、其他销售机构</w:t>
      </w:r>
    </w:p>
    <w:p w14:paraId="2971A7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（1）名称：江苏江南农村商业银行股份有限公司</w:t>
      </w:r>
    </w:p>
    <w:p w14:paraId="63B1AF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住所：江苏省常州市和平中路413号</w:t>
      </w:r>
    </w:p>
    <w:p w14:paraId="06D843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办公地址：江苏省常州市和平中路413号</w:t>
      </w:r>
    </w:p>
    <w:p w14:paraId="3B8090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法定代表人：陆向阳</w:t>
      </w:r>
    </w:p>
    <w:p w14:paraId="61EDB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电话：0519-80585939</w:t>
      </w:r>
    </w:p>
    <w:p w14:paraId="5C1808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传真：0519-89995170</w:t>
      </w:r>
    </w:p>
    <w:p w14:paraId="24D684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联系人：蒋姣</w:t>
      </w:r>
    </w:p>
    <w:p w14:paraId="5A9A62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客户服务电话：96005</w:t>
      </w:r>
    </w:p>
    <w:p w14:paraId="2C6876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网址：http://www.jnbank.com.cn</w:t>
      </w:r>
    </w:p>
    <w:p w14:paraId="5CDCAE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（2）名称：上海浦东发展银行股份有限公司</w:t>
      </w:r>
    </w:p>
    <w:p w14:paraId="64CF4F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住所：上海市中山东一路12 号</w:t>
      </w:r>
    </w:p>
    <w:p w14:paraId="5710A0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办公地址：上海市中山东一路12 号</w:t>
      </w:r>
    </w:p>
    <w:p w14:paraId="49AC54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法定代表人：郑杨</w:t>
      </w:r>
    </w:p>
    <w:p w14:paraId="301D4D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电话：（021）61618888</w:t>
      </w:r>
    </w:p>
    <w:p w14:paraId="65F08A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传真：（021）61618888</w:t>
      </w:r>
    </w:p>
    <w:p w14:paraId="2ABA3F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联系人：朱瑛</w:t>
      </w:r>
    </w:p>
    <w:p w14:paraId="093361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客户服务电话：95528</w:t>
      </w:r>
    </w:p>
    <w:p w14:paraId="6DD6FC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网址：www.spdb.com.cn</w:t>
      </w:r>
    </w:p>
    <w:p w14:paraId="47FE9F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（3）名称：中国建设银行股份有限公司</w:t>
      </w:r>
    </w:p>
    <w:p w14:paraId="564235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14:paraId="052335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14:paraId="7B95FD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14:paraId="6995A9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电话：（010）66275654</w:t>
      </w:r>
    </w:p>
    <w:p w14:paraId="1B570F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传真：（010）66275654</w:t>
      </w:r>
    </w:p>
    <w:p w14:paraId="27924C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客户服务电话：95533</w:t>
      </w:r>
    </w:p>
    <w:p w14:paraId="7C0C8E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网址：www.ccb.com</w:t>
      </w:r>
    </w:p>
    <w:p w14:paraId="7E558C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（4）名称：交通银行股份有限公司</w:t>
      </w:r>
    </w:p>
    <w:p w14:paraId="75E087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住所：上海市浦东新区银城中路188号</w:t>
      </w:r>
    </w:p>
    <w:p w14:paraId="2C12CF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办公地址：上海市浦东新区银城中路188号</w:t>
      </w:r>
    </w:p>
    <w:p w14:paraId="6FBE03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法定代表人：任德奇</w:t>
      </w:r>
    </w:p>
    <w:p w14:paraId="129275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电话：（021）58781234</w:t>
      </w:r>
    </w:p>
    <w:p w14:paraId="741BA5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传真：（021）58408483</w:t>
      </w:r>
    </w:p>
    <w:p w14:paraId="743CF8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联系人：范瑞波</w:t>
      </w:r>
    </w:p>
    <w:p w14:paraId="030D70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客户服务电话：95559</w:t>
      </w:r>
    </w:p>
    <w:p w14:paraId="433AE7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网址：www.bankcomm.com</w:t>
      </w:r>
    </w:p>
    <w:p w14:paraId="053646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（5）名称：招商银行股份有限公司</w:t>
      </w:r>
    </w:p>
    <w:p w14:paraId="2D733C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住所：深圳市福田区深南大道7088号</w:t>
      </w:r>
    </w:p>
    <w:p w14:paraId="61B045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办公地址：深圳市福田区深南大道7088号</w:t>
      </w:r>
    </w:p>
    <w:p w14:paraId="544FDD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法定代表人：缪建民</w:t>
      </w:r>
    </w:p>
    <w:p w14:paraId="10202E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电话：（0755）83198888</w:t>
      </w:r>
    </w:p>
    <w:p w14:paraId="17C134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传真：（0755）83195109</w:t>
      </w:r>
    </w:p>
    <w:p w14:paraId="5DE5A9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联系人：季平伟</w:t>
      </w:r>
    </w:p>
    <w:p w14:paraId="31CD74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客户服务电话：95555</w:t>
      </w:r>
    </w:p>
    <w:p w14:paraId="4A7EF4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网址：www.cmbchina.com</w:t>
      </w:r>
    </w:p>
    <w:p w14:paraId="3DA5F6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（6）名称：上海银行股份有限公司</w:t>
      </w:r>
    </w:p>
    <w:p w14:paraId="184CA7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住所：上海市银城中路168号</w:t>
      </w:r>
    </w:p>
    <w:p w14:paraId="3EBA3F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办公地址：上海市银城中路168号</w:t>
      </w:r>
    </w:p>
    <w:p w14:paraId="3BA51B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法定代表人：金煜</w:t>
      </w:r>
    </w:p>
    <w:p w14:paraId="33B908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电话：（021）68475888</w:t>
      </w:r>
    </w:p>
    <w:p w14:paraId="116943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传真：（021）68476111</w:t>
      </w:r>
    </w:p>
    <w:p w14:paraId="0801F4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联系人：张萍</w:t>
      </w:r>
    </w:p>
    <w:p w14:paraId="56CE24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客户服务电话：（021）962888</w:t>
      </w:r>
    </w:p>
    <w:p w14:paraId="1881DF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网址：www.bankofshanghai.com</w:t>
      </w:r>
    </w:p>
    <w:p w14:paraId="532CD8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（7）名称：中信银行股份有限公司</w:t>
      </w:r>
    </w:p>
    <w:p w14:paraId="394768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住所：北京市东城区朝阳门北大街9号</w:t>
      </w:r>
    </w:p>
    <w:p w14:paraId="5FDA40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办公地址：北京市东城区朝阳门北大街9号</w:t>
      </w:r>
    </w:p>
    <w:p w14:paraId="448021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法定代表人：朱鹤新</w:t>
      </w:r>
    </w:p>
    <w:p w14:paraId="2F59CB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电话：（010）89936330</w:t>
      </w:r>
    </w:p>
    <w:p w14:paraId="3167B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传真：（010）85230024</w:t>
      </w:r>
    </w:p>
    <w:p w14:paraId="5968E9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联系人：丰靖</w:t>
      </w:r>
    </w:p>
    <w:p w14:paraId="49889C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客户服务电话：95558</w:t>
      </w:r>
    </w:p>
    <w:p w14:paraId="0C3E68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网址：bank.ecitic.com</w:t>
      </w:r>
    </w:p>
    <w:p w14:paraId="69AF23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（8）名称：江苏常熟农村商业银行股份有限公司</w:t>
      </w:r>
    </w:p>
    <w:p w14:paraId="22D89F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住所：江苏省常熟市新世纪大道58号</w:t>
      </w:r>
    </w:p>
    <w:p w14:paraId="78D43D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办公地址：江苏省常熟市新世纪大道58号</w:t>
      </w:r>
    </w:p>
    <w:p w14:paraId="75B99C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法定代表人：宋建明</w:t>
      </w:r>
    </w:p>
    <w:p w14:paraId="1C7EAE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联系电话：（0512）52909128</w:t>
      </w:r>
    </w:p>
    <w:p w14:paraId="43D989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传真：（0512）52909122</w:t>
      </w:r>
    </w:p>
    <w:p w14:paraId="56FE2F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联系人：黄晓</w:t>
      </w:r>
    </w:p>
    <w:p w14:paraId="1382CE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客户服务电话：962000</w:t>
      </w:r>
    </w:p>
    <w:p w14:paraId="758969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网址：www.csrcbank.com</w:t>
      </w:r>
    </w:p>
    <w:p w14:paraId="0F4901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（9）名称：东莞农村商业银行股份有限公司</w:t>
      </w:r>
    </w:p>
    <w:p w14:paraId="785C77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住所：东莞市东城区鸿福东路2号</w:t>
      </w:r>
    </w:p>
    <w:p w14:paraId="29AAE9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办公地址：东莞市东城区鸿福东路2号</w:t>
      </w:r>
    </w:p>
    <w:p w14:paraId="46051D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法定代表人：王耀球</w:t>
      </w:r>
    </w:p>
    <w:p w14:paraId="1939AC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电话：（0769）22866254</w:t>
      </w:r>
    </w:p>
    <w:p w14:paraId="5EA350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传真：（0769）22866282</w:t>
      </w:r>
    </w:p>
    <w:p w14:paraId="532B3B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联系人：林培珊</w:t>
      </w:r>
    </w:p>
    <w:p w14:paraId="21A1FA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客户服务电话：（0769）961122</w:t>
      </w:r>
    </w:p>
    <w:p w14:paraId="771C7F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网址：www.drcbank.com</w:t>
      </w:r>
    </w:p>
    <w:p w14:paraId="637A14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（10）名称：中国农业银行股份有限公司</w:t>
      </w:r>
    </w:p>
    <w:p w14:paraId="0A1C9F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住所：北京市东城区建国门内大街69号</w:t>
      </w:r>
    </w:p>
    <w:p w14:paraId="1C8E58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办公地址：北京市西城区复兴门内大街28号凯晨世贸中心东座</w:t>
      </w:r>
    </w:p>
    <w:p w14:paraId="2890EC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法定代表人：周慕冰</w:t>
      </w:r>
    </w:p>
    <w:p w14:paraId="0A5454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联系电话：010-66060069</w:t>
      </w:r>
    </w:p>
    <w:p w14:paraId="00A1F0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传真：010-68121816</w:t>
      </w:r>
    </w:p>
    <w:p w14:paraId="657700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联系人：贺倩</w:t>
      </w:r>
    </w:p>
    <w:p w14:paraId="552A9E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客户服务电话：95599</w:t>
      </w:r>
    </w:p>
    <w:p w14:paraId="6A62F0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网址：www.abchina.com</w:t>
      </w:r>
    </w:p>
    <w:p w14:paraId="58085D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（11）名称：中国银行股份有限公司</w:t>
      </w:r>
    </w:p>
    <w:p w14:paraId="4C331C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住所：北京市北京市复兴门内大街1号</w:t>
      </w:r>
    </w:p>
    <w:p w14:paraId="707F4C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办公地址：北京市西城区复兴门内大街1号</w:t>
      </w:r>
    </w:p>
    <w:p w14:paraId="6F4B32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法定代表人：陈四清</w:t>
      </w:r>
    </w:p>
    <w:p w14:paraId="012CCB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传真：（010）66594853</w:t>
      </w:r>
    </w:p>
    <w:p w14:paraId="292B2E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客户服务电话：95566</w:t>
      </w:r>
    </w:p>
    <w:p w14:paraId="1EE5B4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网址：www.boc.cn</w:t>
      </w:r>
    </w:p>
    <w:p w14:paraId="2DFA08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（12）名称：广发银行股份有限公司</w:t>
      </w:r>
    </w:p>
    <w:p w14:paraId="59E3E6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住所：广州市越秀区东风东路713号</w:t>
      </w:r>
    </w:p>
    <w:p w14:paraId="4D7923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法定代表人：杨明生</w:t>
      </w:r>
    </w:p>
    <w:p w14:paraId="7B9364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联系人：李晓鹏</w:t>
      </w:r>
    </w:p>
    <w:p w14:paraId="6FA777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客户服务电话：800-830-8003，400-830-8003</w:t>
      </w:r>
    </w:p>
    <w:p w14:paraId="273C91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网址：www.gdb.com.cn</w:t>
      </w:r>
    </w:p>
    <w:p w14:paraId="08DC27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（13）名称：中国民生银行股份有限公司</w:t>
      </w:r>
    </w:p>
    <w:p w14:paraId="1FF96F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住所：北京市西城区复兴门内大街2号</w:t>
      </w:r>
    </w:p>
    <w:p w14:paraId="732D18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办公地址：北京市西城区复兴门内大街2号</w:t>
      </w:r>
    </w:p>
    <w:p w14:paraId="01F476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法定代表人：洪崎</w:t>
      </w:r>
    </w:p>
    <w:p w14:paraId="312374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电话：（010）58560666</w:t>
      </w:r>
    </w:p>
    <w:p w14:paraId="60E8AD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传真：（010）57092611</w:t>
      </w:r>
    </w:p>
    <w:p w14:paraId="3FFE90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联系人：许野</w:t>
      </w:r>
    </w:p>
    <w:p w14:paraId="583C4D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95568</w:t>
      </w:r>
    </w:p>
    <w:p w14:paraId="652E0F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网址：www.cmbc.com.cn</w:t>
      </w:r>
    </w:p>
    <w:p w14:paraId="033E36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（14）名称：中国光大银行股份有限公司</w:t>
      </w:r>
    </w:p>
    <w:p w14:paraId="760D8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住所：北京市西城区太平桥大街25号、甲25号中国光大中心</w:t>
      </w:r>
    </w:p>
    <w:p w14:paraId="3378EE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办公地址：北京市西城区太平桥大街25号、甲25号中国光大中心</w:t>
      </w:r>
    </w:p>
    <w:p w14:paraId="54263B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法定代表人：李晓鹏</w:t>
      </w:r>
    </w:p>
    <w:p w14:paraId="3FAB2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电话：（010）63639681</w:t>
      </w:r>
    </w:p>
    <w:p w14:paraId="06E4EB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传真：（010）63639709</w:t>
      </w:r>
    </w:p>
    <w:p w14:paraId="0B1164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联系人：刘昭宇</w:t>
      </w:r>
    </w:p>
    <w:p w14:paraId="7A01C8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客户服务电话：95595</w:t>
      </w:r>
    </w:p>
    <w:p w14:paraId="14AEEE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网址：www.cebbank.com</w:t>
      </w:r>
    </w:p>
    <w:p w14:paraId="0481B4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（15）名称：宁波银行股份有限公司</w:t>
      </w:r>
    </w:p>
    <w:p w14:paraId="257D87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住所：宁波市江东区中山东路294号</w:t>
      </w:r>
    </w:p>
    <w:p w14:paraId="2162ED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法定代表人：陆华裕</w:t>
      </w:r>
    </w:p>
    <w:p w14:paraId="7BDF04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电话：（021）63586210</w:t>
      </w:r>
    </w:p>
    <w:p w14:paraId="298E97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传真：（021）63586215</w:t>
      </w:r>
    </w:p>
    <w:p w14:paraId="29FFD7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联系人：胡技勋</w:t>
      </w:r>
    </w:p>
    <w:p w14:paraId="2DA3FF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客户服务电话：96528（上海地区962528）</w:t>
      </w:r>
    </w:p>
    <w:p w14:paraId="5D0F97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网址：www.nbcb.com.cn</w:t>
      </w:r>
    </w:p>
    <w:p w14:paraId="7C23EB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（16）名称：北京银行股份有限公司</w:t>
      </w:r>
    </w:p>
    <w:p w14:paraId="42FA64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住所：北京市西城区金融大街甲17号首层</w:t>
      </w:r>
    </w:p>
    <w:p w14:paraId="7A99E6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办公地址：北京市西城区金融大街甲17号首层</w:t>
      </w:r>
    </w:p>
    <w:p w14:paraId="5AFF0F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法定代表人：张东宁</w:t>
      </w:r>
    </w:p>
    <w:p w14:paraId="2B8A1D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传真：（010）66226045</w:t>
      </w:r>
    </w:p>
    <w:p w14:paraId="597ED6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联系人：孔超</w:t>
      </w:r>
    </w:p>
    <w:p w14:paraId="25627B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客户服务电话：95526</w:t>
      </w:r>
    </w:p>
    <w:p w14:paraId="51BD0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网址：www.bankofbeijing.com.cn</w:t>
      </w:r>
    </w:p>
    <w:p w14:paraId="549ED9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（17）名称：平安银行股份有限公司</w:t>
      </w:r>
    </w:p>
    <w:p w14:paraId="3988F1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注册地址：深圳市罗湖区深南东路5047号</w:t>
      </w:r>
    </w:p>
    <w:p w14:paraId="2EE4A8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办公地址：深圳市深南东路5047号</w:t>
      </w:r>
    </w:p>
    <w:p w14:paraId="7213A2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法定代表人：谢永林</w:t>
      </w:r>
    </w:p>
    <w:p w14:paraId="2F5B21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电话：0755-22166574</w:t>
      </w:r>
    </w:p>
    <w:p w14:paraId="708CA3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传真：0755-82080406</w:t>
      </w:r>
    </w:p>
    <w:p w14:paraId="0A4ED9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联系人：赵杨</w:t>
      </w:r>
    </w:p>
    <w:p w14:paraId="12D9B4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客服电话：95511-3或95501</w:t>
      </w:r>
    </w:p>
    <w:p w14:paraId="3F8304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网址：bank.pingan.com</w:t>
      </w:r>
    </w:p>
    <w:p w14:paraId="73642F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（18）名称：江苏银行股份有限公司</w:t>
      </w:r>
    </w:p>
    <w:p w14:paraId="6144FC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住所：南京市中华路26号</w:t>
      </w:r>
    </w:p>
    <w:p w14:paraId="584A6A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办公地址：南京市中华路26号</w:t>
      </w:r>
    </w:p>
    <w:p w14:paraId="362B7E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法定代表人：夏平</w:t>
      </w:r>
    </w:p>
    <w:p w14:paraId="1063E8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电话：（025）58587018</w:t>
      </w:r>
    </w:p>
    <w:p w14:paraId="1769F5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传真：（025）58587038</w:t>
      </w:r>
    </w:p>
    <w:p w14:paraId="216E01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联系人：田春慧</w:t>
      </w:r>
    </w:p>
    <w:p w14:paraId="74A61A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客户服务电话：95319</w:t>
      </w:r>
    </w:p>
    <w:p w14:paraId="1392A1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网址：www.jsbchina.cn</w:t>
      </w:r>
    </w:p>
    <w:p w14:paraId="3E2CC8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（19）名称：华夏银行股份有限公司</w:t>
      </w:r>
    </w:p>
    <w:p w14:paraId="57FD5D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住所：北京市东城区建国门内大街22号</w:t>
      </w:r>
    </w:p>
    <w:p w14:paraId="37A2F9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办公地址：北京市东城区建国门内大街22号</w:t>
      </w:r>
    </w:p>
    <w:p w14:paraId="657A54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法定代表人：李民吉</w:t>
      </w:r>
    </w:p>
    <w:p w14:paraId="1EF1BF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客户服务电话：95577</w:t>
      </w:r>
    </w:p>
    <w:p w14:paraId="2914F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网址：www.hxb.com.cn</w:t>
      </w:r>
    </w:p>
    <w:p w14:paraId="324309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（20）名称：杭州银行股份有限公司</w:t>
      </w:r>
    </w:p>
    <w:p w14:paraId="1184B8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住所：杭州市庆春路46号杭州银行大厦</w:t>
      </w:r>
    </w:p>
    <w:p w14:paraId="5A5063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办公地址：杭州市庆春路46号杭州银行大厦</w:t>
      </w:r>
    </w:p>
    <w:p w14:paraId="4606FD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法定代表人：陈震山</w:t>
      </w:r>
    </w:p>
    <w:p w14:paraId="72862E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电话：（0571）85108195、85120696</w:t>
      </w:r>
    </w:p>
    <w:p w14:paraId="361A27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传真：（0571）86475527</w:t>
      </w:r>
    </w:p>
    <w:p w14:paraId="238F3C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联系人：严峻、夏帆</w:t>
      </w:r>
    </w:p>
    <w:p w14:paraId="32F47F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客户服务电话:96523</w:t>
      </w:r>
    </w:p>
    <w:p w14:paraId="54A3AC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网址：www.hzbank.com.cn</w:t>
      </w:r>
    </w:p>
    <w:p w14:paraId="12234D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（21）名称：中国工商银行股份有限公司</w:t>
      </w:r>
    </w:p>
    <w:p w14:paraId="42E42D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注册地址：北京市西城区复兴门内大街55号</w:t>
      </w:r>
    </w:p>
    <w:p w14:paraId="0567F9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办公地址：北京市西城区复兴门内大街55号</w:t>
      </w:r>
    </w:p>
    <w:p w14:paraId="63FA71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法定代表人：廖林</w:t>
      </w:r>
    </w:p>
    <w:p w14:paraId="617B79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客户服务电话：95588</w:t>
      </w:r>
    </w:p>
    <w:p w14:paraId="7E1C94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网址：www.icbc.com.cn</w:t>
      </w:r>
    </w:p>
    <w:p w14:paraId="665225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（22）名称：中国邮政储蓄银行股份有限公司</w:t>
      </w:r>
    </w:p>
    <w:p w14:paraId="6680FB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住所：北京市西城区金融大街3号</w:t>
      </w:r>
    </w:p>
    <w:p w14:paraId="2D895B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办公地址：北京市西城区金融大街3号</w:t>
      </w:r>
    </w:p>
    <w:p w14:paraId="3D8D49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法定代表人：李国华</w:t>
      </w:r>
    </w:p>
    <w:p w14:paraId="4B5F8D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传真：（010）68858117</w:t>
      </w:r>
    </w:p>
    <w:p w14:paraId="23B1A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联系人：陈春林</w:t>
      </w:r>
    </w:p>
    <w:p w14:paraId="7A8D84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客户服务电话：95580</w:t>
      </w:r>
    </w:p>
    <w:p w14:paraId="308AEC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网址：www.psbc.com</w:t>
      </w:r>
    </w:p>
    <w:p w14:paraId="17C455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（23）名称：兴业银行股份有限公司</w:t>
      </w:r>
    </w:p>
    <w:p w14:paraId="319FD8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注册地址：福建省福州市台江区江滨中大道398号兴业银行大厦</w:t>
      </w:r>
    </w:p>
    <w:p w14:paraId="01F00D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办公地址：上海市浦东新区银城路 167 号兴业银行大厦</w:t>
      </w:r>
    </w:p>
    <w:p w14:paraId="6676CC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法定代表人：吕家进</w:t>
      </w:r>
    </w:p>
    <w:p w14:paraId="5FEE70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联系人：蔡宣铭</w:t>
      </w:r>
    </w:p>
    <w:p w14:paraId="0D151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联系电话：021-52629999</w:t>
      </w:r>
    </w:p>
    <w:p w14:paraId="70CE2B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客服热线：95561</w:t>
      </w:r>
    </w:p>
    <w:p w14:paraId="76CFEF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网址：www.cib.com.cn</w:t>
      </w:r>
    </w:p>
    <w:p w14:paraId="5E58DC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（24）名称：光大证券股份有限公司</w:t>
      </w:r>
    </w:p>
    <w:p w14:paraId="0F2486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住所：上海市静安区新闸路1508号</w:t>
      </w:r>
    </w:p>
    <w:p w14:paraId="7AD569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办公地址：上海市静安区新闸路1508号</w:t>
      </w:r>
    </w:p>
    <w:p w14:paraId="50C8F7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3057AE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电话：（021）22169999</w:t>
      </w:r>
    </w:p>
    <w:p w14:paraId="64B361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传真：（021）22169134</w:t>
      </w:r>
    </w:p>
    <w:p w14:paraId="7D329E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联系人：刘晨</w:t>
      </w:r>
    </w:p>
    <w:p w14:paraId="4639A1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10108998</w:t>
      </w:r>
    </w:p>
    <w:p w14:paraId="25339D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网址：www.ebscn.com</w:t>
      </w:r>
    </w:p>
    <w:p w14:paraId="155D04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（25）名称：中信证券股份有限公司</w:t>
      </w:r>
    </w:p>
    <w:p w14:paraId="634803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住所：广东省深圳市福田区中心三路8号卓越时代广场（二期）北座</w:t>
      </w:r>
    </w:p>
    <w:p w14:paraId="33FA9E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办公地址：北京市朝阳区亮马桥路48号中信证券大厦</w:t>
      </w:r>
    </w:p>
    <w:p w14:paraId="26FD59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法定代表人：张佑君</w:t>
      </w:r>
    </w:p>
    <w:p w14:paraId="37460E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电话：010-60838888</w:t>
      </w:r>
    </w:p>
    <w:p w14:paraId="7CD1F0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客服电话：95548</w:t>
      </w:r>
    </w:p>
    <w:p w14:paraId="6EAB50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网址：www.cs.ecitic.com</w:t>
      </w:r>
    </w:p>
    <w:p w14:paraId="22F6FE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（26）名称：中国中金财富证券有限公司</w:t>
      </w:r>
    </w:p>
    <w:p w14:paraId="0957C6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14:paraId="017F27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办公地址：深圳市福田区益田路6003号荣超商务中心A栋第04、18层至21层</w:t>
      </w:r>
    </w:p>
    <w:p w14:paraId="2EF9A0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法定代表人：高涛</w:t>
      </w:r>
    </w:p>
    <w:p w14:paraId="7A27F7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电话：（0755）88320851</w:t>
      </w:r>
    </w:p>
    <w:p w14:paraId="015194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联系人：胡芷境</w:t>
      </w:r>
    </w:p>
    <w:p w14:paraId="31843A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客户服务电话：95532/400-600-8008</w:t>
      </w:r>
    </w:p>
    <w:p w14:paraId="74B01C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网址：www.ciccwm.com</w:t>
      </w:r>
    </w:p>
    <w:p w14:paraId="2E9767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（27）名称：中国银河证券股份有限公司</w:t>
      </w:r>
    </w:p>
    <w:p w14:paraId="73D262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住所：北京市西城区金融大街35号国际企业大厦C座</w:t>
      </w:r>
    </w:p>
    <w:p w14:paraId="4F9C60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w:t>
      </w:r>
    </w:p>
    <w:p w14:paraId="19CAA5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法定代表人：陈共炎</w:t>
      </w:r>
    </w:p>
    <w:p w14:paraId="18BFF9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电话：010-83574507</w:t>
      </w:r>
    </w:p>
    <w:p w14:paraId="5A2367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联系人：辛国政</w:t>
      </w:r>
    </w:p>
    <w:p w14:paraId="46D674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客户服务电话：400-888-8888</w:t>
      </w:r>
    </w:p>
    <w:p w14:paraId="194A0C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网址：www.chinastock.com.cn</w:t>
      </w:r>
    </w:p>
    <w:p w14:paraId="432292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（28）名称：申万宏源证券有限公司</w:t>
      </w:r>
    </w:p>
    <w:p w14:paraId="5AE7EB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住所：上海市徐汇区长乐路989号世纪商贸广场45层</w:t>
      </w:r>
    </w:p>
    <w:p w14:paraId="5D8AD6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办公地址：上海市徐汇区长乐路989号世纪商贸广场45层</w:t>
      </w:r>
    </w:p>
    <w:p w14:paraId="63B72D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法定代表人：杨玉成</w:t>
      </w:r>
    </w:p>
    <w:p w14:paraId="5B64D0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电话：（021）33389888</w:t>
      </w:r>
    </w:p>
    <w:p w14:paraId="30FF87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联系人：李清怡</w:t>
      </w:r>
    </w:p>
    <w:p w14:paraId="382070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客户服务电话：95523或4008895523</w:t>
      </w:r>
    </w:p>
    <w:p w14:paraId="5089A5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网址：www.sywg.com</w:t>
      </w:r>
    </w:p>
    <w:p w14:paraId="4976A7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（29）名称：国都证券股份有限公司</w:t>
      </w:r>
    </w:p>
    <w:p w14:paraId="0FA32F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住所：北京市东城区东直门南大街3号国华投资大厦9层10层</w:t>
      </w:r>
    </w:p>
    <w:p w14:paraId="6FB468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办公地址：北京市东城区东直门南大街3号国华投资大厦9层10层</w:t>
      </w:r>
    </w:p>
    <w:p w14:paraId="6B9E94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法定代表人：王少华</w:t>
      </w:r>
    </w:p>
    <w:p w14:paraId="439415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客户服务电话：400-818-8118</w:t>
      </w:r>
    </w:p>
    <w:p w14:paraId="11EE8A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网址：www.guodu.com</w:t>
      </w:r>
    </w:p>
    <w:p w14:paraId="156C8F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（30）名称：平安证券股份有限公司</w:t>
      </w:r>
    </w:p>
    <w:p w14:paraId="2715F9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住所：深圳市福田区金田路大中华国际交易广场裙楼8楼</w:t>
      </w:r>
    </w:p>
    <w:p w14:paraId="25C3EF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办公地址：深圳市福田区金田路大中华国际交易广场裙楼8楼(518048)</w:t>
      </w:r>
    </w:p>
    <w:p w14:paraId="05E36A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法定代表人：杨宇翔</w:t>
      </w:r>
    </w:p>
    <w:p w14:paraId="249DA1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电话：（0755）22627802</w:t>
      </w:r>
    </w:p>
    <w:p w14:paraId="02E8F9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传真：（0755）82400862</w:t>
      </w:r>
    </w:p>
    <w:p w14:paraId="42EF7F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联系人：郑舒丽</w:t>
      </w:r>
    </w:p>
    <w:p w14:paraId="462AC2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客户服务电话：95511-8</w:t>
      </w:r>
    </w:p>
    <w:p w14:paraId="329BCB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网址：www.pingan.com</w:t>
      </w:r>
    </w:p>
    <w:p w14:paraId="6D7C9A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（31）名称：中信证券（山东）有限责任公司</w:t>
      </w:r>
    </w:p>
    <w:p w14:paraId="61F172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住所：青岛市崂山区深圳路222号1号楼2001</w:t>
      </w:r>
    </w:p>
    <w:p w14:paraId="18CC7F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办公地址：青岛市市南区东海西路28号龙翔广场东座5层</w:t>
      </w:r>
    </w:p>
    <w:p w14:paraId="24864A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法定代表人：肖海峰</w:t>
      </w:r>
    </w:p>
    <w:p w14:paraId="5F3AD8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电话：0531-89606166</w:t>
      </w:r>
    </w:p>
    <w:p w14:paraId="7D2A8D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传真：0532-85022605</w:t>
      </w:r>
    </w:p>
    <w:p w14:paraId="19583D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联系人：赵如意</w:t>
      </w:r>
    </w:p>
    <w:p w14:paraId="0E5227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客户服务电话：95548</w:t>
      </w:r>
    </w:p>
    <w:p w14:paraId="65951C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网址：sd.citics.com</w:t>
      </w:r>
    </w:p>
    <w:p w14:paraId="504C1B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（32）名称：申万宏源西部证券有限公司</w:t>
      </w:r>
    </w:p>
    <w:p w14:paraId="63B39F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住所：新疆乌鲁木齐市建设路2号</w:t>
      </w:r>
    </w:p>
    <w:p w14:paraId="3B8144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办公地址：北京市西城区太平桥大街19号宏源证券</w:t>
      </w:r>
    </w:p>
    <w:p w14:paraId="59A5D5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法定代表人：冯戎</w:t>
      </w:r>
    </w:p>
    <w:p w14:paraId="3755A3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电话：（010）88085858</w:t>
      </w:r>
    </w:p>
    <w:p w14:paraId="0ED4EF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传真：（010）88085195</w:t>
      </w:r>
    </w:p>
    <w:p w14:paraId="1247BA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联系人：李巍</w:t>
      </w:r>
    </w:p>
    <w:p w14:paraId="77D72E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客户服务电话：4008-000-562</w:t>
      </w:r>
    </w:p>
    <w:p w14:paraId="4FCE99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网址：www.hysec.com</w:t>
      </w:r>
    </w:p>
    <w:p w14:paraId="259ACA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（33）名称：中泰证券股份有限公司</w:t>
      </w:r>
    </w:p>
    <w:p w14:paraId="474769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住所：山东省济南市市中区经七路86号</w:t>
      </w:r>
    </w:p>
    <w:p w14:paraId="45CF50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办公地址：山东省济南市市中区经七路86号</w:t>
      </w:r>
    </w:p>
    <w:p w14:paraId="4A46C0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法定代表人：李玮</w:t>
      </w:r>
    </w:p>
    <w:p w14:paraId="78FED2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电话：（0531）68889155</w:t>
      </w:r>
    </w:p>
    <w:p w14:paraId="23CD03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传真：（0531）68889752</w:t>
      </w:r>
    </w:p>
    <w:p w14:paraId="56F034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联系人：许曼华</w:t>
      </w:r>
    </w:p>
    <w:p w14:paraId="7C970C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客户服务电话：95538</w:t>
      </w:r>
    </w:p>
    <w:p w14:paraId="2D5302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网址：www.zts.com.cn</w:t>
      </w:r>
    </w:p>
    <w:p w14:paraId="6BCE9C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（34）名称：江海证券有限公司</w:t>
      </w:r>
    </w:p>
    <w:p w14:paraId="4B4F39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住所：黑龙江省哈尔滨市香坊区赣水路56号</w:t>
      </w:r>
    </w:p>
    <w:p w14:paraId="7996B5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法定代表人：孙名扬</w:t>
      </w:r>
    </w:p>
    <w:p w14:paraId="46D46F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电话：（0451）85863719</w:t>
      </w:r>
    </w:p>
    <w:p w14:paraId="63F6A7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传真：（0451）82287211</w:t>
      </w:r>
    </w:p>
    <w:p w14:paraId="3D934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联系人：刘爽</w:t>
      </w:r>
    </w:p>
    <w:p w14:paraId="7B5728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客户服务电话：956007</w:t>
      </w:r>
    </w:p>
    <w:p w14:paraId="2F219C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网址：www.jhzq.com.cn</w:t>
      </w:r>
    </w:p>
    <w:p w14:paraId="6060A6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（35）名称：中国国际金融股份有限公司</w:t>
      </w:r>
    </w:p>
    <w:p w14:paraId="00B3C7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住所：北京建国门外大街1号国贸大厦2座27层及28层</w:t>
      </w:r>
    </w:p>
    <w:p w14:paraId="37C524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办公地址：北京建国门外大街1号国贸大厦2座27层及28层</w:t>
      </w:r>
    </w:p>
    <w:p w14:paraId="20CE47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法定代表人：毕明建</w:t>
      </w:r>
    </w:p>
    <w:p w14:paraId="3AD6D9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电话：（010）65051166</w:t>
      </w:r>
    </w:p>
    <w:p w14:paraId="671C18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传真：（010）85679203</w:t>
      </w:r>
    </w:p>
    <w:p w14:paraId="7E414D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联系人：杨涵宇</w:t>
      </w:r>
    </w:p>
    <w:p w14:paraId="1F3D5C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网址：www.cicc.com.cn</w:t>
      </w:r>
    </w:p>
    <w:p w14:paraId="69F459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（36）名称：瑞银证券有限责任公司</w:t>
      </w:r>
    </w:p>
    <w:p w14:paraId="3A8B63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住所：北京市西城区金融大街7号英蓝国际金融中心12层、15层</w:t>
      </w:r>
    </w:p>
    <w:p w14:paraId="4BF8F2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办公地址：北京市西城区金融大街7号英蓝国际金融中心12层、15层</w:t>
      </w:r>
    </w:p>
    <w:p w14:paraId="2FCBC8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法定代表人：程宜荪</w:t>
      </w:r>
    </w:p>
    <w:p w14:paraId="23EE88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电话：（010）58328112</w:t>
      </w:r>
    </w:p>
    <w:p w14:paraId="1D66E1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传真：（010）58328740</w:t>
      </w:r>
    </w:p>
    <w:p w14:paraId="24686B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联系人：牟冲</w:t>
      </w:r>
    </w:p>
    <w:p w14:paraId="345AE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客户服务电话：400-887-8827</w:t>
      </w:r>
    </w:p>
    <w:p w14:paraId="71FD00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网址：www.ubssecurities.com</w:t>
      </w:r>
    </w:p>
    <w:p w14:paraId="7F24A2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（37）名称：长城证券有限责任公司</w:t>
      </w:r>
    </w:p>
    <w:p w14:paraId="005F5E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住所：深圳市福田区深南大道6008号特区报业大厦14、16、17层</w:t>
      </w:r>
    </w:p>
    <w:p w14:paraId="48DA44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法定代表人：黄耀华</w:t>
      </w:r>
    </w:p>
    <w:p w14:paraId="2F23D0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电话：（0755）83516289</w:t>
      </w:r>
    </w:p>
    <w:p w14:paraId="626AD6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传真：（0755）83516199</w:t>
      </w:r>
    </w:p>
    <w:p w14:paraId="207127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联系人：匡婷</w:t>
      </w:r>
    </w:p>
    <w:p w14:paraId="775F96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客户服务电话：（0755）33680000，400-6666-888</w:t>
      </w:r>
    </w:p>
    <w:p w14:paraId="102C93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网址：www.cc168.com.cn</w:t>
      </w:r>
    </w:p>
    <w:p w14:paraId="534934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（38）名称：国金证券股份有限公司</w:t>
      </w:r>
    </w:p>
    <w:p w14:paraId="2FD83C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住所：四川省成都市东城根上街95号</w:t>
      </w:r>
    </w:p>
    <w:p w14:paraId="005EF9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办公地址：成都市东城根上街95号</w:t>
      </w:r>
    </w:p>
    <w:p w14:paraId="16BF3B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法定代表人：冉云</w:t>
      </w:r>
    </w:p>
    <w:p w14:paraId="715B26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电话：（028）86690057，（028）86690058</w:t>
      </w:r>
    </w:p>
    <w:p w14:paraId="77F8A6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传真：（028）86690126</w:t>
      </w:r>
    </w:p>
    <w:p w14:paraId="5EF9FA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联系人：刘婧漪 贾鹏</w:t>
      </w:r>
    </w:p>
    <w:p w14:paraId="792C0F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客户服务电话：95310</w:t>
      </w:r>
    </w:p>
    <w:p w14:paraId="15A998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网址：www.gjzq.com.cn</w:t>
      </w:r>
    </w:p>
    <w:p w14:paraId="43197B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（39）名称：渤海证券股份有限公司</w:t>
      </w:r>
    </w:p>
    <w:p w14:paraId="0E27B2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住所：天津经济技术开发区第二大街42号写字楼101室</w:t>
      </w:r>
    </w:p>
    <w:p w14:paraId="117166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办公地址：天津市南开区宾水西道8号</w:t>
      </w:r>
    </w:p>
    <w:p w14:paraId="5ACCA6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法定代表人：安志勇</w:t>
      </w:r>
    </w:p>
    <w:p w14:paraId="4AA22A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电话：（022）28451991</w:t>
      </w:r>
    </w:p>
    <w:p w14:paraId="00C386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传真：（022）28451892</w:t>
      </w:r>
    </w:p>
    <w:p w14:paraId="681F93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联系人：蔡霆</w:t>
      </w:r>
    </w:p>
    <w:p w14:paraId="11AA7B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956066</w:t>
      </w:r>
    </w:p>
    <w:p w14:paraId="2C0A5A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网址：www.ewww.com.cn</w:t>
      </w:r>
    </w:p>
    <w:p w14:paraId="58723E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（40）名称：信达证券股份有限公司</w:t>
      </w:r>
    </w:p>
    <w:p w14:paraId="596EF1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住所：北京市西城区闹市口大街9号院1号楼信达金融中心</w:t>
      </w:r>
    </w:p>
    <w:p w14:paraId="105320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办公地址：北京市西城区闹市口大街9号院1号楼信达金融中心</w:t>
      </w:r>
    </w:p>
    <w:p w14:paraId="47DB97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法定代表人：张志刚</w:t>
      </w:r>
    </w:p>
    <w:p w14:paraId="16F109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电话：（010）63081000</w:t>
      </w:r>
    </w:p>
    <w:p w14:paraId="20F943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传真：（010）63081344</w:t>
      </w:r>
    </w:p>
    <w:p w14:paraId="348373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联系人：尹旭航</w:t>
      </w:r>
    </w:p>
    <w:p w14:paraId="65B88D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14:paraId="00EB69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网址：www.cindasc.com</w:t>
      </w:r>
    </w:p>
    <w:p w14:paraId="42BAE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（41）名称：西南证券股份有限公司</w:t>
      </w:r>
    </w:p>
    <w:p w14:paraId="6E3BD8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住所：重庆市江北区桥北苑8号</w:t>
      </w:r>
    </w:p>
    <w:p w14:paraId="765A33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办公地址：重庆市江北区桥北苑8号西南证券大厦</w:t>
      </w:r>
    </w:p>
    <w:p w14:paraId="003D67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法定代表人：吴坚</w:t>
      </w:r>
    </w:p>
    <w:p w14:paraId="0774C8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电话：（023）63786141</w:t>
      </w:r>
    </w:p>
    <w:p w14:paraId="170F47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传真：（023）63786212</w:t>
      </w:r>
    </w:p>
    <w:p w14:paraId="27F95C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联系人：张煜</w:t>
      </w:r>
    </w:p>
    <w:p w14:paraId="6E2335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客户服务电话：95355、400-809-6096</w:t>
      </w:r>
    </w:p>
    <w:p w14:paraId="2615A3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网址：www.swsc.com.cn</w:t>
      </w:r>
    </w:p>
    <w:p w14:paraId="2C8458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（42）名称：国新证券股份有限公司</w:t>
      </w:r>
    </w:p>
    <w:p w14:paraId="574621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住所：北京市西城区金融大街8号</w:t>
      </w:r>
    </w:p>
    <w:p w14:paraId="3C1521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办公地址：北京市西城区金融大街8号</w:t>
      </w:r>
    </w:p>
    <w:p w14:paraId="343478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法定代表人：宋德清</w:t>
      </w:r>
    </w:p>
    <w:p w14:paraId="2E2E4E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电话：（010）58568235</w:t>
      </w:r>
    </w:p>
    <w:p w14:paraId="6CBC7F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传真：（010）58568062</w:t>
      </w:r>
    </w:p>
    <w:p w14:paraId="319295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联系人：黄恒</w:t>
      </w:r>
    </w:p>
    <w:p w14:paraId="5BB8E6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客户服务电话：（010）58568118</w:t>
      </w:r>
    </w:p>
    <w:p w14:paraId="307924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网址：www.crsec.com.cn</w:t>
      </w:r>
    </w:p>
    <w:p w14:paraId="5A2140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（43）名称：粤开证券股份有限公司</w:t>
      </w:r>
    </w:p>
    <w:p w14:paraId="71C1F0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注册地址：广州市黄埔区科学大道60号开发区控股中心19、22、23层</w:t>
      </w:r>
    </w:p>
    <w:p w14:paraId="713344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办公地址：广州市黄埔区科学大道60号开发区控股中心19、22、23层</w:t>
      </w:r>
    </w:p>
    <w:p w14:paraId="45A149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法定代表人：郭川舟</w:t>
      </w:r>
    </w:p>
    <w:p w14:paraId="56F82D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客服电话：95564</w:t>
      </w:r>
    </w:p>
    <w:p w14:paraId="037B26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网址：www.ykzq.com</w:t>
      </w:r>
    </w:p>
    <w:p w14:paraId="6CA2E5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（44）名称：华西证券股份有限公司</w:t>
      </w:r>
    </w:p>
    <w:p w14:paraId="290266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住所：四川省成都市高新区天府二街198号华西证券大厦</w:t>
      </w:r>
    </w:p>
    <w:p w14:paraId="43FDF5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办公地址：四川省成都市高新区天府二街198号华西证券大厦</w:t>
      </w:r>
    </w:p>
    <w:p w14:paraId="7D3360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法定代表人：杨炯洋</w:t>
      </w:r>
    </w:p>
    <w:p w14:paraId="2921EF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电话：（028）86135991</w:t>
      </w:r>
    </w:p>
    <w:p w14:paraId="15E799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传真：（028）86150400</w:t>
      </w:r>
    </w:p>
    <w:p w14:paraId="6420C8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联系人：周志茹</w:t>
      </w:r>
    </w:p>
    <w:p w14:paraId="4CED00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客户服务电话：95584</w:t>
      </w:r>
    </w:p>
    <w:p w14:paraId="2806F8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网址：www.hx168.com.cn</w:t>
      </w:r>
    </w:p>
    <w:p w14:paraId="32BC8C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（45）名称：第一创业证券股份有限公司</w:t>
      </w:r>
    </w:p>
    <w:p w14:paraId="39178C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住所：深圳市罗湖区笋岗路12号中民时代广场 B 座25、26层</w:t>
      </w:r>
    </w:p>
    <w:p w14:paraId="51FCA4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办公地址：深圳市罗湖区笋岗路12号中民时代广场 B 座25、26层</w:t>
      </w:r>
    </w:p>
    <w:p w14:paraId="4A0D5D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法定代表人：刘学民</w:t>
      </w:r>
    </w:p>
    <w:p w14:paraId="0D454E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电话：（0755）25832852</w:t>
      </w:r>
    </w:p>
    <w:p w14:paraId="424AA3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传真：（0755）25831718</w:t>
      </w:r>
    </w:p>
    <w:p w14:paraId="02AF0B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联系人：崔国良</w:t>
      </w:r>
    </w:p>
    <w:p w14:paraId="5EA264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客户服务电话：4008881888</w:t>
      </w:r>
    </w:p>
    <w:p w14:paraId="3F4A0C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网址：www.firstcapital.com.cn</w:t>
      </w:r>
    </w:p>
    <w:p w14:paraId="2269E0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（46）名称：中信证券华南股份有限公司</w:t>
      </w:r>
    </w:p>
    <w:p w14:paraId="446D3A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住所：广州市天河区珠江西路5号广州国际金融中心主塔19层、20层</w:t>
      </w:r>
    </w:p>
    <w:p w14:paraId="4F72E8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办公地址：广州市天河区珠江西路5号广州国际金融中心主塔19层、20层</w:t>
      </w:r>
    </w:p>
    <w:p w14:paraId="122235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法定代表人：陈可可</w:t>
      </w:r>
    </w:p>
    <w:p w14:paraId="3A2364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电话：020-88836999</w:t>
      </w:r>
    </w:p>
    <w:p w14:paraId="50BE3B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传真：020-88836984</w:t>
      </w:r>
    </w:p>
    <w:p w14:paraId="3BE716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联系人：郭杏燕</w:t>
      </w:r>
    </w:p>
    <w:p w14:paraId="30A6DF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客服电话：（020）95396</w:t>
      </w:r>
    </w:p>
    <w:p w14:paraId="3FC65B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网址：www.gzs.com.cn</w:t>
      </w:r>
    </w:p>
    <w:p w14:paraId="5E1060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（47）名称：国泰海通证券股份有限公司</w:t>
      </w:r>
    </w:p>
    <w:p w14:paraId="164299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注册地址：中国（上海）自由贸易试验区商城路618号</w:t>
      </w:r>
    </w:p>
    <w:p w14:paraId="0DCE7D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办公地址：上海市静安区南京西路768号国泰君安大厦</w:t>
      </w:r>
    </w:p>
    <w:p w14:paraId="7F350E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法定代表人：朱健</w:t>
      </w:r>
    </w:p>
    <w:p w14:paraId="6281F8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联系电话：021-38676666</w:t>
      </w:r>
    </w:p>
    <w:p w14:paraId="7CF769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传真：021-38670666</w:t>
      </w:r>
    </w:p>
    <w:p w14:paraId="3D3092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联系人：邵亚杰</w:t>
      </w:r>
    </w:p>
    <w:p w14:paraId="59AA00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服务热线 : 95521 / 4008888666</w:t>
      </w:r>
    </w:p>
    <w:p w14:paraId="0C2591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网址：www.gtht.com</w:t>
      </w:r>
    </w:p>
    <w:p w14:paraId="7F4DFE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（48）名称：招商证券股份有限公司</w:t>
      </w:r>
    </w:p>
    <w:p w14:paraId="60DDF2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住所：深圳市福田区福田街道福华一路111号</w:t>
      </w:r>
    </w:p>
    <w:p w14:paraId="393EE4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办公地址：深圳市福田区益田路江苏大厦A座38-45层</w:t>
      </w:r>
    </w:p>
    <w:p w14:paraId="0E9853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法定代表人：霍达</w:t>
      </w:r>
    </w:p>
    <w:p w14:paraId="67BB07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电话：（0755）82943666</w:t>
      </w:r>
    </w:p>
    <w:p w14:paraId="489B5E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传真：（0755）82943636</w:t>
      </w:r>
    </w:p>
    <w:p w14:paraId="7BA9F4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联系人：黄婵君</w:t>
      </w:r>
    </w:p>
    <w:p w14:paraId="312899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客户服务电话：400-8888-111，95565</w:t>
      </w:r>
    </w:p>
    <w:p w14:paraId="1DA265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网址：www.newone.com.cn</w:t>
      </w:r>
    </w:p>
    <w:p w14:paraId="55C90E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（49）名称：长江证券股份有限公司</w:t>
      </w:r>
    </w:p>
    <w:p w14:paraId="5A6C4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住所：武汉市新华路特8号长江证券大厦</w:t>
      </w:r>
    </w:p>
    <w:p w14:paraId="6A5A54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办公地址：武汉市新华路特8号长江证券大厦</w:t>
      </w:r>
    </w:p>
    <w:p w14:paraId="3FF47A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法定代表人：胡运钊</w:t>
      </w:r>
    </w:p>
    <w:p w14:paraId="387F40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电话：（027）65799999</w:t>
      </w:r>
    </w:p>
    <w:p w14:paraId="0EB606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传真：（027）85481900</w:t>
      </w:r>
    </w:p>
    <w:p w14:paraId="11F4AE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联系人：李良</w:t>
      </w:r>
    </w:p>
    <w:p w14:paraId="6DEEA6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客户服务电话：95579或4008-888-999</w:t>
      </w:r>
    </w:p>
    <w:p w14:paraId="55A389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网址：www.95579.com</w:t>
      </w:r>
    </w:p>
    <w:p w14:paraId="3DCB49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（50）名称：爱建证券有限责任公司</w:t>
      </w:r>
    </w:p>
    <w:p w14:paraId="1728D9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住所：上海市南京西路758号24楼</w:t>
      </w:r>
    </w:p>
    <w:p w14:paraId="423DB3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办公地址：上海市浦东新区世纪大道1600号32楼</w:t>
      </w:r>
    </w:p>
    <w:p w14:paraId="268121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法定代表人：张建华</w:t>
      </w:r>
    </w:p>
    <w:p w14:paraId="68866A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电话：（021）32229888</w:t>
      </w:r>
    </w:p>
    <w:p w14:paraId="436AA0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传真：（021）68728703</w:t>
      </w:r>
    </w:p>
    <w:p w14:paraId="1CFFD4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联系人：陈敏</w:t>
      </w:r>
    </w:p>
    <w:p w14:paraId="5447CC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客户服务电话：（021）63340678</w:t>
      </w:r>
    </w:p>
    <w:p w14:paraId="285E45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网址：www.ajzq.com</w:t>
      </w:r>
    </w:p>
    <w:p w14:paraId="5A713A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（51）名称：大同证券有限责任公司</w:t>
      </w:r>
    </w:p>
    <w:p w14:paraId="0359EC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注册地址：山西省大同市城区迎宾街15号桐城中央21层</w:t>
      </w:r>
    </w:p>
    <w:p w14:paraId="476EAE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办公地址：太原市长治路 111 号山西世贸中心 A 座 F12、F13</w:t>
      </w:r>
    </w:p>
    <w:p w14:paraId="252910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邮政编码：030600</w:t>
      </w:r>
    </w:p>
    <w:p w14:paraId="0533A2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法定代表人：董祥</w:t>
      </w:r>
    </w:p>
    <w:p w14:paraId="7C49C0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 话：（0351）4130322</w:t>
      </w:r>
    </w:p>
    <w:p w14:paraId="157E66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 真：（0351）7219891</w:t>
      </w:r>
    </w:p>
    <w:p w14:paraId="5F2B70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客服电话：4007121212</w:t>
      </w:r>
    </w:p>
    <w:p w14:paraId="4DF9E7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网址：www.dtsbc.com.cn</w:t>
      </w:r>
    </w:p>
    <w:p w14:paraId="25BEF4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（52）名称：长城国瑞证券有限公司</w:t>
      </w:r>
    </w:p>
    <w:p w14:paraId="354933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住所：厦门市莲前西路2号莲富大厦17楼</w:t>
      </w:r>
    </w:p>
    <w:p w14:paraId="421EDB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办公地址：厦门市莲前西路2号莲富大厦17楼</w:t>
      </w:r>
    </w:p>
    <w:p w14:paraId="6BD21C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法定代表人：王勇</w:t>
      </w:r>
    </w:p>
    <w:p w14:paraId="6B3D09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电话：（0592）5161642</w:t>
      </w:r>
    </w:p>
    <w:p w14:paraId="216F61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传真：（0592）5161640</w:t>
      </w:r>
    </w:p>
    <w:p w14:paraId="2BFB4D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联系人：赵钦</w:t>
      </w:r>
    </w:p>
    <w:p w14:paraId="44BB8A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客户服务电话：（0592）5163588</w:t>
      </w:r>
    </w:p>
    <w:p w14:paraId="3D95F7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网址：www.xmzq.cn</w:t>
      </w:r>
    </w:p>
    <w:p w14:paraId="719E73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（53）名称：华宝证券股份有限公司</w:t>
      </w:r>
    </w:p>
    <w:p w14:paraId="7EA619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住所：中国上海市陆家嘴环路166号未来资产大厦27楼</w:t>
      </w:r>
    </w:p>
    <w:p w14:paraId="2B0A4C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办公地址：中国上海市浦东新区世纪大道100号上海环球金融中心57楼</w:t>
      </w:r>
    </w:p>
    <w:p w14:paraId="31FB24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陈林</w:t>
      </w:r>
    </w:p>
    <w:p w14:paraId="14D9CC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电话：（021）68777222</w:t>
      </w:r>
    </w:p>
    <w:p w14:paraId="1323CC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传真：（021）68777822</w:t>
      </w:r>
    </w:p>
    <w:p w14:paraId="7B3137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联系人：赵洁</w:t>
      </w:r>
    </w:p>
    <w:p w14:paraId="2CDE48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客户服务电话：400-820-9898</w:t>
      </w:r>
    </w:p>
    <w:p w14:paraId="7EB4A9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网址：www.cnhbstock.com</w:t>
      </w:r>
    </w:p>
    <w:p w14:paraId="6033ED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（54）名称：华龙证券股份有限公司</w:t>
      </w:r>
    </w:p>
    <w:p w14:paraId="292D40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住所：兰州市城关区东岗西路638号财富中心</w:t>
      </w:r>
    </w:p>
    <w:p w14:paraId="774D22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办公地址：兰州市城关区东岗西路638号财富中心</w:t>
      </w:r>
    </w:p>
    <w:p w14:paraId="41AD7F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法定代表人：李晓安</w:t>
      </w:r>
    </w:p>
    <w:p w14:paraId="40A267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电话：（0931）4890208</w:t>
      </w:r>
    </w:p>
    <w:p w14:paraId="0B40AC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传真：（0931）4890628</w:t>
      </w:r>
    </w:p>
    <w:p w14:paraId="1A8D37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联系人：李昕田</w:t>
      </w:r>
    </w:p>
    <w:p w14:paraId="05683A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客户服务电话：4006898888、（0931）4890208</w:t>
      </w:r>
    </w:p>
    <w:p w14:paraId="450616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网址：www.hlzqgs.com</w:t>
      </w:r>
    </w:p>
    <w:p w14:paraId="2C9524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（55）名称：海通证券股份有限公司</w:t>
      </w:r>
    </w:p>
    <w:p w14:paraId="120198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住所：上海市淮海中路98号</w:t>
      </w:r>
    </w:p>
    <w:p w14:paraId="637947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办公地址：上海市广东路689号</w:t>
      </w:r>
    </w:p>
    <w:p w14:paraId="7C2E5E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法定代表人：王开国</w:t>
      </w:r>
    </w:p>
    <w:p w14:paraId="18AA3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电话：（021）23219000</w:t>
      </w:r>
    </w:p>
    <w:p w14:paraId="403696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传真：（021）23219100</w:t>
      </w:r>
    </w:p>
    <w:p w14:paraId="4E7B67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联系人：李笑鸣</w:t>
      </w:r>
    </w:p>
    <w:p w14:paraId="1C1E43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客户服务电话：95553或拨打各城市营业网点咨询电话</w:t>
      </w:r>
    </w:p>
    <w:p w14:paraId="64EEEC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网址：www.htsec.com</w:t>
      </w:r>
    </w:p>
    <w:p w14:paraId="4AAD9E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（56）名称：广发证券股份有限公司</w:t>
      </w:r>
    </w:p>
    <w:p w14:paraId="7F73F4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住所：广州市黄埔区中新广州知识城腾飞一街2号618室</w:t>
      </w:r>
    </w:p>
    <w:p w14:paraId="6B331A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办公地址：广州市天河区马场路26号广发证券大厦</w:t>
      </w:r>
    </w:p>
    <w:p w14:paraId="2801E7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法定代表人：林传辉</w:t>
      </w:r>
    </w:p>
    <w:p w14:paraId="63E0EF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电话：（020）66338888</w:t>
      </w:r>
    </w:p>
    <w:p w14:paraId="5DEDA2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传真：（020）87553600</w:t>
      </w:r>
    </w:p>
    <w:p w14:paraId="4B38A1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联系人：任嘉鹏</w:t>
      </w:r>
    </w:p>
    <w:p w14:paraId="472830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客户服务电话：95575</w:t>
      </w:r>
    </w:p>
    <w:p w14:paraId="27DD3C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网址：www.gf.com.cn</w:t>
      </w:r>
    </w:p>
    <w:p w14:paraId="372785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（57）名称：兴业证券股份有限公司</w:t>
      </w:r>
    </w:p>
    <w:p w14:paraId="37C43E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住所：福州市湖东路268号</w:t>
      </w:r>
    </w:p>
    <w:p w14:paraId="4C191A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办公地址：上海市浦东新区长柳路36号</w:t>
      </w:r>
    </w:p>
    <w:p w14:paraId="22B5CB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法定代表人：杨华辉</w:t>
      </w:r>
    </w:p>
    <w:p w14:paraId="7F576E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021-38565547</w:t>
      </w:r>
    </w:p>
    <w:p w14:paraId="08D90A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联系人：乔琳雪</w:t>
      </w:r>
    </w:p>
    <w:p w14:paraId="73F553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www.xyzq.com.cn</w:t>
      </w:r>
    </w:p>
    <w:p w14:paraId="40F9EB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客户服务电话：95562</w:t>
      </w:r>
    </w:p>
    <w:p w14:paraId="231BC7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（58）名称：湘财证券股份有限公司</w:t>
      </w:r>
    </w:p>
    <w:p w14:paraId="7E6A6A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住所：湖南省长沙市黄兴中路63号中山国际大厦12楼</w:t>
      </w:r>
    </w:p>
    <w:p w14:paraId="33973B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办公地址：湖南省长沙市天心区湘府中路198号标志商务中心11楼</w:t>
      </w:r>
    </w:p>
    <w:p w14:paraId="38B88F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法定代表人：林俊波</w:t>
      </w:r>
    </w:p>
    <w:p w14:paraId="38C40A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电话：（021）68634518</w:t>
      </w:r>
    </w:p>
    <w:p w14:paraId="16928D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传真：（021）68865680</w:t>
      </w:r>
    </w:p>
    <w:p w14:paraId="018285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联系人：钟康莺</w:t>
      </w:r>
    </w:p>
    <w:p w14:paraId="70B480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客户服务电话：400-888-1551</w:t>
      </w:r>
    </w:p>
    <w:p w14:paraId="21D380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网址：www.xcsc.com</w:t>
      </w:r>
    </w:p>
    <w:p w14:paraId="45F513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（59）名称：华泰证券股份有限公司</w:t>
      </w:r>
    </w:p>
    <w:p w14:paraId="3108D4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住所：江苏省南京市江东中路228号</w:t>
      </w:r>
    </w:p>
    <w:p w14:paraId="63B5ED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办公地址：江苏省南京市建邺区江东中路228号华泰证券广场</w:t>
      </w:r>
    </w:p>
    <w:p w14:paraId="42D927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法定代表人：张伟</w:t>
      </w:r>
    </w:p>
    <w:p w14:paraId="33AC68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电话：（0755）82492193</w:t>
      </w:r>
    </w:p>
    <w:p w14:paraId="3E956B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传真：（0755）82492962</w:t>
      </w:r>
    </w:p>
    <w:p w14:paraId="18F096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联系人：徐浩津</w:t>
      </w:r>
    </w:p>
    <w:p w14:paraId="129BB9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客户服务电话：95597</w:t>
      </w:r>
    </w:p>
    <w:p w14:paraId="039110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网址：www.htsc.com.cn</w:t>
      </w:r>
    </w:p>
    <w:p w14:paraId="50BF79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（60）名称：金融街证券股份有限公司</w:t>
      </w:r>
    </w:p>
    <w:p w14:paraId="53FC0D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注册地址：内蒙古自治区呼和浩特市新城区海拉尔东街满世尚都办公商业综合楼</w:t>
      </w:r>
    </w:p>
    <w:p w14:paraId="5AABF6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办公地址：内蒙古自治区呼和浩特市新城区海拉尔东街满世尚都办公商业综合楼</w:t>
      </w:r>
    </w:p>
    <w:p w14:paraId="5BBD62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法定代表人：祝艳辉</w:t>
      </w:r>
    </w:p>
    <w:p w14:paraId="43B369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联系人：熊丽、王捷勋</w:t>
      </w:r>
    </w:p>
    <w:p w14:paraId="540AF9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联系电话：0471-4968480</w:t>
      </w:r>
    </w:p>
    <w:p w14:paraId="17E206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客户服务电话：956088</w:t>
      </w:r>
    </w:p>
    <w:p w14:paraId="35E321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网址：www.cnht.com.cn</w:t>
      </w:r>
    </w:p>
    <w:p w14:paraId="4030DE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（61）名称：国信证券股份有限公司</w:t>
      </w:r>
    </w:p>
    <w:p w14:paraId="310BD2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住所：深圳市罗湖区红岭中路1012号国信证券大厦16-26楼</w:t>
      </w:r>
    </w:p>
    <w:p w14:paraId="05D237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办公地址：深圳市罗湖区红岭中路1012号国信证券大厦16-26楼</w:t>
      </w:r>
    </w:p>
    <w:p w14:paraId="495320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法定代表人：张纳沙</w:t>
      </w:r>
    </w:p>
    <w:p w14:paraId="02E2C6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电话：（0755）82130833</w:t>
      </w:r>
    </w:p>
    <w:p w14:paraId="78F2F4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传真：（0755）82133952</w:t>
      </w:r>
    </w:p>
    <w:p w14:paraId="410996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联系人：于智勇</w:t>
      </w:r>
    </w:p>
    <w:p w14:paraId="7B7375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客户服务电话：95536</w:t>
      </w:r>
    </w:p>
    <w:p w14:paraId="188A51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网址：www.guosen.com.cn</w:t>
      </w:r>
    </w:p>
    <w:p w14:paraId="3DEB18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（62）名称：中原证券股份有限公司</w:t>
      </w:r>
    </w:p>
    <w:p w14:paraId="6696E0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住所：郑州市郑东新区商务外环路10号</w:t>
      </w:r>
    </w:p>
    <w:p w14:paraId="2EB90C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办公地址：郑州市郑东新区商务外环路10号</w:t>
      </w:r>
    </w:p>
    <w:p w14:paraId="3C1755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法定代表人：菅明军</w:t>
      </w:r>
    </w:p>
    <w:p w14:paraId="593AE4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联系人：程月艳 李盼盼</w:t>
      </w:r>
    </w:p>
    <w:p w14:paraId="1E796A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电话：0371-69099881/2</w:t>
      </w:r>
    </w:p>
    <w:p w14:paraId="4D5328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客户服务电话：95377</w:t>
      </w:r>
    </w:p>
    <w:p w14:paraId="7F6B44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网址：https://www.ccnew.com</w:t>
      </w:r>
    </w:p>
    <w:p w14:paraId="05102B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（63）名称：中信建投证券股份有限公司</w:t>
      </w:r>
    </w:p>
    <w:p w14:paraId="4F5CDC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住所：北京市朝阳区安立路66号4号楼</w:t>
      </w:r>
    </w:p>
    <w:p w14:paraId="79C5CF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办公地址：北京市朝阳门内大街188号</w:t>
      </w:r>
    </w:p>
    <w:p w14:paraId="0A2B1B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法定代表人：刘成</w:t>
      </w:r>
    </w:p>
    <w:p w14:paraId="62E377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电话：（010）56135784</w:t>
      </w:r>
    </w:p>
    <w:p w14:paraId="54D65F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联系人：刘芸</w:t>
      </w:r>
    </w:p>
    <w:p w14:paraId="2C46A9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客户服务电话：95587</w:t>
      </w:r>
    </w:p>
    <w:p w14:paraId="089827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网址：www.csc108.com</w:t>
      </w:r>
    </w:p>
    <w:p w14:paraId="03300B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（64）名称：财通证券股份有限公司</w:t>
      </w:r>
    </w:p>
    <w:p w14:paraId="284AFB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注册地址：杭州市杭大路15号嘉华国际商务中心201、501、502、1103、1601-1615、1701-1716</w:t>
      </w:r>
    </w:p>
    <w:p w14:paraId="446B70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办公地址：杭州市杭大路15号嘉华国际商务中心201、501、502、1103、1601-1615、1701-1716</w:t>
      </w:r>
    </w:p>
    <w:p w14:paraId="6FA10B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沈继宁</w:t>
      </w:r>
    </w:p>
    <w:p w14:paraId="19438B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电话：0571-87789160</w:t>
      </w:r>
    </w:p>
    <w:p w14:paraId="0F12D4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陶志华</w:t>
      </w:r>
    </w:p>
    <w:p w14:paraId="41D4F5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客户服务电话：95336,40086-96336</w:t>
      </w:r>
    </w:p>
    <w:p w14:paraId="5BC9EE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网址：www.ctsec.com</w:t>
      </w:r>
    </w:p>
    <w:p w14:paraId="6D6395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（65）名称：中航证券有限公司</w:t>
      </w:r>
    </w:p>
    <w:p w14:paraId="4F078A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住所：南昌市红谷滩新区红谷中大道1619号国际金融大厦41楼</w:t>
      </w:r>
    </w:p>
    <w:p w14:paraId="4A8AB6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办公地址：南昌市红谷滩新区红谷中大道1619号国际金融大厦41楼</w:t>
      </w:r>
    </w:p>
    <w:p w14:paraId="2612AA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法定代表人：杜航</w:t>
      </w:r>
    </w:p>
    <w:p w14:paraId="32B914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电话：（0791）86768681</w:t>
      </w:r>
    </w:p>
    <w:p w14:paraId="4B52F0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传真：（0791）86770178</w:t>
      </w:r>
    </w:p>
    <w:p w14:paraId="6ADA60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联系人：戴蕾</w:t>
      </w:r>
    </w:p>
    <w:p w14:paraId="4C77B2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客户服务电话：400-8895-335</w:t>
      </w:r>
    </w:p>
    <w:p w14:paraId="25F875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网址：www.avicsec.com</w:t>
      </w:r>
    </w:p>
    <w:p w14:paraId="520246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（66）名称：东莞证券股份有限公司</w:t>
      </w:r>
    </w:p>
    <w:p w14:paraId="009EB2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住所：广东省东莞市莞城区可园南路一号</w:t>
      </w:r>
    </w:p>
    <w:p w14:paraId="14EA56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办公地址：广东省东莞市莞城区可园南路一号</w:t>
      </w:r>
    </w:p>
    <w:p w14:paraId="52DF92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电话：（0769）22115712</w:t>
      </w:r>
    </w:p>
    <w:p w14:paraId="6F552A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传真：（0769）22115712</w:t>
      </w:r>
    </w:p>
    <w:p w14:paraId="7F6684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联系人：李荣</w:t>
      </w:r>
    </w:p>
    <w:p w14:paraId="68D71E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客户服务电话：95328</w:t>
      </w:r>
    </w:p>
    <w:p w14:paraId="311BAA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网址：www.dgzq.com</w:t>
      </w:r>
    </w:p>
    <w:p w14:paraId="73C23F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（67）名称：国元证券股份有限公司</w:t>
      </w:r>
    </w:p>
    <w:p w14:paraId="0A7FB8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住所：中国安徽省合肥市梅山路18号安徽国际金融中心A座</w:t>
      </w:r>
    </w:p>
    <w:p w14:paraId="0A0783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办公地址：中国安徽省合肥市梅山路18号安徽国际金融中心A座</w:t>
      </w:r>
    </w:p>
    <w:p w14:paraId="137840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法定代表人：俞仕新</w:t>
      </w:r>
    </w:p>
    <w:p w14:paraId="103156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联系电话：0551-62207400</w:t>
      </w:r>
    </w:p>
    <w:p w14:paraId="1F25CA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传真：0551-62207148</w:t>
      </w:r>
    </w:p>
    <w:p w14:paraId="3106B5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联系人：汪先哲</w:t>
      </w:r>
    </w:p>
    <w:p w14:paraId="047D65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客户服务电话：95578</w:t>
      </w:r>
    </w:p>
    <w:p w14:paraId="669003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网址：www.gyzq.com.cn</w:t>
      </w:r>
    </w:p>
    <w:p w14:paraId="71CD78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（68）名称：国投证券股份有限公司</w:t>
      </w:r>
    </w:p>
    <w:p w14:paraId="286B9B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住所：深圳市福田区福田街道福华一路119号安信金融大厦</w:t>
      </w:r>
    </w:p>
    <w:p w14:paraId="3DF195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办公地址：深圳市福田区福田街道福华一路119号安信金融大厦</w:t>
      </w:r>
    </w:p>
    <w:p w14:paraId="41EF82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法定代表人：王苏望</w:t>
      </w:r>
    </w:p>
    <w:p w14:paraId="51E19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电话：（0755）81688000</w:t>
      </w:r>
    </w:p>
    <w:p w14:paraId="65CDE6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传真：（0755）82558355</w:t>
      </w:r>
    </w:p>
    <w:p w14:paraId="69957F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客户服务电话：95517</w:t>
      </w:r>
    </w:p>
    <w:p w14:paraId="187374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网址：https://www.sdicsc.com.cn/</w:t>
      </w:r>
    </w:p>
    <w:p w14:paraId="6E42FC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（69）名称：德邦证券股份有限公司</w:t>
      </w:r>
    </w:p>
    <w:p w14:paraId="65F777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住所：上海市普陀区曹杨路510号南半幢9楼</w:t>
      </w:r>
    </w:p>
    <w:p w14:paraId="5EAD19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办公地址：上海市福山路500号城建大厦26楼</w:t>
      </w:r>
    </w:p>
    <w:p w14:paraId="3B27C8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法定代表人：姚文平</w:t>
      </w:r>
    </w:p>
    <w:p w14:paraId="5E7969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电话：（021）68761616</w:t>
      </w:r>
    </w:p>
    <w:p w14:paraId="22C061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传真：（021）68767981</w:t>
      </w:r>
    </w:p>
    <w:p w14:paraId="3C5B74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客户服务电话：4008-888-128</w:t>
      </w:r>
    </w:p>
    <w:p w14:paraId="3D5471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网址：www.tebon.com.cn</w:t>
      </w:r>
    </w:p>
    <w:p w14:paraId="17A2FF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（70）名称：中国民族证券有限责任公司</w:t>
      </w:r>
    </w:p>
    <w:p w14:paraId="424A7B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住所：北京市西城区金融街5号新盛大厦A座6-9层</w:t>
      </w:r>
    </w:p>
    <w:p w14:paraId="42ADB2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办公地址：北京市西城区金融街5号新盛大厦A座6-9层</w:t>
      </w:r>
    </w:p>
    <w:p w14:paraId="40326C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法定代表人：赵大建</w:t>
      </w:r>
    </w:p>
    <w:p w14:paraId="0D5E9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客户服务电话：400-889-5618</w:t>
      </w:r>
    </w:p>
    <w:p w14:paraId="2B85AC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网址：www.e5618.com</w:t>
      </w:r>
    </w:p>
    <w:p w14:paraId="6F09AF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（71）名称：方正证券股份有限公司</w:t>
      </w:r>
    </w:p>
    <w:p w14:paraId="5A3DA2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住所：湖南长沙芙蓉中路二段华侨国际大厦22-24层</w:t>
      </w:r>
    </w:p>
    <w:p w14:paraId="5E9F5F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办公地址：湖南长沙芙蓉中路二段华侨国际大厦22-24层</w:t>
      </w:r>
    </w:p>
    <w:p w14:paraId="78C72F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法定代表人：施华</w:t>
      </w:r>
    </w:p>
    <w:p w14:paraId="5830D0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电话：（010）68546765</w:t>
      </w:r>
    </w:p>
    <w:p w14:paraId="1BDA47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传真：（010）68546792</w:t>
      </w:r>
    </w:p>
    <w:p w14:paraId="52255D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联系人：张达</w:t>
      </w:r>
    </w:p>
    <w:p w14:paraId="44BEC7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客户服务电话：95571</w:t>
      </w:r>
    </w:p>
    <w:p w14:paraId="4AEE5A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网址：www.foundersc.com</w:t>
      </w:r>
    </w:p>
    <w:p w14:paraId="2BA74F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（72）名称：东方证券股份有限公司</w:t>
      </w:r>
    </w:p>
    <w:p w14:paraId="096F73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住所：上海市中山南路318号2号楼22层-29层</w:t>
      </w:r>
    </w:p>
    <w:p w14:paraId="63F541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法定代表人：王益民</w:t>
      </w:r>
    </w:p>
    <w:p w14:paraId="37472D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电话：（021）63325888</w:t>
      </w:r>
    </w:p>
    <w:p w14:paraId="701434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传真：（021）63326173</w:t>
      </w:r>
    </w:p>
    <w:p w14:paraId="0A5FD8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联系人：吴宇</w:t>
      </w:r>
    </w:p>
    <w:p w14:paraId="079AB4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客户服务电话：95503</w:t>
      </w:r>
    </w:p>
    <w:p w14:paraId="186E55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网址：www.dfzq.com.cn</w:t>
      </w:r>
    </w:p>
    <w:p w14:paraId="4C0635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（73）名称：东兴证券股份有限公司</w:t>
      </w:r>
    </w:p>
    <w:p w14:paraId="21956E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住所：北京市西城区金融大街5号新盛大厦B座12-15层</w:t>
      </w:r>
    </w:p>
    <w:p w14:paraId="7AF323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法定代表人：徐勇力</w:t>
      </w:r>
    </w:p>
    <w:p w14:paraId="2A8563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电话：（010）66555316</w:t>
      </w:r>
    </w:p>
    <w:p w14:paraId="4AD235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传真：（010）66555246</w:t>
      </w:r>
    </w:p>
    <w:p w14:paraId="49F494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联系人：汤漫川</w:t>
      </w:r>
    </w:p>
    <w:p w14:paraId="3B2305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400-8888-993</w:t>
      </w:r>
    </w:p>
    <w:p w14:paraId="2733B7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网址：www.dxzq.net</w:t>
      </w:r>
    </w:p>
    <w:p w14:paraId="0713C7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（74）名称：华福证券有限责任公司</w:t>
      </w:r>
    </w:p>
    <w:p w14:paraId="7E6061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住所：福州市五四路157号新天地大厦7、8层</w:t>
      </w:r>
    </w:p>
    <w:p w14:paraId="08A8BC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办公地址：福州市五四路新天地大厦7至10层</w:t>
      </w:r>
    </w:p>
    <w:p w14:paraId="25B191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法定代表人：黄金琳</w:t>
      </w:r>
    </w:p>
    <w:p w14:paraId="25E44C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电话：（0591）87383623</w:t>
      </w:r>
    </w:p>
    <w:p w14:paraId="1BC148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传真：（0591）87383610</w:t>
      </w:r>
    </w:p>
    <w:p w14:paraId="739487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客户服务电话：（0591）95547</w:t>
      </w:r>
    </w:p>
    <w:p w14:paraId="5A36A3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网址：www.hfzq.com.cn</w:t>
      </w:r>
    </w:p>
    <w:p w14:paraId="317150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（75）名称：中银国际证券股份有限公司</w:t>
      </w:r>
    </w:p>
    <w:p w14:paraId="0A6ECB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住所：上海市银城中路200号39层</w:t>
      </w:r>
    </w:p>
    <w:p w14:paraId="2A080B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办公地址：中国上海浦东银城中路200号中银大厦39-40层</w:t>
      </w:r>
    </w:p>
    <w:p w14:paraId="243193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法定代表人：许刚</w:t>
      </w:r>
    </w:p>
    <w:p w14:paraId="79546E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14:paraId="2C4638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客户服务电话：400-620-8888</w:t>
      </w:r>
    </w:p>
    <w:p w14:paraId="35703B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网址：www.bocichina.com</w:t>
      </w:r>
    </w:p>
    <w:p w14:paraId="38566D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（76）名称：东北证券股份有限公司</w:t>
      </w:r>
    </w:p>
    <w:p w14:paraId="45AF22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住所：长春市自由大路1138号</w:t>
      </w:r>
    </w:p>
    <w:p w14:paraId="6BE305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办公地址：长春市自由大路1138号</w:t>
      </w:r>
    </w:p>
    <w:p w14:paraId="357EE7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法定代表人：矫正中</w:t>
      </w:r>
    </w:p>
    <w:p w14:paraId="64045E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电话：（0431）85096709</w:t>
      </w:r>
    </w:p>
    <w:p w14:paraId="5B1BEF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联系人：潘锴</w:t>
      </w:r>
    </w:p>
    <w:p w14:paraId="00071E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客户服务电话：4006000686，（0431）85096733</w:t>
      </w:r>
    </w:p>
    <w:p w14:paraId="4E00AB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网址：www.nesc.cn</w:t>
      </w:r>
    </w:p>
    <w:p w14:paraId="79DC8D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（77）名称：山西证券股份有限公司</w:t>
      </w:r>
    </w:p>
    <w:p w14:paraId="44D6EA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住所：山西省太原市府西街69号山西国际贸易中心东塔楼</w:t>
      </w:r>
    </w:p>
    <w:p w14:paraId="64D8BB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办公地址：山西省太原市府西街69号山西国际贸易中心东塔楼</w:t>
      </w:r>
    </w:p>
    <w:p w14:paraId="47B602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法定代表人：侯巍</w:t>
      </w:r>
    </w:p>
    <w:p w14:paraId="53DD0E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电话：0351—8686815</w:t>
      </w:r>
    </w:p>
    <w:p w14:paraId="41F5D1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联系人：谢武兵</w:t>
      </w:r>
    </w:p>
    <w:p w14:paraId="4D33E1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客户服务电话：400-666-1618、95573</w:t>
      </w:r>
    </w:p>
    <w:p w14:paraId="12889F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网址：www.i618.com.cn</w:t>
      </w:r>
    </w:p>
    <w:p w14:paraId="1FA56F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（78）名称：开源证券股份有限公司</w:t>
      </w:r>
    </w:p>
    <w:p w14:paraId="42A6D1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注册地址：陕西省西安市高新区锦业路一号都市之门B座5层</w:t>
      </w:r>
    </w:p>
    <w:p w14:paraId="56BF31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办公地址：陕西省西安市高新区锦业路一号都市之门B座5层</w:t>
      </w:r>
    </w:p>
    <w:p w14:paraId="4B2987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法定代表人：李刚</w:t>
      </w:r>
    </w:p>
    <w:p w14:paraId="662FA0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电话：13709210036</w:t>
      </w:r>
    </w:p>
    <w:p w14:paraId="38C7C1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联系人：赵东会</w:t>
      </w:r>
    </w:p>
    <w:p w14:paraId="2315FB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网址：www.kysec.cn</w:t>
      </w:r>
    </w:p>
    <w:p w14:paraId="3E343C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客户服务电话：95321</w:t>
      </w:r>
    </w:p>
    <w:p w14:paraId="7E5088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（79）名称：西部证券股份有限公司</w:t>
      </w:r>
    </w:p>
    <w:p w14:paraId="50EFFB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住所：陕西省西安市新城区东新街 319 号 8 幢 10000 室</w:t>
      </w:r>
    </w:p>
    <w:p w14:paraId="264FDA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办公地址：陕西省西安市新城区东新街 319 号 8 幢 10000 室</w:t>
      </w:r>
    </w:p>
    <w:p w14:paraId="41FF70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法定代表人：徐朝晖</w:t>
      </w:r>
    </w:p>
    <w:p w14:paraId="13B39B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电话：029-87211668</w:t>
      </w:r>
    </w:p>
    <w:p w14:paraId="0B0638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联系人：张吉安</w:t>
      </w:r>
    </w:p>
    <w:p w14:paraId="664BA1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客户服务电话：95582</w:t>
      </w:r>
    </w:p>
    <w:p w14:paraId="071B58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网址：www.west95582.com</w:t>
      </w:r>
    </w:p>
    <w:p w14:paraId="31C6B3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（80）名称：国联民生证券股份有限公司</w:t>
      </w:r>
    </w:p>
    <w:p w14:paraId="68DFC1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住所：江苏省无锡市金融一街8号</w:t>
      </w:r>
    </w:p>
    <w:p w14:paraId="55FAEF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办公地址：江苏省无锡市金融一街8号</w:t>
      </w:r>
    </w:p>
    <w:p w14:paraId="7ED1F2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法定代表人：顾伟</w:t>
      </w:r>
    </w:p>
    <w:p w14:paraId="481489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联系电话：0510-82832051</w:t>
      </w:r>
    </w:p>
    <w:p w14:paraId="62773D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传真：0510-82830162</w:t>
      </w:r>
    </w:p>
    <w:p w14:paraId="5ED3A2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客户服务电话：95570</w:t>
      </w:r>
    </w:p>
    <w:p w14:paraId="151092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网址：www.glsc.com.cn</w:t>
      </w:r>
    </w:p>
    <w:p w14:paraId="16F20F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（81）名称：北京广源达信基金销售有限公司</w:t>
      </w:r>
    </w:p>
    <w:p w14:paraId="5F2F40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注册地址：北京市西城区新街口外大街28号C座六层605室</w:t>
      </w:r>
    </w:p>
    <w:p w14:paraId="08B34E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联系地址：北京市顺义区天祥路6号院北京东航中心T1A-304B室</w:t>
      </w:r>
    </w:p>
    <w:p w14:paraId="6C3AB6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联系人：赵明锦</w:t>
      </w:r>
    </w:p>
    <w:p w14:paraId="5EF405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联系电话：15069102881</w:t>
      </w:r>
    </w:p>
    <w:p w14:paraId="0AD63F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（82）名称：大连网金基金销售有限公司</w:t>
      </w:r>
    </w:p>
    <w:p w14:paraId="7CDB5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辽宁省大连市沙河口区体坛路22号诺德大厦2层202室</w:t>
      </w:r>
    </w:p>
    <w:p w14:paraId="33FD43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辽宁省大连市沙河口区体坛路22号诺德大厦2层202室</w:t>
      </w:r>
    </w:p>
    <w:p w14:paraId="63A858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樊怀东</w:t>
      </w:r>
    </w:p>
    <w:p w14:paraId="242BB3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电话：（0411-39027810）</w:t>
      </w:r>
    </w:p>
    <w:p w14:paraId="1B1FFF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传真：（0411-39027835）</w:t>
      </w:r>
    </w:p>
    <w:p w14:paraId="41D7E8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于秀</w:t>
      </w:r>
    </w:p>
    <w:p w14:paraId="252519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 4000-899-100</w:t>
      </w:r>
    </w:p>
    <w:p w14:paraId="2CE9CB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网址：http://www.yibaijin.com/</w:t>
      </w:r>
    </w:p>
    <w:p w14:paraId="2E3362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（83）名称：阳光人寿保险股份有限公司</w:t>
      </w:r>
    </w:p>
    <w:p w14:paraId="6ACA89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住所：海南省三亚市迎宾路360-1号三亚阳光金融广场16层</w:t>
      </w:r>
    </w:p>
    <w:p w14:paraId="4C7C7E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办公地址：北京市朝阳区朝阳门外大街乙12号院1号昆泰国际大厦12层</w:t>
      </w:r>
    </w:p>
    <w:p w14:paraId="5F8CEE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法定代表人：李科</w:t>
      </w:r>
    </w:p>
    <w:p w14:paraId="6EBDF4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电话：（010）85632771</w:t>
      </w:r>
    </w:p>
    <w:p w14:paraId="1EACDD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传真：（010）85632773</w:t>
      </w:r>
    </w:p>
    <w:p w14:paraId="6F9287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联系人：王超</w:t>
      </w:r>
    </w:p>
    <w:p w14:paraId="044BDA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客户服务电话：95510</w:t>
      </w:r>
    </w:p>
    <w:p w14:paraId="5BCD0D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网址：http://fund.sinosig.com/</w:t>
      </w:r>
    </w:p>
    <w:p w14:paraId="53C6B3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（84）名称：玄元保险代理有限公司</w:t>
      </w:r>
    </w:p>
    <w:p w14:paraId="0D9D81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住所：中国(上海)自由贸易试验区张杨路707号1105室</w:t>
      </w:r>
    </w:p>
    <w:p w14:paraId="3D82A3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办公地址：中国(上海)自由贸易试验区张杨路707号1105室</w:t>
      </w:r>
    </w:p>
    <w:p w14:paraId="08904F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法定代表人：马永谙</w:t>
      </w:r>
    </w:p>
    <w:p w14:paraId="30B5BC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电话：（021）50701053</w:t>
      </w:r>
    </w:p>
    <w:p w14:paraId="2B0DD2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传真：（021）50701053</w:t>
      </w:r>
    </w:p>
    <w:p w14:paraId="1C803E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客户服务电话：400-080-8208</w:t>
      </w:r>
    </w:p>
    <w:p w14:paraId="4E5DA0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网址：www.licaimofang.cn</w:t>
      </w:r>
    </w:p>
    <w:p w14:paraId="462948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（85）名称：京东肯特瑞基金销售有限公司</w:t>
      </w:r>
    </w:p>
    <w:p w14:paraId="4D923F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北京市海淀区西三旗建材城中路12号17号平房157</w:t>
      </w:r>
    </w:p>
    <w:p w14:paraId="540C5A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办公地址：北京市通州区亦庄经济技术开发区科创十一街18号院京东集团总部A座17层</w:t>
      </w:r>
    </w:p>
    <w:p w14:paraId="5A4E17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法定代表人：王苏宁</w:t>
      </w:r>
    </w:p>
    <w:p w14:paraId="08510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电话：95118</w:t>
      </w:r>
    </w:p>
    <w:p w14:paraId="118DCF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传真：010-89189566</w:t>
      </w:r>
    </w:p>
    <w:p w14:paraId="0E3218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联系人：李丹</w:t>
      </w:r>
    </w:p>
    <w:p w14:paraId="5FF17D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客服热线：95118</w:t>
      </w:r>
    </w:p>
    <w:p w14:paraId="3DF22D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网址：kenterui.jd.com</w:t>
      </w:r>
    </w:p>
    <w:p w14:paraId="1567AC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（86）名称：上海大智慧基金销售有限公司</w:t>
      </w:r>
    </w:p>
    <w:p w14:paraId="18EA94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住所：上海市浦东新区杨高南路428号1号楼10-11层</w:t>
      </w:r>
    </w:p>
    <w:p w14:paraId="11EE66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办公地址：上海市浦东新区杨高南路428号1号楼10-11层</w:t>
      </w:r>
    </w:p>
    <w:p w14:paraId="0F5302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法定代表人：申健</w:t>
      </w:r>
    </w:p>
    <w:p w14:paraId="184ADC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电话：021-0219988-35374</w:t>
      </w:r>
    </w:p>
    <w:p w14:paraId="5A2216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传真：021-20219923</w:t>
      </w:r>
    </w:p>
    <w:p w14:paraId="279D69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联系人：张蜓</w:t>
      </w:r>
    </w:p>
    <w:p w14:paraId="663FF1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客户服务电话：021-20292031</w:t>
      </w:r>
    </w:p>
    <w:p w14:paraId="2D1DC1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网址：https://www.wg.com.cn</w:t>
      </w:r>
    </w:p>
    <w:p w14:paraId="4B7588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（87）名称：珠海盈米基金销售有限公司</w:t>
      </w:r>
    </w:p>
    <w:p w14:paraId="7D4EDB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住所：珠海市横琴新区宝华路6号105室-3491</w:t>
      </w:r>
    </w:p>
    <w:p w14:paraId="510035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办公地址：广州市海珠区琶洲大道东1号保利国际广场南塔12楼B1201-1203</w:t>
      </w:r>
    </w:p>
    <w:p w14:paraId="6269B4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法定代表人：肖雯</w:t>
      </w:r>
    </w:p>
    <w:p w14:paraId="29F786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电话：（020）89629099</w:t>
      </w:r>
    </w:p>
    <w:p w14:paraId="7D6845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传真：（020）89629011</w:t>
      </w:r>
    </w:p>
    <w:p w14:paraId="2585BA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联系人：黄敏嫦</w:t>
      </w:r>
    </w:p>
    <w:p w14:paraId="0BAEC4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客户服务电话：（020）89629066</w:t>
      </w:r>
    </w:p>
    <w:p w14:paraId="40CC26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网址：www.yingmi.com</w:t>
      </w:r>
    </w:p>
    <w:p w14:paraId="1AF043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（88）名称：上海华夏财富投资管理有限公司</w:t>
      </w:r>
    </w:p>
    <w:p w14:paraId="2E81BC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住所：上海市虹口区东大名路687号1幢2楼268室</w:t>
      </w:r>
    </w:p>
    <w:p w14:paraId="7E6EDD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北京市西城区金融大街33号通泰大厦B座8层</w:t>
      </w:r>
    </w:p>
    <w:p w14:paraId="30F254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毛淮平</w:t>
      </w:r>
    </w:p>
    <w:p w14:paraId="3DC9FD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电话：010-88066632</w:t>
      </w:r>
    </w:p>
    <w:p w14:paraId="678599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传真：010-63136184</w:t>
      </w:r>
    </w:p>
    <w:p w14:paraId="34CA3B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张静怡</w:t>
      </w:r>
    </w:p>
    <w:p w14:paraId="5F9C5C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客户服务电话：400-817-5666</w:t>
      </w:r>
    </w:p>
    <w:p w14:paraId="352186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www.amcfortune.com</w:t>
      </w:r>
    </w:p>
    <w:p w14:paraId="4FDE7E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（89）名称：北京度小满基金销售有限公司</w:t>
      </w:r>
    </w:p>
    <w:p w14:paraId="46BF8C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注册地址：北京市海淀区西北旺东路10号院西区4号楼1层103室</w:t>
      </w:r>
    </w:p>
    <w:p w14:paraId="04723A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法定代表人：葛新</w:t>
      </w:r>
    </w:p>
    <w:p w14:paraId="5580B6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办公地址：北京市海淀区西北旺东路10号院西区4号楼</w:t>
      </w:r>
    </w:p>
    <w:p w14:paraId="208177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机构联系人：王笑宇</w:t>
      </w:r>
    </w:p>
    <w:p w14:paraId="307525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联系人电话：010-59403028</w:t>
      </w:r>
    </w:p>
    <w:p w14:paraId="357CDC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联系人传真：010-59403027</w:t>
      </w:r>
    </w:p>
    <w:p w14:paraId="24DE53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客户服务电话：95055-4</w:t>
      </w:r>
    </w:p>
    <w:p w14:paraId="5B39E0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公司网址：www.baiyingfund.com</w:t>
      </w:r>
    </w:p>
    <w:p w14:paraId="303AFC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（90）名称：南京苏宁基金销售有限公司</w:t>
      </w:r>
    </w:p>
    <w:p w14:paraId="58FDEA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住所：南京市玄武区苏宁大道1-5号</w:t>
      </w:r>
    </w:p>
    <w:p w14:paraId="05919B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办公地址：南京市玄武区苏宁大道1-5号</w:t>
      </w:r>
    </w:p>
    <w:p w14:paraId="4E0A84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法定代表人：王锋</w:t>
      </w:r>
    </w:p>
    <w:p w14:paraId="2256AD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电话：025-66996699</w:t>
      </w:r>
    </w:p>
    <w:p w14:paraId="45B470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传真：025-66996699</w:t>
      </w:r>
    </w:p>
    <w:p w14:paraId="3623EF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联系人：冯鹏鹏</w:t>
      </w:r>
    </w:p>
    <w:p w14:paraId="25CDD7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客户服务电话：95177</w:t>
      </w:r>
    </w:p>
    <w:p w14:paraId="4B6E0D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网址：www.snjijin.com</w:t>
      </w:r>
    </w:p>
    <w:p w14:paraId="00FC8B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（91）名称：嘉实财富管理有限公司</w:t>
      </w:r>
    </w:p>
    <w:p w14:paraId="66A0D6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住所：海南省三亚市天涯区三亚湾路国际客运港区国际养生度假中心酒店B座(2＃楼)27楼2714室</w:t>
      </w:r>
    </w:p>
    <w:p w14:paraId="7A5F5D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办公地址及其联系方式：北京市朝阳区建国门外大街21号北京国际俱乐部C座</w:t>
      </w:r>
    </w:p>
    <w:p w14:paraId="46CBD3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张峰</w:t>
      </w:r>
    </w:p>
    <w:p w14:paraId="15D435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 010-85097302</w:t>
      </w:r>
    </w:p>
    <w:p w14:paraId="54CD50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联系人：闫欢</w:t>
      </w:r>
    </w:p>
    <w:p w14:paraId="7430E0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客户服务电话：400-021-8850</w:t>
      </w:r>
    </w:p>
    <w:p w14:paraId="2053DE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公司网址：http://www.harvestwm.cn</w:t>
      </w:r>
    </w:p>
    <w:p w14:paraId="3E5333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（92）名称：北京汇成基金销售有限公司</w:t>
      </w:r>
    </w:p>
    <w:p w14:paraId="5E698C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住所：北京市西城区宣武门外大街甲1号4层401-2</w:t>
      </w:r>
    </w:p>
    <w:p w14:paraId="4E0E8D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办公地址：北京市西城区宣武门外大街甲1号环球财讯中心D座4层401-2</w:t>
      </w:r>
    </w:p>
    <w:p w14:paraId="2DFA8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法定代表人：王伟刚</w:t>
      </w:r>
    </w:p>
    <w:p w14:paraId="1D22AF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电话：（010）56282140</w:t>
      </w:r>
    </w:p>
    <w:p w14:paraId="79D598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传真：（010）62680827</w:t>
      </w:r>
    </w:p>
    <w:p w14:paraId="759E15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55FE62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客户服务电话：010-63158805</w:t>
      </w:r>
    </w:p>
    <w:p w14:paraId="7BBE1A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网址：www.hcfunds.co</w:t>
      </w:r>
    </w:p>
    <w:p w14:paraId="211E64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（93）名称：上海利得基金销售有限公司</w:t>
      </w:r>
    </w:p>
    <w:p w14:paraId="2EDE22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上海浦东新区峨山路91弄61号陆家嘴软件园10号楼12楼</w:t>
      </w:r>
    </w:p>
    <w:p w14:paraId="7BDCDB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办公地址：上海市虹口区东大名路1098号浦江国际金融广场53层</w:t>
      </w:r>
    </w:p>
    <w:p w14:paraId="3849DA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法定代表人：李兴春</w:t>
      </w:r>
    </w:p>
    <w:p w14:paraId="58B53F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电话：021-50583533</w:t>
      </w:r>
    </w:p>
    <w:p w14:paraId="5376AB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传真：021-50583633</w:t>
      </w:r>
    </w:p>
    <w:p w14:paraId="75C751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伍豪</w:t>
      </w:r>
    </w:p>
    <w:p w14:paraId="570FF7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客服电话：400-032-5885</w:t>
      </w:r>
    </w:p>
    <w:p w14:paraId="72A64C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网址：www.leadfund.com.cn</w:t>
      </w:r>
    </w:p>
    <w:p w14:paraId="3ABA48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（94）名称：北京虹点基金销售有限公司</w:t>
      </w:r>
    </w:p>
    <w:p w14:paraId="515254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住所：北京市朝阳区工人体育场北路甲2号裙房2层222单元</w:t>
      </w:r>
    </w:p>
    <w:p w14:paraId="504FCC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办公地址：北京市朝阳区工人体育场北路甲2号裙房2层222单元</w:t>
      </w:r>
    </w:p>
    <w:p w14:paraId="54C9A4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法定代表人：胡伟</w:t>
      </w:r>
    </w:p>
    <w:p w14:paraId="02AC6C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电话：（010）65951887</w:t>
      </w:r>
    </w:p>
    <w:p w14:paraId="066819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传真：（010）65951887</w:t>
      </w:r>
    </w:p>
    <w:p w14:paraId="25EFB1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联系人：姜颖</w:t>
      </w:r>
    </w:p>
    <w:p w14:paraId="589301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客户服务电话：400-618-0707</w:t>
      </w:r>
    </w:p>
    <w:p w14:paraId="73A8D1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网址：www.hongdianfund.com/</w:t>
      </w:r>
    </w:p>
    <w:p w14:paraId="6CA90B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（95）名称：上海陆金所基金销售有限公司</w:t>
      </w:r>
    </w:p>
    <w:p w14:paraId="1A15BA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住所：上海市浦东新区陆家嘴环路1333号14楼09单元</w:t>
      </w:r>
    </w:p>
    <w:p w14:paraId="4F17BD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办公地址：上海市浦东新区陆家嘴环路1333号</w:t>
      </w:r>
    </w:p>
    <w:p w14:paraId="784E3D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法定代表人：王之光</w:t>
      </w:r>
    </w:p>
    <w:p w14:paraId="318050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电话：（021）20665952</w:t>
      </w:r>
    </w:p>
    <w:p w14:paraId="07140A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传真：（021）22066653</w:t>
      </w:r>
    </w:p>
    <w:p w14:paraId="25DCB2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联系人：宁博宇</w:t>
      </w:r>
    </w:p>
    <w:p w14:paraId="5828F9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客户服务电话：4008219031</w:t>
      </w:r>
    </w:p>
    <w:p w14:paraId="79217C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网址：www.lufunds.com</w:t>
      </w:r>
    </w:p>
    <w:p w14:paraId="7FE991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（96）名称：上海挖财基金销售有限公司</w:t>
      </w:r>
    </w:p>
    <w:p w14:paraId="0C4B89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注册地址：中国(上海)自由贸易试验区杨高南路759号18层03单元</w:t>
      </w:r>
    </w:p>
    <w:p w14:paraId="3F7AE2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办公地址：中国(上海)自由贸易试验区杨高南路759号18层03单元</w:t>
      </w:r>
    </w:p>
    <w:p w14:paraId="0840F8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法定代表人：吕柳霞</w:t>
      </w:r>
    </w:p>
    <w:p w14:paraId="647028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电话：021-50810673</w:t>
      </w:r>
    </w:p>
    <w:p w14:paraId="05CF24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传真：021-50810687</w:t>
      </w:r>
    </w:p>
    <w:p w14:paraId="11905E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邮编：200120</w:t>
      </w:r>
    </w:p>
    <w:p w14:paraId="166748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联系人：毛善波</w:t>
      </w:r>
    </w:p>
    <w:p w14:paraId="183B07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客服电话：400-711-8718</w:t>
      </w:r>
    </w:p>
    <w:p w14:paraId="5DF226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网址：www.wacaijijin.com</w:t>
      </w:r>
    </w:p>
    <w:p w14:paraId="41A590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（97）名称：万家财富基金销售（天津）有限公司</w:t>
      </w:r>
    </w:p>
    <w:p w14:paraId="7EB3BC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住所：天津自贸区（中心商务区）迎宾大道1988号滨海浙商大厦公寓2-2413室</w:t>
      </w:r>
    </w:p>
    <w:p w14:paraId="135CB7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办公地址：北京市西城区丰盛胡同28号太平洋保险大厦A座5层</w:t>
      </w:r>
    </w:p>
    <w:p w14:paraId="78CDC6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法定代表人：张军</w:t>
      </w:r>
    </w:p>
    <w:p w14:paraId="6FE054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电话：（010）59013825</w:t>
      </w:r>
    </w:p>
    <w:p w14:paraId="551C59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传真：（010）59013828</w:t>
      </w:r>
    </w:p>
    <w:p w14:paraId="106642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联系人：王茜蕊</w:t>
      </w:r>
    </w:p>
    <w:p w14:paraId="25D294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客户服务电话：010-59013895</w:t>
      </w:r>
    </w:p>
    <w:p w14:paraId="4E150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网址：http://www.wanjiawealth.com/</w:t>
      </w:r>
    </w:p>
    <w:p w14:paraId="1E99F6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（98）名称：上海万得基金销售有限公司</w:t>
      </w:r>
    </w:p>
    <w:p w14:paraId="2ABCFC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住所：中国（上海）自由贸易试验区福山路33号11楼B座</w:t>
      </w:r>
    </w:p>
    <w:p w14:paraId="60AA00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办公地址：上海市浦东新区浦明路1500号万得大厦11楼</w:t>
      </w:r>
    </w:p>
    <w:p w14:paraId="0C5F58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宋晓言</w:t>
      </w:r>
    </w:p>
    <w:p w14:paraId="45646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电话：021-50712782</w:t>
      </w:r>
    </w:p>
    <w:p w14:paraId="0F83E1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传真：021-50710161</w:t>
      </w:r>
    </w:p>
    <w:p w14:paraId="76EFBC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马烨莹</w:t>
      </w:r>
    </w:p>
    <w:p w14:paraId="3C48D0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客户服务电话：400-799-1888</w:t>
      </w:r>
    </w:p>
    <w:p w14:paraId="483BB5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www.520fund.com.cn</w:t>
      </w:r>
    </w:p>
    <w:p w14:paraId="3C58DE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（99）名称：格上富信投资顾问有限公司</w:t>
      </w:r>
    </w:p>
    <w:p w14:paraId="452025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住所：北京市朝阳区东三环北路19号楼701内09室</w:t>
      </w:r>
    </w:p>
    <w:p w14:paraId="244CC1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办公地址：北京市朝阳区东三环北路19号楼701内09室</w:t>
      </w:r>
    </w:p>
    <w:p w14:paraId="12F526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法定代表人：李悦章</w:t>
      </w:r>
    </w:p>
    <w:p w14:paraId="60CC01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电话：（010）85594745</w:t>
      </w:r>
    </w:p>
    <w:p w14:paraId="76BAAE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传真：（010）65983333</w:t>
      </w:r>
    </w:p>
    <w:p w14:paraId="1EE33B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联系人：张林</w:t>
      </w:r>
    </w:p>
    <w:p w14:paraId="03B075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客户服务电话：400-066-8586</w:t>
      </w:r>
    </w:p>
    <w:p w14:paraId="1ECB8F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网址：www.igesafe.com</w:t>
      </w:r>
    </w:p>
    <w:p w14:paraId="2E8077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（100）名称：深圳市金斧子基金销售有限公司</w:t>
      </w:r>
    </w:p>
    <w:p w14:paraId="4ADCC7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住所：深圳市南山区粤海街道科苑路16号东方科技大厦18楼</w:t>
      </w:r>
    </w:p>
    <w:p w14:paraId="072289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办公地址：深圳市南山区粤海街道科苑路科兴科学园B3单元7楼</w:t>
      </w:r>
    </w:p>
    <w:p w14:paraId="4AFC76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法定代表人：赖任军</w:t>
      </w:r>
    </w:p>
    <w:p w14:paraId="47BE6A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电话：（0755）66892301</w:t>
      </w:r>
    </w:p>
    <w:p w14:paraId="357D8F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传真：（0755）66892399</w:t>
      </w:r>
    </w:p>
    <w:p w14:paraId="78CCC9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联系人：张烨</w:t>
      </w:r>
    </w:p>
    <w:p w14:paraId="6D1A95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客户服务电话：400-9500-888</w:t>
      </w:r>
    </w:p>
    <w:p w14:paraId="248515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网址：www.jfzinv.com</w:t>
      </w:r>
    </w:p>
    <w:p w14:paraId="3910A0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（101）名称：北京雪球基金销售有限公司</w:t>
      </w:r>
    </w:p>
    <w:p w14:paraId="3114AA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住所：北京市朝阳区创远路 34 号院6号楼15层1501室</w:t>
      </w:r>
    </w:p>
    <w:p w14:paraId="2449F1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办公地址：北京市朝阳区创远路 34 号院融新科技中心 C 座 17 层</w:t>
      </w:r>
    </w:p>
    <w:p w14:paraId="0C57AF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法定代表人：李楠</w:t>
      </w:r>
    </w:p>
    <w:p w14:paraId="33C7C2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电话：（010）61840688</w:t>
      </w:r>
    </w:p>
    <w:p w14:paraId="3CC9FA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传真：（010）84997571</w:t>
      </w:r>
    </w:p>
    <w:p w14:paraId="358ADE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联系人：武安广</w:t>
      </w:r>
    </w:p>
    <w:p w14:paraId="4FD5A6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客户服务电话：400-1599-288</w:t>
      </w:r>
    </w:p>
    <w:p w14:paraId="6F397A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网址：danjuanfunds.com</w:t>
      </w:r>
    </w:p>
    <w:p w14:paraId="3EB9BD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（102）名称：北京新浪仓石基金销售有限公司</w:t>
      </w:r>
    </w:p>
    <w:p w14:paraId="16FD02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注册地址：北京市海淀区东北旺西路中关村软件园二期（西扩）N-1、N-2地块新浪总部科研楼5层518室</w:t>
      </w:r>
    </w:p>
    <w:p w14:paraId="620C8D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办公地址：北京市海淀区东北旺西路中关村软件园二期（西扩）N-1、N-2地块新浪总部科研楼5层518室</w:t>
      </w:r>
    </w:p>
    <w:p w14:paraId="26FA07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法定代表人：穆飞虎</w:t>
      </w:r>
    </w:p>
    <w:p w14:paraId="4BF07B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电话：010-58982465</w:t>
      </w:r>
    </w:p>
    <w:p w14:paraId="6812B9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联系人：穆飞虎</w:t>
      </w:r>
    </w:p>
    <w:p w14:paraId="7FC2EE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客服电话：010-6267 5369</w:t>
      </w:r>
    </w:p>
    <w:p w14:paraId="71B6C4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网址：www.xincai.com</w:t>
      </w:r>
    </w:p>
    <w:p w14:paraId="4C4EE8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（103）名称：中证金牛（北京）基金销售有限公司</w:t>
      </w:r>
    </w:p>
    <w:p w14:paraId="71145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北京市丰台区东管头1号2号楼2-45室</w:t>
      </w:r>
    </w:p>
    <w:p w14:paraId="7C90D1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北京市西城区宣武门外大街甲一号环球财讯中心A座5层</w:t>
      </w:r>
    </w:p>
    <w:p w14:paraId="549E81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钱昊旻</w:t>
      </w:r>
    </w:p>
    <w:p w14:paraId="49D57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电话：（010）59336512</w:t>
      </w:r>
    </w:p>
    <w:p w14:paraId="2F0682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传真：（010）59336586</w:t>
      </w:r>
    </w:p>
    <w:p w14:paraId="142F34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沈晨</w:t>
      </w:r>
    </w:p>
    <w:p w14:paraId="0DC98C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客户服务电话：4008-909-998</w:t>
      </w:r>
    </w:p>
    <w:p w14:paraId="7962DF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www.jnlc.com</w:t>
      </w:r>
    </w:p>
    <w:p w14:paraId="0BA6A9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（104）名称：上海证达通基金销售有限公司</w:t>
      </w:r>
    </w:p>
    <w:p w14:paraId="79504F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上海市浦东新区金葵路118号3层B区</w:t>
      </w:r>
    </w:p>
    <w:p w14:paraId="38188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办公地址：上海市浦东新区金葵路118号3层B区</w:t>
      </w:r>
    </w:p>
    <w:p w14:paraId="2EDFBF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法定代表人：姚杨</w:t>
      </w:r>
    </w:p>
    <w:p w14:paraId="6A1C47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电话：（021）20530186</w:t>
      </w:r>
    </w:p>
    <w:p w14:paraId="36D736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传真：（021）20538999</w:t>
      </w:r>
    </w:p>
    <w:p w14:paraId="2D57FE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潘梦茹</w:t>
      </w:r>
    </w:p>
    <w:p w14:paraId="66CEB5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客户服务电话：021-20538880</w:t>
      </w:r>
    </w:p>
    <w:p w14:paraId="5FBCD3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网址：www.zdt.fund</w:t>
      </w:r>
    </w:p>
    <w:p w14:paraId="5380E3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（105）名称：北京创金启富基金销售有限公司</w:t>
      </w:r>
    </w:p>
    <w:p w14:paraId="1670B2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 北京市西城区白纸坊东街2号院6号楼712室</w:t>
      </w:r>
    </w:p>
    <w:p w14:paraId="6DFAC4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 北京市西城区白纸坊东街2号院6号楼712室</w:t>
      </w:r>
    </w:p>
    <w:p w14:paraId="0E23AF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 梁蓉</w:t>
      </w:r>
    </w:p>
    <w:p w14:paraId="1CAEB0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电话：010-66154828-8047</w:t>
      </w:r>
    </w:p>
    <w:p w14:paraId="318A5B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传真：010-63583991</w:t>
      </w:r>
    </w:p>
    <w:p w14:paraId="7BC4B1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魏素清</w:t>
      </w:r>
    </w:p>
    <w:p w14:paraId="62DEC6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客户服务电话：010-66154828</w:t>
      </w:r>
    </w:p>
    <w:p w14:paraId="67B3C9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https://www.5irich.com</w:t>
      </w:r>
    </w:p>
    <w:p w14:paraId="40B831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（106）名称：奕丰基金销售有限公司</w:t>
      </w:r>
    </w:p>
    <w:p w14:paraId="426F18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住所：深圳市前海深港合作区前湾一路1号A栋201室（入住深圳市前海商务秘书有限公司）</w:t>
      </w:r>
    </w:p>
    <w:p w14:paraId="5F0948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办公地址：深圳市南山区海德三道航天科技广场A座17楼1704室</w:t>
      </w:r>
    </w:p>
    <w:p w14:paraId="4317A7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法定代表人：TEO WEE HOWE</w:t>
      </w:r>
    </w:p>
    <w:p w14:paraId="0CA694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电话：（0755）89460500</w:t>
      </w:r>
    </w:p>
    <w:p w14:paraId="1FB903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传真：（0755）21674453</w:t>
      </w:r>
    </w:p>
    <w:p w14:paraId="4B6DE8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联系人：叶健</w:t>
      </w:r>
    </w:p>
    <w:p w14:paraId="15B450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客户服务电话：400-684-0500</w:t>
      </w:r>
    </w:p>
    <w:p w14:paraId="53A049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网址：www.ifastps.com.cn</w:t>
      </w:r>
    </w:p>
    <w:p w14:paraId="4836B5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（107）名称：上海天天基金销售有限公司</w:t>
      </w:r>
    </w:p>
    <w:p w14:paraId="6056C8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住所：上海市徐汇区龙田路190号2号楼2层</w:t>
      </w:r>
    </w:p>
    <w:p w14:paraId="2797F1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办公地址：上海市徐汇区宛平南路88号金座东方财富大厦</w:t>
      </w:r>
    </w:p>
    <w:p w14:paraId="60052C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法定代表人：其实</w:t>
      </w:r>
    </w:p>
    <w:p w14:paraId="36C4C9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电话：（021）54509998</w:t>
      </w:r>
    </w:p>
    <w:p w14:paraId="6F051A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传真：（021）64385308</w:t>
      </w:r>
    </w:p>
    <w:p w14:paraId="230229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联系人：屠彦洋</w:t>
      </w:r>
    </w:p>
    <w:p w14:paraId="00F579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客户服务电话：400-1818-188</w:t>
      </w:r>
    </w:p>
    <w:p w14:paraId="4034E1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网址：www.1234567.com.cn</w:t>
      </w:r>
    </w:p>
    <w:p w14:paraId="0DFD56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（108）名称：和讯信息科技有限公司</w:t>
      </w:r>
    </w:p>
    <w:p w14:paraId="6E54FF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住所：北京市朝阳区朝外大街22号泛利大厦10层</w:t>
      </w:r>
    </w:p>
    <w:p w14:paraId="260036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办公地址：北京市朝阳区朝外大街22号泛利大厦10层</w:t>
      </w:r>
    </w:p>
    <w:p w14:paraId="6FDF49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法定代表人：王莉</w:t>
      </w:r>
    </w:p>
    <w:p w14:paraId="68EDE2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电话：（021）20835789</w:t>
      </w:r>
    </w:p>
    <w:p w14:paraId="09EEA6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传真：（021）20835879</w:t>
      </w:r>
    </w:p>
    <w:p w14:paraId="3CD9B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联系人：周轶</w:t>
      </w:r>
    </w:p>
    <w:p w14:paraId="6134CA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客户服务电话：4009200022</w:t>
      </w:r>
    </w:p>
    <w:p w14:paraId="0FA6D7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网址：http://licaike.hexun.com/</w:t>
      </w:r>
    </w:p>
    <w:p w14:paraId="3A167D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（109）名称：诺亚正行基金销售有限公司</w:t>
      </w:r>
    </w:p>
    <w:p w14:paraId="3D69AD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住所:上海市虹口区飞虹路360弄9号3724室</w:t>
      </w:r>
    </w:p>
    <w:p w14:paraId="5EF893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办公地址:上海市杨浦区长阳路1687号长阳谷2号楼</w:t>
      </w:r>
    </w:p>
    <w:p w14:paraId="669D3E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法定代表：汪静波</w:t>
      </w:r>
    </w:p>
    <w:p w14:paraId="70DBAD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电话：（021）80358523</w:t>
      </w:r>
    </w:p>
    <w:p w14:paraId="73AAE9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传真：（021）80358749</w:t>
      </w:r>
    </w:p>
    <w:p w14:paraId="210058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联系人：李娟</w:t>
      </w:r>
    </w:p>
    <w:p w14:paraId="116629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客户服务电话：4008215399</w:t>
      </w:r>
    </w:p>
    <w:p w14:paraId="71F3F3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网址：www.noah-fund.com</w:t>
      </w:r>
    </w:p>
    <w:p w14:paraId="6DCC3D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（110）名称：上海好买基金销售有限公司</w:t>
      </w:r>
    </w:p>
    <w:p w14:paraId="0552C8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住所：上海市虹口区场中路685弄37号4号楼449室</w:t>
      </w:r>
    </w:p>
    <w:p w14:paraId="37F9BE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办公地址：上海市浦东新区浦东南路1118号鄂尔多斯国际大厦903-906室</w:t>
      </w:r>
    </w:p>
    <w:p w14:paraId="0DA3B7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法定代表人：杨文斌</w:t>
      </w:r>
    </w:p>
    <w:p w14:paraId="185EA4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传真：（021）68596916</w:t>
      </w:r>
    </w:p>
    <w:p w14:paraId="079C76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联系人：薛年</w:t>
      </w:r>
    </w:p>
    <w:p w14:paraId="0C1058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客户服务电话：400-700-9665</w:t>
      </w:r>
    </w:p>
    <w:p w14:paraId="571253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网址：www.howbuy.com</w:t>
      </w:r>
    </w:p>
    <w:p w14:paraId="08BB1F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（111）名称：上海长量基金销售有限公司</w:t>
      </w:r>
    </w:p>
    <w:p w14:paraId="688D16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住所：上海市浦东新区高翔路526号2幢220室</w:t>
      </w:r>
    </w:p>
    <w:p w14:paraId="4B576C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办公地址：上海市浦东新区浦东大道555号裕景国际B座16层</w:t>
      </w:r>
    </w:p>
    <w:p w14:paraId="728045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法定代表人：张跃伟</w:t>
      </w:r>
    </w:p>
    <w:p w14:paraId="76B4C1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电话：（021）20691832</w:t>
      </w:r>
    </w:p>
    <w:p w14:paraId="7B937F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传真：（021）20691861</w:t>
      </w:r>
    </w:p>
    <w:p w14:paraId="6D9786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联系人：单丙烨</w:t>
      </w:r>
    </w:p>
    <w:p w14:paraId="1F8FBF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客户服务电话：400-820-2899</w:t>
      </w:r>
    </w:p>
    <w:p w14:paraId="452FFE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网址：www.erichfund.com</w:t>
      </w:r>
    </w:p>
    <w:p w14:paraId="3C29A2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（112）名称：深圳众禄基金销售股份有限公司</w:t>
      </w:r>
    </w:p>
    <w:p w14:paraId="2C4EF5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住所：深圳市罗湖区梨园路物资控股置地大厦8楼</w:t>
      </w:r>
    </w:p>
    <w:p w14:paraId="11AD69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办公地址：深圳市罗湖区梨园路物资控股置地大厦8楼</w:t>
      </w:r>
    </w:p>
    <w:p w14:paraId="0ADCA9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法定代表人：薛峰</w:t>
      </w:r>
    </w:p>
    <w:p w14:paraId="1EF19D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电话：（0755）33227953</w:t>
      </w:r>
    </w:p>
    <w:p w14:paraId="2B3C5E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传真：（0755）33227951</w:t>
      </w:r>
    </w:p>
    <w:p w14:paraId="06D5EC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联系人：汤素娅</w:t>
      </w:r>
    </w:p>
    <w:p w14:paraId="02A55E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客户服务电话：4006-788-887</w:t>
      </w:r>
    </w:p>
    <w:p w14:paraId="36CD32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网址：www.zlfund.cn，www.jjmmw.com</w:t>
      </w:r>
    </w:p>
    <w:p w14:paraId="72EE08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（113）名称：蚂蚁（杭州）基金销售有限公司</w:t>
      </w:r>
    </w:p>
    <w:p w14:paraId="73A4E6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住所：浙江省杭州市余杭区五常街道文一西路969号3幢5层599室</w:t>
      </w:r>
    </w:p>
    <w:p w14:paraId="4F6E0E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办公地址：浙江省杭州市西湖区西溪路556号</w:t>
      </w:r>
    </w:p>
    <w:p w14:paraId="168CC8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法定代表人：王珺</w:t>
      </w:r>
    </w:p>
    <w:p w14:paraId="0F15ED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电话：（0571）28829790，（021）60897869</w:t>
      </w:r>
    </w:p>
    <w:p w14:paraId="725E5A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传真：（0571）26698533</w:t>
      </w:r>
    </w:p>
    <w:p w14:paraId="7D2B20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联系人：韩爱彬</w:t>
      </w:r>
    </w:p>
    <w:p w14:paraId="5ABBEA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客户服务电话：95188-8</w:t>
      </w:r>
    </w:p>
    <w:p w14:paraId="401EA3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网址：www.fund123.cn</w:t>
      </w:r>
    </w:p>
    <w:p w14:paraId="49C559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（114）名称：中信期货有限公司</w:t>
      </w:r>
    </w:p>
    <w:p w14:paraId="548926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住所：深圳市福田区中心三路8号卓越时代广场（二期）北座13层1301-1305室、14层</w:t>
      </w:r>
    </w:p>
    <w:p w14:paraId="73AE00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办公地址：深圳市福田区中心三路8号卓越时代广场（二期）北座13层1301-1305室、14层</w:t>
      </w:r>
    </w:p>
    <w:p w14:paraId="56D72D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法定代表人：张皓</w:t>
      </w:r>
    </w:p>
    <w:p w14:paraId="7BBAB8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电话：010-60833754</w:t>
      </w:r>
    </w:p>
    <w:p w14:paraId="706E87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传真：021-60819988</w:t>
      </w:r>
    </w:p>
    <w:p w14:paraId="51513C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联系人：刘宏莹</w:t>
      </w:r>
    </w:p>
    <w:p w14:paraId="1176FD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客服电话：400-990-8826</w:t>
      </w:r>
    </w:p>
    <w:p w14:paraId="4216DD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网站：www.citicsf.com</w:t>
      </w:r>
    </w:p>
    <w:p w14:paraId="2BF0C6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（115）名称：天相投资顾问有限公司</w:t>
      </w:r>
    </w:p>
    <w:p w14:paraId="6F64D4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住所：北京市西城区金融街19号富凯大厦B座701</w:t>
      </w:r>
    </w:p>
    <w:p w14:paraId="5BC0BA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办公地址：北京市西城区新街口外大街28号C座5层</w:t>
      </w:r>
    </w:p>
    <w:p w14:paraId="222C3C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法定代表人：林义相</w:t>
      </w:r>
    </w:p>
    <w:p w14:paraId="630FD7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电话：（010）66045529</w:t>
      </w:r>
    </w:p>
    <w:p w14:paraId="0B7721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传真：（010）66045518</w:t>
      </w:r>
    </w:p>
    <w:p w14:paraId="428DD1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联系人：尹伶</w:t>
      </w:r>
    </w:p>
    <w:p w14:paraId="69AF99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客户服务电话：（010）66045678</w:t>
      </w:r>
    </w:p>
    <w:p w14:paraId="0CD3C9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网址：http://www.txsec.com</w:t>
      </w:r>
    </w:p>
    <w:p w14:paraId="6CDE1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（116）名称：上海基煜基金销售有限公司</w:t>
      </w:r>
    </w:p>
    <w:p w14:paraId="70A318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住所：上海市崇明县长兴镇路潘园公路1800号2号楼6153室（上海泰和经济发展区）</w:t>
      </w:r>
    </w:p>
    <w:p w14:paraId="135948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办公地址：上海市杨浦区昆明路518号A1002室</w:t>
      </w:r>
    </w:p>
    <w:p w14:paraId="1F4E70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法定代表人：王翔</w:t>
      </w:r>
    </w:p>
    <w:p w14:paraId="26A0EB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电话：（021）65370077</w:t>
      </w:r>
    </w:p>
    <w:p w14:paraId="6AE72C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传真：（021）55085991</w:t>
      </w:r>
    </w:p>
    <w:p w14:paraId="049804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联系人：俞申莉</w:t>
      </w:r>
    </w:p>
    <w:p w14:paraId="306AF1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客户服务电话：（021）65370077</w:t>
      </w:r>
    </w:p>
    <w:p w14:paraId="11D033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网址：www.fofund.com.cn</w:t>
      </w:r>
    </w:p>
    <w:p w14:paraId="0BD73C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（117）名称：浙江同花顺基金销售有限公司</w:t>
      </w:r>
    </w:p>
    <w:p w14:paraId="46AEBD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住所：浙江省杭州市文二西路1号元茂大厦903</w:t>
      </w:r>
    </w:p>
    <w:p w14:paraId="2C845B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办公地址：浙江杭州余杭区五常街道同顺街18号</w:t>
      </w:r>
    </w:p>
    <w:p w14:paraId="33F857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法定代表人：吴强</w:t>
      </w:r>
    </w:p>
    <w:p w14:paraId="4F39B8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电话：（0571）88911818</w:t>
      </w:r>
    </w:p>
    <w:p w14:paraId="4443C1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传真：（0571）86800423</w:t>
      </w:r>
    </w:p>
    <w:p w14:paraId="3B0F23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联系人：吴强</w:t>
      </w:r>
    </w:p>
    <w:p w14:paraId="0D16BE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客户服务电话：952555</w:t>
      </w:r>
    </w:p>
    <w:p w14:paraId="0C94DA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网址：https://fund.10jqka.com.cn/</w:t>
      </w:r>
    </w:p>
    <w:p w14:paraId="4E2DA1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（118）名称：宜信普泽（北京）基金销售有限公司</w:t>
      </w:r>
    </w:p>
    <w:p w14:paraId="3AA09A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住所：北京市朝阳区建国路乙118号12层01D、02A—02F、03A—03C</w:t>
      </w:r>
    </w:p>
    <w:p w14:paraId="1E15B5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办公地址：北京市朝阳区建国路乙118号12层01D、02A—02F、03A—03C</w:t>
      </w:r>
    </w:p>
    <w:p w14:paraId="7C9D56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法定代表人：汤蕾</w:t>
      </w:r>
    </w:p>
    <w:p w14:paraId="0C65BD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电话：010-5090-5707</w:t>
      </w:r>
    </w:p>
    <w:p w14:paraId="31BF42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25CF4B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联系人：蒋凯帆</w:t>
      </w:r>
    </w:p>
    <w:p w14:paraId="71257A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客户服务电话：400-6099-200</w:t>
      </w:r>
    </w:p>
    <w:p w14:paraId="39E4C3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网址：http://www.puzefund.com</w:t>
      </w:r>
    </w:p>
    <w:p w14:paraId="732FDC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（119）名称：上海联泰基金销售有限公司</w:t>
      </w:r>
    </w:p>
    <w:p w14:paraId="337C3B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住所：上海市普陀区兰溪路900弄15号526室</w:t>
      </w:r>
    </w:p>
    <w:p w14:paraId="003222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办公地址：上海市虹口区临潼路188号</w:t>
      </w:r>
    </w:p>
    <w:p w14:paraId="200B88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法定代表人：尹彬彬</w:t>
      </w:r>
    </w:p>
    <w:p w14:paraId="2ED9B2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电话：021-52822063</w:t>
      </w:r>
    </w:p>
    <w:p w14:paraId="39EB3F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传真：021-52975270</w:t>
      </w:r>
    </w:p>
    <w:p w14:paraId="28B4FC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联系人：兰敏</w:t>
      </w:r>
    </w:p>
    <w:p w14:paraId="0D86F8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客户服务电话：400-118-1188</w:t>
      </w:r>
    </w:p>
    <w:p w14:paraId="75325E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网址：www.66liantai.com</w:t>
      </w:r>
    </w:p>
    <w:p w14:paraId="288008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（120）名称：泛华普益基金销售有限公司</w:t>
      </w:r>
    </w:p>
    <w:p w14:paraId="14584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住所：成都市成华区建设路9号高地中心1101室</w:t>
      </w:r>
    </w:p>
    <w:p w14:paraId="37B0D7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办公地址：成都市金牛区花照壁西顺街399号1栋1单元龙湖西宸天街B座1201号</w:t>
      </w:r>
    </w:p>
    <w:p w14:paraId="45F1A1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法定代表人：于海锋</w:t>
      </w:r>
    </w:p>
    <w:p w14:paraId="609504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电话：028-8661-6229</w:t>
      </w:r>
    </w:p>
    <w:p w14:paraId="146083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传真：无</w:t>
      </w:r>
    </w:p>
    <w:p w14:paraId="0BA484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联系人：隋亚方</w:t>
      </w:r>
    </w:p>
    <w:p w14:paraId="4FC6B1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客户服务电话：400-080-3388</w:t>
      </w:r>
    </w:p>
    <w:p w14:paraId="7C8F2A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网址：https://www.puyifund.com/</w:t>
      </w:r>
    </w:p>
    <w:p w14:paraId="7C0CBC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（121）名称：北京展恒基金销售股份有限公司</w:t>
      </w:r>
    </w:p>
    <w:p w14:paraId="439ABE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住所：北京市顺义区后沙峪镇安富街6号</w:t>
      </w:r>
    </w:p>
    <w:p w14:paraId="247FE3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办公地址：北京市朝阳区安苑路15-1号邮电新闻大厦2层</w:t>
      </w:r>
    </w:p>
    <w:p w14:paraId="565C7C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法定代表人：闫振杰</w:t>
      </w:r>
    </w:p>
    <w:p w14:paraId="379D61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电话：（010）59601366-7024</w:t>
      </w:r>
    </w:p>
    <w:p w14:paraId="5A2BF3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传真：（010）62020355</w:t>
      </w:r>
    </w:p>
    <w:p w14:paraId="7FB21C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马林</w:t>
      </w:r>
    </w:p>
    <w:p w14:paraId="26CA4E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客户服务电话：400-888-6661</w:t>
      </w:r>
    </w:p>
    <w:p w14:paraId="71FE5E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网址：www.myfund.com</w:t>
      </w:r>
    </w:p>
    <w:p w14:paraId="740762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（122）名称：深圳市新兰德证券投资咨询有限公司</w:t>
      </w:r>
    </w:p>
    <w:p w14:paraId="4AB4AE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住所：深圳市福田区华强北路赛格科技园4栋10层1006#</w:t>
      </w:r>
    </w:p>
    <w:p w14:paraId="71FB05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办公地址：北京市西城区金融大街35号国际企业大厦C座9层</w:t>
      </w:r>
    </w:p>
    <w:p w14:paraId="359D5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法定代表人：陈操</w:t>
      </w:r>
    </w:p>
    <w:p w14:paraId="7243CC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电话：（010）58325395</w:t>
      </w:r>
    </w:p>
    <w:p w14:paraId="4785FE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传真：（010）58325282</w:t>
      </w:r>
    </w:p>
    <w:p w14:paraId="712A47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联系人：刘宝文</w:t>
      </w:r>
    </w:p>
    <w:p w14:paraId="394AD9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客户服务电话：400-850-7771</w:t>
      </w:r>
    </w:p>
    <w:p w14:paraId="41FDAAF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网址：http://8.jrj.com.cn/</w:t>
      </w:r>
    </w:p>
    <w:p w14:paraId="6C9589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（123）名称：和耕传承基金销售有限公司</w:t>
      </w:r>
    </w:p>
    <w:p w14:paraId="0DF09A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住所：河南自贸试验区郑州片区（郑东）东风南路东康宁街北6号楼5楼503</w:t>
      </w:r>
    </w:p>
    <w:p w14:paraId="03FCFD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办公地址：河南自贸试验区郑州片区（郑东）东风南路东康宁街北6号楼5楼503</w:t>
      </w:r>
    </w:p>
    <w:p w14:paraId="11CCD6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法定代表人：温丽燕</w:t>
      </w:r>
    </w:p>
    <w:p w14:paraId="2FFB23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电话：0371-85518395</w:t>
      </w:r>
    </w:p>
    <w:p w14:paraId="2F02D0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传真：0371-85518397</w:t>
      </w:r>
    </w:p>
    <w:p w14:paraId="00AE3E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联系人：胡静华</w:t>
      </w:r>
    </w:p>
    <w:p w14:paraId="08B57F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客户服务电话：4000555671</w:t>
      </w:r>
    </w:p>
    <w:p w14:paraId="6AD0F3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网址：www.hgccpb.com</w:t>
      </w:r>
    </w:p>
    <w:p w14:paraId="1259B9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（124）名称：腾安基金销售（深圳）有限公司</w:t>
      </w:r>
    </w:p>
    <w:p w14:paraId="15E0F4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住所：深圳市前海深港合作区前湾一路1号A栋201室（入驻深圳市前海商务秘书有限公司）</w:t>
      </w:r>
    </w:p>
    <w:p w14:paraId="2FA648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办公地址：深圳市南山区海天二路33号腾讯滨海大厦</w:t>
      </w:r>
    </w:p>
    <w:p w14:paraId="54B41B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法定代表人：刘明军</w:t>
      </w:r>
    </w:p>
    <w:p w14:paraId="4B16B0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电话：95017（拨通后转1转8）</w:t>
      </w:r>
    </w:p>
    <w:p w14:paraId="3C9FF2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联系人：谭广峰</w:t>
      </w:r>
    </w:p>
    <w:p w14:paraId="2603D3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客户服务电话：95017（拨通后转1转8）</w:t>
      </w:r>
    </w:p>
    <w:p w14:paraId="1A7B50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网址：http://www.tenganxinxi.com/</w:t>
      </w:r>
    </w:p>
    <w:p w14:paraId="46102E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（125）名称：中国人寿保险股份有限公司</w:t>
      </w:r>
    </w:p>
    <w:p w14:paraId="3F7F58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住所：中国北京市西城区金融大街16号</w:t>
      </w:r>
    </w:p>
    <w:p w14:paraId="62B365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办公地址：北京市西城区金融大街16号中国人寿广场A座</w:t>
      </w:r>
    </w:p>
    <w:p w14:paraId="1A0761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法定代表人：王滨</w:t>
      </w:r>
    </w:p>
    <w:p w14:paraId="0A9687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客户服务电话：95519</w:t>
      </w:r>
    </w:p>
    <w:p w14:paraId="739663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 www.e-chinalife.com</w:t>
      </w:r>
    </w:p>
    <w:p w14:paraId="15A757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（126）名称：济安财富（北京）基金销售有限公司</w:t>
      </w:r>
    </w:p>
    <w:p w14:paraId="4D86D9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住所：北京市朝阳区太阳宫中路16号院1号楼10层1005</w:t>
      </w:r>
    </w:p>
    <w:p w14:paraId="409E8C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办公地址：北京市朝阳区太阳宫中路16号院1号楼11层1105</w:t>
      </w:r>
    </w:p>
    <w:p w14:paraId="28291F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法定代表人：杨健</w:t>
      </w:r>
    </w:p>
    <w:p w14:paraId="26032F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电话：010-65309516</w:t>
      </w:r>
    </w:p>
    <w:p w14:paraId="677F50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传真：010-65330699</w:t>
      </w:r>
    </w:p>
    <w:p w14:paraId="3A1D5A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联系人：宋静</w:t>
      </w:r>
    </w:p>
    <w:p w14:paraId="04D5BC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客户服务电话：400-673-7010</w:t>
      </w:r>
    </w:p>
    <w:p w14:paraId="6FEA7B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网址：www.jianfortune.com</w:t>
      </w:r>
    </w:p>
    <w:p w14:paraId="0985F2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（127）名称：博时财富基金销售有限公司</w:t>
      </w:r>
    </w:p>
    <w:p w14:paraId="3EA6D8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住所：深圳市福田区莲花街道福新社区益田路5999号基金大厦19层</w:t>
      </w:r>
    </w:p>
    <w:p w14:paraId="48343E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办公地址：深圳市福田区莲花街道福新社区益田路5999号基金大厦19层</w:t>
      </w:r>
    </w:p>
    <w:p w14:paraId="14FD39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法定代表人：王德英</w:t>
      </w:r>
    </w:p>
    <w:p w14:paraId="787601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电话：0755-83169999</w:t>
      </w:r>
    </w:p>
    <w:p w14:paraId="237D45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传真：0755-83195220</w:t>
      </w:r>
    </w:p>
    <w:p w14:paraId="458CA0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联系人：崔丹</w:t>
      </w:r>
    </w:p>
    <w:p w14:paraId="6FF232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客户服务电话：400-610-5568</w:t>
      </w:r>
    </w:p>
    <w:p w14:paraId="6AE615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网址：www.boserawealth.com</w:t>
      </w:r>
    </w:p>
    <w:p w14:paraId="52845F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（128）名称：上海中欧财富基金销售有限公司</w:t>
      </w:r>
    </w:p>
    <w:p w14:paraId="0FFB6B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住所：中国（上海）自由贸易试验区陆家嘴环路479号1008-1室</w:t>
      </w:r>
    </w:p>
    <w:p w14:paraId="463CE9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办公地址：上海市虹口区公平路18号嘉昱大厦6楼</w:t>
      </w:r>
    </w:p>
    <w:p w14:paraId="072768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法定代表人：许欣</w:t>
      </w:r>
    </w:p>
    <w:p w14:paraId="510CF1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电话：021-68609600</w:t>
      </w:r>
    </w:p>
    <w:p w14:paraId="68DA69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传真：021-33830351</w:t>
      </w:r>
    </w:p>
    <w:p w14:paraId="47CA60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 刘弘义</w:t>
      </w:r>
    </w:p>
    <w:p w14:paraId="7CB01D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客户服务电话：400-700-9700</w:t>
      </w:r>
    </w:p>
    <w:p w14:paraId="2258EB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公司网址：https://www.zocaifu.com</w:t>
      </w:r>
    </w:p>
    <w:p w14:paraId="0E8F1C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（129）名称：深圳前海微众银行股份有限公司</w:t>
      </w:r>
    </w:p>
    <w:p w14:paraId="3EB152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住所：深圳前海深港合作区前湾一路1号A栋201室（入驻深圳市前海商务秘书有限公司）</w:t>
      </w:r>
    </w:p>
    <w:p w14:paraId="48D772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办公地址：广东省深圳市南山区沙河西路1819号深圳湾科技生态园7栋A座</w:t>
      </w:r>
    </w:p>
    <w:p w14:paraId="76FAB8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法定代表人：顾敏</w:t>
      </w:r>
    </w:p>
    <w:p w14:paraId="1C811A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电话：15112686889</w:t>
      </w:r>
    </w:p>
    <w:p w14:paraId="46AB76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w:t>
      </w:r>
    </w:p>
    <w:p w14:paraId="45B09A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联系人：白冰</w:t>
      </w:r>
    </w:p>
    <w:p w14:paraId="1EA32F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客户服务电话：95384</w:t>
      </w:r>
    </w:p>
    <w:p w14:paraId="7AFB2A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网址：www.webank.com</w:t>
      </w:r>
    </w:p>
    <w:p w14:paraId="07AA9E77">
      <w:pPr>
        <w:autoSpaceDE w:val="0"/>
        <w:autoSpaceDN w:val="0"/>
        <w:adjustRightInd w:val="0"/>
        <w:snapToGrid w:val="0"/>
        <w:spacing w:line="360" w:lineRule="auto"/>
        <w:ind w:firstLine="480" w:firstLineChars="200"/>
        <w:jc w:val="left"/>
        <w:rPr>
          <w:rFonts w:ascii="宋体" w:hAnsi="宋体"/>
          <w:sz w:val="24"/>
        </w:rPr>
      </w:pPr>
      <w:r>
        <w:rPr>
          <w:rFonts w:ascii="宋体" w:hAnsi="宋体"/>
          <w:sz w:val="24"/>
        </w:rPr>
        <w:t>基金管理人可根据有关法律法规的要求，选择其它符合要求的机构代理销售本基金，并在管理人网站公示。</w:t>
      </w:r>
    </w:p>
    <w:p w14:paraId="4DF4CA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（二）登记机构</w:t>
      </w:r>
    </w:p>
    <w:p w14:paraId="56B61F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名称：中国证券登记结算有限责任公司</w:t>
      </w:r>
    </w:p>
    <w:p w14:paraId="69FB3B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住所：北京市西城区太平桥大街17号</w:t>
      </w:r>
    </w:p>
    <w:p w14:paraId="56E4F5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办公地址：北京市西城区太平桥大街17号</w:t>
      </w:r>
    </w:p>
    <w:p w14:paraId="5710DB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法定代表人：于文强</w:t>
      </w:r>
    </w:p>
    <w:p w14:paraId="15AE36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电话：（010）50938782</w:t>
      </w:r>
    </w:p>
    <w:p w14:paraId="3B10AE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传真：（010）50938907</w:t>
      </w:r>
    </w:p>
    <w:p w14:paraId="0CB70E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联系人：赵亦清</w:t>
      </w:r>
    </w:p>
    <w:p w14:paraId="66C68A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（三）出具法律意见书的律师事务所</w:t>
      </w:r>
    </w:p>
    <w:p w14:paraId="3BB12B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名称：上海源泰律师事务所</w:t>
      </w:r>
    </w:p>
    <w:p w14:paraId="16EA51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住所：上海浦东南路256号华夏银行大厦1405室</w:t>
      </w:r>
    </w:p>
    <w:p w14:paraId="2F348B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办公地址：上海浦东南路256号华夏银行大厦1405室</w:t>
      </w:r>
    </w:p>
    <w:p w14:paraId="4F8958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负责人：廖海</w:t>
      </w:r>
    </w:p>
    <w:p w14:paraId="1218EF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电话：（021）51150298</w:t>
      </w:r>
    </w:p>
    <w:p w14:paraId="51AF67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传真：（021）51150398</w:t>
      </w:r>
    </w:p>
    <w:p w14:paraId="5F7AD0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联系人：廖海</w:t>
      </w:r>
    </w:p>
    <w:p w14:paraId="1B354C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经办律师：梁丽金、刘佳</w:t>
      </w:r>
    </w:p>
    <w:p w14:paraId="5F9C1A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（四）审计基金财产的会计师事务所</w:t>
      </w:r>
    </w:p>
    <w:p w14:paraId="26AFD1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名称：安永华明会计师事务所（特殊普通合伙）</w:t>
      </w:r>
    </w:p>
    <w:p w14:paraId="580AEF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住所：北京市东城区东长安街1号东方广场安永大楼17层</w:t>
      </w:r>
    </w:p>
    <w:p w14:paraId="5F28EF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办公地址：北京市东城区东长安街1号东方广场安永大楼17层</w:t>
      </w:r>
    </w:p>
    <w:p w14:paraId="2E1374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执行事务合伙人：毛鞍宁</w:t>
      </w:r>
    </w:p>
    <w:p w14:paraId="5F2B65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电话：（010）58153000</w:t>
      </w:r>
    </w:p>
    <w:p w14:paraId="66CBFC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传真：（010）85188298</w:t>
      </w:r>
    </w:p>
    <w:p w14:paraId="2FDD70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联系人：蒋燕华</w:t>
      </w:r>
    </w:p>
    <w:p w14:paraId="354713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经办注册会计师：蒋燕华、费泽旭</w:t>
      </w:r>
    </w:p>
    <w:p w14:paraId="3A43762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0E12210">
      <w:pPr>
        <w:pStyle w:val="2"/>
        <w:snapToGrid w:val="0"/>
        <w:spacing w:before="240" w:beforeLines="0" w:after="240"/>
        <w:rPr>
          <w:rFonts w:ascii="宋体" w:hAnsi="宋体"/>
          <w:szCs w:val="30"/>
        </w:rPr>
      </w:pPr>
      <w:bookmarkStart w:id="8" w:name="_Toc216956600"/>
      <w:r>
        <w:rPr>
          <w:rFonts w:ascii="Times New Roman" w:hAnsi="Times New Roman"/>
          <w:sz w:val="30"/>
        </w:rPr>
        <w:t>六、基金的募集</w:t>
      </w:r>
      <w:bookmarkEnd w:id="8"/>
    </w:p>
    <w:p w14:paraId="4F9D72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本基金由基金管理人依照《基金法》、《运作办法》、《销售办法》、基金合同及其他有关规定，并经2008年2月5日中国证券监督管理委员会证监许可【2008】239号文批准募集发售。</w:t>
      </w:r>
    </w:p>
    <w:p w14:paraId="3B4D91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本基金为契约型开放式债券型基金。基金存续期间为不定期。</w:t>
      </w:r>
    </w:p>
    <w:p w14:paraId="6EB8D8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本基金募集期间基金份额净值为人民币1.00元，按初始面值发售。</w:t>
      </w:r>
    </w:p>
    <w:p w14:paraId="1777E6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本基金于2008年3月3日进行发售。本基金设立募集期共募集10,322,807,118.45份基金份额，有效认购户数为70,477户。</w:t>
      </w:r>
    </w:p>
    <w:p w14:paraId="0A8F3577">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7483327">
      <w:pPr>
        <w:pStyle w:val="2"/>
        <w:snapToGrid w:val="0"/>
        <w:spacing w:before="240" w:beforeLines="0" w:after="240"/>
        <w:rPr>
          <w:rFonts w:ascii="宋体" w:hAnsi="宋体"/>
          <w:szCs w:val="30"/>
        </w:rPr>
      </w:pPr>
      <w:bookmarkStart w:id="9" w:name="_Toc216956601"/>
      <w:r>
        <w:rPr>
          <w:rFonts w:ascii="Times New Roman" w:hAnsi="Times New Roman"/>
          <w:sz w:val="30"/>
        </w:rPr>
        <w:t>七、基金合同的生效</w:t>
      </w:r>
      <w:bookmarkEnd w:id="9"/>
    </w:p>
    <w:p w14:paraId="298619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根据有关规定，本基金满足基金合同生效条件，基金合同已于2008年3月31日正式生效。自基金合同生效之日起，本基金管理人正式开始管理本基金。</w:t>
      </w:r>
    </w:p>
    <w:p w14:paraId="2D76F9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14:paraId="121526E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4E32039">
      <w:pPr>
        <w:pStyle w:val="2"/>
        <w:snapToGrid w:val="0"/>
        <w:spacing w:before="240" w:beforeLines="0" w:after="240"/>
        <w:rPr>
          <w:rFonts w:ascii="宋体" w:hAnsi="宋体"/>
          <w:szCs w:val="30"/>
        </w:rPr>
      </w:pPr>
      <w:bookmarkStart w:id="10" w:name="_Toc216956602"/>
      <w:r>
        <w:rPr>
          <w:rFonts w:ascii="Times New Roman" w:hAnsi="Times New Roman"/>
          <w:sz w:val="30"/>
        </w:rPr>
        <w:t>八、基金份额的申购与赎回</w:t>
      </w:r>
      <w:bookmarkEnd w:id="10"/>
    </w:p>
    <w:p w14:paraId="64DA9D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（一）申购和赎回的场所</w:t>
      </w:r>
    </w:p>
    <w:p w14:paraId="618B73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投资人可通过下述场所按照规定的方式进行申购或赎回：</w:t>
      </w:r>
    </w:p>
    <w:p w14:paraId="48C041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1、直销机构</w:t>
      </w:r>
    </w:p>
    <w:p w14:paraId="70D8DD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本基金直销机构为本公司以及本公司的网上直销交易平台。</w:t>
      </w:r>
    </w:p>
    <w:p w14:paraId="1018A1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63DFC1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6FDB2B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47EC71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电话：（021）61055724</w:t>
      </w:r>
    </w:p>
    <w:p w14:paraId="5B9FCA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传真：（021）61055054</w:t>
      </w:r>
    </w:p>
    <w:p w14:paraId="1A5B92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联系人：傅鲸</w:t>
      </w:r>
    </w:p>
    <w:p w14:paraId="604D01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客户服务电话：400-700-5000（免长途话费），（021）61055000</w:t>
      </w:r>
    </w:p>
    <w:p w14:paraId="4A4506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0B7D0D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个人投资者可以通过本公司网上直销交易平台办理开户、本基金A类、C类和D类基金份额的申购、赎回、转换及定期定额投资等业务，具体交易细则请参阅本公司网站。网上直销交易平台网址：www.fund001.com。</w:t>
      </w:r>
    </w:p>
    <w:p w14:paraId="5329BB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2、通过上海证券交易所交易系统办理相关业务的上海证券交易所会员单位，目前场内交易只支持A类基金份额的申购。具体名单详见上海证券交易所网站。</w:t>
      </w:r>
    </w:p>
    <w:p w14:paraId="01A16C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3、不通过上海证券交易所交易系统办理相关业务的场外代销机构的代销网点</w:t>
      </w:r>
    </w:p>
    <w:p w14:paraId="741E57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本基金的场外代销机构的代销网点请见本招募说明书“五、相关服务机构”章节或拨打本公司客户服务电话进行咨询。</w:t>
      </w:r>
    </w:p>
    <w:p w14:paraId="0113DC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投资人可通过上述场所按照规定的方式进行申购或赎回。本基金管理人可根据情况增减基金代销机构，并在管理人网站公示。</w:t>
      </w:r>
    </w:p>
    <w:p w14:paraId="185020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14:paraId="4C68DC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（二）申购和赎回的开放日及时间</w:t>
      </w:r>
    </w:p>
    <w:p w14:paraId="3E8116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1、开放日及开放时间</w:t>
      </w:r>
    </w:p>
    <w:p w14:paraId="17A834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开放日是指为投资人办理基金申购、赎回等业务的证券交易所交易日（基金管理人根据法律法规、中国证监会要求或基金合同的规定公告暂停申购、赎回时除外）。代销网点在开放日的具体业务办理时间为上海证券交易所、深圳证券交易所正常交易日的交易时间。</w:t>
      </w:r>
    </w:p>
    <w:p w14:paraId="73DFAD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14:paraId="047715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投资人在基金合同约定之外的日期和时间提出申购、赎回或转换申请的，其基金份额申购、赎回价格为下次办理基金份额申购、赎回时间所在开放日的价格。</w:t>
      </w:r>
    </w:p>
    <w:p w14:paraId="6A4739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2、申购、赎回的开始日及业务办理时间</w:t>
      </w:r>
    </w:p>
    <w:p w14:paraId="29E8C1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本基金A/B/C类基金份额已于2008年5月9日开放场内、场外日常申购、赎回业务。</w:t>
      </w:r>
    </w:p>
    <w:p w14:paraId="46DC3B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本基金D类基金份额于2025年3月31日起开放申购、赎回业务。</w:t>
      </w:r>
    </w:p>
    <w:p w14:paraId="1676E0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（三）申购和赎回的原则</w:t>
      </w:r>
    </w:p>
    <w:p w14:paraId="7EFB23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1、“未知价”原则，即申购、赎回价格以申请当日收市后计算的各类基金份额净值为基准进行计算；</w:t>
      </w:r>
    </w:p>
    <w:p w14:paraId="4AEB83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2、“金额申购、份额赎回”原则，即申购以金额申请，赎回以份额申请；</w:t>
      </w:r>
    </w:p>
    <w:p w14:paraId="2CE11C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3、投资人申购基金份额时，必须全额交付申购款项，投资人交付款项后，申购申请方为有效；</w:t>
      </w:r>
    </w:p>
    <w:p w14:paraId="1FE040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4、赎回遵循“先进先出”原则，即按照投资人认购、申购的先后次序进行顺序赎回；</w:t>
      </w:r>
    </w:p>
    <w:p w14:paraId="545B38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5、当日的申购与赎回申请可以在基金管理人规定的时间以内撤销。</w:t>
      </w:r>
    </w:p>
    <w:p w14:paraId="7ACD11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14:paraId="319599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（四）申购和赎回的数额限定</w:t>
      </w:r>
    </w:p>
    <w:p w14:paraId="712AC8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1、申购金额的限制</w:t>
      </w:r>
    </w:p>
    <w:p w14:paraId="5B8722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场外申购时，代销网点每个账户申购最低金额为单笔1元，如果代销机构业务规则规定的最低单笔申购金额高于1元，以代销机构的规定为准。</w:t>
      </w:r>
    </w:p>
    <w:p w14:paraId="6E4449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直销中心每个账户首次申购的最低金额为单笔100万元，追加申购的最低金额为单笔10万元；已在直销中心有认购或申购过本基金管理人管理的任一基金（包括本基金）记录的投资人不受首次申购最低金额的限制。通过本公司网上直销交易平台办理基金申购业务的不受直销中心单笔申购最低金额的限制，申购最低金额为单笔1元。本基金直销中心单笔申购最低金额可由基金管理人酌情调整。</w:t>
      </w:r>
    </w:p>
    <w:p w14:paraId="539BB3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14:paraId="39FBB0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2、赎回份额的限制</w:t>
      </w:r>
    </w:p>
    <w:p w14:paraId="39CFCA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场外赎回时，赎回的最低份额为1 份基金份额，如果其他销售机构业务规则规定的单笔最低赎回份额高于1份，以该销售机构的规定为准。场内赎回时，赎回的最低份额为50 份基金份额，同时赎回份额必须是整数份额，并且单笔赎回最多不超过99,999,999份基金份额。</w:t>
      </w:r>
    </w:p>
    <w:p w14:paraId="3E8E41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3、最低保留余额的限制</w:t>
      </w:r>
    </w:p>
    <w:p w14:paraId="19F0B0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14:paraId="39852E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14:paraId="5AB807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的有关规定在指定的媒体上刊登公告并报中国证监会备案。</w:t>
      </w:r>
    </w:p>
    <w:p w14:paraId="62B84D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（五）申购和赎回的程序</w:t>
      </w:r>
    </w:p>
    <w:p w14:paraId="5546E5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1、申购和赎回的申请方式</w:t>
      </w:r>
    </w:p>
    <w:p w14:paraId="42D513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14:paraId="60A312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14:paraId="6105FE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投资人在提交赎回申请时，必须持有足够的基金份额余额，否则所提交的赎回申请无效而不予成交。</w:t>
      </w:r>
    </w:p>
    <w:p w14:paraId="0E660C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2、申购和赎回申请的确认</w:t>
      </w:r>
    </w:p>
    <w:p w14:paraId="7AAC89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以交易时间结束前受理申购和赎回申请的当天作为申购或赎回申请日(T日)，正常情况下，本基金登记结算机构在T+1日内对该交易的有效性进行确认。T日提交的有效申请，投资人可在T+2日后（包括该日）到销售网点柜台或以销售机构规定的其他方式查询申请的确认情况。</w:t>
      </w:r>
    </w:p>
    <w:p w14:paraId="5E332E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3、申购和赎回的款项支付</w:t>
      </w:r>
    </w:p>
    <w:p w14:paraId="3A9ED2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申购采用全额缴款方式，若申购资金在规定时间内未全额到账，则申购不成功，若申购不成功或无效，基金管理人或基金管理人指定的代销机构将投资人已缴付的申购款项本金退还给投资人。</w:t>
      </w:r>
    </w:p>
    <w:p w14:paraId="43E8CF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申请成功后，基金管理人将指示基金托管人在T＋7日（包括该日）内从托管账户将赎回款项划出，经销售机构划往基金份额持有人银行账户。在发生巨额赎回时，款项的支付办法参照基金合同的有关条款处理。</w:t>
      </w:r>
    </w:p>
    <w:p w14:paraId="3C7755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4、申购和赎回基金份额的份额注册登记</w:t>
      </w:r>
    </w:p>
    <w:p w14:paraId="770AFF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投资人申购基金成功后，登记结算机构在T+1日为投资人登记权益并办理份额注册登记手续，投资人自T+2日（含该日）后有权赎回该部分基金份额。</w:t>
      </w:r>
    </w:p>
    <w:p w14:paraId="263AC4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投资人赎回基金成功后，登记结算机构在T+1日为投资人办理扣除权益的份额注册登记手续。</w:t>
      </w:r>
    </w:p>
    <w:p w14:paraId="581B23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14:paraId="7E9089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（六）基金的申购费和赎回费</w:t>
      </w:r>
    </w:p>
    <w:p w14:paraId="229F75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1、申购费用</w:t>
      </w:r>
    </w:p>
    <w:p w14:paraId="72846F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申购A类基金份额、D类基金份额收取前端申购费用，即在申购时支付申购费用，申购费率按每笔申购申请单独计算。投资人申购B类基金份额收取后端申购费用，即在赎回时才支付相应的申购费用，该费用随基金份额的持有时间递减。投资人申购C类基金份额不收取申购费用，而是从该类别基金资产中计提销售服务费。目前场内交易只支持A类基金份额的申购。</w:t>
      </w:r>
    </w:p>
    <w:p w14:paraId="0C9F25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A/B/D类基金份额的申购费用由A/B/D类基金份额申购人承担，不列入基金财产，主要用于本基金的市场推广、销售、登记结算等各项费用。</w:t>
      </w:r>
    </w:p>
    <w:p w14:paraId="13B028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6878311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1F808FC">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28C6B5F3">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A类基金份额前端申购费率</w:t>
            </w:r>
          </w:p>
        </w:tc>
      </w:tr>
      <w:tr w14:paraId="3A65FE5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2BDD0ED">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6589854A">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14:paraId="0083446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59E7824">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5C5060D6">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15B1151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7F60AC">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171BAF66">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14:paraId="15B2493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905AB8D">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412118A6">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14:paraId="2BDA3DF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A8E3002">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500万元（含）以上</w:t>
            </w:r>
          </w:p>
        </w:tc>
        <w:tc>
          <w:tcPr>
            <w:tcW w:w="750" w:type="pct"/>
            <w:tcBorders>
              <w:top w:val="single" w:color="auto" w:sz="4" w:space="0"/>
              <w:left w:val="single" w:color="auto" w:sz="4" w:space="0"/>
              <w:bottom w:val="single" w:color="auto" w:sz="4" w:space="0"/>
              <w:right w:val="single" w:color="auto" w:sz="4" w:space="0"/>
            </w:tcBorders>
            <w:vAlign w:val="center"/>
          </w:tcPr>
          <w:p w14:paraId="53B7A05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6CDDF1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本基金B类基金份额（非养老金客户）的申购费率如下：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39FCFBD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7BF967">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750" w:type="pct"/>
            <w:tcBorders>
              <w:top w:val="single" w:color="auto" w:sz="4" w:space="0"/>
              <w:left w:val="single" w:color="auto" w:sz="4" w:space="0"/>
              <w:bottom w:val="single" w:color="auto" w:sz="4" w:space="0"/>
              <w:right w:val="single" w:color="auto" w:sz="4" w:space="0"/>
            </w:tcBorders>
            <w:vAlign w:val="center"/>
          </w:tcPr>
          <w:p w14:paraId="3FEBF36E">
            <w:pPr>
              <w:widowControl/>
              <w:snapToGrid w:val="0"/>
              <w:jc w:val="center"/>
              <w:rPr>
                <w:rFonts w:ascii="宋体" w:hAnsi="宋体"/>
                <w:color w:val="000000"/>
                <w:kern w:val="0"/>
                <w:sz w:val="25"/>
                <w:szCs w:val="24"/>
              </w:rPr>
            </w:pPr>
            <w:r>
              <w:rPr>
                <w:rFonts w:ascii="Times New Roman" w:hAnsi="Times New Roman"/>
                <w:color w:val="000000"/>
                <w:kern w:val="0"/>
                <w:sz w:val="25"/>
                <w:szCs w:val="24"/>
              </w:rPr>
              <w:t>B类基金份额后端申购费率</w:t>
            </w:r>
          </w:p>
        </w:tc>
      </w:tr>
      <w:tr w14:paraId="607D10B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44BD82D">
            <w:pPr>
              <w:widowControl/>
              <w:snapToGrid w:val="0"/>
              <w:jc w:val="left"/>
              <w:rPr>
                <w:rFonts w:ascii="宋体" w:hAnsi="宋体"/>
                <w:color w:val="000000"/>
                <w:kern w:val="0"/>
                <w:sz w:val="25"/>
                <w:szCs w:val="24"/>
              </w:rPr>
            </w:pPr>
            <w:r>
              <w:rPr>
                <w:rFonts w:ascii="Times New Roman" w:hAnsi="Times New Roman"/>
                <w:color w:val="000000"/>
                <w:kern w:val="0"/>
                <w:sz w:val="25"/>
                <w:szCs w:val="24"/>
              </w:rPr>
              <w:t>1年以内（含）</w:t>
            </w:r>
          </w:p>
        </w:tc>
        <w:tc>
          <w:tcPr>
            <w:tcW w:w="750" w:type="pct"/>
            <w:tcBorders>
              <w:top w:val="single" w:color="auto" w:sz="4" w:space="0"/>
              <w:left w:val="single" w:color="auto" w:sz="4" w:space="0"/>
              <w:bottom w:val="single" w:color="auto" w:sz="4" w:space="0"/>
              <w:right w:val="single" w:color="auto" w:sz="4" w:space="0"/>
            </w:tcBorders>
            <w:vAlign w:val="center"/>
          </w:tcPr>
          <w:p w14:paraId="2BD27A5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14:paraId="5DD5675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3A43F29">
            <w:pPr>
              <w:widowControl/>
              <w:snapToGrid w:val="0"/>
              <w:jc w:val="left"/>
              <w:rPr>
                <w:rFonts w:ascii="宋体" w:hAnsi="宋体"/>
                <w:color w:val="000000"/>
                <w:kern w:val="0"/>
                <w:sz w:val="25"/>
                <w:szCs w:val="24"/>
              </w:rPr>
            </w:pPr>
            <w:r>
              <w:rPr>
                <w:rFonts w:ascii="Times New Roman" w:hAnsi="Times New Roman"/>
                <w:color w:val="000000"/>
                <w:kern w:val="0"/>
                <w:sz w:val="25"/>
                <w:szCs w:val="24"/>
              </w:rPr>
              <w:t>1年至3年（含）</w:t>
            </w:r>
          </w:p>
        </w:tc>
        <w:tc>
          <w:tcPr>
            <w:tcW w:w="750" w:type="pct"/>
            <w:tcBorders>
              <w:top w:val="single" w:color="auto" w:sz="4" w:space="0"/>
              <w:left w:val="single" w:color="auto" w:sz="4" w:space="0"/>
              <w:bottom w:val="single" w:color="auto" w:sz="4" w:space="0"/>
              <w:right w:val="single" w:color="auto" w:sz="4" w:space="0"/>
            </w:tcBorders>
            <w:vAlign w:val="center"/>
          </w:tcPr>
          <w:p w14:paraId="56345255">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60F0963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1D31349">
            <w:pPr>
              <w:widowControl/>
              <w:snapToGrid w:val="0"/>
              <w:jc w:val="left"/>
              <w:rPr>
                <w:rFonts w:ascii="宋体" w:hAnsi="宋体"/>
                <w:color w:val="000000"/>
                <w:kern w:val="0"/>
                <w:sz w:val="25"/>
                <w:szCs w:val="24"/>
              </w:rPr>
            </w:pPr>
            <w:r>
              <w:rPr>
                <w:rFonts w:ascii="Times New Roman" w:hAnsi="Times New Roman"/>
                <w:color w:val="000000"/>
                <w:kern w:val="0"/>
                <w:sz w:val="25"/>
                <w:szCs w:val="24"/>
              </w:rPr>
              <w:t>3年至5年（含）</w:t>
            </w:r>
          </w:p>
        </w:tc>
        <w:tc>
          <w:tcPr>
            <w:tcW w:w="750" w:type="pct"/>
            <w:tcBorders>
              <w:top w:val="single" w:color="auto" w:sz="4" w:space="0"/>
              <w:left w:val="single" w:color="auto" w:sz="4" w:space="0"/>
              <w:bottom w:val="single" w:color="auto" w:sz="4" w:space="0"/>
              <w:right w:val="single" w:color="auto" w:sz="4" w:space="0"/>
            </w:tcBorders>
            <w:vAlign w:val="center"/>
          </w:tcPr>
          <w:p w14:paraId="5F367F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14:paraId="477AEE7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4C5C781">
            <w:pPr>
              <w:widowControl/>
              <w:snapToGrid w:val="0"/>
              <w:jc w:val="left"/>
              <w:rPr>
                <w:rFonts w:ascii="宋体" w:hAnsi="宋体"/>
                <w:color w:val="000000"/>
                <w:kern w:val="0"/>
                <w:sz w:val="25"/>
                <w:szCs w:val="24"/>
              </w:rPr>
            </w:pPr>
            <w:r>
              <w:rPr>
                <w:rFonts w:ascii="Times New Roman" w:hAnsi="Times New Roman"/>
                <w:color w:val="000000"/>
                <w:kern w:val="0"/>
                <w:sz w:val="25"/>
                <w:szCs w:val="24"/>
              </w:rPr>
              <w:t>5年以上</w:t>
            </w:r>
          </w:p>
        </w:tc>
        <w:tc>
          <w:tcPr>
            <w:tcW w:w="750" w:type="pct"/>
            <w:tcBorders>
              <w:top w:val="single" w:color="auto" w:sz="4" w:space="0"/>
              <w:left w:val="single" w:color="auto" w:sz="4" w:space="0"/>
              <w:bottom w:val="single" w:color="auto" w:sz="4" w:space="0"/>
              <w:right w:val="single" w:color="auto" w:sz="4" w:space="0"/>
            </w:tcBorders>
            <w:vAlign w:val="center"/>
          </w:tcPr>
          <w:p w14:paraId="2CF628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w:t>
            </w:r>
          </w:p>
        </w:tc>
      </w:tr>
    </w:tbl>
    <w:p w14:paraId="695091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本基金D类基金份额（非养老金客户）的申购费率如下：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7BFB58D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95032E0">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1F061BB3">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D类基金份额申购费率</w:t>
            </w:r>
          </w:p>
        </w:tc>
      </w:tr>
      <w:tr w14:paraId="063C2AB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B02229">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36E2FFD3">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14:paraId="33B9476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FF14AA8">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37EC67A5">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14:paraId="0261A18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8F44720">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5EB2243A">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14:paraId="2614CFE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F74F09C">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3E0D6D4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14:paraId="403D89E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E34706C">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500万元（含）以上</w:t>
            </w:r>
          </w:p>
        </w:tc>
        <w:tc>
          <w:tcPr>
            <w:tcW w:w="750" w:type="pct"/>
            <w:tcBorders>
              <w:top w:val="single" w:color="auto" w:sz="4" w:space="0"/>
              <w:left w:val="single" w:color="auto" w:sz="4" w:space="0"/>
              <w:bottom w:val="single" w:color="auto" w:sz="4" w:space="0"/>
              <w:right w:val="single" w:color="auto" w:sz="4" w:space="0"/>
            </w:tcBorders>
            <w:vAlign w:val="center"/>
          </w:tcPr>
          <w:p w14:paraId="4BF0A45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14:paraId="41C59D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持有A/B/D类基金份额的投资人因红利自动再投资而产生的A/B/D类基金份额，不收取相应的申购费用。</w:t>
      </w:r>
    </w:p>
    <w:p w14:paraId="12159B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本基金对通过本公司直销柜台申购本基金A类基金份额、D类基金份额的养老金客户实施特定申购费率。</w:t>
      </w:r>
    </w:p>
    <w:p w14:paraId="73A5A2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14:paraId="051BF2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通过本公司直销柜台申购本基金A类基金份额的养老金客户特定申购费率如下表：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1238"/>
        <w:gridCol w:w="3716"/>
        <w:gridCol w:w="3716"/>
      </w:tblGrid>
      <w:tr w14:paraId="69B17132">
        <w:tblPrEx>
          <w:tblCellMar>
            <w:top w:w="0" w:type="dxa"/>
            <w:left w:w="0" w:type="dxa"/>
            <w:bottom w:w="0" w:type="dxa"/>
            <w:right w:w="0" w:type="dxa"/>
          </w:tblCellMar>
        </w:tblPrEx>
        <w:trPr>
          <w:cantSplit/>
          <w:trHeight w:val="375" w:hRule="atLeast"/>
        </w:trPr>
        <w:tc>
          <w:tcPr>
            <w:tcW w:w="250" w:type="pct"/>
            <w:vMerge w:val="restart"/>
            <w:tcBorders>
              <w:top w:val="single" w:color="auto" w:sz="4" w:space="0"/>
              <w:left w:val="single" w:color="auto" w:sz="4" w:space="0"/>
              <w:bottom w:val="single" w:color="auto" w:sz="4" w:space="0"/>
              <w:right w:val="single" w:color="auto" w:sz="4" w:space="0"/>
            </w:tcBorders>
            <w:vAlign w:val="center"/>
          </w:tcPr>
          <w:p w14:paraId="26F88136">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特定申购费率（A类基金份额）</w:t>
            </w:r>
          </w:p>
        </w:tc>
        <w:tc>
          <w:tcPr>
            <w:tcW w:w="750" w:type="pct"/>
            <w:tcBorders>
              <w:top w:val="single" w:color="auto" w:sz="4" w:space="0"/>
              <w:left w:val="single" w:color="auto" w:sz="4" w:space="0"/>
              <w:bottom w:val="single" w:color="auto" w:sz="4" w:space="0"/>
              <w:right w:val="single" w:color="auto" w:sz="4" w:space="0"/>
            </w:tcBorders>
            <w:vAlign w:val="center"/>
          </w:tcPr>
          <w:p w14:paraId="5AC1D141">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color="auto" w:sz="4" w:space="0"/>
              <w:left w:val="single" w:color="auto" w:sz="4" w:space="0"/>
              <w:bottom w:val="single" w:color="auto" w:sz="4" w:space="0"/>
              <w:right w:val="single" w:color="auto" w:sz="4" w:space="0"/>
            </w:tcBorders>
            <w:vAlign w:val="center"/>
          </w:tcPr>
          <w:p w14:paraId="3C65F880">
            <w:pPr>
              <w:widowControl/>
              <w:snapToGrid w:val="0"/>
              <w:jc w:val="center"/>
              <w:rPr>
                <w:rFonts w:ascii="宋体" w:hAnsi="宋体"/>
                <w:color w:val="000000"/>
                <w:kern w:val="0"/>
                <w:sz w:val="25"/>
                <w:szCs w:val="24"/>
              </w:rPr>
            </w:pPr>
            <w:r>
              <w:rPr>
                <w:rFonts w:ascii="Times New Roman" w:hAnsi="Times New Roman"/>
                <w:color w:val="000000"/>
                <w:kern w:val="0"/>
                <w:sz w:val="25"/>
                <w:szCs w:val="24"/>
              </w:rPr>
              <w:t>A类基金份额特定申购费率</w:t>
            </w:r>
          </w:p>
        </w:tc>
      </w:tr>
      <w:tr w14:paraId="27EB5393">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59E37272">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250AF9A1">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112ABC5F">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14:paraId="0F3C32DB">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33B4CC7E">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402B3C34">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1C1508ED">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14:paraId="3E7BA10E">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74E45D9B">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209F3637">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4247F338">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14:paraId="65AE85D8">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5E693DA5">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0AD0B5B2">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29BA644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14:paraId="59F68240">
        <w:tblPrEx>
          <w:tblCellMar>
            <w:top w:w="0" w:type="dxa"/>
            <w:left w:w="0" w:type="dxa"/>
            <w:bottom w:w="0" w:type="dxa"/>
            <w:right w:w="0" w:type="dxa"/>
          </w:tblCellMar>
        </w:tblPrEx>
        <w:trPr>
          <w:cantSplit/>
          <w:trHeight w:val="375" w:hRule="atLeast"/>
        </w:trPr>
        <w:tc>
          <w:tcPr>
            <w:tcW w:w="750" w:type="pct"/>
            <w:vMerge w:val="continue"/>
            <w:tcBorders>
              <w:top w:val="single" w:color="auto" w:sz="4" w:space="0"/>
              <w:left w:val="single" w:color="auto" w:sz="4" w:space="0"/>
              <w:bottom w:val="single" w:color="auto" w:sz="4" w:space="0"/>
              <w:right w:val="single" w:color="auto" w:sz="4" w:space="0"/>
            </w:tcBorders>
            <w:vAlign w:val="center"/>
          </w:tcPr>
          <w:p w14:paraId="31A6A87B">
            <w:pPr>
              <w:widowControl/>
              <w:snapToGrid w:val="0"/>
              <w:jc w:val="left"/>
              <w:rPr>
                <w:rFonts w:ascii="宋体" w:hAnsi="宋体"/>
                <w:color w:val="000000"/>
                <w:kern w:val="0"/>
                <w:sz w:val="25"/>
                <w:szCs w:val="24"/>
              </w:rPr>
            </w:pPr>
          </w:p>
        </w:tc>
        <w:tc>
          <w:tcPr>
            <w:tcW w:w="250" w:type="pct"/>
            <w:tcBorders>
              <w:top w:val="single" w:color="auto" w:sz="4" w:space="0"/>
              <w:left w:val="single" w:color="auto" w:sz="4" w:space="0"/>
              <w:bottom w:val="single" w:color="auto" w:sz="4" w:space="0"/>
              <w:right w:val="single" w:color="auto" w:sz="4" w:space="0"/>
            </w:tcBorders>
            <w:vAlign w:val="center"/>
          </w:tcPr>
          <w:p w14:paraId="220E17A1">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w:t>
            </w:r>
          </w:p>
        </w:tc>
        <w:tc>
          <w:tcPr>
            <w:tcW w:w="750" w:type="pct"/>
            <w:tcBorders>
              <w:top w:val="single" w:color="auto" w:sz="4" w:space="0"/>
              <w:left w:val="single" w:color="auto" w:sz="4" w:space="0"/>
              <w:bottom w:val="single" w:color="auto" w:sz="4" w:space="0"/>
              <w:right w:val="single" w:color="auto" w:sz="4" w:space="0"/>
            </w:tcBorders>
            <w:vAlign w:val="center"/>
          </w:tcPr>
          <w:p w14:paraId="774B578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每笔交易1000元</w:t>
            </w:r>
          </w:p>
        </w:tc>
      </w:tr>
    </w:tbl>
    <w:p w14:paraId="0BB9F3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通过基金管理人直销柜台申购本基金D类基金份额的养老金客户特定申购费率如下表：</w:t>
      </w:r>
    </w:p>
    <w:tbl>
      <w:tblPr>
        <w:tblStyle w:val="14"/>
        <w:tblW w:w="5000" w:type="pct"/>
        <w:tblInd w:w="0" w:type="dxa"/>
        <w:tblLayout w:type="autofit"/>
        <w:tblCellMar>
          <w:top w:w="0" w:type="dxa"/>
          <w:left w:w="0" w:type="dxa"/>
          <w:bottom w:w="0" w:type="dxa"/>
          <w:right w:w="0" w:type="dxa"/>
        </w:tblCellMar>
      </w:tblPr>
      <w:tblGrid>
        <w:gridCol w:w="2167"/>
        <w:gridCol w:w="6503"/>
      </w:tblGrid>
      <w:tr w14:paraId="1303ED2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46E0D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color="auto" w:sz="4" w:space="0"/>
              <w:left w:val="single" w:color="auto" w:sz="4" w:space="0"/>
              <w:bottom w:val="single" w:color="auto" w:sz="4" w:space="0"/>
              <w:right w:val="single" w:color="auto" w:sz="4" w:space="0"/>
            </w:tcBorders>
            <w:vAlign w:val="center"/>
          </w:tcPr>
          <w:p w14:paraId="28B7A0DC">
            <w:pPr>
              <w:widowControl/>
              <w:snapToGrid w:val="0"/>
              <w:jc w:val="center"/>
              <w:rPr>
                <w:rFonts w:ascii="宋体" w:hAnsi="宋体"/>
                <w:color w:val="000000"/>
                <w:kern w:val="0"/>
                <w:sz w:val="25"/>
                <w:szCs w:val="24"/>
              </w:rPr>
            </w:pPr>
            <w:r>
              <w:rPr>
                <w:rFonts w:ascii="Times New Roman" w:hAnsi="Times New Roman"/>
                <w:color w:val="000000"/>
                <w:kern w:val="0"/>
                <w:sz w:val="25"/>
                <w:szCs w:val="24"/>
              </w:rPr>
              <w:t>D类基金份额特定申购费率</w:t>
            </w:r>
          </w:p>
        </w:tc>
      </w:tr>
      <w:tr w14:paraId="6E9D3B8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95768FF">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50万元以下</w:t>
            </w:r>
          </w:p>
        </w:tc>
        <w:tc>
          <w:tcPr>
            <w:tcW w:w="750" w:type="pct"/>
            <w:tcBorders>
              <w:top w:val="single" w:color="auto" w:sz="4" w:space="0"/>
              <w:left w:val="single" w:color="auto" w:sz="4" w:space="0"/>
              <w:bottom w:val="single" w:color="auto" w:sz="4" w:space="0"/>
              <w:right w:val="single" w:color="auto" w:sz="4" w:space="0"/>
            </w:tcBorders>
            <w:vAlign w:val="center"/>
          </w:tcPr>
          <w:p w14:paraId="1E9DB791">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14:paraId="42216E5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2BD941">
            <w:pPr>
              <w:widowControl/>
              <w:snapToGrid w:val="0"/>
              <w:jc w:val="left"/>
              <w:rPr>
                <w:rFonts w:ascii="宋体" w:hAnsi="宋体"/>
                <w:color w:val="000000"/>
                <w:kern w:val="0"/>
                <w:sz w:val="25"/>
                <w:szCs w:val="24"/>
              </w:rPr>
            </w:pPr>
            <w:r>
              <w:rPr>
                <w:rFonts w:ascii="Times New Roman" w:hAnsi="Times New Roman"/>
                <w:color w:val="000000"/>
                <w:kern w:val="0"/>
                <w:sz w:val="25"/>
                <w:szCs w:val="24"/>
              </w:rPr>
              <w:t>50万元（含）至100万元</w:t>
            </w:r>
          </w:p>
        </w:tc>
        <w:tc>
          <w:tcPr>
            <w:tcW w:w="750" w:type="pct"/>
            <w:tcBorders>
              <w:top w:val="single" w:color="auto" w:sz="4" w:space="0"/>
              <w:left w:val="single" w:color="auto" w:sz="4" w:space="0"/>
              <w:bottom w:val="single" w:color="auto" w:sz="4" w:space="0"/>
              <w:right w:val="single" w:color="auto" w:sz="4" w:space="0"/>
            </w:tcBorders>
            <w:vAlign w:val="center"/>
          </w:tcPr>
          <w:p w14:paraId="3208E008">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14:paraId="45AB3E5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8F9B2C2">
            <w:pPr>
              <w:widowControl/>
              <w:snapToGrid w:val="0"/>
              <w:jc w:val="left"/>
              <w:rPr>
                <w:rFonts w:ascii="宋体" w:hAnsi="宋体"/>
                <w:color w:val="000000"/>
                <w:kern w:val="0"/>
                <w:sz w:val="25"/>
                <w:szCs w:val="24"/>
              </w:rPr>
            </w:pPr>
            <w:r>
              <w:rPr>
                <w:rFonts w:ascii="Times New Roman" w:hAnsi="Times New Roman"/>
                <w:color w:val="000000"/>
                <w:kern w:val="0"/>
                <w:sz w:val="25"/>
                <w:szCs w:val="24"/>
              </w:rPr>
              <w:t>100万元（含）至200万元</w:t>
            </w:r>
          </w:p>
        </w:tc>
        <w:tc>
          <w:tcPr>
            <w:tcW w:w="750" w:type="pct"/>
            <w:tcBorders>
              <w:top w:val="single" w:color="auto" w:sz="4" w:space="0"/>
              <w:left w:val="single" w:color="auto" w:sz="4" w:space="0"/>
              <w:bottom w:val="single" w:color="auto" w:sz="4" w:space="0"/>
              <w:right w:val="single" w:color="auto" w:sz="4" w:space="0"/>
            </w:tcBorders>
            <w:vAlign w:val="center"/>
          </w:tcPr>
          <w:p w14:paraId="2721CAF3">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14:paraId="046FDF4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BEECCAC">
            <w:pPr>
              <w:widowControl/>
              <w:snapToGrid w:val="0"/>
              <w:jc w:val="left"/>
              <w:rPr>
                <w:rFonts w:ascii="宋体" w:hAnsi="宋体"/>
                <w:color w:val="000000"/>
                <w:kern w:val="0"/>
                <w:sz w:val="25"/>
                <w:szCs w:val="24"/>
              </w:rPr>
            </w:pPr>
            <w:r>
              <w:rPr>
                <w:rFonts w:ascii="Times New Roman" w:hAnsi="Times New Roman"/>
                <w:color w:val="000000"/>
                <w:kern w:val="0"/>
                <w:sz w:val="25"/>
                <w:szCs w:val="24"/>
              </w:rPr>
              <w:t>200万元（含）至500万元</w:t>
            </w:r>
          </w:p>
        </w:tc>
        <w:tc>
          <w:tcPr>
            <w:tcW w:w="750" w:type="pct"/>
            <w:tcBorders>
              <w:top w:val="single" w:color="auto" w:sz="4" w:space="0"/>
              <w:left w:val="single" w:color="auto" w:sz="4" w:space="0"/>
              <w:bottom w:val="single" w:color="auto" w:sz="4" w:space="0"/>
              <w:right w:val="single" w:color="auto" w:sz="4" w:space="0"/>
            </w:tcBorders>
            <w:vAlign w:val="center"/>
          </w:tcPr>
          <w:p w14:paraId="1E7EE6D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14:paraId="15909D1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2089D80">
            <w:pPr>
              <w:widowControl/>
              <w:snapToGrid w:val="0"/>
              <w:jc w:val="left"/>
              <w:rPr>
                <w:rFonts w:ascii="宋体" w:hAnsi="宋体"/>
                <w:color w:val="000000"/>
                <w:kern w:val="0"/>
                <w:sz w:val="25"/>
                <w:szCs w:val="24"/>
              </w:rPr>
            </w:pPr>
            <w:r>
              <w:rPr>
                <w:rFonts w:ascii="Times New Roman" w:hAnsi="Times New Roman"/>
                <w:color w:val="000000"/>
                <w:kern w:val="0"/>
                <w:sz w:val="25"/>
                <w:szCs w:val="24"/>
              </w:rPr>
              <w:t>500万元以上（含500万元）</w:t>
            </w:r>
          </w:p>
        </w:tc>
        <w:tc>
          <w:tcPr>
            <w:tcW w:w="750" w:type="pct"/>
            <w:tcBorders>
              <w:top w:val="single" w:color="auto" w:sz="4" w:space="0"/>
              <w:left w:val="single" w:color="auto" w:sz="4" w:space="0"/>
              <w:bottom w:val="single" w:color="auto" w:sz="4" w:space="0"/>
              <w:right w:val="single" w:color="auto" w:sz="4" w:space="0"/>
            </w:tcBorders>
            <w:vAlign w:val="center"/>
          </w:tcPr>
          <w:p w14:paraId="309C89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每笔交易1200元</w:t>
            </w:r>
          </w:p>
        </w:tc>
      </w:tr>
    </w:tbl>
    <w:p w14:paraId="3000AB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14:paraId="44B373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14:paraId="429696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2、赎回费用</w:t>
      </w:r>
    </w:p>
    <w:p w14:paraId="377817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由各类基金份额赎回人承担，赎回费用的25%归基金财产，其余用于支付登记结算费和其他必要的手续费。投资人赎回各类基金份额收取赎回费用，该费用随基金份额的持有时间递减。其中，对持续持有期少于7日的基金份额持有人收取不低于1.5%的赎回费并全额计入基金财产。</w:t>
      </w:r>
    </w:p>
    <w:p w14:paraId="30457B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本基金A/B类基金份额的赎回费率如下：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51DF0D0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8EE46FD">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14:paraId="228B20C8">
            <w:pPr>
              <w:widowControl/>
              <w:snapToGrid w:val="0"/>
              <w:jc w:val="center"/>
              <w:rPr>
                <w:rFonts w:ascii="宋体" w:hAnsi="宋体"/>
                <w:color w:val="000000"/>
                <w:kern w:val="0"/>
                <w:sz w:val="25"/>
                <w:szCs w:val="24"/>
              </w:rPr>
            </w:pPr>
            <w:r>
              <w:rPr>
                <w:rFonts w:ascii="Times New Roman" w:hAnsi="Times New Roman"/>
                <w:color w:val="000000"/>
                <w:kern w:val="0"/>
                <w:sz w:val="25"/>
                <w:szCs w:val="24"/>
              </w:rPr>
              <w:t>A/B类基金份额赎回费率</w:t>
            </w:r>
          </w:p>
        </w:tc>
      </w:tr>
      <w:tr w14:paraId="6210B43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82F7F1">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14:paraId="2F079D5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14:paraId="092F6EC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7A8E7E">
            <w:pPr>
              <w:widowControl/>
              <w:snapToGrid w:val="0"/>
              <w:jc w:val="left"/>
              <w:rPr>
                <w:rFonts w:ascii="宋体" w:hAnsi="宋体"/>
                <w:color w:val="000000"/>
                <w:kern w:val="0"/>
                <w:sz w:val="25"/>
                <w:szCs w:val="24"/>
              </w:rPr>
            </w:pPr>
            <w:r>
              <w:rPr>
                <w:rFonts w:ascii="Times New Roman" w:hAnsi="Times New Roman"/>
                <w:color w:val="000000"/>
                <w:kern w:val="0"/>
                <w:sz w:val="25"/>
                <w:szCs w:val="24"/>
              </w:rPr>
              <w:t>7日（含）至1年（含）</w:t>
            </w:r>
          </w:p>
        </w:tc>
        <w:tc>
          <w:tcPr>
            <w:tcW w:w="750" w:type="pct"/>
            <w:tcBorders>
              <w:top w:val="single" w:color="auto" w:sz="4" w:space="0"/>
              <w:left w:val="single" w:color="auto" w:sz="4" w:space="0"/>
              <w:bottom w:val="single" w:color="auto" w:sz="4" w:space="0"/>
              <w:right w:val="single" w:color="auto" w:sz="4" w:space="0"/>
            </w:tcBorders>
            <w:vAlign w:val="center"/>
          </w:tcPr>
          <w:p w14:paraId="02A89983">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14:paraId="3D0888C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0F1130">
            <w:pPr>
              <w:widowControl/>
              <w:snapToGrid w:val="0"/>
              <w:jc w:val="left"/>
              <w:rPr>
                <w:rFonts w:ascii="宋体" w:hAnsi="宋体"/>
                <w:color w:val="000000"/>
                <w:kern w:val="0"/>
                <w:sz w:val="25"/>
                <w:szCs w:val="24"/>
              </w:rPr>
            </w:pPr>
            <w:r>
              <w:rPr>
                <w:rFonts w:ascii="Times New Roman" w:hAnsi="Times New Roman"/>
                <w:color w:val="000000"/>
                <w:kern w:val="0"/>
                <w:sz w:val="25"/>
                <w:szCs w:val="24"/>
              </w:rPr>
              <w:t>1年至2年（含）</w:t>
            </w:r>
          </w:p>
        </w:tc>
        <w:tc>
          <w:tcPr>
            <w:tcW w:w="750" w:type="pct"/>
            <w:tcBorders>
              <w:top w:val="single" w:color="auto" w:sz="4" w:space="0"/>
              <w:left w:val="single" w:color="auto" w:sz="4" w:space="0"/>
              <w:bottom w:val="single" w:color="auto" w:sz="4" w:space="0"/>
              <w:right w:val="single" w:color="auto" w:sz="4" w:space="0"/>
            </w:tcBorders>
            <w:vAlign w:val="center"/>
          </w:tcPr>
          <w:p w14:paraId="30014006">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14:paraId="76069F4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B92AA3B">
            <w:pPr>
              <w:widowControl/>
              <w:snapToGrid w:val="0"/>
              <w:jc w:val="left"/>
              <w:rPr>
                <w:rFonts w:ascii="宋体" w:hAnsi="宋体"/>
                <w:color w:val="000000"/>
                <w:kern w:val="0"/>
                <w:sz w:val="25"/>
                <w:szCs w:val="24"/>
              </w:rPr>
            </w:pPr>
            <w:r>
              <w:rPr>
                <w:rFonts w:ascii="Times New Roman" w:hAnsi="Times New Roman"/>
                <w:color w:val="000000"/>
                <w:kern w:val="0"/>
                <w:sz w:val="25"/>
                <w:szCs w:val="24"/>
              </w:rPr>
              <w:t>2年以上</w:t>
            </w:r>
          </w:p>
        </w:tc>
        <w:tc>
          <w:tcPr>
            <w:tcW w:w="750" w:type="pct"/>
            <w:tcBorders>
              <w:top w:val="single" w:color="auto" w:sz="4" w:space="0"/>
              <w:left w:val="single" w:color="auto" w:sz="4" w:space="0"/>
              <w:bottom w:val="single" w:color="auto" w:sz="4" w:space="0"/>
              <w:right w:val="single" w:color="auto" w:sz="4" w:space="0"/>
            </w:tcBorders>
            <w:vAlign w:val="center"/>
          </w:tcPr>
          <w:p w14:paraId="420CDB8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w:t>
            </w:r>
          </w:p>
        </w:tc>
      </w:tr>
    </w:tbl>
    <w:p w14:paraId="2D9CBE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本基金C/D类基金份额的赎回费率如下：</w:t>
      </w:r>
    </w:p>
    <w:tbl>
      <w:tblPr>
        <w:tblStyle w:val="14"/>
        <w:tblW w:w="5000" w:type="pct"/>
        <w:tblInd w:w="0" w:type="dxa"/>
        <w:tblLayout w:type="autofit"/>
        <w:tblCellMar>
          <w:top w:w="0" w:type="dxa"/>
          <w:left w:w="0" w:type="dxa"/>
          <w:bottom w:w="0" w:type="dxa"/>
          <w:right w:w="0" w:type="dxa"/>
        </w:tblCellMar>
      </w:tblPr>
      <w:tblGrid>
        <w:gridCol w:w="2167"/>
        <w:gridCol w:w="6503"/>
      </w:tblGrid>
      <w:tr w14:paraId="250D17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371F3F1">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color="auto" w:sz="4" w:space="0"/>
              <w:left w:val="single" w:color="auto" w:sz="4" w:space="0"/>
              <w:bottom w:val="single" w:color="auto" w:sz="4" w:space="0"/>
              <w:right w:val="single" w:color="auto" w:sz="4" w:space="0"/>
            </w:tcBorders>
            <w:vAlign w:val="center"/>
          </w:tcPr>
          <w:p w14:paraId="1005B99E">
            <w:pPr>
              <w:widowControl/>
              <w:snapToGrid w:val="0"/>
              <w:jc w:val="center"/>
              <w:rPr>
                <w:rFonts w:ascii="宋体" w:hAnsi="宋体"/>
                <w:color w:val="000000"/>
                <w:kern w:val="0"/>
                <w:sz w:val="25"/>
                <w:szCs w:val="24"/>
              </w:rPr>
            </w:pPr>
            <w:r>
              <w:rPr>
                <w:rFonts w:ascii="Times New Roman" w:hAnsi="Times New Roman"/>
                <w:color w:val="000000"/>
                <w:kern w:val="0"/>
                <w:sz w:val="25"/>
                <w:szCs w:val="24"/>
              </w:rPr>
              <w:t>C/D类基金份额赎回费率</w:t>
            </w:r>
          </w:p>
        </w:tc>
      </w:tr>
      <w:tr w14:paraId="3BC47DD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D263067">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7日以内</w:t>
            </w:r>
          </w:p>
        </w:tc>
        <w:tc>
          <w:tcPr>
            <w:tcW w:w="750" w:type="pct"/>
            <w:tcBorders>
              <w:top w:val="single" w:color="auto" w:sz="4" w:space="0"/>
              <w:left w:val="single" w:color="auto" w:sz="4" w:space="0"/>
              <w:bottom w:val="single" w:color="auto" w:sz="4" w:space="0"/>
              <w:right w:val="single" w:color="auto" w:sz="4" w:space="0"/>
            </w:tcBorders>
            <w:vAlign w:val="center"/>
          </w:tcPr>
          <w:p w14:paraId="2C62D97A">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14:paraId="56FE698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E74E4CD">
            <w:pPr>
              <w:widowControl/>
              <w:snapToGrid w:val="0"/>
              <w:jc w:val="left"/>
              <w:rPr>
                <w:rFonts w:ascii="宋体" w:hAnsi="宋体"/>
                <w:color w:val="000000"/>
                <w:kern w:val="0"/>
                <w:sz w:val="25"/>
                <w:szCs w:val="24"/>
              </w:rPr>
            </w:pPr>
            <w:r>
              <w:rPr>
                <w:rFonts w:ascii="Times New Roman" w:hAnsi="Times New Roman"/>
                <w:color w:val="000000"/>
                <w:kern w:val="0"/>
                <w:sz w:val="25"/>
                <w:szCs w:val="24"/>
              </w:rPr>
              <w:t>7日以上（含）</w:t>
            </w:r>
          </w:p>
        </w:tc>
        <w:tc>
          <w:tcPr>
            <w:tcW w:w="750" w:type="pct"/>
            <w:tcBorders>
              <w:top w:val="single" w:color="auto" w:sz="4" w:space="0"/>
              <w:left w:val="single" w:color="auto" w:sz="4" w:space="0"/>
              <w:bottom w:val="single" w:color="auto" w:sz="4" w:space="0"/>
              <w:right w:val="single" w:color="auto" w:sz="4" w:space="0"/>
            </w:tcBorders>
            <w:vAlign w:val="center"/>
          </w:tcPr>
          <w:p w14:paraId="0F5FD2C3">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14:paraId="23ADD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可以根据法律法规及基金合同的规定调整基金份额的申购费率和赎回费率，最新的申购费率和赎回费率在更新的招募说明书中列示。费率如发生变更，基金管理人最迟应于新的费率开始实施日前依照《信息披露办法》的有关规定在指定媒介上公告。</w:t>
      </w:r>
    </w:p>
    <w:p w14:paraId="74A8C1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（七）申购和赎回的数额和价格</w:t>
      </w:r>
    </w:p>
    <w:p w14:paraId="346679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1、申购和赎回数额、余额的处理方式</w:t>
      </w:r>
    </w:p>
    <w:p w14:paraId="7FA8A6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份额余额的处理方式：场外申购时，申购的有效份额为按实际确认的申购金额在扣除相应的费用后，以申请当日A/B/D类基金份额净值为基准计算，四舍五入保留到小数点后两位，由此误差产生的收益或损失由基金财产承担；场内申购时，申购的有效份额为按实际确认的申购金额在扣除相应的费用后，以申请当日A/B类基金份额净值为基准计算，保留到整数位，非整数份额部分对应金额返回投资人。</w:t>
      </w:r>
    </w:p>
    <w:p w14:paraId="4CA3F2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金额的处理方式：赎回金额为按实际确认的各类基金份额的有效赎回份额乘以申请当日该类基金份额净值并扣除相应的费用，四舍五入保留到小数点后两位，由此误差产生的收益或损失由基金财产承担。</w:t>
      </w:r>
    </w:p>
    <w:p w14:paraId="2363C0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2、申购份额的计算</w:t>
      </w:r>
    </w:p>
    <w:p w14:paraId="3523F5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（1）A类基金份额的申购</w:t>
      </w:r>
    </w:p>
    <w:p w14:paraId="097931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5D1647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14:paraId="2DADBA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14:paraId="3CCA8E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5" o:spt="75" type="#_x0000_t75" style="height:65.25pt;width:288.75pt;" filled="f" o:preferrelative="t" stroked="f" coordsize="21600,21600">
            <v:path/>
            <v:fill on="f" focussize="0,0"/>
            <v:stroke on="f" joinstyle="miter"/>
            <v:imagedata r:id="rId13" o:title="1521256610242020828"/>
            <o:lock v:ext="edit" aspectratio="t"/>
            <w10:wrap type="none"/>
            <w10:anchorlock/>
          </v:shape>
        </w:pict>
      </w:r>
    </w:p>
    <w:p w14:paraId="401345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例一：某投资人投资4万元申购本基金的A类基金份额，申购费率为0.8%，假设申购当日A/B类基金份额净值为1.0400元，则其可得到的申购份额为：</w:t>
      </w:r>
    </w:p>
    <w:p w14:paraId="77D2C0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申购总金额＝40,000元</w:t>
      </w:r>
    </w:p>
    <w:p w14:paraId="0EF8AC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净申购金额=40,000/（1+0.8%）=39,682.54元</w:t>
      </w:r>
    </w:p>
    <w:p w14:paraId="3A98AE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申购费用=40,000-39,682.54=317.46元</w:t>
      </w:r>
    </w:p>
    <w:p w14:paraId="134625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申购份额=（40,000-317.46）/1.0400=38,156.29份</w:t>
      </w:r>
    </w:p>
    <w:p w14:paraId="0232FA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如果投资人是场内申购，申购份额为38,156份，其余0.29份对应金额返回给投资人。</w:t>
      </w:r>
    </w:p>
    <w:p w14:paraId="1047BD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（2）B类基金份额的申购</w:t>
      </w:r>
    </w:p>
    <w:p w14:paraId="40CCBE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6EA428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w:t>
      </w:r>
      <w:r>
        <w:rPr>
          <w:rFonts w:ascii="宋体" w:hAnsi="宋体"/>
          <w:kern w:val="0"/>
          <w:sz w:val="24"/>
        </w:rPr>
        <w:pict>
          <v:shape id="_x0000_i1026" o:spt="75" type="#_x0000_t75" style="height:65.25pt;width:288.75pt;" filled="f" o:preferrelative="t" stroked="f" coordsize="21600,21600">
            <v:path/>
            <v:fill on="f" focussize="0,0"/>
            <v:stroke on="f" joinstyle="miter"/>
            <v:imagedata r:id="rId14" o:title="1521256610242020828"/>
            <o:lock v:ext="edit" aspectratio="t"/>
            <w10:wrap type="none"/>
            <w10:anchorlock/>
          </v:shape>
        </w:pict>
      </w:r>
    </w:p>
    <w:p w14:paraId="1BE21E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当投资人提出赎回时，后端认购费用的计算方法为：</w:t>
      </w:r>
    </w:p>
    <w:p w14:paraId="7428FA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后端申购费用＝赎回份额×T日A/B类基金份额净值×后端申购费率</w:t>
      </w:r>
    </w:p>
    <w:p w14:paraId="160A7D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例二：某投资人投资4万元申购本基金的B类基金份额，假设申购当日A/B类基金份额净值为1.0400元，则其可得到的申购份额为：</w:t>
      </w:r>
    </w:p>
    <w:p w14:paraId="0C5D20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申购份额＝40,000/1.0400＝38,461.54份</w:t>
      </w:r>
    </w:p>
    <w:p w14:paraId="13EDC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即：投资人投资4万元申购本基金的B类基金份额，假设申购当日A/B类基金份额净值为1.0400元，则可得到38,461.54份B类基金份额，但其在赎回时需根据其持有时间按对应的后端申购费率交纳后端申购费用。</w:t>
      </w:r>
    </w:p>
    <w:p w14:paraId="317E3F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（3）C类基金份额的申购</w:t>
      </w:r>
    </w:p>
    <w:p w14:paraId="343771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如果投资人选择申购C类基金份额，则申购份额的计算方法如下：</w:t>
      </w:r>
    </w:p>
    <w:p w14:paraId="311079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4C2FD9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申购份额=申购总金额/T日C类基金份额净值</w:t>
      </w:r>
    </w:p>
    <w:p w14:paraId="2D3551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例三：某投资人投资4万元申购本基金的C类基金份额，假设申购当日C类基金份额净值为1.0400元，则其可得到的申购份额为：</w:t>
      </w:r>
    </w:p>
    <w:p w14:paraId="2CD749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申购份额＝40,000/1.0400＝38,461.54份</w:t>
      </w:r>
    </w:p>
    <w:p w14:paraId="79B122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即：投资人投资4万元申购本基金的C类基金份额，假设申购当日C类基金份额净值为1.0400元，则其可得到38,461.54 份C类基金份额。</w:t>
      </w:r>
    </w:p>
    <w:p w14:paraId="47A762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（4）D类基金份额的申购</w:t>
      </w:r>
    </w:p>
    <w:p w14:paraId="2423BF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如果投资者选择申购D类基金份额，则申购份额的计算方法如下：</w:t>
      </w:r>
    </w:p>
    <w:p w14:paraId="11E732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申购总金额=申请总金额</w:t>
      </w:r>
    </w:p>
    <w:p w14:paraId="7C1F29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净申购金额=申购总金额/（1+申购费率）</w:t>
      </w:r>
    </w:p>
    <w:p w14:paraId="468BD0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申购费用=申购总金额-净申购金额</w:t>
      </w:r>
    </w:p>
    <w:p w14:paraId="0DD527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申购份额=净申购金额/T日D类基金份额净值</w:t>
      </w:r>
    </w:p>
    <w:p w14:paraId="05B68D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例四：某投资者（非养老金客户）投资10万元申购本基金的D类基金份额，假设申购当日D类基金份额净值为1.0400元，申购费率为0.9%，则其可得到的申购份额为：</w:t>
      </w:r>
    </w:p>
    <w:p w14:paraId="045E4F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申购总金额＝100,000元</w:t>
      </w:r>
    </w:p>
    <w:p w14:paraId="22945F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净申购金额=100,000/（1+0.9%）=99,108.03元</w:t>
      </w:r>
    </w:p>
    <w:p w14:paraId="4005EA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申购费用=100,000-99,108.03=891.97元</w:t>
      </w:r>
    </w:p>
    <w:p w14:paraId="60A18F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申购份额=99,108.03/1.0400=95,296.18份</w:t>
      </w:r>
    </w:p>
    <w:p w14:paraId="5794D1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即：某投资者（非养老金客户）投资10万元申购本基金D类基金份额，假设申购当日D类基金份额净值为1.0400元，则其可得到95,296.18份D类基金份额。</w:t>
      </w:r>
    </w:p>
    <w:p w14:paraId="0C1EAA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3、赎回金额的计算</w:t>
      </w:r>
    </w:p>
    <w:p w14:paraId="1B2531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赎回金额为按实际确认的各类基金份额有效赎回份额乘以当日该类基金份额净值并扣除相应的费用，赎回金额单位为元，计算结果保留到小数点后两位，第三位四舍五入。</w:t>
      </w:r>
    </w:p>
    <w:p w14:paraId="0202BB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（1）A类基金份额的赎回</w:t>
      </w:r>
    </w:p>
    <w:p w14:paraId="399730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如果投资人赎回A类基金份额，则赎回金额的计算方法如下：</w:t>
      </w:r>
    </w:p>
    <w:p w14:paraId="2A4AA1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赎回费用=赎回份额×T日A/B类基金份额净值×赎回费率</w:t>
      </w:r>
    </w:p>
    <w:p w14:paraId="0888D2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赎回金额=赎回份额×T日A/B类基金份额净值-赎回费用</w:t>
      </w:r>
    </w:p>
    <w:p w14:paraId="17612B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例五：某投资人赎回1万份A类基金份额，对应的赎回费率为0.10%，假设赎回当日A/B类基金份额净值是1.0160元，则其可得到的赎回金额为：</w:t>
      </w:r>
    </w:p>
    <w:p w14:paraId="20CE08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 = 10,000×1.0160×0.10%＝10.16元</w:t>
      </w:r>
    </w:p>
    <w:p w14:paraId="582987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 = 10,000×1.0160-10.16＝10,149.84元</w:t>
      </w:r>
    </w:p>
    <w:p w14:paraId="14EC37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即：投资人赎回本基金1万份A类基金份额，假设赎回当日A/B类基金份额净值是1.0160元，则其可得到的赎回金额为10,149.84元。</w:t>
      </w:r>
    </w:p>
    <w:p w14:paraId="29B179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（2）B类基金份额的赎回</w:t>
      </w:r>
    </w:p>
    <w:p w14:paraId="77E6D8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如果投资人赎回B类基金份额，则赎回金额的计算方法如下：</w:t>
      </w:r>
    </w:p>
    <w:p w14:paraId="416350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赎回总额＝赎回份额×T日A/B类基金份额净值</w:t>
      </w:r>
    </w:p>
    <w:p w14:paraId="725323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后端认（申）购费用＝赎回份额×认（申）购日A/B类基金份额净值×后端认（申）购费率</w:t>
      </w:r>
    </w:p>
    <w:p w14:paraId="59C796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赎回费用＝赎回总额×赎回费率</w:t>
      </w:r>
    </w:p>
    <w:p w14:paraId="03A0E0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赎回金额＝赎回总额－后端认（申）购费用－赎回费用</w:t>
      </w:r>
    </w:p>
    <w:p w14:paraId="7B2380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例六：某投资人赎回1万份B类基金份额，对应的赎回费率为0.05%，假设赎回当日A/B类基金份额净值是1.0160元，投资人对应的后端申购费是0.6%，申购时的A/B类基金份额净值为1.0100元，则其可得到的赎回金额为：</w:t>
      </w:r>
    </w:p>
    <w:p w14:paraId="43F6CE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赎回总额=10,000×1.0160=10,160元</w:t>
      </w:r>
    </w:p>
    <w:p w14:paraId="030081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后端申购费用=10,000×1.0100×0.6%=60.60元</w:t>
      </w:r>
    </w:p>
    <w:p w14:paraId="2E1259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赎回费用=10,160×0.05%=5.80元</w:t>
      </w:r>
    </w:p>
    <w:p w14:paraId="1F4D6B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赎回金额=10,160-60.60-5.80=10,093.60元</w:t>
      </w:r>
    </w:p>
    <w:p w14:paraId="59B47F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万份B类基金份额，对应的赎回费率为0.05%，假设赎回当日A/B类基金份额净值是1.0160元，投资人对应的后端申购费是0.6%，申购时的A/B类基金份额净值为1.0100元，则其可得到的赎回金额为10,093.60元。</w:t>
      </w:r>
    </w:p>
    <w:p w14:paraId="76BCFB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（3）C类基金份额的赎回</w:t>
      </w:r>
    </w:p>
    <w:p w14:paraId="678D15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投资人赎回C类基金份额，赎回金额的计算方法如下：</w:t>
      </w:r>
    </w:p>
    <w:p w14:paraId="4CF11B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赎回金额=赎回份数×赎回当日C类基金份额净值</w:t>
      </w:r>
    </w:p>
    <w:p w14:paraId="671775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例七：某投资人赎回本基金1万份C类基金份额，持有期限为30日，对应的赎回费率为0，假设赎回当日C类基金份额净值是1.2500元，则其可得到的赎回金额为：</w:t>
      </w:r>
    </w:p>
    <w:p w14:paraId="1094C0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赎回费用=10,000×1.2500×0＝0元</w:t>
      </w:r>
    </w:p>
    <w:p w14:paraId="657ACF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赎回金额=10,000×1.2500-0=12,500 元</w:t>
      </w:r>
    </w:p>
    <w:p w14:paraId="54A9F3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即：投资人赎回本基金1万份C类基金份额，对应的赎回费率为0，假设赎回当日C类基金份额净值是1.2500元，则其可得到的赎回金额为12,500元。</w:t>
      </w:r>
    </w:p>
    <w:p w14:paraId="39F2BB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（4）D类基金份额的赎回</w:t>
      </w:r>
    </w:p>
    <w:p w14:paraId="471E65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投资人赎回D类基金份额，赎回金额的计算方法如下：</w:t>
      </w:r>
    </w:p>
    <w:p w14:paraId="7B5842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赎回金额=赎回份数×赎回当日D类基金份额净值</w:t>
      </w:r>
    </w:p>
    <w:p w14:paraId="70F307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例八：某投资人赎回本基金1万份D类基金份额，持有期限为30日，对应的赎回费率为0，假设赎回当日D类基金份额净值是1.2500元，则其可得到的赎回金额为：</w:t>
      </w:r>
    </w:p>
    <w:p w14:paraId="41EFC2B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赎回费用=10,000×1.2500×0＝0元</w:t>
      </w:r>
    </w:p>
    <w:p w14:paraId="62DF231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赎回金额=10,000×1.2500-0=12,500 元</w:t>
      </w:r>
    </w:p>
    <w:p w14:paraId="30C897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即：投资人赎回本基金1万份D类基金份额，对应的赎回费率为0，假设赎回当日D类基金份额净值是1.2500元，则其可得到的赎回金额为12,500元。</w:t>
      </w:r>
    </w:p>
    <w:p w14:paraId="13F0FF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4、基金份额净值的计算公式</w:t>
      </w:r>
    </w:p>
    <w:p w14:paraId="51D202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A/B类基金份额净值＝A/B类基金份额的基金资产净值/发售在外的A/B类基金份额总数。</w:t>
      </w:r>
    </w:p>
    <w:p w14:paraId="61ECF9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C类基金份额净值＝C类基金份额的基金资产净值/发售在外的C类基金份额总数。</w:t>
      </w:r>
    </w:p>
    <w:p w14:paraId="06A305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D类基金份额净值＝D类基金份额的基金资产净值/发售在外的D类基金份额总数。</w:t>
      </w:r>
    </w:p>
    <w:p w14:paraId="4E4E49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本基金不同类别基金份额T日的基金份额净值在当天收市后分别计算，并在T＋1日分别公告。遇特殊情况，经中国证监会同意，可以适当延迟计算或公告。</w:t>
      </w:r>
    </w:p>
    <w:p w14:paraId="1B46A2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（八）拒绝或暂停申购的情形及处理方式</w:t>
      </w:r>
    </w:p>
    <w:p w14:paraId="52BF38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发生下列情况时，基金管理人可拒绝或暂停接受投资人的申购申请：</w:t>
      </w:r>
    </w:p>
    <w:p w14:paraId="2B9EFC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14:paraId="66E022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2、证券交易场所在交易时间非正常停市，导致基金管理人无法计算当日的基金资产净值；</w:t>
      </w:r>
    </w:p>
    <w:p w14:paraId="3127E2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3、发生基金合同规定的暂停基金资产估值情况；</w:t>
      </w:r>
    </w:p>
    <w:p w14:paraId="676896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4、基金管理人认为接受某笔或某些申购申请可能会影响或损害现有基金份额持有人利益时；</w:t>
      </w:r>
    </w:p>
    <w:p w14:paraId="17C1D8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5、基金财产规模过大，使基金管理人无法找到合适的投资品种，或其他可能对基金业绩产生负面影响，从而损害现有基金份额持有人利益的情形；</w:t>
      </w:r>
    </w:p>
    <w:p w14:paraId="21D257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14:paraId="00F1DD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14:paraId="7F6166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8、法律法规规定或中国证监会认定的其他可暂停申购的情形。</w:t>
      </w:r>
    </w:p>
    <w:p w14:paraId="0E88E5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第1项至第3项以及第5项、第6项、第8项所述情形时，基金管理人应当根据有关规定在指定媒介上刊登暂停申购公告。如果投资人的申购申请被拒绝，被拒绝的申购款项将全额退还投资人。在暂停申购的情况消除时，基金管理人应及时恢复申购业务的办理。</w:t>
      </w:r>
    </w:p>
    <w:p w14:paraId="4EC733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（九）暂停赎回或者延缓支付赎回款项的情形及处理方式</w:t>
      </w:r>
    </w:p>
    <w:p w14:paraId="186379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发生下列情形时，基金管理人可暂停接受投资人的赎回申请或延缓支付赎回款项：</w:t>
      </w:r>
    </w:p>
    <w:p w14:paraId="2709E6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1、因不可抗力导致基金无法正常运作；</w:t>
      </w:r>
    </w:p>
    <w:p w14:paraId="7B625F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2、证券交易场所交易时间非正常停市，导致基金管理人无法计算当日基金资产净值；</w:t>
      </w:r>
    </w:p>
    <w:p w14:paraId="2B7163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3、连续两个或两个以上开放日发生巨额赎回；</w:t>
      </w:r>
    </w:p>
    <w:p w14:paraId="17A0FC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4、发生基金合同规定的暂停基金资产估值情况；</w:t>
      </w:r>
    </w:p>
    <w:p w14:paraId="5A3504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14:paraId="71E5E9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6、法律法规规定或中国证监会认定的其他情形。</w:t>
      </w:r>
    </w:p>
    <w:p w14:paraId="385042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各类基金份额净值为依据计算赎回金额，若连续两个或两个以上开放日发生巨额赎回，延期支付最长不得超过20个工作日，并在指定媒介上公告。投资人在申请赎回时可事先选择将当日可能未获受理部分予以撤销。在暂停赎回的情况消除时，基金管理人应及时恢复赎回业务的办理并予以公告。</w:t>
      </w:r>
    </w:p>
    <w:p w14:paraId="578383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暂停基金的赎回，基金管理人应根据《信息披露办法》的有关规定及时在指定媒介上刊登暂停赎回公告。</w:t>
      </w:r>
    </w:p>
    <w:p w14:paraId="5BA9D7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（十）巨额赎回的情形及处理方式</w:t>
      </w:r>
    </w:p>
    <w:p w14:paraId="0A182D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1、巨额赎回的认定</w:t>
      </w:r>
    </w:p>
    <w:p w14:paraId="1FC59A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个开放日内的基金净赎回申请份额（赎回申请份额总数加上基金转换中转出申请份额份额总数扣除申购申请份额总数及基金转换中转入申请份额总数后的余额）超过上一日基金总份额的10%时，即认为发生了巨额赎回。</w:t>
      </w:r>
    </w:p>
    <w:p w14:paraId="66C361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2、巨额赎回的处理方式</w:t>
      </w:r>
    </w:p>
    <w:p w14:paraId="782CB8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14:paraId="6706B1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081F29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14:paraId="3761D6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14:paraId="007374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14:paraId="3D558F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14:paraId="04584A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的公告：当发生巨额赎回并延期赎回时，基金管理人应通过邮寄、传真、刊登公告或者通知代销机构代为告知等方式，在3个交易日内通知基金份额持有人，说明有关处理方法，并在2日内在指定媒介上刊登公告。</w:t>
      </w:r>
    </w:p>
    <w:p w14:paraId="7A221C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（十一）暂停申购或赎回的公告和重新开放申购或赎回的公告</w:t>
      </w:r>
    </w:p>
    <w:p w14:paraId="7B4043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1、发生上述暂停申购或赎回情况的，基金管理人应在规定期限内在指定媒介上刊登暂停公告。</w:t>
      </w:r>
    </w:p>
    <w:p w14:paraId="68A8F7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2、如发生暂停的时间为1日，基金管理人应于重新开放日，在指定媒介上刊登基金重新开放申购或赎回公告，并公布最近1个开放日的各类基金份额净值。</w:t>
      </w:r>
    </w:p>
    <w:p w14:paraId="617517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3、如发生暂停的时间超过1日，暂停结束，基金重新开放申购或赎回时，基金管理人应提前2日在指定媒介上刊登基金重新开放申购或赎回公告，并公告最近1个开放日的各类基金份额净值。</w:t>
      </w:r>
    </w:p>
    <w:p w14:paraId="79EDB0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（十二）转托管</w:t>
      </w:r>
    </w:p>
    <w:p w14:paraId="7F27F7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目前实行份额托管的交易制度。基金份额持有人可办理已持有基金份额在不同销售机构之间的转托管，对A类基金份额而言包括在上证所场内不同会员营业部之间进行转指定，也包括在上证所场内系统和场外系统之间进行跨市场转托管。</w:t>
      </w:r>
    </w:p>
    <w:p w14:paraId="6A940F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14:paraId="5A9A7C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（十三）定期定额投资计划</w:t>
      </w:r>
    </w:p>
    <w:p w14:paraId="0DB7B6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2008年5月7日刊登公告自2008年5月9日起开通A/B类、C类基金份额的定期定额投资计划业务，本基金2025年3月28日刊登公告自2025年3月31日起增设D类基金份额并开通D类基金份额的定期定额投资计划业务，具体开通销售机构名单和业务规则参见相关公告。</w:t>
      </w:r>
    </w:p>
    <w:p w14:paraId="6CD45E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（十四）定期定额赎回业务</w:t>
      </w:r>
    </w:p>
    <w:p w14:paraId="1B70C8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通过中国农业银行股份有限公司申请办理本基金的定期定额赎回业务。定期定额赎回业务是指投资人可以委托中国农业银行股份有限公司每月固定时间从指定的基金账户代投资人赎回固定份额的基金。本基金2008年5月16日刊登公告自即日起在中国农业银行股份有限公司下属各代销网点开通定期定额赎回业务。</w:t>
      </w:r>
    </w:p>
    <w:p w14:paraId="4902CD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通过中国农业银行股份有限公司办理本基金的定期定额赎回业务，相关流程和业务规则遵循中国农业银行股份有限公司的有关规定。详情请咨询当地中国农业银行股份有限公司的代销网点或中国农业银行股份有限公司客户服务热线（95599）。</w:t>
      </w:r>
    </w:p>
    <w:p w14:paraId="51927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（十五）基金的非交易过户</w:t>
      </w:r>
    </w:p>
    <w:p w14:paraId="387267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的非交易过户是指基金登记结算机构受理继承、捐赠和司法强制执行而产生的非交易过户以及登记结算机构认可、符合法律法规的其它非交易过户。无论在上述何种情况下，接受划转的主体必须是依法可以持有本基金基金份额的投资人。</w:t>
      </w:r>
    </w:p>
    <w:p w14:paraId="367EAA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结算机构要求提供的相关资料，对于符合条件的非交易过户申请按基金登记结算机构的规定办理，并按基金登记结算机构规定的标准收费。</w:t>
      </w:r>
    </w:p>
    <w:p w14:paraId="2E44EE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（十六）基金的冻结和解冻</w:t>
      </w:r>
    </w:p>
    <w:p w14:paraId="1EBC44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基金登记结算机构只受理国家有权机关依法要求的基金份额的冻结与解冻，以及登记结算机构认可、符合法律法规的其他情况下的基金份额的冻结与解冻。</w:t>
      </w:r>
    </w:p>
    <w:p w14:paraId="62D357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（十七）实施侧袋机制期间本基金的申购与赎回</w:t>
      </w:r>
    </w:p>
    <w:p w14:paraId="0B8768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本基金实施侧袋机制的，本基金的申购和赎回安排详见本招募说明书“侧袋机制”部分的规定或相关公告。</w:t>
      </w:r>
    </w:p>
    <w:p w14:paraId="159EE47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359F3567">
      <w:pPr>
        <w:pStyle w:val="2"/>
        <w:snapToGrid w:val="0"/>
        <w:spacing w:before="240" w:beforeLines="0" w:after="240"/>
        <w:rPr>
          <w:rFonts w:ascii="宋体" w:hAnsi="宋体"/>
          <w:szCs w:val="30"/>
        </w:rPr>
      </w:pPr>
      <w:bookmarkStart w:id="11" w:name="_Toc216956603"/>
      <w:r>
        <w:rPr>
          <w:rFonts w:ascii="Times New Roman" w:hAnsi="Times New Roman"/>
          <w:sz w:val="30"/>
        </w:rPr>
        <w:t>九、基金的转换</w:t>
      </w:r>
      <w:bookmarkEnd w:id="11"/>
    </w:p>
    <w:p w14:paraId="401813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（一）基金转换</w:t>
      </w:r>
    </w:p>
    <w:p w14:paraId="53E059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基金转换是指开放式基金份额持有人将其持有某只基金的部分或全部份额转换为</w:t>
      </w:r>
      <w:r>
        <w:rPr>
          <w:rFonts w:hint="eastAsia" w:ascii="宋体" w:hAnsi="宋体"/>
          <w:sz w:val="24"/>
        </w:rPr>
        <w:t>该基金其他份额（如有）或</w:t>
      </w:r>
      <w:r>
        <w:rPr>
          <w:rFonts w:ascii="宋体" w:hAnsi="宋体"/>
          <w:sz w:val="24"/>
        </w:rPr>
        <w:t>同一基金管理人管理的另一只开放式基金份额。基金转换只能在同一销售机构进行。</w:t>
      </w:r>
    </w:p>
    <w:p w14:paraId="130F60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（二）转换业务办理时间</w:t>
      </w:r>
    </w:p>
    <w:p w14:paraId="63E43C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本基金2008年5月22日刊登公告自2008年5月23日起开放A/B类、C类基金份额的日常转换业务，本基金2025年3月28日刊登公告自2025年3月31日起增设D类基金份额并开通D类基金份额的日常转换业务。</w:t>
      </w:r>
    </w:p>
    <w:p w14:paraId="669E08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14:paraId="5952EC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14:paraId="7B09EA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本基金转换业务具体开通销售机构名单参见相关公告。</w:t>
      </w:r>
    </w:p>
    <w:p w14:paraId="44288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（三）基金转换的程序</w:t>
      </w:r>
    </w:p>
    <w:p w14:paraId="0F98B9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1、申请方式：书面申请或销售机构公布的其他方式。</w:t>
      </w:r>
    </w:p>
    <w:p w14:paraId="43C7F0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2、基金转换申请的确认</w:t>
      </w:r>
    </w:p>
    <w:p w14:paraId="6FBB63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14:paraId="4BD1B2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3、基金转换的注册登记</w:t>
      </w:r>
    </w:p>
    <w:p w14:paraId="5E96EF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14:paraId="71D9CF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（四）基金转换的数额限制</w:t>
      </w:r>
    </w:p>
    <w:p w14:paraId="606FAF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14:paraId="016793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14:paraId="30D5DA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14:paraId="7E6EB6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（五）基金转换费用</w:t>
      </w:r>
    </w:p>
    <w:p w14:paraId="2E8D47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14:paraId="5BBC8B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2、转出基金的赎回费用</w:t>
      </w:r>
    </w:p>
    <w:p w14:paraId="3CF26F4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转出基金的赎回费用及归入基金资产的比例按照各基金最新的更新招募说明书及相关公告规定的赎回费率和计费方式收取。</w:t>
      </w:r>
    </w:p>
    <w:p w14:paraId="1097DA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3、前端收费模式下转出与转入基金的申购补差费用</w:t>
      </w:r>
    </w:p>
    <w:p w14:paraId="5AA246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14:paraId="25D15E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4、后端收费模式下转出与转入基金的申购补差费用</w:t>
      </w:r>
    </w:p>
    <w:p w14:paraId="64A3AC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14:paraId="15D8F1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5、网上直销的申购补差费率优惠</w:t>
      </w:r>
    </w:p>
    <w:p w14:paraId="635BDB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14:paraId="668A61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6、基金管理人可以根据法律法规及基金合同的规定对上述收费方式和费率进行调整，并应于调整后的收费方式和费率在实施前依照《信息披露办法》的有关规定在中国证监会规定媒介上公告。</w:t>
      </w:r>
    </w:p>
    <w:p w14:paraId="32F2C4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（六）基金转换份额的计算公式</w:t>
      </w:r>
    </w:p>
    <w:p w14:paraId="2EAE82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1、前端收费模式下基金转换份额的计算公式及举例</w:t>
      </w:r>
    </w:p>
    <w:p w14:paraId="3161BB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24067A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0DFEDF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69216A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14:paraId="1FF204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（注：若转出基金申购费率不低于转入基金申购费率，转出与转入基金的申购补差费为零）</w:t>
      </w:r>
    </w:p>
    <w:p w14:paraId="1DC4AC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对于涉及固定费用的，转出与转入基金的申购补差费＝MAX（0，转出基金和转入基金申购费用之差）</w:t>
      </w:r>
    </w:p>
    <w:p w14:paraId="133941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7CDDF4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72C713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46EBB5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68D57E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14:paraId="0C062E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转出确认金额=100,000×1.0100=101,000元</w:t>
      </w:r>
    </w:p>
    <w:p w14:paraId="062262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转出基金的赎回费=101,000×0.5%=505元</w:t>
      </w:r>
    </w:p>
    <w:p w14:paraId="22065C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转入确认金额=101,000-505=100,495元</w:t>
      </w:r>
    </w:p>
    <w:p w14:paraId="08896A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转出与转入基金的申购补差费=100,495×0/（1+0）=0元</w:t>
      </w:r>
    </w:p>
    <w:p w14:paraId="4226B5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转入基金确认份额=（100,495-0）/2.2700=44,270.93份</w:t>
      </w:r>
    </w:p>
    <w:p w14:paraId="2C1FD5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14:paraId="37BAF4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转出确认金额=1,000,000×1.0200=1,020,000元</w:t>
      </w:r>
    </w:p>
    <w:p w14:paraId="6CAF96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转出基金的赎回费=1,020,000×0.05%=510元</w:t>
      </w:r>
    </w:p>
    <w:p w14:paraId="6EA65D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转入确认金额=1,020,000-510=1,019,490元</w:t>
      </w:r>
    </w:p>
    <w:p w14:paraId="720F87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转出与转入基金的申购补差费=1,019,490×0.5%/（1+0.5%）=5,072.09元</w:t>
      </w:r>
    </w:p>
    <w:p w14:paraId="14C192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转入基金确认份额=（1,019,490-5,072.09）/1.0100=1,004,374.17份</w:t>
      </w:r>
    </w:p>
    <w:p w14:paraId="10C724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14:paraId="025B1FA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6AD391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4DD508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转入确认金额=125,000-0=125,000元</w:t>
      </w:r>
    </w:p>
    <w:p w14:paraId="620C37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转出与转入基金的申购补差费=125,000×1.5%/（1+1.5%）=1,847.29元</w:t>
      </w:r>
    </w:p>
    <w:p w14:paraId="2300C1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转入基金确认份额=（125,000-1,847.29）/2.2700=54,252.30份</w:t>
      </w:r>
    </w:p>
    <w:p w14:paraId="3874EA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14:paraId="1E3071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05884C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7DF8EA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770760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转出与转入基金的申购补差费=100,000×0.8%/（1+0.8%）=793.65元</w:t>
      </w:r>
    </w:p>
    <w:p w14:paraId="3CAD0C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转入基金确认份额=（100,000-793.65+61.52）/1.2700=78,163.68份</w:t>
      </w:r>
    </w:p>
    <w:p w14:paraId="326433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2、后端收费模式下基金转换份额的计算公式及举例</w:t>
      </w:r>
    </w:p>
    <w:p w14:paraId="4B0BF3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转出确认金额=转出的基金份额×转换申请当日转出基金的基金份额净值</w:t>
      </w:r>
    </w:p>
    <w:p w14:paraId="6C5EFB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转出基金的赎回费=转出确认金额×对应的转出基金的赎回费率</w:t>
      </w:r>
    </w:p>
    <w:p w14:paraId="5C2EA6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转入确认金额=转出确认金额-转出基金的赎回费</w:t>
      </w:r>
    </w:p>
    <w:p w14:paraId="2B7597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转出与转入基金的申购补差费=转入确认金额×对应的转出与转入基金的申购补差费率</w:t>
      </w:r>
    </w:p>
    <w:p w14:paraId="7F9591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14:paraId="126055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其中：</w:t>
      </w:r>
    </w:p>
    <w:p w14:paraId="496F3B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14:paraId="12AE67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14:paraId="7AFC2B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14:paraId="5A14F0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71912E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14:paraId="049669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14:paraId="2849C1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转出与转入基金的申购补差费=124,750×0=0元</w:t>
      </w:r>
    </w:p>
    <w:p w14:paraId="22846A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转入基金确认份额=（124,750-0）/2.2700=54,955.95份</w:t>
      </w:r>
    </w:p>
    <w:p w14:paraId="79DDF7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14:paraId="339B54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转出确认金额=100,000×1.2500=125,000元</w:t>
      </w:r>
    </w:p>
    <w:p w14:paraId="396FC8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转出基金的赎回费=125,000×0.2%=250元</w:t>
      </w:r>
    </w:p>
    <w:p w14:paraId="22A277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转入确认金额=125,000-250=124,750元</w:t>
      </w:r>
    </w:p>
    <w:p w14:paraId="5CEFB6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转出与转入基金的申购补差费=124,750×1.2%=1497元</w:t>
      </w:r>
    </w:p>
    <w:p w14:paraId="1B4E09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转入基金确认份额=（124,750-1497）/1.00=123,253.00份</w:t>
      </w:r>
    </w:p>
    <w:p w14:paraId="7B2368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14:paraId="6D9B32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转出确认金额=100,000×0.8500=85,000元</w:t>
      </w:r>
    </w:p>
    <w:p w14:paraId="3E78ED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转出基金的赎回费=85,000×0=0元</w:t>
      </w:r>
    </w:p>
    <w:p w14:paraId="6D8060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转入确认金额=85,000-0=85,000元</w:t>
      </w:r>
    </w:p>
    <w:p w14:paraId="0B313C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转出与转入基金的申购补差费=85,000×0.2%=170元</w:t>
      </w:r>
    </w:p>
    <w:p w14:paraId="67CDA3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转入基金确认份额=（85,000-170）/1.0500=80,790.48份</w:t>
      </w:r>
    </w:p>
    <w:p w14:paraId="710B32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14:paraId="7691FE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转出确认金额=100,000×1.00=100,000元</w:t>
      </w:r>
    </w:p>
    <w:p w14:paraId="1CD779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转出基金的赎回费=0元</w:t>
      </w:r>
    </w:p>
    <w:p w14:paraId="358378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转入确认金额=100,000-0=100,000元</w:t>
      </w:r>
    </w:p>
    <w:p w14:paraId="6671DA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转出与转入基金的申购补差费=100,000×0=0元</w:t>
      </w:r>
    </w:p>
    <w:p w14:paraId="03C154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转入基金确认份额=（100,000-0+61.52）/1.2700=78,788.60份</w:t>
      </w:r>
    </w:p>
    <w:p w14:paraId="6DBBF2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（七）业务规则</w:t>
      </w:r>
    </w:p>
    <w:p w14:paraId="12797E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14:paraId="6AB17D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14:paraId="42D257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14:paraId="69FC05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14:paraId="6D300F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14:paraId="426D65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（八）暂停基金转换</w:t>
      </w:r>
    </w:p>
    <w:p w14:paraId="1D781E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14:paraId="76B473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14:paraId="35C3AB9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30ED856">
      <w:pPr>
        <w:pStyle w:val="2"/>
        <w:snapToGrid w:val="0"/>
        <w:spacing w:before="240" w:beforeLines="0" w:after="240"/>
        <w:rPr>
          <w:rFonts w:ascii="宋体" w:hAnsi="宋体"/>
          <w:szCs w:val="30"/>
        </w:rPr>
      </w:pPr>
      <w:bookmarkStart w:id="12" w:name="_Toc216956604"/>
      <w:r>
        <w:rPr>
          <w:rFonts w:ascii="Times New Roman" w:hAnsi="Times New Roman"/>
          <w:sz w:val="30"/>
        </w:rPr>
        <w:t>十、基金的投资</w:t>
      </w:r>
      <w:bookmarkEnd w:id="12"/>
    </w:p>
    <w:p w14:paraId="7AE7ED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 投资理念</w:t>
      </w:r>
    </w:p>
    <w:p w14:paraId="36531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收益是源于对风险的合理预期和有效管理。本基金在坚持一贯的价值投资理念基础上，通过专业化的研究分析，追求和挖掘经过有效风险管理的持续投资收益。该理念至少包含以下三方面的含义：</w:t>
      </w:r>
    </w:p>
    <w:p w14:paraId="2F6F6C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1、风险与收益是匹配的；</w:t>
      </w:r>
    </w:p>
    <w:p w14:paraId="2628E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2、风险又是可预期和管理的；</w:t>
      </w:r>
    </w:p>
    <w:p w14:paraId="0C985D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3、通过对风险进行有效预期和管理，追求风险调整后的稳健收益。</w:t>
      </w:r>
    </w:p>
    <w:p w14:paraId="2220AF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（二）投资目标</w:t>
      </w:r>
    </w:p>
    <w:p w14:paraId="01FE31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p w14:paraId="26D065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（三）投资范围</w:t>
      </w:r>
    </w:p>
    <w:p w14:paraId="033920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如法律法规或监管机构以后允许基金投资的其他品种，基金管理人在履行适当程序后，可以将其纳入投资范围。</w:t>
      </w:r>
    </w:p>
    <w:p w14:paraId="74F04F5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（四）投资对象</w:t>
      </w:r>
    </w:p>
    <w:p w14:paraId="038BD7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p w14:paraId="5C31B8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表一：资产类别和配置比例</w:t>
      </w:r>
    </w:p>
    <w:tbl>
      <w:tblPr>
        <w:tblStyle w:val="14"/>
        <w:tblW w:w="5000" w:type="pct"/>
        <w:tblInd w:w="0" w:type="dxa"/>
        <w:tblLayout w:type="autofit"/>
        <w:tblCellMar>
          <w:top w:w="0" w:type="dxa"/>
          <w:left w:w="0" w:type="dxa"/>
          <w:bottom w:w="0" w:type="dxa"/>
          <w:right w:w="0" w:type="dxa"/>
        </w:tblCellMar>
      </w:tblPr>
      <w:tblGrid>
        <w:gridCol w:w="2167"/>
        <w:gridCol w:w="6503"/>
      </w:tblGrid>
      <w:tr w14:paraId="1D972E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A71B88">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color="auto" w:sz="4" w:space="0"/>
              <w:left w:val="single" w:color="auto" w:sz="4" w:space="0"/>
              <w:bottom w:val="single" w:color="auto" w:sz="4" w:space="0"/>
              <w:right w:val="single" w:color="auto" w:sz="4" w:space="0"/>
            </w:tcBorders>
            <w:vAlign w:val="center"/>
          </w:tcPr>
          <w:p w14:paraId="638B5C5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资产配置比例</w:t>
            </w:r>
          </w:p>
        </w:tc>
      </w:tr>
      <w:tr w14:paraId="49F2E8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2396898">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固定收益类资产</w:t>
            </w:r>
          </w:p>
        </w:tc>
        <w:tc>
          <w:tcPr>
            <w:tcW w:w="750" w:type="pct"/>
            <w:tcBorders>
              <w:top w:val="single" w:color="auto" w:sz="4" w:space="0"/>
              <w:left w:val="single" w:color="auto" w:sz="4" w:space="0"/>
              <w:bottom w:val="single" w:color="auto" w:sz="4" w:space="0"/>
              <w:right w:val="single" w:color="auto" w:sz="4" w:space="0"/>
            </w:tcBorders>
            <w:vAlign w:val="center"/>
          </w:tcPr>
          <w:p w14:paraId="79C909B5">
            <w:pPr>
              <w:widowControl/>
              <w:snapToGrid w:val="0"/>
              <w:jc w:val="center"/>
              <w:rPr>
                <w:rFonts w:ascii="宋体" w:hAnsi="宋体"/>
                <w:color w:val="000000"/>
                <w:kern w:val="0"/>
                <w:sz w:val="25"/>
                <w:szCs w:val="24"/>
              </w:rPr>
            </w:pPr>
            <w:r>
              <w:rPr>
                <w:rFonts w:ascii="Times New Roman" w:hAnsi="Times New Roman"/>
                <w:color w:val="000000"/>
                <w:kern w:val="0"/>
                <w:sz w:val="25"/>
                <w:szCs w:val="24"/>
              </w:rPr>
              <w:t>80-100%</w:t>
            </w:r>
          </w:p>
        </w:tc>
      </w:tr>
      <w:tr w14:paraId="43DD0D9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93126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其中：次级债、资产支持证券（含资产收益计划）、可转换债券</w:t>
            </w:r>
          </w:p>
        </w:tc>
        <w:tc>
          <w:tcPr>
            <w:tcW w:w="750" w:type="pct"/>
            <w:tcBorders>
              <w:top w:val="single" w:color="auto" w:sz="4" w:space="0"/>
              <w:left w:val="single" w:color="auto" w:sz="4" w:space="0"/>
              <w:bottom w:val="single" w:color="auto" w:sz="4" w:space="0"/>
              <w:right w:val="single" w:color="auto" w:sz="4" w:space="0"/>
            </w:tcBorders>
            <w:vAlign w:val="center"/>
          </w:tcPr>
          <w:p w14:paraId="0A75D80E">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r w14:paraId="5316668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F54B17">
            <w:pPr>
              <w:widowControl/>
              <w:snapToGrid w:val="0"/>
              <w:jc w:val="left"/>
              <w:rPr>
                <w:rFonts w:ascii="宋体" w:hAnsi="宋体"/>
                <w:color w:val="000000"/>
                <w:kern w:val="0"/>
                <w:sz w:val="25"/>
                <w:szCs w:val="24"/>
              </w:rPr>
            </w:pPr>
            <w:r>
              <w:rPr>
                <w:rFonts w:ascii="Times New Roman" w:hAnsi="Times New Roman"/>
                <w:color w:val="000000"/>
                <w:kern w:val="0"/>
                <w:sz w:val="25"/>
                <w:szCs w:val="24"/>
              </w:rPr>
              <w:t>股票、权证</w:t>
            </w:r>
          </w:p>
        </w:tc>
        <w:tc>
          <w:tcPr>
            <w:tcW w:w="750" w:type="pct"/>
            <w:tcBorders>
              <w:top w:val="single" w:color="auto" w:sz="4" w:space="0"/>
              <w:left w:val="single" w:color="auto" w:sz="4" w:space="0"/>
              <w:bottom w:val="single" w:color="auto" w:sz="4" w:space="0"/>
              <w:right w:val="single" w:color="auto" w:sz="4" w:space="0"/>
            </w:tcBorders>
            <w:vAlign w:val="center"/>
          </w:tcPr>
          <w:p w14:paraId="1768A36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14:paraId="5B9B792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104EC38">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其中：权证</w:t>
            </w:r>
          </w:p>
        </w:tc>
        <w:tc>
          <w:tcPr>
            <w:tcW w:w="750" w:type="pct"/>
            <w:tcBorders>
              <w:top w:val="single" w:color="auto" w:sz="4" w:space="0"/>
              <w:left w:val="single" w:color="auto" w:sz="4" w:space="0"/>
              <w:bottom w:val="single" w:color="auto" w:sz="4" w:space="0"/>
              <w:right w:val="single" w:color="auto" w:sz="4" w:space="0"/>
            </w:tcBorders>
            <w:vAlign w:val="center"/>
          </w:tcPr>
          <w:p w14:paraId="7086AEBC">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bl>
    <w:p w14:paraId="6811C5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（五）业绩比较基准</w:t>
      </w:r>
    </w:p>
    <w:p w14:paraId="051381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本基金的整体业绩比较基准采用：</w:t>
      </w:r>
    </w:p>
    <w:p w14:paraId="68E030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中债企业债总指数</w:t>
      </w:r>
    </w:p>
    <w:p w14:paraId="724169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本基金采用中央国债登记公司编制的中债企业债总指数作为业绩比较基准主要基于以下原因：</w:t>
      </w:r>
    </w:p>
    <w:p w14:paraId="1A2295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1、中央国债登记公司编制的中债企业债总指数，虽然其编制的时间不长，但其很好地反映了我国企业债券市场整体状况、已经具有较高权威和市场代表性。</w:t>
      </w:r>
    </w:p>
    <w:p w14:paraId="34A33F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2、该指数科学地反应了我国企业债券市场的变化，投资人可以方便地从国债网、货币网等互联网中获取。</w:t>
      </w:r>
    </w:p>
    <w:p w14:paraId="65C98C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3、本基金的主要投资对象是承载一定信用风险的企业债券（含公司债、企业短期融资券），因此中央国债登记公司编制的中债企业债总指数是衡量本基金投资业绩的理想基准。</w:t>
      </w:r>
    </w:p>
    <w:p w14:paraId="565DDE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将视情况经与本基金托管人协商同意后调整本基金的业绩评价基准并报中国证监会备案,并及时公告，但不需要召开基金份额持有人大会。</w:t>
      </w:r>
    </w:p>
    <w:p w14:paraId="6963E8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（六）投资策略</w:t>
      </w:r>
    </w:p>
    <w:p w14:paraId="42CFD9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14:paraId="100D19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1、资产配置策略</w:t>
      </w:r>
    </w:p>
    <w:p w14:paraId="555CA8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自上而下”的多因素分析决策支持系统，结合定性分析和定量分析，形成对不同类属市场的预测和判断，确定债权类证券、股权类证券和货币市场工具的配置比例，并随着各类证券风险收益特征的相对变化，动态调整类属资产的投资比例，以规避或控制市场风险，提高基金收益率。</w:t>
      </w:r>
    </w:p>
    <w:p w14:paraId="6C2D6D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2、久期管理策略</w:t>
      </w:r>
    </w:p>
    <w:p w14:paraId="3AEAF3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久期管理策略是债券型基金最基本的投资策略。久期管理策略在本质上是一种自上而下的策略，其目的在于通过合理的久期控制实现对利率风险的有效管理。</w:t>
      </w:r>
    </w:p>
    <w:p w14:paraId="6AC102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久期。</w:t>
      </w:r>
    </w:p>
    <w:p w14:paraId="53B38E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具体而言，基金管理人通过以下几方面的分析来确定债券组合的目标久期：</w:t>
      </w:r>
    </w:p>
    <w:p w14:paraId="3BFCCF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宏观经济环境分析：通过对宏观经济数据如月度、季度进出口增长率、消费增长率、投资增长率等的跟踪与分析，预测宏观经济运行趋势，合理预期当前经济运行在经济周期中所处的阶段；针对当前的经济运行存在的问题，合理预期中央政府的财政与货币政策取向以及当前利率在利率周期中所处的阶段。</w:t>
      </w:r>
    </w:p>
    <w:p w14:paraId="5CE508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市场利率变动趋势分析：基于利率周期运行阶段的预期，密切关注月度CPI、PPI等物价指数、准备金比率、货币供应量、信贷、汇率等金融运行数据、投资、贸易顺差、工业增加值等实体经济运行数据以及就业数据等等央行货币政策所监控的目标数据的变化，预测法定利率在时间与空间上的变动与趋势。根据法定利率的变化，分析投资人心理与市场供求关系以及流动性等的变化，合理预期市场利率、债券收益率在时间与空间上的可能变动。</w:t>
      </w:r>
    </w:p>
    <w:p w14:paraId="1D441B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目标久期分析：根据法定利率与市场利率的变动趋势、所处利率周期的阶段，结合当期的债券收益率水平，确定组合目标久期。原则上，在利率上行通道中，通过缩短目标久期规避利率风险；在利率下行通道中，通过延长目标久期分享债券价格上涨的收益。</w:t>
      </w:r>
    </w:p>
    <w:p w14:paraId="5FD4D1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3、企业债投资策略</w:t>
      </w:r>
    </w:p>
    <w:p w14:paraId="3D0315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企业债投资策略是一种自上而下的利率风险管理与自下而上的信用风险管理相结合的策略，是本基金最主要的投资策略。本基金所指企业债券，包括公司债和企业短期融资券。</w:t>
      </w:r>
    </w:p>
    <w:p w14:paraId="7A372D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宏观经济运行、企业发展前景、企业偿债能力、建设项目质量等多重因素的综合考量对企业债券进行信用评级，并在信用评级的基础上，建立企业债债券池；然后基于既定的目标久期、信用利差精选个券进行投资。</w:t>
      </w:r>
    </w:p>
    <w:p w14:paraId="61A265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具体而言，主要通过以下几个步骤来对企业债券进行投资管理：</w:t>
      </w:r>
    </w:p>
    <w:p w14:paraId="4708DE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信用评级分析：本基金首先将企业债划分成短期企业债券（含企业短期融资券）和中长期企业债券（含中长期公司债），分别建立短期企业债券和中长期企业债券的信用评级指标体系，然后再利用信用评级指标体系给发行主体和标的债券打分，给出企业债基于其综合得分的信用评级等级。</w:t>
      </w:r>
    </w:p>
    <w:p w14:paraId="2B8A46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筛选企业债券：本基金将企业债的信用评级分成五级（见下表），而仅将信用评级在3级以上的债券纳入备选债券池（其中国债、央行票据、政策性金融债和银行担保的信用评级为AAA级或等同于AAA级的债券，自动纳入备选债券池）。本基金基金经理可直接按流程、按权限从备选债券池中选择债券进行投资。备选债券池外债券，信用评级为2级的企业债在信用评级没有改善迹象前限制投资，在投资评级出现改善趋势时，可以按流程、按权限少量投资；信用评级为1级的企业债禁止投资。</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2EA2566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06A571">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信用评级</w:t>
            </w:r>
          </w:p>
        </w:tc>
        <w:tc>
          <w:tcPr>
            <w:tcW w:w="750" w:type="pct"/>
            <w:tcBorders>
              <w:top w:val="single" w:color="auto" w:sz="4" w:space="0"/>
              <w:left w:val="single" w:color="auto" w:sz="4" w:space="0"/>
              <w:bottom w:val="single" w:color="auto" w:sz="4" w:space="0"/>
              <w:right w:val="single" w:color="auto" w:sz="4" w:space="0"/>
            </w:tcBorders>
            <w:vAlign w:val="center"/>
          </w:tcPr>
          <w:p w14:paraId="42AE8223">
            <w:pPr>
              <w:widowControl/>
              <w:snapToGrid w:val="0"/>
              <w:jc w:val="center"/>
              <w:rPr>
                <w:rFonts w:ascii="宋体" w:hAnsi="宋体"/>
                <w:color w:val="000000"/>
                <w:kern w:val="0"/>
                <w:sz w:val="25"/>
                <w:szCs w:val="24"/>
              </w:rPr>
            </w:pPr>
            <w:r>
              <w:rPr>
                <w:rFonts w:ascii="Times New Roman" w:hAnsi="Times New Roman"/>
                <w:color w:val="000000"/>
                <w:kern w:val="0"/>
                <w:sz w:val="25"/>
                <w:szCs w:val="24"/>
              </w:rPr>
              <w:t>综合得分</w:t>
            </w:r>
          </w:p>
        </w:tc>
        <w:tc>
          <w:tcPr>
            <w:tcW w:w="750" w:type="pct"/>
            <w:tcBorders>
              <w:top w:val="single" w:color="auto" w:sz="4" w:space="0"/>
              <w:left w:val="single" w:color="auto" w:sz="4" w:space="0"/>
              <w:bottom w:val="single" w:color="auto" w:sz="4" w:space="0"/>
              <w:right w:val="single" w:color="auto" w:sz="4" w:space="0"/>
            </w:tcBorders>
            <w:vAlign w:val="center"/>
          </w:tcPr>
          <w:p w14:paraId="59C6ADB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定义</w:t>
            </w:r>
          </w:p>
        </w:tc>
        <w:tc>
          <w:tcPr>
            <w:tcW w:w="400" w:type="pct"/>
            <w:tcBorders>
              <w:top w:val="single" w:color="auto" w:sz="4" w:space="0"/>
              <w:left w:val="single" w:color="auto" w:sz="4" w:space="0"/>
              <w:bottom w:val="single" w:color="auto" w:sz="4" w:space="0"/>
              <w:right w:val="single" w:color="auto" w:sz="4" w:space="0"/>
            </w:tcBorders>
            <w:vAlign w:val="center"/>
          </w:tcPr>
          <w:p w14:paraId="3C22EB0D">
            <w:pPr>
              <w:widowControl/>
              <w:snapToGrid w:val="0"/>
              <w:jc w:val="center"/>
              <w:rPr>
                <w:rFonts w:ascii="宋体" w:hAnsi="宋体"/>
                <w:color w:val="000000"/>
                <w:kern w:val="0"/>
                <w:sz w:val="25"/>
                <w:szCs w:val="24"/>
              </w:rPr>
            </w:pPr>
            <w:r>
              <w:rPr>
                <w:rFonts w:ascii="Times New Roman" w:hAnsi="Times New Roman"/>
                <w:color w:val="000000"/>
                <w:kern w:val="0"/>
                <w:sz w:val="25"/>
                <w:szCs w:val="24"/>
              </w:rPr>
              <w:t>投资建议</w:t>
            </w:r>
          </w:p>
        </w:tc>
      </w:tr>
      <w:tr w14:paraId="297D51A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0E501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475F1472">
            <w:pPr>
              <w:widowControl/>
              <w:snapToGrid w:val="0"/>
              <w:jc w:val="left"/>
              <w:rPr>
                <w:rFonts w:ascii="宋体" w:hAnsi="宋体"/>
                <w:color w:val="000000"/>
                <w:kern w:val="0"/>
                <w:sz w:val="25"/>
                <w:szCs w:val="24"/>
              </w:rPr>
            </w:pPr>
            <w:r>
              <w:rPr>
                <w:rFonts w:ascii="Times New Roman" w:hAnsi="Times New Roman"/>
                <w:color w:val="000000"/>
                <w:kern w:val="0"/>
                <w:sz w:val="25"/>
                <w:szCs w:val="24"/>
              </w:rPr>
              <w:t>［90，100）</w:t>
            </w:r>
          </w:p>
        </w:tc>
        <w:tc>
          <w:tcPr>
            <w:tcW w:w="750" w:type="pct"/>
            <w:tcBorders>
              <w:top w:val="single" w:color="auto" w:sz="4" w:space="0"/>
              <w:left w:val="single" w:color="auto" w:sz="4" w:space="0"/>
              <w:bottom w:val="single" w:color="auto" w:sz="4" w:space="0"/>
              <w:right w:val="single" w:color="auto" w:sz="4" w:space="0"/>
            </w:tcBorders>
            <w:vAlign w:val="center"/>
          </w:tcPr>
          <w:p w14:paraId="1C291A0E">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信用风险小</w:t>
            </w:r>
          </w:p>
        </w:tc>
        <w:tc>
          <w:tcPr>
            <w:tcW w:w="400" w:type="pct"/>
            <w:tcBorders>
              <w:top w:val="single" w:color="auto" w:sz="4" w:space="0"/>
              <w:left w:val="single" w:color="auto" w:sz="4" w:space="0"/>
              <w:bottom w:val="single" w:color="auto" w:sz="4" w:space="0"/>
              <w:right w:val="single" w:color="auto" w:sz="4" w:space="0"/>
            </w:tcBorders>
            <w:vAlign w:val="center"/>
          </w:tcPr>
          <w:p w14:paraId="2477C786">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14:paraId="7D31371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098ED8">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5695C6A1">
            <w:pPr>
              <w:widowControl/>
              <w:snapToGrid w:val="0"/>
              <w:jc w:val="left"/>
              <w:rPr>
                <w:rFonts w:ascii="宋体" w:hAnsi="宋体"/>
                <w:color w:val="000000"/>
                <w:kern w:val="0"/>
                <w:sz w:val="25"/>
                <w:szCs w:val="24"/>
              </w:rPr>
            </w:pPr>
            <w:r>
              <w:rPr>
                <w:rFonts w:ascii="Times New Roman" w:hAnsi="Times New Roman"/>
                <w:color w:val="000000"/>
                <w:kern w:val="0"/>
                <w:sz w:val="25"/>
                <w:szCs w:val="24"/>
              </w:rPr>
              <w:t>［80，90）</w:t>
            </w:r>
          </w:p>
        </w:tc>
        <w:tc>
          <w:tcPr>
            <w:tcW w:w="750" w:type="pct"/>
            <w:tcBorders>
              <w:top w:val="single" w:color="auto" w:sz="4" w:space="0"/>
              <w:left w:val="single" w:color="auto" w:sz="4" w:space="0"/>
              <w:bottom w:val="single" w:color="auto" w:sz="4" w:space="0"/>
              <w:right w:val="single" w:color="auto" w:sz="4" w:space="0"/>
            </w:tcBorders>
            <w:vAlign w:val="center"/>
          </w:tcPr>
          <w:p w14:paraId="1BE18646">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信用风险较小</w:t>
            </w:r>
          </w:p>
        </w:tc>
        <w:tc>
          <w:tcPr>
            <w:tcW w:w="400" w:type="pct"/>
            <w:tcBorders>
              <w:top w:val="single" w:color="auto" w:sz="4" w:space="0"/>
              <w:left w:val="single" w:color="auto" w:sz="4" w:space="0"/>
              <w:bottom w:val="single" w:color="auto" w:sz="4" w:space="0"/>
              <w:right w:val="single" w:color="auto" w:sz="4" w:space="0"/>
            </w:tcBorders>
            <w:vAlign w:val="center"/>
          </w:tcPr>
          <w:p w14:paraId="52FE06A1">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14:paraId="54AC34D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EDEDE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B57A991">
            <w:pPr>
              <w:widowControl/>
              <w:snapToGrid w:val="0"/>
              <w:jc w:val="left"/>
              <w:rPr>
                <w:rFonts w:ascii="宋体" w:hAnsi="宋体"/>
                <w:color w:val="000000"/>
                <w:kern w:val="0"/>
                <w:sz w:val="25"/>
                <w:szCs w:val="24"/>
              </w:rPr>
            </w:pPr>
            <w:r>
              <w:rPr>
                <w:rFonts w:ascii="Times New Roman" w:hAnsi="Times New Roman"/>
                <w:color w:val="000000"/>
                <w:kern w:val="0"/>
                <w:sz w:val="25"/>
                <w:szCs w:val="24"/>
              </w:rPr>
              <w:t>［60，80）</w:t>
            </w:r>
          </w:p>
        </w:tc>
        <w:tc>
          <w:tcPr>
            <w:tcW w:w="750" w:type="pct"/>
            <w:tcBorders>
              <w:top w:val="single" w:color="auto" w:sz="4" w:space="0"/>
              <w:left w:val="single" w:color="auto" w:sz="4" w:space="0"/>
              <w:bottom w:val="single" w:color="auto" w:sz="4" w:space="0"/>
              <w:right w:val="single" w:color="auto" w:sz="4" w:space="0"/>
            </w:tcBorders>
            <w:vAlign w:val="center"/>
          </w:tcPr>
          <w:p w14:paraId="358EA90B">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信用风险中</w:t>
            </w:r>
          </w:p>
        </w:tc>
        <w:tc>
          <w:tcPr>
            <w:tcW w:w="400" w:type="pct"/>
            <w:tcBorders>
              <w:top w:val="single" w:color="auto" w:sz="4" w:space="0"/>
              <w:left w:val="single" w:color="auto" w:sz="4" w:space="0"/>
              <w:bottom w:val="single" w:color="auto" w:sz="4" w:space="0"/>
              <w:right w:val="single" w:color="auto" w:sz="4" w:space="0"/>
            </w:tcBorders>
            <w:vAlign w:val="center"/>
          </w:tcPr>
          <w:p w14:paraId="43982316">
            <w:pPr>
              <w:widowControl/>
              <w:snapToGrid w:val="0"/>
              <w:jc w:val="center"/>
              <w:rPr>
                <w:rFonts w:ascii="宋体" w:hAnsi="宋体"/>
                <w:color w:val="000000"/>
                <w:kern w:val="0"/>
                <w:sz w:val="25"/>
                <w:szCs w:val="24"/>
              </w:rPr>
            </w:pPr>
            <w:r>
              <w:rPr>
                <w:rFonts w:ascii="Times New Roman" w:hAnsi="Times New Roman"/>
                <w:color w:val="000000"/>
                <w:kern w:val="0"/>
                <w:sz w:val="25"/>
                <w:szCs w:val="24"/>
              </w:rPr>
              <w:t>可投资</w:t>
            </w:r>
          </w:p>
        </w:tc>
      </w:tr>
      <w:tr w14:paraId="7E45C9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B8BEB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2A496499">
            <w:pPr>
              <w:widowControl/>
              <w:snapToGrid w:val="0"/>
              <w:jc w:val="left"/>
              <w:rPr>
                <w:rFonts w:ascii="宋体" w:hAnsi="宋体"/>
                <w:color w:val="000000"/>
                <w:kern w:val="0"/>
                <w:sz w:val="25"/>
                <w:szCs w:val="24"/>
              </w:rPr>
            </w:pPr>
            <w:r>
              <w:rPr>
                <w:rFonts w:ascii="Times New Roman" w:hAnsi="Times New Roman"/>
                <w:color w:val="000000"/>
                <w:kern w:val="0"/>
                <w:sz w:val="25"/>
                <w:szCs w:val="24"/>
              </w:rPr>
              <w:t>［40，60）</w:t>
            </w:r>
          </w:p>
        </w:tc>
        <w:tc>
          <w:tcPr>
            <w:tcW w:w="750" w:type="pct"/>
            <w:tcBorders>
              <w:top w:val="single" w:color="auto" w:sz="4" w:space="0"/>
              <w:left w:val="single" w:color="auto" w:sz="4" w:space="0"/>
              <w:bottom w:val="single" w:color="auto" w:sz="4" w:space="0"/>
              <w:right w:val="single" w:color="auto" w:sz="4" w:space="0"/>
            </w:tcBorders>
            <w:vAlign w:val="center"/>
          </w:tcPr>
          <w:p w14:paraId="1571734E">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信用风险大</w:t>
            </w:r>
          </w:p>
        </w:tc>
        <w:tc>
          <w:tcPr>
            <w:tcW w:w="400" w:type="pct"/>
            <w:tcBorders>
              <w:top w:val="single" w:color="auto" w:sz="4" w:space="0"/>
              <w:left w:val="single" w:color="auto" w:sz="4" w:space="0"/>
              <w:bottom w:val="single" w:color="auto" w:sz="4" w:space="0"/>
              <w:right w:val="single" w:color="auto" w:sz="4" w:space="0"/>
            </w:tcBorders>
            <w:vAlign w:val="center"/>
          </w:tcPr>
          <w:p w14:paraId="3A454FEA">
            <w:pPr>
              <w:widowControl/>
              <w:snapToGrid w:val="0"/>
              <w:jc w:val="center"/>
              <w:rPr>
                <w:rFonts w:ascii="宋体" w:hAnsi="宋体"/>
                <w:color w:val="000000"/>
                <w:kern w:val="0"/>
                <w:sz w:val="25"/>
                <w:szCs w:val="24"/>
              </w:rPr>
            </w:pPr>
            <w:r>
              <w:rPr>
                <w:rFonts w:ascii="Times New Roman" w:hAnsi="Times New Roman"/>
                <w:color w:val="000000"/>
                <w:kern w:val="0"/>
                <w:sz w:val="25"/>
                <w:szCs w:val="24"/>
              </w:rPr>
              <w:t>限制投资</w:t>
            </w:r>
          </w:p>
        </w:tc>
      </w:tr>
      <w:tr w14:paraId="6325C85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EAAAEA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273B0D24">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color="auto" w:sz="4" w:space="0"/>
              <w:left w:val="single" w:color="auto" w:sz="4" w:space="0"/>
              <w:bottom w:val="single" w:color="auto" w:sz="4" w:space="0"/>
              <w:right w:val="single" w:color="auto" w:sz="4" w:space="0"/>
            </w:tcBorders>
            <w:vAlign w:val="center"/>
          </w:tcPr>
          <w:p w14:paraId="198C03BC">
            <w:pPr>
              <w:widowControl/>
              <w:snapToGrid w:val="0"/>
              <w:jc w:val="left"/>
              <w:rPr>
                <w:rFonts w:ascii="宋体" w:hAnsi="宋体"/>
                <w:color w:val="000000"/>
                <w:kern w:val="0"/>
                <w:sz w:val="25"/>
                <w:szCs w:val="24"/>
              </w:rPr>
            </w:pPr>
            <w:r>
              <w:rPr>
                <w:rFonts w:ascii="Times New Roman" w:hAnsi="Times New Roman"/>
                <w:color w:val="000000"/>
                <w:kern w:val="0"/>
                <w:sz w:val="25"/>
                <w:szCs w:val="24"/>
              </w:rPr>
              <w:t>信用风险很大</w:t>
            </w:r>
          </w:p>
        </w:tc>
        <w:tc>
          <w:tcPr>
            <w:tcW w:w="400" w:type="pct"/>
            <w:tcBorders>
              <w:top w:val="single" w:color="auto" w:sz="4" w:space="0"/>
              <w:left w:val="single" w:color="auto" w:sz="4" w:space="0"/>
              <w:bottom w:val="single" w:color="auto" w:sz="4" w:space="0"/>
              <w:right w:val="single" w:color="auto" w:sz="4" w:space="0"/>
            </w:tcBorders>
            <w:vAlign w:val="center"/>
          </w:tcPr>
          <w:p w14:paraId="5AB323E6">
            <w:pPr>
              <w:widowControl/>
              <w:snapToGrid w:val="0"/>
              <w:jc w:val="center"/>
              <w:rPr>
                <w:rFonts w:ascii="宋体" w:hAnsi="宋体"/>
                <w:color w:val="000000"/>
                <w:kern w:val="0"/>
                <w:sz w:val="25"/>
                <w:szCs w:val="24"/>
              </w:rPr>
            </w:pPr>
            <w:r>
              <w:rPr>
                <w:rFonts w:ascii="Times New Roman" w:hAnsi="Times New Roman"/>
                <w:color w:val="000000"/>
                <w:kern w:val="0"/>
                <w:sz w:val="25"/>
                <w:szCs w:val="24"/>
              </w:rPr>
              <w:t>禁止投资</w:t>
            </w:r>
          </w:p>
        </w:tc>
      </w:tr>
    </w:tbl>
    <w:p w14:paraId="61C3B5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信用利差分析：鉴于发达国家成熟市场“信用利差之谜”现象的广泛存在，信用产品本金损失率对信用利差解释力不高。本基金将根据中国企业债市场处于发展初级阶段，市场效率不高的现状，密切关注供求关系、税收、利率、投资人结构与行为以及市场的深度、广度和制度建设等因素对信用利差的影响，对个券进行有效的信用利差交易。</w:t>
      </w:r>
    </w:p>
    <w:p w14:paraId="6DBA8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4、资产支持证券（含资产收益计划）投资策略</w:t>
      </w:r>
    </w:p>
    <w:p w14:paraId="48040D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宏观经济、提前偿还率、资产池结构以及资产池资产所在行业景气变化等因素的研究，预测资产池未来现金流变化；通过研究标的证券发行条款，预测提前偿还率变化对标的证券的久期与收益率的影响，同时密切关注流动性对标的证券收益率的影响。综合运用久期管理、收益率曲线、个券选择以及把握市场交易机会等积极策略，在严格控制风险的情况下，结合信用研究和流动性管理，选择风险调整后收益高的品种进行投资，以期获得长期稳定收益。</w:t>
      </w:r>
    </w:p>
    <w:p w14:paraId="02BD88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5、可转换债券投资策略</w:t>
      </w:r>
    </w:p>
    <w:p w14:paraId="1055F1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可转换债券是介于股票和债券之间的投资品种，兼具股性和债性的双重特征。一方面，本基金可转换债券股性的研究将完全依托于公司投研团队对标的股票的研究，在此基础上结合金融工程师的可转债定价模型，充分考虑转债发行后目标转债标的股票股价波动率可能出现的变化，对目标转债的股性进行合理定价。另一方面，对于本基金可转换债券债性的研究，将通过引进公司企业债券信用评级指标体系，对可转换债券的发行主体及标的债券进行信用评级，并在信用评级的基础上对其进行合理定价。通过对标的转债股性与债性的合理定价，力求选择被市场低估的品种，来构建本基金可转换债券的投资组合。</w:t>
      </w:r>
    </w:p>
    <w:p w14:paraId="711F15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6、股票投资策略</w:t>
      </w:r>
    </w:p>
    <w:p w14:paraId="58D5AC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本基金股票投资策略包括新股认购策略和可转换债券转股策略。</w:t>
      </w:r>
    </w:p>
    <w:p w14:paraId="70FC65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（1）新股认购策略</w:t>
      </w:r>
    </w:p>
    <w:p w14:paraId="4599B5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本基金认为股票一、二级市场之间存在一定的价差是暂时现象，因此，股票投资策略只是一种阶段性投资策略。</w:t>
      </w:r>
    </w:p>
    <w:p w14:paraId="2A10DD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将通过分析影响股票一级市场资金面的相关市场风险收益特征的变化、股票发行政策取向（如扩容节奏、发行市盈率与二级市场市盈率的差距），预测新股一级市场供求关系的变化，并据此进一步预测认购新股中签率和新股的收益率变动趋势；同时，借助公司投资平台行业研究员的研究建议，预测拟认购新股的中签率和认购收益率，确定合理规模的资金、精选个股认购，实现新股认购收益率的最大化。</w:t>
      </w:r>
    </w:p>
    <w:p w14:paraId="502A54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（2）可转换债券转股策略</w:t>
      </w:r>
    </w:p>
    <w:p w14:paraId="72172E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进行可转换债券投资时，面对可能出现可转换债券与正股之间存在套利机会的现象或者出现可转换债券流动性暂时不足的现象，采用可转换债券转股策略，即将持有的可转换债券在转换期内转股抛售，以更好的保护基金投资人利益、实现基金可转换债券投资收益最大化。</w:t>
      </w:r>
    </w:p>
    <w:p w14:paraId="26A257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本基金通过新股认购策略所认购新发行股票，在其上市后持有时间不超60个交易日，所持可转换债券转股后的股票持有时间不超过5个交易日；本基金累计持有股票余额不超过基金资产净值的20%。</w:t>
      </w:r>
    </w:p>
    <w:p w14:paraId="6AEBFB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7、权证投资策略</w:t>
      </w:r>
    </w:p>
    <w:p w14:paraId="782C80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与新股认购策略一样，本基金认为权证投资策略也是一种阶段性投资策略。</w:t>
      </w:r>
    </w:p>
    <w:p w14:paraId="0E1498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权证投资以权证的市场价值分析为基础，配以权证定价模型寻求其合理估值水平，以主动的科学投资管理为手段，充分考虑权证资产的收益性、流动性及风险收益特征，通过资产配置、品种与类属选择，追求当期稳定的基金资产收益。</w:t>
      </w:r>
    </w:p>
    <w:p w14:paraId="0DB39A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本基金通过可转债认购所获得的权证，在其上市后持有时间不超过20个交易日。</w:t>
      </w:r>
    </w:p>
    <w:p w14:paraId="2D7D70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（七）投资程序</w:t>
      </w:r>
    </w:p>
    <w:p w14:paraId="63B7CA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为了保证整个投资组合计划的顺利贯彻与实施，本基金遵循以下投资决策依据以及具体的决策程序：</w:t>
      </w:r>
    </w:p>
    <w:p w14:paraId="35DA78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1、投资决策依据</w:t>
      </w:r>
    </w:p>
    <w:p w14:paraId="466751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（1）国家有关法律法规和本基金合同的有关规定；</w:t>
      </w:r>
    </w:p>
    <w:p w14:paraId="361090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（2）宏观经济发展态势、证券市场运行环境和走势；</w:t>
      </w:r>
    </w:p>
    <w:p w14:paraId="70573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14:paraId="60000D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2、决策和交易机制</w:t>
      </w:r>
    </w:p>
    <w:p w14:paraId="07691F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本基金实行投资决策委员会领导下的基金经理小组负责制，投资总监、固定收益部总经理是投资决策委员会的执行代表。</w:t>
      </w:r>
    </w:p>
    <w:p w14:paraId="1C9E2E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投资决策委员会、投资总监、固定收益部总经理的主要职责是确定基金的资产配置政策，审批重大单项投资决定等。</w:t>
      </w:r>
    </w:p>
    <w:p w14:paraId="76DC74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14:paraId="37E92A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14:paraId="01B811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3、投资流程</w:t>
      </w:r>
    </w:p>
    <w:p w14:paraId="4CA50B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投资决策委员会是本基金的最高决策机构，投资决策委员会定期就投资管理业务的重大问题进行讨论。</w:t>
      </w:r>
    </w:p>
    <w:p w14:paraId="2B3D41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基金经理、研究员、交易员在投资管理过程中既密切合作，又责任明确，在各自职责内按照业务程序独立工作并合理地相互制衡。</w:t>
      </w:r>
    </w:p>
    <w:p w14:paraId="768F56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具体的投资管理流程如下：</w:t>
      </w:r>
    </w:p>
    <w:p w14:paraId="38B0E9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（1）投资决策委员会每月召开投资决策会议，决定基金的资产配置比例和股票、债券的投资重点等；</w:t>
      </w:r>
    </w:p>
    <w:p w14:paraId="0E56C4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（2）研究部策略分析师、固定收益产品分析师、定量分析师各自独立完成相应的研究报告，为投资决策提供依据；</w:t>
      </w:r>
    </w:p>
    <w:p w14:paraId="64D40D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（3）固定收益部总经理每周召集固定收益业务投资例会，根据投资决策委员会的决定，结合市场和公司基本面的变化，决定具体的投资策略；</w:t>
      </w:r>
    </w:p>
    <w:p w14:paraId="4F55AF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经理依据策略分析师的宏观经济分析和策略建议、固定收益产品分析师的债券市场研究和券种选择、定量分析师的定量投资策略研究，结合本基金产品定位及风险控制的要求，在权限范围内制定具体的投资组合方案；</w:t>
      </w:r>
    </w:p>
    <w:p w14:paraId="2D30CE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（5）基金经理小组根据基金投资组合方案，向中央交易室下达交易指令；</w:t>
      </w:r>
    </w:p>
    <w:p w14:paraId="178575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（6）中央交易室执行基金经理小组的交易指令，对交易情况及时反馈；</w:t>
      </w:r>
    </w:p>
    <w:p w14:paraId="2C54C2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（7）定量分析师负责完成有关投资风险监控报告及内部基金业绩评估报告。</w:t>
      </w:r>
    </w:p>
    <w:p w14:paraId="168A12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投资决策委员会有权根据市场变化和实际情况的需要，对上述投资管理程序做出调整。</w:t>
      </w:r>
    </w:p>
    <w:p w14:paraId="175946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（八）投资组合限制</w:t>
      </w:r>
    </w:p>
    <w:p w14:paraId="3746B1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本基金投资组合遵循如下投资限制：</w:t>
      </w:r>
    </w:p>
    <w:p w14:paraId="248BCD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1、本基金持有一家企业发行的债券，其市值不超过基金资产净值的10%；</w:t>
      </w:r>
    </w:p>
    <w:p w14:paraId="72CD0B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2、本基金持有一家上市公司的股票，其市值不超过基金资产净值的10%；</w:t>
      </w:r>
    </w:p>
    <w:p w14:paraId="510AB2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3、基金管理人管理的全部基金持有一家公司发行的证券，不超过该证券的10%；</w:t>
      </w:r>
    </w:p>
    <w:p w14:paraId="6A9FED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4、基金管理人管理的全部基金持有的同一权证，不得超过该权证的10%；</w:t>
      </w:r>
    </w:p>
    <w:p w14:paraId="4B7A73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5、本基金进入全国银行间同业市场进行债券回购的资金余额不得超过基金资产净值的40%；</w:t>
      </w:r>
    </w:p>
    <w:p w14:paraId="2EBD52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股票、权证等资产占基金资产的比例为0-20%，其中权证资产占基金资产净值的比例为0-3%；</w:t>
      </w:r>
    </w:p>
    <w:p w14:paraId="5CDF8B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7、基金保留的现金以及投资于到期日在一年以内的政府债券的比例合计不低于基金资产净值的5%，其中现金不包括结算备付金、存出保证金和应收申购款等;</w:t>
      </w:r>
    </w:p>
    <w:p w14:paraId="4206F1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8、本基金投资于同一原始权益人的各类资产支持证券的比例，不得超过基金资产净值的10%；</w:t>
      </w:r>
    </w:p>
    <w:p w14:paraId="4F1E48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9、本基金持有的全部资产支持证券，其市值不得超过基金资产净值的20%；</w:t>
      </w:r>
    </w:p>
    <w:p w14:paraId="465573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10、本基金持有的同一（指同一信用级别）资产支持证券的比例，不得超过该资产支持证券规模的10%；</w:t>
      </w:r>
    </w:p>
    <w:p w14:paraId="5396BE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14:paraId="40F46F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14:paraId="7B3B36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13、基金财产参与股票发行申购，本基金所申报的股票数量不超过拟发行股票公司本次发行股票的总量；</w:t>
      </w:r>
    </w:p>
    <w:p w14:paraId="3FD876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14、本基金在任何交易日买入权证的总金额，不得超过上一交易日基金资产净值的0.5%；</w:t>
      </w:r>
    </w:p>
    <w:p w14:paraId="23E95D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15、当本基金所持有的中签未卖出的新股市值占基金资产净值的比例达到或超过18%时，本基金将暂停进行新股申购，当该比例降低到18%以下时方可继续进行新股申购；</w:t>
      </w:r>
    </w:p>
    <w:p w14:paraId="6E83C2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16、当本基金所持有的因网下申购而有锁定期限的股票的未流通市值占基金资产净值比例达到或超过5%时，本基金将暂停申购任何有锁定期的新股，当该比例降低到5%以下时方可继续进行有锁定期的新股申购；</w:t>
      </w:r>
    </w:p>
    <w:p w14:paraId="53DB9F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14:paraId="438FC0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424182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19、本基金与私募类证券资管产品及中国证监会认定的其他主体为交易对手开展逆回购交易的，可接受质押品的资质要求应当与基金合同约定的投资范围保持一致；</w:t>
      </w:r>
    </w:p>
    <w:p w14:paraId="21EF53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20、如果法律法规对本基金合同约定投资组合比例限制进行变更的，以变更后的规定为准。法律法规或监管部门取消上述限制，如适用于本基金，则本基金投资不再受相关限制。</w:t>
      </w:r>
    </w:p>
    <w:p w14:paraId="62F2FE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7、12、18、19项外，因证券市场波动、上市公司合并、基金规模变动、股权分置改革中支付对价等基金管理人之外的因素致使基金投资比例不符合上述规定的投资比例的，基金管理人应当在10个交易日内进行调整。法律法规或监管部门另有规定的，从其规定。</w:t>
      </w:r>
    </w:p>
    <w:p w14:paraId="45F35A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基金管理人应当自基金合同生效之日起6个月内使基金的投资组合比例符合基金合同的有关约定。</w:t>
      </w:r>
    </w:p>
    <w:p w14:paraId="6610FD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除投资资产配置比例外，基金托管人对基金的投资比例的监督与检查自本基金的基金合同生效之日起开始。</w:t>
      </w:r>
    </w:p>
    <w:p w14:paraId="166721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（九）禁止行为</w:t>
      </w:r>
    </w:p>
    <w:p w14:paraId="5FAD6F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为维护基金份额持有人的合法权益，基金财产不得用于下列投资或者活动：</w:t>
      </w:r>
    </w:p>
    <w:p w14:paraId="044F77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1、承销证券；</w:t>
      </w:r>
    </w:p>
    <w:p w14:paraId="17EF36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2、向他人贷款或者提供担保；</w:t>
      </w:r>
    </w:p>
    <w:p w14:paraId="0BBB8F4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3、从事承担无限责任的投资；</w:t>
      </w:r>
    </w:p>
    <w:p w14:paraId="388851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4、买卖其他基金份额，但是国务院另有规定的除外；</w:t>
      </w:r>
    </w:p>
    <w:p w14:paraId="68B051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5、向其基金管理人、基金托管人出资或者买卖基金托管人、基金管理人发行的股票或债券；</w:t>
      </w:r>
    </w:p>
    <w:p w14:paraId="2537B0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6、买卖与其基金管理人、基金托管人有控股关系的股东或者与其基金管理人、基金托管人有其他重大利害关系的公司发行的证券或承销期内承销的证券；</w:t>
      </w:r>
    </w:p>
    <w:p w14:paraId="310EF5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7、从事内幕交易、操纵证券交易价格及其他不正当的证券交易活动；</w:t>
      </w:r>
    </w:p>
    <w:p w14:paraId="761640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8、法律法规、中国证监会及基金合同规定禁止的其他活动。</w:t>
      </w:r>
    </w:p>
    <w:p w14:paraId="19EEA3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法律法规或监管部门取消上述禁止性规定，如适用于本基金，则本基金不受相关限制。</w:t>
      </w:r>
    </w:p>
    <w:p w14:paraId="4977DF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（十）风险收益特征</w:t>
      </w:r>
    </w:p>
    <w:p w14:paraId="4FBD6C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14:paraId="64E759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（十一）基金管理人代表基金行使股东及债权人权利的处理原则及方法</w:t>
      </w:r>
    </w:p>
    <w:p w14:paraId="4422DD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1、基金管理人按照国家有关规定代表基金独立行使股东及债权人权利，保护基金份额持有人的利益；</w:t>
      </w:r>
    </w:p>
    <w:p w14:paraId="7A480D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2、不谋求对上市公司的控股，不参与所投资上市公司的经营管理；</w:t>
      </w:r>
    </w:p>
    <w:p w14:paraId="4487AC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3、有利于基金财产的安全与增值；</w:t>
      </w:r>
    </w:p>
    <w:p w14:paraId="3918E8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4、不通过关联交易为自身、雇员、授权代理人或任何存在利害关系的第三人牟取任何不当利益。</w:t>
      </w:r>
    </w:p>
    <w:p w14:paraId="2696BF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（十二）基金的融资、融券</w:t>
      </w:r>
    </w:p>
    <w:p w14:paraId="50090E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本基金可以按照国家的有关规定进行融资、融券。</w:t>
      </w:r>
    </w:p>
    <w:p w14:paraId="0500A5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（十三）侧袋机制的实施和投资运作安排</w:t>
      </w:r>
    </w:p>
    <w:p w14:paraId="623F3C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73D29C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14:paraId="4FD7F3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14:paraId="616506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（十四）基金投资组合报告</w:t>
      </w:r>
    </w:p>
    <w:p w14:paraId="34E788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14:paraId="645F1A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本基金托管人中国建设银行根据本基金合同规定,于2025年10月27日复核了本报告中的财务指标、净值表现和投资组合报告等内容,保证复核内容不存在虚假记载、误导性陈述或者重大遗漏。</w:t>
      </w:r>
    </w:p>
    <w:p w14:paraId="09947A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本报告期为2025年07月01日起至09月30日。本报告财务资料未经审计师审计。</w:t>
      </w:r>
    </w:p>
    <w:p w14:paraId="4A68F30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1、报告期末基金资产组合情况</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00F2A61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72F4BA0C">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AB6EF28">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F26E4A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6C1E2BB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p>
        </w:tc>
      </w:tr>
      <w:tr w14:paraId="22F2883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41F21F6">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04DE407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color="auto" w:sz="4" w:space="0"/>
              <w:left w:val="single" w:color="auto" w:sz="4" w:space="0"/>
              <w:bottom w:val="single" w:color="auto" w:sz="4" w:space="0"/>
              <w:right w:val="single" w:color="auto" w:sz="4" w:space="0"/>
            </w:tcBorders>
            <w:vAlign w:val="center"/>
          </w:tcPr>
          <w:p w14:paraId="76F103B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5CD6037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6F1621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22ED02">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02CA496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color="auto" w:sz="4" w:space="0"/>
              <w:left w:val="single" w:color="auto" w:sz="4" w:space="0"/>
              <w:bottom w:val="single" w:color="auto" w:sz="4" w:space="0"/>
              <w:right w:val="single" w:color="auto" w:sz="4" w:space="0"/>
            </w:tcBorders>
            <w:vAlign w:val="center"/>
          </w:tcPr>
          <w:p w14:paraId="510D763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7F09ED81">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73D7E8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CE02BC">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61D523A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color="auto" w:sz="4" w:space="0"/>
              <w:left w:val="single" w:color="auto" w:sz="4" w:space="0"/>
              <w:bottom w:val="single" w:color="auto" w:sz="4" w:space="0"/>
              <w:right w:val="single" w:color="auto" w:sz="4" w:space="0"/>
            </w:tcBorders>
            <w:vAlign w:val="center"/>
          </w:tcPr>
          <w:p w14:paraId="7CDB6B9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E8AAEE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C9FF92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C49B93C">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07152CB7">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color="auto" w:sz="4" w:space="0"/>
              <w:left w:val="single" w:color="auto" w:sz="4" w:space="0"/>
              <w:bottom w:val="single" w:color="auto" w:sz="4" w:space="0"/>
              <w:right w:val="single" w:color="auto" w:sz="4" w:space="0"/>
            </w:tcBorders>
            <w:vAlign w:val="center"/>
          </w:tcPr>
          <w:p w14:paraId="65E879F6">
            <w:pPr>
              <w:widowControl/>
              <w:snapToGrid w:val="0"/>
              <w:jc w:val="right"/>
              <w:rPr>
                <w:rFonts w:ascii="宋体" w:hAnsi="宋体"/>
                <w:color w:val="000000"/>
                <w:kern w:val="0"/>
                <w:sz w:val="25"/>
                <w:szCs w:val="24"/>
              </w:rPr>
            </w:pPr>
            <w:r>
              <w:rPr>
                <w:rFonts w:ascii="Times New Roman" w:hAnsi="Times New Roman"/>
                <w:color w:val="000000"/>
                <w:kern w:val="0"/>
                <w:sz w:val="25"/>
                <w:szCs w:val="24"/>
              </w:rPr>
              <w:t>3,802,763,396.65</w:t>
            </w:r>
          </w:p>
        </w:tc>
        <w:tc>
          <w:tcPr>
            <w:tcW w:w="400" w:type="pct"/>
            <w:tcBorders>
              <w:top w:val="single" w:color="auto" w:sz="4" w:space="0"/>
              <w:left w:val="single" w:color="auto" w:sz="4" w:space="0"/>
              <w:bottom w:val="single" w:color="auto" w:sz="4" w:space="0"/>
              <w:right w:val="single" w:color="auto" w:sz="4" w:space="0"/>
            </w:tcBorders>
            <w:vAlign w:val="center"/>
          </w:tcPr>
          <w:p w14:paraId="542A58B3">
            <w:pPr>
              <w:widowControl/>
              <w:snapToGrid w:val="0"/>
              <w:jc w:val="right"/>
              <w:rPr>
                <w:rFonts w:ascii="宋体" w:hAnsi="宋体"/>
                <w:color w:val="000000"/>
                <w:kern w:val="0"/>
                <w:sz w:val="25"/>
                <w:szCs w:val="24"/>
              </w:rPr>
            </w:pPr>
            <w:r>
              <w:rPr>
                <w:rFonts w:ascii="Times New Roman" w:hAnsi="Times New Roman"/>
                <w:color w:val="000000"/>
                <w:kern w:val="0"/>
                <w:sz w:val="25"/>
                <w:szCs w:val="24"/>
              </w:rPr>
              <w:t>95.28</w:t>
            </w:r>
          </w:p>
        </w:tc>
      </w:tr>
      <w:tr w14:paraId="77516AA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57ADA1C">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12FF217A">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color="auto" w:sz="4" w:space="0"/>
              <w:left w:val="single" w:color="auto" w:sz="4" w:space="0"/>
              <w:bottom w:val="single" w:color="auto" w:sz="4" w:space="0"/>
              <w:right w:val="single" w:color="auto" w:sz="4" w:space="0"/>
            </w:tcBorders>
            <w:vAlign w:val="center"/>
          </w:tcPr>
          <w:p w14:paraId="15474901">
            <w:pPr>
              <w:widowControl/>
              <w:snapToGrid w:val="0"/>
              <w:jc w:val="right"/>
              <w:rPr>
                <w:rFonts w:ascii="宋体" w:hAnsi="宋体"/>
                <w:color w:val="000000"/>
                <w:kern w:val="0"/>
                <w:sz w:val="25"/>
                <w:szCs w:val="24"/>
              </w:rPr>
            </w:pPr>
            <w:r>
              <w:rPr>
                <w:rFonts w:ascii="Times New Roman" w:hAnsi="Times New Roman"/>
                <w:color w:val="000000"/>
                <w:kern w:val="0"/>
                <w:sz w:val="25"/>
                <w:szCs w:val="24"/>
              </w:rPr>
              <w:t>3,802,763,396.65</w:t>
            </w:r>
          </w:p>
        </w:tc>
        <w:tc>
          <w:tcPr>
            <w:tcW w:w="400" w:type="pct"/>
            <w:tcBorders>
              <w:top w:val="single" w:color="auto" w:sz="4" w:space="0"/>
              <w:left w:val="single" w:color="auto" w:sz="4" w:space="0"/>
              <w:bottom w:val="single" w:color="auto" w:sz="4" w:space="0"/>
              <w:right w:val="single" w:color="auto" w:sz="4" w:space="0"/>
            </w:tcBorders>
            <w:vAlign w:val="center"/>
          </w:tcPr>
          <w:p w14:paraId="6B0CBAF6">
            <w:pPr>
              <w:widowControl/>
              <w:snapToGrid w:val="0"/>
              <w:jc w:val="right"/>
              <w:rPr>
                <w:rFonts w:ascii="宋体" w:hAnsi="宋体"/>
                <w:color w:val="000000"/>
                <w:kern w:val="0"/>
                <w:sz w:val="25"/>
                <w:szCs w:val="24"/>
              </w:rPr>
            </w:pPr>
            <w:r>
              <w:rPr>
                <w:rFonts w:ascii="Times New Roman" w:hAnsi="Times New Roman"/>
                <w:color w:val="000000"/>
                <w:kern w:val="0"/>
                <w:sz w:val="25"/>
                <w:szCs w:val="24"/>
              </w:rPr>
              <w:t>95.28</w:t>
            </w:r>
          </w:p>
        </w:tc>
      </w:tr>
      <w:tr w14:paraId="7F60B42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77C702">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55FD23F1">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color="auto" w:sz="4" w:space="0"/>
              <w:left w:val="single" w:color="auto" w:sz="4" w:space="0"/>
              <w:bottom w:val="single" w:color="auto" w:sz="4" w:space="0"/>
              <w:right w:val="single" w:color="auto" w:sz="4" w:space="0"/>
            </w:tcBorders>
            <w:vAlign w:val="center"/>
          </w:tcPr>
          <w:p w14:paraId="3462F06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4AF9AB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4A8003C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90345C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4CD2D2AD">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color="auto" w:sz="4" w:space="0"/>
              <w:left w:val="single" w:color="auto" w:sz="4" w:space="0"/>
              <w:bottom w:val="single" w:color="auto" w:sz="4" w:space="0"/>
              <w:right w:val="single" w:color="auto" w:sz="4" w:space="0"/>
            </w:tcBorders>
            <w:vAlign w:val="center"/>
          </w:tcPr>
          <w:p w14:paraId="6568150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348A6AC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EA0322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E7A5AF8">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27C0F2F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color="auto" w:sz="4" w:space="0"/>
              <w:left w:val="single" w:color="auto" w:sz="4" w:space="0"/>
              <w:bottom w:val="single" w:color="auto" w:sz="4" w:space="0"/>
              <w:right w:val="single" w:color="auto" w:sz="4" w:space="0"/>
            </w:tcBorders>
            <w:vAlign w:val="center"/>
          </w:tcPr>
          <w:p w14:paraId="2255229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7B3461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7D0576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45263E3">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7D4370F6">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4FF32387">
            <w:pPr>
              <w:widowControl/>
              <w:snapToGrid w:val="0"/>
              <w:jc w:val="right"/>
              <w:rPr>
                <w:rFonts w:ascii="宋体" w:hAnsi="宋体"/>
                <w:color w:val="000000"/>
                <w:kern w:val="0"/>
                <w:sz w:val="25"/>
                <w:szCs w:val="24"/>
              </w:rPr>
            </w:pPr>
            <w:r>
              <w:rPr>
                <w:rFonts w:ascii="Times New Roman" w:hAnsi="Times New Roman"/>
                <w:color w:val="000000"/>
                <w:kern w:val="0"/>
                <w:sz w:val="25"/>
                <w:szCs w:val="24"/>
              </w:rPr>
              <w:t>6,998,482.20</w:t>
            </w:r>
          </w:p>
        </w:tc>
        <w:tc>
          <w:tcPr>
            <w:tcW w:w="400" w:type="pct"/>
            <w:tcBorders>
              <w:top w:val="single" w:color="auto" w:sz="4" w:space="0"/>
              <w:left w:val="single" w:color="auto" w:sz="4" w:space="0"/>
              <w:bottom w:val="single" w:color="auto" w:sz="4" w:space="0"/>
              <w:right w:val="single" w:color="auto" w:sz="4" w:space="0"/>
            </w:tcBorders>
            <w:vAlign w:val="center"/>
          </w:tcPr>
          <w:p w14:paraId="56990D9D">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14:paraId="769E035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BD0536">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02CE781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color="auto" w:sz="4" w:space="0"/>
              <w:left w:val="single" w:color="auto" w:sz="4" w:space="0"/>
              <w:bottom w:val="single" w:color="auto" w:sz="4" w:space="0"/>
              <w:right w:val="single" w:color="auto" w:sz="4" w:space="0"/>
            </w:tcBorders>
            <w:vAlign w:val="center"/>
          </w:tcPr>
          <w:p w14:paraId="3567E41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65A77F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55092A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8FC7A3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70FFAE83">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color="auto" w:sz="4" w:space="0"/>
              <w:left w:val="single" w:color="auto" w:sz="4" w:space="0"/>
              <w:bottom w:val="single" w:color="auto" w:sz="4" w:space="0"/>
              <w:right w:val="single" w:color="auto" w:sz="4" w:space="0"/>
            </w:tcBorders>
            <w:vAlign w:val="center"/>
          </w:tcPr>
          <w:p w14:paraId="0D5EEBBF">
            <w:pPr>
              <w:widowControl/>
              <w:snapToGrid w:val="0"/>
              <w:jc w:val="right"/>
              <w:rPr>
                <w:rFonts w:ascii="宋体" w:hAnsi="宋体"/>
                <w:color w:val="000000"/>
                <w:kern w:val="0"/>
                <w:sz w:val="25"/>
                <w:szCs w:val="24"/>
              </w:rPr>
            </w:pPr>
            <w:r>
              <w:rPr>
                <w:rFonts w:ascii="Times New Roman" w:hAnsi="Times New Roman"/>
                <w:color w:val="000000"/>
                <w:kern w:val="0"/>
                <w:sz w:val="25"/>
                <w:szCs w:val="24"/>
              </w:rPr>
              <w:t>27,226,535.13</w:t>
            </w:r>
          </w:p>
        </w:tc>
        <w:tc>
          <w:tcPr>
            <w:tcW w:w="400" w:type="pct"/>
            <w:tcBorders>
              <w:top w:val="single" w:color="auto" w:sz="4" w:space="0"/>
              <w:left w:val="single" w:color="auto" w:sz="4" w:space="0"/>
              <w:bottom w:val="single" w:color="auto" w:sz="4" w:space="0"/>
              <w:right w:val="single" w:color="auto" w:sz="4" w:space="0"/>
            </w:tcBorders>
            <w:vAlign w:val="center"/>
          </w:tcPr>
          <w:p w14:paraId="61BC7577">
            <w:pPr>
              <w:widowControl/>
              <w:snapToGrid w:val="0"/>
              <w:jc w:val="right"/>
              <w:rPr>
                <w:rFonts w:ascii="宋体" w:hAnsi="宋体"/>
                <w:color w:val="000000"/>
                <w:kern w:val="0"/>
                <w:sz w:val="25"/>
                <w:szCs w:val="24"/>
              </w:rPr>
            </w:pPr>
            <w:r>
              <w:rPr>
                <w:rFonts w:ascii="Times New Roman" w:hAnsi="Times New Roman"/>
                <w:color w:val="000000"/>
                <w:kern w:val="0"/>
                <w:sz w:val="25"/>
                <w:szCs w:val="24"/>
              </w:rPr>
              <w:t>0.68</w:t>
            </w:r>
          </w:p>
        </w:tc>
      </w:tr>
      <w:tr w14:paraId="2E0D3E4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25B5CC">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61627A4D">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color="auto" w:sz="4" w:space="0"/>
              <w:left w:val="single" w:color="auto" w:sz="4" w:space="0"/>
              <w:bottom w:val="single" w:color="auto" w:sz="4" w:space="0"/>
              <w:right w:val="single" w:color="auto" w:sz="4" w:space="0"/>
            </w:tcBorders>
            <w:vAlign w:val="center"/>
          </w:tcPr>
          <w:p w14:paraId="7A3F6720">
            <w:pPr>
              <w:widowControl/>
              <w:snapToGrid w:val="0"/>
              <w:jc w:val="right"/>
              <w:rPr>
                <w:rFonts w:ascii="宋体" w:hAnsi="宋体"/>
                <w:color w:val="000000"/>
                <w:kern w:val="0"/>
                <w:sz w:val="25"/>
                <w:szCs w:val="24"/>
              </w:rPr>
            </w:pPr>
            <w:r>
              <w:rPr>
                <w:rFonts w:ascii="Times New Roman" w:hAnsi="Times New Roman"/>
                <w:color w:val="000000"/>
                <w:kern w:val="0"/>
                <w:sz w:val="25"/>
                <w:szCs w:val="24"/>
              </w:rPr>
              <w:t>154,030,331.61</w:t>
            </w:r>
          </w:p>
        </w:tc>
        <w:tc>
          <w:tcPr>
            <w:tcW w:w="400" w:type="pct"/>
            <w:tcBorders>
              <w:top w:val="single" w:color="auto" w:sz="4" w:space="0"/>
              <w:left w:val="single" w:color="auto" w:sz="4" w:space="0"/>
              <w:bottom w:val="single" w:color="auto" w:sz="4" w:space="0"/>
              <w:right w:val="single" w:color="auto" w:sz="4" w:space="0"/>
            </w:tcBorders>
            <w:vAlign w:val="center"/>
          </w:tcPr>
          <w:p w14:paraId="5DB2AFFE">
            <w:pPr>
              <w:widowControl/>
              <w:snapToGrid w:val="0"/>
              <w:jc w:val="right"/>
              <w:rPr>
                <w:rFonts w:ascii="宋体" w:hAnsi="宋体"/>
                <w:color w:val="000000"/>
                <w:kern w:val="0"/>
                <w:sz w:val="25"/>
                <w:szCs w:val="24"/>
              </w:rPr>
            </w:pPr>
            <w:r>
              <w:rPr>
                <w:rFonts w:ascii="Times New Roman" w:hAnsi="Times New Roman"/>
                <w:color w:val="000000"/>
                <w:kern w:val="0"/>
                <w:sz w:val="25"/>
                <w:szCs w:val="24"/>
              </w:rPr>
              <w:t>3.86</w:t>
            </w:r>
          </w:p>
        </w:tc>
      </w:tr>
      <w:tr w14:paraId="6AD5AF4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98ADBF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1248A0E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6AF28D8B">
            <w:pPr>
              <w:widowControl/>
              <w:snapToGrid w:val="0"/>
              <w:jc w:val="right"/>
              <w:rPr>
                <w:rFonts w:ascii="宋体" w:hAnsi="宋体"/>
                <w:color w:val="000000"/>
                <w:kern w:val="0"/>
                <w:sz w:val="25"/>
                <w:szCs w:val="24"/>
              </w:rPr>
            </w:pPr>
            <w:r>
              <w:rPr>
                <w:rFonts w:ascii="Times New Roman" w:hAnsi="Times New Roman"/>
                <w:color w:val="000000"/>
                <w:kern w:val="0"/>
                <w:sz w:val="25"/>
                <w:szCs w:val="24"/>
              </w:rPr>
              <w:t>3,991,018,745.59</w:t>
            </w:r>
          </w:p>
        </w:tc>
        <w:tc>
          <w:tcPr>
            <w:tcW w:w="400" w:type="pct"/>
            <w:tcBorders>
              <w:top w:val="single" w:color="auto" w:sz="4" w:space="0"/>
              <w:left w:val="single" w:color="auto" w:sz="4" w:space="0"/>
              <w:bottom w:val="single" w:color="auto" w:sz="4" w:space="0"/>
              <w:right w:val="single" w:color="auto" w:sz="4" w:space="0"/>
            </w:tcBorders>
            <w:vAlign w:val="center"/>
          </w:tcPr>
          <w:p w14:paraId="57068198">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14:paraId="288570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2、报告期末按行业分类的股票投资组合</w:t>
      </w:r>
    </w:p>
    <w:p w14:paraId="6A4D24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 报告期末按行业分类的境内股票投资组合</w:t>
      </w:r>
    </w:p>
    <w:p w14:paraId="5A9C4C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62EA5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 报告期末按行业分类的港股通投资股票投资组合</w:t>
      </w:r>
    </w:p>
    <w:p w14:paraId="2EDDDE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75591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3、期末按公允价值占基金资产净值比例大小排序的股票投资明细</w:t>
      </w:r>
    </w:p>
    <w:p w14:paraId="623F30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3.1 报告期末按公允价值占基金资产净值比例大小排序的前十名股票投资明细</w:t>
      </w:r>
    </w:p>
    <w:p w14:paraId="72FA1C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559DB1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4、报告期末按债券品种分类的债券投资组合</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78598F0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16EDBE73">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4963B0F">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6A61C41">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117CAA8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11A0EE6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9FC458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33C58BBA">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color="auto" w:sz="4" w:space="0"/>
              <w:left w:val="single" w:color="auto" w:sz="4" w:space="0"/>
              <w:bottom w:val="single" w:color="auto" w:sz="4" w:space="0"/>
              <w:right w:val="single" w:color="auto" w:sz="4" w:space="0"/>
            </w:tcBorders>
            <w:vAlign w:val="center"/>
          </w:tcPr>
          <w:p w14:paraId="58526F0A">
            <w:pPr>
              <w:widowControl/>
              <w:snapToGrid w:val="0"/>
              <w:jc w:val="right"/>
              <w:rPr>
                <w:rFonts w:ascii="宋体" w:hAnsi="宋体"/>
                <w:color w:val="000000"/>
                <w:kern w:val="0"/>
                <w:sz w:val="25"/>
                <w:szCs w:val="24"/>
              </w:rPr>
            </w:pPr>
            <w:r>
              <w:rPr>
                <w:rFonts w:ascii="Times New Roman" w:hAnsi="Times New Roman"/>
                <w:color w:val="000000"/>
                <w:kern w:val="0"/>
                <w:sz w:val="25"/>
                <w:szCs w:val="24"/>
              </w:rPr>
              <w:t>191,330,139.73</w:t>
            </w:r>
          </w:p>
        </w:tc>
        <w:tc>
          <w:tcPr>
            <w:tcW w:w="400" w:type="pct"/>
            <w:tcBorders>
              <w:top w:val="single" w:color="auto" w:sz="4" w:space="0"/>
              <w:left w:val="single" w:color="auto" w:sz="4" w:space="0"/>
              <w:bottom w:val="single" w:color="auto" w:sz="4" w:space="0"/>
              <w:right w:val="single" w:color="auto" w:sz="4" w:space="0"/>
            </w:tcBorders>
            <w:vAlign w:val="center"/>
          </w:tcPr>
          <w:p w14:paraId="6C6CDCA8">
            <w:pPr>
              <w:widowControl/>
              <w:snapToGrid w:val="0"/>
              <w:jc w:val="right"/>
              <w:rPr>
                <w:rFonts w:ascii="宋体" w:hAnsi="宋体"/>
                <w:color w:val="000000"/>
                <w:kern w:val="0"/>
                <w:sz w:val="25"/>
                <w:szCs w:val="24"/>
              </w:rPr>
            </w:pPr>
            <w:r>
              <w:rPr>
                <w:rFonts w:ascii="Times New Roman" w:hAnsi="Times New Roman"/>
                <w:color w:val="000000"/>
                <w:kern w:val="0"/>
                <w:sz w:val="25"/>
                <w:szCs w:val="24"/>
              </w:rPr>
              <w:t>5.36</w:t>
            </w:r>
          </w:p>
        </w:tc>
      </w:tr>
      <w:tr w14:paraId="415EC26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F31C628">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3733DB40">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color="auto" w:sz="4" w:space="0"/>
              <w:left w:val="single" w:color="auto" w:sz="4" w:space="0"/>
              <w:bottom w:val="single" w:color="auto" w:sz="4" w:space="0"/>
              <w:right w:val="single" w:color="auto" w:sz="4" w:space="0"/>
            </w:tcBorders>
            <w:vAlign w:val="center"/>
          </w:tcPr>
          <w:p w14:paraId="5952048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69FB185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23ED07E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BD0E00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133233ED">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color="auto" w:sz="4" w:space="0"/>
              <w:left w:val="single" w:color="auto" w:sz="4" w:space="0"/>
              <w:bottom w:val="single" w:color="auto" w:sz="4" w:space="0"/>
              <w:right w:val="single" w:color="auto" w:sz="4" w:space="0"/>
            </w:tcBorders>
            <w:vAlign w:val="center"/>
          </w:tcPr>
          <w:p w14:paraId="5926352A">
            <w:pPr>
              <w:widowControl/>
              <w:snapToGrid w:val="0"/>
              <w:jc w:val="right"/>
              <w:rPr>
                <w:rFonts w:ascii="宋体" w:hAnsi="宋体"/>
                <w:color w:val="000000"/>
                <w:kern w:val="0"/>
                <w:sz w:val="25"/>
                <w:szCs w:val="24"/>
              </w:rPr>
            </w:pPr>
            <w:r>
              <w:rPr>
                <w:rFonts w:ascii="Times New Roman" w:hAnsi="Times New Roman"/>
                <w:color w:val="000000"/>
                <w:kern w:val="0"/>
                <w:sz w:val="25"/>
                <w:szCs w:val="24"/>
              </w:rPr>
              <w:t>832,797,586.28</w:t>
            </w:r>
          </w:p>
        </w:tc>
        <w:tc>
          <w:tcPr>
            <w:tcW w:w="400" w:type="pct"/>
            <w:tcBorders>
              <w:top w:val="single" w:color="auto" w:sz="4" w:space="0"/>
              <w:left w:val="single" w:color="auto" w:sz="4" w:space="0"/>
              <w:bottom w:val="single" w:color="auto" w:sz="4" w:space="0"/>
              <w:right w:val="single" w:color="auto" w:sz="4" w:space="0"/>
            </w:tcBorders>
            <w:vAlign w:val="center"/>
          </w:tcPr>
          <w:p w14:paraId="27BA612F">
            <w:pPr>
              <w:widowControl/>
              <w:snapToGrid w:val="0"/>
              <w:jc w:val="right"/>
              <w:rPr>
                <w:rFonts w:ascii="宋体" w:hAnsi="宋体"/>
                <w:color w:val="000000"/>
                <w:kern w:val="0"/>
                <w:sz w:val="25"/>
                <w:szCs w:val="24"/>
              </w:rPr>
            </w:pPr>
            <w:r>
              <w:rPr>
                <w:rFonts w:ascii="Times New Roman" w:hAnsi="Times New Roman"/>
                <w:color w:val="000000"/>
                <w:kern w:val="0"/>
                <w:sz w:val="25"/>
                <w:szCs w:val="24"/>
              </w:rPr>
              <w:t>23.31</w:t>
            </w:r>
          </w:p>
        </w:tc>
      </w:tr>
      <w:tr w14:paraId="24EB251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304CE78">
            <w:pPr>
              <w:widowControl/>
              <w:snapToGrid w:val="0"/>
              <w:jc w:val="center"/>
              <w:rPr>
                <w:rFonts w:ascii="宋体" w:hAnsi="宋体"/>
                <w:color w:val="000000"/>
                <w:kern w:val="0"/>
                <w:sz w:val="25"/>
                <w:szCs w:val="24"/>
              </w:rPr>
            </w:pPr>
            <w:r>
              <w:rPr>
                <w:rFonts w:ascii="Times New Roman" w:hAnsi="Times New Roman"/>
                <w:color w:val="000000"/>
                <w:kern w:val="0"/>
                <w:sz w:val="25"/>
                <w:szCs w:val="24"/>
              </w:rPr>
              <w:t>　</w:t>
            </w:r>
          </w:p>
        </w:tc>
        <w:tc>
          <w:tcPr>
            <w:tcW w:w="750" w:type="pct"/>
            <w:tcBorders>
              <w:top w:val="single" w:color="auto" w:sz="4" w:space="0"/>
              <w:left w:val="single" w:color="auto" w:sz="4" w:space="0"/>
              <w:bottom w:val="single" w:color="auto" w:sz="4" w:space="0"/>
              <w:right w:val="single" w:color="auto" w:sz="4" w:space="0"/>
            </w:tcBorders>
            <w:vAlign w:val="center"/>
          </w:tcPr>
          <w:p w14:paraId="36960F7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color="auto" w:sz="4" w:space="0"/>
              <w:left w:val="single" w:color="auto" w:sz="4" w:space="0"/>
              <w:bottom w:val="single" w:color="auto" w:sz="4" w:space="0"/>
              <w:right w:val="single" w:color="auto" w:sz="4" w:space="0"/>
            </w:tcBorders>
            <w:vAlign w:val="center"/>
          </w:tcPr>
          <w:p w14:paraId="19E0C338">
            <w:pPr>
              <w:widowControl/>
              <w:snapToGrid w:val="0"/>
              <w:jc w:val="right"/>
              <w:rPr>
                <w:rFonts w:ascii="宋体" w:hAnsi="宋体"/>
                <w:color w:val="000000"/>
                <w:kern w:val="0"/>
                <w:sz w:val="25"/>
                <w:szCs w:val="24"/>
              </w:rPr>
            </w:pPr>
            <w:r>
              <w:rPr>
                <w:rFonts w:ascii="Times New Roman" w:hAnsi="Times New Roman"/>
                <w:color w:val="000000"/>
                <w:kern w:val="0"/>
                <w:sz w:val="25"/>
                <w:szCs w:val="24"/>
              </w:rPr>
              <w:t>29,311,397.26</w:t>
            </w:r>
          </w:p>
        </w:tc>
        <w:tc>
          <w:tcPr>
            <w:tcW w:w="400" w:type="pct"/>
            <w:tcBorders>
              <w:top w:val="single" w:color="auto" w:sz="4" w:space="0"/>
              <w:left w:val="single" w:color="auto" w:sz="4" w:space="0"/>
              <w:bottom w:val="single" w:color="auto" w:sz="4" w:space="0"/>
              <w:right w:val="single" w:color="auto" w:sz="4" w:space="0"/>
            </w:tcBorders>
            <w:vAlign w:val="center"/>
          </w:tcPr>
          <w:p w14:paraId="3C766F62">
            <w:pPr>
              <w:widowControl/>
              <w:snapToGrid w:val="0"/>
              <w:jc w:val="right"/>
              <w:rPr>
                <w:rFonts w:ascii="宋体" w:hAnsi="宋体"/>
                <w:color w:val="000000"/>
                <w:kern w:val="0"/>
                <w:sz w:val="25"/>
                <w:szCs w:val="24"/>
              </w:rPr>
            </w:pPr>
            <w:r>
              <w:rPr>
                <w:rFonts w:ascii="Times New Roman" w:hAnsi="Times New Roman"/>
                <w:color w:val="000000"/>
                <w:kern w:val="0"/>
                <w:sz w:val="25"/>
                <w:szCs w:val="24"/>
              </w:rPr>
              <w:t>0.82</w:t>
            </w:r>
          </w:p>
        </w:tc>
      </w:tr>
      <w:tr w14:paraId="1468C06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D5372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42A0942C">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color="auto" w:sz="4" w:space="0"/>
              <w:left w:val="single" w:color="auto" w:sz="4" w:space="0"/>
              <w:bottom w:val="single" w:color="auto" w:sz="4" w:space="0"/>
              <w:right w:val="single" w:color="auto" w:sz="4" w:space="0"/>
            </w:tcBorders>
            <w:vAlign w:val="center"/>
          </w:tcPr>
          <w:p w14:paraId="662AA7FB">
            <w:pPr>
              <w:widowControl/>
              <w:snapToGrid w:val="0"/>
              <w:jc w:val="right"/>
              <w:rPr>
                <w:rFonts w:ascii="宋体" w:hAnsi="宋体"/>
                <w:color w:val="000000"/>
                <w:kern w:val="0"/>
                <w:sz w:val="25"/>
                <w:szCs w:val="24"/>
              </w:rPr>
            </w:pPr>
            <w:r>
              <w:rPr>
                <w:rFonts w:ascii="Times New Roman" w:hAnsi="Times New Roman"/>
                <w:color w:val="000000"/>
                <w:kern w:val="0"/>
                <w:sz w:val="25"/>
                <w:szCs w:val="24"/>
              </w:rPr>
              <w:t>348,164,763.29</w:t>
            </w:r>
          </w:p>
        </w:tc>
        <w:tc>
          <w:tcPr>
            <w:tcW w:w="400" w:type="pct"/>
            <w:tcBorders>
              <w:top w:val="single" w:color="auto" w:sz="4" w:space="0"/>
              <w:left w:val="single" w:color="auto" w:sz="4" w:space="0"/>
              <w:bottom w:val="single" w:color="auto" w:sz="4" w:space="0"/>
              <w:right w:val="single" w:color="auto" w:sz="4" w:space="0"/>
            </w:tcBorders>
            <w:vAlign w:val="center"/>
          </w:tcPr>
          <w:p w14:paraId="06539710">
            <w:pPr>
              <w:widowControl/>
              <w:snapToGrid w:val="0"/>
              <w:jc w:val="right"/>
              <w:rPr>
                <w:rFonts w:ascii="宋体" w:hAnsi="宋体"/>
                <w:color w:val="000000"/>
                <w:kern w:val="0"/>
                <w:sz w:val="25"/>
                <w:szCs w:val="24"/>
              </w:rPr>
            </w:pPr>
            <w:r>
              <w:rPr>
                <w:rFonts w:ascii="Times New Roman" w:hAnsi="Times New Roman"/>
                <w:color w:val="000000"/>
                <w:kern w:val="0"/>
                <w:sz w:val="25"/>
                <w:szCs w:val="24"/>
              </w:rPr>
              <w:t>9.75</w:t>
            </w:r>
          </w:p>
        </w:tc>
      </w:tr>
      <w:tr w14:paraId="03E1AF4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9F0599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731779BA">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color="auto" w:sz="4" w:space="0"/>
              <w:left w:val="single" w:color="auto" w:sz="4" w:space="0"/>
              <w:bottom w:val="single" w:color="auto" w:sz="4" w:space="0"/>
              <w:right w:val="single" w:color="auto" w:sz="4" w:space="0"/>
            </w:tcBorders>
            <w:vAlign w:val="center"/>
          </w:tcPr>
          <w:p w14:paraId="52C57F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2C2010E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7613BF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AF2BFC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495A186E">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color="auto" w:sz="4" w:space="0"/>
              <w:left w:val="single" w:color="auto" w:sz="4" w:space="0"/>
              <w:bottom w:val="single" w:color="auto" w:sz="4" w:space="0"/>
              <w:right w:val="single" w:color="auto" w:sz="4" w:space="0"/>
            </w:tcBorders>
            <w:vAlign w:val="center"/>
          </w:tcPr>
          <w:p w14:paraId="73BCA692">
            <w:pPr>
              <w:widowControl/>
              <w:snapToGrid w:val="0"/>
              <w:jc w:val="right"/>
              <w:rPr>
                <w:rFonts w:ascii="宋体" w:hAnsi="宋体"/>
                <w:color w:val="000000"/>
                <w:kern w:val="0"/>
                <w:sz w:val="25"/>
                <w:szCs w:val="24"/>
              </w:rPr>
            </w:pPr>
            <w:r>
              <w:rPr>
                <w:rFonts w:ascii="Times New Roman" w:hAnsi="Times New Roman"/>
                <w:color w:val="000000"/>
                <w:kern w:val="0"/>
                <w:sz w:val="25"/>
                <w:szCs w:val="24"/>
              </w:rPr>
              <w:t>1,947,149,372.24</w:t>
            </w:r>
          </w:p>
        </w:tc>
        <w:tc>
          <w:tcPr>
            <w:tcW w:w="400" w:type="pct"/>
            <w:tcBorders>
              <w:top w:val="single" w:color="auto" w:sz="4" w:space="0"/>
              <w:left w:val="single" w:color="auto" w:sz="4" w:space="0"/>
              <w:bottom w:val="single" w:color="auto" w:sz="4" w:space="0"/>
              <w:right w:val="single" w:color="auto" w:sz="4" w:space="0"/>
            </w:tcBorders>
            <w:vAlign w:val="center"/>
          </w:tcPr>
          <w:p w14:paraId="606576C4">
            <w:pPr>
              <w:widowControl/>
              <w:snapToGrid w:val="0"/>
              <w:jc w:val="right"/>
              <w:rPr>
                <w:rFonts w:ascii="宋体" w:hAnsi="宋体"/>
                <w:color w:val="000000"/>
                <w:kern w:val="0"/>
                <w:sz w:val="25"/>
                <w:szCs w:val="24"/>
              </w:rPr>
            </w:pPr>
            <w:r>
              <w:rPr>
                <w:rFonts w:ascii="Times New Roman" w:hAnsi="Times New Roman"/>
                <w:color w:val="000000"/>
                <w:kern w:val="0"/>
                <w:sz w:val="25"/>
                <w:szCs w:val="24"/>
              </w:rPr>
              <w:t>54.50</w:t>
            </w:r>
          </w:p>
        </w:tc>
      </w:tr>
      <w:tr w14:paraId="170F716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E3D384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56E8697F">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color="auto" w:sz="4" w:space="0"/>
              <w:left w:val="single" w:color="auto" w:sz="4" w:space="0"/>
              <w:bottom w:val="single" w:color="auto" w:sz="4" w:space="0"/>
              <w:right w:val="single" w:color="auto" w:sz="4" w:space="0"/>
            </w:tcBorders>
            <w:vAlign w:val="center"/>
          </w:tcPr>
          <w:p w14:paraId="3E5C553D">
            <w:pPr>
              <w:widowControl/>
              <w:snapToGrid w:val="0"/>
              <w:jc w:val="right"/>
              <w:rPr>
                <w:rFonts w:ascii="宋体" w:hAnsi="宋体"/>
                <w:color w:val="000000"/>
                <w:kern w:val="0"/>
                <w:sz w:val="25"/>
                <w:szCs w:val="24"/>
              </w:rPr>
            </w:pPr>
            <w:r>
              <w:rPr>
                <w:rFonts w:ascii="Times New Roman" w:hAnsi="Times New Roman"/>
                <w:color w:val="000000"/>
                <w:kern w:val="0"/>
                <w:sz w:val="25"/>
                <w:szCs w:val="24"/>
              </w:rPr>
              <w:t>483,321,535.11</w:t>
            </w:r>
          </w:p>
        </w:tc>
        <w:tc>
          <w:tcPr>
            <w:tcW w:w="400" w:type="pct"/>
            <w:tcBorders>
              <w:top w:val="single" w:color="auto" w:sz="4" w:space="0"/>
              <w:left w:val="single" w:color="auto" w:sz="4" w:space="0"/>
              <w:bottom w:val="single" w:color="auto" w:sz="4" w:space="0"/>
              <w:right w:val="single" w:color="auto" w:sz="4" w:space="0"/>
            </w:tcBorders>
            <w:vAlign w:val="center"/>
          </w:tcPr>
          <w:p w14:paraId="4AA1E9A3">
            <w:pPr>
              <w:widowControl/>
              <w:snapToGrid w:val="0"/>
              <w:jc w:val="right"/>
              <w:rPr>
                <w:rFonts w:ascii="宋体" w:hAnsi="宋体"/>
                <w:color w:val="000000"/>
                <w:kern w:val="0"/>
                <w:sz w:val="25"/>
                <w:szCs w:val="24"/>
              </w:rPr>
            </w:pPr>
            <w:r>
              <w:rPr>
                <w:rFonts w:ascii="Times New Roman" w:hAnsi="Times New Roman"/>
                <w:color w:val="000000"/>
                <w:kern w:val="0"/>
                <w:sz w:val="25"/>
                <w:szCs w:val="24"/>
              </w:rPr>
              <w:t>13.53</w:t>
            </w:r>
          </w:p>
        </w:tc>
      </w:tr>
      <w:tr w14:paraId="552FAA8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D631EA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72EF4DD9">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color="auto" w:sz="4" w:space="0"/>
              <w:left w:val="single" w:color="auto" w:sz="4" w:space="0"/>
              <w:bottom w:val="single" w:color="auto" w:sz="4" w:space="0"/>
              <w:right w:val="single" w:color="auto" w:sz="4" w:space="0"/>
            </w:tcBorders>
            <w:vAlign w:val="center"/>
          </w:tcPr>
          <w:p w14:paraId="5ACA50B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FC97186">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3FB6E6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AE9E16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6954DFCC">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color="auto" w:sz="4" w:space="0"/>
              <w:left w:val="single" w:color="auto" w:sz="4" w:space="0"/>
              <w:bottom w:val="single" w:color="auto" w:sz="4" w:space="0"/>
              <w:right w:val="single" w:color="auto" w:sz="4" w:space="0"/>
            </w:tcBorders>
            <w:vAlign w:val="center"/>
          </w:tcPr>
          <w:p w14:paraId="39F6368F">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color="auto" w:sz="4" w:space="0"/>
              <w:left w:val="single" w:color="auto" w:sz="4" w:space="0"/>
              <w:bottom w:val="single" w:color="auto" w:sz="4" w:space="0"/>
              <w:right w:val="single" w:color="auto" w:sz="4" w:space="0"/>
            </w:tcBorders>
            <w:vAlign w:val="center"/>
          </w:tcPr>
          <w:p w14:paraId="482B2BA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3C5ADF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0CF6FD">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428C9A16">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color="auto" w:sz="4" w:space="0"/>
              <w:left w:val="single" w:color="auto" w:sz="4" w:space="0"/>
              <w:bottom w:val="single" w:color="auto" w:sz="4" w:space="0"/>
              <w:right w:val="single" w:color="auto" w:sz="4" w:space="0"/>
            </w:tcBorders>
            <w:vAlign w:val="center"/>
          </w:tcPr>
          <w:p w14:paraId="23F215A3">
            <w:pPr>
              <w:widowControl/>
              <w:snapToGrid w:val="0"/>
              <w:jc w:val="right"/>
              <w:rPr>
                <w:rFonts w:ascii="宋体" w:hAnsi="宋体"/>
                <w:color w:val="000000"/>
                <w:kern w:val="0"/>
                <w:sz w:val="25"/>
                <w:szCs w:val="24"/>
              </w:rPr>
            </w:pPr>
            <w:r>
              <w:rPr>
                <w:rFonts w:ascii="Times New Roman" w:hAnsi="Times New Roman"/>
                <w:color w:val="000000"/>
                <w:kern w:val="0"/>
                <w:sz w:val="25"/>
                <w:szCs w:val="24"/>
              </w:rPr>
              <w:t>3,802,763,396.65</w:t>
            </w:r>
          </w:p>
        </w:tc>
        <w:tc>
          <w:tcPr>
            <w:tcW w:w="400" w:type="pct"/>
            <w:tcBorders>
              <w:top w:val="single" w:color="auto" w:sz="4" w:space="0"/>
              <w:left w:val="single" w:color="auto" w:sz="4" w:space="0"/>
              <w:bottom w:val="single" w:color="auto" w:sz="4" w:space="0"/>
              <w:right w:val="single" w:color="auto" w:sz="4" w:space="0"/>
            </w:tcBorders>
            <w:vAlign w:val="center"/>
          </w:tcPr>
          <w:p w14:paraId="3B6F62DC">
            <w:pPr>
              <w:widowControl/>
              <w:snapToGrid w:val="0"/>
              <w:jc w:val="right"/>
              <w:rPr>
                <w:rFonts w:ascii="宋体" w:hAnsi="宋体"/>
                <w:color w:val="000000"/>
                <w:kern w:val="0"/>
                <w:sz w:val="25"/>
                <w:szCs w:val="24"/>
              </w:rPr>
            </w:pPr>
            <w:r>
              <w:rPr>
                <w:rFonts w:ascii="Times New Roman" w:hAnsi="Times New Roman"/>
                <w:color w:val="000000"/>
                <w:kern w:val="0"/>
                <w:sz w:val="25"/>
                <w:szCs w:val="24"/>
              </w:rPr>
              <w:t>106.45</w:t>
            </w:r>
          </w:p>
        </w:tc>
      </w:tr>
    </w:tbl>
    <w:p w14:paraId="6BB131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5、报告期末按公允价值占基金资产净值比例大小排序的前五名债券投资明细</w:t>
      </w:r>
    </w:p>
    <w:tbl>
      <w:tblPr>
        <w:tblStyle w:val="14"/>
        <w:tblW w:w="5000" w:type="pct"/>
        <w:tblInd w:w="0" w:type="dxa"/>
        <w:tblLayout w:type="autofit"/>
        <w:tblCellMar>
          <w:top w:w="0" w:type="dxa"/>
          <w:left w:w="0" w:type="dxa"/>
          <w:bottom w:w="0" w:type="dxa"/>
          <w:right w:w="0" w:type="dxa"/>
        </w:tblCellMar>
      </w:tblPr>
      <w:tblGrid>
        <w:gridCol w:w="541"/>
        <w:gridCol w:w="1625"/>
        <w:gridCol w:w="1626"/>
        <w:gridCol w:w="1626"/>
        <w:gridCol w:w="1626"/>
        <w:gridCol w:w="1626"/>
      </w:tblGrid>
      <w:tr w14:paraId="7BE6C39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38A8087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32FFF92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62ADDD0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215B89DF">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D57DD06">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0A97E9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325F1C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E95B7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2A37F034">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232400014</w:t>
            </w:r>
          </w:p>
        </w:tc>
        <w:tc>
          <w:tcPr>
            <w:tcW w:w="750" w:type="pct"/>
            <w:tcBorders>
              <w:top w:val="single" w:color="auto" w:sz="4" w:space="0"/>
              <w:left w:val="single" w:color="auto" w:sz="4" w:space="0"/>
              <w:bottom w:val="single" w:color="auto" w:sz="4" w:space="0"/>
              <w:right w:val="single" w:color="auto" w:sz="4" w:space="0"/>
            </w:tcBorders>
            <w:vAlign w:val="center"/>
          </w:tcPr>
          <w:p w14:paraId="1793E1D4">
            <w:pPr>
              <w:widowControl/>
              <w:snapToGrid w:val="0"/>
              <w:jc w:val="center"/>
              <w:rPr>
                <w:rFonts w:ascii="宋体" w:hAnsi="宋体"/>
                <w:color w:val="000000"/>
                <w:kern w:val="0"/>
                <w:sz w:val="25"/>
                <w:szCs w:val="24"/>
              </w:rPr>
            </w:pPr>
            <w:r>
              <w:rPr>
                <w:rFonts w:ascii="Times New Roman" w:hAnsi="Times New Roman"/>
                <w:color w:val="000000"/>
                <w:kern w:val="0"/>
                <w:sz w:val="25"/>
                <w:szCs w:val="24"/>
              </w:rPr>
              <w:t>24民生银行二级资本债01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14:paraId="7CBDA5EF">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1,100,000</w:t>
            </w:r>
          </w:p>
        </w:tc>
        <w:tc>
          <w:tcPr>
            <w:tcW w:w="750" w:type="pct"/>
            <w:tcBorders>
              <w:top w:val="single" w:color="auto" w:sz="4" w:space="0"/>
              <w:left w:val="single" w:color="auto" w:sz="4" w:space="0"/>
              <w:bottom w:val="single" w:color="auto" w:sz="4" w:space="0"/>
              <w:right w:val="single" w:color="auto" w:sz="4" w:space="0"/>
            </w:tcBorders>
            <w:vAlign w:val="center"/>
          </w:tcPr>
          <w:p w14:paraId="3B641DAF">
            <w:pPr>
              <w:widowControl/>
              <w:snapToGrid w:val="0"/>
              <w:jc w:val="right"/>
              <w:rPr>
                <w:rFonts w:ascii="宋体" w:hAnsi="宋体"/>
                <w:color w:val="000000"/>
                <w:kern w:val="0"/>
                <w:sz w:val="25"/>
                <w:szCs w:val="24"/>
              </w:rPr>
            </w:pPr>
            <w:r>
              <w:rPr>
                <w:rFonts w:ascii="Times New Roman" w:hAnsi="Times New Roman"/>
                <w:color w:val="000000"/>
                <w:kern w:val="0"/>
                <w:sz w:val="25"/>
                <w:szCs w:val="24"/>
              </w:rPr>
              <w:t>111,396,246.58</w:t>
            </w:r>
          </w:p>
        </w:tc>
        <w:tc>
          <w:tcPr>
            <w:tcW w:w="750" w:type="pct"/>
            <w:tcBorders>
              <w:top w:val="single" w:color="auto" w:sz="4" w:space="0"/>
              <w:left w:val="single" w:color="auto" w:sz="4" w:space="0"/>
              <w:bottom w:val="single" w:color="auto" w:sz="4" w:space="0"/>
              <w:right w:val="single" w:color="auto" w:sz="4" w:space="0"/>
            </w:tcBorders>
            <w:vAlign w:val="center"/>
          </w:tcPr>
          <w:p w14:paraId="6F964D81">
            <w:pPr>
              <w:widowControl/>
              <w:snapToGrid w:val="0"/>
              <w:jc w:val="right"/>
              <w:rPr>
                <w:rFonts w:ascii="宋体" w:hAnsi="宋体"/>
                <w:color w:val="000000"/>
                <w:kern w:val="0"/>
                <w:sz w:val="25"/>
                <w:szCs w:val="24"/>
              </w:rPr>
            </w:pPr>
            <w:r>
              <w:rPr>
                <w:rFonts w:ascii="Times New Roman" w:hAnsi="Times New Roman"/>
                <w:color w:val="000000"/>
                <w:kern w:val="0"/>
                <w:sz w:val="25"/>
                <w:szCs w:val="24"/>
              </w:rPr>
              <w:t>3.12</w:t>
            </w:r>
          </w:p>
        </w:tc>
      </w:tr>
      <w:tr w14:paraId="442C6B3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FC9189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6CA64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232580006</w:t>
            </w:r>
          </w:p>
        </w:tc>
        <w:tc>
          <w:tcPr>
            <w:tcW w:w="750" w:type="pct"/>
            <w:tcBorders>
              <w:top w:val="single" w:color="auto" w:sz="4" w:space="0"/>
              <w:left w:val="single" w:color="auto" w:sz="4" w:space="0"/>
              <w:bottom w:val="single" w:color="auto" w:sz="4" w:space="0"/>
              <w:right w:val="single" w:color="auto" w:sz="4" w:space="0"/>
            </w:tcBorders>
            <w:vAlign w:val="center"/>
          </w:tcPr>
          <w:p w14:paraId="541916E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25民生银行二级资本债01</w:t>
            </w:r>
          </w:p>
        </w:tc>
        <w:tc>
          <w:tcPr>
            <w:tcW w:w="750" w:type="pct"/>
            <w:tcBorders>
              <w:top w:val="single" w:color="auto" w:sz="4" w:space="0"/>
              <w:left w:val="single" w:color="auto" w:sz="4" w:space="0"/>
              <w:bottom w:val="single" w:color="auto" w:sz="4" w:space="0"/>
              <w:right w:val="single" w:color="auto" w:sz="4" w:space="0"/>
            </w:tcBorders>
            <w:vAlign w:val="center"/>
          </w:tcPr>
          <w:p w14:paraId="49ADEB23">
            <w:pPr>
              <w:widowControl/>
              <w:snapToGrid w:val="0"/>
              <w:jc w:val="right"/>
              <w:rPr>
                <w:rFonts w:ascii="宋体" w:hAnsi="宋体"/>
                <w:color w:val="000000"/>
                <w:kern w:val="0"/>
                <w:sz w:val="25"/>
                <w:szCs w:val="24"/>
              </w:rPr>
            </w:pPr>
            <w:r>
              <w:rPr>
                <w:rFonts w:ascii="Times New Roman" w:hAnsi="Times New Roman"/>
                <w:color w:val="000000"/>
                <w:kern w:val="0"/>
                <w:sz w:val="25"/>
                <w:szCs w:val="24"/>
              </w:rPr>
              <w:t>1,100,000</w:t>
            </w:r>
          </w:p>
        </w:tc>
        <w:tc>
          <w:tcPr>
            <w:tcW w:w="750" w:type="pct"/>
            <w:tcBorders>
              <w:top w:val="single" w:color="auto" w:sz="4" w:space="0"/>
              <w:left w:val="single" w:color="auto" w:sz="4" w:space="0"/>
              <w:bottom w:val="single" w:color="auto" w:sz="4" w:space="0"/>
              <w:right w:val="single" w:color="auto" w:sz="4" w:space="0"/>
            </w:tcBorders>
            <w:vAlign w:val="center"/>
          </w:tcPr>
          <w:p w14:paraId="00EE2B32">
            <w:pPr>
              <w:widowControl/>
              <w:snapToGrid w:val="0"/>
              <w:jc w:val="right"/>
              <w:rPr>
                <w:rFonts w:ascii="宋体" w:hAnsi="宋体"/>
                <w:color w:val="000000"/>
                <w:kern w:val="0"/>
                <w:sz w:val="25"/>
                <w:szCs w:val="24"/>
              </w:rPr>
            </w:pPr>
            <w:r>
              <w:rPr>
                <w:rFonts w:ascii="Times New Roman" w:hAnsi="Times New Roman"/>
                <w:color w:val="000000"/>
                <w:kern w:val="0"/>
                <w:sz w:val="25"/>
                <w:szCs w:val="24"/>
              </w:rPr>
              <w:t>110,273,854.79</w:t>
            </w:r>
          </w:p>
        </w:tc>
        <w:tc>
          <w:tcPr>
            <w:tcW w:w="750" w:type="pct"/>
            <w:tcBorders>
              <w:top w:val="single" w:color="auto" w:sz="4" w:space="0"/>
              <w:left w:val="single" w:color="auto" w:sz="4" w:space="0"/>
              <w:bottom w:val="single" w:color="auto" w:sz="4" w:space="0"/>
              <w:right w:val="single" w:color="auto" w:sz="4" w:space="0"/>
            </w:tcBorders>
            <w:vAlign w:val="center"/>
          </w:tcPr>
          <w:p w14:paraId="4E68C049">
            <w:pPr>
              <w:widowControl/>
              <w:snapToGrid w:val="0"/>
              <w:jc w:val="right"/>
              <w:rPr>
                <w:rFonts w:ascii="宋体" w:hAnsi="宋体"/>
                <w:color w:val="000000"/>
                <w:kern w:val="0"/>
                <w:sz w:val="25"/>
                <w:szCs w:val="24"/>
              </w:rPr>
            </w:pPr>
            <w:r>
              <w:rPr>
                <w:rFonts w:ascii="Times New Roman" w:hAnsi="Times New Roman"/>
                <w:color w:val="000000"/>
                <w:kern w:val="0"/>
                <w:sz w:val="25"/>
                <w:szCs w:val="24"/>
              </w:rPr>
              <w:t>3.09</w:t>
            </w:r>
          </w:p>
        </w:tc>
      </w:tr>
      <w:tr w14:paraId="3B33FD0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35E0AC8">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615FFED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019773</w:t>
            </w:r>
          </w:p>
        </w:tc>
        <w:tc>
          <w:tcPr>
            <w:tcW w:w="750" w:type="pct"/>
            <w:tcBorders>
              <w:top w:val="single" w:color="auto" w:sz="4" w:space="0"/>
              <w:left w:val="single" w:color="auto" w:sz="4" w:space="0"/>
              <w:bottom w:val="single" w:color="auto" w:sz="4" w:space="0"/>
              <w:right w:val="single" w:color="auto" w:sz="4" w:space="0"/>
            </w:tcBorders>
            <w:vAlign w:val="center"/>
          </w:tcPr>
          <w:p w14:paraId="312A348F">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25国债08</w:t>
            </w:r>
          </w:p>
        </w:tc>
        <w:tc>
          <w:tcPr>
            <w:tcW w:w="750" w:type="pct"/>
            <w:tcBorders>
              <w:top w:val="single" w:color="auto" w:sz="4" w:space="0"/>
              <w:left w:val="single" w:color="auto" w:sz="4" w:space="0"/>
              <w:bottom w:val="single" w:color="auto" w:sz="4" w:space="0"/>
              <w:right w:val="single" w:color="auto" w:sz="4" w:space="0"/>
            </w:tcBorders>
            <w:vAlign w:val="center"/>
          </w:tcPr>
          <w:p w14:paraId="481ADE8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color="auto" w:sz="4" w:space="0"/>
              <w:left w:val="single" w:color="auto" w:sz="4" w:space="0"/>
              <w:bottom w:val="single" w:color="auto" w:sz="4" w:space="0"/>
              <w:right w:val="single" w:color="auto" w:sz="4" w:space="0"/>
            </w:tcBorders>
            <w:vAlign w:val="center"/>
          </w:tcPr>
          <w:p w14:paraId="677B6E8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100,634,328.77</w:t>
            </w:r>
          </w:p>
        </w:tc>
        <w:tc>
          <w:tcPr>
            <w:tcW w:w="750" w:type="pct"/>
            <w:tcBorders>
              <w:top w:val="single" w:color="auto" w:sz="4" w:space="0"/>
              <w:left w:val="single" w:color="auto" w:sz="4" w:space="0"/>
              <w:bottom w:val="single" w:color="auto" w:sz="4" w:space="0"/>
              <w:right w:val="single" w:color="auto" w:sz="4" w:space="0"/>
            </w:tcBorders>
            <w:vAlign w:val="center"/>
          </w:tcPr>
          <w:p w14:paraId="5D2EA6D4">
            <w:pPr>
              <w:widowControl/>
              <w:snapToGrid w:val="0"/>
              <w:jc w:val="right"/>
              <w:rPr>
                <w:rFonts w:ascii="宋体" w:hAnsi="宋体"/>
                <w:color w:val="000000"/>
                <w:kern w:val="0"/>
                <w:sz w:val="25"/>
                <w:szCs w:val="24"/>
              </w:rPr>
            </w:pPr>
            <w:r>
              <w:rPr>
                <w:rFonts w:ascii="Times New Roman" w:hAnsi="Times New Roman"/>
                <w:color w:val="000000"/>
                <w:kern w:val="0"/>
                <w:sz w:val="25"/>
                <w:szCs w:val="24"/>
              </w:rPr>
              <w:t>2.82</w:t>
            </w:r>
          </w:p>
        </w:tc>
      </w:tr>
      <w:tr w14:paraId="5A6EBDA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02918F">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E47163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019766</w:t>
            </w:r>
          </w:p>
        </w:tc>
        <w:tc>
          <w:tcPr>
            <w:tcW w:w="750" w:type="pct"/>
            <w:tcBorders>
              <w:top w:val="single" w:color="auto" w:sz="4" w:space="0"/>
              <w:left w:val="single" w:color="auto" w:sz="4" w:space="0"/>
              <w:bottom w:val="single" w:color="auto" w:sz="4" w:space="0"/>
              <w:right w:val="single" w:color="auto" w:sz="4" w:space="0"/>
            </w:tcBorders>
            <w:vAlign w:val="center"/>
          </w:tcPr>
          <w:p w14:paraId="000BD0A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25国债01</w:t>
            </w:r>
          </w:p>
        </w:tc>
        <w:tc>
          <w:tcPr>
            <w:tcW w:w="750" w:type="pct"/>
            <w:tcBorders>
              <w:top w:val="single" w:color="auto" w:sz="4" w:space="0"/>
              <w:left w:val="single" w:color="auto" w:sz="4" w:space="0"/>
              <w:bottom w:val="single" w:color="auto" w:sz="4" w:space="0"/>
              <w:right w:val="single" w:color="auto" w:sz="4" w:space="0"/>
            </w:tcBorders>
            <w:vAlign w:val="center"/>
          </w:tcPr>
          <w:p w14:paraId="31578731">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900,000</w:t>
            </w:r>
          </w:p>
        </w:tc>
        <w:tc>
          <w:tcPr>
            <w:tcW w:w="750" w:type="pct"/>
            <w:tcBorders>
              <w:top w:val="single" w:color="auto" w:sz="4" w:space="0"/>
              <w:left w:val="single" w:color="auto" w:sz="4" w:space="0"/>
              <w:bottom w:val="single" w:color="auto" w:sz="4" w:space="0"/>
              <w:right w:val="single" w:color="auto" w:sz="4" w:space="0"/>
            </w:tcBorders>
            <w:vAlign w:val="center"/>
          </w:tcPr>
          <w:p w14:paraId="73E6E9CD">
            <w:pPr>
              <w:widowControl/>
              <w:snapToGrid w:val="0"/>
              <w:jc w:val="right"/>
              <w:rPr>
                <w:rFonts w:ascii="宋体" w:hAnsi="宋体"/>
                <w:color w:val="000000"/>
                <w:kern w:val="0"/>
                <w:sz w:val="25"/>
                <w:szCs w:val="24"/>
              </w:rPr>
            </w:pPr>
            <w:r>
              <w:rPr>
                <w:rFonts w:ascii="Times New Roman" w:hAnsi="Times New Roman"/>
                <w:color w:val="000000"/>
                <w:kern w:val="0"/>
                <w:sz w:val="25"/>
                <w:szCs w:val="24"/>
              </w:rPr>
              <w:t>90,695,810.96</w:t>
            </w:r>
          </w:p>
        </w:tc>
        <w:tc>
          <w:tcPr>
            <w:tcW w:w="750" w:type="pct"/>
            <w:tcBorders>
              <w:top w:val="single" w:color="auto" w:sz="4" w:space="0"/>
              <w:left w:val="single" w:color="auto" w:sz="4" w:space="0"/>
              <w:bottom w:val="single" w:color="auto" w:sz="4" w:space="0"/>
              <w:right w:val="single" w:color="auto" w:sz="4" w:space="0"/>
            </w:tcBorders>
            <w:vAlign w:val="center"/>
          </w:tcPr>
          <w:p w14:paraId="6780779B">
            <w:pPr>
              <w:widowControl/>
              <w:snapToGrid w:val="0"/>
              <w:jc w:val="right"/>
              <w:rPr>
                <w:rFonts w:ascii="宋体" w:hAnsi="宋体"/>
                <w:color w:val="000000"/>
                <w:kern w:val="0"/>
                <w:sz w:val="25"/>
                <w:szCs w:val="24"/>
              </w:rPr>
            </w:pPr>
            <w:r>
              <w:rPr>
                <w:rFonts w:ascii="Times New Roman" w:hAnsi="Times New Roman"/>
                <w:color w:val="000000"/>
                <w:kern w:val="0"/>
                <w:sz w:val="25"/>
                <w:szCs w:val="24"/>
              </w:rPr>
              <w:t>2.54</w:t>
            </w:r>
          </w:p>
        </w:tc>
      </w:tr>
      <w:tr w14:paraId="579EBDA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EBF2BE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5D8238CC">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232580008</w:t>
            </w:r>
          </w:p>
        </w:tc>
        <w:tc>
          <w:tcPr>
            <w:tcW w:w="750" w:type="pct"/>
            <w:tcBorders>
              <w:top w:val="single" w:color="auto" w:sz="4" w:space="0"/>
              <w:left w:val="single" w:color="auto" w:sz="4" w:space="0"/>
              <w:bottom w:val="single" w:color="auto" w:sz="4" w:space="0"/>
              <w:right w:val="single" w:color="auto" w:sz="4" w:space="0"/>
            </w:tcBorders>
            <w:vAlign w:val="center"/>
          </w:tcPr>
          <w:p w14:paraId="1BCC854C">
            <w:pPr>
              <w:widowControl/>
              <w:snapToGrid w:val="0"/>
              <w:jc w:val="center"/>
              <w:rPr>
                <w:rFonts w:ascii="宋体" w:hAnsi="宋体"/>
                <w:color w:val="000000"/>
                <w:kern w:val="0"/>
                <w:sz w:val="25"/>
                <w:szCs w:val="24"/>
              </w:rPr>
            </w:pPr>
            <w:r>
              <w:rPr>
                <w:rFonts w:ascii="Times New Roman" w:hAnsi="Times New Roman"/>
                <w:color w:val="000000"/>
                <w:kern w:val="0"/>
                <w:sz w:val="25"/>
                <w:szCs w:val="24"/>
              </w:rPr>
              <w:t>25工行二级资本债02BC</w:t>
            </w:r>
          </w:p>
        </w:tc>
        <w:tc>
          <w:tcPr>
            <w:tcW w:w="750" w:type="pct"/>
            <w:tcBorders>
              <w:top w:val="single" w:color="auto" w:sz="4" w:space="0"/>
              <w:left w:val="single" w:color="auto" w:sz="4" w:space="0"/>
              <w:bottom w:val="single" w:color="auto" w:sz="4" w:space="0"/>
              <w:right w:val="single" w:color="auto" w:sz="4" w:space="0"/>
            </w:tcBorders>
            <w:vAlign w:val="center"/>
          </w:tcPr>
          <w:p w14:paraId="288F969B">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900,000</w:t>
            </w:r>
          </w:p>
        </w:tc>
        <w:tc>
          <w:tcPr>
            <w:tcW w:w="750" w:type="pct"/>
            <w:tcBorders>
              <w:top w:val="single" w:color="auto" w:sz="4" w:space="0"/>
              <w:left w:val="single" w:color="auto" w:sz="4" w:space="0"/>
              <w:bottom w:val="single" w:color="auto" w:sz="4" w:space="0"/>
              <w:right w:val="single" w:color="auto" w:sz="4" w:space="0"/>
            </w:tcBorders>
            <w:vAlign w:val="center"/>
          </w:tcPr>
          <w:p w14:paraId="48935A25">
            <w:pPr>
              <w:widowControl/>
              <w:snapToGrid w:val="0"/>
              <w:jc w:val="right"/>
              <w:rPr>
                <w:rFonts w:ascii="宋体" w:hAnsi="宋体"/>
                <w:color w:val="000000"/>
                <w:kern w:val="0"/>
                <w:sz w:val="25"/>
                <w:szCs w:val="24"/>
              </w:rPr>
            </w:pPr>
            <w:r>
              <w:rPr>
                <w:rFonts w:ascii="Times New Roman" w:hAnsi="Times New Roman"/>
                <w:color w:val="000000"/>
                <w:kern w:val="0"/>
                <w:sz w:val="25"/>
                <w:szCs w:val="24"/>
              </w:rPr>
              <w:t>89,863,486.03</w:t>
            </w:r>
          </w:p>
        </w:tc>
        <w:tc>
          <w:tcPr>
            <w:tcW w:w="750" w:type="pct"/>
            <w:tcBorders>
              <w:top w:val="single" w:color="auto" w:sz="4" w:space="0"/>
              <w:left w:val="single" w:color="auto" w:sz="4" w:space="0"/>
              <w:bottom w:val="single" w:color="auto" w:sz="4" w:space="0"/>
              <w:right w:val="single" w:color="auto" w:sz="4" w:space="0"/>
            </w:tcBorders>
            <w:vAlign w:val="center"/>
          </w:tcPr>
          <w:p w14:paraId="239DCE29">
            <w:pPr>
              <w:widowControl/>
              <w:snapToGrid w:val="0"/>
              <w:jc w:val="right"/>
              <w:rPr>
                <w:rFonts w:ascii="宋体" w:hAnsi="宋体"/>
                <w:color w:val="000000"/>
                <w:kern w:val="0"/>
                <w:sz w:val="25"/>
                <w:szCs w:val="24"/>
              </w:rPr>
            </w:pPr>
            <w:r>
              <w:rPr>
                <w:rFonts w:ascii="Times New Roman" w:hAnsi="Times New Roman"/>
                <w:color w:val="000000"/>
                <w:kern w:val="0"/>
                <w:sz w:val="25"/>
                <w:szCs w:val="24"/>
              </w:rPr>
              <w:t>2.52</w:t>
            </w:r>
          </w:p>
        </w:tc>
      </w:tr>
    </w:tbl>
    <w:p w14:paraId="7F295CE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6、报告期末按公允价值占基金资产净值比例大小排序的前十名资产支持证券投资明细</w:t>
      </w:r>
    </w:p>
    <w:p w14:paraId="5C0657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3E7DB7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7、报告期末按公允价值占基金资产净值比例大小排序的前五名贵金属投资明细</w:t>
      </w:r>
    </w:p>
    <w:p w14:paraId="276D7C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D9358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8、报告期末按公允价值占基金资产净值比例大小排序的前五名权证投资明细</w:t>
      </w:r>
    </w:p>
    <w:p w14:paraId="4D9CC9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4CF2FF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9、报告期末本基金投资的国债期货交易情况说明</w:t>
      </w:r>
    </w:p>
    <w:p w14:paraId="70C0B5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9.1 本期国债期货投资政策</w:t>
      </w:r>
    </w:p>
    <w:p w14:paraId="1E0D63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274FFF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9.2 报告期末本基金投资的国债期货持仓和损益明细</w:t>
      </w:r>
    </w:p>
    <w:p w14:paraId="57D66B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6CC4F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9.3 本期国债期货投资评价</w:t>
      </w:r>
    </w:p>
    <w:p w14:paraId="7733A6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1A8204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10、投资组合报告附注</w:t>
      </w:r>
    </w:p>
    <w:p w14:paraId="209955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14:paraId="58B8EE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14:paraId="1966C5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2025年01月27日,央行公示银罚决字[2024]44号行政处罚决定书,给予中国民生银行股份有限公司1705.5万元人民币的行政处罚，并没收违法所得99.07万元。</w:t>
      </w:r>
    </w:p>
    <w:p w14:paraId="03AB29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2025年09月12日,国家金融监督管理总局公示行政处罚,给予中国民生银行股份有限公司590万元人民币的行政处罚。</w:t>
      </w:r>
    </w:p>
    <w:p w14:paraId="7FA2FD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本基金管理人对证券投资决策程序的说明如下：本基金管理人对证券投资特别是重仓证券的投资有严格的投资决策流程控制，对上述主体发行证券的投资决策程序符合公司投资制度的规定。</w:t>
      </w:r>
    </w:p>
    <w:p w14:paraId="600F52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　　除上述主体外，本基金投资的前十名证券的其他发行主体本期没有出现被监管部门立案调查，或在报告编制日前一年内受到公开谴责、处罚的情形。</w:t>
      </w:r>
    </w:p>
    <w:p w14:paraId="56BEBE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10.2 基金投资的前十名股票是否超出基金合同规定的备选股票库</w:t>
      </w:r>
    </w:p>
    <w:p w14:paraId="333EAE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基金投资的前十名股票中，没有超出基金合同规定的备选股票库之外的股票。</w:t>
      </w:r>
    </w:p>
    <w:p w14:paraId="56BD00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10.3 其他资产构成</w:t>
      </w:r>
    </w:p>
    <w:tbl>
      <w:tblPr>
        <w:tblStyle w:val="14"/>
        <w:tblW w:w="5000" w:type="pct"/>
        <w:tblInd w:w="0" w:type="dxa"/>
        <w:tblLayout w:type="autofit"/>
        <w:tblCellMar>
          <w:top w:w="0" w:type="dxa"/>
          <w:left w:w="0" w:type="dxa"/>
          <w:bottom w:w="0" w:type="dxa"/>
          <w:right w:w="0" w:type="dxa"/>
        </w:tblCellMar>
      </w:tblPr>
      <w:tblGrid>
        <w:gridCol w:w="1548"/>
        <w:gridCol w:w="4645"/>
        <w:gridCol w:w="2477"/>
      </w:tblGrid>
      <w:tr w14:paraId="34D3A3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748405E1">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1720D0B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color="auto" w:sz="4" w:space="0"/>
              <w:left w:val="single" w:color="auto" w:sz="4" w:space="0"/>
              <w:bottom w:val="single" w:color="auto" w:sz="4" w:space="0"/>
              <w:right w:val="single" w:color="auto" w:sz="4" w:space="0"/>
            </w:tcBorders>
            <w:shd w:val="clear" w:color="auto" w:fill="D9D9D9"/>
            <w:vAlign w:val="center"/>
          </w:tcPr>
          <w:p w14:paraId="2D75E498">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14:paraId="05371C0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9F51E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2E7395B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color="auto" w:sz="4" w:space="0"/>
              <w:left w:val="single" w:color="auto" w:sz="4" w:space="0"/>
              <w:bottom w:val="single" w:color="auto" w:sz="4" w:space="0"/>
              <w:right w:val="single" w:color="auto" w:sz="4" w:space="0"/>
            </w:tcBorders>
            <w:vAlign w:val="center"/>
          </w:tcPr>
          <w:p w14:paraId="7C45A023">
            <w:pPr>
              <w:widowControl/>
              <w:snapToGrid w:val="0"/>
              <w:jc w:val="right"/>
              <w:rPr>
                <w:rFonts w:ascii="宋体" w:hAnsi="宋体"/>
                <w:color w:val="000000"/>
                <w:kern w:val="0"/>
                <w:sz w:val="25"/>
                <w:szCs w:val="24"/>
              </w:rPr>
            </w:pPr>
            <w:r>
              <w:rPr>
                <w:rFonts w:ascii="Times New Roman" w:hAnsi="Times New Roman"/>
                <w:color w:val="000000"/>
                <w:kern w:val="0"/>
                <w:sz w:val="25"/>
                <w:szCs w:val="24"/>
              </w:rPr>
              <w:t>51,073.31</w:t>
            </w:r>
          </w:p>
        </w:tc>
      </w:tr>
      <w:tr w14:paraId="5B1232A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A14CE1">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5AF7B00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color="auto" w:sz="4" w:space="0"/>
              <w:left w:val="single" w:color="auto" w:sz="4" w:space="0"/>
              <w:bottom w:val="single" w:color="auto" w:sz="4" w:space="0"/>
              <w:right w:val="single" w:color="auto" w:sz="4" w:space="0"/>
            </w:tcBorders>
            <w:vAlign w:val="center"/>
          </w:tcPr>
          <w:p w14:paraId="0E36CFED">
            <w:pPr>
              <w:widowControl/>
              <w:snapToGrid w:val="0"/>
              <w:jc w:val="right"/>
              <w:rPr>
                <w:rFonts w:ascii="宋体" w:hAnsi="宋体"/>
                <w:color w:val="000000"/>
                <w:kern w:val="0"/>
                <w:sz w:val="25"/>
                <w:szCs w:val="24"/>
              </w:rPr>
            </w:pPr>
            <w:r>
              <w:rPr>
                <w:rFonts w:ascii="Times New Roman" w:hAnsi="Times New Roman"/>
                <w:color w:val="000000"/>
                <w:kern w:val="0"/>
                <w:sz w:val="25"/>
                <w:szCs w:val="24"/>
              </w:rPr>
              <w:t>1,805,451.97</w:t>
            </w:r>
          </w:p>
        </w:tc>
      </w:tr>
      <w:tr w14:paraId="7E8B829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A69D26">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3DE95FD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color="auto" w:sz="4" w:space="0"/>
              <w:left w:val="single" w:color="auto" w:sz="4" w:space="0"/>
              <w:bottom w:val="single" w:color="auto" w:sz="4" w:space="0"/>
              <w:right w:val="single" w:color="auto" w:sz="4" w:space="0"/>
            </w:tcBorders>
            <w:vAlign w:val="center"/>
          </w:tcPr>
          <w:p w14:paraId="492FD51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18567D6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78E112C">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08D48BBA">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color="auto" w:sz="4" w:space="0"/>
              <w:left w:val="single" w:color="auto" w:sz="4" w:space="0"/>
              <w:bottom w:val="single" w:color="auto" w:sz="4" w:space="0"/>
              <w:right w:val="single" w:color="auto" w:sz="4" w:space="0"/>
            </w:tcBorders>
            <w:vAlign w:val="center"/>
          </w:tcPr>
          <w:p w14:paraId="24A921D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168974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D4696F">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1FA95A6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color="auto" w:sz="4" w:space="0"/>
              <w:left w:val="single" w:color="auto" w:sz="4" w:space="0"/>
              <w:bottom w:val="single" w:color="auto" w:sz="4" w:space="0"/>
              <w:right w:val="single" w:color="auto" w:sz="4" w:space="0"/>
            </w:tcBorders>
            <w:vAlign w:val="center"/>
          </w:tcPr>
          <w:p w14:paraId="664E1CBD">
            <w:pPr>
              <w:widowControl/>
              <w:snapToGrid w:val="0"/>
              <w:jc w:val="right"/>
              <w:rPr>
                <w:rFonts w:ascii="宋体" w:hAnsi="宋体"/>
                <w:color w:val="000000"/>
                <w:kern w:val="0"/>
                <w:sz w:val="25"/>
                <w:szCs w:val="24"/>
              </w:rPr>
            </w:pPr>
            <w:r>
              <w:rPr>
                <w:rFonts w:ascii="Times New Roman" w:hAnsi="Times New Roman"/>
                <w:color w:val="000000"/>
                <w:kern w:val="0"/>
                <w:sz w:val="25"/>
                <w:szCs w:val="24"/>
              </w:rPr>
              <w:t>152,173,806.33</w:t>
            </w:r>
          </w:p>
        </w:tc>
      </w:tr>
      <w:tr w14:paraId="4D3C5FA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11E4DE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6365869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color="auto" w:sz="4" w:space="0"/>
              <w:left w:val="single" w:color="auto" w:sz="4" w:space="0"/>
              <w:bottom w:val="single" w:color="auto" w:sz="4" w:space="0"/>
              <w:right w:val="single" w:color="auto" w:sz="4" w:space="0"/>
            </w:tcBorders>
            <w:vAlign w:val="center"/>
          </w:tcPr>
          <w:p w14:paraId="7A4466DD">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453FFB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0337A9A">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69097CF1">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color="auto" w:sz="4" w:space="0"/>
              <w:left w:val="single" w:color="auto" w:sz="4" w:space="0"/>
              <w:bottom w:val="single" w:color="auto" w:sz="4" w:space="0"/>
              <w:right w:val="single" w:color="auto" w:sz="4" w:space="0"/>
            </w:tcBorders>
            <w:vAlign w:val="center"/>
          </w:tcPr>
          <w:p w14:paraId="0D5FF6C8">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14:paraId="5712F4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770F7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79A3B22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color="auto" w:sz="4" w:space="0"/>
              <w:left w:val="single" w:color="auto" w:sz="4" w:space="0"/>
              <w:bottom w:val="single" w:color="auto" w:sz="4" w:space="0"/>
              <w:right w:val="single" w:color="auto" w:sz="4" w:space="0"/>
            </w:tcBorders>
            <w:vAlign w:val="center"/>
          </w:tcPr>
          <w:p w14:paraId="11362806">
            <w:pPr>
              <w:widowControl/>
              <w:snapToGrid w:val="0"/>
              <w:jc w:val="right"/>
              <w:rPr>
                <w:rFonts w:ascii="宋体" w:hAnsi="宋体"/>
                <w:color w:val="000000"/>
                <w:kern w:val="0"/>
                <w:sz w:val="25"/>
                <w:szCs w:val="24"/>
              </w:rPr>
            </w:pPr>
            <w:r>
              <w:rPr>
                <w:rFonts w:ascii="Times New Roman" w:hAnsi="Times New Roman"/>
                <w:color w:val="000000"/>
                <w:kern w:val="0"/>
                <w:sz w:val="25"/>
                <w:szCs w:val="24"/>
              </w:rPr>
              <w:t>154,030,331.61</w:t>
            </w:r>
          </w:p>
        </w:tc>
      </w:tr>
    </w:tbl>
    <w:p w14:paraId="03D023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10.4 报告期末持有的处于转股期的可转换债券明细</w:t>
      </w:r>
    </w:p>
    <w:tbl>
      <w:tblPr>
        <w:tblStyle w:val="14"/>
        <w:tblW w:w="5000" w:type="pct"/>
        <w:tblInd w:w="0" w:type="dxa"/>
        <w:tblLayout w:type="autofit"/>
        <w:tblCellMar>
          <w:top w:w="0" w:type="dxa"/>
          <w:left w:w="0" w:type="dxa"/>
          <w:bottom w:w="0" w:type="dxa"/>
          <w:right w:w="0" w:type="dxa"/>
        </w:tblCellMar>
      </w:tblPr>
      <w:tblGrid>
        <w:gridCol w:w="666"/>
        <w:gridCol w:w="2001"/>
        <w:gridCol w:w="2001"/>
        <w:gridCol w:w="2001"/>
        <w:gridCol w:w="2001"/>
      </w:tblGrid>
      <w:tr w14:paraId="6B0AC2A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shd w:val="clear" w:color="auto" w:fill="D9D9D9"/>
            <w:vAlign w:val="center"/>
          </w:tcPr>
          <w:p w14:paraId="470561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7624961">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59B78A6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4E98CCC8">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color="auto" w:sz="4" w:space="0"/>
              <w:left w:val="single" w:color="auto" w:sz="4" w:space="0"/>
              <w:bottom w:val="single" w:color="auto" w:sz="4" w:space="0"/>
              <w:right w:val="single" w:color="auto" w:sz="4" w:space="0"/>
            </w:tcBorders>
            <w:shd w:val="clear" w:color="auto" w:fill="D9D9D9"/>
            <w:vAlign w:val="center"/>
          </w:tcPr>
          <w:p w14:paraId="7F839C8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p>
        </w:tc>
      </w:tr>
      <w:tr w14:paraId="55C1DA8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2D363D">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5B33EDD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127061</w:t>
            </w:r>
          </w:p>
        </w:tc>
        <w:tc>
          <w:tcPr>
            <w:tcW w:w="750" w:type="pct"/>
            <w:tcBorders>
              <w:top w:val="single" w:color="auto" w:sz="4" w:space="0"/>
              <w:left w:val="single" w:color="auto" w:sz="4" w:space="0"/>
              <w:bottom w:val="single" w:color="auto" w:sz="4" w:space="0"/>
              <w:right w:val="single" w:color="auto" w:sz="4" w:space="0"/>
            </w:tcBorders>
            <w:vAlign w:val="center"/>
          </w:tcPr>
          <w:p w14:paraId="1C048961">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美锦转债</w:t>
            </w:r>
          </w:p>
        </w:tc>
        <w:tc>
          <w:tcPr>
            <w:tcW w:w="750" w:type="pct"/>
            <w:tcBorders>
              <w:top w:val="single" w:color="auto" w:sz="4" w:space="0"/>
              <w:left w:val="single" w:color="auto" w:sz="4" w:space="0"/>
              <w:bottom w:val="single" w:color="auto" w:sz="4" w:space="0"/>
              <w:right w:val="single" w:color="auto" w:sz="4" w:space="0"/>
            </w:tcBorders>
            <w:vAlign w:val="center"/>
          </w:tcPr>
          <w:p w14:paraId="32293E23">
            <w:pPr>
              <w:widowControl/>
              <w:snapToGrid w:val="0"/>
              <w:jc w:val="right"/>
              <w:rPr>
                <w:rFonts w:ascii="宋体" w:hAnsi="宋体"/>
                <w:color w:val="000000"/>
                <w:kern w:val="0"/>
                <w:sz w:val="25"/>
                <w:szCs w:val="24"/>
              </w:rPr>
            </w:pPr>
            <w:r>
              <w:rPr>
                <w:rFonts w:ascii="Times New Roman" w:hAnsi="Times New Roman"/>
                <w:color w:val="000000"/>
                <w:kern w:val="0"/>
                <w:sz w:val="25"/>
                <w:szCs w:val="24"/>
              </w:rPr>
              <w:t>18,450,905.01</w:t>
            </w:r>
          </w:p>
        </w:tc>
        <w:tc>
          <w:tcPr>
            <w:tcW w:w="750" w:type="pct"/>
            <w:tcBorders>
              <w:top w:val="single" w:color="auto" w:sz="4" w:space="0"/>
              <w:left w:val="single" w:color="auto" w:sz="4" w:space="0"/>
              <w:bottom w:val="single" w:color="auto" w:sz="4" w:space="0"/>
              <w:right w:val="single" w:color="auto" w:sz="4" w:space="0"/>
            </w:tcBorders>
            <w:vAlign w:val="center"/>
          </w:tcPr>
          <w:p w14:paraId="179E0E3B">
            <w:pPr>
              <w:widowControl/>
              <w:snapToGrid w:val="0"/>
              <w:jc w:val="right"/>
              <w:rPr>
                <w:rFonts w:ascii="宋体" w:hAnsi="宋体"/>
                <w:color w:val="000000"/>
                <w:kern w:val="0"/>
                <w:sz w:val="25"/>
                <w:szCs w:val="24"/>
              </w:rPr>
            </w:pPr>
            <w:r>
              <w:rPr>
                <w:rFonts w:ascii="Times New Roman" w:hAnsi="Times New Roman"/>
                <w:color w:val="000000"/>
                <w:kern w:val="0"/>
                <w:sz w:val="25"/>
                <w:szCs w:val="24"/>
              </w:rPr>
              <w:t>0.52</w:t>
            </w:r>
          </w:p>
        </w:tc>
      </w:tr>
      <w:tr w14:paraId="54C95F6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61B51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002268A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110081</w:t>
            </w:r>
          </w:p>
        </w:tc>
        <w:tc>
          <w:tcPr>
            <w:tcW w:w="750" w:type="pct"/>
            <w:tcBorders>
              <w:top w:val="single" w:color="auto" w:sz="4" w:space="0"/>
              <w:left w:val="single" w:color="auto" w:sz="4" w:space="0"/>
              <w:bottom w:val="single" w:color="auto" w:sz="4" w:space="0"/>
              <w:right w:val="single" w:color="auto" w:sz="4" w:space="0"/>
            </w:tcBorders>
            <w:vAlign w:val="center"/>
          </w:tcPr>
          <w:p w14:paraId="700C18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闻泰转债</w:t>
            </w:r>
          </w:p>
        </w:tc>
        <w:tc>
          <w:tcPr>
            <w:tcW w:w="750" w:type="pct"/>
            <w:tcBorders>
              <w:top w:val="single" w:color="auto" w:sz="4" w:space="0"/>
              <w:left w:val="single" w:color="auto" w:sz="4" w:space="0"/>
              <w:bottom w:val="single" w:color="auto" w:sz="4" w:space="0"/>
              <w:right w:val="single" w:color="auto" w:sz="4" w:space="0"/>
            </w:tcBorders>
            <w:vAlign w:val="center"/>
          </w:tcPr>
          <w:p w14:paraId="1D3E9134">
            <w:pPr>
              <w:widowControl/>
              <w:snapToGrid w:val="0"/>
              <w:jc w:val="right"/>
              <w:rPr>
                <w:rFonts w:ascii="宋体" w:hAnsi="宋体"/>
                <w:color w:val="000000"/>
                <w:kern w:val="0"/>
                <w:sz w:val="25"/>
                <w:szCs w:val="24"/>
              </w:rPr>
            </w:pPr>
            <w:r>
              <w:rPr>
                <w:rFonts w:ascii="Times New Roman" w:hAnsi="Times New Roman"/>
                <w:color w:val="000000"/>
                <w:kern w:val="0"/>
                <w:sz w:val="25"/>
                <w:szCs w:val="24"/>
              </w:rPr>
              <w:t>17,813,673.45</w:t>
            </w:r>
          </w:p>
        </w:tc>
        <w:tc>
          <w:tcPr>
            <w:tcW w:w="750" w:type="pct"/>
            <w:tcBorders>
              <w:top w:val="single" w:color="auto" w:sz="4" w:space="0"/>
              <w:left w:val="single" w:color="auto" w:sz="4" w:space="0"/>
              <w:bottom w:val="single" w:color="auto" w:sz="4" w:space="0"/>
              <w:right w:val="single" w:color="auto" w:sz="4" w:space="0"/>
            </w:tcBorders>
            <w:vAlign w:val="center"/>
          </w:tcPr>
          <w:p w14:paraId="7DB66D07">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r w14:paraId="3C6CF63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000D313">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3F4D85C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118034</w:t>
            </w:r>
          </w:p>
        </w:tc>
        <w:tc>
          <w:tcPr>
            <w:tcW w:w="750" w:type="pct"/>
            <w:tcBorders>
              <w:top w:val="single" w:color="auto" w:sz="4" w:space="0"/>
              <w:left w:val="single" w:color="auto" w:sz="4" w:space="0"/>
              <w:bottom w:val="single" w:color="auto" w:sz="4" w:space="0"/>
              <w:right w:val="single" w:color="auto" w:sz="4" w:space="0"/>
            </w:tcBorders>
            <w:vAlign w:val="center"/>
          </w:tcPr>
          <w:p w14:paraId="119EAF7C">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晶能转债</w:t>
            </w:r>
          </w:p>
        </w:tc>
        <w:tc>
          <w:tcPr>
            <w:tcW w:w="750" w:type="pct"/>
            <w:tcBorders>
              <w:top w:val="single" w:color="auto" w:sz="4" w:space="0"/>
              <w:left w:val="single" w:color="auto" w:sz="4" w:space="0"/>
              <w:bottom w:val="single" w:color="auto" w:sz="4" w:space="0"/>
              <w:right w:val="single" w:color="auto" w:sz="4" w:space="0"/>
            </w:tcBorders>
            <w:vAlign w:val="center"/>
          </w:tcPr>
          <w:p w14:paraId="753E77A4">
            <w:pPr>
              <w:widowControl/>
              <w:snapToGrid w:val="0"/>
              <w:jc w:val="right"/>
              <w:rPr>
                <w:rFonts w:ascii="宋体" w:hAnsi="宋体"/>
                <w:color w:val="000000"/>
                <w:kern w:val="0"/>
                <w:sz w:val="25"/>
                <w:szCs w:val="24"/>
              </w:rPr>
            </w:pPr>
            <w:r>
              <w:rPr>
                <w:rFonts w:ascii="Times New Roman" w:hAnsi="Times New Roman"/>
                <w:color w:val="000000"/>
                <w:kern w:val="0"/>
                <w:sz w:val="25"/>
                <w:szCs w:val="24"/>
              </w:rPr>
              <w:t>16,341,777.22</w:t>
            </w:r>
          </w:p>
        </w:tc>
        <w:tc>
          <w:tcPr>
            <w:tcW w:w="750" w:type="pct"/>
            <w:tcBorders>
              <w:top w:val="single" w:color="auto" w:sz="4" w:space="0"/>
              <w:left w:val="single" w:color="auto" w:sz="4" w:space="0"/>
              <w:bottom w:val="single" w:color="auto" w:sz="4" w:space="0"/>
              <w:right w:val="single" w:color="auto" w:sz="4" w:space="0"/>
            </w:tcBorders>
            <w:vAlign w:val="center"/>
          </w:tcPr>
          <w:p w14:paraId="6D0D38B9">
            <w:pPr>
              <w:widowControl/>
              <w:snapToGrid w:val="0"/>
              <w:jc w:val="right"/>
              <w:rPr>
                <w:rFonts w:ascii="宋体" w:hAnsi="宋体"/>
                <w:color w:val="000000"/>
                <w:kern w:val="0"/>
                <w:sz w:val="25"/>
                <w:szCs w:val="24"/>
              </w:rPr>
            </w:pPr>
            <w:r>
              <w:rPr>
                <w:rFonts w:ascii="Times New Roman" w:hAnsi="Times New Roman"/>
                <w:color w:val="000000"/>
                <w:kern w:val="0"/>
                <w:sz w:val="25"/>
                <w:szCs w:val="24"/>
              </w:rPr>
              <w:t>0.46</w:t>
            </w:r>
          </w:p>
        </w:tc>
      </w:tr>
      <w:tr w14:paraId="62060D4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D7D395D">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43BBBAB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118031</w:t>
            </w:r>
          </w:p>
        </w:tc>
        <w:tc>
          <w:tcPr>
            <w:tcW w:w="750" w:type="pct"/>
            <w:tcBorders>
              <w:top w:val="single" w:color="auto" w:sz="4" w:space="0"/>
              <w:left w:val="single" w:color="auto" w:sz="4" w:space="0"/>
              <w:bottom w:val="single" w:color="auto" w:sz="4" w:space="0"/>
              <w:right w:val="single" w:color="auto" w:sz="4" w:space="0"/>
            </w:tcBorders>
            <w:vAlign w:val="center"/>
          </w:tcPr>
          <w:p w14:paraId="6E33A5B1">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天23转债</w:t>
            </w:r>
          </w:p>
        </w:tc>
        <w:tc>
          <w:tcPr>
            <w:tcW w:w="750" w:type="pct"/>
            <w:tcBorders>
              <w:top w:val="single" w:color="auto" w:sz="4" w:space="0"/>
              <w:left w:val="single" w:color="auto" w:sz="4" w:space="0"/>
              <w:bottom w:val="single" w:color="auto" w:sz="4" w:space="0"/>
              <w:right w:val="single" w:color="auto" w:sz="4" w:space="0"/>
            </w:tcBorders>
            <w:vAlign w:val="center"/>
          </w:tcPr>
          <w:p w14:paraId="17F69252">
            <w:pPr>
              <w:widowControl/>
              <w:snapToGrid w:val="0"/>
              <w:jc w:val="right"/>
              <w:rPr>
                <w:rFonts w:ascii="宋体" w:hAnsi="宋体"/>
                <w:color w:val="000000"/>
                <w:kern w:val="0"/>
                <w:sz w:val="25"/>
                <w:szCs w:val="24"/>
              </w:rPr>
            </w:pPr>
            <w:r>
              <w:rPr>
                <w:rFonts w:ascii="Times New Roman" w:hAnsi="Times New Roman"/>
                <w:color w:val="000000"/>
                <w:kern w:val="0"/>
                <w:sz w:val="25"/>
                <w:szCs w:val="24"/>
              </w:rPr>
              <w:t>14,900,771.26</w:t>
            </w:r>
          </w:p>
        </w:tc>
        <w:tc>
          <w:tcPr>
            <w:tcW w:w="750" w:type="pct"/>
            <w:tcBorders>
              <w:top w:val="single" w:color="auto" w:sz="4" w:space="0"/>
              <w:left w:val="single" w:color="auto" w:sz="4" w:space="0"/>
              <w:bottom w:val="single" w:color="auto" w:sz="4" w:space="0"/>
              <w:right w:val="single" w:color="auto" w:sz="4" w:space="0"/>
            </w:tcBorders>
            <w:vAlign w:val="center"/>
          </w:tcPr>
          <w:p w14:paraId="4F7FAC0D">
            <w:pPr>
              <w:widowControl/>
              <w:snapToGrid w:val="0"/>
              <w:jc w:val="right"/>
              <w:rPr>
                <w:rFonts w:ascii="宋体" w:hAnsi="宋体"/>
                <w:color w:val="000000"/>
                <w:kern w:val="0"/>
                <w:sz w:val="25"/>
                <w:szCs w:val="24"/>
              </w:rPr>
            </w:pPr>
            <w:r>
              <w:rPr>
                <w:rFonts w:ascii="Times New Roman" w:hAnsi="Times New Roman"/>
                <w:color w:val="000000"/>
                <w:kern w:val="0"/>
                <w:sz w:val="25"/>
                <w:szCs w:val="24"/>
              </w:rPr>
              <w:t>0.42</w:t>
            </w:r>
          </w:p>
        </w:tc>
      </w:tr>
      <w:tr w14:paraId="4BDCBF9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A43380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2ECBE2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132026</w:t>
            </w:r>
          </w:p>
        </w:tc>
        <w:tc>
          <w:tcPr>
            <w:tcW w:w="750" w:type="pct"/>
            <w:tcBorders>
              <w:top w:val="single" w:color="auto" w:sz="4" w:space="0"/>
              <w:left w:val="single" w:color="auto" w:sz="4" w:space="0"/>
              <w:bottom w:val="single" w:color="auto" w:sz="4" w:space="0"/>
              <w:right w:val="single" w:color="auto" w:sz="4" w:space="0"/>
            </w:tcBorders>
            <w:vAlign w:val="center"/>
          </w:tcPr>
          <w:p w14:paraId="00EB9EBA">
            <w:pPr>
              <w:widowControl/>
              <w:snapToGrid w:val="0"/>
              <w:jc w:val="center"/>
              <w:rPr>
                <w:rFonts w:ascii="宋体" w:hAnsi="宋体"/>
                <w:color w:val="000000"/>
                <w:kern w:val="0"/>
                <w:sz w:val="25"/>
                <w:szCs w:val="24"/>
              </w:rPr>
            </w:pPr>
            <w:r>
              <w:rPr>
                <w:rFonts w:ascii="Times New Roman" w:hAnsi="Times New Roman"/>
                <w:color w:val="000000"/>
                <w:kern w:val="0"/>
                <w:sz w:val="25"/>
                <w:szCs w:val="24"/>
              </w:rPr>
              <w:t>G三峡EB2</w:t>
            </w:r>
          </w:p>
        </w:tc>
        <w:tc>
          <w:tcPr>
            <w:tcW w:w="750" w:type="pct"/>
            <w:tcBorders>
              <w:top w:val="single" w:color="auto" w:sz="4" w:space="0"/>
              <w:left w:val="single" w:color="auto" w:sz="4" w:space="0"/>
              <w:bottom w:val="single" w:color="auto" w:sz="4" w:space="0"/>
              <w:right w:val="single" w:color="auto" w:sz="4" w:space="0"/>
            </w:tcBorders>
            <w:vAlign w:val="center"/>
          </w:tcPr>
          <w:p w14:paraId="7A371E30">
            <w:pPr>
              <w:widowControl/>
              <w:snapToGrid w:val="0"/>
              <w:jc w:val="right"/>
              <w:rPr>
                <w:rFonts w:ascii="宋体" w:hAnsi="宋体"/>
                <w:color w:val="000000"/>
                <w:kern w:val="0"/>
                <w:sz w:val="25"/>
                <w:szCs w:val="24"/>
              </w:rPr>
            </w:pPr>
            <w:r>
              <w:rPr>
                <w:rFonts w:ascii="Times New Roman" w:hAnsi="Times New Roman"/>
                <w:color w:val="000000"/>
                <w:kern w:val="0"/>
                <w:sz w:val="25"/>
                <w:szCs w:val="24"/>
              </w:rPr>
              <w:t>13,862,673.97</w:t>
            </w:r>
          </w:p>
        </w:tc>
        <w:tc>
          <w:tcPr>
            <w:tcW w:w="750" w:type="pct"/>
            <w:tcBorders>
              <w:top w:val="single" w:color="auto" w:sz="4" w:space="0"/>
              <w:left w:val="single" w:color="auto" w:sz="4" w:space="0"/>
              <w:bottom w:val="single" w:color="auto" w:sz="4" w:space="0"/>
              <w:right w:val="single" w:color="auto" w:sz="4" w:space="0"/>
            </w:tcBorders>
            <w:vAlign w:val="center"/>
          </w:tcPr>
          <w:p w14:paraId="1B4F71B3">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14:paraId="6F80745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03A388">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2664CC2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127073</w:t>
            </w:r>
          </w:p>
        </w:tc>
        <w:tc>
          <w:tcPr>
            <w:tcW w:w="750" w:type="pct"/>
            <w:tcBorders>
              <w:top w:val="single" w:color="auto" w:sz="4" w:space="0"/>
              <w:left w:val="single" w:color="auto" w:sz="4" w:space="0"/>
              <w:bottom w:val="single" w:color="auto" w:sz="4" w:space="0"/>
              <w:right w:val="single" w:color="auto" w:sz="4" w:space="0"/>
            </w:tcBorders>
            <w:vAlign w:val="center"/>
          </w:tcPr>
          <w:p w14:paraId="23BFFE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天赐转债</w:t>
            </w:r>
          </w:p>
        </w:tc>
        <w:tc>
          <w:tcPr>
            <w:tcW w:w="750" w:type="pct"/>
            <w:tcBorders>
              <w:top w:val="single" w:color="auto" w:sz="4" w:space="0"/>
              <w:left w:val="single" w:color="auto" w:sz="4" w:space="0"/>
              <w:bottom w:val="single" w:color="auto" w:sz="4" w:space="0"/>
              <w:right w:val="single" w:color="auto" w:sz="4" w:space="0"/>
            </w:tcBorders>
            <w:vAlign w:val="center"/>
          </w:tcPr>
          <w:p w14:paraId="4C615CA0">
            <w:pPr>
              <w:widowControl/>
              <w:snapToGrid w:val="0"/>
              <w:jc w:val="right"/>
              <w:rPr>
                <w:rFonts w:ascii="宋体" w:hAnsi="宋体"/>
                <w:color w:val="000000"/>
                <w:kern w:val="0"/>
                <w:sz w:val="25"/>
                <w:szCs w:val="24"/>
              </w:rPr>
            </w:pPr>
            <w:r>
              <w:rPr>
                <w:rFonts w:ascii="Times New Roman" w:hAnsi="Times New Roman"/>
                <w:color w:val="000000"/>
                <w:kern w:val="0"/>
                <w:sz w:val="25"/>
                <w:szCs w:val="24"/>
              </w:rPr>
              <w:t>13,645,122.60</w:t>
            </w:r>
          </w:p>
        </w:tc>
        <w:tc>
          <w:tcPr>
            <w:tcW w:w="750" w:type="pct"/>
            <w:tcBorders>
              <w:top w:val="single" w:color="auto" w:sz="4" w:space="0"/>
              <w:left w:val="single" w:color="auto" w:sz="4" w:space="0"/>
              <w:bottom w:val="single" w:color="auto" w:sz="4" w:space="0"/>
              <w:right w:val="single" w:color="auto" w:sz="4" w:space="0"/>
            </w:tcBorders>
            <w:vAlign w:val="center"/>
          </w:tcPr>
          <w:p w14:paraId="4D07990D">
            <w:pPr>
              <w:widowControl/>
              <w:snapToGrid w:val="0"/>
              <w:jc w:val="right"/>
              <w:rPr>
                <w:rFonts w:ascii="宋体" w:hAnsi="宋体"/>
                <w:color w:val="000000"/>
                <w:kern w:val="0"/>
                <w:sz w:val="25"/>
                <w:szCs w:val="24"/>
              </w:rPr>
            </w:pPr>
            <w:r>
              <w:rPr>
                <w:rFonts w:ascii="Times New Roman" w:hAnsi="Times New Roman"/>
                <w:color w:val="000000"/>
                <w:kern w:val="0"/>
                <w:sz w:val="25"/>
                <w:szCs w:val="24"/>
              </w:rPr>
              <w:t>0.38</w:t>
            </w:r>
          </w:p>
        </w:tc>
      </w:tr>
      <w:tr w14:paraId="476473C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7C56C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4A5BE086">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127049</w:t>
            </w:r>
          </w:p>
        </w:tc>
        <w:tc>
          <w:tcPr>
            <w:tcW w:w="750" w:type="pct"/>
            <w:tcBorders>
              <w:top w:val="single" w:color="auto" w:sz="4" w:space="0"/>
              <w:left w:val="single" w:color="auto" w:sz="4" w:space="0"/>
              <w:bottom w:val="single" w:color="auto" w:sz="4" w:space="0"/>
              <w:right w:val="single" w:color="auto" w:sz="4" w:space="0"/>
            </w:tcBorders>
            <w:vAlign w:val="center"/>
          </w:tcPr>
          <w:p w14:paraId="20583679">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希望转2</w:t>
            </w:r>
          </w:p>
        </w:tc>
        <w:tc>
          <w:tcPr>
            <w:tcW w:w="750" w:type="pct"/>
            <w:tcBorders>
              <w:top w:val="single" w:color="auto" w:sz="4" w:space="0"/>
              <w:left w:val="single" w:color="auto" w:sz="4" w:space="0"/>
              <w:bottom w:val="single" w:color="auto" w:sz="4" w:space="0"/>
              <w:right w:val="single" w:color="auto" w:sz="4" w:space="0"/>
            </w:tcBorders>
            <w:vAlign w:val="center"/>
          </w:tcPr>
          <w:p w14:paraId="77B09100">
            <w:pPr>
              <w:widowControl/>
              <w:snapToGrid w:val="0"/>
              <w:jc w:val="right"/>
              <w:rPr>
                <w:rFonts w:ascii="宋体" w:hAnsi="宋体"/>
                <w:color w:val="000000"/>
                <w:kern w:val="0"/>
                <w:sz w:val="25"/>
                <w:szCs w:val="24"/>
              </w:rPr>
            </w:pPr>
            <w:r>
              <w:rPr>
                <w:rFonts w:ascii="Times New Roman" w:hAnsi="Times New Roman"/>
                <w:color w:val="000000"/>
                <w:kern w:val="0"/>
                <w:sz w:val="25"/>
                <w:szCs w:val="24"/>
              </w:rPr>
              <w:t>13,034,155.40</w:t>
            </w:r>
          </w:p>
        </w:tc>
        <w:tc>
          <w:tcPr>
            <w:tcW w:w="750" w:type="pct"/>
            <w:tcBorders>
              <w:top w:val="single" w:color="auto" w:sz="4" w:space="0"/>
              <w:left w:val="single" w:color="auto" w:sz="4" w:space="0"/>
              <w:bottom w:val="single" w:color="auto" w:sz="4" w:space="0"/>
              <w:right w:val="single" w:color="auto" w:sz="4" w:space="0"/>
            </w:tcBorders>
            <w:vAlign w:val="center"/>
          </w:tcPr>
          <w:p w14:paraId="13BD77CC">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14:paraId="26DFE68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A56918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1DB753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118030</w:t>
            </w:r>
          </w:p>
        </w:tc>
        <w:tc>
          <w:tcPr>
            <w:tcW w:w="750" w:type="pct"/>
            <w:tcBorders>
              <w:top w:val="single" w:color="auto" w:sz="4" w:space="0"/>
              <w:left w:val="single" w:color="auto" w:sz="4" w:space="0"/>
              <w:bottom w:val="single" w:color="auto" w:sz="4" w:space="0"/>
              <w:right w:val="single" w:color="auto" w:sz="4" w:space="0"/>
            </w:tcBorders>
            <w:vAlign w:val="center"/>
          </w:tcPr>
          <w:p w14:paraId="2C43F31A">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睿创转债</w:t>
            </w:r>
          </w:p>
        </w:tc>
        <w:tc>
          <w:tcPr>
            <w:tcW w:w="750" w:type="pct"/>
            <w:tcBorders>
              <w:top w:val="single" w:color="auto" w:sz="4" w:space="0"/>
              <w:left w:val="single" w:color="auto" w:sz="4" w:space="0"/>
              <w:bottom w:val="single" w:color="auto" w:sz="4" w:space="0"/>
              <w:right w:val="single" w:color="auto" w:sz="4" w:space="0"/>
            </w:tcBorders>
            <w:vAlign w:val="center"/>
          </w:tcPr>
          <w:p w14:paraId="5E93DEBE">
            <w:pPr>
              <w:widowControl/>
              <w:snapToGrid w:val="0"/>
              <w:jc w:val="right"/>
              <w:rPr>
                <w:rFonts w:ascii="宋体" w:hAnsi="宋体"/>
                <w:color w:val="000000"/>
                <w:kern w:val="0"/>
                <w:sz w:val="25"/>
                <w:szCs w:val="24"/>
              </w:rPr>
            </w:pPr>
            <w:r>
              <w:rPr>
                <w:rFonts w:ascii="Times New Roman" w:hAnsi="Times New Roman"/>
                <w:color w:val="000000"/>
                <w:kern w:val="0"/>
                <w:sz w:val="25"/>
                <w:szCs w:val="24"/>
              </w:rPr>
              <w:t>11,945,266.59</w:t>
            </w:r>
          </w:p>
        </w:tc>
        <w:tc>
          <w:tcPr>
            <w:tcW w:w="750" w:type="pct"/>
            <w:tcBorders>
              <w:top w:val="single" w:color="auto" w:sz="4" w:space="0"/>
              <w:left w:val="single" w:color="auto" w:sz="4" w:space="0"/>
              <w:bottom w:val="single" w:color="auto" w:sz="4" w:space="0"/>
              <w:right w:val="single" w:color="auto" w:sz="4" w:space="0"/>
            </w:tcBorders>
            <w:vAlign w:val="center"/>
          </w:tcPr>
          <w:p w14:paraId="2D5BCEC4">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14:paraId="1F4607F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3AFBB66">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7BCC4B9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123254</w:t>
            </w:r>
          </w:p>
        </w:tc>
        <w:tc>
          <w:tcPr>
            <w:tcW w:w="750" w:type="pct"/>
            <w:tcBorders>
              <w:top w:val="single" w:color="auto" w:sz="4" w:space="0"/>
              <w:left w:val="single" w:color="auto" w:sz="4" w:space="0"/>
              <w:bottom w:val="single" w:color="auto" w:sz="4" w:space="0"/>
              <w:right w:val="single" w:color="auto" w:sz="4" w:space="0"/>
            </w:tcBorders>
            <w:vAlign w:val="center"/>
          </w:tcPr>
          <w:p w14:paraId="3E656255">
            <w:pPr>
              <w:widowControl/>
              <w:snapToGrid w:val="0"/>
              <w:jc w:val="center"/>
              <w:rPr>
                <w:rFonts w:ascii="宋体" w:hAnsi="宋体"/>
                <w:color w:val="000000"/>
                <w:kern w:val="0"/>
                <w:sz w:val="25"/>
                <w:szCs w:val="24"/>
              </w:rPr>
            </w:pPr>
            <w:r>
              <w:rPr>
                <w:rFonts w:ascii="Times New Roman" w:hAnsi="Times New Roman"/>
                <w:color w:val="000000"/>
                <w:kern w:val="0"/>
                <w:sz w:val="25"/>
                <w:szCs w:val="24"/>
              </w:rPr>
              <w:t>亿纬转债</w:t>
            </w:r>
          </w:p>
        </w:tc>
        <w:tc>
          <w:tcPr>
            <w:tcW w:w="750" w:type="pct"/>
            <w:tcBorders>
              <w:top w:val="single" w:color="auto" w:sz="4" w:space="0"/>
              <w:left w:val="single" w:color="auto" w:sz="4" w:space="0"/>
              <w:bottom w:val="single" w:color="auto" w:sz="4" w:space="0"/>
              <w:right w:val="single" w:color="auto" w:sz="4" w:space="0"/>
            </w:tcBorders>
            <w:vAlign w:val="center"/>
          </w:tcPr>
          <w:p w14:paraId="2CAE6320">
            <w:pPr>
              <w:widowControl/>
              <w:snapToGrid w:val="0"/>
              <w:jc w:val="right"/>
              <w:rPr>
                <w:rFonts w:ascii="宋体" w:hAnsi="宋体"/>
                <w:color w:val="000000"/>
                <w:kern w:val="0"/>
                <w:sz w:val="25"/>
                <w:szCs w:val="24"/>
              </w:rPr>
            </w:pPr>
            <w:r>
              <w:rPr>
                <w:rFonts w:ascii="Times New Roman" w:hAnsi="Times New Roman"/>
                <w:color w:val="000000"/>
                <w:kern w:val="0"/>
                <w:sz w:val="25"/>
                <w:szCs w:val="24"/>
              </w:rPr>
              <w:t>11,759,636.43</w:t>
            </w:r>
          </w:p>
        </w:tc>
        <w:tc>
          <w:tcPr>
            <w:tcW w:w="750" w:type="pct"/>
            <w:tcBorders>
              <w:top w:val="single" w:color="auto" w:sz="4" w:space="0"/>
              <w:left w:val="single" w:color="auto" w:sz="4" w:space="0"/>
              <w:bottom w:val="single" w:color="auto" w:sz="4" w:space="0"/>
              <w:right w:val="single" w:color="auto" w:sz="4" w:space="0"/>
            </w:tcBorders>
            <w:vAlign w:val="center"/>
          </w:tcPr>
          <w:p w14:paraId="42A4AAF9">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14:paraId="6476A91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C6BBD9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299471E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123216</w:t>
            </w:r>
          </w:p>
        </w:tc>
        <w:tc>
          <w:tcPr>
            <w:tcW w:w="750" w:type="pct"/>
            <w:tcBorders>
              <w:top w:val="single" w:color="auto" w:sz="4" w:space="0"/>
              <w:left w:val="single" w:color="auto" w:sz="4" w:space="0"/>
              <w:bottom w:val="single" w:color="auto" w:sz="4" w:space="0"/>
              <w:right w:val="single" w:color="auto" w:sz="4" w:space="0"/>
            </w:tcBorders>
            <w:vAlign w:val="center"/>
          </w:tcPr>
          <w:p w14:paraId="4DDC7814">
            <w:pPr>
              <w:widowControl/>
              <w:snapToGrid w:val="0"/>
              <w:jc w:val="center"/>
              <w:rPr>
                <w:rFonts w:ascii="宋体" w:hAnsi="宋体"/>
                <w:color w:val="000000"/>
                <w:kern w:val="0"/>
                <w:sz w:val="25"/>
                <w:szCs w:val="24"/>
              </w:rPr>
            </w:pPr>
            <w:r>
              <w:rPr>
                <w:rFonts w:ascii="Times New Roman" w:hAnsi="Times New Roman"/>
                <w:color w:val="000000"/>
                <w:kern w:val="0"/>
                <w:sz w:val="25"/>
                <w:szCs w:val="24"/>
              </w:rPr>
              <w:t>科顺转债</w:t>
            </w:r>
          </w:p>
        </w:tc>
        <w:tc>
          <w:tcPr>
            <w:tcW w:w="750" w:type="pct"/>
            <w:tcBorders>
              <w:top w:val="single" w:color="auto" w:sz="4" w:space="0"/>
              <w:left w:val="single" w:color="auto" w:sz="4" w:space="0"/>
              <w:bottom w:val="single" w:color="auto" w:sz="4" w:space="0"/>
              <w:right w:val="single" w:color="auto" w:sz="4" w:space="0"/>
            </w:tcBorders>
            <w:vAlign w:val="center"/>
          </w:tcPr>
          <w:p w14:paraId="3390D951">
            <w:pPr>
              <w:widowControl/>
              <w:snapToGrid w:val="0"/>
              <w:jc w:val="right"/>
              <w:rPr>
                <w:rFonts w:ascii="宋体" w:hAnsi="宋体"/>
                <w:color w:val="000000"/>
                <w:kern w:val="0"/>
                <w:sz w:val="25"/>
                <w:szCs w:val="24"/>
              </w:rPr>
            </w:pPr>
            <w:r>
              <w:rPr>
                <w:rFonts w:ascii="Times New Roman" w:hAnsi="Times New Roman"/>
                <w:color w:val="000000"/>
                <w:kern w:val="0"/>
                <w:sz w:val="25"/>
                <w:szCs w:val="24"/>
              </w:rPr>
              <w:t>11,079,929.87</w:t>
            </w:r>
          </w:p>
        </w:tc>
        <w:tc>
          <w:tcPr>
            <w:tcW w:w="750" w:type="pct"/>
            <w:tcBorders>
              <w:top w:val="single" w:color="auto" w:sz="4" w:space="0"/>
              <w:left w:val="single" w:color="auto" w:sz="4" w:space="0"/>
              <w:bottom w:val="single" w:color="auto" w:sz="4" w:space="0"/>
              <w:right w:val="single" w:color="auto" w:sz="4" w:space="0"/>
            </w:tcBorders>
            <w:vAlign w:val="center"/>
          </w:tcPr>
          <w:p w14:paraId="34DE8999">
            <w:pPr>
              <w:widowControl/>
              <w:snapToGrid w:val="0"/>
              <w:jc w:val="right"/>
              <w:rPr>
                <w:rFonts w:ascii="宋体" w:hAnsi="宋体"/>
                <w:color w:val="000000"/>
                <w:kern w:val="0"/>
                <w:sz w:val="25"/>
                <w:szCs w:val="24"/>
              </w:rPr>
            </w:pPr>
            <w:r>
              <w:rPr>
                <w:rFonts w:ascii="Times New Roman" w:hAnsi="Times New Roman"/>
                <w:color w:val="000000"/>
                <w:kern w:val="0"/>
                <w:sz w:val="25"/>
                <w:szCs w:val="24"/>
              </w:rPr>
              <w:t>0.31</w:t>
            </w:r>
          </w:p>
        </w:tc>
      </w:tr>
      <w:tr w14:paraId="6E3EE3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B3653B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269CD69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123158</w:t>
            </w:r>
          </w:p>
        </w:tc>
        <w:tc>
          <w:tcPr>
            <w:tcW w:w="750" w:type="pct"/>
            <w:tcBorders>
              <w:top w:val="single" w:color="auto" w:sz="4" w:space="0"/>
              <w:left w:val="single" w:color="auto" w:sz="4" w:space="0"/>
              <w:bottom w:val="single" w:color="auto" w:sz="4" w:space="0"/>
              <w:right w:val="single" w:color="auto" w:sz="4" w:space="0"/>
            </w:tcBorders>
            <w:vAlign w:val="center"/>
          </w:tcPr>
          <w:p w14:paraId="41447E8D">
            <w:pPr>
              <w:widowControl/>
              <w:snapToGrid w:val="0"/>
              <w:jc w:val="center"/>
              <w:rPr>
                <w:rFonts w:ascii="宋体" w:hAnsi="宋体"/>
                <w:color w:val="000000"/>
                <w:kern w:val="0"/>
                <w:sz w:val="25"/>
                <w:szCs w:val="24"/>
              </w:rPr>
            </w:pPr>
            <w:r>
              <w:rPr>
                <w:rFonts w:ascii="Times New Roman" w:hAnsi="Times New Roman"/>
                <w:color w:val="000000"/>
                <w:kern w:val="0"/>
                <w:sz w:val="25"/>
                <w:szCs w:val="24"/>
              </w:rPr>
              <w:t>宙邦转债</w:t>
            </w:r>
          </w:p>
        </w:tc>
        <w:tc>
          <w:tcPr>
            <w:tcW w:w="750" w:type="pct"/>
            <w:tcBorders>
              <w:top w:val="single" w:color="auto" w:sz="4" w:space="0"/>
              <w:left w:val="single" w:color="auto" w:sz="4" w:space="0"/>
              <w:bottom w:val="single" w:color="auto" w:sz="4" w:space="0"/>
              <w:right w:val="single" w:color="auto" w:sz="4" w:space="0"/>
            </w:tcBorders>
            <w:vAlign w:val="center"/>
          </w:tcPr>
          <w:p w14:paraId="006ED35B">
            <w:pPr>
              <w:widowControl/>
              <w:snapToGrid w:val="0"/>
              <w:jc w:val="right"/>
              <w:rPr>
                <w:rFonts w:ascii="宋体" w:hAnsi="宋体"/>
                <w:color w:val="000000"/>
                <w:kern w:val="0"/>
                <w:sz w:val="25"/>
                <w:szCs w:val="24"/>
              </w:rPr>
            </w:pPr>
            <w:r>
              <w:rPr>
                <w:rFonts w:ascii="Times New Roman" w:hAnsi="Times New Roman"/>
                <w:color w:val="000000"/>
                <w:kern w:val="0"/>
                <w:sz w:val="25"/>
                <w:szCs w:val="24"/>
              </w:rPr>
              <w:t>10,504,199.08</w:t>
            </w:r>
          </w:p>
        </w:tc>
        <w:tc>
          <w:tcPr>
            <w:tcW w:w="750" w:type="pct"/>
            <w:tcBorders>
              <w:top w:val="single" w:color="auto" w:sz="4" w:space="0"/>
              <w:left w:val="single" w:color="auto" w:sz="4" w:space="0"/>
              <w:bottom w:val="single" w:color="auto" w:sz="4" w:space="0"/>
              <w:right w:val="single" w:color="auto" w:sz="4" w:space="0"/>
            </w:tcBorders>
            <w:vAlign w:val="center"/>
          </w:tcPr>
          <w:p w14:paraId="6A88C510">
            <w:pPr>
              <w:widowControl/>
              <w:snapToGrid w:val="0"/>
              <w:jc w:val="right"/>
              <w:rPr>
                <w:rFonts w:ascii="宋体" w:hAnsi="宋体"/>
                <w:color w:val="000000"/>
                <w:kern w:val="0"/>
                <w:sz w:val="25"/>
                <w:szCs w:val="24"/>
              </w:rPr>
            </w:pPr>
            <w:r>
              <w:rPr>
                <w:rFonts w:ascii="Times New Roman" w:hAnsi="Times New Roman"/>
                <w:color w:val="000000"/>
                <w:kern w:val="0"/>
                <w:sz w:val="25"/>
                <w:szCs w:val="24"/>
              </w:rPr>
              <w:t>0.29</w:t>
            </w:r>
          </w:p>
        </w:tc>
      </w:tr>
      <w:tr w14:paraId="203207E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96E80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02E22FC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113042</w:t>
            </w:r>
          </w:p>
        </w:tc>
        <w:tc>
          <w:tcPr>
            <w:tcW w:w="750" w:type="pct"/>
            <w:tcBorders>
              <w:top w:val="single" w:color="auto" w:sz="4" w:space="0"/>
              <w:left w:val="single" w:color="auto" w:sz="4" w:space="0"/>
              <w:bottom w:val="single" w:color="auto" w:sz="4" w:space="0"/>
              <w:right w:val="single" w:color="auto" w:sz="4" w:space="0"/>
            </w:tcBorders>
            <w:vAlign w:val="center"/>
          </w:tcPr>
          <w:p w14:paraId="13B0A101">
            <w:pPr>
              <w:widowControl/>
              <w:snapToGrid w:val="0"/>
              <w:jc w:val="center"/>
              <w:rPr>
                <w:rFonts w:ascii="宋体" w:hAnsi="宋体"/>
                <w:color w:val="000000"/>
                <w:kern w:val="0"/>
                <w:sz w:val="25"/>
                <w:szCs w:val="24"/>
              </w:rPr>
            </w:pPr>
            <w:r>
              <w:rPr>
                <w:rFonts w:ascii="Times New Roman" w:hAnsi="Times New Roman"/>
                <w:color w:val="000000"/>
                <w:kern w:val="0"/>
                <w:sz w:val="25"/>
                <w:szCs w:val="24"/>
              </w:rPr>
              <w:t>上银转债</w:t>
            </w:r>
          </w:p>
        </w:tc>
        <w:tc>
          <w:tcPr>
            <w:tcW w:w="750" w:type="pct"/>
            <w:tcBorders>
              <w:top w:val="single" w:color="auto" w:sz="4" w:space="0"/>
              <w:left w:val="single" w:color="auto" w:sz="4" w:space="0"/>
              <w:bottom w:val="single" w:color="auto" w:sz="4" w:space="0"/>
              <w:right w:val="single" w:color="auto" w:sz="4" w:space="0"/>
            </w:tcBorders>
            <w:vAlign w:val="center"/>
          </w:tcPr>
          <w:p w14:paraId="23DE3694">
            <w:pPr>
              <w:widowControl/>
              <w:snapToGrid w:val="0"/>
              <w:jc w:val="right"/>
              <w:rPr>
                <w:rFonts w:ascii="宋体" w:hAnsi="宋体"/>
                <w:color w:val="000000"/>
                <w:kern w:val="0"/>
                <w:sz w:val="25"/>
                <w:szCs w:val="24"/>
              </w:rPr>
            </w:pPr>
            <w:r>
              <w:rPr>
                <w:rFonts w:ascii="Times New Roman" w:hAnsi="Times New Roman"/>
                <w:color w:val="000000"/>
                <w:kern w:val="0"/>
                <w:sz w:val="25"/>
                <w:szCs w:val="24"/>
              </w:rPr>
              <w:t>10,101,902.28</w:t>
            </w:r>
          </w:p>
        </w:tc>
        <w:tc>
          <w:tcPr>
            <w:tcW w:w="750" w:type="pct"/>
            <w:tcBorders>
              <w:top w:val="single" w:color="auto" w:sz="4" w:space="0"/>
              <w:left w:val="single" w:color="auto" w:sz="4" w:space="0"/>
              <w:bottom w:val="single" w:color="auto" w:sz="4" w:space="0"/>
              <w:right w:val="single" w:color="auto" w:sz="4" w:space="0"/>
            </w:tcBorders>
            <w:vAlign w:val="center"/>
          </w:tcPr>
          <w:p w14:paraId="3B201FC6">
            <w:pPr>
              <w:widowControl/>
              <w:snapToGrid w:val="0"/>
              <w:jc w:val="right"/>
              <w:rPr>
                <w:rFonts w:ascii="宋体" w:hAnsi="宋体"/>
                <w:color w:val="000000"/>
                <w:kern w:val="0"/>
                <w:sz w:val="25"/>
                <w:szCs w:val="24"/>
              </w:rPr>
            </w:pPr>
            <w:r>
              <w:rPr>
                <w:rFonts w:ascii="Times New Roman" w:hAnsi="Times New Roman"/>
                <w:color w:val="000000"/>
                <w:kern w:val="0"/>
                <w:sz w:val="25"/>
                <w:szCs w:val="24"/>
              </w:rPr>
              <w:t>0.28</w:t>
            </w:r>
          </w:p>
        </w:tc>
      </w:tr>
      <w:tr w14:paraId="630C586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F243A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61A7472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118050</w:t>
            </w:r>
          </w:p>
        </w:tc>
        <w:tc>
          <w:tcPr>
            <w:tcW w:w="750" w:type="pct"/>
            <w:tcBorders>
              <w:top w:val="single" w:color="auto" w:sz="4" w:space="0"/>
              <w:left w:val="single" w:color="auto" w:sz="4" w:space="0"/>
              <w:bottom w:val="single" w:color="auto" w:sz="4" w:space="0"/>
              <w:right w:val="single" w:color="auto" w:sz="4" w:space="0"/>
            </w:tcBorders>
            <w:vAlign w:val="center"/>
          </w:tcPr>
          <w:p w14:paraId="6641CE7B">
            <w:pPr>
              <w:widowControl/>
              <w:snapToGrid w:val="0"/>
              <w:jc w:val="center"/>
              <w:rPr>
                <w:rFonts w:ascii="宋体" w:hAnsi="宋体"/>
                <w:color w:val="000000"/>
                <w:kern w:val="0"/>
                <w:sz w:val="25"/>
                <w:szCs w:val="24"/>
              </w:rPr>
            </w:pPr>
            <w:r>
              <w:rPr>
                <w:rFonts w:ascii="Times New Roman" w:hAnsi="Times New Roman"/>
                <w:color w:val="000000"/>
                <w:kern w:val="0"/>
                <w:sz w:val="25"/>
                <w:szCs w:val="24"/>
              </w:rPr>
              <w:t>航宇转债</w:t>
            </w:r>
          </w:p>
        </w:tc>
        <w:tc>
          <w:tcPr>
            <w:tcW w:w="750" w:type="pct"/>
            <w:tcBorders>
              <w:top w:val="single" w:color="auto" w:sz="4" w:space="0"/>
              <w:left w:val="single" w:color="auto" w:sz="4" w:space="0"/>
              <w:bottom w:val="single" w:color="auto" w:sz="4" w:space="0"/>
              <w:right w:val="single" w:color="auto" w:sz="4" w:space="0"/>
            </w:tcBorders>
            <w:vAlign w:val="center"/>
          </w:tcPr>
          <w:p w14:paraId="36098259">
            <w:pPr>
              <w:widowControl/>
              <w:snapToGrid w:val="0"/>
              <w:jc w:val="right"/>
              <w:rPr>
                <w:rFonts w:ascii="宋体" w:hAnsi="宋体"/>
                <w:color w:val="000000"/>
                <w:kern w:val="0"/>
                <w:sz w:val="25"/>
                <w:szCs w:val="24"/>
              </w:rPr>
            </w:pPr>
            <w:r>
              <w:rPr>
                <w:rFonts w:ascii="Times New Roman" w:hAnsi="Times New Roman"/>
                <w:color w:val="000000"/>
                <w:kern w:val="0"/>
                <w:sz w:val="25"/>
                <w:szCs w:val="24"/>
              </w:rPr>
              <w:t>8,504,600.65</w:t>
            </w:r>
          </w:p>
        </w:tc>
        <w:tc>
          <w:tcPr>
            <w:tcW w:w="750" w:type="pct"/>
            <w:tcBorders>
              <w:top w:val="single" w:color="auto" w:sz="4" w:space="0"/>
              <w:left w:val="single" w:color="auto" w:sz="4" w:space="0"/>
              <w:bottom w:val="single" w:color="auto" w:sz="4" w:space="0"/>
              <w:right w:val="single" w:color="auto" w:sz="4" w:space="0"/>
            </w:tcBorders>
            <w:vAlign w:val="center"/>
          </w:tcPr>
          <w:p w14:paraId="59FA1A14">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14:paraId="532B1BB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F93E19">
            <w:pPr>
              <w:widowControl/>
              <w:snapToGrid w:val="0"/>
              <w:jc w:val="center"/>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6119391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113670</w:t>
            </w:r>
          </w:p>
        </w:tc>
        <w:tc>
          <w:tcPr>
            <w:tcW w:w="750" w:type="pct"/>
            <w:tcBorders>
              <w:top w:val="single" w:color="auto" w:sz="4" w:space="0"/>
              <w:left w:val="single" w:color="auto" w:sz="4" w:space="0"/>
              <w:bottom w:val="single" w:color="auto" w:sz="4" w:space="0"/>
              <w:right w:val="single" w:color="auto" w:sz="4" w:space="0"/>
            </w:tcBorders>
            <w:vAlign w:val="center"/>
          </w:tcPr>
          <w:p w14:paraId="781BB5BF">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金23转债</w:t>
            </w:r>
          </w:p>
        </w:tc>
        <w:tc>
          <w:tcPr>
            <w:tcW w:w="750" w:type="pct"/>
            <w:tcBorders>
              <w:top w:val="single" w:color="auto" w:sz="4" w:space="0"/>
              <w:left w:val="single" w:color="auto" w:sz="4" w:space="0"/>
              <w:bottom w:val="single" w:color="auto" w:sz="4" w:space="0"/>
              <w:right w:val="single" w:color="auto" w:sz="4" w:space="0"/>
            </w:tcBorders>
            <w:vAlign w:val="center"/>
          </w:tcPr>
          <w:p w14:paraId="3D6B9735">
            <w:pPr>
              <w:widowControl/>
              <w:snapToGrid w:val="0"/>
              <w:jc w:val="right"/>
              <w:rPr>
                <w:rFonts w:ascii="宋体" w:hAnsi="宋体"/>
                <w:color w:val="000000"/>
                <w:kern w:val="0"/>
                <w:sz w:val="25"/>
                <w:szCs w:val="24"/>
              </w:rPr>
            </w:pPr>
            <w:r>
              <w:rPr>
                <w:rFonts w:ascii="Times New Roman" w:hAnsi="Times New Roman"/>
                <w:color w:val="000000"/>
                <w:kern w:val="0"/>
                <w:sz w:val="25"/>
                <w:szCs w:val="24"/>
              </w:rPr>
              <w:t>8,356,641.61</w:t>
            </w:r>
          </w:p>
        </w:tc>
        <w:tc>
          <w:tcPr>
            <w:tcW w:w="750" w:type="pct"/>
            <w:tcBorders>
              <w:top w:val="single" w:color="auto" w:sz="4" w:space="0"/>
              <w:left w:val="single" w:color="auto" w:sz="4" w:space="0"/>
              <w:bottom w:val="single" w:color="auto" w:sz="4" w:space="0"/>
              <w:right w:val="single" w:color="auto" w:sz="4" w:space="0"/>
            </w:tcBorders>
            <w:vAlign w:val="center"/>
          </w:tcPr>
          <w:p w14:paraId="3B800993">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14:paraId="2755D7B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8FE762C">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5B120BF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127089</w:t>
            </w:r>
          </w:p>
        </w:tc>
        <w:tc>
          <w:tcPr>
            <w:tcW w:w="750" w:type="pct"/>
            <w:tcBorders>
              <w:top w:val="single" w:color="auto" w:sz="4" w:space="0"/>
              <w:left w:val="single" w:color="auto" w:sz="4" w:space="0"/>
              <w:bottom w:val="single" w:color="auto" w:sz="4" w:space="0"/>
              <w:right w:val="single" w:color="auto" w:sz="4" w:space="0"/>
            </w:tcBorders>
            <w:vAlign w:val="center"/>
          </w:tcPr>
          <w:p w14:paraId="44492576">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晶澳转债</w:t>
            </w:r>
          </w:p>
        </w:tc>
        <w:tc>
          <w:tcPr>
            <w:tcW w:w="750" w:type="pct"/>
            <w:tcBorders>
              <w:top w:val="single" w:color="auto" w:sz="4" w:space="0"/>
              <w:left w:val="single" w:color="auto" w:sz="4" w:space="0"/>
              <w:bottom w:val="single" w:color="auto" w:sz="4" w:space="0"/>
              <w:right w:val="single" w:color="auto" w:sz="4" w:space="0"/>
            </w:tcBorders>
            <w:vAlign w:val="center"/>
          </w:tcPr>
          <w:p w14:paraId="21F49856">
            <w:pPr>
              <w:widowControl/>
              <w:snapToGrid w:val="0"/>
              <w:jc w:val="right"/>
              <w:rPr>
                <w:rFonts w:ascii="宋体" w:hAnsi="宋体"/>
                <w:color w:val="000000"/>
                <w:kern w:val="0"/>
                <w:sz w:val="25"/>
                <w:szCs w:val="24"/>
              </w:rPr>
            </w:pPr>
            <w:r>
              <w:rPr>
                <w:rFonts w:ascii="Times New Roman" w:hAnsi="Times New Roman"/>
                <w:color w:val="000000"/>
                <w:kern w:val="0"/>
                <w:sz w:val="25"/>
                <w:szCs w:val="24"/>
              </w:rPr>
              <w:t>8,142,910.79</w:t>
            </w:r>
          </w:p>
        </w:tc>
        <w:tc>
          <w:tcPr>
            <w:tcW w:w="750" w:type="pct"/>
            <w:tcBorders>
              <w:top w:val="single" w:color="auto" w:sz="4" w:space="0"/>
              <w:left w:val="single" w:color="auto" w:sz="4" w:space="0"/>
              <w:bottom w:val="single" w:color="auto" w:sz="4" w:space="0"/>
              <w:right w:val="single" w:color="auto" w:sz="4" w:space="0"/>
            </w:tcBorders>
            <w:vAlign w:val="center"/>
          </w:tcPr>
          <w:p w14:paraId="1B2B2926">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14:paraId="7694C1A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21E8FAD">
            <w:pPr>
              <w:widowControl/>
              <w:snapToGrid w:val="0"/>
              <w:jc w:val="center"/>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43D68C0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113056</w:t>
            </w:r>
          </w:p>
        </w:tc>
        <w:tc>
          <w:tcPr>
            <w:tcW w:w="750" w:type="pct"/>
            <w:tcBorders>
              <w:top w:val="single" w:color="auto" w:sz="4" w:space="0"/>
              <w:left w:val="single" w:color="auto" w:sz="4" w:space="0"/>
              <w:bottom w:val="single" w:color="auto" w:sz="4" w:space="0"/>
              <w:right w:val="single" w:color="auto" w:sz="4" w:space="0"/>
            </w:tcBorders>
            <w:vAlign w:val="center"/>
          </w:tcPr>
          <w:p w14:paraId="63E8BF9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重银转债</w:t>
            </w:r>
          </w:p>
        </w:tc>
        <w:tc>
          <w:tcPr>
            <w:tcW w:w="750" w:type="pct"/>
            <w:tcBorders>
              <w:top w:val="single" w:color="auto" w:sz="4" w:space="0"/>
              <w:left w:val="single" w:color="auto" w:sz="4" w:space="0"/>
              <w:bottom w:val="single" w:color="auto" w:sz="4" w:space="0"/>
              <w:right w:val="single" w:color="auto" w:sz="4" w:space="0"/>
            </w:tcBorders>
            <w:vAlign w:val="center"/>
          </w:tcPr>
          <w:p w14:paraId="0CDCBDBE">
            <w:pPr>
              <w:widowControl/>
              <w:snapToGrid w:val="0"/>
              <w:jc w:val="right"/>
              <w:rPr>
                <w:rFonts w:ascii="宋体" w:hAnsi="宋体"/>
                <w:color w:val="000000"/>
                <w:kern w:val="0"/>
                <w:sz w:val="25"/>
                <w:szCs w:val="24"/>
              </w:rPr>
            </w:pPr>
            <w:r>
              <w:rPr>
                <w:rFonts w:ascii="Times New Roman" w:hAnsi="Times New Roman"/>
                <w:color w:val="000000"/>
                <w:kern w:val="0"/>
                <w:sz w:val="25"/>
                <w:szCs w:val="24"/>
              </w:rPr>
              <w:t>8,121,201.24</w:t>
            </w:r>
          </w:p>
        </w:tc>
        <w:tc>
          <w:tcPr>
            <w:tcW w:w="750" w:type="pct"/>
            <w:tcBorders>
              <w:top w:val="single" w:color="auto" w:sz="4" w:space="0"/>
              <w:left w:val="single" w:color="auto" w:sz="4" w:space="0"/>
              <w:bottom w:val="single" w:color="auto" w:sz="4" w:space="0"/>
              <w:right w:val="single" w:color="auto" w:sz="4" w:space="0"/>
            </w:tcBorders>
            <w:vAlign w:val="center"/>
          </w:tcPr>
          <w:p w14:paraId="27FFC3BD">
            <w:pPr>
              <w:widowControl/>
              <w:snapToGrid w:val="0"/>
              <w:jc w:val="right"/>
              <w:rPr>
                <w:rFonts w:ascii="宋体" w:hAnsi="宋体"/>
                <w:color w:val="000000"/>
                <w:kern w:val="0"/>
                <w:sz w:val="25"/>
                <w:szCs w:val="24"/>
              </w:rPr>
            </w:pPr>
            <w:r>
              <w:rPr>
                <w:rFonts w:ascii="Times New Roman" w:hAnsi="Times New Roman"/>
                <w:color w:val="000000"/>
                <w:kern w:val="0"/>
                <w:sz w:val="25"/>
                <w:szCs w:val="24"/>
              </w:rPr>
              <w:t>0.23</w:t>
            </w:r>
          </w:p>
        </w:tc>
      </w:tr>
      <w:tr w14:paraId="07AE1CE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59F551">
            <w:pPr>
              <w:widowControl/>
              <w:snapToGrid w:val="0"/>
              <w:jc w:val="center"/>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4E02B87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127092</w:t>
            </w:r>
          </w:p>
        </w:tc>
        <w:tc>
          <w:tcPr>
            <w:tcW w:w="750" w:type="pct"/>
            <w:tcBorders>
              <w:top w:val="single" w:color="auto" w:sz="4" w:space="0"/>
              <w:left w:val="single" w:color="auto" w:sz="4" w:space="0"/>
              <w:bottom w:val="single" w:color="auto" w:sz="4" w:space="0"/>
              <w:right w:val="single" w:color="auto" w:sz="4" w:space="0"/>
            </w:tcBorders>
            <w:vAlign w:val="center"/>
          </w:tcPr>
          <w:p w14:paraId="02430918">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运机转债</w:t>
            </w:r>
          </w:p>
        </w:tc>
        <w:tc>
          <w:tcPr>
            <w:tcW w:w="750" w:type="pct"/>
            <w:tcBorders>
              <w:top w:val="single" w:color="auto" w:sz="4" w:space="0"/>
              <w:left w:val="single" w:color="auto" w:sz="4" w:space="0"/>
              <w:bottom w:val="single" w:color="auto" w:sz="4" w:space="0"/>
              <w:right w:val="single" w:color="auto" w:sz="4" w:space="0"/>
            </w:tcBorders>
            <w:vAlign w:val="center"/>
          </w:tcPr>
          <w:p w14:paraId="7E934AAA">
            <w:pPr>
              <w:widowControl/>
              <w:snapToGrid w:val="0"/>
              <w:jc w:val="right"/>
              <w:rPr>
                <w:rFonts w:ascii="宋体" w:hAnsi="宋体"/>
                <w:color w:val="000000"/>
                <w:kern w:val="0"/>
                <w:sz w:val="25"/>
                <w:szCs w:val="24"/>
              </w:rPr>
            </w:pPr>
            <w:r>
              <w:rPr>
                <w:rFonts w:ascii="Times New Roman" w:hAnsi="Times New Roman"/>
                <w:color w:val="000000"/>
                <w:kern w:val="0"/>
                <w:sz w:val="25"/>
                <w:szCs w:val="24"/>
              </w:rPr>
              <w:t>7,999,568.86</w:t>
            </w:r>
          </w:p>
        </w:tc>
        <w:tc>
          <w:tcPr>
            <w:tcW w:w="750" w:type="pct"/>
            <w:tcBorders>
              <w:top w:val="single" w:color="auto" w:sz="4" w:space="0"/>
              <w:left w:val="single" w:color="auto" w:sz="4" w:space="0"/>
              <w:bottom w:val="single" w:color="auto" w:sz="4" w:space="0"/>
              <w:right w:val="single" w:color="auto" w:sz="4" w:space="0"/>
            </w:tcBorders>
            <w:vAlign w:val="center"/>
          </w:tcPr>
          <w:p w14:paraId="3B3434BD">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14:paraId="5201E3D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A41EE8">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14:paraId="7BDF4FE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113625</w:t>
            </w:r>
          </w:p>
        </w:tc>
        <w:tc>
          <w:tcPr>
            <w:tcW w:w="750" w:type="pct"/>
            <w:tcBorders>
              <w:top w:val="single" w:color="auto" w:sz="4" w:space="0"/>
              <w:left w:val="single" w:color="auto" w:sz="4" w:space="0"/>
              <w:bottom w:val="single" w:color="auto" w:sz="4" w:space="0"/>
              <w:right w:val="single" w:color="auto" w:sz="4" w:space="0"/>
            </w:tcBorders>
            <w:vAlign w:val="center"/>
          </w:tcPr>
          <w:p w14:paraId="2637D0CD">
            <w:pPr>
              <w:widowControl/>
              <w:snapToGrid w:val="0"/>
              <w:jc w:val="center"/>
              <w:rPr>
                <w:rFonts w:ascii="宋体" w:hAnsi="宋体"/>
                <w:color w:val="000000"/>
                <w:kern w:val="0"/>
                <w:sz w:val="25"/>
                <w:szCs w:val="24"/>
              </w:rPr>
            </w:pPr>
            <w:r>
              <w:rPr>
                <w:rFonts w:ascii="Times New Roman" w:hAnsi="Times New Roman"/>
                <w:color w:val="000000"/>
                <w:kern w:val="0"/>
                <w:sz w:val="25"/>
                <w:szCs w:val="24"/>
              </w:rPr>
              <w:t>江山转债</w:t>
            </w:r>
          </w:p>
        </w:tc>
        <w:tc>
          <w:tcPr>
            <w:tcW w:w="750" w:type="pct"/>
            <w:tcBorders>
              <w:top w:val="single" w:color="auto" w:sz="4" w:space="0"/>
              <w:left w:val="single" w:color="auto" w:sz="4" w:space="0"/>
              <w:bottom w:val="single" w:color="auto" w:sz="4" w:space="0"/>
              <w:right w:val="single" w:color="auto" w:sz="4" w:space="0"/>
            </w:tcBorders>
            <w:vAlign w:val="center"/>
          </w:tcPr>
          <w:p w14:paraId="4DB80DDF">
            <w:pPr>
              <w:widowControl/>
              <w:snapToGrid w:val="0"/>
              <w:jc w:val="right"/>
              <w:rPr>
                <w:rFonts w:ascii="宋体" w:hAnsi="宋体"/>
                <w:color w:val="000000"/>
                <w:kern w:val="0"/>
                <w:sz w:val="25"/>
                <w:szCs w:val="24"/>
              </w:rPr>
            </w:pPr>
            <w:r>
              <w:rPr>
                <w:rFonts w:ascii="Times New Roman" w:hAnsi="Times New Roman"/>
                <w:color w:val="000000"/>
                <w:kern w:val="0"/>
                <w:sz w:val="25"/>
                <w:szCs w:val="24"/>
              </w:rPr>
              <w:t>7,809,853.40</w:t>
            </w:r>
          </w:p>
        </w:tc>
        <w:tc>
          <w:tcPr>
            <w:tcW w:w="750" w:type="pct"/>
            <w:tcBorders>
              <w:top w:val="single" w:color="auto" w:sz="4" w:space="0"/>
              <w:left w:val="single" w:color="auto" w:sz="4" w:space="0"/>
              <w:bottom w:val="single" w:color="auto" w:sz="4" w:space="0"/>
              <w:right w:val="single" w:color="auto" w:sz="4" w:space="0"/>
            </w:tcBorders>
            <w:vAlign w:val="center"/>
          </w:tcPr>
          <w:p w14:paraId="6BE42A7C">
            <w:pPr>
              <w:widowControl/>
              <w:snapToGrid w:val="0"/>
              <w:jc w:val="right"/>
              <w:rPr>
                <w:rFonts w:ascii="宋体" w:hAnsi="宋体"/>
                <w:color w:val="000000"/>
                <w:kern w:val="0"/>
                <w:sz w:val="25"/>
                <w:szCs w:val="24"/>
              </w:rPr>
            </w:pPr>
            <w:r>
              <w:rPr>
                <w:rFonts w:ascii="Times New Roman" w:hAnsi="Times New Roman"/>
                <w:color w:val="000000"/>
                <w:kern w:val="0"/>
                <w:sz w:val="25"/>
                <w:szCs w:val="24"/>
              </w:rPr>
              <w:t>0.22</w:t>
            </w:r>
          </w:p>
        </w:tc>
      </w:tr>
      <w:tr w14:paraId="4F6F16B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51C685F">
            <w:pPr>
              <w:widowControl/>
              <w:snapToGrid w:val="0"/>
              <w:jc w:val="center"/>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14:paraId="6BEC0D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128137</w:t>
            </w:r>
          </w:p>
        </w:tc>
        <w:tc>
          <w:tcPr>
            <w:tcW w:w="750" w:type="pct"/>
            <w:tcBorders>
              <w:top w:val="single" w:color="auto" w:sz="4" w:space="0"/>
              <w:left w:val="single" w:color="auto" w:sz="4" w:space="0"/>
              <w:bottom w:val="single" w:color="auto" w:sz="4" w:space="0"/>
              <w:right w:val="single" w:color="auto" w:sz="4" w:space="0"/>
            </w:tcBorders>
            <w:vAlign w:val="center"/>
          </w:tcPr>
          <w:p w14:paraId="412B2126">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洁美转债</w:t>
            </w:r>
          </w:p>
        </w:tc>
        <w:tc>
          <w:tcPr>
            <w:tcW w:w="750" w:type="pct"/>
            <w:tcBorders>
              <w:top w:val="single" w:color="auto" w:sz="4" w:space="0"/>
              <w:left w:val="single" w:color="auto" w:sz="4" w:space="0"/>
              <w:bottom w:val="single" w:color="auto" w:sz="4" w:space="0"/>
              <w:right w:val="single" w:color="auto" w:sz="4" w:space="0"/>
            </w:tcBorders>
            <w:vAlign w:val="center"/>
          </w:tcPr>
          <w:p w14:paraId="4B7CBF82">
            <w:pPr>
              <w:widowControl/>
              <w:snapToGrid w:val="0"/>
              <w:jc w:val="right"/>
              <w:rPr>
                <w:rFonts w:ascii="宋体" w:hAnsi="宋体"/>
                <w:color w:val="000000"/>
                <w:kern w:val="0"/>
                <w:sz w:val="25"/>
                <w:szCs w:val="24"/>
              </w:rPr>
            </w:pPr>
            <w:r>
              <w:rPr>
                <w:rFonts w:ascii="Times New Roman" w:hAnsi="Times New Roman"/>
                <w:color w:val="000000"/>
                <w:kern w:val="0"/>
                <w:sz w:val="25"/>
                <w:szCs w:val="24"/>
              </w:rPr>
              <w:t>7,437,076.23</w:t>
            </w:r>
          </w:p>
        </w:tc>
        <w:tc>
          <w:tcPr>
            <w:tcW w:w="750" w:type="pct"/>
            <w:tcBorders>
              <w:top w:val="single" w:color="auto" w:sz="4" w:space="0"/>
              <w:left w:val="single" w:color="auto" w:sz="4" w:space="0"/>
              <w:bottom w:val="single" w:color="auto" w:sz="4" w:space="0"/>
              <w:right w:val="single" w:color="auto" w:sz="4" w:space="0"/>
            </w:tcBorders>
            <w:vAlign w:val="center"/>
          </w:tcPr>
          <w:p w14:paraId="63DCE574">
            <w:pPr>
              <w:widowControl/>
              <w:snapToGrid w:val="0"/>
              <w:jc w:val="right"/>
              <w:rPr>
                <w:rFonts w:ascii="宋体" w:hAnsi="宋体"/>
                <w:color w:val="000000"/>
                <w:kern w:val="0"/>
                <w:sz w:val="25"/>
                <w:szCs w:val="24"/>
              </w:rPr>
            </w:pPr>
            <w:r>
              <w:rPr>
                <w:rFonts w:ascii="Times New Roman" w:hAnsi="Times New Roman"/>
                <w:color w:val="000000"/>
                <w:kern w:val="0"/>
                <w:sz w:val="25"/>
                <w:szCs w:val="24"/>
              </w:rPr>
              <w:t>0.21</w:t>
            </w:r>
          </w:p>
        </w:tc>
      </w:tr>
      <w:tr w14:paraId="73CDE73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FB26D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14:paraId="6077E84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113052</w:t>
            </w:r>
          </w:p>
        </w:tc>
        <w:tc>
          <w:tcPr>
            <w:tcW w:w="750" w:type="pct"/>
            <w:tcBorders>
              <w:top w:val="single" w:color="auto" w:sz="4" w:space="0"/>
              <w:left w:val="single" w:color="auto" w:sz="4" w:space="0"/>
              <w:bottom w:val="single" w:color="auto" w:sz="4" w:space="0"/>
              <w:right w:val="single" w:color="auto" w:sz="4" w:space="0"/>
            </w:tcBorders>
            <w:vAlign w:val="center"/>
          </w:tcPr>
          <w:p w14:paraId="2DC019A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兴业转债</w:t>
            </w:r>
          </w:p>
        </w:tc>
        <w:tc>
          <w:tcPr>
            <w:tcW w:w="750" w:type="pct"/>
            <w:tcBorders>
              <w:top w:val="single" w:color="auto" w:sz="4" w:space="0"/>
              <w:left w:val="single" w:color="auto" w:sz="4" w:space="0"/>
              <w:bottom w:val="single" w:color="auto" w:sz="4" w:space="0"/>
              <w:right w:val="single" w:color="auto" w:sz="4" w:space="0"/>
            </w:tcBorders>
            <w:vAlign w:val="center"/>
          </w:tcPr>
          <w:p w14:paraId="2DD31897">
            <w:pPr>
              <w:widowControl/>
              <w:snapToGrid w:val="0"/>
              <w:jc w:val="right"/>
              <w:rPr>
                <w:rFonts w:ascii="宋体" w:hAnsi="宋体"/>
                <w:color w:val="000000"/>
                <w:kern w:val="0"/>
                <w:sz w:val="25"/>
                <w:szCs w:val="24"/>
              </w:rPr>
            </w:pPr>
            <w:r>
              <w:rPr>
                <w:rFonts w:ascii="Times New Roman" w:hAnsi="Times New Roman"/>
                <w:color w:val="000000"/>
                <w:kern w:val="0"/>
                <w:sz w:val="25"/>
                <w:szCs w:val="24"/>
              </w:rPr>
              <w:t>7,269,967.95</w:t>
            </w:r>
          </w:p>
        </w:tc>
        <w:tc>
          <w:tcPr>
            <w:tcW w:w="750" w:type="pct"/>
            <w:tcBorders>
              <w:top w:val="single" w:color="auto" w:sz="4" w:space="0"/>
              <w:left w:val="single" w:color="auto" w:sz="4" w:space="0"/>
              <w:bottom w:val="single" w:color="auto" w:sz="4" w:space="0"/>
              <w:right w:val="single" w:color="auto" w:sz="4" w:space="0"/>
            </w:tcBorders>
            <w:vAlign w:val="center"/>
          </w:tcPr>
          <w:p w14:paraId="6B0AC074">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14:paraId="5BB1645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7253A3">
            <w:pPr>
              <w:widowControl/>
              <w:snapToGrid w:val="0"/>
              <w:jc w:val="center"/>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14:paraId="13EDC55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110085</w:t>
            </w:r>
          </w:p>
        </w:tc>
        <w:tc>
          <w:tcPr>
            <w:tcW w:w="750" w:type="pct"/>
            <w:tcBorders>
              <w:top w:val="single" w:color="auto" w:sz="4" w:space="0"/>
              <w:left w:val="single" w:color="auto" w:sz="4" w:space="0"/>
              <w:bottom w:val="single" w:color="auto" w:sz="4" w:space="0"/>
              <w:right w:val="single" w:color="auto" w:sz="4" w:space="0"/>
            </w:tcBorders>
            <w:vAlign w:val="center"/>
          </w:tcPr>
          <w:p w14:paraId="1A10D9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通22转债</w:t>
            </w:r>
          </w:p>
        </w:tc>
        <w:tc>
          <w:tcPr>
            <w:tcW w:w="750" w:type="pct"/>
            <w:tcBorders>
              <w:top w:val="single" w:color="auto" w:sz="4" w:space="0"/>
              <w:left w:val="single" w:color="auto" w:sz="4" w:space="0"/>
              <w:bottom w:val="single" w:color="auto" w:sz="4" w:space="0"/>
              <w:right w:val="single" w:color="auto" w:sz="4" w:space="0"/>
            </w:tcBorders>
            <w:vAlign w:val="center"/>
          </w:tcPr>
          <w:p w14:paraId="1AE46897">
            <w:pPr>
              <w:widowControl/>
              <w:snapToGrid w:val="0"/>
              <w:jc w:val="right"/>
              <w:rPr>
                <w:rFonts w:ascii="宋体" w:hAnsi="宋体"/>
                <w:color w:val="000000"/>
                <w:kern w:val="0"/>
                <w:sz w:val="25"/>
                <w:szCs w:val="24"/>
              </w:rPr>
            </w:pPr>
            <w:r>
              <w:rPr>
                <w:rFonts w:ascii="Times New Roman" w:hAnsi="Times New Roman"/>
                <w:color w:val="000000"/>
                <w:kern w:val="0"/>
                <w:sz w:val="25"/>
                <w:szCs w:val="24"/>
              </w:rPr>
              <w:t>6,515,616.00</w:t>
            </w:r>
          </w:p>
        </w:tc>
        <w:tc>
          <w:tcPr>
            <w:tcW w:w="750" w:type="pct"/>
            <w:tcBorders>
              <w:top w:val="single" w:color="auto" w:sz="4" w:space="0"/>
              <w:left w:val="single" w:color="auto" w:sz="4" w:space="0"/>
              <w:bottom w:val="single" w:color="auto" w:sz="4" w:space="0"/>
              <w:right w:val="single" w:color="auto" w:sz="4" w:space="0"/>
            </w:tcBorders>
            <w:vAlign w:val="center"/>
          </w:tcPr>
          <w:p w14:paraId="18FA0DA5">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14:paraId="6D93E3D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6D0BB44">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14:paraId="4F408C3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118020</w:t>
            </w:r>
          </w:p>
        </w:tc>
        <w:tc>
          <w:tcPr>
            <w:tcW w:w="750" w:type="pct"/>
            <w:tcBorders>
              <w:top w:val="single" w:color="auto" w:sz="4" w:space="0"/>
              <w:left w:val="single" w:color="auto" w:sz="4" w:space="0"/>
              <w:bottom w:val="single" w:color="auto" w:sz="4" w:space="0"/>
              <w:right w:val="single" w:color="auto" w:sz="4" w:space="0"/>
            </w:tcBorders>
            <w:vAlign w:val="center"/>
          </w:tcPr>
          <w:p w14:paraId="0B2DA867">
            <w:pPr>
              <w:widowControl/>
              <w:snapToGrid w:val="0"/>
              <w:jc w:val="center"/>
              <w:rPr>
                <w:rFonts w:ascii="宋体" w:hAnsi="宋体"/>
                <w:color w:val="000000"/>
                <w:kern w:val="0"/>
                <w:sz w:val="25"/>
                <w:szCs w:val="24"/>
              </w:rPr>
            </w:pPr>
            <w:r>
              <w:rPr>
                <w:rFonts w:ascii="Times New Roman" w:hAnsi="Times New Roman"/>
                <w:color w:val="000000"/>
                <w:kern w:val="0"/>
                <w:sz w:val="25"/>
                <w:szCs w:val="24"/>
              </w:rPr>
              <w:t>芳源转债</w:t>
            </w:r>
          </w:p>
        </w:tc>
        <w:tc>
          <w:tcPr>
            <w:tcW w:w="750" w:type="pct"/>
            <w:tcBorders>
              <w:top w:val="single" w:color="auto" w:sz="4" w:space="0"/>
              <w:left w:val="single" w:color="auto" w:sz="4" w:space="0"/>
              <w:bottom w:val="single" w:color="auto" w:sz="4" w:space="0"/>
              <w:right w:val="single" w:color="auto" w:sz="4" w:space="0"/>
            </w:tcBorders>
            <w:vAlign w:val="center"/>
          </w:tcPr>
          <w:p w14:paraId="684D3C77">
            <w:pPr>
              <w:widowControl/>
              <w:snapToGrid w:val="0"/>
              <w:jc w:val="right"/>
              <w:rPr>
                <w:rFonts w:ascii="宋体" w:hAnsi="宋体"/>
                <w:color w:val="000000"/>
                <w:kern w:val="0"/>
                <w:sz w:val="25"/>
                <w:szCs w:val="24"/>
              </w:rPr>
            </w:pPr>
            <w:r>
              <w:rPr>
                <w:rFonts w:ascii="Times New Roman" w:hAnsi="Times New Roman"/>
                <w:color w:val="000000"/>
                <w:kern w:val="0"/>
                <w:sz w:val="25"/>
                <w:szCs w:val="24"/>
              </w:rPr>
              <w:t>6,447,407.40</w:t>
            </w:r>
          </w:p>
        </w:tc>
        <w:tc>
          <w:tcPr>
            <w:tcW w:w="750" w:type="pct"/>
            <w:tcBorders>
              <w:top w:val="single" w:color="auto" w:sz="4" w:space="0"/>
              <w:left w:val="single" w:color="auto" w:sz="4" w:space="0"/>
              <w:bottom w:val="single" w:color="auto" w:sz="4" w:space="0"/>
              <w:right w:val="single" w:color="auto" w:sz="4" w:space="0"/>
            </w:tcBorders>
            <w:vAlign w:val="center"/>
          </w:tcPr>
          <w:p w14:paraId="31CB0E42">
            <w:pPr>
              <w:widowControl/>
              <w:snapToGrid w:val="0"/>
              <w:jc w:val="right"/>
              <w:rPr>
                <w:rFonts w:ascii="宋体" w:hAnsi="宋体"/>
                <w:color w:val="000000"/>
                <w:kern w:val="0"/>
                <w:sz w:val="25"/>
                <w:szCs w:val="24"/>
              </w:rPr>
            </w:pPr>
            <w:r>
              <w:rPr>
                <w:rFonts w:ascii="Times New Roman" w:hAnsi="Times New Roman"/>
                <w:color w:val="000000"/>
                <w:kern w:val="0"/>
                <w:sz w:val="25"/>
                <w:szCs w:val="24"/>
              </w:rPr>
              <w:t>0.18</w:t>
            </w:r>
          </w:p>
        </w:tc>
      </w:tr>
      <w:tr w14:paraId="3A3B1AC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F11E56">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14:paraId="5B6413E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113644</w:t>
            </w:r>
          </w:p>
        </w:tc>
        <w:tc>
          <w:tcPr>
            <w:tcW w:w="750" w:type="pct"/>
            <w:tcBorders>
              <w:top w:val="single" w:color="auto" w:sz="4" w:space="0"/>
              <w:left w:val="single" w:color="auto" w:sz="4" w:space="0"/>
              <w:bottom w:val="single" w:color="auto" w:sz="4" w:space="0"/>
              <w:right w:val="single" w:color="auto" w:sz="4" w:space="0"/>
            </w:tcBorders>
            <w:vAlign w:val="center"/>
          </w:tcPr>
          <w:p w14:paraId="4C25B6DA">
            <w:pPr>
              <w:widowControl/>
              <w:snapToGrid w:val="0"/>
              <w:jc w:val="center"/>
              <w:rPr>
                <w:rFonts w:ascii="宋体" w:hAnsi="宋体"/>
                <w:color w:val="000000"/>
                <w:kern w:val="0"/>
                <w:sz w:val="25"/>
                <w:szCs w:val="24"/>
              </w:rPr>
            </w:pPr>
            <w:r>
              <w:rPr>
                <w:rFonts w:ascii="Times New Roman" w:hAnsi="Times New Roman"/>
                <w:color w:val="000000"/>
                <w:kern w:val="0"/>
                <w:sz w:val="25"/>
                <w:szCs w:val="24"/>
              </w:rPr>
              <w:t>艾迪转债</w:t>
            </w:r>
          </w:p>
        </w:tc>
        <w:tc>
          <w:tcPr>
            <w:tcW w:w="750" w:type="pct"/>
            <w:tcBorders>
              <w:top w:val="single" w:color="auto" w:sz="4" w:space="0"/>
              <w:left w:val="single" w:color="auto" w:sz="4" w:space="0"/>
              <w:bottom w:val="single" w:color="auto" w:sz="4" w:space="0"/>
              <w:right w:val="single" w:color="auto" w:sz="4" w:space="0"/>
            </w:tcBorders>
            <w:vAlign w:val="center"/>
          </w:tcPr>
          <w:p w14:paraId="5DA6B2B0">
            <w:pPr>
              <w:widowControl/>
              <w:snapToGrid w:val="0"/>
              <w:jc w:val="right"/>
              <w:rPr>
                <w:rFonts w:ascii="宋体" w:hAnsi="宋体"/>
                <w:color w:val="000000"/>
                <w:kern w:val="0"/>
                <w:sz w:val="25"/>
                <w:szCs w:val="24"/>
              </w:rPr>
            </w:pPr>
            <w:r>
              <w:rPr>
                <w:rFonts w:ascii="Times New Roman" w:hAnsi="Times New Roman"/>
                <w:color w:val="000000"/>
                <w:kern w:val="0"/>
                <w:sz w:val="25"/>
                <w:szCs w:val="24"/>
              </w:rPr>
              <w:t>6,101,356.93</w:t>
            </w:r>
          </w:p>
        </w:tc>
        <w:tc>
          <w:tcPr>
            <w:tcW w:w="750" w:type="pct"/>
            <w:tcBorders>
              <w:top w:val="single" w:color="auto" w:sz="4" w:space="0"/>
              <w:left w:val="single" w:color="auto" w:sz="4" w:space="0"/>
              <w:bottom w:val="single" w:color="auto" w:sz="4" w:space="0"/>
              <w:right w:val="single" w:color="auto" w:sz="4" w:space="0"/>
            </w:tcBorders>
            <w:vAlign w:val="center"/>
          </w:tcPr>
          <w:p w14:paraId="4704582D">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1A97319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E574D8">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14:paraId="574EB83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113666</w:t>
            </w:r>
          </w:p>
        </w:tc>
        <w:tc>
          <w:tcPr>
            <w:tcW w:w="750" w:type="pct"/>
            <w:tcBorders>
              <w:top w:val="single" w:color="auto" w:sz="4" w:space="0"/>
              <w:left w:val="single" w:color="auto" w:sz="4" w:space="0"/>
              <w:bottom w:val="single" w:color="auto" w:sz="4" w:space="0"/>
              <w:right w:val="single" w:color="auto" w:sz="4" w:space="0"/>
            </w:tcBorders>
            <w:vAlign w:val="center"/>
          </w:tcPr>
          <w:p w14:paraId="1737D3DA">
            <w:pPr>
              <w:widowControl/>
              <w:snapToGrid w:val="0"/>
              <w:jc w:val="center"/>
              <w:rPr>
                <w:rFonts w:ascii="宋体" w:hAnsi="宋体"/>
                <w:color w:val="000000"/>
                <w:kern w:val="0"/>
                <w:sz w:val="25"/>
                <w:szCs w:val="24"/>
              </w:rPr>
            </w:pPr>
            <w:r>
              <w:rPr>
                <w:rFonts w:ascii="Times New Roman" w:hAnsi="Times New Roman"/>
                <w:color w:val="000000"/>
                <w:kern w:val="0"/>
                <w:sz w:val="25"/>
                <w:szCs w:val="24"/>
              </w:rPr>
              <w:t>爱玛转债</w:t>
            </w:r>
          </w:p>
        </w:tc>
        <w:tc>
          <w:tcPr>
            <w:tcW w:w="750" w:type="pct"/>
            <w:tcBorders>
              <w:top w:val="single" w:color="auto" w:sz="4" w:space="0"/>
              <w:left w:val="single" w:color="auto" w:sz="4" w:space="0"/>
              <w:bottom w:val="single" w:color="auto" w:sz="4" w:space="0"/>
              <w:right w:val="single" w:color="auto" w:sz="4" w:space="0"/>
            </w:tcBorders>
            <w:vAlign w:val="center"/>
          </w:tcPr>
          <w:p w14:paraId="6553B189">
            <w:pPr>
              <w:widowControl/>
              <w:snapToGrid w:val="0"/>
              <w:jc w:val="right"/>
              <w:rPr>
                <w:rFonts w:ascii="宋体" w:hAnsi="宋体"/>
                <w:color w:val="000000"/>
                <w:kern w:val="0"/>
                <w:sz w:val="25"/>
                <w:szCs w:val="24"/>
              </w:rPr>
            </w:pPr>
            <w:r>
              <w:rPr>
                <w:rFonts w:ascii="Times New Roman" w:hAnsi="Times New Roman"/>
                <w:color w:val="000000"/>
                <w:kern w:val="0"/>
                <w:sz w:val="25"/>
                <w:szCs w:val="24"/>
              </w:rPr>
              <w:t>6,076,056.43</w:t>
            </w:r>
          </w:p>
        </w:tc>
        <w:tc>
          <w:tcPr>
            <w:tcW w:w="750" w:type="pct"/>
            <w:tcBorders>
              <w:top w:val="single" w:color="auto" w:sz="4" w:space="0"/>
              <w:left w:val="single" w:color="auto" w:sz="4" w:space="0"/>
              <w:bottom w:val="single" w:color="auto" w:sz="4" w:space="0"/>
              <w:right w:val="single" w:color="auto" w:sz="4" w:space="0"/>
            </w:tcBorders>
            <w:vAlign w:val="center"/>
          </w:tcPr>
          <w:p w14:paraId="4000EF86">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7B1D678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621D39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14:paraId="69AF11F3">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123172</w:t>
            </w:r>
          </w:p>
        </w:tc>
        <w:tc>
          <w:tcPr>
            <w:tcW w:w="750" w:type="pct"/>
            <w:tcBorders>
              <w:top w:val="single" w:color="auto" w:sz="4" w:space="0"/>
              <w:left w:val="single" w:color="auto" w:sz="4" w:space="0"/>
              <w:bottom w:val="single" w:color="auto" w:sz="4" w:space="0"/>
              <w:right w:val="single" w:color="auto" w:sz="4" w:space="0"/>
            </w:tcBorders>
            <w:vAlign w:val="center"/>
          </w:tcPr>
          <w:p w14:paraId="5672C3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漱玉转债</w:t>
            </w:r>
          </w:p>
        </w:tc>
        <w:tc>
          <w:tcPr>
            <w:tcW w:w="750" w:type="pct"/>
            <w:tcBorders>
              <w:top w:val="single" w:color="auto" w:sz="4" w:space="0"/>
              <w:left w:val="single" w:color="auto" w:sz="4" w:space="0"/>
              <w:bottom w:val="single" w:color="auto" w:sz="4" w:space="0"/>
              <w:right w:val="single" w:color="auto" w:sz="4" w:space="0"/>
            </w:tcBorders>
            <w:vAlign w:val="center"/>
          </w:tcPr>
          <w:p w14:paraId="0BEA25DA">
            <w:pPr>
              <w:widowControl/>
              <w:snapToGrid w:val="0"/>
              <w:jc w:val="right"/>
              <w:rPr>
                <w:rFonts w:ascii="宋体" w:hAnsi="宋体"/>
                <w:color w:val="000000"/>
                <w:kern w:val="0"/>
                <w:sz w:val="25"/>
                <w:szCs w:val="24"/>
              </w:rPr>
            </w:pPr>
            <w:r>
              <w:rPr>
                <w:rFonts w:ascii="Times New Roman" w:hAnsi="Times New Roman"/>
                <w:color w:val="000000"/>
                <w:kern w:val="0"/>
                <w:sz w:val="25"/>
                <w:szCs w:val="24"/>
              </w:rPr>
              <w:t>6,035,230.70</w:t>
            </w:r>
          </w:p>
        </w:tc>
        <w:tc>
          <w:tcPr>
            <w:tcW w:w="750" w:type="pct"/>
            <w:tcBorders>
              <w:top w:val="single" w:color="auto" w:sz="4" w:space="0"/>
              <w:left w:val="single" w:color="auto" w:sz="4" w:space="0"/>
              <w:bottom w:val="single" w:color="auto" w:sz="4" w:space="0"/>
              <w:right w:val="single" w:color="auto" w:sz="4" w:space="0"/>
            </w:tcBorders>
            <w:vAlign w:val="center"/>
          </w:tcPr>
          <w:p w14:paraId="1C126447">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074BE02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588AD3">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14:paraId="0F3652B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118000</w:t>
            </w:r>
          </w:p>
        </w:tc>
        <w:tc>
          <w:tcPr>
            <w:tcW w:w="750" w:type="pct"/>
            <w:tcBorders>
              <w:top w:val="single" w:color="auto" w:sz="4" w:space="0"/>
              <w:left w:val="single" w:color="auto" w:sz="4" w:space="0"/>
              <w:bottom w:val="single" w:color="auto" w:sz="4" w:space="0"/>
              <w:right w:val="single" w:color="auto" w:sz="4" w:space="0"/>
            </w:tcBorders>
            <w:vAlign w:val="center"/>
          </w:tcPr>
          <w:p w14:paraId="559C53E3">
            <w:pPr>
              <w:widowControl/>
              <w:snapToGrid w:val="0"/>
              <w:jc w:val="center"/>
              <w:rPr>
                <w:rFonts w:ascii="宋体" w:hAnsi="宋体"/>
                <w:color w:val="000000"/>
                <w:kern w:val="0"/>
                <w:sz w:val="25"/>
                <w:szCs w:val="24"/>
              </w:rPr>
            </w:pPr>
            <w:r>
              <w:rPr>
                <w:rFonts w:ascii="Times New Roman" w:hAnsi="Times New Roman"/>
                <w:color w:val="000000"/>
                <w:kern w:val="0"/>
                <w:sz w:val="25"/>
                <w:szCs w:val="24"/>
              </w:rPr>
              <w:t>嘉元转债</w:t>
            </w:r>
          </w:p>
        </w:tc>
        <w:tc>
          <w:tcPr>
            <w:tcW w:w="750" w:type="pct"/>
            <w:tcBorders>
              <w:top w:val="single" w:color="auto" w:sz="4" w:space="0"/>
              <w:left w:val="single" w:color="auto" w:sz="4" w:space="0"/>
              <w:bottom w:val="single" w:color="auto" w:sz="4" w:space="0"/>
              <w:right w:val="single" w:color="auto" w:sz="4" w:space="0"/>
            </w:tcBorders>
            <w:vAlign w:val="center"/>
          </w:tcPr>
          <w:p w14:paraId="451DC259">
            <w:pPr>
              <w:widowControl/>
              <w:snapToGrid w:val="0"/>
              <w:jc w:val="right"/>
              <w:rPr>
                <w:rFonts w:ascii="宋体" w:hAnsi="宋体"/>
                <w:color w:val="000000"/>
                <w:kern w:val="0"/>
                <w:sz w:val="25"/>
                <w:szCs w:val="24"/>
              </w:rPr>
            </w:pPr>
            <w:r>
              <w:rPr>
                <w:rFonts w:ascii="Times New Roman" w:hAnsi="Times New Roman"/>
                <w:color w:val="000000"/>
                <w:kern w:val="0"/>
                <w:sz w:val="25"/>
                <w:szCs w:val="24"/>
              </w:rPr>
              <w:t>5,981,962.52</w:t>
            </w:r>
          </w:p>
        </w:tc>
        <w:tc>
          <w:tcPr>
            <w:tcW w:w="750" w:type="pct"/>
            <w:tcBorders>
              <w:top w:val="single" w:color="auto" w:sz="4" w:space="0"/>
              <w:left w:val="single" w:color="auto" w:sz="4" w:space="0"/>
              <w:bottom w:val="single" w:color="auto" w:sz="4" w:space="0"/>
              <w:right w:val="single" w:color="auto" w:sz="4" w:space="0"/>
            </w:tcBorders>
            <w:vAlign w:val="center"/>
          </w:tcPr>
          <w:p w14:paraId="0BFD16A7">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7D67058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EBAE029">
            <w:pPr>
              <w:widowControl/>
              <w:snapToGrid w:val="0"/>
              <w:jc w:val="center"/>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14:paraId="01B61B98">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127070</w:t>
            </w:r>
          </w:p>
        </w:tc>
        <w:tc>
          <w:tcPr>
            <w:tcW w:w="750" w:type="pct"/>
            <w:tcBorders>
              <w:top w:val="single" w:color="auto" w:sz="4" w:space="0"/>
              <w:left w:val="single" w:color="auto" w:sz="4" w:space="0"/>
              <w:bottom w:val="single" w:color="auto" w:sz="4" w:space="0"/>
              <w:right w:val="single" w:color="auto" w:sz="4" w:space="0"/>
            </w:tcBorders>
            <w:vAlign w:val="center"/>
          </w:tcPr>
          <w:p w14:paraId="670CDEEC">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大中转债</w:t>
            </w:r>
          </w:p>
        </w:tc>
        <w:tc>
          <w:tcPr>
            <w:tcW w:w="750" w:type="pct"/>
            <w:tcBorders>
              <w:top w:val="single" w:color="auto" w:sz="4" w:space="0"/>
              <w:left w:val="single" w:color="auto" w:sz="4" w:space="0"/>
              <w:bottom w:val="single" w:color="auto" w:sz="4" w:space="0"/>
              <w:right w:val="single" w:color="auto" w:sz="4" w:space="0"/>
            </w:tcBorders>
            <w:vAlign w:val="center"/>
          </w:tcPr>
          <w:p w14:paraId="2AE7D632">
            <w:pPr>
              <w:widowControl/>
              <w:snapToGrid w:val="0"/>
              <w:jc w:val="right"/>
              <w:rPr>
                <w:rFonts w:ascii="宋体" w:hAnsi="宋体"/>
                <w:color w:val="000000"/>
                <w:kern w:val="0"/>
                <w:sz w:val="25"/>
                <w:szCs w:val="24"/>
              </w:rPr>
            </w:pPr>
            <w:r>
              <w:rPr>
                <w:rFonts w:ascii="Times New Roman" w:hAnsi="Times New Roman"/>
                <w:color w:val="000000"/>
                <w:kern w:val="0"/>
                <w:sz w:val="25"/>
                <w:szCs w:val="24"/>
              </w:rPr>
              <w:t>5,969,358.51</w:t>
            </w:r>
          </w:p>
        </w:tc>
        <w:tc>
          <w:tcPr>
            <w:tcW w:w="750" w:type="pct"/>
            <w:tcBorders>
              <w:top w:val="single" w:color="auto" w:sz="4" w:space="0"/>
              <w:left w:val="single" w:color="auto" w:sz="4" w:space="0"/>
              <w:bottom w:val="single" w:color="auto" w:sz="4" w:space="0"/>
              <w:right w:val="single" w:color="auto" w:sz="4" w:space="0"/>
            </w:tcBorders>
            <w:vAlign w:val="center"/>
          </w:tcPr>
          <w:p w14:paraId="2DE7BF33">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3DD3E85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4BEDB1">
            <w:pPr>
              <w:widowControl/>
              <w:snapToGrid w:val="0"/>
              <w:jc w:val="center"/>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14:paraId="3867DEA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118035</w:t>
            </w:r>
          </w:p>
        </w:tc>
        <w:tc>
          <w:tcPr>
            <w:tcW w:w="750" w:type="pct"/>
            <w:tcBorders>
              <w:top w:val="single" w:color="auto" w:sz="4" w:space="0"/>
              <w:left w:val="single" w:color="auto" w:sz="4" w:space="0"/>
              <w:bottom w:val="single" w:color="auto" w:sz="4" w:space="0"/>
              <w:right w:val="single" w:color="auto" w:sz="4" w:space="0"/>
            </w:tcBorders>
            <w:vAlign w:val="center"/>
          </w:tcPr>
          <w:p w14:paraId="00823C67">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国力转债</w:t>
            </w:r>
          </w:p>
        </w:tc>
        <w:tc>
          <w:tcPr>
            <w:tcW w:w="750" w:type="pct"/>
            <w:tcBorders>
              <w:top w:val="single" w:color="auto" w:sz="4" w:space="0"/>
              <w:left w:val="single" w:color="auto" w:sz="4" w:space="0"/>
              <w:bottom w:val="single" w:color="auto" w:sz="4" w:space="0"/>
              <w:right w:val="single" w:color="auto" w:sz="4" w:space="0"/>
            </w:tcBorders>
            <w:vAlign w:val="center"/>
          </w:tcPr>
          <w:p w14:paraId="0E207539">
            <w:pPr>
              <w:widowControl/>
              <w:snapToGrid w:val="0"/>
              <w:jc w:val="right"/>
              <w:rPr>
                <w:rFonts w:ascii="宋体" w:hAnsi="宋体"/>
                <w:color w:val="000000"/>
                <w:kern w:val="0"/>
                <w:sz w:val="25"/>
                <w:szCs w:val="24"/>
              </w:rPr>
            </w:pPr>
            <w:r>
              <w:rPr>
                <w:rFonts w:ascii="Times New Roman" w:hAnsi="Times New Roman"/>
                <w:color w:val="000000"/>
                <w:kern w:val="0"/>
                <w:sz w:val="25"/>
                <w:szCs w:val="24"/>
              </w:rPr>
              <w:t>5,903,210.74</w:t>
            </w:r>
          </w:p>
        </w:tc>
        <w:tc>
          <w:tcPr>
            <w:tcW w:w="750" w:type="pct"/>
            <w:tcBorders>
              <w:top w:val="single" w:color="auto" w:sz="4" w:space="0"/>
              <w:left w:val="single" w:color="auto" w:sz="4" w:space="0"/>
              <w:bottom w:val="single" w:color="auto" w:sz="4" w:space="0"/>
              <w:right w:val="single" w:color="auto" w:sz="4" w:space="0"/>
            </w:tcBorders>
            <w:vAlign w:val="center"/>
          </w:tcPr>
          <w:p w14:paraId="2C053FF5">
            <w:pPr>
              <w:widowControl/>
              <w:snapToGrid w:val="0"/>
              <w:jc w:val="right"/>
              <w:rPr>
                <w:rFonts w:ascii="宋体" w:hAnsi="宋体"/>
                <w:color w:val="000000"/>
                <w:kern w:val="0"/>
                <w:sz w:val="25"/>
                <w:szCs w:val="24"/>
              </w:rPr>
            </w:pPr>
            <w:r>
              <w:rPr>
                <w:rFonts w:ascii="Times New Roman" w:hAnsi="Times New Roman"/>
                <w:color w:val="000000"/>
                <w:kern w:val="0"/>
                <w:sz w:val="25"/>
                <w:szCs w:val="24"/>
              </w:rPr>
              <w:t>0.17</w:t>
            </w:r>
          </w:p>
        </w:tc>
      </w:tr>
      <w:tr w14:paraId="1AE83EF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1D5CB22">
            <w:pPr>
              <w:widowControl/>
              <w:snapToGrid w:val="0"/>
              <w:jc w:val="center"/>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14:paraId="47D4AE7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113655</w:t>
            </w:r>
          </w:p>
        </w:tc>
        <w:tc>
          <w:tcPr>
            <w:tcW w:w="750" w:type="pct"/>
            <w:tcBorders>
              <w:top w:val="single" w:color="auto" w:sz="4" w:space="0"/>
              <w:left w:val="single" w:color="auto" w:sz="4" w:space="0"/>
              <w:bottom w:val="single" w:color="auto" w:sz="4" w:space="0"/>
              <w:right w:val="single" w:color="auto" w:sz="4" w:space="0"/>
            </w:tcBorders>
            <w:vAlign w:val="center"/>
          </w:tcPr>
          <w:p w14:paraId="6834D9CD">
            <w:pPr>
              <w:widowControl/>
              <w:snapToGrid w:val="0"/>
              <w:jc w:val="center"/>
              <w:rPr>
                <w:rFonts w:ascii="宋体" w:hAnsi="宋体"/>
                <w:color w:val="000000"/>
                <w:kern w:val="0"/>
                <w:sz w:val="25"/>
                <w:szCs w:val="24"/>
              </w:rPr>
            </w:pPr>
            <w:r>
              <w:rPr>
                <w:rFonts w:ascii="Times New Roman" w:hAnsi="Times New Roman"/>
                <w:color w:val="000000"/>
                <w:kern w:val="0"/>
                <w:sz w:val="25"/>
                <w:szCs w:val="24"/>
              </w:rPr>
              <w:t>欧22转债</w:t>
            </w:r>
          </w:p>
        </w:tc>
        <w:tc>
          <w:tcPr>
            <w:tcW w:w="750" w:type="pct"/>
            <w:tcBorders>
              <w:top w:val="single" w:color="auto" w:sz="4" w:space="0"/>
              <w:left w:val="single" w:color="auto" w:sz="4" w:space="0"/>
              <w:bottom w:val="single" w:color="auto" w:sz="4" w:space="0"/>
              <w:right w:val="single" w:color="auto" w:sz="4" w:space="0"/>
            </w:tcBorders>
            <w:vAlign w:val="center"/>
          </w:tcPr>
          <w:p w14:paraId="5423B34A">
            <w:pPr>
              <w:widowControl/>
              <w:snapToGrid w:val="0"/>
              <w:jc w:val="right"/>
              <w:rPr>
                <w:rFonts w:ascii="宋体" w:hAnsi="宋体"/>
                <w:color w:val="000000"/>
                <w:kern w:val="0"/>
                <w:sz w:val="25"/>
                <w:szCs w:val="24"/>
              </w:rPr>
            </w:pPr>
            <w:r>
              <w:rPr>
                <w:rFonts w:ascii="Times New Roman" w:hAnsi="Times New Roman"/>
                <w:color w:val="000000"/>
                <w:kern w:val="0"/>
                <w:sz w:val="25"/>
                <w:szCs w:val="24"/>
              </w:rPr>
              <w:t>5,517,660.53</w:t>
            </w:r>
          </w:p>
        </w:tc>
        <w:tc>
          <w:tcPr>
            <w:tcW w:w="750" w:type="pct"/>
            <w:tcBorders>
              <w:top w:val="single" w:color="auto" w:sz="4" w:space="0"/>
              <w:left w:val="single" w:color="auto" w:sz="4" w:space="0"/>
              <w:bottom w:val="single" w:color="auto" w:sz="4" w:space="0"/>
              <w:right w:val="single" w:color="auto" w:sz="4" w:space="0"/>
            </w:tcBorders>
            <w:vAlign w:val="center"/>
          </w:tcPr>
          <w:p w14:paraId="0DFBF5FE">
            <w:pPr>
              <w:widowControl/>
              <w:snapToGrid w:val="0"/>
              <w:jc w:val="right"/>
              <w:rPr>
                <w:rFonts w:ascii="宋体" w:hAnsi="宋体"/>
                <w:color w:val="000000"/>
                <w:kern w:val="0"/>
                <w:sz w:val="25"/>
                <w:szCs w:val="24"/>
              </w:rPr>
            </w:pPr>
            <w:r>
              <w:rPr>
                <w:rFonts w:ascii="Times New Roman" w:hAnsi="Times New Roman"/>
                <w:color w:val="000000"/>
                <w:kern w:val="0"/>
                <w:sz w:val="25"/>
                <w:szCs w:val="24"/>
              </w:rPr>
              <w:t>0.15</w:t>
            </w:r>
          </w:p>
        </w:tc>
      </w:tr>
      <w:tr w14:paraId="2469EF5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8574441">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14:paraId="71FEB49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123113</w:t>
            </w:r>
          </w:p>
        </w:tc>
        <w:tc>
          <w:tcPr>
            <w:tcW w:w="750" w:type="pct"/>
            <w:tcBorders>
              <w:top w:val="single" w:color="auto" w:sz="4" w:space="0"/>
              <w:left w:val="single" w:color="auto" w:sz="4" w:space="0"/>
              <w:bottom w:val="single" w:color="auto" w:sz="4" w:space="0"/>
              <w:right w:val="single" w:color="auto" w:sz="4" w:space="0"/>
            </w:tcBorders>
            <w:vAlign w:val="center"/>
          </w:tcPr>
          <w:p w14:paraId="0954471C">
            <w:pPr>
              <w:widowControl/>
              <w:snapToGrid w:val="0"/>
              <w:jc w:val="center"/>
              <w:rPr>
                <w:rFonts w:ascii="宋体" w:hAnsi="宋体"/>
                <w:color w:val="000000"/>
                <w:kern w:val="0"/>
                <w:sz w:val="25"/>
                <w:szCs w:val="24"/>
              </w:rPr>
            </w:pPr>
            <w:r>
              <w:rPr>
                <w:rFonts w:ascii="Times New Roman" w:hAnsi="Times New Roman"/>
                <w:color w:val="000000"/>
                <w:kern w:val="0"/>
                <w:sz w:val="25"/>
                <w:szCs w:val="24"/>
              </w:rPr>
              <w:t>仙乐转债</w:t>
            </w:r>
          </w:p>
        </w:tc>
        <w:tc>
          <w:tcPr>
            <w:tcW w:w="750" w:type="pct"/>
            <w:tcBorders>
              <w:top w:val="single" w:color="auto" w:sz="4" w:space="0"/>
              <w:left w:val="single" w:color="auto" w:sz="4" w:space="0"/>
              <w:bottom w:val="single" w:color="auto" w:sz="4" w:space="0"/>
              <w:right w:val="single" w:color="auto" w:sz="4" w:space="0"/>
            </w:tcBorders>
            <w:vAlign w:val="center"/>
          </w:tcPr>
          <w:p w14:paraId="0A67D7AB">
            <w:pPr>
              <w:widowControl/>
              <w:snapToGrid w:val="0"/>
              <w:jc w:val="right"/>
              <w:rPr>
                <w:rFonts w:ascii="宋体" w:hAnsi="宋体"/>
                <w:color w:val="000000"/>
                <w:kern w:val="0"/>
                <w:sz w:val="25"/>
                <w:szCs w:val="24"/>
              </w:rPr>
            </w:pPr>
            <w:r>
              <w:rPr>
                <w:rFonts w:ascii="Times New Roman" w:hAnsi="Times New Roman"/>
                <w:color w:val="000000"/>
                <w:kern w:val="0"/>
                <w:sz w:val="25"/>
                <w:szCs w:val="24"/>
              </w:rPr>
              <w:t>5,179,726.71</w:t>
            </w:r>
          </w:p>
        </w:tc>
        <w:tc>
          <w:tcPr>
            <w:tcW w:w="750" w:type="pct"/>
            <w:tcBorders>
              <w:top w:val="single" w:color="auto" w:sz="4" w:space="0"/>
              <w:left w:val="single" w:color="auto" w:sz="4" w:space="0"/>
              <w:bottom w:val="single" w:color="auto" w:sz="4" w:space="0"/>
              <w:right w:val="single" w:color="auto" w:sz="4" w:space="0"/>
            </w:tcBorders>
            <w:vAlign w:val="center"/>
          </w:tcPr>
          <w:p w14:paraId="03B92B3E">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14:paraId="4066C31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D691ED">
            <w:pPr>
              <w:widowControl/>
              <w:snapToGrid w:val="0"/>
              <w:jc w:val="center"/>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14:paraId="3BFC718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123107</w:t>
            </w:r>
          </w:p>
        </w:tc>
        <w:tc>
          <w:tcPr>
            <w:tcW w:w="750" w:type="pct"/>
            <w:tcBorders>
              <w:top w:val="single" w:color="auto" w:sz="4" w:space="0"/>
              <w:left w:val="single" w:color="auto" w:sz="4" w:space="0"/>
              <w:bottom w:val="single" w:color="auto" w:sz="4" w:space="0"/>
              <w:right w:val="single" w:color="auto" w:sz="4" w:space="0"/>
            </w:tcBorders>
            <w:vAlign w:val="center"/>
          </w:tcPr>
          <w:p w14:paraId="67876548">
            <w:pPr>
              <w:widowControl/>
              <w:snapToGrid w:val="0"/>
              <w:jc w:val="center"/>
              <w:rPr>
                <w:rFonts w:ascii="宋体" w:hAnsi="宋体"/>
                <w:color w:val="000000"/>
                <w:kern w:val="0"/>
                <w:sz w:val="25"/>
                <w:szCs w:val="24"/>
              </w:rPr>
            </w:pPr>
            <w:r>
              <w:rPr>
                <w:rFonts w:ascii="Times New Roman" w:hAnsi="Times New Roman"/>
                <w:color w:val="000000"/>
                <w:kern w:val="0"/>
                <w:sz w:val="25"/>
                <w:szCs w:val="24"/>
              </w:rPr>
              <w:t>温氏转债</w:t>
            </w:r>
          </w:p>
        </w:tc>
        <w:tc>
          <w:tcPr>
            <w:tcW w:w="750" w:type="pct"/>
            <w:tcBorders>
              <w:top w:val="single" w:color="auto" w:sz="4" w:space="0"/>
              <w:left w:val="single" w:color="auto" w:sz="4" w:space="0"/>
              <w:bottom w:val="single" w:color="auto" w:sz="4" w:space="0"/>
              <w:right w:val="single" w:color="auto" w:sz="4" w:space="0"/>
            </w:tcBorders>
            <w:vAlign w:val="center"/>
          </w:tcPr>
          <w:p w14:paraId="4066CD60">
            <w:pPr>
              <w:widowControl/>
              <w:snapToGrid w:val="0"/>
              <w:jc w:val="right"/>
              <w:rPr>
                <w:rFonts w:ascii="宋体" w:hAnsi="宋体"/>
                <w:color w:val="000000"/>
                <w:kern w:val="0"/>
                <w:sz w:val="25"/>
                <w:szCs w:val="24"/>
              </w:rPr>
            </w:pPr>
            <w:r>
              <w:rPr>
                <w:rFonts w:ascii="Times New Roman" w:hAnsi="Times New Roman"/>
                <w:color w:val="000000"/>
                <w:kern w:val="0"/>
                <w:sz w:val="25"/>
                <w:szCs w:val="24"/>
              </w:rPr>
              <w:t>5,024,664.33</w:t>
            </w:r>
          </w:p>
        </w:tc>
        <w:tc>
          <w:tcPr>
            <w:tcW w:w="750" w:type="pct"/>
            <w:tcBorders>
              <w:top w:val="single" w:color="auto" w:sz="4" w:space="0"/>
              <w:left w:val="single" w:color="auto" w:sz="4" w:space="0"/>
              <w:bottom w:val="single" w:color="auto" w:sz="4" w:space="0"/>
              <w:right w:val="single" w:color="auto" w:sz="4" w:space="0"/>
            </w:tcBorders>
            <w:vAlign w:val="center"/>
          </w:tcPr>
          <w:p w14:paraId="1BD050EA">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14:paraId="2D7790A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B007DEB">
            <w:pPr>
              <w:widowControl/>
              <w:snapToGrid w:val="0"/>
              <w:jc w:val="center"/>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14:paraId="4223BC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123176</w:t>
            </w:r>
          </w:p>
        </w:tc>
        <w:tc>
          <w:tcPr>
            <w:tcW w:w="750" w:type="pct"/>
            <w:tcBorders>
              <w:top w:val="single" w:color="auto" w:sz="4" w:space="0"/>
              <w:left w:val="single" w:color="auto" w:sz="4" w:space="0"/>
              <w:bottom w:val="single" w:color="auto" w:sz="4" w:space="0"/>
              <w:right w:val="single" w:color="auto" w:sz="4" w:space="0"/>
            </w:tcBorders>
            <w:vAlign w:val="center"/>
          </w:tcPr>
          <w:p w14:paraId="2DDD73DB">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精测转2</w:t>
            </w:r>
          </w:p>
        </w:tc>
        <w:tc>
          <w:tcPr>
            <w:tcW w:w="750" w:type="pct"/>
            <w:tcBorders>
              <w:top w:val="single" w:color="auto" w:sz="4" w:space="0"/>
              <w:left w:val="single" w:color="auto" w:sz="4" w:space="0"/>
              <w:bottom w:val="single" w:color="auto" w:sz="4" w:space="0"/>
              <w:right w:val="single" w:color="auto" w:sz="4" w:space="0"/>
            </w:tcBorders>
            <w:vAlign w:val="center"/>
          </w:tcPr>
          <w:p w14:paraId="610EACAF">
            <w:pPr>
              <w:widowControl/>
              <w:snapToGrid w:val="0"/>
              <w:jc w:val="right"/>
              <w:rPr>
                <w:rFonts w:ascii="宋体" w:hAnsi="宋体"/>
                <w:color w:val="000000"/>
                <w:kern w:val="0"/>
                <w:sz w:val="25"/>
                <w:szCs w:val="24"/>
              </w:rPr>
            </w:pPr>
            <w:r>
              <w:rPr>
                <w:rFonts w:ascii="Times New Roman" w:hAnsi="Times New Roman"/>
                <w:color w:val="000000"/>
                <w:kern w:val="0"/>
                <w:sz w:val="25"/>
                <w:szCs w:val="24"/>
              </w:rPr>
              <w:t>4,943,134.59</w:t>
            </w:r>
          </w:p>
        </w:tc>
        <w:tc>
          <w:tcPr>
            <w:tcW w:w="750" w:type="pct"/>
            <w:tcBorders>
              <w:top w:val="single" w:color="auto" w:sz="4" w:space="0"/>
              <w:left w:val="single" w:color="auto" w:sz="4" w:space="0"/>
              <w:bottom w:val="single" w:color="auto" w:sz="4" w:space="0"/>
              <w:right w:val="single" w:color="auto" w:sz="4" w:space="0"/>
            </w:tcBorders>
            <w:vAlign w:val="center"/>
          </w:tcPr>
          <w:p w14:paraId="352D21B0">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14:paraId="7823E6F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71378BD">
            <w:pPr>
              <w:widowControl/>
              <w:snapToGrid w:val="0"/>
              <w:jc w:val="center"/>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14:paraId="407100C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128108</w:t>
            </w:r>
          </w:p>
        </w:tc>
        <w:tc>
          <w:tcPr>
            <w:tcW w:w="750" w:type="pct"/>
            <w:tcBorders>
              <w:top w:val="single" w:color="auto" w:sz="4" w:space="0"/>
              <w:left w:val="single" w:color="auto" w:sz="4" w:space="0"/>
              <w:bottom w:val="single" w:color="auto" w:sz="4" w:space="0"/>
              <w:right w:val="single" w:color="auto" w:sz="4" w:space="0"/>
            </w:tcBorders>
            <w:vAlign w:val="center"/>
          </w:tcPr>
          <w:p w14:paraId="2E06EE5C">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蓝帆转债</w:t>
            </w:r>
          </w:p>
        </w:tc>
        <w:tc>
          <w:tcPr>
            <w:tcW w:w="750" w:type="pct"/>
            <w:tcBorders>
              <w:top w:val="single" w:color="auto" w:sz="4" w:space="0"/>
              <w:left w:val="single" w:color="auto" w:sz="4" w:space="0"/>
              <w:bottom w:val="single" w:color="auto" w:sz="4" w:space="0"/>
              <w:right w:val="single" w:color="auto" w:sz="4" w:space="0"/>
            </w:tcBorders>
            <w:vAlign w:val="center"/>
          </w:tcPr>
          <w:p w14:paraId="2B417580">
            <w:pPr>
              <w:widowControl/>
              <w:snapToGrid w:val="0"/>
              <w:jc w:val="right"/>
              <w:rPr>
                <w:rFonts w:ascii="宋体" w:hAnsi="宋体"/>
                <w:color w:val="000000"/>
                <w:kern w:val="0"/>
                <w:sz w:val="25"/>
                <w:szCs w:val="24"/>
              </w:rPr>
            </w:pPr>
            <w:r>
              <w:rPr>
                <w:rFonts w:ascii="Times New Roman" w:hAnsi="Times New Roman"/>
                <w:color w:val="000000"/>
                <w:kern w:val="0"/>
                <w:sz w:val="25"/>
                <w:szCs w:val="24"/>
              </w:rPr>
              <w:t>4,849,839.28</w:t>
            </w:r>
          </w:p>
        </w:tc>
        <w:tc>
          <w:tcPr>
            <w:tcW w:w="750" w:type="pct"/>
            <w:tcBorders>
              <w:top w:val="single" w:color="auto" w:sz="4" w:space="0"/>
              <w:left w:val="single" w:color="auto" w:sz="4" w:space="0"/>
              <w:bottom w:val="single" w:color="auto" w:sz="4" w:space="0"/>
              <w:right w:val="single" w:color="auto" w:sz="4" w:space="0"/>
            </w:tcBorders>
            <w:vAlign w:val="center"/>
          </w:tcPr>
          <w:p w14:paraId="6BB5180E">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14:paraId="1B4EFC0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C08CE0F">
            <w:pPr>
              <w:widowControl/>
              <w:snapToGrid w:val="0"/>
              <w:jc w:val="center"/>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14:paraId="355683DA">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113652</w:t>
            </w:r>
          </w:p>
        </w:tc>
        <w:tc>
          <w:tcPr>
            <w:tcW w:w="750" w:type="pct"/>
            <w:tcBorders>
              <w:top w:val="single" w:color="auto" w:sz="4" w:space="0"/>
              <w:left w:val="single" w:color="auto" w:sz="4" w:space="0"/>
              <w:bottom w:val="single" w:color="auto" w:sz="4" w:space="0"/>
              <w:right w:val="single" w:color="auto" w:sz="4" w:space="0"/>
            </w:tcBorders>
            <w:vAlign w:val="center"/>
          </w:tcPr>
          <w:p w14:paraId="36E7DABC">
            <w:pPr>
              <w:widowControl/>
              <w:snapToGrid w:val="0"/>
              <w:jc w:val="center"/>
              <w:rPr>
                <w:rFonts w:ascii="宋体" w:hAnsi="宋体"/>
                <w:color w:val="000000"/>
                <w:kern w:val="0"/>
                <w:sz w:val="25"/>
                <w:szCs w:val="24"/>
              </w:rPr>
            </w:pPr>
            <w:r>
              <w:rPr>
                <w:rFonts w:ascii="Times New Roman" w:hAnsi="Times New Roman"/>
                <w:color w:val="000000"/>
                <w:kern w:val="0"/>
                <w:sz w:val="25"/>
                <w:szCs w:val="24"/>
              </w:rPr>
              <w:t>伟22转债</w:t>
            </w:r>
          </w:p>
        </w:tc>
        <w:tc>
          <w:tcPr>
            <w:tcW w:w="750" w:type="pct"/>
            <w:tcBorders>
              <w:top w:val="single" w:color="auto" w:sz="4" w:space="0"/>
              <w:left w:val="single" w:color="auto" w:sz="4" w:space="0"/>
              <w:bottom w:val="single" w:color="auto" w:sz="4" w:space="0"/>
              <w:right w:val="single" w:color="auto" w:sz="4" w:space="0"/>
            </w:tcBorders>
            <w:vAlign w:val="center"/>
          </w:tcPr>
          <w:p w14:paraId="48D2A4AF">
            <w:pPr>
              <w:widowControl/>
              <w:snapToGrid w:val="0"/>
              <w:jc w:val="right"/>
              <w:rPr>
                <w:rFonts w:ascii="宋体" w:hAnsi="宋体"/>
                <w:color w:val="000000"/>
                <w:kern w:val="0"/>
                <w:sz w:val="25"/>
                <w:szCs w:val="24"/>
              </w:rPr>
            </w:pPr>
            <w:r>
              <w:rPr>
                <w:rFonts w:ascii="Times New Roman" w:hAnsi="Times New Roman"/>
                <w:color w:val="000000"/>
                <w:kern w:val="0"/>
                <w:sz w:val="25"/>
                <w:szCs w:val="24"/>
              </w:rPr>
              <w:t>4,784,052.12</w:t>
            </w:r>
          </w:p>
        </w:tc>
        <w:tc>
          <w:tcPr>
            <w:tcW w:w="750" w:type="pct"/>
            <w:tcBorders>
              <w:top w:val="single" w:color="auto" w:sz="4" w:space="0"/>
              <w:left w:val="single" w:color="auto" w:sz="4" w:space="0"/>
              <w:bottom w:val="single" w:color="auto" w:sz="4" w:space="0"/>
              <w:right w:val="single" w:color="auto" w:sz="4" w:space="0"/>
            </w:tcBorders>
            <w:vAlign w:val="center"/>
          </w:tcPr>
          <w:p w14:paraId="40E222D3">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091D9D1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051334D">
            <w:pPr>
              <w:widowControl/>
              <w:snapToGrid w:val="0"/>
              <w:jc w:val="center"/>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14:paraId="19864A5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111018</w:t>
            </w:r>
          </w:p>
        </w:tc>
        <w:tc>
          <w:tcPr>
            <w:tcW w:w="750" w:type="pct"/>
            <w:tcBorders>
              <w:top w:val="single" w:color="auto" w:sz="4" w:space="0"/>
              <w:left w:val="single" w:color="auto" w:sz="4" w:space="0"/>
              <w:bottom w:val="single" w:color="auto" w:sz="4" w:space="0"/>
              <w:right w:val="single" w:color="auto" w:sz="4" w:space="0"/>
            </w:tcBorders>
            <w:vAlign w:val="center"/>
          </w:tcPr>
          <w:p w14:paraId="17C579F6">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华康转债</w:t>
            </w:r>
          </w:p>
        </w:tc>
        <w:tc>
          <w:tcPr>
            <w:tcW w:w="750" w:type="pct"/>
            <w:tcBorders>
              <w:top w:val="single" w:color="auto" w:sz="4" w:space="0"/>
              <w:left w:val="single" w:color="auto" w:sz="4" w:space="0"/>
              <w:bottom w:val="single" w:color="auto" w:sz="4" w:space="0"/>
              <w:right w:val="single" w:color="auto" w:sz="4" w:space="0"/>
            </w:tcBorders>
            <w:vAlign w:val="center"/>
          </w:tcPr>
          <w:p w14:paraId="62039107">
            <w:pPr>
              <w:widowControl/>
              <w:snapToGrid w:val="0"/>
              <w:jc w:val="right"/>
              <w:rPr>
                <w:rFonts w:ascii="宋体" w:hAnsi="宋体"/>
                <w:color w:val="000000"/>
                <w:kern w:val="0"/>
                <w:sz w:val="25"/>
                <w:szCs w:val="24"/>
              </w:rPr>
            </w:pPr>
            <w:r>
              <w:rPr>
                <w:rFonts w:ascii="Times New Roman" w:hAnsi="Times New Roman"/>
                <w:color w:val="000000"/>
                <w:kern w:val="0"/>
                <w:sz w:val="25"/>
                <w:szCs w:val="24"/>
              </w:rPr>
              <w:t>4,667,985.02</w:t>
            </w:r>
          </w:p>
        </w:tc>
        <w:tc>
          <w:tcPr>
            <w:tcW w:w="750" w:type="pct"/>
            <w:tcBorders>
              <w:top w:val="single" w:color="auto" w:sz="4" w:space="0"/>
              <w:left w:val="single" w:color="auto" w:sz="4" w:space="0"/>
              <w:bottom w:val="single" w:color="auto" w:sz="4" w:space="0"/>
              <w:right w:val="single" w:color="auto" w:sz="4" w:space="0"/>
            </w:tcBorders>
            <w:vAlign w:val="center"/>
          </w:tcPr>
          <w:p w14:paraId="27B479A4">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2D6F4EB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8B1CEF3">
            <w:pPr>
              <w:widowControl/>
              <w:snapToGrid w:val="0"/>
              <w:jc w:val="center"/>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14:paraId="54367035">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110086</w:t>
            </w:r>
          </w:p>
        </w:tc>
        <w:tc>
          <w:tcPr>
            <w:tcW w:w="750" w:type="pct"/>
            <w:tcBorders>
              <w:top w:val="single" w:color="auto" w:sz="4" w:space="0"/>
              <w:left w:val="single" w:color="auto" w:sz="4" w:space="0"/>
              <w:bottom w:val="single" w:color="auto" w:sz="4" w:space="0"/>
              <w:right w:val="single" w:color="auto" w:sz="4" w:space="0"/>
            </w:tcBorders>
            <w:vAlign w:val="center"/>
          </w:tcPr>
          <w:p w14:paraId="140F2AB5">
            <w:pPr>
              <w:widowControl/>
              <w:snapToGrid w:val="0"/>
              <w:jc w:val="center"/>
              <w:rPr>
                <w:rFonts w:ascii="宋体" w:hAnsi="宋体"/>
                <w:color w:val="000000"/>
                <w:kern w:val="0"/>
                <w:sz w:val="25"/>
                <w:szCs w:val="24"/>
              </w:rPr>
            </w:pPr>
            <w:r>
              <w:rPr>
                <w:rFonts w:ascii="Times New Roman" w:hAnsi="Times New Roman"/>
                <w:color w:val="000000"/>
                <w:kern w:val="0"/>
                <w:sz w:val="25"/>
                <w:szCs w:val="24"/>
              </w:rPr>
              <w:t>精工转债</w:t>
            </w:r>
          </w:p>
        </w:tc>
        <w:tc>
          <w:tcPr>
            <w:tcW w:w="750" w:type="pct"/>
            <w:tcBorders>
              <w:top w:val="single" w:color="auto" w:sz="4" w:space="0"/>
              <w:left w:val="single" w:color="auto" w:sz="4" w:space="0"/>
              <w:bottom w:val="single" w:color="auto" w:sz="4" w:space="0"/>
              <w:right w:val="single" w:color="auto" w:sz="4" w:space="0"/>
            </w:tcBorders>
            <w:vAlign w:val="center"/>
          </w:tcPr>
          <w:p w14:paraId="4146626F">
            <w:pPr>
              <w:widowControl/>
              <w:snapToGrid w:val="0"/>
              <w:jc w:val="right"/>
              <w:rPr>
                <w:rFonts w:ascii="宋体" w:hAnsi="宋体"/>
                <w:color w:val="000000"/>
                <w:kern w:val="0"/>
                <w:sz w:val="25"/>
                <w:szCs w:val="24"/>
              </w:rPr>
            </w:pPr>
            <w:r>
              <w:rPr>
                <w:rFonts w:ascii="Times New Roman" w:hAnsi="Times New Roman"/>
                <w:color w:val="000000"/>
                <w:kern w:val="0"/>
                <w:sz w:val="25"/>
                <w:szCs w:val="24"/>
              </w:rPr>
              <w:t>4,575,612.98</w:t>
            </w:r>
          </w:p>
        </w:tc>
        <w:tc>
          <w:tcPr>
            <w:tcW w:w="750" w:type="pct"/>
            <w:tcBorders>
              <w:top w:val="single" w:color="auto" w:sz="4" w:space="0"/>
              <w:left w:val="single" w:color="auto" w:sz="4" w:space="0"/>
              <w:bottom w:val="single" w:color="auto" w:sz="4" w:space="0"/>
              <w:right w:val="single" w:color="auto" w:sz="4" w:space="0"/>
            </w:tcBorders>
            <w:vAlign w:val="center"/>
          </w:tcPr>
          <w:p w14:paraId="414476D4">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339A757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5EF1114">
            <w:pPr>
              <w:widowControl/>
              <w:snapToGrid w:val="0"/>
              <w:jc w:val="center"/>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color="auto" w:sz="4" w:space="0"/>
              <w:left w:val="single" w:color="auto" w:sz="4" w:space="0"/>
              <w:bottom w:val="single" w:color="auto" w:sz="4" w:space="0"/>
              <w:right w:val="single" w:color="auto" w:sz="4" w:space="0"/>
            </w:tcBorders>
            <w:vAlign w:val="center"/>
          </w:tcPr>
          <w:p w14:paraId="281AD59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118013</w:t>
            </w:r>
          </w:p>
        </w:tc>
        <w:tc>
          <w:tcPr>
            <w:tcW w:w="750" w:type="pct"/>
            <w:tcBorders>
              <w:top w:val="single" w:color="auto" w:sz="4" w:space="0"/>
              <w:left w:val="single" w:color="auto" w:sz="4" w:space="0"/>
              <w:bottom w:val="single" w:color="auto" w:sz="4" w:space="0"/>
              <w:right w:val="single" w:color="auto" w:sz="4" w:space="0"/>
            </w:tcBorders>
            <w:vAlign w:val="center"/>
          </w:tcPr>
          <w:p w14:paraId="3D61132F">
            <w:pPr>
              <w:widowControl/>
              <w:snapToGrid w:val="0"/>
              <w:jc w:val="center"/>
              <w:rPr>
                <w:rFonts w:ascii="宋体" w:hAnsi="宋体"/>
                <w:color w:val="000000"/>
                <w:kern w:val="0"/>
                <w:sz w:val="25"/>
                <w:szCs w:val="24"/>
              </w:rPr>
            </w:pPr>
            <w:r>
              <w:rPr>
                <w:rFonts w:ascii="Times New Roman" w:hAnsi="Times New Roman"/>
                <w:color w:val="000000"/>
                <w:kern w:val="0"/>
                <w:sz w:val="25"/>
                <w:szCs w:val="24"/>
              </w:rPr>
              <w:t>道通转债</w:t>
            </w:r>
          </w:p>
        </w:tc>
        <w:tc>
          <w:tcPr>
            <w:tcW w:w="750" w:type="pct"/>
            <w:tcBorders>
              <w:top w:val="single" w:color="auto" w:sz="4" w:space="0"/>
              <w:left w:val="single" w:color="auto" w:sz="4" w:space="0"/>
              <w:bottom w:val="single" w:color="auto" w:sz="4" w:space="0"/>
              <w:right w:val="single" w:color="auto" w:sz="4" w:space="0"/>
            </w:tcBorders>
            <w:vAlign w:val="center"/>
          </w:tcPr>
          <w:p w14:paraId="433F6E25">
            <w:pPr>
              <w:widowControl/>
              <w:snapToGrid w:val="0"/>
              <w:jc w:val="right"/>
              <w:rPr>
                <w:rFonts w:ascii="宋体" w:hAnsi="宋体"/>
                <w:color w:val="000000"/>
                <w:kern w:val="0"/>
                <w:sz w:val="25"/>
                <w:szCs w:val="24"/>
              </w:rPr>
            </w:pPr>
            <w:r>
              <w:rPr>
                <w:rFonts w:ascii="Times New Roman" w:hAnsi="Times New Roman"/>
                <w:color w:val="000000"/>
                <w:kern w:val="0"/>
                <w:sz w:val="25"/>
                <w:szCs w:val="24"/>
              </w:rPr>
              <w:t>4,548,240.21</w:t>
            </w:r>
          </w:p>
        </w:tc>
        <w:tc>
          <w:tcPr>
            <w:tcW w:w="750" w:type="pct"/>
            <w:tcBorders>
              <w:top w:val="single" w:color="auto" w:sz="4" w:space="0"/>
              <w:left w:val="single" w:color="auto" w:sz="4" w:space="0"/>
              <w:bottom w:val="single" w:color="auto" w:sz="4" w:space="0"/>
              <w:right w:val="single" w:color="auto" w:sz="4" w:space="0"/>
            </w:tcBorders>
            <w:vAlign w:val="center"/>
          </w:tcPr>
          <w:p w14:paraId="7E88B99E">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55A44C8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C243F9C">
            <w:pPr>
              <w:widowControl/>
              <w:snapToGrid w:val="0"/>
              <w:jc w:val="center"/>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color="auto" w:sz="4" w:space="0"/>
              <w:left w:val="single" w:color="auto" w:sz="4" w:space="0"/>
              <w:bottom w:val="single" w:color="auto" w:sz="4" w:space="0"/>
              <w:right w:val="single" w:color="auto" w:sz="4" w:space="0"/>
            </w:tcBorders>
            <w:vAlign w:val="center"/>
          </w:tcPr>
          <w:p w14:paraId="7D0D710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113691</w:t>
            </w:r>
          </w:p>
        </w:tc>
        <w:tc>
          <w:tcPr>
            <w:tcW w:w="750" w:type="pct"/>
            <w:tcBorders>
              <w:top w:val="single" w:color="auto" w:sz="4" w:space="0"/>
              <w:left w:val="single" w:color="auto" w:sz="4" w:space="0"/>
              <w:bottom w:val="single" w:color="auto" w:sz="4" w:space="0"/>
              <w:right w:val="single" w:color="auto" w:sz="4" w:space="0"/>
            </w:tcBorders>
            <w:vAlign w:val="center"/>
          </w:tcPr>
          <w:p w14:paraId="0E215C5F">
            <w:pPr>
              <w:widowControl/>
              <w:snapToGrid w:val="0"/>
              <w:jc w:val="center"/>
              <w:rPr>
                <w:rFonts w:ascii="宋体" w:hAnsi="宋体"/>
                <w:color w:val="000000"/>
                <w:kern w:val="0"/>
                <w:sz w:val="25"/>
                <w:szCs w:val="24"/>
              </w:rPr>
            </w:pPr>
            <w:r>
              <w:rPr>
                <w:rFonts w:ascii="Times New Roman" w:hAnsi="Times New Roman"/>
                <w:color w:val="000000"/>
                <w:kern w:val="0"/>
                <w:sz w:val="25"/>
                <w:szCs w:val="24"/>
              </w:rPr>
              <w:t>和邦转债</w:t>
            </w:r>
          </w:p>
        </w:tc>
        <w:tc>
          <w:tcPr>
            <w:tcW w:w="750" w:type="pct"/>
            <w:tcBorders>
              <w:top w:val="single" w:color="auto" w:sz="4" w:space="0"/>
              <w:left w:val="single" w:color="auto" w:sz="4" w:space="0"/>
              <w:bottom w:val="single" w:color="auto" w:sz="4" w:space="0"/>
              <w:right w:val="single" w:color="auto" w:sz="4" w:space="0"/>
            </w:tcBorders>
            <w:vAlign w:val="center"/>
          </w:tcPr>
          <w:p w14:paraId="67707B24">
            <w:pPr>
              <w:widowControl/>
              <w:snapToGrid w:val="0"/>
              <w:jc w:val="right"/>
              <w:rPr>
                <w:rFonts w:ascii="宋体" w:hAnsi="宋体"/>
                <w:color w:val="000000"/>
                <w:kern w:val="0"/>
                <w:sz w:val="25"/>
                <w:szCs w:val="24"/>
              </w:rPr>
            </w:pPr>
            <w:r>
              <w:rPr>
                <w:rFonts w:ascii="Times New Roman" w:hAnsi="Times New Roman"/>
                <w:color w:val="000000"/>
                <w:kern w:val="0"/>
                <w:sz w:val="25"/>
                <w:szCs w:val="24"/>
              </w:rPr>
              <w:t>4,533,143.16</w:t>
            </w:r>
          </w:p>
        </w:tc>
        <w:tc>
          <w:tcPr>
            <w:tcW w:w="750" w:type="pct"/>
            <w:tcBorders>
              <w:top w:val="single" w:color="auto" w:sz="4" w:space="0"/>
              <w:left w:val="single" w:color="auto" w:sz="4" w:space="0"/>
              <w:bottom w:val="single" w:color="auto" w:sz="4" w:space="0"/>
              <w:right w:val="single" w:color="auto" w:sz="4" w:space="0"/>
            </w:tcBorders>
            <w:vAlign w:val="center"/>
          </w:tcPr>
          <w:p w14:paraId="35A9C637">
            <w:pPr>
              <w:widowControl/>
              <w:snapToGrid w:val="0"/>
              <w:jc w:val="right"/>
              <w:rPr>
                <w:rFonts w:ascii="宋体" w:hAnsi="宋体"/>
                <w:color w:val="000000"/>
                <w:kern w:val="0"/>
                <w:sz w:val="25"/>
                <w:szCs w:val="24"/>
              </w:rPr>
            </w:pPr>
            <w:r>
              <w:rPr>
                <w:rFonts w:ascii="Times New Roman" w:hAnsi="Times New Roman"/>
                <w:color w:val="000000"/>
                <w:kern w:val="0"/>
                <w:sz w:val="25"/>
                <w:szCs w:val="24"/>
              </w:rPr>
              <w:t>0.13</w:t>
            </w:r>
          </w:p>
        </w:tc>
      </w:tr>
      <w:tr w14:paraId="1862D9E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86711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color="auto" w:sz="4" w:space="0"/>
              <w:left w:val="single" w:color="auto" w:sz="4" w:space="0"/>
              <w:bottom w:val="single" w:color="auto" w:sz="4" w:space="0"/>
              <w:right w:val="single" w:color="auto" w:sz="4" w:space="0"/>
            </w:tcBorders>
            <w:vAlign w:val="center"/>
          </w:tcPr>
          <w:p w14:paraId="5554DB4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127019</w:t>
            </w:r>
          </w:p>
        </w:tc>
        <w:tc>
          <w:tcPr>
            <w:tcW w:w="750" w:type="pct"/>
            <w:tcBorders>
              <w:top w:val="single" w:color="auto" w:sz="4" w:space="0"/>
              <w:left w:val="single" w:color="auto" w:sz="4" w:space="0"/>
              <w:bottom w:val="single" w:color="auto" w:sz="4" w:space="0"/>
              <w:right w:val="single" w:color="auto" w:sz="4" w:space="0"/>
            </w:tcBorders>
            <w:vAlign w:val="center"/>
          </w:tcPr>
          <w:p w14:paraId="4A9DA8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国城转债</w:t>
            </w:r>
          </w:p>
        </w:tc>
        <w:tc>
          <w:tcPr>
            <w:tcW w:w="750" w:type="pct"/>
            <w:tcBorders>
              <w:top w:val="single" w:color="auto" w:sz="4" w:space="0"/>
              <w:left w:val="single" w:color="auto" w:sz="4" w:space="0"/>
              <w:bottom w:val="single" w:color="auto" w:sz="4" w:space="0"/>
              <w:right w:val="single" w:color="auto" w:sz="4" w:space="0"/>
            </w:tcBorders>
            <w:vAlign w:val="center"/>
          </w:tcPr>
          <w:p w14:paraId="1094F62B">
            <w:pPr>
              <w:widowControl/>
              <w:snapToGrid w:val="0"/>
              <w:jc w:val="right"/>
              <w:rPr>
                <w:rFonts w:ascii="宋体" w:hAnsi="宋体"/>
                <w:color w:val="000000"/>
                <w:kern w:val="0"/>
                <w:sz w:val="25"/>
                <w:szCs w:val="24"/>
              </w:rPr>
            </w:pPr>
            <w:r>
              <w:rPr>
                <w:rFonts w:ascii="Times New Roman" w:hAnsi="Times New Roman"/>
                <w:color w:val="000000"/>
                <w:kern w:val="0"/>
                <w:sz w:val="25"/>
                <w:szCs w:val="24"/>
              </w:rPr>
              <w:t>4,435,834.92</w:t>
            </w:r>
          </w:p>
        </w:tc>
        <w:tc>
          <w:tcPr>
            <w:tcW w:w="750" w:type="pct"/>
            <w:tcBorders>
              <w:top w:val="single" w:color="auto" w:sz="4" w:space="0"/>
              <w:left w:val="single" w:color="auto" w:sz="4" w:space="0"/>
              <w:bottom w:val="single" w:color="auto" w:sz="4" w:space="0"/>
              <w:right w:val="single" w:color="auto" w:sz="4" w:space="0"/>
            </w:tcBorders>
            <w:vAlign w:val="center"/>
          </w:tcPr>
          <w:p w14:paraId="2EEA74C0">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14:paraId="4ABA184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5D2184">
            <w:pPr>
              <w:widowControl/>
              <w:snapToGrid w:val="0"/>
              <w:jc w:val="center"/>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color="auto" w:sz="4" w:space="0"/>
              <w:left w:val="single" w:color="auto" w:sz="4" w:space="0"/>
              <w:bottom w:val="single" w:color="auto" w:sz="4" w:space="0"/>
              <w:right w:val="single" w:color="auto" w:sz="4" w:space="0"/>
            </w:tcBorders>
            <w:vAlign w:val="center"/>
          </w:tcPr>
          <w:p w14:paraId="72A8F5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111017</w:t>
            </w:r>
          </w:p>
        </w:tc>
        <w:tc>
          <w:tcPr>
            <w:tcW w:w="750" w:type="pct"/>
            <w:tcBorders>
              <w:top w:val="single" w:color="auto" w:sz="4" w:space="0"/>
              <w:left w:val="single" w:color="auto" w:sz="4" w:space="0"/>
              <w:bottom w:val="single" w:color="auto" w:sz="4" w:space="0"/>
              <w:right w:val="single" w:color="auto" w:sz="4" w:space="0"/>
            </w:tcBorders>
            <w:vAlign w:val="center"/>
          </w:tcPr>
          <w:p w14:paraId="25D3B964">
            <w:pPr>
              <w:widowControl/>
              <w:snapToGrid w:val="0"/>
              <w:jc w:val="center"/>
              <w:rPr>
                <w:rFonts w:ascii="宋体" w:hAnsi="宋体"/>
                <w:color w:val="000000"/>
                <w:kern w:val="0"/>
                <w:sz w:val="25"/>
                <w:szCs w:val="24"/>
              </w:rPr>
            </w:pPr>
            <w:r>
              <w:rPr>
                <w:rFonts w:ascii="Times New Roman" w:hAnsi="Times New Roman"/>
                <w:color w:val="000000"/>
                <w:kern w:val="0"/>
                <w:sz w:val="25"/>
                <w:szCs w:val="24"/>
              </w:rPr>
              <w:t>蓝天转债</w:t>
            </w:r>
          </w:p>
        </w:tc>
        <w:tc>
          <w:tcPr>
            <w:tcW w:w="750" w:type="pct"/>
            <w:tcBorders>
              <w:top w:val="single" w:color="auto" w:sz="4" w:space="0"/>
              <w:left w:val="single" w:color="auto" w:sz="4" w:space="0"/>
              <w:bottom w:val="single" w:color="auto" w:sz="4" w:space="0"/>
              <w:right w:val="single" w:color="auto" w:sz="4" w:space="0"/>
            </w:tcBorders>
            <w:vAlign w:val="center"/>
          </w:tcPr>
          <w:p w14:paraId="736BD793">
            <w:pPr>
              <w:widowControl/>
              <w:snapToGrid w:val="0"/>
              <w:jc w:val="right"/>
              <w:rPr>
                <w:rFonts w:ascii="宋体" w:hAnsi="宋体"/>
                <w:color w:val="000000"/>
                <w:kern w:val="0"/>
                <w:sz w:val="25"/>
                <w:szCs w:val="24"/>
              </w:rPr>
            </w:pPr>
            <w:r>
              <w:rPr>
                <w:rFonts w:ascii="Times New Roman" w:hAnsi="Times New Roman"/>
                <w:color w:val="000000"/>
                <w:kern w:val="0"/>
                <w:sz w:val="25"/>
                <w:szCs w:val="24"/>
              </w:rPr>
              <w:t>4,365,226.16</w:t>
            </w:r>
          </w:p>
        </w:tc>
        <w:tc>
          <w:tcPr>
            <w:tcW w:w="750" w:type="pct"/>
            <w:tcBorders>
              <w:top w:val="single" w:color="auto" w:sz="4" w:space="0"/>
              <w:left w:val="single" w:color="auto" w:sz="4" w:space="0"/>
              <w:bottom w:val="single" w:color="auto" w:sz="4" w:space="0"/>
              <w:right w:val="single" w:color="auto" w:sz="4" w:space="0"/>
            </w:tcBorders>
            <w:vAlign w:val="center"/>
          </w:tcPr>
          <w:p w14:paraId="0EB25F27">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14:paraId="153DE1A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5DB91E">
            <w:pPr>
              <w:widowControl/>
              <w:snapToGrid w:val="0"/>
              <w:jc w:val="center"/>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color="auto" w:sz="4" w:space="0"/>
              <w:left w:val="single" w:color="auto" w:sz="4" w:space="0"/>
              <w:bottom w:val="single" w:color="auto" w:sz="4" w:space="0"/>
              <w:right w:val="single" w:color="auto" w:sz="4" w:space="0"/>
            </w:tcBorders>
            <w:vAlign w:val="center"/>
          </w:tcPr>
          <w:p w14:paraId="1E91877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127076</w:t>
            </w:r>
          </w:p>
        </w:tc>
        <w:tc>
          <w:tcPr>
            <w:tcW w:w="750" w:type="pct"/>
            <w:tcBorders>
              <w:top w:val="single" w:color="auto" w:sz="4" w:space="0"/>
              <w:left w:val="single" w:color="auto" w:sz="4" w:space="0"/>
              <w:bottom w:val="single" w:color="auto" w:sz="4" w:space="0"/>
              <w:right w:val="single" w:color="auto" w:sz="4" w:space="0"/>
            </w:tcBorders>
            <w:vAlign w:val="center"/>
          </w:tcPr>
          <w:p w14:paraId="269DF9E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中宠转2</w:t>
            </w:r>
          </w:p>
        </w:tc>
        <w:tc>
          <w:tcPr>
            <w:tcW w:w="750" w:type="pct"/>
            <w:tcBorders>
              <w:top w:val="single" w:color="auto" w:sz="4" w:space="0"/>
              <w:left w:val="single" w:color="auto" w:sz="4" w:space="0"/>
              <w:bottom w:val="single" w:color="auto" w:sz="4" w:space="0"/>
              <w:right w:val="single" w:color="auto" w:sz="4" w:space="0"/>
            </w:tcBorders>
            <w:vAlign w:val="center"/>
          </w:tcPr>
          <w:p w14:paraId="2796F202">
            <w:pPr>
              <w:widowControl/>
              <w:snapToGrid w:val="0"/>
              <w:jc w:val="right"/>
              <w:rPr>
                <w:rFonts w:ascii="宋体" w:hAnsi="宋体"/>
                <w:color w:val="000000"/>
                <w:kern w:val="0"/>
                <w:sz w:val="25"/>
                <w:szCs w:val="24"/>
              </w:rPr>
            </w:pPr>
            <w:r>
              <w:rPr>
                <w:rFonts w:ascii="Times New Roman" w:hAnsi="Times New Roman"/>
                <w:color w:val="000000"/>
                <w:kern w:val="0"/>
                <w:sz w:val="25"/>
                <w:szCs w:val="24"/>
              </w:rPr>
              <w:t>4,348,761.30</w:t>
            </w:r>
          </w:p>
        </w:tc>
        <w:tc>
          <w:tcPr>
            <w:tcW w:w="750" w:type="pct"/>
            <w:tcBorders>
              <w:top w:val="single" w:color="auto" w:sz="4" w:space="0"/>
              <w:left w:val="single" w:color="auto" w:sz="4" w:space="0"/>
              <w:bottom w:val="single" w:color="auto" w:sz="4" w:space="0"/>
              <w:right w:val="single" w:color="auto" w:sz="4" w:space="0"/>
            </w:tcBorders>
            <w:vAlign w:val="center"/>
          </w:tcPr>
          <w:p w14:paraId="1FF4D12F">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14:paraId="5B20663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181E144">
            <w:pPr>
              <w:widowControl/>
              <w:snapToGrid w:val="0"/>
              <w:jc w:val="center"/>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color="auto" w:sz="4" w:space="0"/>
              <w:left w:val="single" w:color="auto" w:sz="4" w:space="0"/>
              <w:bottom w:val="single" w:color="auto" w:sz="4" w:space="0"/>
              <w:right w:val="single" w:color="auto" w:sz="4" w:space="0"/>
            </w:tcBorders>
            <w:vAlign w:val="center"/>
          </w:tcPr>
          <w:p w14:paraId="6FDBFA1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113679</w:t>
            </w:r>
          </w:p>
        </w:tc>
        <w:tc>
          <w:tcPr>
            <w:tcW w:w="750" w:type="pct"/>
            <w:tcBorders>
              <w:top w:val="single" w:color="auto" w:sz="4" w:space="0"/>
              <w:left w:val="single" w:color="auto" w:sz="4" w:space="0"/>
              <w:bottom w:val="single" w:color="auto" w:sz="4" w:space="0"/>
              <w:right w:val="single" w:color="auto" w:sz="4" w:space="0"/>
            </w:tcBorders>
            <w:vAlign w:val="center"/>
          </w:tcPr>
          <w:p w14:paraId="73CA01BB">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芯能转债</w:t>
            </w:r>
          </w:p>
        </w:tc>
        <w:tc>
          <w:tcPr>
            <w:tcW w:w="750" w:type="pct"/>
            <w:tcBorders>
              <w:top w:val="single" w:color="auto" w:sz="4" w:space="0"/>
              <w:left w:val="single" w:color="auto" w:sz="4" w:space="0"/>
              <w:bottom w:val="single" w:color="auto" w:sz="4" w:space="0"/>
              <w:right w:val="single" w:color="auto" w:sz="4" w:space="0"/>
            </w:tcBorders>
            <w:vAlign w:val="center"/>
          </w:tcPr>
          <w:p w14:paraId="6BD8C801">
            <w:pPr>
              <w:widowControl/>
              <w:snapToGrid w:val="0"/>
              <w:jc w:val="right"/>
              <w:rPr>
                <w:rFonts w:ascii="宋体" w:hAnsi="宋体"/>
                <w:color w:val="000000"/>
                <w:kern w:val="0"/>
                <w:sz w:val="25"/>
                <w:szCs w:val="24"/>
              </w:rPr>
            </w:pPr>
            <w:r>
              <w:rPr>
                <w:rFonts w:ascii="Times New Roman" w:hAnsi="Times New Roman"/>
                <w:color w:val="000000"/>
                <w:kern w:val="0"/>
                <w:sz w:val="25"/>
                <w:szCs w:val="24"/>
              </w:rPr>
              <w:t>4,099,622.37</w:t>
            </w:r>
          </w:p>
        </w:tc>
        <w:tc>
          <w:tcPr>
            <w:tcW w:w="750" w:type="pct"/>
            <w:tcBorders>
              <w:top w:val="single" w:color="auto" w:sz="4" w:space="0"/>
              <w:left w:val="single" w:color="auto" w:sz="4" w:space="0"/>
              <w:bottom w:val="single" w:color="auto" w:sz="4" w:space="0"/>
              <w:right w:val="single" w:color="auto" w:sz="4" w:space="0"/>
            </w:tcBorders>
            <w:vAlign w:val="center"/>
          </w:tcPr>
          <w:p w14:paraId="4604530B">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14:paraId="0F46C39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C2F12F">
            <w:pPr>
              <w:widowControl/>
              <w:snapToGrid w:val="0"/>
              <w:jc w:val="center"/>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color="auto" w:sz="4" w:space="0"/>
              <w:left w:val="single" w:color="auto" w:sz="4" w:space="0"/>
              <w:bottom w:val="single" w:color="auto" w:sz="4" w:space="0"/>
              <w:right w:val="single" w:color="auto" w:sz="4" w:space="0"/>
            </w:tcBorders>
            <w:vAlign w:val="center"/>
          </w:tcPr>
          <w:p w14:paraId="31EB7E1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111021</w:t>
            </w:r>
          </w:p>
        </w:tc>
        <w:tc>
          <w:tcPr>
            <w:tcW w:w="750" w:type="pct"/>
            <w:tcBorders>
              <w:top w:val="single" w:color="auto" w:sz="4" w:space="0"/>
              <w:left w:val="single" w:color="auto" w:sz="4" w:space="0"/>
              <w:bottom w:val="single" w:color="auto" w:sz="4" w:space="0"/>
              <w:right w:val="single" w:color="auto" w:sz="4" w:space="0"/>
            </w:tcBorders>
            <w:vAlign w:val="center"/>
          </w:tcPr>
          <w:p w14:paraId="5608C972">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奥锐转债</w:t>
            </w:r>
          </w:p>
        </w:tc>
        <w:tc>
          <w:tcPr>
            <w:tcW w:w="750" w:type="pct"/>
            <w:tcBorders>
              <w:top w:val="single" w:color="auto" w:sz="4" w:space="0"/>
              <w:left w:val="single" w:color="auto" w:sz="4" w:space="0"/>
              <w:bottom w:val="single" w:color="auto" w:sz="4" w:space="0"/>
              <w:right w:val="single" w:color="auto" w:sz="4" w:space="0"/>
            </w:tcBorders>
            <w:vAlign w:val="center"/>
          </w:tcPr>
          <w:p w14:paraId="56F7C13C">
            <w:pPr>
              <w:widowControl/>
              <w:snapToGrid w:val="0"/>
              <w:jc w:val="right"/>
              <w:rPr>
                <w:rFonts w:ascii="宋体" w:hAnsi="宋体"/>
                <w:color w:val="000000"/>
                <w:kern w:val="0"/>
                <w:sz w:val="25"/>
                <w:szCs w:val="24"/>
              </w:rPr>
            </w:pPr>
            <w:r>
              <w:rPr>
                <w:rFonts w:ascii="Times New Roman" w:hAnsi="Times New Roman"/>
                <w:color w:val="000000"/>
                <w:kern w:val="0"/>
                <w:sz w:val="25"/>
                <w:szCs w:val="24"/>
              </w:rPr>
              <w:t>3,981,875.30</w:t>
            </w:r>
          </w:p>
        </w:tc>
        <w:tc>
          <w:tcPr>
            <w:tcW w:w="750" w:type="pct"/>
            <w:tcBorders>
              <w:top w:val="single" w:color="auto" w:sz="4" w:space="0"/>
              <w:left w:val="single" w:color="auto" w:sz="4" w:space="0"/>
              <w:bottom w:val="single" w:color="auto" w:sz="4" w:space="0"/>
              <w:right w:val="single" w:color="auto" w:sz="4" w:space="0"/>
            </w:tcBorders>
            <w:vAlign w:val="center"/>
          </w:tcPr>
          <w:p w14:paraId="6F75AA79">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14:paraId="219096B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16F484">
            <w:pPr>
              <w:widowControl/>
              <w:snapToGrid w:val="0"/>
              <w:jc w:val="center"/>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color="auto" w:sz="4" w:space="0"/>
              <w:left w:val="single" w:color="auto" w:sz="4" w:space="0"/>
              <w:bottom w:val="single" w:color="auto" w:sz="4" w:space="0"/>
              <w:right w:val="single" w:color="auto" w:sz="4" w:space="0"/>
            </w:tcBorders>
            <w:vAlign w:val="center"/>
          </w:tcPr>
          <w:p w14:paraId="7B0C1DB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110087</w:t>
            </w:r>
          </w:p>
        </w:tc>
        <w:tc>
          <w:tcPr>
            <w:tcW w:w="750" w:type="pct"/>
            <w:tcBorders>
              <w:top w:val="single" w:color="auto" w:sz="4" w:space="0"/>
              <w:left w:val="single" w:color="auto" w:sz="4" w:space="0"/>
              <w:bottom w:val="single" w:color="auto" w:sz="4" w:space="0"/>
              <w:right w:val="single" w:color="auto" w:sz="4" w:space="0"/>
            </w:tcBorders>
            <w:vAlign w:val="center"/>
          </w:tcPr>
          <w:p w14:paraId="26036668">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天业转债</w:t>
            </w:r>
          </w:p>
        </w:tc>
        <w:tc>
          <w:tcPr>
            <w:tcW w:w="750" w:type="pct"/>
            <w:tcBorders>
              <w:top w:val="single" w:color="auto" w:sz="4" w:space="0"/>
              <w:left w:val="single" w:color="auto" w:sz="4" w:space="0"/>
              <w:bottom w:val="single" w:color="auto" w:sz="4" w:space="0"/>
              <w:right w:val="single" w:color="auto" w:sz="4" w:space="0"/>
            </w:tcBorders>
            <w:vAlign w:val="center"/>
          </w:tcPr>
          <w:p w14:paraId="2E3947F0">
            <w:pPr>
              <w:widowControl/>
              <w:snapToGrid w:val="0"/>
              <w:jc w:val="right"/>
              <w:rPr>
                <w:rFonts w:ascii="宋体" w:hAnsi="宋体"/>
                <w:color w:val="000000"/>
                <w:kern w:val="0"/>
                <w:sz w:val="25"/>
                <w:szCs w:val="24"/>
              </w:rPr>
            </w:pPr>
            <w:r>
              <w:rPr>
                <w:rFonts w:ascii="Times New Roman" w:hAnsi="Times New Roman"/>
                <w:color w:val="000000"/>
                <w:kern w:val="0"/>
                <w:sz w:val="25"/>
                <w:szCs w:val="24"/>
              </w:rPr>
              <w:t>3,959,149.91</w:t>
            </w:r>
          </w:p>
        </w:tc>
        <w:tc>
          <w:tcPr>
            <w:tcW w:w="750" w:type="pct"/>
            <w:tcBorders>
              <w:top w:val="single" w:color="auto" w:sz="4" w:space="0"/>
              <w:left w:val="single" w:color="auto" w:sz="4" w:space="0"/>
              <w:bottom w:val="single" w:color="auto" w:sz="4" w:space="0"/>
              <w:right w:val="single" w:color="auto" w:sz="4" w:space="0"/>
            </w:tcBorders>
            <w:vAlign w:val="center"/>
          </w:tcPr>
          <w:p w14:paraId="493BAAA9">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14:paraId="5F6F36A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16CF6E8">
            <w:pPr>
              <w:widowControl/>
              <w:snapToGrid w:val="0"/>
              <w:jc w:val="center"/>
              <w:rPr>
                <w:rFonts w:ascii="宋体" w:hAnsi="宋体"/>
                <w:color w:val="000000"/>
                <w:kern w:val="0"/>
                <w:sz w:val="25"/>
                <w:szCs w:val="24"/>
              </w:rPr>
            </w:pPr>
            <w:r>
              <w:rPr>
                <w:rFonts w:ascii="Times New Roman" w:hAnsi="Times New Roman"/>
                <w:color w:val="000000"/>
                <w:kern w:val="0"/>
                <w:sz w:val="25"/>
                <w:szCs w:val="24"/>
              </w:rPr>
              <w:t>45</w:t>
            </w:r>
          </w:p>
        </w:tc>
        <w:tc>
          <w:tcPr>
            <w:tcW w:w="750" w:type="pct"/>
            <w:tcBorders>
              <w:top w:val="single" w:color="auto" w:sz="4" w:space="0"/>
              <w:left w:val="single" w:color="auto" w:sz="4" w:space="0"/>
              <w:bottom w:val="single" w:color="auto" w:sz="4" w:space="0"/>
              <w:right w:val="single" w:color="auto" w:sz="4" w:space="0"/>
            </w:tcBorders>
            <w:vAlign w:val="center"/>
          </w:tcPr>
          <w:p w14:paraId="33C3EB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118042</w:t>
            </w:r>
          </w:p>
        </w:tc>
        <w:tc>
          <w:tcPr>
            <w:tcW w:w="750" w:type="pct"/>
            <w:tcBorders>
              <w:top w:val="single" w:color="auto" w:sz="4" w:space="0"/>
              <w:left w:val="single" w:color="auto" w:sz="4" w:space="0"/>
              <w:bottom w:val="single" w:color="auto" w:sz="4" w:space="0"/>
              <w:right w:val="single" w:color="auto" w:sz="4" w:space="0"/>
            </w:tcBorders>
            <w:vAlign w:val="center"/>
          </w:tcPr>
          <w:p w14:paraId="590B3ED8">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奥维转债</w:t>
            </w:r>
          </w:p>
        </w:tc>
        <w:tc>
          <w:tcPr>
            <w:tcW w:w="750" w:type="pct"/>
            <w:tcBorders>
              <w:top w:val="single" w:color="auto" w:sz="4" w:space="0"/>
              <w:left w:val="single" w:color="auto" w:sz="4" w:space="0"/>
              <w:bottom w:val="single" w:color="auto" w:sz="4" w:space="0"/>
              <w:right w:val="single" w:color="auto" w:sz="4" w:space="0"/>
            </w:tcBorders>
            <w:vAlign w:val="center"/>
          </w:tcPr>
          <w:p w14:paraId="014AD434">
            <w:pPr>
              <w:widowControl/>
              <w:snapToGrid w:val="0"/>
              <w:jc w:val="right"/>
              <w:rPr>
                <w:rFonts w:ascii="宋体" w:hAnsi="宋体"/>
                <w:color w:val="000000"/>
                <w:kern w:val="0"/>
                <w:sz w:val="25"/>
                <w:szCs w:val="24"/>
              </w:rPr>
            </w:pPr>
            <w:r>
              <w:rPr>
                <w:rFonts w:ascii="Times New Roman" w:hAnsi="Times New Roman"/>
                <w:color w:val="000000"/>
                <w:kern w:val="0"/>
                <w:sz w:val="25"/>
                <w:szCs w:val="24"/>
              </w:rPr>
              <w:t>3,745,697.08</w:t>
            </w:r>
          </w:p>
        </w:tc>
        <w:tc>
          <w:tcPr>
            <w:tcW w:w="750" w:type="pct"/>
            <w:tcBorders>
              <w:top w:val="single" w:color="auto" w:sz="4" w:space="0"/>
              <w:left w:val="single" w:color="auto" w:sz="4" w:space="0"/>
              <w:bottom w:val="single" w:color="auto" w:sz="4" w:space="0"/>
              <w:right w:val="single" w:color="auto" w:sz="4" w:space="0"/>
            </w:tcBorders>
            <w:vAlign w:val="center"/>
          </w:tcPr>
          <w:p w14:paraId="1A5DBDB6">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307BCAD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128B6B">
            <w:pPr>
              <w:widowControl/>
              <w:snapToGrid w:val="0"/>
              <w:jc w:val="center"/>
              <w:rPr>
                <w:rFonts w:ascii="宋体" w:hAnsi="宋体"/>
                <w:color w:val="000000"/>
                <w:kern w:val="0"/>
                <w:sz w:val="25"/>
                <w:szCs w:val="24"/>
              </w:rPr>
            </w:pPr>
            <w:r>
              <w:rPr>
                <w:rFonts w:ascii="Times New Roman" w:hAnsi="Times New Roman"/>
                <w:color w:val="000000"/>
                <w:kern w:val="0"/>
                <w:sz w:val="25"/>
                <w:szCs w:val="24"/>
              </w:rPr>
              <w:t>46</w:t>
            </w:r>
          </w:p>
        </w:tc>
        <w:tc>
          <w:tcPr>
            <w:tcW w:w="750" w:type="pct"/>
            <w:tcBorders>
              <w:top w:val="single" w:color="auto" w:sz="4" w:space="0"/>
              <w:left w:val="single" w:color="auto" w:sz="4" w:space="0"/>
              <w:bottom w:val="single" w:color="auto" w:sz="4" w:space="0"/>
              <w:right w:val="single" w:color="auto" w:sz="4" w:space="0"/>
            </w:tcBorders>
            <w:vAlign w:val="center"/>
          </w:tcPr>
          <w:p w14:paraId="0EFC3E0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123182</w:t>
            </w:r>
          </w:p>
        </w:tc>
        <w:tc>
          <w:tcPr>
            <w:tcW w:w="750" w:type="pct"/>
            <w:tcBorders>
              <w:top w:val="single" w:color="auto" w:sz="4" w:space="0"/>
              <w:left w:val="single" w:color="auto" w:sz="4" w:space="0"/>
              <w:bottom w:val="single" w:color="auto" w:sz="4" w:space="0"/>
              <w:right w:val="single" w:color="auto" w:sz="4" w:space="0"/>
            </w:tcBorders>
            <w:vAlign w:val="center"/>
          </w:tcPr>
          <w:p w14:paraId="3A68A510">
            <w:pPr>
              <w:widowControl/>
              <w:snapToGrid w:val="0"/>
              <w:jc w:val="center"/>
              <w:rPr>
                <w:rFonts w:ascii="宋体" w:hAnsi="宋体"/>
                <w:color w:val="000000"/>
                <w:kern w:val="0"/>
                <w:sz w:val="25"/>
                <w:szCs w:val="24"/>
              </w:rPr>
            </w:pPr>
            <w:r>
              <w:rPr>
                <w:rFonts w:ascii="Times New Roman" w:hAnsi="Times New Roman"/>
                <w:color w:val="000000"/>
                <w:kern w:val="0"/>
                <w:sz w:val="25"/>
                <w:szCs w:val="24"/>
              </w:rPr>
              <w:t>广联转债</w:t>
            </w:r>
          </w:p>
        </w:tc>
        <w:tc>
          <w:tcPr>
            <w:tcW w:w="750" w:type="pct"/>
            <w:tcBorders>
              <w:top w:val="single" w:color="auto" w:sz="4" w:space="0"/>
              <w:left w:val="single" w:color="auto" w:sz="4" w:space="0"/>
              <w:bottom w:val="single" w:color="auto" w:sz="4" w:space="0"/>
              <w:right w:val="single" w:color="auto" w:sz="4" w:space="0"/>
            </w:tcBorders>
            <w:vAlign w:val="center"/>
          </w:tcPr>
          <w:p w14:paraId="51BE1A36">
            <w:pPr>
              <w:widowControl/>
              <w:snapToGrid w:val="0"/>
              <w:jc w:val="right"/>
              <w:rPr>
                <w:rFonts w:ascii="宋体" w:hAnsi="宋体"/>
                <w:color w:val="000000"/>
                <w:kern w:val="0"/>
                <w:sz w:val="25"/>
                <w:szCs w:val="24"/>
              </w:rPr>
            </w:pPr>
            <w:r>
              <w:rPr>
                <w:rFonts w:ascii="Times New Roman" w:hAnsi="Times New Roman"/>
                <w:color w:val="000000"/>
                <w:kern w:val="0"/>
                <w:sz w:val="25"/>
                <w:szCs w:val="24"/>
              </w:rPr>
              <w:t>3,718,126.29</w:t>
            </w:r>
          </w:p>
        </w:tc>
        <w:tc>
          <w:tcPr>
            <w:tcW w:w="750" w:type="pct"/>
            <w:tcBorders>
              <w:top w:val="single" w:color="auto" w:sz="4" w:space="0"/>
              <w:left w:val="single" w:color="auto" w:sz="4" w:space="0"/>
              <w:bottom w:val="single" w:color="auto" w:sz="4" w:space="0"/>
              <w:right w:val="single" w:color="auto" w:sz="4" w:space="0"/>
            </w:tcBorders>
            <w:vAlign w:val="center"/>
          </w:tcPr>
          <w:p w14:paraId="239623EF">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57BAF5F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1E52B4">
            <w:pPr>
              <w:widowControl/>
              <w:snapToGrid w:val="0"/>
              <w:jc w:val="center"/>
              <w:rPr>
                <w:rFonts w:ascii="宋体" w:hAnsi="宋体"/>
                <w:color w:val="000000"/>
                <w:kern w:val="0"/>
                <w:sz w:val="25"/>
                <w:szCs w:val="24"/>
              </w:rPr>
            </w:pPr>
            <w:r>
              <w:rPr>
                <w:rFonts w:ascii="Times New Roman" w:hAnsi="Times New Roman"/>
                <w:color w:val="000000"/>
                <w:kern w:val="0"/>
                <w:sz w:val="25"/>
                <w:szCs w:val="24"/>
              </w:rPr>
              <w:t>47</w:t>
            </w:r>
          </w:p>
        </w:tc>
        <w:tc>
          <w:tcPr>
            <w:tcW w:w="750" w:type="pct"/>
            <w:tcBorders>
              <w:top w:val="single" w:color="auto" w:sz="4" w:space="0"/>
              <w:left w:val="single" w:color="auto" w:sz="4" w:space="0"/>
              <w:bottom w:val="single" w:color="auto" w:sz="4" w:space="0"/>
              <w:right w:val="single" w:color="auto" w:sz="4" w:space="0"/>
            </w:tcBorders>
            <w:vAlign w:val="center"/>
          </w:tcPr>
          <w:p w14:paraId="7ABF2C6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111001</w:t>
            </w:r>
          </w:p>
        </w:tc>
        <w:tc>
          <w:tcPr>
            <w:tcW w:w="750" w:type="pct"/>
            <w:tcBorders>
              <w:top w:val="single" w:color="auto" w:sz="4" w:space="0"/>
              <w:left w:val="single" w:color="auto" w:sz="4" w:space="0"/>
              <w:bottom w:val="single" w:color="auto" w:sz="4" w:space="0"/>
              <w:right w:val="single" w:color="auto" w:sz="4" w:space="0"/>
            </w:tcBorders>
            <w:vAlign w:val="center"/>
          </w:tcPr>
          <w:p w14:paraId="65B945C7">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山玻转债</w:t>
            </w:r>
          </w:p>
        </w:tc>
        <w:tc>
          <w:tcPr>
            <w:tcW w:w="750" w:type="pct"/>
            <w:tcBorders>
              <w:top w:val="single" w:color="auto" w:sz="4" w:space="0"/>
              <w:left w:val="single" w:color="auto" w:sz="4" w:space="0"/>
              <w:bottom w:val="single" w:color="auto" w:sz="4" w:space="0"/>
              <w:right w:val="single" w:color="auto" w:sz="4" w:space="0"/>
            </w:tcBorders>
            <w:vAlign w:val="center"/>
          </w:tcPr>
          <w:p w14:paraId="6B8A4839">
            <w:pPr>
              <w:widowControl/>
              <w:snapToGrid w:val="0"/>
              <w:jc w:val="right"/>
              <w:rPr>
                <w:rFonts w:ascii="宋体" w:hAnsi="宋体"/>
                <w:color w:val="000000"/>
                <w:kern w:val="0"/>
                <w:sz w:val="25"/>
                <w:szCs w:val="24"/>
              </w:rPr>
            </w:pPr>
            <w:r>
              <w:rPr>
                <w:rFonts w:ascii="Times New Roman" w:hAnsi="Times New Roman"/>
                <w:color w:val="000000"/>
                <w:kern w:val="0"/>
                <w:sz w:val="25"/>
                <w:szCs w:val="24"/>
              </w:rPr>
              <w:t>3,553,661.83</w:t>
            </w:r>
          </w:p>
        </w:tc>
        <w:tc>
          <w:tcPr>
            <w:tcW w:w="750" w:type="pct"/>
            <w:tcBorders>
              <w:top w:val="single" w:color="auto" w:sz="4" w:space="0"/>
              <w:left w:val="single" w:color="auto" w:sz="4" w:space="0"/>
              <w:bottom w:val="single" w:color="auto" w:sz="4" w:space="0"/>
              <w:right w:val="single" w:color="auto" w:sz="4" w:space="0"/>
            </w:tcBorders>
            <w:vAlign w:val="center"/>
          </w:tcPr>
          <w:p w14:paraId="7531188D">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02CD7CA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9E4536E">
            <w:pPr>
              <w:widowControl/>
              <w:snapToGrid w:val="0"/>
              <w:jc w:val="center"/>
              <w:rPr>
                <w:rFonts w:ascii="宋体" w:hAnsi="宋体"/>
                <w:color w:val="000000"/>
                <w:kern w:val="0"/>
                <w:sz w:val="25"/>
                <w:szCs w:val="24"/>
              </w:rPr>
            </w:pPr>
            <w:r>
              <w:rPr>
                <w:rFonts w:ascii="Times New Roman" w:hAnsi="Times New Roman"/>
                <w:color w:val="000000"/>
                <w:kern w:val="0"/>
                <w:sz w:val="25"/>
                <w:szCs w:val="24"/>
              </w:rPr>
              <w:t>48</w:t>
            </w:r>
          </w:p>
        </w:tc>
        <w:tc>
          <w:tcPr>
            <w:tcW w:w="750" w:type="pct"/>
            <w:tcBorders>
              <w:top w:val="single" w:color="auto" w:sz="4" w:space="0"/>
              <w:left w:val="single" w:color="auto" w:sz="4" w:space="0"/>
              <w:bottom w:val="single" w:color="auto" w:sz="4" w:space="0"/>
              <w:right w:val="single" w:color="auto" w:sz="4" w:space="0"/>
            </w:tcBorders>
            <w:vAlign w:val="center"/>
          </w:tcPr>
          <w:p w14:paraId="02E0900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127050</w:t>
            </w:r>
          </w:p>
        </w:tc>
        <w:tc>
          <w:tcPr>
            <w:tcW w:w="750" w:type="pct"/>
            <w:tcBorders>
              <w:top w:val="single" w:color="auto" w:sz="4" w:space="0"/>
              <w:left w:val="single" w:color="auto" w:sz="4" w:space="0"/>
              <w:bottom w:val="single" w:color="auto" w:sz="4" w:space="0"/>
              <w:right w:val="single" w:color="auto" w:sz="4" w:space="0"/>
            </w:tcBorders>
            <w:vAlign w:val="center"/>
          </w:tcPr>
          <w:p w14:paraId="15AA9BF5">
            <w:pPr>
              <w:widowControl/>
              <w:snapToGrid w:val="0"/>
              <w:jc w:val="center"/>
              <w:rPr>
                <w:rFonts w:ascii="宋体" w:hAnsi="宋体"/>
                <w:color w:val="000000"/>
                <w:kern w:val="0"/>
                <w:sz w:val="25"/>
                <w:szCs w:val="24"/>
              </w:rPr>
            </w:pPr>
            <w:r>
              <w:rPr>
                <w:rFonts w:ascii="Times New Roman" w:hAnsi="Times New Roman"/>
                <w:color w:val="000000"/>
                <w:kern w:val="0"/>
                <w:sz w:val="25"/>
                <w:szCs w:val="24"/>
              </w:rPr>
              <w:t>麒麟转债</w:t>
            </w:r>
          </w:p>
        </w:tc>
        <w:tc>
          <w:tcPr>
            <w:tcW w:w="750" w:type="pct"/>
            <w:tcBorders>
              <w:top w:val="single" w:color="auto" w:sz="4" w:space="0"/>
              <w:left w:val="single" w:color="auto" w:sz="4" w:space="0"/>
              <w:bottom w:val="single" w:color="auto" w:sz="4" w:space="0"/>
              <w:right w:val="single" w:color="auto" w:sz="4" w:space="0"/>
            </w:tcBorders>
            <w:vAlign w:val="center"/>
          </w:tcPr>
          <w:p w14:paraId="67A46619">
            <w:pPr>
              <w:widowControl/>
              <w:snapToGrid w:val="0"/>
              <w:jc w:val="right"/>
              <w:rPr>
                <w:rFonts w:ascii="宋体" w:hAnsi="宋体"/>
                <w:color w:val="000000"/>
                <w:kern w:val="0"/>
                <w:sz w:val="25"/>
                <w:szCs w:val="24"/>
              </w:rPr>
            </w:pPr>
            <w:r>
              <w:rPr>
                <w:rFonts w:ascii="Times New Roman" w:hAnsi="Times New Roman"/>
                <w:color w:val="000000"/>
                <w:kern w:val="0"/>
                <w:sz w:val="25"/>
                <w:szCs w:val="24"/>
              </w:rPr>
              <w:t>3,509,168.41</w:t>
            </w:r>
          </w:p>
        </w:tc>
        <w:tc>
          <w:tcPr>
            <w:tcW w:w="750" w:type="pct"/>
            <w:tcBorders>
              <w:top w:val="single" w:color="auto" w:sz="4" w:space="0"/>
              <w:left w:val="single" w:color="auto" w:sz="4" w:space="0"/>
              <w:bottom w:val="single" w:color="auto" w:sz="4" w:space="0"/>
              <w:right w:val="single" w:color="auto" w:sz="4" w:space="0"/>
            </w:tcBorders>
            <w:vAlign w:val="center"/>
          </w:tcPr>
          <w:p w14:paraId="3D76A600">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0A9C070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0582D27">
            <w:pPr>
              <w:widowControl/>
              <w:snapToGrid w:val="0"/>
              <w:jc w:val="center"/>
              <w:rPr>
                <w:rFonts w:ascii="宋体" w:hAnsi="宋体"/>
                <w:color w:val="000000"/>
                <w:kern w:val="0"/>
                <w:sz w:val="25"/>
                <w:szCs w:val="24"/>
              </w:rPr>
            </w:pPr>
            <w:r>
              <w:rPr>
                <w:rFonts w:ascii="Times New Roman" w:hAnsi="Times New Roman"/>
                <w:color w:val="000000"/>
                <w:kern w:val="0"/>
                <w:sz w:val="25"/>
                <w:szCs w:val="24"/>
              </w:rPr>
              <w:t>49</w:t>
            </w:r>
          </w:p>
        </w:tc>
        <w:tc>
          <w:tcPr>
            <w:tcW w:w="750" w:type="pct"/>
            <w:tcBorders>
              <w:top w:val="single" w:color="auto" w:sz="4" w:space="0"/>
              <w:left w:val="single" w:color="auto" w:sz="4" w:space="0"/>
              <w:bottom w:val="single" w:color="auto" w:sz="4" w:space="0"/>
              <w:right w:val="single" w:color="auto" w:sz="4" w:space="0"/>
            </w:tcBorders>
            <w:vAlign w:val="center"/>
          </w:tcPr>
          <w:p w14:paraId="2FDAA4F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123144</w:t>
            </w:r>
          </w:p>
        </w:tc>
        <w:tc>
          <w:tcPr>
            <w:tcW w:w="750" w:type="pct"/>
            <w:tcBorders>
              <w:top w:val="single" w:color="auto" w:sz="4" w:space="0"/>
              <w:left w:val="single" w:color="auto" w:sz="4" w:space="0"/>
              <w:bottom w:val="single" w:color="auto" w:sz="4" w:space="0"/>
              <w:right w:val="single" w:color="auto" w:sz="4" w:space="0"/>
            </w:tcBorders>
            <w:vAlign w:val="center"/>
          </w:tcPr>
          <w:p w14:paraId="0939E7E9">
            <w:pPr>
              <w:widowControl/>
              <w:snapToGrid w:val="0"/>
              <w:jc w:val="center"/>
              <w:rPr>
                <w:rFonts w:ascii="宋体" w:hAnsi="宋体"/>
                <w:color w:val="000000"/>
                <w:kern w:val="0"/>
                <w:sz w:val="25"/>
                <w:szCs w:val="24"/>
              </w:rPr>
            </w:pPr>
            <w:r>
              <w:rPr>
                <w:rFonts w:ascii="Times New Roman" w:hAnsi="Times New Roman"/>
                <w:color w:val="000000"/>
                <w:kern w:val="0"/>
                <w:sz w:val="25"/>
                <w:szCs w:val="24"/>
              </w:rPr>
              <w:t>裕兴转债</w:t>
            </w:r>
          </w:p>
        </w:tc>
        <w:tc>
          <w:tcPr>
            <w:tcW w:w="750" w:type="pct"/>
            <w:tcBorders>
              <w:top w:val="single" w:color="auto" w:sz="4" w:space="0"/>
              <w:left w:val="single" w:color="auto" w:sz="4" w:space="0"/>
              <w:bottom w:val="single" w:color="auto" w:sz="4" w:space="0"/>
              <w:right w:val="single" w:color="auto" w:sz="4" w:space="0"/>
            </w:tcBorders>
            <w:vAlign w:val="center"/>
          </w:tcPr>
          <w:p w14:paraId="778842BD">
            <w:pPr>
              <w:widowControl/>
              <w:snapToGrid w:val="0"/>
              <w:jc w:val="right"/>
              <w:rPr>
                <w:rFonts w:ascii="宋体" w:hAnsi="宋体"/>
                <w:color w:val="000000"/>
                <w:kern w:val="0"/>
                <w:sz w:val="25"/>
                <w:szCs w:val="24"/>
              </w:rPr>
            </w:pPr>
            <w:r>
              <w:rPr>
                <w:rFonts w:ascii="Times New Roman" w:hAnsi="Times New Roman"/>
                <w:color w:val="000000"/>
                <w:kern w:val="0"/>
                <w:sz w:val="25"/>
                <w:szCs w:val="24"/>
              </w:rPr>
              <w:t>3,506,311.89</w:t>
            </w:r>
          </w:p>
        </w:tc>
        <w:tc>
          <w:tcPr>
            <w:tcW w:w="750" w:type="pct"/>
            <w:tcBorders>
              <w:top w:val="single" w:color="auto" w:sz="4" w:space="0"/>
              <w:left w:val="single" w:color="auto" w:sz="4" w:space="0"/>
              <w:bottom w:val="single" w:color="auto" w:sz="4" w:space="0"/>
              <w:right w:val="single" w:color="auto" w:sz="4" w:space="0"/>
            </w:tcBorders>
            <w:vAlign w:val="center"/>
          </w:tcPr>
          <w:p w14:paraId="6CF577A0">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3E3E527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19570D5">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p>
        </w:tc>
        <w:tc>
          <w:tcPr>
            <w:tcW w:w="750" w:type="pct"/>
            <w:tcBorders>
              <w:top w:val="single" w:color="auto" w:sz="4" w:space="0"/>
              <w:left w:val="single" w:color="auto" w:sz="4" w:space="0"/>
              <w:bottom w:val="single" w:color="auto" w:sz="4" w:space="0"/>
              <w:right w:val="single" w:color="auto" w:sz="4" w:space="0"/>
            </w:tcBorders>
            <w:vAlign w:val="center"/>
          </w:tcPr>
          <w:p w14:paraId="7D96408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123247</w:t>
            </w:r>
          </w:p>
        </w:tc>
        <w:tc>
          <w:tcPr>
            <w:tcW w:w="750" w:type="pct"/>
            <w:tcBorders>
              <w:top w:val="single" w:color="auto" w:sz="4" w:space="0"/>
              <w:left w:val="single" w:color="auto" w:sz="4" w:space="0"/>
              <w:bottom w:val="single" w:color="auto" w:sz="4" w:space="0"/>
              <w:right w:val="single" w:color="auto" w:sz="4" w:space="0"/>
            </w:tcBorders>
            <w:vAlign w:val="center"/>
          </w:tcPr>
          <w:p w14:paraId="5134A71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万凯转债</w:t>
            </w:r>
          </w:p>
        </w:tc>
        <w:tc>
          <w:tcPr>
            <w:tcW w:w="750" w:type="pct"/>
            <w:tcBorders>
              <w:top w:val="single" w:color="auto" w:sz="4" w:space="0"/>
              <w:left w:val="single" w:color="auto" w:sz="4" w:space="0"/>
              <w:bottom w:val="single" w:color="auto" w:sz="4" w:space="0"/>
              <w:right w:val="single" w:color="auto" w:sz="4" w:space="0"/>
            </w:tcBorders>
            <w:vAlign w:val="center"/>
          </w:tcPr>
          <w:p w14:paraId="4FB75536">
            <w:pPr>
              <w:widowControl/>
              <w:snapToGrid w:val="0"/>
              <w:jc w:val="right"/>
              <w:rPr>
                <w:rFonts w:ascii="宋体" w:hAnsi="宋体"/>
                <w:color w:val="000000"/>
                <w:kern w:val="0"/>
                <w:sz w:val="25"/>
                <w:szCs w:val="24"/>
              </w:rPr>
            </w:pPr>
            <w:r>
              <w:rPr>
                <w:rFonts w:ascii="Times New Roman" w:hAnsi="Times New Roman"/>
                <w:color w:val="000000"/>
                <w:kern w:val="0"/>
                <w:sz w:val="25"/>
                <w:szCs w:val="24"/>
              </w:rPr>
              <w:t>3,492,134.22</w:t>
            </w:r>
          </w:p>
        </w:tc>
        <w:tc>
          <w:tcPr>
            <w:tcW w:w="750" w:type="pct"/>
            <w:tcBorders>
              <w:top w:val="single" w:color="auto" w:sz="4" w:space="0"/>
              <w:left w:val="single" w:color="auto" w:sz="4" w:space="0"/>
              <w:bottom w:val="single" w:color="auto" w:sz="4" w:space="0"/>
              <w:right w:val="single" w:color="auto" w:sz="4" w:space="0"/>
            </w:tcBorders>
            <w:vAlign w:val="center"/>
          </w:tcPr>
          <w:p w14:paraId="775DB1AD">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14:paraId="048802E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F38CA9">
            <w:pPr>
              <w:widowControl/>
              <w:snapToGrid w:val="0"/>
              <w:jc w:val="center"/>
              <w:rPr>
                <w:rFonts w:ascii="宋体" w:hAnsi="宋体"/>
                <w:color w:val="000000"/>
                <w:kern w:val="0"/>
                <w:sz w:val="25"/>
                <w:szCs w:val="24"/>
              </w:rPr>
            </w:pPr>
            <w:r>
              <w:rPr>
                <w:rFonts w:ascii="Times New Roman" w:hAnsi="Times New Roman"/>
                <w:color w:val="000000"/>
                <w:kern w:val="0"/>
                <w:sz w:val="25"/>
                <w:szCs w:val="24"/>
              </w:rPr>
              <w:t>51</w:t>
            </w:r>
          </w:p>
        </w:tc>
        <w:tc>
          <w:tcPr>
            <w:tcW w:w="750" w:type="pct"/>
            <w:tcBorders>
              <w:top w:val="single" w:color="auto" w:sz="4" w:space="0"/>
              <w:left w:val="single" w:color="auto" w:sz="4" w:space="0"/>
              <w:bottom w:val="single" w:color="auto" w:sz="4" w:space="0"/>
              <w:right w:val="single" w:color="auto" w:sz="4" w:space="0"/>
            </w:tcBorders>
            <w:vAlign w:val="center"/>
          </w:tcPr>
          <w:p w14:paraId="33198FE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123171</w:t>
            </w:r>
          </w:p>
        </w:tc>
        <w:tc>
          <w:tcPr>
            <w:tcW w:w="750" w:type="pct"/>
            <w:tcBorders>
              <w:top w:val="single" w:color="auto" w:sz="4" w:space="0"/>
              <w:left w:val="single" w:color="auto" w:sz="4" w:space="0"/>
              <w:bottom w:val="single" w:color="auto" w:sz="4" w:space="0"/>
              <w:right w:val="single" w:color="auto" w:sz="4" w:space="0"/>
            </w:tcBorders>
            <w:vAlign w:val="center"/>
          </w:tcPr>
          <w:p w14:paraId="6595874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共同转债</w:t>
            </w:r>
          </w:p>
        </w:tc>
        <w:tc>
          <w:tcPr>
            <w:tcW w:w="750" w:type="pct"/>
            <w:tcBorders>
              <w:top w:val="single" w:color="auto" w:sz="4" w:space="0"/>
              <w:left w:val="single" w:color="auto" w:sz="4" w:space="0"/>
              <w:bottom w:val="single" w:color="auto" w:sz="4" w:space="0"/>
              <w:right w:val="single" w:color="auto" w:sz="4" w:space="0"/>
            </w:tcBorders>
            <w:vAlign w:val="center"/>
          </w:tcPr>
          <w:p w14:paraId="58D95B0A">
            <w:pPr>
              <w:widowControl/>
              <w:snapToGrid w:val="0"/>
              <w:jc w:val="right"/>
              <w:rPr>
                <w:rFonts w:ascii="宋体" w:hAnsi="宋体"/>
                <w:color w:val="000000"/>
                <w:kern w:val="0"/>
                <w:sz w:val="25"/>
                <w:szCs w:val="24"/>
              </w:rPr>
            </w:pPr>
            <w:r>
              <w:rPr>
                <w:rFonts w:ascii="Times New Roman" w:hAnsi="Times New Roman"/>
                <w:color w:val="000000"/>
                <w:kern w:val="0"/>
                <w:sz w:val="25"/>
                <w:szCs w:val="24"/>
              </w:rPr>
              <w:t>3,349,554.23</w:t>
            </w:r>
          </w:p>
        </w:tc>
        <w:tc>
          <w:tcPr>
            <w:tcW w:w="750" w:type="pct"/>
            <w:tcBorders>
              <w:top w:val="single" w:color="auto" w:sz="4" w:space="0"/>
              <w:left w:val="single" w:color="auto" w:sz="4" w:space="0"/>
              <w:bottom w:val="single" w:color="auto" w:sz="4" w:space="0"/>
              <w:right w:val="single" w:color="auto" w:sz="4" w:space="0"/>
            </w:tcBorders>
            <w:vAlign w:val="center"/>
          </w:tcPr>
          <w:p w14:paraId="0782A2B9">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46EE550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0E056F">
            <w:pPr>
              <w:widowControl/>
              <w:snapToGrid w:val="0"/>
              <w:jc w:val="center"/>
              <w:rPr>
                <w:rFonts w:ascii="宋体" w:hAnsi="宋体"/>
                <w:color w:val="000000"/>
                <w:kern w:val="0"/>
                <w:sz w:val="25"/>
                <w:szCs w:val="24"/>
              </w:rPr>
            </w:pPr>
            <w:r>
              <w:rPr>
                <w:rFonts w:ascii="Times New Roman" w:hAnsi="Times New Roman"/>
                <w:color w:val="000000"/>
                <w:kern w:val="0"/>
                <w:sz w:val="25"/>
                <w:szCs w:val="24"/>
              </w:rPr>
              <w:t>52</w:t>
            </w:r>
          </w:p>
        </w:tc>
        <w:tc>
          <w:tcPr>
            <w:tcW w:w="750" w:type="pct"/>
            <w:tcBorders>
              <w:top w:val="single" w:color="auto" w:sz="4" w:space="0"/>
              <w:left w:val="single" w:color="auto" w:sz="4" w:space="0"/>
              <w:bottom w:val="single" w:color="auto" w:sz="4" w:space="0"/>
              <w:right w:val="single" w:color="auto" w:sz="4" w:space="0"/>
            </w:tcBorders>
            <w:vAlign w:val="center"/>
          </w:tcPr>
          <w:p w14:paraId="41135B1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118008</w:t>
            </w:r>
          </w:p>
        </w:tc>
        <w:tc>
          <w:tcPr>
            <w:tcW w:w="750" w:type="pct"/>
            <w:tcBorders>
              <w:top w:val="single" w:color="auto" w:sz="4" w:space="0"/>
              <w:left w:val="single" w:color="auto" w:sz="4" w:space="0"/>
              <w:bottom w:val="single" w:color="auto" w:sz="4" w:space="0"/>
              <w:right w:val="single" w:color="auto" w:sz="4" w:space="0"/>
            </w:tcBorders>
            <w:vAlign w:val="center"/>
          </w:tcPr>
          <w:p w14:paraId="38926DA2">
            <w:pPr>
              <w:widowControl/>
              <w:snapToGrid w:val="0"/>
              <w:jc w:val="center"/>
              <w:rPr>
                <w:rFonts w:ascii="宋体" w:hAnsi="宋体"/>
                <w:color w:val="000000"/>
                <w:kern w:val="0"/>
                <w:sz w:val="25"/>
                <w:szCs w:val="24"/>
              </w:rPr>
            </w:pPr>
            <w:r>
              <w:rPr>
                <w:rFonts w:ascii="Times New Roman" w:hAnsi="Times New Roman"/>
                <w:color w:val="000000"/>
                <w:kern w:val="0"/>
                <w:sz w:val="25"/>
                <w:szCs w:val="24"/>
              </w:rPr>
              <w:t>海优转债</w:t>
            </w:r>
          </w:p>
        </w:tc>
        <w:tc>
          <w:tcPr>
            <w:tcW w:w="750" w:type="pct"/>
            <w:tcBorders>
              <w:top w:val="single" w:color="auto" w:sz="4" w:space="0"/>
              <w:left w:val="single" w:color="auto" w:sz="4" w:space="0"/>
              <w:bottom w:val="single" w:color="auto" w:sz="4" w:space="0"/>
              <w:right w:val="single" w:color="auto" w:sz="4" w:space="0"/>
            </w:tcBorders>
            <w:vAlign w:val="center"/>
          </w:tcPr>
          <w:p w14:paraId="6B0D8927">
            <w:pPr>
              <w:widowControl/>
              <w:snapToGrid w:val="0"/>
              <w:jc w:val="right"/>
              <w:rPr>
                <w:rFonts w:ascii="宋体" w:hAnsi="宋体"/>
                <w:color w:val="000000"/>
                <w:kern w:val="0"/>
                <w:sz w:val="25"/>
                <w:szCs w:val="24"/>
              </w:rPr>
            </w:pPr>
            <w:r>
              <w:rPr>
                <w:rFonts w:ascii="Times New Roman" w:hAnsi="Times New Roman"/>
                <w:color w:val="000000"/>
                <w:kern w:val="0"/>
                <w:sz w:val="25"/>
                <w:szCs w:val="24"/>
              </w:rPr>
              <w:t>3,333,556.44</w:t>
            </w:r>
          </w:p>
        </w:tc>
        <w:tc>
          <w:tcPr>
            <w:tcW w:w="750" w:type="pct"/>
            <w:tcBorders>
              <w:top w:val="single" w:color="auto" w:sz="4" w:space="0"/>
              <w:left w:val="single" w:color="auto" w:sz="4" w:space="0"/>
              <w:bottom w:val="single" w:color="auto" w:sz="4" w:space="0"/>
              <w:right w:val="single" w:color="auto" w:sz="4" w:space="0"/>
            </w:tcBorders>
            <w:vAlign w:val="center"/>
          </w:tcPr>
          <w:p w14:paraId="3F454884">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1BCE955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1019E27">
            <w:pPr>
              <w:widowControl/>
              <w:snapToGrid w:val="0"/>
              <w:jc w:val="center"/>
              <w:rPr>
                <w:rFonts w:ascii="宋体" w:hAnsi="宋体"/>
                <w:color w:val="000000"/>
                <w:kern w:val="0"/>
                <w:sz w:val="25"/>
                <w:szCs w:val="24"/>
              </w:rPr>
            </w:pPr>
            <w:r>
              <w:rPr>
                <w:rFonts w:ascii="Times New Roman" w:hAnsi="Times New Roman"/>
                <w:color w:val="000000"/>
                <w:kern w:val="0"/>
                <w:sz w:val="25"/>
                <w:szCs w:val="24"/>
              </w:rPr>
              <w:t>53</w:t>
            </w:r>
          </w:p>
        </w:tc>
        <w:tc>
          <w:tcPr>
            <w:tcW w:w="750" w:type="pct"/>
            <w:tcBorders>
              <w:top w:val="single" w:color="auto" w:sz="4" w:space="0"/>
              <w:left w:val="single" w:color="auto" w:sz="4" w:space="0"/>
              <w:bottom w:val="single" w:color="auto" w:sz="4" w:space="0"/>
              <w:right w:val="single" w:color="auto" w:sz="4" w:space="0"/>
            </w:tcBorders>
            <w:vAlign w:val="center"/>
          </w:tcPr>
          <w:p w14:paraId="0BAE905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127060</w:t>
            </w:r>
          </w:p>
        </w:tc>
        <w:tc>
          <w:tcPr>
            <w:tcW w:w="750" w:type="pct"/>
            <w:tcBorders>
              <w:top w:val="single" w:color="auto" w:sz="4" w:space="0"/>
              <w:left w:val="single" w:color="auto" w:sz="4" w:space="0"/>
              <w:bottom w:val="single" w:color="auto" w:sz="4" w:space="0"/>
              <w:right w:val="single" w:color="auto" w:sz="4" w:space="0"/>
            </w:tcBorders>
            <w:vAlign w:val="center"/>
          </w:tcPr>
          <w:p w14:paraId="5A48B4FB">
            <w:pPr>
              <w:widowControl/>
              <w:snapToGrid w:val="0"/>
              <w:jc w:val="center"/>
              <w:rPr>
                <w:rFonts w:ascii="宋体" w:hAnsi="宋体"/>
                <w:color w:val="000000"/>
                <w:kern w:val="0"/>
                <w:sz w:val="25"/>
                <w:szCs w:val="24"/>
              </w:rPr>
            </w:pPr>
            <w:r>
              <w:rPr>
                <w:rFonts w:ascii="Times New Roman" w:hAnsi="Times New Roman"/>
                <w:color w:val="000000"/>
                <w:kern w:val="0"/>
                <w:sz w:val="25"/>
                <w:szCs w:val="24"/>
              </w:rPr>
              <w:t>湘佳转债</w:t>
            </w:r>
          </w:p>
        </w:tc>
        <w:tc>
          <w:tcPr>
            <w:tcW w:w="750" w:type="pct"/>
            <w:tcBorders>
              <w:top w:val="single" w:color="auto" w:sz="4" w:space="0"/>
              <w:left w:val="single" w:color="auto" w:sz="4" w:space="0"/>
              <w:bottom w:val="single" w:color="auto" w:sz="4" w:space="0"/>
              <w:right w:val="single" w:color="auto" w:sz="4" w:space="0"/>
            </w:tcBorders>
            <w:vAlign w:val="center"/>
          </w:tcPr>
          <w:p w14:paraId="3DB35034">
            <w:pPr>
              <w:widowControl/>
              <w:snapToGrid w:val="0"/>
              <w:jc w:val="right"/>
              <w:rPr>
                <w:rFonts w:ascii="宋体" w:hAnsi="宋体"/>
                <w:color w:val="000000"/>
                <w:kern w:val="0"/>
                <w:sz w:val="25"/>
                <w:szCs w:val="24"/>
              </w:rPr>
            </w:pPr>
            <w:r>
              <w:rPr>
                <w:rFonts w:ascii="Times New Roman" w:hAnsi="Times New Roman"/>
                <w:color w:val="000000"/>
                <w:kern w:val="0"/>
                <w:sz w:val="25"/>
                <w:szCs w:val="24"/>
              </w:rPr>
              <w:t>3,311,816.26</w:t>
            </w:r>
          </w:p>
        </w:tc>
        <w:tc>
          <w:tcPr>
            <w:tcW w:w="750" w:type="pct"/>
            <w:tcBorders>
              <w:top w:val="single" w:color="auto" w:sz="4" w:space="0"/>
              <w:left w:val="single" w:color="auto" w:sz="4" w:space="0"/>
              <w:bottom w:val="single" w:color="auto" w:sz="4" w:space="0"/>
              <w:right w:val="single" w:color="auto" w:sz="4" w:space="0"/>
            </w:tcBorders>
            <w:vAlign w:val="center"/>
          </w:tcPr>
          <w:p w14:paraId="060512D8">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1891103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A18DCE">
            <w:pPr>
              <w:widowControl/>
              <w:snapToGrid w:val="0"/>
              <w:jc w:val="center"/>
              <w:rPr>
                <w:rFonts w:ascii="宋体" w:hAnsi="宋体"/>
                <w:color w:val="000000"/>
                <w:kern w:val="0"/>
                <w:sz w:val="25"/>
                <w:szCs w:val="24"/>
              </w:rPr>
            </w:pPr>
            <w:r>
              <w:rPr>
                <w:rFonts w:ascii="Times New Roman" w:hAnsi="Times New Roman"/>
                <w:color w:val="000000"/>
                <w:kern w:val="0"/>
                <w:sz w:val="25"/>
                <w:szCs w:val="24"/>
              </w:rPr>
              <w:t>54</w:t>
            </w:r>
          </w:p>
        </w:tc>
        <w:tc>
          <w:tcPr>
            <w:tcW w:w="750" w:type="pct"/>
            <w:tcBorders>
              <w:top w:val="single" w:color="auto" w:sz="4" w:space="0"/>
              <w:left w:val="single" w:color="auto" w:sz="4" w:space="0"/>
              <w:bottom w:val="single" w:color="auto" w:sz="4" w:space="0"/>
              <w:right w:val="single" w:color="auto" w:sz="4" w:space="0"/>
            </w:tcBorders>
            <w:vAlign w:val="center"/>
          </w:tcPr>
          <w:p w14:paraId="349AD3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111010</w:t>
            </w:r>
          </w:p>
        </w:tc>
        <w:tc>
          <w:tcPr>
            <w:tcW w:w="750" w:type="pct"/>
            <w:tcBorders>
              <w:top w:val="single" w:color="auto" w:sz="4" w:space="0"/>
              <w:left w:val="single" w:color="auto" w:sz="4" w:space="0"/>
              <w:bottom w:val="single" w:color="auto" w:sz="4" w:space="0"/>
              <w:right w:val="single" w:color="auto" w:sz="4" w:space="0"/>
            </w:tcBorders>
            <w:vAlign w:val="center"/>
          </w:tcPr>
          <w:p w14:paraId="70751DAC">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立昂转债</w:t>
            </w:r>
          </w:p>
        </w:tc>
        <w:tc>
          <w:tcPr>
            <w:tcW w:w="750" w:type="pct"/>
            <w:tcBorders>
              <w:top w:val="single" w:color="auto" w:sz="4" w:space="0"/>
              <w:left w:val="single" w:color="auto" w:sz="4" w:space="0"/>
              <w:bottom w:val="single" w:color="auto" w:sz="4" w:space="0"/>
              <w:right w:val="single" w:color="auto" w:sz="4" w:space="0"/>
            </w:tcBorders>
            <w:vAlign w:val="center"/>
          </w:tcPr>
          <w:p w14:paraId="7EBDE7E2">
            <w:pPr>
              <w:widowControl/>
              <w:snapToGrid w:val="0"/>
              <w:jc w:val="right"/>
              <w:rPr>
                <w:rFonts w:ascii="宋体" w:hAnsi="宋体"/>
                <w:color w:val="000000"/>
                <w:kern w:val="0"/>
                <w:sz w:val="25"/>
                <w:szCs w:val="24"/>
              </w:rPr>
            </w:pPr>
            <w:r>
              <w:rPr>
                <w:rFonts w:ascii="Times New Roman" w:hAnsi="Times New Roman"/>
                <w:color w:val="000000"/>
                <w:kern w:val="0"/>
                <w:sz w:val="25"/>
                <w:szCs w:val="24"/>
              </w:rPr>
              <w:t>3,259,627.96</w:t>
            </w:r>
          </w:p>
        </w:tc>
        <w:tc>
          <w:tcPr>
            <w:tcW w:w="750" w:type="pct"/>
            <w:tcBorders>
              <w:top w:val="single" w:color="auto" w:sz="4" w:space="0"/>
              <w:left w:val="single" w:color="auto" w:sz="4" w:space="0"/>
              <w:bottom w:val="single" w:color="auto" w:sz="4" w:space="0"/>
              <w:right w:val="single" w:color="auto" w:sz="4" w:space="0"/>
            </w:tcBorders>
            <w:vAlign w:val="center"/>
          </w:tcPr>
          <w:p w14:paraId="1C3AE3D3">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75BB48E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C2163AF">
            <w:pPr>
              <w:widowControl/>
              <w:snapToGrid w:val="0"/>
              <w:jc w:val="center"/>
              <w:rPr>
                <w:rFonts w:ascii="宋体" w:hAnsi="宋体"/>
                <w:color w:val="000000"/>
                <w:kern w:val="0"/>
                <w:sz w:val="25"/>
                <w:szCs w:val="24"/>
              </w:rPr>
            </w:pPr>
            <w:r>
              <w:rPr>
                <w:rFonts w:ascii="Times New Roman" w:hAnsi="Times New Roman"/>
                <w:color w:val="000000"/>
                <w:kern w:val="0"/>
                <w:sz w:val="25"/>
                <w:szCs w:val="24"/>
              </w:rPr>
              <w:t>55</w:t>
            </w:r>
          </w:p>
        </w:tc>
        <w:tc>
          <w:tcPr>
            <w:tcW w:w="750" w:type="pct"/>
            <w:tcBorders>
              <w:top w:val="single" w:color="auto" w:sz="4" w:space="0"/>
              <w:left w:val="single" w:color="auto" w:sz="4" w:space="0"/>
              <w:bottom w:val="single" w:color="auto" w:sz="4" w:space="0"/>
              <w:right w:val="single" w:color="auto" w:sz="4" w:space="0"/>
            </w:tcBorders>
            <w:vAlign w:val="center"/>
          </w:tcPr>
          <w:p w14:paraId="2CFAD1E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127015</w:t>
            </w:r>
          </w:p>
        </w:tc>
        <w:tc>
          <w:tcPr>
            <w:tcW w:w="750" w:type="pct"/>
            <w:tcBorders>
              <w:top w:val="single" w:color="auto" w:sz="4" w:space="0"/>
              <w:left w:val="single" w:color="auto" w:sz="4" w:space="0"/>
              <w:bottom w:val="single" w:color="auto" w:sz="4" w:space="0"/>
              <w:right w:val="single" w:color="auto" w:sz="4" w:space="0"/>
            </w:tcBorders>
            <w:vAlign w:val="center"/>
          </w:tcPr>
          <w:p w14:paraId="1F89DDA0">
            <w:pPr>
              <w:widowControl/>
              <w:snapToGrid w:val="0"/>
              <w:jc w:val="center"/>
              <w:rPr>
                <w:rFonts w:ascii="宋体" w:hAnsi="宋体"/>
                <w:color w:val="000000"/>
                <w:kern w:val="0"/>
                <w:sz w:val="25"/>
                <w:szCs w:val="24"/>
              </w:rPr>
            </w:pPr>
            <w:r>
              <w:rPr>
                <w:rFonts w:ascii="Times New Roman" w:hAnsi="Times New Roman"/>
                <w:color w:val="000000"/>
                <w:kern w:val="0"/>
                <w:sz w:val="25"/>
                <w:szCs w:val="24"/>
              </w:rPr>
              <w:t>希望转债</w:t>
            </w:r>
          </w:p>
        </w:tc>
        <w:tc>
          <w:tcPr>
            <w:tcW w:w="750" w:type="pct"/>
            <w:tcBorders>
              <w:top w:val="single" w:color="auto" w:sz="4" w:space="0"/>
              <w:left w:val="single" w:color="auto" w:sz="4" w:space="0"/>
              <w:bottom w:val="single" w:color="auto" w:sz="4" w:space="0"/>
              <w:right w:val="single" w:color="auto" w:sz="4" w:space="0"/>
            </w:tcBorders>
            <w:vAlign w:val="center"/>
          </w:tcPr>
          <w:p w14:paraId="423DCFA4">
            <w:pPr>
              <w:widowControl/>
              <w:snapToGrid w:val="0"/>
              <w:jc w:val="right"/>
              <w:rPr>
                <w:rFonts w:ascii="宋体" w:hAnsi="宋体"/>
                <w:color w:val="000000"/>
                <w:kern w:val="0"/>
                <w:sz w:val="25"/>
                <w:szCs w:val="24"/>
              </w:rPr>
            </w:pPr>
            <w:r>
              <w:rPr>
                <w:rFonts w:ascii="Times New Roman" w:hAnsi="Times New Roman"/>
                <w:color w:val="000000"/>
                <w:kern w:val="0"/>
                <w:sz w:val="25"/>
                <w:szCs w:val="24"/>
              </w:rPr>
              <w:t>3,258,838.36</w:t>
            </w:r>
          </w:p>
        </w:tc>
        <w:tc>
          <w:tcPr>
            <w:tcW w:w="750" w:type="pct"/>
            <w:tcBorders>
              <w:top w:val="single" w:color="auto" w:sz="4" w:space="0"/>
              <w:left w:val="single" w:color="auto" w:sz="4" w:space="0"/>
              <w:bottom w:val="single" w:color="auto" w:sz="4" w:space="0"/>
              <w:right w:val="single" w:color="auto" w:sz="4" w:space="0"/>
            </w:tcBorders>
            <w:vAlign w:val="center"/>
          </w:tcPr>
          <w:p w14:paraId="0D50CCEB">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24EED3C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431156B">
            <w:pPr>
              <w:widowControl/>
              <w:snapToGrid w:val="0"/>
              <w:jc w:val="center"/>
              <w:rPr>
                <w:rFonts w:ascii="宋体" w:hAnsi="宋体"/>
                <w:color w:val="000000"/>
                <w:kern w:val="0"/>
                <w:sz w:val="25"/>
                <w:szCs w:val="24"/>
              </w:rPr>
            </w:pPr>
            <w:r>
              <w:rPr>
                <w:rFonts w:ascii="Times New Roman" w:hAnsi="Times New Roman"/>
                <w:color w:val="000000"/>
                <w:kern w:val="0"/>
                <w:sz w:val="25"/>
                <w:szCs w:val="24"/>
              </w:rPr>
              <w:t>56</w:t>
            </w:r>
          </w:p>
        </w:tc>
        <w:tc>
          <w:tcPr>
            <w:tcW w:w="750" w:type="pct"/>
            <w:tcBorders>
              <w:top w:val="single" w:color="auto" w:sz="4" w:space="0"/>
              <w:left w:val="single" w:color="auto" w:sz="4" w:space="0"/>
              <w:bottom w:val="single" w:color="auto" w:sz="4" w:space="0"/>
              <w:right w:val="single" w:color="auto" w:sz="4" w:space="0"/>
            </w:tcBorders>
            <w:vAlign w:val="center"/>
          </w:tcPr>
          <w:p w14:paraId="755ED48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110095</w:t>
            </w:r>
          </w:p>
        </w:tc>
        <w:tc>
          <w:tcPr>
            <w:tcW w:w="750" w:type="pct"/>
            <w:tcBorders>
              <w:top w:val="single" w:color="auto" w:sz="4" w:space="0"/>
              <w:left w:val="single" w:color="auto" w:sz="4" w:space="0"/>
              <w:bottom w:val="single" w:color="auto" w:sz="4" w:space="0"/>
              <w:right w:val="single" w:color="auto" w:sz="4" w:space="0"/>
            </w:tcBorders>
            <w:vAlign w:val="center"/>
          </w:tcPr>
          <w:p w14:paraId="7E32BA35">
            <w:pPr>
              <w:widowControl/>
              <w:snapToGrid w:val="0"/>
              <w:jc w:val="center"/>
              <w:rPr>
                <w:rFonts w:ascii="宋体" w:hAnsi="宋体"/>
                <w:color w:val="000000"/>
                <w:kern w:val="0"/>
                <w:sz w:val="25"/>
                <w:szCs w:val="24"/>
              </w:rPr>
            </w:pPr>
            <w:r>
              <w:rPr>
                <w:rFonts w:ascii="Times New Roman" w:hAnsi="Times New Roman"/>
                <w:color w:val="000000"/>
                <w:kern w:val="0"/>
                <w:sz w:val="25"/>
                <w:szCs w:val="24"/>
              </w:rPr>
              <w:t>双良转债</w:t>
            </w:r>
          </w:p>
        </w:tc>
        <w:tc>
          <w:tcPr>
            <w:tcW w:w="750" w:type="pct"/>
            <w:tcBorders>
              <w:top w:val="single" w:color="auto" w:sz="4" w:space="0"/>
              <w:left w:val="single" w:color="auto" w:sz="4" w:space="0"/>
              <w:bottom w:val="single" w:color="auto" w:sz="4" w:space="0"/>
              <w:right w:val="single" w:color="auto" w:sz="4" w:space="0"/>
            </w:tcBorders>
            <w:vAlign w:val="center"/>
          </w:tcPr>
          <w:p w14:paraId="5C1946A6">
            <w:pPr>
              <w:widowControl/>
              <w:snapToGrid w:val="0"/>
              <w:jc w:val="right"/>
              <w:rPr>
                <w:rFonts w:ascii="宋体" w:hAnsi="宋体"/>
                <w:color w:val="000000"/>
                <w:kern w:val="0"/>
                <w:sz w:val="25"/>
                <w:szCs w:val="24"/>
              </w:rPr>
            </w:pPr>
            <w:r>
              <w:rPr>
                <w:rFonts w:ascii="Times New Roman" w:hAnsi="Times New Roman"/>
                <w:color w:val="000000"/>
                <w:kern w:val="0"/>
                <w:sz w:val="25"/>
                <w:szCs w:val="24"/>
              </w:rPr>
              <w:t>3,230,633.59</w:t>
            </w:r>
          </w:p>
        </w:tc>
        <w:tc>
          <w:tcPr>
            <w:tcW w:w="750" w:type="pct"/>
            <w:tcBorders>
              <w:top w:val="single" w:color="auto" w:sz="4" w:space="0"/>
              <w:left w:val="single" w:color="auto" w:sz="4" w:space="0"/>
              <w:bottom w:val="single" w:color="auto" w:sz="4" w:space="0"/>
              <w:right w:val="single" w:color="auto" w:sz="4" w:space="0"/>
            </w:tcBorders>
            <w:vAlign w:val="center"/>
          </w:tcPr>
          <w:p w14:paraId="04071F16">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4F40F5D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D48887">
            <w:pPr>
              <w:widowControl/>
              <w:snapToGrid w:val="0"/>
              <w:jc w:val="center"/>
              <w:rPr>
                <w:rFonts w:ascii="宋体" w:hAnsi="宋体"/>
                <w:color w:val="000000"/>
                <w:kern w:val="0"/>
                <w:sz w:val="25"/>
                <w:szCs w:val="24"/>
              </w:rPr>
            </w:pPr>
            <w:r>
              <w:rPr>
                <w:rFonts w:ascii="Times New Roman" w:hAnsi="Times New Roman"/>
                <w:color w:val="000000"/>
                <w:kern w:val="0"/>
                <w:sz w:val="25"/>
                <w:szCs w:val="24"/>
              </w:rPr>
              <w:t>57</w:t>
            </w:r>
          </w:p>
        </w:tc>
        <w:tc>
          <w:tcPr>
            <w:tcW w:w="750" w:type="pct"/>
            <w:tcBorders>
              <w:top w:val="single" w:color="auto" w:sz="4" w:space="0"/>
              <w:left w:val="single" w:color="auto" w:sz="4" w:space="0"/>
              <w:bottom w:val="single" w:color="auto" w:sz="4" w:space="0"/>
              <w:right w:val="single" w:color="auto" w:sz="4" w:space="0"/>
            </w:tcBorders>
            <w:vAlign w:val="center"/>
          </w:tcPr>
          <w:p w14:paraId="779ABFE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123168</w:t>
            </w:r>
          </w:p>
        </w:tc>
        <w:tc>
          <w:tcPr>
            <w:tcW w:w="750" w:type="pct"/>
            <w:tcBorders>
              <w:top w:val="single" w:color="auto" w:sz="4" w:space="0"/>
              <w:left w:val="single" w:color="auto" w:sz="4" w:space="0"/>
              <w:bottom w:val="single" w:color="auto" w:sz="4" w:space="0"/>
              <w:right w:val="single" w:color="auto" w:sz="4" w:space="0"/>
            </w:tcBorders>
            <w:vAlign w:val="center"/>
          </w:tcPr>
          <w:p w14:paraId="0674780D">
            <w:pPr>
              <w:widowControl/>
              <w:snapToGrid w:val="0"/>
              <w:jc w:val="center"/>
              <w:rPr>
                <w:rFonts w:ascii="宋体" w:hAnsi="宋体"/>
                <w:color w:val="000000"/>
                <w:kern w:val="0"/>
                <w:sz w:val="25"/>
                <w:szCs w:val="24"/>
              </w:rPr>
            </w:pPr>
            <w:r>
              <w:rPr>
                <w:rFonts w:ascii="Times New Roman" w:hAnsi="Times New Roman"/>
                <w:color w:val="000000"/>
                <w:kern w:val="0"/>
                <w:sz w:val="25"/>
                <w:szCs w:val="24"/>
              </w:rPr>
              <w:t>惠云转债</w:t>
            </w:r>
          </w:p>
        </w:tc>
        <w:tc>
          <w:tcPr>
            <w:tcW w:w="750" w:type="pct"/>
            <w:tcBorders>
              <w:top w:val="single" w:color="auto" w:sz="4" w:space="0"/>
              <w:left w:val="single" w:color="auto" w:sz="4" w:space="0"/>
              <w:bottom w:val="single" w:color="auto" w:sz="4" w:space="0"/>
              <w:right w:val="single" w:color="auto" w:sz="4" w:space="0"/>
            </w:tcBorders>
            <w:vAlign w:val="center"/>
          </w:tcPr>
          <w:p w14:paraId="7542ABA1">
            <w:pPr>
              <w:widowControl/>
              <w:snapToGrid w:val="0"/>
              <w:jc w:val="right"/>
              <w:rPr>
                <w:rFonts w:ascii="宋体" w:hAnsi="宋体"/>
                <w:color w:val="000000"/>
                <w:kern w:val="0"/>
                <w:sz w:val="25"/>
                <w:szCs w:val="24"/>
              </w:rPr>
            </w:pPr>
            <w:r>
              <w:rPr>
                <w:rFonts w:ascii="Times New Roman" w:hAnsi="Times New Roman"/>
                <w:color w:val="000000"/>
                <w:kern w:val="0"/>
                <w:sz w:val="25"/>
                <w:szCs w:val="24"/>
              </w:rPr>
              <w:t>3,139,542.86</w:t>
            </w:r>
          </w:p>
        </w:tc>
        <w:tc>
          <w:tcPr>
            <w:tcW w:w="750" w:type="pct"/>
            <w:tcBorders>
              <w:top w:val="single" w:color="auto" w:sz="4" w:space="0"/>
              <w:left w:val="single" w:color="auto" w:sz="4" w:space="0"/>
              <w:bottom w:val="single" w:color="auto" w:sz="4" w:space="0"/>
              <w:right w:val="single" w:color="auto" w:sz="4" w:space="0"/>
            </w:tcBorders>
            <w:vAlign w:val="center"/>
          </w:tcPr>
          <w:p w14:paraId="16B94733">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20EA6DB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84E6130">
            <w:pPr>
              <w:widowControl/>
              <w:snapToGrid w:val="0"/>
              <w:jc w:val="center"/>
              <w:rPr>
                <w:rFonts w:ascii="宋体" w:hAnsi="宋体"/>
                <w:color w:val="000000"/>
                <w:kern w:val="0"/>
                <w:sz w:val="25"/>
                <w:szCs w:val="24"/>
              </w:rPr>
            </w:pPr>
            <w:r>
              <w:rPr>
                <w:rFonts w:ascii="Times New Roman" w:hAnsi="Times New Roman"/>
                <w:color w:val="000000"/>
                <w:kern w:val="0"/>
                <w:sz w:val="25"/>
                <w:szCs w:val="24"/>
              </w:rPr>
              <w:t>58</w:t>
            </w:r>
          </w:p>
        </w:tc>
        <w:tc>
          <w:tcPr>
            <w:tcW w:w="750" w:type="pct"/>
            <w:tcBorders>
              <w:top w:val="single" w:color="auto" w:sz="4" w:space="0"/>
              <w:left w:val="single" w:color="auto" w:sz="4" w:space="0"/>
              <w:bottom w:val="single" w:color="auto" w:sz="4" w:space="0"/>
              <w:right w:val="single" w:color="auto" w:sz="4" w:space="0"/>
            </w:tcBorders>
            <w:vAlign w:val="center"/>
          </w:tcPr>
          <w:p w14:paraId="4AFDC140">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123212</w:t>
            </w:r>
          </w:p>
        </w:tc>
        <w:tc>
          <w:tcPr>
            <w:tcW w:w="750" w:type="pct"/>
            <w:tcBorders>
              <w:top w:val="single" w:color="auto" w:sz="4" w:space="0"/>
              <w:left w:val="single" w:color="auto" w:sz="4" w:space="0"/>
              <w:bottom w:val="single" w:color="auto" w:sz="4" w:space="0"/>
              <w:right w:val="single" w:color="auto" w:sz="4" w:space="0"/>
            </w:tcBorders>
            <w:vAlign w:val="center"/>
          </w:tcPr>
          <w:p w14:paraId="684DA2E9">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立中转债</w:t>
            </w:r>
          </w:p>
        </w:tc>
        <w:tc>
          <w:tcPr>
            <w:tcW w:w="750" w:type="pct"/>
            <w:tcBorders>
              <w:top w:val="single" w:color="auto" w:sz="4" w:space="0"/>
              <w:left w:val="single" w:color="auto" w:sz="4" w:space="0"/>
              <w:bottom w:val="single" w:color="auto" w:sz="4" w:space="0"/>
              <w:right w:val="single" w:color="auto" w:sz="4" w:space="0"/>
            </w:tcBorders>
            <w:vAlign w:val="center"/>
          </w:tcPr>
          <w:p w14:paraId="58B31547">
            <w:pPr>
              <w:widowControl/>
              <w:snapToGrid w:val="0"/>
              <w:jc w:val="right"/>
              <w:rPr>
                <w:rFonts w:ascii="宋体" w:hAnsi="宋体"/>
                <w:color w:val="000000"/>
                <w:kern w:val="0"/>
                <w:sz w:val="25"/>
                <w:szCs w:val="24"/>
              </w:rPr>
            </w:pPr>
            <w:r>
              <w:rPr>
                <w:rFonts w:ascii="Times New Roman" w:hAnsi="Times New Roman"/>
                <w:color w:val="000000"/>
                <w:kern w:val="0"/>
                <w:sz w:val="25"/>
                <w:szCs w:val="24"/>
              </w:rPr>
              <w:t>3,125,145.21</w:t>
            </w:r>
          </w:p>
        </w:tc>
        <w:tc>
          <w:tcPr>
            <w:tcW w:w="750" w:type="pct"/>
            <w:tcBorders>
              <w:top w:val="single" w:color="auto" w:sz="4" w:space="0"/>
              <w:left w:val="single" w:color="auto" w:sz="4" w:space="0"/>
              <w:bottom w:val="single" w:color="auto" w:sz="4" w:space="0"/>
              <w:right w:val="single" w:color="auto" w:sz="4" w:space="0"/>
            </w:tcBorders>
            <w:vAlign w:val="center"/>
          </w:tcPr>
          <w:p w14:paraId="1BD27B84">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71B461B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1D8071">
            <w:pPr>
              <w:widowControl/>
              <w:snapToGrid w:val="0"/>
              <w:jc w:val="center"/>
              <w:rPr>
                <w:rFonts w:ascii="宋体" w:hAnsi="宋体"/>
                <w:color w:val="000000"/>
                <w:kern w:val="0"/>
                <w:sz w:val="25"/>
                <w:szCs w:val="24"/>
              </w:rPr>
            </w:pPr>
            <w:r>
              <w:rPr>
                <w:rFonts w:ascii="Times New Roman" w:hAnsi="Times New Roman"/>
                <w:color w:val="000000"/>
                <w:kern w:val="0"/>
                <w:sz w:val="25"/>
                <w:szCs w:val="24"/>
              </w:rPr>
              <w:t>59</w:t>
            </w:r>
          </w:p>
        </w:tc>
        <w:tc>
          <w:tcPr>
            <w:tcW w:w="750" w:type="pct"/>
            <w:tcBorders>
              <w:top w:val="single" w:color="auto" w:sz="4" w:space="0"/>
              <w:left w:val="single" w:color="auto" w:sz="4" w:space="0"/>
              <w:bottom w:val="single" w:color="auto" w:sz="4" w:space="0"/>
              <w:right w:val="single" w:color="auto" w:sz="4" w:space="0"/>
            </w:tcBorders>
            <w:vAlign w:val="center"/>
          </w:tcPr>
          <w:p w14:paraId="7B28D942">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113678</w:t>
            </w:r>
          </w:p>
        </w:tc>
        <w:tc>
          <w:tcPr>
            <w:tcW w:w="750" w:type="pct"/>
            <w:tcBorders>
              <w:top w:val="single" w:color="auto" w:sz="4" w:space="0"/>
              <w:left w:val="single" w:color="auto" w:sz="4" w:space="0"/>
              <w:bottom w:val="single" w:color="auto" w:sz="4" w:space="0"/>
              <w:right w:val="single" w:color="auto" w:sz="4" w:space="0"/>
            </w:tcBorders>
            <w:vAlign w:val="center"/>
          </w:tcPr>
          <w:p w14:paraId="50AF489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中贝转债</w:t>
            </w:r>
          </w:p>
        </w:tc>
        <w:tc>
          <w:tcPr>
            <w:tcW w:w="750" w:type="pct"/>
            <w:tcBorders>
              <w:top w:val="single" w:color="auto" w:sz="4" w:space="0"/>
              <w:left w:val="single" w:color="auto" w:sz="4" w:space="0"/>
              <w:bottom w:val="single" w:color="auto" w:sz="4" w:space="0"/>
              <w:right w:val="single" w:color="auto" w:sz="4" w:space="0"/>
            </w:tcBorders>
            <w:vAlign w:val="center"/>
          </w:tcPr>
          <w:p w14:paraId="0D2EDC71">
            <w:pPr>
              <w:widowControl/>
              <w:snapToGrid w:val="0"/>
              <w:jc w:val="right"/>
              <w:rPr>
                <w:rFonts w:ascii="宋体" w:hAnsi="宋体"/>
                <w:color w:val="000000"/>
                <w:kern w:val="0"/>
                <w:sz w:val="25"/>
                <w:szCs w:val="24"/>
              </w:rPr>
            </w:pPr>
            <w:r>
              <w:rPr>
                <w:rFonts w:ascii="Times New Roman" w:hAnsi="Times New Roman"/>
                <w:color w:val="000000"/>
                <w:kern w:val="0"/>
                <w:sz w:val="25"/>
                <w:szCs w:val="24"/>
              </w:rPr>
              <w:t>3,048,722.44</w:t>
            </w:r>
          </w:p>
        </w:tc>
        <w:tc>
          <w:tcPr>
            <w:tcW w:w="750" w:type="pct"/>
            <w:tcBorders>
              <w:top w:val="single" w:color="auto" w:sz="4" w:space="0"/>
              <w:left w:val="single" w:color="auto" w:sz="4" w:space="0"/>
              <w:bottom w:val="single" w:color="auto" w:sz="4" w:space="0"/>
              <w:right w:val="single" w:color="auto" w:sz="4" w:space="0"/>
            </w:tcBorders>
            <w:vAlign w:val="center"/>
          </w:tcPr>
          <w:p w14:paraId="083597A7">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14:paraId="777226D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7D10C1">
            <w:pPr>
              <w:widowControl/>
              <w:snapToGrid w:val="0"/>
              <w:jc w:val="center"/>
              <w:rPr>
                <w:rFonts w:ascii="宋体" w:hAnsi="宋体"/>
                <w:color w:val="000000"/>
                <w:kern w:val="0"/>
                <w:sz w:val="25"/>
                <w:szCs w:val="24"/>
              </w:rPr>
            </w:pPr>
            <w:r>
              <w:rPr>
                <w:rFonts w:ascii="Times New Roman" w:hAnsi="Times New Roman"/>
                <w:color w:val="000000"/>
                <w:kern w:val="0"/>
                <w:sz w:val="25"/>
                <w:szCs w:val="24"/>
              </w:rPr>
              <w:t>60</w:t>
            </w:r>
          </w:p>
        </w:tc>
        <w:tc>
          <w:tcPr>
            <w:tcW w:w="750" w:type="pct"/>
            <w:tcBorders>
              <w:top w:val="single" w:color="auto" w:sz="4" w:space="0"/>
              <w:left w:val="single" w:color="auto" w:sz="4" w:space="0"/>
              <w:bottom w:val="single" w:color="auto" w:sz="4" w:space="0"/>
              <w:right w:val="single" w:color="auto" w:sz="4" w:space="0"/>
            </w:tcBorders>
            <w:vAlign w:val="center"/>
          </w:tcPr>
          <w:p w14:paraId="64B22F0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113647</w:t>
            </w:r>
          </w:p>
        </w:tc>
        <w:tc>
          <w:tcPr>
            <w:tcW w:w="750" w:type="pct"/>
            <w:tcBorders>
              <w:top w:val="single" w:color="auto" w:sz="4" w:space="0"/>
              <w:left w:val="single" w:color="auto" w:sz="4" w:space="0"/>
              <w:bottom w:val="single" w:color="auto" w:sz="4" w:space="0"/>
              <w:right w:val="single" w:color="auto" w:sz="4" w:space="0"/>
            </w:tcBorders>
            <w:vAlign w:val="center"/>
          </w:tcPr>
          <w:p w14:paraId="003AE033">
            <w:pPr>
              <w:widowControl/>
              <w:snapToGrid w:val="0"/>
              <w:jc w:val="center"/>
              <w:rPr>
                <w:rFonts w:ascii="宋体" w:hAnsi="宋体"/>
                <w:color w:val="000000"/>
                <w:kern w:val="0"/>
                <w:sz w:val="25"/>
                <w:szCs w:val="24"/>
              </w:rPr>
            </w:pPr>
            <w:r>
              <w:rPr>
                <w:rFonts w:ascii="Times New Roman" w:hAnsi="Times New Roman"/>
                <w:color w:val="000000"/>
                <w:kern w:val="0"/>
                <w:sz w:val="25"/>
                <w:szCs w:val="24"/>
              </w:rPr>
              <w:t>禾丰转债</w:t>
            </w:r>
          </w:p>
        </w:tc>
        <w:tc>
          <w:tcPr>
            <w:tcW w:w="750" w:type="pct"/>
            <w:tcBorders>
              <w:top w:val="single" w:color="auto" w:sz="4" w:space="0"/>
              <w:left w:val="single" w:color="auto" w:sz="4" w:space="0"/>
              <w:bottom w:val="single" w:color="auto" w:sz="4" w:space="0"/>
              <w:right w:val="single" w:color="auto" w:sz="4" w:space="0"/>
            </w:tcBorders>
            <w:vAlign w:val="center"/>
          </w:tcPr>
          <w:p w14:paraId="59D0403F">
            <w:pPr>
              <w:widowControl/>
              <w:snapToGrid w:val="0"/>
              <w:jc w:val="right"/>
              <w:rPr>
                <w:rFonts w:ascii="宋体" w:hAnsi="宋体"/>
                <w:color w:val="000000"/>
                <w:kern w:val="0"/>
                <w:sz w:val="25"/>
                <w:szCs w:val="24"/>
              </w:rPr>
            </w:pPr>
            <w:r>
              <w:rPr>
                <w:rFonts w:ascii="Times New Roman" w:hAnsi="Times New Roman"/>
                <w:color w:val="000000"/>
                <w:kern w:val="0"/>
                <w:sz w:val="25"/>
                <w:szCs w:val="24"/>
              </w:rPr>
              <w:t>3,018,888.35</w:t>
            </w:r>
          </w:p>
        </w:tc>
        <w:tc>
          <w:tcPr>
            <w:tcW w:w="750" w:type="pct"/>
            <w:tcBorders>
              <w:top w:val="single" w:color="auto" w:sz="4" w:space="0"/>
              <w:left w:val="single" w:color="auto" w:sz="4" w:space="0"/>
              <w:bottom w:val="single" w:color="auto" w:sz="4" w:space="0"/>
              <w:right w:val="single" w:color="auto" w:sz="4" w:space="0"/>
            </w:tcBorders>
            <w:vAlign w:val="center"/>
          </w:tcPr>
          <w:p w14:paraId="6DFF0AFD">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14:paraId="664C893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47A2A8">
            <w:pPr>
              <w:widowControl/>
              <w:snapToGrid w:val="0"/>
              <w:jc w:val="center"/>
              <w:rPr>
                <w:rFonts w:ascii="宋体" w:hAnsi="宋体"/>
                <w:color w:val="000000"/>
                <w:kern w:val="0"/>
                <w:sz w:val="25"/>
                <w:szCs w:val="24"/>
              </w:rPr>
            </w:pPr>
            <w:r>
              <w:rPr>
                <w:rFonts w:ascii="Times New Roman" w:hAnsi="Times New Roman"/>
                <w:color w:val="000000"/>
                <w:kern w:val="0"/>
                <w:sz w:val="25"/>
                <w:szCs w:val="24"/>
              </w:rPr>
              <w:t>61</w:t>
            </w:r>
          </w:p>
        </w:tc>
        <w:tc>
          <w:tcPr>
            <w:tcW w:w="750" w:type="pct"/>
            <w:tcBorders>
              <w:top w:val="single" w:color="auto" w:sz="4" w:space="0"/>
              <w:left w:val="single" w:color="auto" w:sz="4" w:space="0"/>
              <w:bottom w:val="single" w:color="auto" w:sz="4" w:space="0"/>
              <w:right w:val="single" w:color="auto" w:sz="4" w:space="0"/>
            </w:tcBorders>
            <w:vAlign w:val="center"/>
          </w:tcPr>
          <w:p w14:paraId="1851B3E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113043</w:t>
            </w:r>
          </w:p>
        </w:tc>
        <w:tc>
          <w:tcPr>
            <w:tcW w:w="750" w:type="pct"/>
            <w:tcBorders>
              <w:top w:val="single" w:color="auto" w:sz="4" w:space="0"/>
              <w:left w:val="single" w:color="auto" w:sz="4" w:space="0"/>
              <w:bottom w:val="single" w:color="auto" w:sz="4" w:space="0"/>
              <w:right w:val="single" w:color="auto" w:sz="4" w:space="0"/>
            </w:tcBorders>
            <w:vAlign w:val="center"/>
          </w:tcPr>
          <w:p w14:paraId="6A5FD6EE">
            <w:pPr>
              <w:widowControl/>
              <w:snapToGrid w:val="0"/>
              <w:jc w:val="center"/>
              <w:rPr>
                <w:rFonts w:ascii="宋体" w:hAnsi="宋体"/>
                <w:color w:val="000000"/>
                <w:kern w:val="0"/>
                <w:sz w:val="25"/>
                <w:szCs w:val="24"/>
              </w:rPr>
            </w:pPr>
            <w:r>
              <w:rPr>
                <w:rFonts w:ascii="Times New Roman" w:hAnsi="Times New Roman"/>
                <w:color w:val="000000"/>
                <w:kern w:val="0"/>
                <w:sz w:val="25"/>
                <w:szCs w:val="24"/>
              </w:rPr>
              <w:t>财通转债</w:t>
            </w:r>
          </w:p>
        </w:tc>
        <w:tc>
          <w:tcPr>
            <w:tcW w:w="750" w:type="pct"/>
            <w:tcBorders>
              <w:top w:val="single" w:color="auto" w:sz="4" w:space="0"/>
              <w:left w:val="single" w:color="auto" w:sz="4" w:space="0"/>
              <w:bottom w:val="single" w:color="auto" w:sz="4" w:space="0"/>
              <w:right w:val="single" w:color="auto" w:sz="4" w:space="0"/>
            </w:tcBorders>
            <w:vAlign w:val="center"/>
          </w:tcPr>
          <w:p w14:paraId="46742786">
            <w:pPr>
              <w:widowControl/>
              <w:snapToGrid w:val="0"/>
              <w:jc w:val="right"/>
              <w:rPr>
                <w:rFonts w:ascii="宋体" w:hAnsi="宋体"/>
                <w:color w:val="000000"/>
                <w:kern w:val="0"/>
                <w:sz w:val="25"/>
                <w:szCs w:val="24"/>
              </w:rPr>
            </w:pPr>
            <w:r>
              <w:rPr>
                <w:rFonts w:ascii="Times New Roman" w:hAnsi="Times New Roman"/>
                <w:color w:val="000000"/>
                <w:kern w:val="0"/>
                <w:sz w:val="25"/>
                <w:szCs w:val="24"/>
              </w:rPr>
              <w:t>2,983,369.36</w:t>
            </w:r>
          </w:p>
        </w:tc>
        <w:tc>
          <w:tcPr>
            <w:tcW w:w="750" w:type="pct"/>
            <w:tcBorders>
              <w:top w:val="single" w:color="auto" w:sz="4" w:space="0"/>
              <w:left w:val="single" w:color="auto" w:sz="4" w:space="0"/>
              <w:bottom w:val="single" w:color="auto" w:sz="4" w:space="0"/>
              <w:right w:val="single" w:color="auto" w:sz="4" w:space="0"/>
            </w:tcBorders>
            <w:vAlign w:val="center"/>
          </w:tcPr>
          <w:p w14:paraId="1704FDC1">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14:paraId="212F280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CF02FD6">
            <w:pPr>
              <w:widowControl/>
              <w:snapToGrid w:val="0"/>
              <w:jc w:val="center"/>
              <w:rPr>
                <w:rFonts w:ascii="宋体" w:hAnsi="宋体"/>
                <w:color w:val="000000"/>
                <w:kern w:val="0"/>
                <w:sz w:val="25"/>
                <w:szCs w:val="24"/>
              </w:rPr>
            </w:pPr>
            <w:r>
              <w:rPr>
                <w:rFonts w:ascii="Times New Roman" w:hAnsi="Times New Roman"/>
                <w:color w:val="000000"/>
                <w:kern w:val="0"/>
                <w:sz w:val="25"/>
                <w:szCs w:val="24"/>
              </w:rPr>
              <w:t>62</w:t>
            </w:r>
          </w:p>
        </w:tc>
        <w:tc>
          <w:tcPr>
            <w:tcW w:w="750" w:type="pct"/>
            <w:tcBorders>
              <w:top w:val="single" w:color="auto" w:sz="4" w:space="0"/>
              <w:left w:val="single" w:color="auto" w:sz="4" w:space="0"/>
              <w:bottom w:val="single" w:color="auto" w:sz="4" w:space="0"/>
              <w:right w:val="single" w:color="auto" w:sz="4" w:space="0"/>
            </w:tcBorders>
            <w:vAlign w:val="center"/>
          </w:tcPr>
          <w:p w14:paraId="561E526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113676</w:t>
            </w:r>
          </w:p>
        </w:tc>
        <w:tc>
          <w:tcPr>
            <w:tcW w:w="750" w:type="pct"/>
            <w:tcBorders>
              <w:top w:val="single" w:color="auto" w:sz="4" w:space="0"/>
              <w:left w:val="single" w:color="auto" w:sz="4" w:space="0"/>
              <w:bottom w:val="single" w:color="auto" w:sz="4" w:space="0"/>
              <w:right w:val="single" w:color="auto" w:sz="4" w:space="0"/>
            </w:tcBorders>
            <w:vAlign w:val="center"/>
          </w:tcPr>
          <w:p w14:paraId="0455F4CA">
            <w:pPr>
              <w:widowControl/>
              <w:snapToGrid w:val="0"/>
              <w:jc w:val="center"/>
              <w:rPr>
                <w:rFonts w:ascii="宋体" w:hAnsi="宋体"/>
                <w:color w:val="000000"/>
                <w:kern w:val="0"/>
                <w:sz w:val="25"/>
                <w:szCs w:val="24"/>
              </w:rPr>
            </w:pPr>
            <w:r>
              <w:rPr>
                <w:rFonts w:ascii="Times New Roman" w:hAnsi="Times New Roman"/>
                <w:color w:val="000000"/>
                <w:kern w:val="0"/>
                <w:sz w:val="25"/>
                <w:szCs w:val="24"/>
              </w:rPr>
              <w:t>荣23转债</w:t>
            </w:r>
          </w:p>
        </w:tc>
        <w:tc>
          <w:tcPr>
            <w:tcW w:w="750" w:type="pct"/>
            <w:tcBorders>
              <w:top w:val="single" w:color="auto" w:sz="4" w:space="0"/>
              <w:left w:val="single" w:color="auto" w:sz="4" w:space="0"/>
              <w:bottom w:val="single" w:color="auto" w:sz="4" w:space="0"/>
              <w:right w:val="single" w:color="auto" w:sz="4" w:space="0"/>
            </w:tcBorders>
            <w:vAlign w:val="center"/>
          </w:tcPr>
          <w:p w14:paraId="3A254DBC">
            <w:pPr>
              <w:widowControl/>
              <w:snapToGrid w:val="0"/>
              <w:jc w:val="right"/>
              <w:rPr>
                <w:rFonts w:ascii="宋体" w:hAnsi="宋体"/>
                <w:color w:val="000000"/>
                <w:kern w:val="0"/>
                <w:sz w:val="25"/>
                <w:szCs w:val="24"/>
              </w:rPr>
            </w:pPr>
            <w:r>
              <w:rPr>
                <w:rFonts w:ascii="Times New Roman" w:hAnsi="Times New Roman"/>
                <w:color w:val="000000"/>
                <w:kern w:val="0"/>
                <w:sz w:val="25"/>
                <w:szCs w:val="24"/>
              </w:rPr>
              <w:t>2,874,004.71</w:t>
            </w:r>
          </w:p>
        </w:tc>
        <w:tc>
          <w:tcPr>
            <w:tcW w:w="750" w:type="pct"/>
            <w:tcBorders>
              <w:top w:val="single" w:color="auto" w:sz="4" w:space="0"/>
              <w:left w:val="single" w:color="auto" w:sz="4" w:space="0"/>
              <w:bottom w:val="single" w:color="auto" w:sz="4" w:space="0"/>
              <w:right w:val="single" w:color="auto" w:sz="4" w:space="0"/>
            </w:tcBorders>
            <w:vAlign w:val="center"/>
          </w:tcPr>
          <w:p w14:paraId="12721972">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14:paraId="10E4DF6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F6BB3F7">
            <w:pPr>
              <w:widowControl/>
              <w:snapToGrid w:val="0"/>
              <w:jc w:val="center"/>
              <w:rPr>
                <w:rFonts w:ascii="宋体" w:hAnsi="宋体"/>
                <w:color w:val="000000"/>
                <w:kern w:val="0"/>
                <w:sz w:val="25"/>
                <w:szCs w:val="24"/>
              </w:rPr>
            </w:pPr>
            <w:r>
              <w:rPr>
                <w:rFonts w:ascii="Times New Roman" w:hAnsi="Times New Roman"/>
                <w:color w:val="000000"/>
                <w:kern w:val="0"/>
                <w:sz w:val="25"/>
                <w:szCs w:val="24"/>
              </w:rPr>
              <w:t>63</w:t>
            </w:r>
          </w:p>
        </w:tc>
        <w:tc>
          <w:tcPr>
            <w:tcW w:w="750" w:type="pct"/>
            <w:tcBorders>
              <w:top w:val="single" w:color="auto" w:sz="4" w:space="0"/>
              <w:left w:val="single" w:color="auto" w:sz="4" w:space="0"/>
              <w:bottom w:val="single" w:color="auto" w:sz="4" w:space="0"/>
              <w:right w:val="single" w:color="auto" w:sz="4" w:space="0"/>
            </w:tcBorders>
            <w:vAlign w:val="center"/>
          </w:tcPr>
          <w:p w14:paraId="2627D7A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113615</w:t>
            </w:r>
          </w:p>
        </w:tc>
        <w:tc>
          <w:tcPr>
            <w:tcW w:w="750" w:type="pct"/>
            <w:tcBorders>
              <w:top w:val="single" w:color="auto" w:sz="4" w:space="0"/>
              <w:left w:val="single" w:color="auto" w:sz="4" w:space="0"/>
              <w:bottom w:val="single" w:color="auto" w:sz="4" w:space="0"/>
              <w:right w:val="single" w:color="auto" w:sz="4" w:space="0"/>
            </w:tcBorders>
            <w:vAlign w:val="center"/>
          </w:tcPr>
          <w:p w14:paraId="131667D1">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金诚转债</w:t>
            </w:r>
          </w:p>
        </w:tc>
        <w:tc>
          <w:tcPr>
            <w:tcW w:w="750" w:type="pct"/>
            <w:tcBorders>
              <w:top w:val="single" w:color="auto" w:sz="4" w:space="0"/>
              <w:left w:val="single" w:color="auto" w:sz="4" w:space="0"/>
              <w:bottom w:val="single" w:color="auto" w:sz="4" w:space="0"/>
              <w:right w:val="single" w:color="auto" w:sz="4" w:space="0"/>
            </w:tcBorders>
            <w:vAlign w:val="center"/>
          </w:tcPr>
          <w:p w14:paraId="481906BA">
            <w:pPr>
              <w:widowControl/>
              <w:snapToGrid w:val="0"/>
              <w:jc w:val="right"/>
              <w:rPr>
                <w:rFonts w:ascii="宋体" w:hAnsi="宋体"/>
                <w:color w:val="000000"/>
                <w:kern w:val="0"/>
                <w:sz w:val="25"/>
                <w:szCs w:val="24"/>
              </w:rPr>
            </w:pPr>
            <w:r>
              <w:rPr>
                <w:rFonts w:ascii="Times New Roman" w:hAnsi="Times New Roman"/>
                <w:color w:val="000000"/>
                <w:kern w:val="0"/>
                <w:sz w:val="25"/>
                <w:szCs w:val="24"/>
              </w:rPr>
              <w:t>2,791,460.57</w:t>
            </w:r>
          </w:p>
        </w:tc>
        <w:tc>
          <w:tcPr>
            <w:tcW w:w="750" w:type="pct"/>
            <w:tcBorders>
              <w:top w:val="single" w:color="auto" w:sz="4" w:space="0"/>
              <w:left w:val="single" w:color="auto" w:sz="4" w:space="0"/>
              <w:bottom w:val="single" w:color="auto" w:sz="4" w:space="0"/>
              <w:right w:val="single" w:color="auto" w:sz="4" w:space="0"/>
            </w:tcBorders>
            <w:vAlign w:val="center"/>
          </w:tcPr>
          <w:p w14:paraId="103EC9D6">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14:paraId="287CD2D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936F14">
            <w:pPr>
              <w:widowControl/>
              <w:snapToGrid w:val="0"/>
              <w:jc w:val="center"/>
              <w:rPr>
                <w:rFonts w:ascii="宋体" w:hAnsi="宋体"/>
                <w:color w:val="000000"/>
                <w:kern w:val="0"/>
                <w:sz w:val="25"/>
                <w:szCs w:val="24"/>
              </w:rPr>
            </w:pPr>
            <w:r>
              <w:rPr>
                <w:rFonts w:ascii="Times New Roman" w:hAnsi="Times New Roman"/>
                <w:color w:val="000000"/>
                <w:kern w:val="0"/>
                <w:sz w:val="25"/>
                <w:szCs w:val="24"/>
              </w:rPr>
              <w:t>64</w:t>
            </w:r>
          </w:p>
        </w:tc>
        <w:tc>
          <w:tcPr>
            <w:tcW w:w="750" w:type="pct"/>
            <w:tcBorders>
              <w:top w:val="single" w:color="auto" w:sz="4" w:space="0"/>
              <w:left w:val="single" w:color="auto" w:sz="4" w:space="0"/>
              <w:bottom w:val="single" w:color="auto" w:sz="4" w:space="0"/>
              <w:right w:val="single" w:color="auto" w:sz="4" w:space="0"/>
            </w:tcBorders>
            <w:vAlign w:val="center"/>
          </w:tcPr>
          <w:p w14:paraId="2D973C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128127</w:t>
            </w:r>
          </w:p>
        </w:tc>
        <w:tc>
          <w:tcPr>
            <w:tcW w:w="750" w:type="pct"/>
            <w:tcBorders>
              <w:top w:val="single" w:color="auto" w:sz="4" w:space="0"/>
              <w:left w:val="single" w:color="auto" w:sz="4" w:space="0"/>
              <w:bottom w:val="single" w:color="auto" w:sz="4" w:space="0"/>
              <w:right w:val="single" w:color="auto" w:sz="4" w:space="0"/>
            </w:tcBorders>
            <w:vAlign w:val="center"/>
          </w:tcPr>
          <w:p w14:paraId="48F3745F">
            <w:pPr>
              <w:widowControl/>
              <w:snapToGrid w:val="0"/>
              <w:jc w:val="center"/>
              <w:rPr>
                <w:rFonts w:ascii="宋体" w:hAnsi="宋体"/>
                <w:color w:val="000000"/>
                <w:kern w:val="0"/>
                <w:sz w:val="25"/>
                <w:szCs w:val="24"/>
              </w:rPr>
            </w:pPr>
            <w:r>
              <w:rPr>
                <w:rFonts w:ascii="Times New Roman" w:hAnsi="Times New Roman"/>
                <w:color w:val="000000"/>
                <w:kern w:val="0"/>
                <w:sz w:val="25"/>
                <w:szCs w:val="24"/>
              </w:rPr>
              <w:t>文科转债</w:t>
            </w:r>
          </w:p>
        </w:tc>
        <w:tc>
          <w:tcPr>
            <w:tcW w:w="750" w:type="pct"/>
            <w:tcBorders>
              <w:top w:val="single" w:color="auto" w:sz="4" w:space="0"/>
              <w:left w:val="single" w:color="auto" w:sz="4" w:space="0"/>
              <w:bottom w:val="single" w:color="auto" w:sz="4" w:space="0"/>
              <w:right w:val="single" w:color="auto" w:sz="4" w:space="0"/>
            </w:tcBorders>
            <w:vAlign w:val="center"/>
          </w:tcPr>
          <w:p w14:paraId="29DC2C60">
            <w:pPr>
              <w:widowControl/>
              <w:snapToGrid w:val="0"/>
              <w:jc w:val="right"/>
              <w:rPr>
                <w:rFonts w:ascii="宋体" w:hAnsi="宋体"/>
                <w:color w:val="000000"/>
                <w:kern w:val="0"/>
                <w:sz w:val="25"/>
                <w:szCs w:val="24"/>
              </w:rPr>
            </w:pPr>
            <w:r>
              <w:rPr>
                <w:rFonts w:ascii="Times New Roman" w:hAnsi="Times New Roman"/>
                <w:color w:val="000000"/>
                <w:kern w:val="0"/>
                <w:sz w:val="25"/>
                <w:szCs w:val="24"/>
              </w:rPr>
              <w:t>2,679,895.01</w:t>
            </w:r>
          </w:p>
        </w:tc>
        <w:tc>
          <w:tcPr>
            <w:tcW w:w="750" w:type="pct"/>
            <w:tcBorders>
              <w:top w:val="single" w:color="auto" w:sz="4" w:space="0"/>
              <w:left w:val="single" w:color="auto" w:sz="4" w:space="0"/>
              <w:bottom w:val="single" w:color="auto" w:sz="4" w:space="0"/>
              <w:right w:val="single" w:color="auto" w:sz="4" w:space="0"/>
            </w:tcBorders>
            <w:vAlign w:val="center"/>
          </w:tcPr>
          <w:p w14:paraId="19BE629A">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r w14:paraId="12C8708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F6FD52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c>
          <w:tcPr>
            <w:tcW w:w="750" w:type="pct"/>
            <w:tcBorders>
              <w:top w:val="single" w:color="auto" w:sz="4" w:space="0"/>
              <w:left w:val="single" w:color="auto" w:sz="4" w:space="0"/>
              <w:bottom w:val="single" w:color="auto" w:sz="4" w:space="0"/>
              <w:right w:val="single" w:color="auto" w:sz="4" w:space="0"/>
            </w:tcBorders>
            <w:vAlign w:val="center"/>
          </w:tcPr>
          <w:p w14:paraId="74675B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118027</w:t>
            </w:r>
          </w:p>
        </w:tc>
        <w:tc>
          <w:tcPr>
            <w:tcW w:w="750" w:type="pct"/>
            <w:tcBorders>
              <w:top w:val="single" w:color="auto" w:sz="4" w:space="0"/>
              <w:left w:val="single" w:color="auto" w:sz="4" w:space="0"/>
              <w:bottom w:val="single" w:color="auto" w:sz="4" w:space="0"/>
              <w:right w:val="single" w:color="auto" w:sz="4" w:space="0"/>
            </w:tcBorders>
            <w:vAlign w:val="center"/>
          </w:tcPr>
          <w:p w14:paraId="64F94BCB">
            <w:pPr>
              <w:widowControl/>
              <w:snapToGrid w:val="0"/>
              <w:jc w:val="center"/>
              <w:rPr>
                <w:rFonts w:ascii="宋体" w:hAnsi="宋体"/>
                <w:color w:val="000000"/>
                <w:kern w:val="0"/>
                <w:sz w:val="25"/>
                <w:szCs w:val="24"/>
              </w:rPr>
            </w:pPr>
            <w:r>
              <w:rPr>
                <w:rFonts w:ascii="Times New Roman" w:hAnsi="Times New Roman"/>
                <w:color w:val="000000"/>
                <w:kern w:val="0"/>
                <w:sz w:val="25"/>
                <w:szCs w:val="24"/>
              </w:rPr>
              <w:t>宏图转债</w:t>
            </w:r>
          </w:p>
        </w:tc>
        <w:tc>
          <w:tcPr>
            <w:tcW w:w="750" w:type="pct"/>
            <w:tcBorders>
              <w:top w:val="single" w:color="auto" w:sz="4" w:space="0"/>
              <w:left w:val="single" w:color="auto" w:sz="4" w:space="0"/>
              <w:bottom w:val="single" w:color="auto" w:sz="4" w:space="0"/>
              <w:right w:val="single" w:color="auto" w:sz="4" w:space="0"/>
            </w:tcBorders>
            <w:vAlign w:val="center"/>
          </w:tcPr>
          <w:p w14:paraId="398ADF48">
            <w:pPr>
              <w:widowControl/>
              <w:snapToGrid w:val="0"/>
              <w:jc w:val="right"/>
              <w:rPr>
                <w:rFonts w:ascii="宋体" w:hAnsi="宋体"/>
                <w:color w:val="000000"/>
                <w:kern w:val="0"/>
                <w:sz w:val="25"/>
                <w:szCs w:val="24"/>
              </w:rPr>
            </w:pPr>
            <w:r>
              <w:rPr>
                <w:rFonts w:ascii="Times New Roman" w:hAnsi="Times New Roman"/>
                <w:color w:val="000000"/>
                <w:kern w:val="0"/>
                <w:sz w:val="25"/>
                <w:szCs w:val="24"/>
              </w:rPr>
              <w:t>2,656,931.44</w:t>
            </w:r>
          </w:p>
        </w:tc>
        <w:tc>
          <w:tcPr>
            <w:tcW w:w="750" w:type="pct"/>
            <w:tcBorders>
              <w:top w:val="single" w:color="auto" w:sz="4" w:space="0"/>
              <w:left w:val="single" w:color="auto" w:sz="4" w:space="0"/>
              <w:bottom w:val="single" w:color="auto" w:sz="4" w:space="0"/>
              <w:right w:val="single" w:color="auto" w:sz="4" w:space="0"/>
            </w:tcBorders>
            <w:vAlign w:val="center"/>
          </w:tcPr>
          <w:p w14:paraId="7F24C7B4">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14:paraId="3188CF8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0B7F6BC">
            <w:pPr>
              <w:widowControl/>
              <w:snapToGrid w:val="0"/>
              <w:jc w:val="center"/>
              <w:rPr>
                <w:rFonts w:ascii="宋体" w:hAnsi="宋体"/>
                <w:color w:val="000000"/>
                <w:kern w:val="0"/>
                <w:sz w:val="25"/>
                <w:szCs w:val="24"/>
              </w:rPr>
            </w:pPr>
            <w:r>
              <w:rPr>
                <w:rFonts w:ascii="Times New Roman" w:hAnsi="Times New Roman"/>
                <w:color w:val="000000"/>
                <w:kern w:val="0"/>
                <w:sz w:val="25"/>
                <w:szCs w:val="24"/>
              </w:rPr>
              <w:t>66</w:t>
            </w:r>
          </w:p>
        </w:tc>
        <w:tc>
          <w:tcPr>
            <w:tcW w:w="750" w:type="pct"/>
            <w:tcBorders>
              <w:top w:val="single" w:color="auto" w:sz="4" w:space="0"/>
              <w:left w:val="single" w:color="auto" w:sz="4" w:space="0"/>
              <w:bottom w:val="single" w:color="auto" w:sz="4" w:space="0"/>
              <w:right w:val="single" w:color="auto" w:sz="4" w:space="0"/>
            </w:tcBorders>
            <w:vAlign w:val="center"/>
          </w:tcPr>
          <w:p w14:paraId="2A8C6ADD">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111015</w:t>
            </w:r>
          </w:p>
        </w:tc>
        <w:tc>
          <w:tcPr>
            <w:tcW w:w="750" w:type="pct"/>
            <w:tcBorders>
              <w:top w:val="single" w:color="auto" w:sz="4" w:space="0"/>
              <w:left w:val="single" w:color="auto" w:sz="4" w:space="0"/>
              <w:bottom w:val="single" w:color="auto" w:sz="4" w:space="0"/>
              <w:right w:val="single" w:color="auto" w:sz="4" w:space="0"/>
            </w:tcBorders>
            <w:vAlign w:val="center"/>
          </w:tcPr>
          <w:p w14:paraId="1B12FC83">
            <w:pPr>
              <w:widowControl/>
              <w:snapToGrid w:val="0"/>
              <w:jc w:val="center"/>
              <w:rPr>
                <w:rFonts w:ascii="宋体" w:hAnsi="宋体"/>
                <w:color w:val="000000"/>
                <w:kern w:val="0"/>
                <w:sz w:val="25"/>
                <w:szCs w:val="24"/>
              </w:rPr>
            </w:pPr>
            <w:r>
              <w:rPr>
                <w:rFonts w:ascii="Times New Roman" w:hAnsi="Times New Roman"/>
                <w:color w:val="000000"/>
                <w:kern w:val="0"/>
                <w:sz w:val="25"/>
                <w:szCs w:val="24"/>
              </w:rPr>
              <w:t>东亚转债</w:t>
            </w:r>
          </w:p>
        </w:tc>
        <w:tc>
          <w:tcPr>
            <w:tcW w:w="750" w:type="pct"/>
            <w:tcBorders>
              <w:top w:val="single" w:color="auto" w:sz="4" w:space="0"/>
              <w:left w:val="single" w:color="auto" w:sz="4" w:space="0"/>
              <w:bottom w:val="single" w:color="auto" w:sz="4" w:space="0"/>
              <w:right w:val="single" w:color="auto" w:sz="4" w:space="0"/>
            </w:tcBorders>
            <w:vAlign w:val="center"/>
          </w:tcPr>
          <w:p w14:paraId="4EDEC06F">
            <w:pPr>
              <w:widowControl/>
              <w:snapToGrid w:val="0"/>
              <w:jc w:val="right"/>
              <w:rPr>
                <w:rFonts w:ascii="宋体" w:hAnsi="宋体"/>
                <w:color w:val="000000"/>
                <w:kern w:val="0"/>
                <w:sz w:val="25"/>
                <w:szCs w:val="24"/>
              </w:rPr>
            </w:pPr>
            <w:r>
              <w:rPr>
                <w:rFonts w:ascii="Times New Roman" w:hAnsi="Times New Roman"/>
                <w:color w:val="000000"/>
                <w:kern w:val="0"/>
                <w:sz w:val="25"/>
                <w:szCs w:val="24"/>
              </w:rPr>
              <w:t>2,558,033.73</w:t>
            </w:r>
          </w:p>
        </w:tc>
        <w:tc>
          <w:tcPr>
            <w:tcW w:w="750" w:type="pct"/>
            <w:tcBorders>
              <w:top w:val="single" w:color="auto" w:sz="4" w:space="0"/>
              <w:left w:val="single" w:color="auto" w:sz="4" w:space="0"/>
              <w:bottom w:val="single" w:color="auto" w:sz="4" w:space="0"/>
              <w:right w:val="single" w:color="auto" w:sz="4" w:space="0"/>
            </w:tcBorders>
            <w:vAlign w:val="center"/>
          </w:tcPr>
          <w:p w14:paraId="6AE2CB18">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14:paraId="081F689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4CBF1AC">
            <w:pPr>
              <w:widowControl/>
              <w:snapToGrid w:val="0"/>
              <w:jc w:val="center"/>
              <w:rPr>
                <w:rFonts w:ascii="宋体" w:hAnsi="宋体"/>
                <w:color w:val="000000"/>
                <w:kern w:val="0"/>
                <w:sz w:val="25"/>
                <w:szCs w:val="24"/>
              </w:rPr>
            </w:pPr>
            <w:r>
              <w:rPr>
                <w:rFonts w:ascii="Times New Roman" w:hAnsi="Times New Roman"/>
                <w:color w:val="000000"/>
                <w:kern w:val="0"/>
                <w:sz w:val="25"/>
                <w:szCs w:val="24"/>
              </w:rPr>
              <w:t>67</w:t>
            </w:r>
          </w:p>
        </w:tc>
        <w:tc>
          <w:tcPr>
            <w:tcW w:w="750" w:type="pct"/>
            <w:tcBorders>
              <w:top w:val="single" w:color="auto" w:sz="4" w:space="0"/>
              <w:left w:val="single" w:color="auto" w:sz="4" w:space="0"/>
              <w:bottom w:val="single" w:color="auto" w:sz="4" w:space="0"/>
              <w:right w:val="single" w:color="auto" w:sz="4" w:space="0"/>
            </w:tcBorders>
            <w:vAlign w:val="center"/>
          </w:tcPr>
          <w:p w14:paraId="3D67BA53">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123211</w:t>
            </w:r>
          </w:p>
        </w:tc>
        <w:tc>
          <w:tcPr>
            <w:tcW w:w="750" w:type="pct"/>
            <w:tcBorders>
              <w:top w:val="single" w:color="auto" w:sz="4" w:space="0"/>
              <w:left w:val="single" w:color="auto" w:sz="4" w:space="0"/>
              <w:bottom w:val="single" w:color="auto" w:sz="4" w:space="0"/>
              <w:right w:val="single" w:color="auto" w:sz="4" w:space="0"/>
            </w:tcBorders>
            <w:vAlign w:val="center"/>
          </w:tcPr>
          <w:p w14:paraId="30349D66">
            <w:pPr>
              <w:widowControl/>
              <w:snapToGrid w:val="0"/>
              <w:jc w:val="center"/>
              <w:rPr>
                <w:rFonts w:ascii="宋体" w:hAnsi="宋体"/>
                <w:color w:val="000000"/>
                <w:kern w:val="0"/>
                <w:sz w:val="25"/>
                <w:szCs w:val="24"/>
              </w:rPr>
            </w:pPr>
            <w:r>
              <w:rPr>
                <w:rFonts w:ascii="Times New Roman" w:hAnsi="Times New Roman"/>
                <w:color w:val="000000"/>
                <w:kern w:val="0"/>
                <w:sz w:val="25"/>
                <w:szCs w:val="24"/>
              </w:rPr>
              <w:t>阳谷转债</w:t>
            </w:r>
          </w:p>
        </w:tc>
        <w:tc>
          <w:tcPr>
            <w:tcW w:w="750" w:type="pct"/>
            <w:tcBorders>
              <w:top w:val="single" w:color="auto" w:sz="4" w:space="0"/>
              <w:left w:val="single" w:color="auto" w:sz="4" w:space="0"/>
              <w:bottom w:val="single" w:color="auto" w:sz="4" w:space="0"/>
              <w:right w:val="single" w:color="auto" w:sz="4" w:space="0"/>
            </w:tcBorders>
            <w:vAlign w:val="center"/>
          </w:tcPr>
          <w:p w14:paraId="2988C12B">
            <w:pPr>
              <w:widowControl/>
              <w:snapToGrid w:val="0"/>
              <w:jc w:val="right"/>
              <w:rPr>
                <w:rFonts w:ascii="宋体" w:hAnsi="宋体"/>
                <w:color w:val="000000"/>
                <w:kern w:val="0"/>
                <w:sz w:val="25"/>
                <w:szCs w:val="24"/>
              </w:rPr>
            </w:pPr>
            <w:r>
              <w:rPr>
                <w:rFonts w:ascii="Times New Roman" w:hAnsi="Times New Roman"/>
                <w:color w:val="000000"/>
                <w:kern w:val="0"/>
                <w:sz w:val="25"/>
                <w:szCs w:val="24"/>
              </w:rPr>
              <w:t>2,459,416.64</w:t>
            </w:r>
          </w:p>
        </w:tc>
        <w:tc>
          <w:tcPr>
            <w:tcW w:w="750" w:type="pct"/>
            <w:tcBorders>
              <w:top w:val="single" w:color="auto" w:sz="4" w:space="0"/>
              <w:left w:val="single" w:color="auto" w:sz="4" w:space="0"/>
              <w:bottom w:val="single" w:color="auto" w:sz="4" w:space="0"/>
              <w:right w:val="single" w:color="auto" w:sz="4" w:space="0"/>
            </w:tcBorders>
            <w:vAlign w:val="center"/>
          </w:tcPr>
          <w:p w14:paraId="124FF92A">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14:paraId="68B2420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31D627">
            <w:pPr>
              <w:widowControl/>
              <w:snapToGrid w:val="0"/>
              <w:jc w:val="center"/>
              <w:rPr>
                <w:rFonts w:ascii="宋体" w:hAnsi="宋体"/>
                <w:color w:val="000000"/>
                <w:kern w:val="0"/>
                <w:sz w:val="25"/>
                <w:szCs w:val="24"/>
              </w:rPr>
            </w:pPr>
            <w:r>
              <w:rPr>
                <w:rFonts w:ascii="Times New Roman" w:hAnsi="Times New Roman"/>
                <w:color w:val="000000"/>
                <w:kern w:val="0"/>
                <w:sz w:val="25"/>
                <w:szCs w:val="24"/>
              </w:rPr>
              <w:t>68</w:t>
            </w:r>
          </w:p>
        </w:tc>
        <w:tc>
          <w:tcPr>
            <w:tcW w:w="750" w:type="pct"/>
            <w:tcBorders>
              <w:top w:val="single" w:color="auto" w:sz="4" w:space="0"/>
              <w:left w:val="single" w:color="auto" w:sz="4" w:space="0"/>
              <w:bottom w:val="single" w:color="auto" w:sz="4" w:space="0"/>
              <w:right w:val="single" w:color="auto" w:sz="4" w:space="0"/>
            </w:tcBorders>
            <w:vAlign w:val="center"/>
          </w:tcPr>
          <w:p w14:paraId="264D7C0D">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123210</w:t>
            </w:r>
          </w:p>
        </w:tc>
        <w:tc>
          <w:tcPr>
            <w:tcW w:w="750" w:type="pct"/>
            <w:tcBorders>
              <w:top w:val="single" w:color="auto" w:sz="4" w:space="0"/>
              <w:left w:val="single" w:color="auto" w:sz="4" w:space="0"/>
              <w:bottom w:val="single" w:color="auto" w:sz="4" w:space="0"/>
              <w:right w:val="single" w:color="auto" w:sz="4" w:space="0"/>
            </w:tcBorders>
            <w:vAlign w:val="center"/>
          </w:tcPr>
          <w:p w14:paraId="0CF13207">
            <w:pPr>
              <w:widowControl/>
              <w:snapToGrid w:val="0"/>
              <w:jc w:val="center"/>
              <w:rPr>
                <w:rFonts w:ascii="宋体" w:hAnsi="宋体"/>
                <w:color w:val="000000"/>
                <w:kern w:val="0"/>
                <w:sz w:val="25"/>
                <w:szCs w:val="24"/>
              </w:rPr>
            </w:pPr>
            <w:r>
              <w:rPr>
                <w:rFonts w:ascii="Times New Roman" w:hAnsi="Times New Roman"/>
                <w:color w:val="000000"/>
                <w:kern w:val="0"/>
                <w:sz w:val="25"/>
                <w:szCs w:val="24"/>
              </w:rPr>
              <w:t>信服转债</w:t>
            </w:r>
          </w:p>
        </w:tc>
        <w:tc>
          <w:tcPr>
            <w:tcW w:w="750" w:type="pct"/>
            <w:tcBorders>
              <w:top w:val="single" w:color="auto" w:sz="4" w:space="0"/>
              <w:left w:val="single" w:color="auto" w:sz="4" w:space="0"/>
              <w:bottom w:val="single" w:color="auto" w:sz="4" w:space="0"/>
              <w:right w:val="single" w:color="auto" w:sz="4" w:space="0"/>
            </w:tcBorders>
            <w:vAlign w:val="center"/>
          </w:tcPr>
          <w:p w14:paraId="0DCED785">
            <w:pPr>
              <w:widowControl/>
              <w:snapToGrid w:val="0"/>
              <w:jc w:val="right"/>
              <w:rPr>
                <w:rFonts w:ascii="宋体" w:hAnsi="宋体"/>
                <w:color w:val="000000"/>
                <w:kern w:val="0"/>
                <w:sz w:val="25"/>
                <w:szCs w:val="24"/>
              </w:rPr>
            </w:pPr>
            <w:r>
              <w:rPr>
                <w:rFonts w:ascii="Times New Roman" w:hAnsi="Times New Roman"/>
                <w:color w:val="000000"/>
                <w:kern w:val="0"/>
                <w:sz w:val="25"/>
                <w:szCs w:val="24"/>
              </w:rPr>
              <w:t>2,405,246.44</w:t>
            </w:r>
          </w:p>
        </w:tc>
        <w:tc>
          <w:tcPr>
            <w:tcW w:w="750" w:type="pct"/>
            <w:tcBorders>
              <w:top w:val="single" w:color="auto" w:sz="4" w:space="0"/>
              <w:left w:val="single" w:color="auto" w:sz="4" w:space="0"/>
              <w:bottom w:val="single" w:color="auto" w:sz="4" w:space="0"/>
              <w:right w:val="single" w:color="auto" w:sz="4" w:space="0"/>
            </w:tcBorders>
            <w:vAlign w:val="center"/>
          </w:tcPr>
          <w:p w14:paraId="30CC7470">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14:paraId="3B394C4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AF84736">
            <w:pPr>
              <w:widowControl/>
              <w:snapToGrid w:val="0"/>
              <w:jc w:val="center"/>
              <w:rPr>
                <w:rFonts w:ascii="宋体" w:hAnsi="宋体"/>
                <w:color w:val="000000"/>
                <w:kern w:val="0"/>
                <w:sz w:val="25"/>
                <w:szCs w:val="24"/>
              </w:rPr>
            </w:pPr>
            <w:r>
              <w:rPr>
                <w:rFonts w:ascii="Times New Roman" w:hAnsi="Times New Roman"/>
                <w:color w:val="000000"/>
                <w:kern w:val="0"/>
                <w:sz w:val="25"/>
                <w:szCs w:val="24"/>
              </w:rPr>
              <w:t>69</w:t>
            </w:r>
          </w:p>
        </w:tc>
        <w:tc>
          <w:tcPr>
            <w:tcW w:w="750" w:type="pct"/>
            <w:tcBorders>
              <w:top w:val="single" w:color="auto" w:sz="4" w:space="0"/>
              <w:left w:val="single" w:color="auto" w:sz="4" w:space="0"/>
              <w:bottom w:val="single" w:color="auto" w:sz="4" w:space="0"/>
              <w:right w:val="single" w:color="auto" w:sz="4" w:space="0"/>
            </w:tcBorders>
            <w:vAlign w:val="center"/>
          </w:tcPr>
          <w:p w14:paraId="2AA3BA25">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113053</w:t>
            </w:r>
          </w:p>
        </w:tc>
        <w:tc>
          <w:tcPr>
            <w:tcW w:w="750" w:type="pct"/>
            <w:tcBorders>
              <w:top w:val="single" w:color="auto" w:sz="4" w:space="0"/>
              <w:left w:val="single" w:color="auto" w:sz="4" w:space="0"/>
              <w:bottom w:val="single" w:color="auto" w:sz="4" w:space="0"/>
              <w:right w:val="single" w:color="auto" w:sz="4" w:space="0"/>
            </w:tcBorders>
            <w:vAlign w:val="center"/>
          </w:tcPr>
          <w:p w14:paraId="77EF0C9C">
            <w:pPr>
              <w:widowControl/>
              <w:snapToGrid w:val="0"/>
              <w:jc w:val="center"/>
              <w:rPr>
                <w:rFonts w:ascii="宋体" w:hAnsi="宋体"/>
                <w:color w:val="000000"/>
                <w:kern w:val="0"/>
                <w:sz w:val="25"/>
                <w:szCs w:val="24"/>
              </w:rPr>
            </w:pPr>
            <w:r>
              <w:rPr>
                <w:rFonts w:ascii="Times New Roman" w:hAnsi="Times New Roman"/>
                <w:color w:val="000000"/>
                <w:kern w:val="0"/>
                <w:sz w:val="25"/>
                <w:szCs w:val="24"/>
              </w:rPr>
              <w:t>隆22转债</w:t>
            </w:r>
          </w:p>
        </w:tc>
        <w:tc>
          <w:tcPr>
            <w:tcW w:w="750" w:type="pct"/>
            <w:tcBorders>
              <w:top w:val="single" w:color="auto" w:sz="4" w:space="0"/>
              <w:left w:val="single" w:color="auto" w:sz="4" w:space="0"/>
              <w:bottom w:val="single" w:color="auto" w:sz="4" w:space="0"/>
              <w:right w:val="single" w:color="auto" w:sz="4" w:space="0"/>
            </w:tcBorders>
            <w:vAlign w:val="center"/>
          </w:tcPr>
          <w:p w14:paraId="076ED318">
            <w:pPr>
              <w:widowControl/>
              <w:snapToGrid w:val="0"/>
              <w:jc w:val="right"/>
              <w:rPr>
                <w:rFonts w:ascii="宋体" w:hAnsi="宋体"/>
                <w:color w:val="000000"/>
                <w:kern w:val="0"/>
                <w:sz w:val="25"/>
                <w:szCs w:val="24"/>
              </w:rPr>
            </w:pPr>
            <w:r>
              <w:rPr>
                <w:rFonts w:ascii="Times New Roman" w:hAnsi="Times New Roman"/>
                <w:color w:val="000000"/>
                <w:kern w:val="0"/>
                <w:sz w:val="25"/>
                <w:szCs w:val="24"/>
              </w:rPr>
              <w:t>2,395,082.13</w:t>
            </w:r>
          </w:p>
        </w:tc>
        <w:tc>
          <w:tcPr>
            <w:tcW w:w="750" w:type="pct"/>
            <w:tcBorders>
              <w:top w:val="single" w:color="auto" w:sz="4" w:space="0"/>
              <w:left w:val="single" w:color="auto" w:sz="4" w:space="0"/>
              <w:bottom w:val="single" w:color="auto" w:sz="4" w:space="0"/>
              <w:right w:val="single" w:color="auto" w:sz="4" w:space="0"/>
            </w:tcBorders>
            <w:vAlign w:val="center"/>
          </w:tcPr>
          <w:p w14:paraId="143CCEF3">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14:paraId="40B5D91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799E852">
            <w:pPr>
              <w:widowControl/>
              <w:snapToGrid w:val="0"/>
              <w:jc w:val="center"/>
              <w:rPr>
                <w:rFonts w:ascii="宋体" w:hAnsi="宋体"/>
                <w:color w:val="000000"/>
                <w:kern w:val="0"/>
                <w:sz w:val="25"/>
                <w:szCs w:val="24"/>
              </w:rPr>
            </w:pPr>
            <w:r>
              <w:rPr>
                <w:rFonts w:ascii="Times New Roman" w:hAnsi="Times New Roman"/>
                <w:color w:val="000000"/>
                <w:kern w:val="0"/>
                <w:sz w:val="25"/>
                <w:szCs w:val="24"/>
              </w:rPr>
              <w:t>70</w:t>
            </w:r>
          </w:p>
        </w:tc>
        <w:tc>
          <w:tcPr>
            <w:tcW w:w="750" w:type="pct"/>
            <w:tcBorders>
              <w:top w:val="single" w:color="auto" w:sz="4" w:space="0"/>
              <w:left w:val="single" w:color="auto" w:sz="4" w:space="0"/>
              <w:bottom w:val="single" w:color="auto" w:sz="4" w:space="0"/>
              <w:right w:val="single" w:color="auto" w:sz="4" w:space="0"/>
            </w:tcBorders>
            <w:vAlign w:val="center"/>
          </w:tcPr>
          <w:p w14:paraId="34143438">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110089</w:t>
            </w:r>
          </w:p>
        </w:tc>
        <w:tc>
          <w:tcPr>
            <w:tcW w:w="750" w:type="pct"/>
            <w:tcBorders>
              <w:top w:val="single" w:color="auto" w:sz="4" w:space="0"/>
              <w:left w:val="single" w:color="auto" w:sz="4" w:space="0"/>
              <w:bottom w:val="single" w:color="auto" w:sz="4" w:space="0"/>
              <w:right w:val="single" w:color="auto" w:sz="4" w:space="0"/>
            </w:tcBorders>
            <w:vAlign w:val="center"/>
          </w:tcPr>
          <w:p w14:paraId="067B0B5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兴发转债</w:t>
            </w:r>
          </w:p>
        </w:tc>
        <w:tc>
          <w:tcPr>
            <w:tcW w:w="750" w:type="pct"/>
            <w:tcBorders>
              <w:top w:val="single" w:color="auto" w:sz="4" w:space="0"/>
              <w:left w:val="single" w:color="auto" w:sz="4" w:space="0"/>
              <w:bottom w:val="single" w:color="auto" w:sz="4" w:space="0"/>
              <w:right w:val="single" w:color="auto" w:sz="4" w:space="0"/>
            </w:tcBorders>
            <w:vAlign w:val="center"/>
          </w:tcPr>
          <w:p w14:paraId="3CB6C86E">
            <w:pPr>
              <w:widowControl/>
              <w:snapToGrid w:val="0"/>
              <w:jc w:val="right"/>
              <w:rPr>
                <w:rFonts w:ascii="宋体" w:hAnsi="宋体"/>
                <w:color w:val="000000"/>
                <w:kern w:val="0"/>
                <w:sz w:val="25"/>
                <w:szCs w:val="24"/>
              </w:rPr>
            </w:pPr>
            <w:r>
              <w:rPr>
                <w:rFonts w:ascii="Times New Roman" w:hAnsi="Times New Roman"/>
                <w:color w:val="000000"/>
                <w:kern w:val="0"/>
                <w:sz w:val="25"/>
                <w:szCs w:val="24"/>
              </w:rPr>
              <w:t>2,392,715.70</w:t>
            </w:r>
          </w:p>
        </w:tc>
        <w:tc>
          <w:tcPr>
            <w:tcW w:w="750" w:type="pct"/>
            <w:tcBorders>
              <w:top w:val="single" w:color="auto" w:sz="4" w:space="0"/>
              <w:left w:val="single" w:color="auto" w:sz="4" w:space="0"/>
              <w:bottom w:val="single" w:color="auto" w:sz="4" w:space="0"/>
              <w:right w:val="single" w:color="auto" w:sz="4" w:space="0"/>
            </w:tcBorders>
            <w:vAlign w:val="center"/>
          </w:tcPr>
          <w:p w14:paraId="035AC4CB">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14:paraId="3B1245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178DD5E">
            <w:pPr>
              <w:widowControl/>
              <w:snapToGrid w:val="0"/>
              <w:jc w:val="center"/>
              <w:rPr>
                <w:rFonts w:ascii="宋体" w:hAnsi="宋体"/>
                <w:color w:val="000000"/>
                <w:kern w:val="0"/>
                <w:sz w:val="25"/>
                <w:szCs w:val="24"/>
              </w:rPr>
            </w:pPr>
            <w:r>
              <w:rPr>
                <w:rFonts w:ascii="Times New Roman" w:hAnsi="Times New Roman"/>
                <w:color w:val="000000"/>
                <w:kern w:val="0"/>
                <w:sz w:val="25"/>
                <w:szCs w:val="24"/>
              </w:rPr>
              <w:t>71</w:t>
            </w:r>
          </w:p>
        </w:tc>
        <w:tc>
          <w:tcPr>
            <w:tcW w:w="750" w:type="pct"/>
            <w:tcBorders>
              <w:top w:val="single" w:color="auto" w:sz="4" w:space="0"/>
              <w:left w:val="single" w:color="auto" w:sz="4" w:space="0"/>
              <w:bottom w:val="single" w:color="auto" w:sz="4" w:space="0"/>
              <w:right w:val="single" w:color="auto" w:sz="4" w:space="0"/>
            </w:tcBorders>
            <w:vAlign w:val="center"/>
          </w:tcPr>
          <w:p w14:paraId="4896C5EA">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123109</w:t>
            </w:r>
          </w:p>
        </w:tc>
        <w:tc>
          <w:tcPr>
            <w:tcW w:w="750" w:type="pct"/>
            <w:tcBorders>
              <w:top w:val="single" w:color="auto" w:sz="4" w:space="0"/>
              <w:left w:val="single" w:color="auto" w:sz="4" w:space="0"/>
              <w:bottom w:val="single" w:color="auto" w:sz="4" w:space="0"/>
              <w:right w:val="single" w:color="auto" w:sz="4" w:space="0"/>
            </w:tcBorders>
            <w:vAlign w:val="center"/>
          </w:tcPr>
          <w:p w14:paraId="1511CD8E">
            <w:pPr>
              <w:widowControl/>
              <w:snapToGrid w:val="0"/>
              <w:jc w:val="center"/>
              <w:rPr>
                <w:rFonts w:ascii="宋体" w:hAnsi="宋体"/>
                <w:color w:val="000000"/>
                <w:kern w:val="0"/>
                <w:sz w:val="25"/>
                <w:szCs w:val="24"/>
              </w:rPr>
            </w:pPr>
            <w:r>
              <w:rPr>
                <w:rFonts w:ascii="Times New Roman" w:hAnsi="Times New Roman"/>
                <w:color w:val="000000"/>
                <w:kern w:val="0"/>
                <w:sz w:val="25"/>
                <w:szCs w:val="24"/>
              </w:rPr>
              <w:t>昌红转债</w:t>
            </w:r>
          </w:p>
        </w:tc>
        <w:tc>
          <w:tcPr>
            <w:tcW w:w="750" w:type="pct"/>
            <w:tcBorders>
              <w:top w:val="single" w:color="auto" w:sz="4" w:space="0"/>
              <w:left w:val="single" w:color="auto" w:sz="4" w:space="0"/>
              <w:bottom w:val="single" w:color="auto" w:sz="4" w:space="0"/>
              <w:right w:val="single" w:color="auto" w:sz="4" w:space="0"/>
            </w:tcBorders>
            <w:vAlign w:val="center"/>
          </w:tcPr>
          <w:p w14:paraId="16A0E388">
            <w:pPr>
              <w:widowControl/>
              <w:snapToGrid w:val="0"/>
              <w:jc w:val="right"/>
              <w:rPr>
                <w:rFonts w:ascii="宋体" w:hAnsi="宋体"/>
                <w:color w:val="000000"/>
                <w:kern w:val="0"/>
                <w:sz w:val="25"/>
                <w:szCs w:val="24"/>
              </w:rPr>
            </w:pPr>
            <w:r>
              <w:rPr>
                <w:rFonts w:ascii="Times New Roman" w:hAnsi="Times New Roman"/>
                <w:color w:val="000000"/>
                <w:kern w:val="0"/>
                <w:sz w:val="25"/>
                <w:szCs w:val="24"/>
              </w:rPr>
              <w:t>2,313,967.84</w:t>
            </w:r>
          </w:p>
        </w:tc>
        <w:tc>
          <w:tcPr>
            <w:tcW w:w="750" w:type="pct"/>
            <w:tcBorders>
              <w:top w:val="single" w:color="auto" w:sz="4" w:space="0"/>
              <w:left w:val="single" w:color="auto" w:sz="4" w:space="0"/>
              <w:bottom w:val="single" w:color="auto" w:sz="4" w:space="0"/>
              <w:right w:val="single" w:color="auto" w:sz="4" w:space="0"/>
            </w:tcBorders>
            <w:vAlign w:val="center"/>
          </w:tcPr>
          <w:p w14:paraId="6A43BC82">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1E3B5C3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A0FC8B">
            <w:pPr>
              <w:widowControl/>
              <w:snapToGrid w:val="0"/>
              <w:jc w:val="center"/>
              <w:rPr>
                <w:rFonts w:ascii="宋体" w:hAnsi="宋体"/>
                <w:color w:val="000000"/>
                <w:kern w:val="0"/>
                <w:sz w:val="25"/>
                <w:szCs w:val="24"/>
              </w:rPr>
            </w:pPr>
            <w:r>
              <w:rPr>
                <w:rFonts w:ascii="Times New Roman" w:hAnsi="Times New Roman"/>
                <w:color w:val="000000"/>
                <w:kern w:val="0"/>
                <w:sz w:val="25"/>
                <w:szCs w:val="24"/>
              </w:rPr>
              <w:t>72</w:t>
            </w:r>
          </w:p>
        </w:tc>
        <w:tc>
          <w:tcPr>
            <w:tcW w:w="750" w:type="pct"/>
            <w:tcBorders>
              <w:top w:val="single" w:color="auto" w:sz="4" w:space="0"/>
              <w:left w:val="single" w:color="auto" w:sz="4" w:space="0"/>
              <w:bottom w:val="single" w:color="auto" w:sz="4" w:space="0"/>
              <w:right w:val="single" w:color="auto" w:sz="4" w:space="0"/>
            </w:tcBorders>
            <w:vAlign w:val="center"/>
          </w:tcPr>
          <w:p w14:paraId="685AE67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123104</w:t>
            </w:r>
          </w:p>
        </w:tc>
        <w:tc>
          <w:tcPr>
            <w:tcW w:w="750" w:type="pct"/>
            <w:tcBorders>
              <w:top w:val="single" w:color="auto" w:sz="4" w:space="0"/>
              <w:left w:val="single" w:color="auto" w:sz="4" w:space="0"/>
              <w:bottom w:val="single" w:color="auto" w:sz="4" w:space="0"/>
              <w:right w:val="single" w:color="auto" w:sz="4" w:space="0"/>
            </w:tcBorders>
            <w:vAlign w:val="center"/>
          </w:tcPr>
          <w:p w14:paraId="3FB3ABB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卫宁转债</w:t>
            </w:r>
          </w:p>
        </w:tc>
        <w:tc>
          <w:tcPr>
            <w:tcW w:w="750" w:type="pct"/>
            <w:tcBorders>
              <w:top w:val="single" w:color="auto" w:sz="4" w:space="0"/>
              <w:left w:val="single" w:color="auto" w:sz="4" w:space="0"/>
              <w:bottom w:val="single" w:color="auto" w:sz="4" w:space="0"/>
              <w:right w:val="single" w:color="auto" w:sz="4" w:space="0"/>
            </w:tcBorders>
            <w:vAlign w:val="center"/>
          </w:tcPr>
          <w:p w14:paraId="70764727">
            <w:pPr>
              <w:widowControl/>
              <w:snapToGrid w:val="0"/>
              <w:jc w:val="right"/>
              <w:rPr>
                <w:rFonts w:ascii="宋体" w:hAnsi="宋体"/>
                <w:color w:val="000000"/>
                <w:kern w:val="0"/>
                <w:sz w:val="25"/>
                <w:szCs w:val="24"/>
              </w:rPr>
            </w:pPr>
            <w:r>
              <w:rPr>
                <w:rFonts w:ascii="Times New Roman" w:hAnsi="Times New Roman"/>
                <w:color w:val="000000"/>
                <w:kern w:val="0"/>
                <w:sz w:val="25"/>
                <w:szCs w:val="24"/>
              </w:rPr>
              <w:t>2,287,237.51</w:t>
            </w:r>
          </w:p>
        </w:tc>
        <w:tc>
          <w:tcPr>
            <w:tcW w:w="750" w:type="pct"/>
            <w:tcBorders>
              <w:top w:val="single" w:color="auto" w:sz="4" w:space="0"/>
              <w:left w:val="single" w:color="auto" w:sz="4" w:space="0"/>
              <w:bottom w:val="single" w:color="auto" w:sz="4" w:space="0"/>
              <w:right w:val="single" w:color="auto" w:sz="4" w:space="0"/>
            </w:tcBorders>
            <w:vAlign w:val="center"/>
          </w:tcPr>
          <w:p w14:paraId="70E369B0">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6805A7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F7DABD4">
            <w:pPr>
              <w:widowControl/>
              <w:snapToGrid w:val="0"/>
              <w:jc w:val="center"/>
              <w:rPr>
                <w:rFonts w:ascii="宋体" w:hAnsi="宋体"/>
                <w:color w:val="000000"/>
                <w:kern w:val="0"/>
                <w:sz w:val="25"/>
                <w:szCs w:val="24"/>
              </w:rPr>
            </w:pPr>
            <w:r>
              <w:rPr>
                <w:rFonts w:ascii="Times New Roman" w:hAnsi="Times New Roman"/>
                <w:color w:val="000000"/>
                <w:kern w:val="0"/>
                <w:sz w:val="25"/>
                <w:szCs w:val="24"/>
              </w:rPr>
              <w:t>73</w:t>
            </w:r>
          </w:p>
        </w:tc>
        <w:tc>
          <w:tcPr>
            <w:tcW w:w="750" w:type="pct"/>
            <w:tcBorders>
              <w:top w:val="single" w:color="auto" w:sz="4" w:space="0"/>
              <w:left w:val="single" w:color="auto" w:sz="4" w:space="0"/>
              <w:bottom w:val="single" w:color="auto" w:sz="4" w:space="0"/>
              <w:right w:val="single" w:color="auto" w:sz="4" w:space="0"/>
            </w:tcBorders>
            <w:vAlign w:val="center"/>
          </w:tcPr>
          <w:p w14:paraId="4236C84B">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127079</w:t>
            </w:r>
          </w:p>
        </w:tc>
        <w:tc>
          <w:tcPr>
            <w:tcW w:w="750" w:type="pct"/>
            <w:tcBorders>
              <w:top w:val="single" w:color="auto" w:sz="4" w:space="0"/>
              <w:left w:val="single" w:color="auto" w:sz="4" w:space="0"/>
              <w:bottom w:val="single" w:color="auto" w:sz="4" w:space="0"/>
              <w:right w:val="single" w:color="auto" w:sz="4" w:space="0"/>
            </w:tcBorders>
            <w:vAlign w:val="center"/>
          </w:tcPr>
          <w:p w14:paraId="7FCEA31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华亚转债</w:t>
            </w:r>
          </w:p>
        </w:tc>
        <w:tc>
          <w:tcPr>
            <w:tcW w:w="750" w:type="pct"/>
            <w:tcBorders>
              <w:top w:val="single" w:color="auto" w:sz="4" w:space="0"/>
              <w:left w:val="single" w:color="auto" w:sz="4" w:space="0"/>
              <w:bottom w:val="single" w:color="auto" w:sz="4" w:space="0"/>
              <w:right w:val="single" w:color="auto" w:sz="4" w:space="0"/>
            </w:tcBorders>
            <w:vAlign w:val="center"/>
          </w:tcPr>
          <w:p w14:paraId="2047E987">
            <w:pPr>
              <w:widowControl/>
              <w:snapToGrid w:val="0"/>
              <w:jc w:val="right"/>
              <w:rPr>
                <w:rFonts w:ascii="宋体" w:hAnsi="宋体"/>
                <w:color w:val="000000"/>
                <w:kern w:val="0"/>
                <w:sz w:val="25"/>
                <w:szCs w:val="24"/>
              </w:rPr>
            </w:pPr>
            <w:r>
              <w:rPr>
                <w:rFonts w:ascii="Times New Roman" w:hAnsi="Times New Roman"/>
                <w:color w:val="000000"/>
                <w:kern w:val="0"/>
                <w:sz w:val="25"/>
                <w:szCs w:val="24"/>
              </w:rPr>
              <w:t>2,254,513.60</w:t>
            </w:r>
          </w:p>
        </w:tc>
        <w:tc>
          <w:tcPr>
            <w:tcW w:w="750" w:type="pct"/>
            <w:tcBorders>
              <w:top w:val="single" w:color="auto" w:sz="4" w:space="0"/>
              <w:left w:val="single" w:color="auto" w:sz="4" w:space="0"/>
              <w:bottom w:val="single" w:color="auto" w:sz="4" w:space="0"/>
              <w:right w:val="single" w:color="auto" w:sz="4" w:space="0"/>
            </w:tcBorders>
            <w:vAlign w:val="center"/>
          </w:tcPr>
          <w:p w14:paraId="3321C1E9">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14BA1B5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2C572D">
            <w:pPr>
              <w:widowControl/>
              <w:snapToGrid w:val="0"/>
              <w:jc w:val="center"/>
              <w:rPr>
                <w:rFonts w:ascii="宋体" w:hAnsi="宋体"/>
                <w:color w:val="000000"/>
                <w:kern w:val="0"/>
                <w:sz w:val="25"/>
                <w:szCs w:val="24"/>
              </w:rPr>
            </w:pPr>
            <w:r>
              <w:rPr>
                <w:rFonts w:ascii="Times New Roman" w:hAnsi="Times New Roman"/>
                <w:color w:val="000000"/>
                <w:kern w:val="0"/>
                <w:sz w:val="25"/>
                <w:szCs w:val="24"/>
              </w:rPr>
              <w:t>74</w:t>
            </w:r>
          </w:p>
        </w:tc>
        <w:tc>
          <w:tcPr>
            <w:tcW w:w="750" w:type="pct"/>
            <w:tcBorders>
              <w:top w:val="single" w:color="auto" w:sz="4" w:space="0"/>
              <w:left w:val="single" w:color="auto" w:sz="4" w:space="0"/>
              <w:bottom w:val="single" w:color="auto" w:sz="4" w:space="0"/>
              <w:right w:val="single" w:color="auto" w:sz="4" w:space="0"/>
            </w:tcBorders>
            <w:vAlign w:val="center"/>
          </w:tcPr>
          <w:p w14:paraId="7C717C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127037</w:t>
            </w:r>
          </w:p>
        </w:tc>
        <w:tc>
          <w:tcPr>
            <w:tcW w:w="750" w:type="pct"/>
            <w:tcBorders>
              <w:top w:val="single" w:color="auto" w:sz="4" w:space="0"/>
              <w:left w:val="single" w:color="auto" w:sz="4" w:space="0"/>
              <w:bottom w:val="single" w:color="auto" w:sz="4" w:space="0"/>
              <w:right w:val="single" w:color="auto" w:sz="4" w:space="0"/>
            </w:tcBorders>
            <w:vAlign w:val="center"/>
          </w:tcPr>
          <w:p w14:paraId="39027CF3">
            <w:pPr>
              <w:widowControl/>
              <w:snapToGrid w:val="0"/>
              <w:jc w:val="center"/>
              <w:rPr>
                <w:rFonts w:ascii="宋体" w:hAnsi="宋体"/>
                <w:color w:val="000000"/>
                <w:kern w:val="0"/>
                <w:sz w:val="25"/>
                <w:szCs w:val="24"/>
              </w:rPr>
            </w:pPr>
            <w:r>
              <w:rPr>
                <w:rFonts w:ascii="Times New Roman" w:hAnsi="Times New Roman"/>
                <w:color w:val="000000"/>
                <w:kern w:val="0"/>
                <w:sz w:val="25"/>
                <w:szCs w:val="24"/>
              </w:rPr>
              <w:t>银轮转债</w:t>
            </w:r>
          </w:p>
        </w:tc>
        <w:tc>
          <w:tcPr>
            <w:tcW w:w="750" w:type="pct"/>
            <w:tcBorders>
              <w:top w:val="single" w:color="auto" w:sz="4" w:space="0"/>
              <w:left w:val="single" w:color="auto" w:sz="4" w:space="0"/>
              <w:bottom w:val="single" w:color="auto" w:sz="4" w:space="0"/>
              <w:right w:val="single" w:color="auto" w:sz="4" w:space="0"/>
            </w:tcBorders>
            <w:vAlign w:val="center"/>
          </w:tcPr>
          <w:p w14:paraId="5D212B8D">
            <w:pPr>
              <w:widowControl/>
              <w:snapToGrid w:val="0"/>
              <w:jc w:val="right"/>
              <w:rPr>
                <w:rFonts w:ascii="宋体" w:hAnsi="宋体"/>
                <w:color w:val="000000"/>
                <w:kern w:val="0"/>
                <w:sz w:val="25"/>
                <w:szCs w:val="24"/>
              </w:rPr>
            </w:pPr>
            <w:r>
              <w:rPr>
                <w:rFonts w:ascii="Times New Roman" w:hAnsi="Times New Roman"/>
                <w:color w:val="000000"/>
                <w:kern w:val="0"/>
                <w:sz w:val="25"/>
                <w:szCs w:val="24"/>
              </w:rPr>
              <w:t>2,153,973.44</w:t>
            </w:r>
          </w:p>
        </w:tc>
        <w:tc>
          <w:tcPr>
            <w:tcW w:w="750" w:type="pct"/>
            <w:tcBorders>
              <w:top w:val="single" w:color="auto" w:sz="4" w:space="0"/>
              <w:left w:val="single" w:color="auto" w:sz="4" w:space="0"/>
              <w:bottom w:val="single" w:color="auto" w:sz="4" w:space="0"/>
              <w:right w:val="single" w:color="auto" w:sz="4" w:space="0"/>
            </w:tcBorders>
            <w:vAlign w:val="center"/>
          </w:tcPr>
          <w:p w14:paraId="5A3C2327">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4473E27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F7D38CB">
            <w:pPr>
              <w:widowControl/>
              <w:snapToGrid w:val="0"/>
              <w:jc w:val="center"/>
              <w:rPr>
                <w:rFonts w:ascii="宋体" w:hAnsi="宋体"/>
                <w:color w:val="000000"/>
                <w:kern w:val="0"/>
                <w:sz w:val="25"/>
                <w:szCs w:val="24"/>
              </w:rPr>
            </w:pPr>
            <w:r>
              <w:rPr>
                <w:rFonts w:ascii="Times New Roman" w:hAnsi="Times New Roman"/>
                <w:color w:val="000000"/>
                <w:kern w:val="0"/>
                <w:sz w:val="25"/>
                <w:szCs w:val="24"/>
              </w:rPr>
              <w:t>75</w:t>
            </w:r>
          </w:p>
        </w:tc>
        <w:tc>
          <w:tcPr>
            <w:tcW w:w="750" w:type="pct"/>
            <w:tcBorders>
              <w:top w:val="single" w:color="auto" w:sz="4" w:space="0"/>
              <w:left w:val="single" w:color="auto" w:sz="4" w:space="0"/>
              <w:bottom w:val="single" w:color="auto" w:sz="4" w:space="0"/>
              <w:right w:val="single" w:color="auto" w:sz="4" w:space="0"/>
            </w:tcBorders>
            <w:vAlign w:val="center"/>
          </w:tcPr>
          <w:p w14:paraId="74BD118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113623</w:t>
            </w:r>
          </w:p>
        </w:tc>
        <w:tc>
          <w:tcPr>
            <w:tcW w:w="750" w:type="pct"/>
            <w:tcBorders>
              <w:top w:val="single" w:color="auto" w:sz="4" w:space="0"/>
              <w:left w:val="single" w:color="auto" w:sz="4" w:space="0"/>
              <w:bottom w:val="single" w:color="auto" w:sz="4" w:space="0"/>
              <w:right w:val="single" w:color="auto" w:sz="4" w:space="0"/>
            </w:tcBorders>
            <w:vAlign w:val="center"/>
          </w:tcPr>
          <w:p w14:paraId="4A84800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凤21转债</w:t>
            </w:r>
          </w:p>
        </w:tc>
        <w:tc>
          <w:tcPr>
            <w:tcW w:w="750" w:type="pct"/>
            <w:tcBorders>
              <w:top w:val="single" w:color="auto" w:sz="4" w:space="0"/>
              <w:left w:val="single" w:color="auto" w:sz="4" w:space="0"/>
              <w:bottom w:val="single" w:color="auto" w:sz="4" w:space="0"/>
              <w:right w:val="single" w:color="auto" w:sz="4" w:space="0"/>
            </w:tcBorders>
            <w:vAlign w:val="center"/>
          </w:tcPr>
          <w:p w14:paraId="4BDD605B">
            <w:pPr>
              <w:widowControl/>
              <w:snapToGrid w:val="0"/>
              <w:jc w:val="right"/>
              <w:rPr>
                <w:rFonts w:ascii="宋体" w:hAnsi="宋体"/>
                <w:color w:val="000000"/>
                <w:kern w:val="0"/>
                <w:sz w:val="25"/>
                <w:szCs w:val="24"/>
              </w:rPr>
            </w:pPr>
            <w:r>
              <w:rPr>
                <w:rFonts w:ascii="Times New Roman" w:hAnsi="Times New Roman"/>
                <w:color w:val="000000"/>
                <w:kern w:val="0"/>
                <w:sz w:val="25"/>
                <w:szCs w:val="24"/>
              </w:rPr>
              <w:t>2,132,932.44</w:t>
            </w:r>
          </w:p>
        </w:tc>
        <w:tc>
          <w:tcPr>
            <w:tcW w:w="750" w:type="pct"/>
            <w:tcBorders>
              <w:top w:val="single" w:color="auto" w:sz="4" w:space="0"/>
              <w:left w:val="single" w:color="auto" w:sz="4" w:space="0"/>
              <w:bottom w:val="single" w:color="auto" w:sz="4" w:space="0"/>
              <w:right w:val="single" w:color="auto" w:sz="4" w:space="0"/>
            </w:tcBorders>
            <w:vAlign w:val="center"/>
          </w:tcPr>
          <w:p w14:paraId="5ABCF073">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2D14CD6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96D9D31">
            <w:pPr>
              <w:widowControl/>
              <w:snapToGrid w:val="0"/>
              <w:jc w:val="center"/>
              <w:rPr>
                <w:rFonts w:ascii="宋体" w:hAnsi="宋体"/>
                <w:color w:val="000000"/>
                <w:kern w:val="0"/>
                <w:sz w:val="25"/>
                <w:szCs w:val="24"/>
              </w:rPr>
            </w:pPr>
            <w:r>
              <w:rPr>
                <w:rFonts w:ascii="Times New Roman" w:hAnsi="Times New Roman"/>
                <w:color w:val="000000"/>
                <w:kern w:val="0"/>
                <w:sz w:val="25"/>
                <w:szCs w:val="24"/>
              </w:rPr>
              <w:t>76</w:t>
            </w:r>
          </w:p>
        </w:tc>
        <w:tc>
          <w:tcPr>
            <w:tcW w:w="750" w:type="pct"/>
            <w:tcBorders>
              <w:top w:val="single" w:color="auto" w:sz="4" w:space="0"/>
              <w:left w:val="single" w:color="auto" w:sz="4" w:space="0"/>
              <w:bottom w:val="single" w:color="auto" w:sz="4" w:space="0"/>
              <w:right w:val="single" w:color="auto" w:sz="4" w:space="0"/>
            </w:tcBorders>
            <w:vAlign w:val="center"/>
          </w:tcPr>
          <w:p w14:paraId="71B97792">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128125</w:t>
            </w:r>
          </w:p>
        </w:tc>
        <w:tc>
          <w:tcPr>
            <w:tcW w:w="750" w:type="pct"/>
            <w:tcBorders>
              <w:top w:val="single" w:color="auto" w:sz="4" w:space="0"/>
              <w:left w:val="single" w:color="auto" w:sz="4" w:space="0"/>
              <w:bottom w:val="single" w:color="auto" w:sz="4" w:space="0"/>
              <w:right w:val="single" w:color="auto" w:sz="4" w:space="0"/>
            </w:tcBorders>
            <w:vAlign w:val="center"/>
          </w:tcPr>
          <w:p w14:paraId="71B38D0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华阳转债</w:t>
            </w:r>
          </w:p>
        </w:tc>
        <w:tc>
          <w:tcPr>
            <w:tcW w:w="750" w:type="pct"/>
            <w:tcBorders>
              <w:top w:val="single" w:color="auto" w:sz="4" w:space="0"/>
              <w:left w:val="single" w:color="auto" w:sz="4" w:space="0"/>
              <w:bottom w:val="single" w:color="auto" w:sz="4" w:space="0"/>
              <w:right w:val="single" w:color="auto" w:sz="4" w:space="0"/>
            </w:tcBorders>
            <w:vAlign w:val="center"/>
          </w:tcPr>
          <w:p w14:paraId="792FC1BD">
            <w:pPr>
              <w:widowControl/>
              <w:snapToGrid w:val="0"/>
              <w:jc w:val="right"/>
              <w:rPr>
                <w:rFonts w:ascii="宋体" w:hAnsi="宋体"/>
                <w:color w:val="000000"/>
                <w:kern w:val="0"/>
                <w:sz w:val="25"/>
                <w:szCs w:val="24"/>
              </w:rPr>
            </w:pPr>
            <w:r>
              <w:rPr>
                <w:rFonts w:ascii="Times New Roman" w:hAnsi="Times New Roman"/>
                <w:color w:val="000000"/>
                <w:kern w:val="0"/>
                <w:sz w:val="25"/>
                <w:szCs w:val="24"/>
              </w:rPr>
              <w:t>2,091,294.19</w:t>
            </w:r>
          </w:p>
        </w:tc>
        <w:tc>
          <w:tcPr>
            <w:tcW w:w="750" w:type="pct"/>
            <w:tcBorders>
              <w:top w:val="single" w:color="auto" w:sz="4" w:space="0"/>
              <w:left w:val="single" w:color="auto" w:sz="4" w:space="0"/>
              <w:bottom w:val="single" w:color="auto" w:sz="4" w:space="0"/>
              <w:right w:val="single" w:color="auto" w:sz="4" w:space="0"/>
            </w:tcBorders>
            <w:vAlign w:val="center"/>
          </w:tcPr>
          <w:p w14:paraId="78933BCF">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4EB9353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3871C0B">
            <w:pPr>
              <w:widowControl/>
              <w:snapToGrid w:val="0"/>
              <w:jc w:val="center"/>
              <w:rPr>
                <w:rFonts w:ascii="宋体" w:hAnsi="宋体"/>
                <w:color w:val="000000"/>
                <w:kern w:val="0"/>
                <w:sz w:val="25"/>
                <w:szCs w:val="24"/>
              </w:rPr>
            </w:pPr>
            <w:r>
              <w:rPr>
                <w:rFonts w:ascii="Times New Roman" w:hAnsi="Times New Roman"/>
                <w:color w:val="000000"/>
                <w:kern w:val="0"/>
                <w:sz w:val="25"/>
                <w:szCs w:val="24"/>
              </w:rPr>
              <w:t>77</w:t>
            </w:r>
          </w:p>
        </w:tc>
        <w:tc>
          <w:tcPr>
            <w:tcW w:w="750" w:type="pct"/>
            <w:tcBorders>
              <w:top w:val="single" w:color="auto" w:sz="4" w:space="0"/>
              <w:left w:val="single" w:color="auto" w:sz="4" w:space="0"/>
              <w:bottom w:val="single" w:color="auto" w:sz="4" w:space="0"/>
              <w:right w:val="single" w:color="auto" w:sz="4" w:space="0"/>
            </w:tcBorders>
            <w:vAlign w:val="center"/>
          </w:tcPr>
          <w:p w14:paraId="1BD5F36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127045</w:t>
            </w:r>
          </w:p>
        </w:tc>
        <w:tc>
          <w:tcPr>
            <w:tcW w:w="750" w:type="pct"/>
            <w:tcBorders>
              <w:top w:val="single" w:color="auto" w:sz="4" w:space="0"/>
              <w:left w:val="single" w:color="auto" w:sz="4" w:space="0"/>
              <w:bottom w:val="single" w:color="auto" w:sz="4" w:space="0"/>
              <w:right w:val="single" w:color="auto" w:sz="4" w:space="0"/>
            </w:tcBorders>
            <w:vAlign w:val="center"/>
          </w:tcPr>
          <w:p w14:paraId="5F4D55C6">
            <w:pPr>
              <w:widowControl/>
              <w:snapToGrid w:val="0"/>
              <w:jc w:val="center"/>
              <w:rPr>
                <w:rFonts w:ascii="宋体" w:hAnsi="宋体"/>
                <w:color w:val="000000"/>
                <w:kern w:val="0"/>
                <w:sz w:val="25"/>
                <w:szCs w:val="24"/>
              </w:rPr>
            </w:pPr>
            <w:r>
              <w:rPr>
                <w:rFonts w:ascii="Times New Roman" w:hAnsi="Times New Roman"/>
                <w:color w:val="000000"/>
                <w:kern w:val="0"/>
                <w:sz w:val="25"/>
                <w:szCs w:val="24"/>
              </w:rPr>
              <w:t>牧原转债</w:t>
            </w:r>
          </w:p>
        </w:tc>
        <w:tc>
          <w:tcPr>
            <w:tcW w:w="750" w:type="pct"/>
            <w:tcBorders>
              <w:top w:val="single" w:color="auto" w:sz="4" w:space="0"/>
              <w:left w:val="single" w:color="auto" w:sz="4" w:space="0"/>
              <w:bottom w:val="single" w:color="auto" w:sz="4" w:space="0"/>
              <w:right w:val="single" w:color="auto" w:sz="4" w:space="0"/>
            </w:tcBorders>
            <w:vAlign w:val="center"/>
          </w:tcPr>
          <w:p w14:paraId="1870DB99">
            <w:pPr>
              <w:widowControl/>
              <w:snapToGrid w:val="0"/>
              <w:jc w:val="right"/>
              <w:rPr>
                <w:rFonts w:ascii="宋体" w:hAnsi="宋体"/>
                <w:color w:val="000000"/>
                <w:kern w:val="0"/>
                <w:sz w:val="25"/>
                <w:szCs w:val="24"/>
              </w:rPr>
            </w:pPr>
            <w:r>
              <w:rPr>
                <w:rFonts w:ascii="Times New Roman" w:hAnsi="Times New Roman"/>
                <w:color w:val="000000"/>
                <w:kern w:val="0"/>
                <w:sz w:val="25"/>
                <w:szCs w:val="24"/>
              </w:rPr>
              <w:t>2,083,482.78</w:t>
            </w:r>
          </w:p>
        </w:tc>
        <w:tc>
          <w:tcPr>
            <w:tcW w:w="750" w:type="pct"/>
            <w:tcBorders>
              <w:top w:val="single" w:color="auto" w:sz="4" w:space="0"/>
              <w:left w:val="single" w:color="auto" w:sz="4" w:space="0"/>
              <w:bottom w:val="single" w:color="auto" w:sz="4" w:space="0"/>
              <w:right w:val="single" w:color="auto" w:sz="4" w:space="0"/>
            </w:tcBorders>
            <w:vAlign w:val="center"/>
          </w:tcPr>
          <w:p w14:paraId="16C95823">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6D02859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D1E1F3E">
            <w:pPr>
              <w:widowControl/>
              <w:snapToGrid w:val="0"/>
              <w:jc w:val="center"/>
              <w:rPr>
                <w:rFonts w:ascii="宋体" w:hAnsi="宋体"/>
                <w:color w:val="000000"/>
                <w:kern w:val="0"/>
                <w:sz w:val="25"/>
                <w:szCs w:val="24"/>
              </w:rPr>
            </w:pPr>
            <w:r>
              <w:rPr>
                <w:rFonts w:ascii="Times New Roman" w:hAnsi="Times New Roman"/>
                <w:color w:val="000000"/>
                <w:kern w:val="0"/>
                <w:sz w:val="25"/>
                <w:szCs w:val="24"/>
              </w:rPr>
              <w:t>78</w:t>
            </w:r>
          </w:p>
        </w:tc>
        <w:tc>
          <w:tcPr>
            <w:tcW w:w="750" w:type="pct"/>
            <w:tcBorders>
              <w:top w:val="single" w:color="auto" w:sz="4" w:space="0"/>
              <w:left w:val="single" w:color="auto" w:sz="4" w:space="0"/>
              <w:bottom w:val="single" w:color="auto" w:sz="4" w:space="0"/>
              <w:right w:val="single" w:color="auto" w:sz="4" w:space="0"/>
            </w:tcBorders>
            <w:vAlign w:val="center"/>
          </w:tcPr>
          <w:p w14:paraId="2358600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127068</w:t>
            </w:r>
          </w:p>
        </w:tc>
        <w:tc>
          <w:tcPr>
            <w:tcW w:w="750" w:type="pct"/>
            <w:tcBorders>
              <w:top w:val="single" w:color="auto" w:sz="4" w:space="0"/>
              <w:left w:val="single" w:color="auto" w:sz="4" w:space="0"/>
              <w:bottom w:val="single" w:color="auto" w:sz="4" w:space="0"/>
              <w:right w:val="single" w:color="auto" w:sz="4" w:space="0"/>
            </w:tcBorders>
            <w:vAlign w:val="center"/>
          </w:tcPr>
          <w:p w14:paraId="55CEF6F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顺博转债</w:t>
            </w:r>
          </w:p>
        </w:tc>
        <w:tc>
          <w:tcPr>
            <w:tcW w:w="750" w:type="pct"/>
            <w:tcBorders>
              <w:top w:val="single" w:color="auto" w:sz="4" w:space="0"/>
              <w:left w:val="single" w:color="auto" w:sz="4" w:space="0"/>
              <w:bottom w:val="single" w:color="auto" w:sz="4" w:space="0"/>
              <w:right w:val="single" w:color="auto" w:sz="4" w:space="0"/>
            </w:tcBorders>
            <w:vAlign w:val="center"/>
          </w:tcPr>
          <w:p w14:paraId="2D783E5D">
            <w:pPr>
              <w:widowControl/>
              <w:snapToGrid w:val="0"/>
              <w:jc w:val="right"/>
              <w:rPr>
                <w:rFonts w:ascii="宋体" w:hAnsi="宋体"/>
                <w:color w:val="000000"/>
                <w:kern w:val="0"/>
                <w:sz w:val="25"/>
                <w:szCs w:val="24"/>
              </w:rPr>
            </w:pPr>
            <w:r>
              <w:rPr>
                <w:rFonts w:ascii="Times New Roman" w:hAnsi="Times New Roman"/>
                <w:color w:val="000000"/>
                <w:kern w:val="0"/>
                <w:sz w:val="25"/>
                <w:szCs w:val="24"/>
              </w:rPr>
              <w:t>2,075,308.18</w:t>
            </w:r>
          </w:p>
        </w:tc>
        <w:tc>
          <w:tcPr>
            <w:tcW w:w="750" w:type="pct"/>
            <w:tcBorders>
              <w:top w:val="single" w:color="auto" w:sz="4" w:space="0"/>
              <w:left w:val="single" w:color="auto" w:sz="4" w:space="0"/>
              <w:bottom w:val="single" w:color="auto" w:sz="4" w:space="0"/>
              <w:right w:val="single" w:color="auto" w:sz="4" w:space="0"/>
            </w:tcBorders>
            <w:vAlign w:val="center"/>
          </w:tcPr>
          <w:p w14:paraId="545E138B">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1F2B69F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C0E1A5C">
            <w:pPr>
              <w:widowControl/>
              <w:snapToGrid w:val="0"/>
              <w:jc w:val="center"/>
              <w:rPr>
                <w:rFonts w:ascii="宋体" w:hAnsi="宋体"/>
                <w:color w:val="000000"/>
                <w:kern w:val="0"/>
                <w:sz w:val="25"/>
                <w:szCs w:val="24"/>
              </w:rPr>
            </w:pPr>
            <w:r>
              <w:rPr>
                <w:rFonts w:ascii="Times New Roman" w:hAnsi="Times New Roman"/>
                <w:color w:val="000000"/>
                <w:kern w:val="0"/>
                <w:sz w:val="25"/>
                <w:szCs w:val="24"/>
              </w:rPr>
              <w:t>79</w:t>
            </w:r>
          </w:p>
        </w:tc>
        <w:tc>
          <w:tcPr>
            <w:tcW w:w="750" w:type="pct"/>
            <w:tcBorders>
              <w:top w:val="single" w:color="auto" w:sz="4" w:space="0"/>
              <w:left w:val="single" w:color="auto" w:sz="4" w:space="0"/>
              <w:bottom w:val="single" w:color="auto" w:sz="4" w:space="0"/>
              <w:right w:val="single" w:color="auto" w:sz="4" w:space="0"/>
            </w:tcBorders>
            <w:vAlign w:val="center"/>
          </w:tcPr>
          <w:p w14:paraId="50B7BF60">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127090</w:t>
            </w:r>
          </w:p>
        </w:tc>
        <w:tc>
          <w:tcPr>
            <w:tcW w:w="750" w:type="pct"/>
            <w:tcBorders>
              <w:top w:val="single" w:color="auto" w:sz="4" w:space="0"/>
              <w:left w:val="single" w:color="auto" w:sz="4" w:space="0"/>
              <w:bottom w:val="single" w:color="auto" w:sz="4" w:space="0"/>
              <w:right w:val="single" w:color="auto" w:sz="4" w:space="0"/>
            </w:tcBorders>
            <w:vAlign w:val="center"/>
          </w:tcPr>
          <w:p w14:paraId="618B44C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兴瑞转债</w:t>
            </w:r>
          </w:p>
        </w:tc>
        <w:tc>
          <w:tcPr>
            <w:tcW w:w="750" w:type="pct"/>
            <w:tcBorders>
              <w:top w:val="single" w:color="auto" w:sz="4" w:space="0"/>
              <w:left w:val="single" w:color="auto" w:sz="4" w:space="0"/>
              <w:bottom w:val="single" w:color="auto" w:sz="4" w:space="0"/>
              <w:right w:val="single" w:color="auto" w:sz="4" w:space="0"/>
            </w:tcBorders>
            <w:vAlign w:val="center"/>
          </w:tcPr>
          <w:p w14:paraId="65816E73">
            <w:pPr>
              <w:widowControl/>
              <w:snapToGrid w:val="0"/>
              <w:jc w:val="right"/>
              <w:rPr>
                <w:rFonts w:ascii="宋体" w:hAnsi="宋体"/>
                <w:color w:val="000000"/>
                <w:kern w:val="0"/>
                <w:sz w:val="25"/>
                <w:szCs w:val="24"/>
              </w:rPr>
            </w:pPr>
            <w:r>
              <w:rPr>
                <w:rFonts w:ascii="Times New Roman" w:hAnsi="Times New Roman"/>
                <w:color w:val="000000"/>
                <w:kern w:val="0"/>
                <w:sz w:val="25"/>
                <w:szCs w:val="24"/>
              </w:rPr>
              <w:t>2,004,864.56</w:t>
            </w:r>
          </w:p>
        </w:tc>
        <w:tc>
          <w:tcPr>
            <w:tcW w:w="750" w:type="pct"/>
            <w:tcBorders>
              <w:top w:val="single" w:color="auto" w:sz="4" w:space="0"/>
              <w:left w:val="single" w:color="auto" w:sz="4" w:space="0"/>
              <w:bottom w:val="single" w:color="auto" w:sz="4" w:space="0"/>
              <w:right w:val="single" w:color="auto" w:sz="4" w:space="0"/>
            </w:tcBorders>
            <w:vAlign w:val="center"/>
          </w:tcPr>
          <w:p w14:paraId="6DC9B8E5">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14:paraId="794AEBF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F7A65D6">
            <w:pPr>
              <w:widowControl/>
              <w:snapToGrid w:val="0"/>
              <w:jc w:val="center"/>
              <w:rPr>
                <w:rFonts w:ascii="宋体" w:hAnsi="宋体"/>
                <w:color w:val="000000"/>
                <w:kern w:val="0"/>
                <w:sz w:val="25"/>
                <w:szCs w:val="24"/>
              </w:rPr>
            </w:pPr>
            <w:r>
              <w:rPr>
                <w:rFonts w:ascii="Times New Roman" w:hAnsi="Times New Roman"/>
                <w:color w:val="000000"/>
                <w:kern w:val="0"/>
                <w:sz w:val="25"/>
                <w:szCs w:val="24"/>
              </w:rPr>
              <w:t>80</w:t>
            </w:r>
          </w:p>
        </w:tc>
        <w:tc>
          <w:tcPr>
            <w:tcW w:w="750" w:type="pct"/>
            <w:tcBorders>
              <w:top w:val="single" w:color="auto" w:sz="4" w:space="0"/>
              <w:left w:val="single" w:color="auto" w:sz="4" w:space="0"/>
              <w:bottom w:val="single" w:color="auto" w:sz="4" w:space="0"/>
              <w:right w:val="single" w:color="auto" w:sz="4" w:space="0"/>
            </w:tcBorders>
            <w:vAlign w:val="center"/>
          </w:tcPr>
          <w:p w14:paraId="439611B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113069</w:t>
            </w:r>
          </w:p>
        </w:tc>
        <w:tc>
          <w:tcPr>
            <w:tcW w:w="750" w:type="pct"/>
            <w:tcBorders>
              <w:top w:val="single" w:color="auto" w:sz="4" w:space="0"/>
              <w:left w:val="single" w:color="auto" w:sz="4" w:space="0"/>
              <w:bottom w:val="single" w:color="auto" w:sz="4" w:space="0"/>
              <w:right w:val="single" w:color="auto" w:sz="4" w:space="0"/>
            </w:tcBorders>
            <w:vAlign w:val="center"/>
          </w:tcPr>
          <w:p w14:paraId="4437162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博23转债</w:t>
            </w:r>
          </w:p>
        </w:tc>
        <w:tc>
          <w:tcPr>
            <w:tcW w:w="750" w:type="pct"/>
            <w:tcBorders>
              <w:top w:val="single" w:color="auto" w:sz="4" w:space="0"/>
              <w:left w:val="single" w:color="auto" w:sz="4" w:space="0"/>
              <w:bottom w:val="single" w:color="auto" w:sz="4" w:space="0"/>
              <w:right w:val="single" w:color="auto" w:sz="4" w:space="0"/>
            </w:tcBorders>
            <w:vAlign w:val="center"/>
          </w:tcPr>
          <w:p w14:paraId="306BDF26">
            <w:pPr>
              <w:widowControl/>
              <w:snapToGrid w:val="0"/>
              <w:jc w:val="right"/>
              <w:rPr>
                <w:rFonts w:ascii="宋体" w:hAnsi="宋体"/>
                <w:color w:val="000000"/>
                <w:kern w:val="0"/>
                <w:sz w:val="25"/>
                <w:szCs w:val="24"/>
              </w:rPr>
            </w:pPr>
            <w:r>
              <w:rPr>
                <w:rFonts w:ascii="Times New Roman" w:hAnsi="Times New Roman"/>
                <w:color w:val="000000"/>
                <w:kern w:val="0"/>
                <w:sz w:val="25"/>
                <w:szCs w:val="24"/>
              </w:rPr>
              <w:t>1,939,512.16</w:t>
            </w:r>
          </w:p>
        </w:tc>
        <w:tc>
          <w:tcPr>
            <w:tcW w:w="750" w:type="pct"/>
            <w:tcBorders>
              <w:top w:val="single" w:color="auto" w:sz="4" w:space="0"/>
              <w:left w:val="single" w:color="auto" w:sz="4" w:space="0"/>
              <w:bottom w:val="single" w:color="auto" w:sz="4" w:space="0"/>
              <w:right w:val="single" w:color="auto" w:sz="4" w:space="0"/>
            </w:tcBorders>
            <w:vAlign w:val="center"/>
          </w:tcPr>
          <w:p w14:paraId="0A20817F">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0FEF2B4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CAB609C">
            <w:pPr>
              <w:widowControl/>
              <w:snapToGrid w:val="0"/>
              <w:jc w:val="center"/>
              <w:rPr>
                <w:rFonts w:ascii="宋体" w:hAnsi="宋体"/>
                <w:color w:val="000000"/>
                <w:kern w:val="0"/>
                <w:sz w:val="25"/>
                <w:szCs w:val="24"/>
              </w:rPr>
            </w:pPr>
            <w:r>
              <w:rPr>
                <w:rFonts w:ascii="Times New Roman" w:hAnsi="Times New Roman"/>
                <w:color w:val="000000"/>
                <w:kern w:val="0"/>
                <w:sz w:val="25"/>
                <w:szCs w:val="24"/>
              </w:rPr>
              <w:t>81</w:t>
            </w:r>
          </w:p>
        </w:tc>
        <w:tc>
          <w:tcPr>
            <w:tcW w:w="750" w:type="pct"/>
            <w:tcBorders>
              <w:top w:val="single" w:color="auto" w:sz="4" w:space="0"/>
              <w:left w:val="single" w:color="auto" w:sz="4" w:space="0"/>
              <w:bottom w:val="single" w:color="auto" w:sz="4" w:space="0"/>
              <w:right w:val="single" w:color="auto" w:sz="4" w:space="0"/>
            </w:tcBorders>
            <w:vAlign w:val="center"/>
          </w:tcPr>
          <w:p w14:paraId="2AB93CC5">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111016</w:t>
            </w:r>
          </w:p>
        </w:tc>
        <w:tc>
          <w:tcPr>
            <w:tcW w:w="750" w:type="pct"/>
            <w:tcBorders>
              <w:top w:val="single" w:color="auto" w:sz="4" w:space="0"/>
              <w:left w:val="single" w:color="auto" w:sz="4" w:space="0"/>
              <w:bottom w:val="single" w:color="auto" w:sz="4" w:space="0"/>
              <w:right w:val="single" w:color="auto" w:sz="4" w:space="0"/>
            </w:tcBorders>
            <w:vAlign w:val="center"/>
          </w:tcPr>
          <w:p w14:paraId="40C5AA88">
            <w:pPr>
              <w:widowControl/>
              <w:snapToGrid w:val="0"/>
              <w:jc w:val="center"/>
              <w:rPr>
                <w:rFonts w:ascii="宋体" w:hAnsi="宋体"/>
                <w:color w:val="000000"/>
                <w:kern w:val="0"/>
                <w:sz w:val="25"/>
                <w:szCs w:val="24"/>
              </w:rPr>
            </w:pPr>
            <w:r>
              <w:rPr>
                <w:rFonts w:ascii="Times New Roman" w:hAnsi="Times New Roman"/>
                <w:color w:val="000000"/>
                <w:kern w:val="0"/>
                <w:sz w:val="25"/>
                <w:szCs w:val="24"/>
              </w:rPr>
              <w:t>神通转债</w:t>
            </w:r>
          </w:p>
        </w:tc>
        <w:tc>
          <w:tcPr>
            <w:tcW w:w="750" w:type="pct"/>
            <w:tcBorders>
              <w:top w:val="single" w:color="auto" w:sz="4" w:space="0"/>
              <w:left w:val="single" w:color="auto" w:sz="4" w:space="0"/>
              <w:bottom w:val="single" w:color="auto" w:sz="4" w:space="0"/>
              <w:right w:val="single" w:color="auto" w:sz="4" w:space="0"/>
            </w:tcBorders>
            <w:vAlign w:val="center"/>
          </w:tcPr>
          <w:p w14:paraId="6C745760">
            <w:pPr>
              <w:widowControl/>
              <w:snapToGrid w:val="0"/>
              <w:jc w:val="right"/>
              <w:rPr>
                <w:rFonts w:ascii="宋体" w:hAnsi="宋体"/>
                <w:color w:val="000000"/>
                <w:kern w:val="0"/>
                <w:sz w:val="25"/>
                <w:szCs w:val="24"/>
              </w:rPr>
            </w:pPr>
            <w:r>
              <w:rPr>
                <w:rFonts w:ascii="Times New Roman" w:hAnsi="Times New Roman"/>
                <w:color w:val="000000"/>
                <w:kern w:val="0"/>
                <w:sz w:val="25"/>
                <w:szCs w:val="24"/>
              </w:rPr>
              <w:t>1,924,430.44</w:t>
            </w:r>
          </w:p>
        </w:tc>
        <w:tc>
          <w:tcPr>
            <w:tcW w:w="750" w:type="pct"/>
            <w:tcBorders>
              <w:top w:val="single" w:color="auto" w:sz="4" w:space="0"/>
              <w:left w:val="single" w:color="auto" w:sz="4" w:space="0"/>
              <w:bottom w:val="single" w:color="auto" w:sz="4" w:space="0"/>
              <w:right w:val="single" w:color="auto" w:sz="4" w:space="0"/>
            </w:tcBorders>
            <w:vAlign w:val="center"/>
          </w:tcPr>
          <w:p w14:paraId="596DD907">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6B8D985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DA024A3">
            <w:pPr>
              <w:widowControl/>
              <w:snapToGrid w:val="0"/>
              <w:jc w:val="center"/>
              <w:rPr>
                <w:rFonts w:ascii="宋体" w:hAnsi="宋体"/>
                <w:color w:val="000000"/>
                <w:kern w:val="0"/>
                <w:sz w:val="25"/>
                <w:szCs w:val="24"/>
              </w:rPr>
            </w:pPr>
            <w:r>
              <w:rPr>
                <w:rFonts w:ascii="Times New Roman" w:hAnsi="Times New Roman"/>
                <w:color w:val="000000"/>
                <w:kern w:val="0"/>
                <w:sz w:val="25"/>
                <w:szCs w:val="24"/>
              </w:rPr>
              <w:t>82</w:t>
            </w:r>
          </w:p>
        </w:tc>
        <w:tc>
          <w:tcPr>
            <w:tcW w:w="750" w:type="pct"/>
            <w:tcBorders>
              <w:top w:val="single" w:color="auto" w:sz="4" w:space="0"/>
              <w:left w:val="single" w:color="auto" w:sz="4" w:space="0"/>
              <w:bottom w:val="single" w:color="auto" w:sz="4" w:space="0"/>
              <w:right w:val="single" w:color="auto" w:sz="4" w:space="0"/>
            </w:tcBorders>
            <w:vAlign w:val="center"/>
          </w:tcPr>
          <w:p w14:paraId="51397F7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118049</w:t>
            </w:r>
          </w:p>
        </w:tc>
        <w:tc>
          <w:tcPr>
            <w:tcW w:w="750" w:type="pct"/>
            <w:tcBorders>
              <w:top w:val="single" w:color="auto" w:sz="4" w:space="0"/>
              <w:left w:val="single" w:color="auto" w:sz="4" w:space="0"/>
              <w:bottom w:val="single" w:color="auto" w:sz="4" w:space="0"/>
              <w:right w:val="single" w:color="auto" w:sz="4" w:space="0"/>
            </w:tcBorders>
            <w:vAlign w:val="center"/>
          </w:tcPr>
          <w:p w14:paraId="3FEE678E">
            <w:pPr>
              <w:widowControl/>
              <w:snapToGrid w:val="0"/>
              <w:jc w:val="center"/>
              <w:rPr>
                <w:rFonts w:ascii="宋体" w:hAnsi="宋体"/>
                <w:color w:val="000000"/>
                <w:kern w:val="0"/>
                <w:sz w:val="25"/>
                <w:szCs w:val="24"/>
              </w:rPr>
            </w:pPr>
            <w:r>
              <w:rPr>
                <w:rFonts w:ascii="Times New Roman" w:hAnsi="Times New Roman"/>
                <w:color w:val="000000"/>
                <w:kern w:val="0"/>
                <w:sz w:val="25"/>
                <w:szCs w:val="24"/>
              </w:rPr>
              <w:t>汇成转债</w:t>
            </w:r>
          </w:p>
        </w:tc>
        <w:tc>
          <w:tcPr>
            <w:tcW w:w="750" w:type="pct"/>
            <w:tcBorders>
              <w:top w:val="single" w:color="auto" w:sz="4" w:space="0"/>
              <w:left w:val="single" w:color="auto" w:sz="4" w:space="0"/>
              <w:bottom w:val="single" w:color="auto" w:sz="4" w:space="0"/>
              <w:right w:val="single" w:color="auto" w:sz="4" w:space="0"/>
            </w:tcBorders>
            <w:vAlign w:val="center"/>
          </w:tcPr>
          <w:p w14:paraId="0D1717BC">
            <w:pPr>
              <w:widowControl/>
              <w:snapToGrid w:val="0"/>
              <w:jc w:val="right"/>
              <w:rPr>
                <w:rFonts w:ascii="宋体" w:hAnsi="宋体"/>
                <w:color w:val="000000"/>
                <w:kern w:val="0"/>
                <w:sz w:val="25"/>
                <w:szCs w:val="24"/>
              </w:rPr>
            </w:pPr>
            <w:r>
              <w:rPr>
                <w:rFonts w:ascii="Times New Roman" w:hAnsi="Times New Roman"/>
                <w:color w:val="000000"/>
                <w:kern w:val="0"/>
                <w:sz w:val="25"/>
                <w:szCs w:val="24"/>
              </w:rPr>
              <w:t>1,917,361.64</w:t>
            </w:r>
          </w:p>
        </w:tc>
        <w:tc>
          <w:tcPr>
            <w:tcW w:w="750" w:type="pct"/>
            <w:tcBorders>
              <w:top w:val="single" w:color="auto" w:sz="4" w:space="0"/>
              <w:left w:val="single" w:color="auto" w:sz="4" w:space="0"/>
              <w:bottom w:val="single" w:color="auto" w:sz="4" w:space="0"/>
              <w:right w:val="single" w:color="auto" w:sz="4" w:space="0"/>
            </w:tcBorders>
            <w:vAlign w:val="center"/>
          </w:tcPr>
          <w:p w14:paraId="682B4E5F">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339E3B5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B6E1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83</w:t>
            </w:r>
          </w:p>
        </w:tc>
        <w:tc>
          <w:tcPr>
            <w:tcW w:w="750" w:type="pct"/>
            <w:tcBorders>
              <w:top w:val="single" w:color="auto" w:sz="4" w:space="0"/>
              <w:left w:val="single" w:color="auto" w:sz="4" w:space="0"/>
              <w:bottom w:val="single" w:color="auto" w:sz="4" w:space="0"/>
              <w:right w:val="single" w:color="auto" w:sz="4" w:space="0"/>
            </w:tcBorders>
            <w:vAlign w:val="center"/>
          </w:tcPr>
          <w:p w14:paraId="6B2C62DF">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118025</w:t>
            </w:r>
          </w:p>
        </w:tc>
        <w:tc>
          <w:tcPr>
            <w:tcW w:w="750" w:type="pct"/>
            <w:tcBorders>
              <w:top w:val="single" w:color="auto" w:sz="4" w:space="0"/>
              <w:left w:val="single" w:color="auto" w:sz="4" w:space="0"/>
              <w:bottom w:val="single" w:color="auto" w:sz="4" w:space="0"/>
              <w:right w:val="single" w:color="auto" w:sz="4" w:space="0"/>
            </w:tcBorders>
            <w:vAlign w:val="center"/>
          </w:tcPr>
          <w:p w14:paraId="3C084A70">
            <w:pPr>
              <w:widowControl/>
              <w:snapToGrid w:val="0"/>
              <w:jc w:val="center"/>
              <w:rPr>
                <w:rFonts w:ascii="宋体" w:hAnsi="宋体"/>
                <w:color w:val="000000"/>
                <w:kern w:val="0"/>
                <w:sz w:val="25"/>
                <w:szCs w:val="24"/>
              </w:rPr>
            </w:pPr>
            <w:r>
              <w:rPr>
                <w:rFonts w:ascii="Times New Roman" w:hAnsi="Times New Roman"/>
                <w:color w:val="000000"/>
                <w:kern w:val="0"/>
                <w:sz w:val="25"/>
                <w:szCs w:val="24"/>
              </w:rPr>
              <w:t>奕瑞转债</w:t>
            </w:r>
          </w:p>
        </w:tc>
        <w:tc>
          <w:tcPr>
            <w:tcW w:w="750" w:type="pct"/>
            <w:tcBorders>
              <w:top w:val="single" w:color="auto" w:sz="4" w:space="0"/>
              <w:left w:val="single" w:color="auto" w:sz="4" w:space="0"/>
              <w:bottom w:val="single" w:color="auto" w:sz="4" w:space="0"/>
              <w:right w:val="single" w:color="auto" w:sz="4" w:space="0"/>
            </w:tcBorders>
            <w:vAlign w:val="center"/>
          </w:tcPr>
          <w:p w14:paraId="5536670C">
            <w:pPr>
              <w:widowControl/>
              <w:snapToGrid w:val="0"/>
              <w:jc w:val="right"/>
              <w:rPr>
                <w:rFonts w:ascii="宋体" w:hAnsi="宋体"/>
                <w:color w:val="000000"/>
                <w:kern w:val="0"/>
                <w:sz w:val="25"/>
                <w:szCs w:val="24"/>
              </w:rPr>
            </w:pPr>
            <w:r>
              <w:rPr>
                <w:rFonts w:ascii="Times New Roman" w:hAnsi="Times New Roman"/>
                <w:color w:val="000000"/>
                <w:kern w:val="0"/>
                <w:sz w:val="25"/>
                <w:szCs w:val="24"/>
              </w:rPr>
              <w:t>1,848,643.53</w:t>
            </w:r>
          </w:p>
        </w:tc>
        <w:tc>
          <w:tcPr>
            <w:tcW w:w="750" w:type="pct"/>
            <w:tcBorders>
              <w:top w:val="single" w:color="auto" w:sz="4" w:space="0"/>
              <w:left w:val="single" w:color="auto" w:sz="4" w:space="0"/>
              <w:bottom w:val="single" w:color="auto" w:sz="4" w:space="0"/>
              <w:right w:val="single" w:color="auto" w:sz="4" w:space="0"/>
            </w:tcBorders>
            <w:vAlign w:val="center"/>
          </w:tcPr>
          <w:p w14:paraId="50507B56">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4C2392D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E0FC73F">
            <w:pPr>
              <w:widowControl/>
              <w:snapToGrid w:val="0"/>
              <w:jc w:val="center"/>
              <w:rPr>
                <w:rFonts w:ascii="宋体" w:hAnsi="宋体"/>
                <w:color w:val="000000"/>
                <w:kern w:val="0"/>
                <w:sz w:val="25"/>
                <w:szCs w:val="24"/>
              </w:rPr>
            </w:pPr>
            <w:r>
              <w:rPr>
                <w:rFonts w:ascii="Times New Roman" w:hAnsi="Times New Roman"/>
                <w:color w:val="000000"/>
                <w:kern w:val="0"/>
                <w:sz w:val="25"/>
                <w:szCs w:val="24"/>
              </w:rPr>
              <w:t>84</w:t>
            </w:r>
          </w:p>
        </w:tc>
        <w:tc>
          <w:tcPr>
            <w:tcW w:w="750" w:type="pct"/>
            <w:tcBorders>
              <w:top w:val="single" w:color="auto" w:sz="4" w:space="0"/>
              <w:left w:val="single" w:color="auto" w:sz="4" w:space="0"/>
              <w:bottom w:val="single" w:color="auto" w:sz="4" w:space="0"/>
              <w:right w:val="single" w:color="auto" w:sz="4" w:space="0"/>
            </w:tcBorders>
            <w:vAlign w:val="center"/>
          </w:tcPr>
          <w:p w14:paraId="4631FEA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111005</w:t>
            </w:r>
          </w:p>
        </w:tc>
        <w:tc>
          <w:tcPr>
            <w:tcW w:w="750" w:type="pct"/>
            <w:tcBorders>
              <w:top w:val="single" w:color="auto" w:sz="4" w:space="0"/>
              <w:left w:val="single" w:color="auto" w:sz="4" w:space="0"/>
              <w:bottom w:val="single" w:color="auto" w:sz="4" w:space="0"/>
              <w:right w:val="single" w:color="auto" w:sz="4" w:space="0"/>
            </w:tcBorders>
            <w:vAlign w:val="center"/>
          </w:tcPr>
          <w:p w14:paraId="2E1804FA">
            <w:pPr>
              <w:widowControl/>
              <w:snapToGrid w:val="0"/>
              <w:jc w:val="center"/>
              <w:rPr>
                <w:rFonts w:ascii="宋体" w:hAnsi="宋体"/>
                <w:color w:val="000000"/>
                <w:kern w:val="0"/>
                <w:sz w:val="25"/>
                <w:szCs w:val="24"/>
              </w:rPr>
            </w:pPr>
            <w:r>
              <w:rPr>
                <w:rFonts w:ascii="Times New Roman" w:hAnsi="Times New Roman"/>
                <w:color w:val="000000"/>
                <w:kern w:val="0"/>
                <w:sz w:val="25"/>
                <w:szCs w:val="24"/>
              </w:rPr>
              <w:t>富春转债</w:t>
            </w:r>
          </w:p>
        </w:tc>
        <w:tc>
          <w:tcPr>
            <w:tcW w:w="750" w:type="pct"/>
            <w:tcBorders>
              <w:top w:val="single" w:color="auto" w:sz="4" w:space="0"/>
              <w:left w:val="single" w:color="auto" w:sz="4" w:space="0"/>
              <w:bottom w:val="single" w:color="auto" w:sz="4" w:space="0"/>
              <w:right w:val="single" w:color="auto" w:sz="4" w:space="0"/>
            </w:tcBorders>
            <w:vAlign w:val="center"/>
          </w:tcPr>
          <w:p w14:paraId="6777F0A2">
            <w:pPr>
              <w:widowControl/>
              <w:snapToGrid w:val="0"/>
              <w:jc w:val="right"/>
              <w:rPr>
                <w:rFonts w:ascii="宋体" w:hAnsi="宋体"/>
                <w:color w:val="000000"/>
                <w:kern w:val="0"/>
                <w:sz w:val="25"/>
                <w:szCs w:val="24"/>
              </w:rPr>
            </w:pPr>
            <w:r>
              <w:rPr>
                <w:rFonts w:ascii="Times New Roman" w:hAnsi="Times New Roman"/>
                <w:color w:val="000000"/>
                <w:kern w:val="0"/>
                <w:sz w:val="25"/>
                <w:szCs w:val="24"/>
              </w:rPr>
              <w:t>1,848,576.57</w:t>
            </w:r>
          </w:p>
        </w:tc>
        <w:tc>
          <w:tcPr>
            <w:tcW w:w="750" w:type="pct"/>
            <w:tcBorders>
              <w:top w:val="single" w:color="auto" w:sz="4" w:space="0"/>
              <w:left w:val="single" w:color="auto" w:sz="4" w:space="0"/>
              <w:bottom w:val="single" w:color="auto" w:sz="4" w:space="0"/>
              <w:right w:val="single" w:color="auto" w:sz="4" w:space="0"/>
            </w:tcBorders>
            <w:vAlign w:val="center"/>
          </w:tcPr>
          <w:p w14:paraId="1624A316">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3E8F930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C225BB5">
            <w:pPr>
              <w:widowControl/>
              <w:snapToGrid w:val="0"/>
              <w:jc w:val="center"/>
              <w:rPr>
                <w:rFonts w:ascii="宋体" w:hAnsi="宋体"/>
                <w:color w:val="000000"/>
                <w:kern w:val="0"/>
                <w:sz w:val="25"/>
                <w:szCs w:val="24"/>
              </w:rPr>
            </w:pPr>
            <w:r>
              <w:rPr>
                <w:rFonts w:ascii="Times New Roman" w:hAnsi="Times New Roman"/>
                <w:color w:val="000000"/>
                <w:kern w:val="0"/>
                <w:sz w:val="25"/>
                <w:szCs w:val="24"/>
              </w:rPr>
              <w:t>85</w:t>
            </w:r>
          </w:p>
        </w:tc>
        <w:tc>
          <w:tcPr>
            <w:tcW w:w="750" w:type="pct"/>
            <w:tcBorders>
              <w:top w:val="single" w:color="auto" w:sz="4" w:space="0"/>
              <w:left w:val="single" w:color="auto" w:sz="4" w:space="0"/>
              <w:bottom w:val="single" w:color="auto" w:sz="4" w:space="0"/>
              <w:right w:val="single" w:color="auto" w:sz="4" w:space="0"/>
            </w:tcBorders>
            <w:vAlign w:val="center"/>
          </w:tcPr>
          <w:p w14:paraId="324DB701">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128134</w:t>
            </w:r>
          </w:p>
        </w:tc>
        <w:tc>
          <w:tcPr>
            <w:tcW w:w="750" w:type="pct"/>
            <w:tcBorders>
              <w:top w:val="single" w:color="auto" w:sz="4" w:space="0"/>
              <w:left w:val="single" w:color="auto" w:sz="4" w:space="0"/>
              <w:bottom w:val="single" w:color="auto" w:sz="4" w:space="0"/>
              <w:right w:val="single" w:color="auto" w:sz="4" w:space="0"/>
            </w:tcBorders>
            <w:vAlign w:val="center"/>
          </w:tcPr>
          <w:p w14:paraId="44084EAB">
            <w:pPr>
              <w:widowControl/>
              <w:snapToGrid w:val="0"/>
              <w:jc w:val="center"/>
              <w:rPr>
                <w:rFonts w:ascii="宋体" w:hAnsi="宋体"/>
                <w:color w:val="000000"/>
                <w:kern w:val="0"/>
                <w:sz w:val="25"/>
                <w:szCs w:val="24"/>
              </w:rPr>
            </w:pPr>
            <w:r>
              <w:rPr>
                <w:rFonts w:ascii="Times New Roman" w:hAnsi="Times New Roman"/>
                <w:color w:val="000000"/>
                <w:kern w:val="0"/>
                <w:sz w:val="25"/>
                <w:szCs w:val="24"/>
              </w:rPr>
              <w:t>鸿路转债</w:t>
            </w:r>
          </w:p>
        </w:tc>
        <w:tc>
          <w:tcPr>
            <w:tcW w:w="750" w:type="pct"/>
            <w:tcBorders>
              <w:top w:val="single" w:color="auto" w:sz="4" w:space="0"/>
              <w:left w:val="single" w:color="auto" w:sz="4" w:space="0"/>
              <w:bottom w:val="single" w:color="auto" w:sz="4" w:space="0"/>
              <w:right w:val="single" w:color="auto" w:sz="4" w:space="0"/>
            </w:tcBorders>
            <w:vAlign w:val="center"/>
          </w:tcPr>
          <w:p w14:paraId="652ABF1C">
            <w:pPr>
              <w:widowControl/>
              <w:snapToGrid w:val="0"/>
              <w:jc w:val="right"/>
              <w:rPr>
                <w:rFonts w:ascii="宋体" w:hAnsi="宋体"/>
                <w:color w:val="000000"/>
                <w:kern w:val="0"/>
                <w:sz w:val="25"/>
                <w:szCs w:val="24"/>
              </w:rPr>
            </w:pPr>
            <w:r>
              <w:rPr>
                <w:rFonts w:ascii="Times New Roman" w:hAnsi="Times New Roman"/>
                <w:color w:val="000000"/>
                <w:kern w:val="0"/>
                <w:sz w:val="25"/>
                <w:szCs w:val="24"/>
              </w:rPr>
              <w:t>1,785,936.95</w:t>
            </w:r>
          </w:p>
        </w:tc>
        <w:tc>
          <w:tcPr>
            <w:tcW w:w="750" w:type="pct"/>
            <w:tcBorders>
              <w:top w:val="single" w:color="auto" w:sz="4" w:space="0"/>
              <w:left w:val="single" w:color="auto" w:sz="4" w:space="0"/>
              <w:bottom w:val="single" w:color="auto" w:sz="4" w:space="0"/>
              <w:right w:val="single" w:color="auto" w:sz="4" w:space="0"/>
            </w:tcBorders>
            <w:vAlign w:val="center"/>
          </w:tcPr>
          <w:p w14:paraId="28FAA13A">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6E3D75E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4EA799D">
            <w:pPr>
              <w:widowControl/>
              <w:snapToGrid w:val="0"/>
              <w:jc w:val="center"/>
              <w:rPr>
                <w:rFonts w:ascii="宋体" w:hAnsi="宋体"/>
                <w:color w:val="000000"/>
                <w:kern w:val="0"/>
                <w:sz w:val="25"/>
                <w:szCs w:val="24"/>
              </w:rPr>
            </w:pPr>
            <w:r>
              <w:rPr>
                <w:rFonts w:ascii="Times New Roman" w:hAnsi="Times New Roman"/>
                <w:color w:val="000000"/>
                <w:kern w:val="0"/>
                <w:sz w:val="25"/>
                <w:szCs w:val="24"/>
              </w:rPr>
              <w:t>86</w:t>
            </w:r>
          </w:p>
        </w:tc>
        <w:tc>
          <w:tcPr>
            <w:tcW w:w="750" w:type="pct"/>
            <w:tcBorders>
              <w:top w:val="single" w:color="auto" w:sz="4" w:space="0"/>
              <w:left w:val="single" w:color="auto" w:sz="4" w:space="0"/>
              <w:bottom w:val="single" w:color="auto" w:sz="4" w:space="0"/>
              <w:right w:val="single" w:color="auto" w:sz="4" w:space="0"/>
            </w:tcBorders>
            <w:vAlign w:val="center"/>
          </w:tcPr>
          <w:p w14:paraId="7301E4E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118010</w:t>
            </w:r>
          </w:p>
        </w:tc>
        <w:tc>
          <w:tcPr>
            <w:tcW w:w="750" w:type="pct"/>
            <w:tcBorders>
              <w:top w:val="single" w:color="auto" w:sz="4" w:space="0"/>
              <w:left w:val="single" w:color="auto" w:sz="4" w:space="0"/>
              <w:bottom w:val="single" w:color="auto" w:sz="4" w:space="0"/>
              <w:right w:val="single" w:color="auto" w:sz="4" w:space="0"/>
            </w:tcBorders>
            <w:vAlign w:val="center"/>
          </w:tcPr>
          <w:p w14:paraId="192F7A05">
            <w:pPr>
              <w:widowControl/>
              <w:snapToGrid w:val="0"/>
              <w:jc w:val="center"/>
              <w:rPr>
                <w:rFonts w:ascii="宋体" w:hAnsi="宋体"/>
                <w:color w:val="000000"/>
                <w:kern w:val="0"/>
                <w:sz w:val="25"/>
                <w:szCs w:val="24"/>
              </w:rPr>
            </w:pPr>
            <w:r>
              <w:rPr>
                <w:rFonts w:ascii="Times New Roman" w:hAnsi="Times New Roman"/>
                <w:color w:val="000000"/>
                <w:kern w:val="0"/>
                <w:sz w:val="25"/>
                <w:szCs w:val="24"/>
              </w:rPr>
              <w:t>洁特转债</w:t>
            </w:r>
          </w:p>
        </w:tc>
        <w:tc>
          <w:tcPr>
            <w:tcW w:w="750" w:type="pct"/>
            <w:tcBorders>
              <w:top w:val="single" w:color="auto" w:sz="4" w:space="0"/>
              <w:left w:val="single" w:color="auto" w:sz="4" w:space="0"/>
              <w:bottom w:val="single" w:color="auto" w:sz="4" w:space="0"/>
              <w:right w:val="single" w:color="auto" w:sz="4" w:space="0"/>
            </w:tcBorders>
            <w:vAlign w:val="center"/>
          </w:tcPr>
          <w:p w14:paraId="13A461F3">
            <w:pPr>
              <w:widowControl/>
              <w:snapToGrid w:val="0"/>
              <w:jc w:val="right"/>
              <w:rPr>
                <w:rFonts w:ascii="宋体" w:hAnsi="宋体"/>
                <w:color w:val="000000"/>
                <w:kern w:val="0"/>
                <w:sz w:val="25"/>
                <w:szCs w:val="24"/>
              </w:rPr>
            </w:pPr>
            <w:r>
              <w:rPr>
                <w:rFonts w:ascii="Times New Roman" w:hAnsi="Times New Roman"/>
                <w:color w:val="000000"/>
                <w:kern w:val="0"/>
                <w:sz w:val="25"/>
                <w:szCs w:val="24"/>
              </w:rPr>
              <w:t>1,760,506.86</w:t>
            </w:r>
          </w:p>
        </w:tc>
        <w:tc>
          <w:tcPr>
            <w:tcW w:w="750" w:type="pct"/>
            <w:tcBorders>
              <w:top w:val="single" w:color="auto" w:sz="4" w:space="0"/>
              <w:left w:val="single" w:color="auto" w:sz="4" w:space="0"/>
              <w:bottom w:val="single" w:color="auto" w:sz="4" w:space="0"/>
              <w:right w:val="single" w:color="auto" w:sz="4" w:space="0"/>
            </w:tcBorders>
            <w:vAlign w:val="center"/>
          </w:tcPr>
          <w:p w14:paraId="331FE53C">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2953A2F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F1953D1">
            <w:pPr>
              <w:widowControl/>
              <w:snapToGrid w:val="0"/>
              <w:jc w:val="center"/>
              <w:rPr>
                <w:rFonts w:ascii="宋体" w:hAnsi="宋体"/>
                <w:color w:val="000000"/>
                <w:kern w:val="0"/>
                <w:sz w:val="25"/>
                <w:szCs w:val="24"/>
              </w:rPr>
            </w:pPr>
            <w:r>
              <w:rPr>
                <w:rFonts w:ascii="Times New Roman" w:hAnsi="Times New Roman"/>
                <w:color w:val="000000"/>
                <w:kern w:val="0"/>
                <w:sz w:val="25"/>
                <w:szCs w:val="24"/>
              </w:rPr>
              <w:t>87</w:t>
            </w:r>
          </w:p>
        </w:tc>
        <w:tc>
          <w:tcPr>
            <w:tcW w:w="750" w:type="pct"/>
            <w:tcBorders>
              <w:top w:val="single" w:color="auto" w:sz="4" w:space="0"/>
              <w:left w:val="single" w:color="auto" w:sz="4" w:space="0"/>
              <w:bottom w:val="single" w:color="auto" w:sz="4" w:space="0"/>
              <w:right w:val="single" w:color="auto" w:sz="4" w:space="0"/>
            </w:tcBorders>
            <w:vAlign w:val="center"/>
          </w:tcPr>
          <w:p w14:paraId="3A1F1E41">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113605</w:t>
            </w:r>
          </w:p>
        </w:tc>
        <w:tc>
          <w:tcPr>
            <w:tcW w:w="750" w:type="pct"/>
            <w:tcBorders>
              <w:top w:val="single" w:color="auto" w:sz="4" w:space="0"/>
              <w:left w:val="single" w:color="auto" w:sz="4" w:space="0"/>
              <w:bottom w:val="single" w:color="auto" w:sz="4" w:space="0"/>
              <w:right w:val="single" w:color="auto" w:sz="4" w:space="0"/>
            </w:tcBorders>
            <w:vAlign w:val="center"/>
          </w:tcPr>
          <w:p w14:paraId="0441751A">
            <w:pPr>
              <w:widowControl/>
              <w:snapToGrid w:val="0"/>
              <w:jc w:val="center"/>
              <w:rPr>
                <w:rFonts w:ascii="宋体" w:hAnsi="宋体"/>
                <w:color w:val="000000"/>
                <w:kern w:val="0"/>
                <w:sz w:val="25"/>
                <w:szCs w:val="24"/>
              </w:rPr>
            </w:pPr>
            <w:r>
              <w:rPr>
                <w:rFonts w:ascii="Times New Roman" w:hAnsi="Times New Roman"/>
                <w:color w:val="000000"/>
                <w:kern w:val="0"/>
                <w:sz w:val="25"/>
                <w:szCs w:val="24"/>
              </w:rPr>
              <w:t>大参转债</w:t>
            </w:r>
          </w:p>
        </w:tc>
        <w:tc>
          <w:tcPr>
            <w:tcW w:w="750" w:type="pct"/>
            <w:tcBorders>
              <w:top w:val="single" w:color="auto" w:sz="4" w:space="0"/>
              <w:left w:val="single" w:color="auto" w:sz="4" w:space="0"/>
              <w:bottom w:val="single" w:color="auto" w:sz="4" w:space="0"/>
              <w:right w:val="single" w:color="auto" w:sz="4" w:space="0"/>
            </w:tcBorders>
            <w:vAlign w:val="center"/>
          </w:tcPr>
          <w:p w14:paraId="0DBFFC8E">
            <w:pPr>
              <w:widowControl/>
              <w:snapToGrid w:val="0"/>
              <w:jc w:val="right"/>
              <w:rPr>
                <w:rFonts w:ascii="宋体" w:hAnsi="宋体"/>
                <w:color w:val="000000"/>
                <w:kern w:val="0"/>
                <w:sz w:val="25"/>
                <w:szCs w:val="24"/>
              </w:rPr>
            </w:pPr>
            <w:r>
              <w:rPr>
                <w:rFonts w:ascii="Times New Roman" w:hAnsi="Times New Roman"/>
                <w:color w:val="000000"/>
                <w:kern w:val="0"/>
                <w:sz w:val="25"/>
                <w:szCs w:val="24"/>
              </w:rPr>
              <w:t>1,734,363.75</w:t>
            </w:r>
          </w:p>
        </w:tc>
        <w:tc>
          <w:tcPr>
            <w:tcW w:w="750" w:type="pct"/>
            <w:tcBorders>
              <w:top w:val="single" w:color="auto" w:sz="4" w:space="0"/>
              <w:left w:val="single" w:color="auto" w:sz="4" w:space="0"/>
              <w:bottom w:val="single" w:color="auto" w:sz="4" w:space="0"/>
              <w:right w:val="single" w:color="auto" w:sz="4" w:space="0"/>
            </w:tcBorders>
            <w:vAlign w:val="center"/>
          </w:tcPr>
          <w:p w14:paraId="44340FDB">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685FE4F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7648365">
            <w:pPr>
              <w:widowControl/>
              <w:snapToGrid w:val="0"/>
              <w:jc w:val="center"/>
              <w:rPr>
                <w:rFonts w:ascii="宋体" w:hAnsi="宋体"/>
                <w:color w:val="000000"/>
                <w:kern w:val="0"/>
                <w:sz w:val="25"/>
                <w:szCs w:val="24"/>
              </w:rPr>
            </w:pPr>
            <w:r>
              <w:rPr>
                <w:rFonts w:ascii="Times New Roman" w:hAnsi="Times New Roman"/>
                <w:color w:val="000000"/>
                <w:kern w:val="0"/>
                <w:sz w:val="25"/>
                <w:szCs w:val="24"/>
              </w:rPr>
              <w:t>88</w:t>
            </w:r>
          </w:p>
        </w:tc>
        <w:tc>
          <w:tcPr>
            <w:tcW w:w="750" w:type="pct"/>
            <w:tcBorders>
              <w:top w:val="single" w:color="auto" w:sz="4" w:space="0"/>
              <w:left w:val="single" w:color="auto" w:sz="4" w:space="0"/>
              <w:bottom w:val="single" w:color="auto" w:sz="4" w:space="0"/>
              <w:right w:val="single" w:color="auto" w:sz="4" w:space="0"/>
            </w:tcBorders>
            <w:vAlign w:val="center"/>
          </w:tcPr>
          <w:p w14:paraId="274808B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113636</w:t>
            </w:r>
          </w:p>
        </w:tc>
        <w:tc>
          <w:tcPr>
            <w:tcW w:w="750" w:type="pct"/>
            <w:tcBorders>
              <w:top w:val="single" w:color="auto" w:sz="4" w:space="0"/>
              <w:left w:val="single" w:color="auto" w:sz="4" w:space="0"/>
              <w:bottom w:val="single" w:color="auto" w:sz="4" w:space="0"/>
              <w:right w:val="single" w:color="auto" w:sz="4" w:space="0"/>
            </w:tcBorders>
            <w:vAlign w:val="center"/>
          </w:tcPr>
          <w:p w14:paraId="34BE337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甬金转债</w:t>
            </w:r>
          </w:p>
        </w:tc>
        <w:tc>
          <w:tcPr>
            <w:tcW w:w="750" w:type="pct"/>
            <w:tcBorders>
              <w:top w:val="single" w:color="auto" w:sz="4" w:space="0"/>
              <w:left w:val="single" w:color="auto" w:sz="4" w:space="0"/>
              <w:bottom w:val="single" w:color="auto" w:sz="4" w:space="0"/>
              <w:right w:val="single" w:color="auto" w:sz="4" w:space="0"/>
            </w:tcBorders>
            <w:vAlign w:val="center"/>
          </w:tcPr>
          <w:p w14:paraId="74AD8A99">
            <w:pPr>
              <w:widowControl/>
              <w:snapToGrid w:val="0"/>
              <w:jc w:val="right"/>
              <w:rPr>
                <w:rFonts w:ascii="宋体" w:hAnsi="宋体"/>
                <w:color w:val="000000"/>
                <w:kern w:val="0"/>
                <w:sz w:val="25"/>
                <w:szCs w:val="24"/>
              </w:rPr>
            </w:pPr>
            <w:r>
              <w:rPr>
                <w:rFonts w:ascii="Times New Roman" w:hAnsi="Times New Roman"/>
                <w:color w:val="000000"/>
                <w:kern w:val="0"/>
                <w:sz w:val="25"/>
                <w:szCs w:val="24"/>
              </w:rPr>
              <w:t>1,701,568.00</w:t>
            </w:r>
          </w:p>
        </w:tc>
        <w:tc>
          <w:tcPr>
            <w:tcW w:w="750" w:type="pct"/>
            <w:tcBorders>
              <w:top w:val="single" w:color="auto" w:sz="4" w:space="0"/>
              <w:left w:val="single" w:color="auto" w:sz="4" w:space="0"/>
              <w:bottom w:val="single" w:color="auto" w:sz="4" w:space="0"/>
              <w:right w:val="single" w:color="auto" w:sz="4" w:space="0"/>
            </w:tcBorders>
            <w:vAlign w:val="center"/>
          </w:tcPr>
          <w:p w14:paraId="60F9A2AD">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12F52D2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5F5D1AF">
            <w:pPr>
              <w:widowControl/>
              <w:snapToGrid w:val="0"/>
              <w:jc w:val="center"/>
              <w:rPr>
                <w:rFonts w:ascii="宋体" w:hAnsi="宋体"/>
                <w:color w:val="000000"/>
                <w:kern w:val="0"/>
                <w:sz w:val="25"/>
                <w:szCs w:val="24"/>
              </w:rPr>
            </w:pPr>
            <w:r>
              <w:rPr>
                <w:rFonts w:ascii="Times New Roman" w:hAnsi="Times New Roman"/>
                <w:color w:val="000000"/>
                <w:kern w:val="0"/>
                <w:sz w:val="25"/>
                <w:szCs w:val="24"/>
              </w:rPr>
              <w:t>89</w:t>
            </w:r>
          </w:p>
        </w:tc>
        <w:tc>
          <w:tcPr>
            <w:tcW w:w="750" w:type="pct"/>
            <w:tcBorders>
              <w:top w:val="single" w:color="auto" w:sz="4" w:space="0"/>
              <w:left w:val="single" w:color="auto" w:sz="4" w:space="0"/>
              <w:bottom w:val="single" w:color="auto" w:sz="4" w:space="0"/>
              <w:right w:val="single" w:color="auto" w:sz="4" w:space="0"/>
            </w:tcBorders>
            <w:vAlign w:val="center"/>
          </w:tcPr>
          <w:p w14:paraId="012C4D15">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123251</w:t>
            </w:r>
          </w:p>
        </w:tc>
        <w:tc>
          <w:tcPr>
            <w:tcW w:w="750" w:type="pct"/>
            <w:tcBorders>
              <w:top w:val="single" w:color="auto" w:sz="4" w:space="0"/>
              <w:left w:val="single" w:color="auto" w:sz="4" w:space="0"/>
              <w:bottom w:val="single" w:color="auto" w:sz="4" w:space="0"/>
              <w:right w:val="single" w:color="auto" w:sz="4" w:space="0"/>
            </w:tcBorders>
            <w:vAlign w:val="center"/>
          </w:tcPr>
          <w:p w14:paraId="55669D7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华医转债</w:t>
            </w:r>
          </w:p>
        </w:tc>
        <w:tc>
          <w:tcPr>
            <w:tcW w:w="750" w:type="pct"/>
            <w:tcBorders>
              <w:top w:val="single" w:color="auto" w:sz="4" w:space="0"/>
              <w:left w:val="single" w:color="auto" w:sz="4" w:space="0"/>
              <w:bottom w:val="single" w:color="auto" w:sz="4" w:space="0"/>
              <w:right w:val="single" w:color="auto" w:sz="4" w:space="0"/>
            </w:tcBorders>
            <w:vAlign w:val="center"/>
          </w:tcPr>
          <w:p w14:paraId="7670E022">
            <w:pPr>
              <w:widowControl/>
              <w:snapToGrid w:val="0"/>
              <w:jc w:val="right"/>
              <w:rPr>
                <w:rFonts w:ascii="宋体" w:hAnsi="宋体"/>
                <w:color w:val="000000"/>
                <w:kern w:val="0"/>
                <w:sz w:val="25"/>
                <w:szCs w:val="24"/>
              </w:rPr>
            </w:pPr>
            <w:r>
              <w:rPr>
                <w:rFonts w:ascii="Times New Roman" w:hAnsi="Times New Roman"/>
                <w:color w:val="000000"/>
                <w:kern w:val="0"/>
                <w:sz w:val="25"/>
                <w:szCs w:val="24"/>
              </w:rPr>
              <w:t>1,636,412.63</w:t>
            </w:r>
          </w:p>
        </w:tc>
        <w:tc>
          <w:tcPr>
            <w:tcW w:w="750" w:type="pct"/>
            <w:tcBorders>
              <w:top w:val="single" w:color="auto" w:sz="4" w:space="0"/>
              <w:left w:val="single" w:color="auto" w:sz="4" w:space="0"/>
              <w:bottom w:val="single" w:color="auto" w:sz="4" w:space="0"/>
              <w:right w:val="single" w:color="auto" w:sz="4" w:space="0"/>
            </w:tcBorders>
            <w:vAlign w:val="center"/>
          </w:tcPr>
          <w:p w14:paraId="0975A111">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25C4C1E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7A9C311">
            <w:pPr>
              <w:widowControl/>
              <w:snapToGrid w:val="0"/>
              <w:jc w:val="center"/>
              <w:rPr>
                <w:rFonts w:ascii="宋体" w:hAnsi="宋体"/>
                <w:color w:val="000000"/>
                <w:kern w:val="0"/>
                <w:sz w:val="25"/>
                <w:szCs w:val="24"/>
              </w:rPr>
            </w:pPr>
            <w:r>
              <w:rPr>
                <w:rFonts w:ascii="Times New Roman" w:hAnsi="Times New Roman"/>
                <w:color w:val="000000"/>
                <w:kern w:val="0"/>
                <w:sz w:val="25"/>
                <w:szCs w:val="24"/>
              </w:rPr>
              <w:t>90</w:t>
            </w:r>
          </w:p>
        </w:tc>
        <w:tc>
          <w:tcPr>
            <w:tcW w:w="750" w:type="pct"/>
            <w:tcBorders>
              <w:top w:val="single" w:color="auto" w:sz="4" w:space="0"/>
              <w:left w:val="single" w:color="auto" w:sz="4" w:space="0"/>
              <w:bottom w:val="single" w:color="auto" w:sz="4" w:space="0"/>
              <w:right w:val="single" w:color="auto" w:sz="4" w:space="0"/>
            </w:tcBorders>
            <w:vAlign w:val="center"/>
          </w:tcPr>
          <w:p w14:paraId="56009CC7">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111000</w:t>
            </w:r>
          </w:p>
        </w:tc>
        <w:tc>
          <w:tcPr>
            <w:tcW w:w="750" w:type="pct"/>
            <w:tcBorders>
              <w:top w:val="single" w:color="auto" w:sz="4" w:space="0"/>
              <w:left w:val="single" w:color="auto" w:sz="4" w:space="0"/>
              <w:bottom w:val="single" w:color="auto" w:sz="4" w:space="0"/>
              <w:right w:val="single" w:color="auto" w:sz="4" w:space="0"/>
            </w:tcBorders>
            <w:vAlign w:val="center"/>
          </w:tcPr>
          <w:p w14:paraId="3EC37DE1">
            <w:pPr>
              <w:widowControl/>
              <w:snapToGrid w:val="0"/>
              <w:jc w:val="center"/>
              <w:rPr>
                <w:rFonts w:ascii="宋体" w:hAnsi="宋体"/>
                <w:color w:val="000000"/>
                <w:kern w:val="0"/>
                <w:sz w:val="25"/>
                <w:szCs w:val="24"/>
              </w:rPr>
            </w:pPr>
            <w:r>
              <w:rPr>
                <w:rFonts w:ascii="Times New Roman" w:hAnsi="Times New Roman"/>
                <w:color w:val="000000"/>
                <w:kern w:val="0"/>
                <w:sz w:val="25"/>
                <w:szCs w:val="24"/>
              </w:rPr>
              <w:t>起帆转债</w:t>
            </w:r>
          </w:p>
        </w:tc>
        <w:tc>
          <w:tcPr>
            <w:tcW w:w="750" w:type="pct"/>
            <w:tcBorders>
              <w:top w:val="single" w:color="auto" w:sz="4" w:space="0"/>
              <w:left w:val="single" w:color="auto" w:sz="4" w:space="0"/>
              <w:bottom w:val="single" w:color="auto" w:sz="4" w:space="0"/>
              <w:right w:val="single" w:color="auto" w:sz="4" w:space="0"/>
            </w:tcBorders>
            <w:vAlign w:val="center"/>
          </w:tcPr>
          <w:p w14:paraId="43EFAD81">
            <w:pPr>
              <w:widowControl/>
              <w:snapToGrid w:val="0"/>
              <w:jc w:val="right"/>
              <w:rPr>
                <w:rFonts w:ascii="宋体" w:hAnsi="宋体"/>
                <w:color w:val="000000"/>
                <w:kern w:val="0"/>
                <w:sz w:val="25"/>
                <w:szCs w:val="24"/>
              </w:rPr>
            </w:pPr>
            <w:r>
              <w:rPr>
                <w:rFonts w:ascii="Times New Roman" w:hAnsi="Times New Roman"/>
                <w:color w:val="000000"/>
                <w:kern w:val="0"/>
                <w:sz w:val="25"/>
                <w:szCs w:val="24"/>
              </w:rPr>
              <w:t>1,628,694.72</w:t>
            </w:r>
          </w:p>
        </w:tc>
        <w:tc>
          <w:tcPr>
            <w:tcW w:w="750" w:type="pct"/>
            <w:tcBorders>
              <w:top w:val="single" w:color="auto" w:sz="4" w:space="0"/>
              <w:left w:val="single" w:color="auto" w:sz="4" w:space="0"/>
              <w:bottom w:val="single" w:color="auto" w:sz="4" w:space="0"/>
              <w:right w:val="single" w:color="auto" w:sz="4" w:space="0"/>
            </w:tcBorders>
            <w:vAlign w:val="center"/>
          </w:tcPr>
          <w:p w14:paraId="57EBB1A0">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14:paraId="32A1FF1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12B0F7">
            <w:pPr>
              <w:widowControl/>
              <w:snapToGrid w:val="0"/>
              <w:jc w:val="center"/>
              <w:rPr>
                <w:rFonts w:ascii="宋体" w:hAnsi="宋体"/>
                <w:color w:val="000000"/>
                <w:kern w:val="0"/>
                <w:sz w:val="25"/>
                <w:szCs w:val="24"/>
              </w:rPr>
            </w:pPr>
            <w:r>
              <w:rPr>
                <w:rFonts w:ascii="Times New Roman" w:hAnsi="Times New Roman"/>
                <w:color w:val="000000"/>
                <w:kern w:val="0"/>
                <w:sz w:val="25"/>
                <w:szCs w:val="24"/>
              </w:rPr>
              <w:t>91</w:t>
            </w:r>
          </w:p>
        </w:tc>
        <w:tc>
          <w:tcPr>
            <w:tcW w:w="750" w:type="pct"/>
            <w:tcBorders>
              <w:top w:val="single" w:color="auto" w:sz="4" w:space="0"/>
              <w:left w:val="single" w:color="auto" w:sz="4" w:space="0"/>
              <w:bottom w:val="single" w:color="auto" w:sz="4" w:space="0"/>
              <w:right w:val="single" w:color="auto" w:sz="4" w:space="0"/>
            </w:tcBorders>
            <w:vAlign w:val="center"/>
          </w:tcPr>
          <w:p w14:paraId="62146FF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110063</w:t>
            </w:r>
          </w:p>
        </w:tc>
        <w:tc>
          <w:tcPr>
            <w:tcW w:w="750" w:type="pct"/>
            <w:tcBorders>
              <w:top w:val="single" w:color="auto" w:sz="4" w:space="0"/>
              <w:left w:val="single" w:color="auto" w:sz="4" w:space="0"/>
              <w:bottom w:val="single" w:color="auto" w:sz="4" w:space="0"/>
              <w:right w:val="single" w:color="auto" w:sz="4" w:space="0"/>
            </w:tcBorders>
            <w:vAlign w:val="center"/>
          </w:tcPr>
          <w:p w14:paraId="0BB96693">
            <w:pPr>
              <w:widowControl/>
              <w:snapToGrid w:val="0"/>
              <w:jc w:val="center"/>
              <w:rPr>
                <w:rFonts w:ascii="宋体" w:hAnsi="宋体"/>
                <w:color w:val="000000"/>
                <w:kern w:val="0"/>
                <w:sz w:val="25"/>
                <w:szCs w:val="24"/>
              </w:rPr>
            </w:pPr>
            <w:r>
              <w:rPr>
                <w:rFonts w:ascii="Times New Roman" w:hAnsi="Times New Roman"/>
                <w:color w:val="000000"/>
                <w:kern w:val="0"/>
                <w:sz w:val="25"/>
                <w:szCs w:val="24"/>
              </w:rPr>
              <w:t>鹰19转债</w:t>
            </w:r>
          </w:p>
        </w:tc>
        <w:tc>
          <w:tcPr>
            <w:tcW w:w="750" w:type="pct"/>
            <w:tcBorders>
              <w:top w:val="single" w:color="auto" w:sz="4" w:space="0"/>
              <w:left w:val="single" w:color="auto" w:sz="4" w:space="0"/>
              <w:bottom w:val="single" w:color="auto" w:sz="4" w:space="0"/>
              <w:right w:val="single" w:color="auto" w:sz="4" w:space="0"/>
            </w:tcBorders>
            <w:vAlign w:val="center"/>
          </w:tcPr>
          <w:p w14:paraId="05646DB9">
            <w:pPr>
              <w:widowControl/>
              <w:snapToGrid w:val="0"/>
              <w:jc w:val="right"/>
              <w:rPr>
                <w:rFonts w:ascii="宋体" w:hAnsi="宋体"/>
                <w:color w:val="000000"/>
                <w:kern w:val="0"/>
                <w:sz w:val="25"/>
                <w:szCs w:val="24"/>
              </w:rPr>
            </w:pPr>
            <w:r>
              <w:rPr>
                <w:rFonts w:ascii="Times New Roman" w:hAnsi="Times New Roman"/>
                <w:color w:val="000000"/>
                <w:kern w:val="0"/>
                <w:sz w:val="25"/>
                <w:szCs w:val="24"/>
              </w:rPr>
              <w:t>1,524,228.40</w:t>
            </w:r>
          </w:p>
        </w:tc>
        <w:tc>
          <w:tcPr>
            <w:tcW w:w="750" w:type="pct"/>
            <w:tcBorders>
              <w:top w:val="single" w:color="auto" w:sz="4" w:space="0"/>
              <w:left w:val="single" w:color="auto" w:sz="4" w:space="0"/>
              <w:bottom w:val="single" w:color="auto" w:sz="4" w:space="0"/>
              <w:right w:val="single" w:color="auto" w:sz="4" w:space="0"/>
            </w:tcBorders>
            <w:vAlign w:val="center"/>
          </w:tcPr>
          <w:p w14:paraId="3CEB8490">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14:paraId="3AD42C2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2C0AABD">
            <w:pPr>
              <w:widowControl/>
              <w:snapToGrid w:val="0"/>
              <w:jc w:val="center"/>
              <w:rPr>
                <w:rFonts w:ascii="宋体" w:hAnsi="宋体"/>
                <w:color w:val="000000"/>
                <w:kern w:val="0"/>
                <w:sz w:val="25"/>
                <w:szCs w:val="24"/>
              </w:rPr>
            </w:pPr>
            <w:r>
              <w:rPr>
                <w:rFonts w:ascii="Times New Roman" w:hAnsi="Times New Roman"/>
                <w:color w:val="000000"/>
                <w:kern w:val="0"/>
                <w:sz w:val="25"/>
                <w:szCs w:val="24"/>
              </w:rPr>
              <w:t>92</w:t>
            </w:r>
          </w:p>
        </w:tc>
        <w:tc>
          <w:tcPr>
            <w:tcW w:w="750" w:type="pct"/>
            <w:tcBorders>
              <w:top w:val="single" w:color="auto" w:sz="4" w:space="0"/>
              <w:left w:val="single" w:color="auto" w:sz="4" w:space="0"/>
              <w:bottom w:val="single" w:color="auto" w:sz="4" w:space="0"/>
              <w:right w:val="single" w:color="auto" w:sz="4" w:space="0"/>
            </w:tcBorders>
            <w:vAlign w:val="center"/>
          </w:tcPr>
          <w:p w14:paraId="4B96C0E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123071</w:t>
            </w:r>
          </w:p>
        </w:tc>
        <w:tc>
          <w:tcPr>
            <w:tcW w:w="750" w:type="pct"/>
            <w:tcBorders>
              <w:top w:val="single" w:color="auto" w:sz="4" w:space="0"/>
              <w:left w:val="single" w:color="auto" w:sz="4" w:space="0"/>
              <w:bottom w:val="single" w:color="auto" w:sz="4" w:space="0"/>
              <w:right w:val="single" w:color="auto" w:sz="4" w:space="0"/>
            </w:tcBorders>
            <w:vAlign w:val="center"/>
          </w:tcPr>
          <w:p w14:paraId="698C52F6">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天能转债</w:t>
            </w:r>
          </w:p>
        </w:tc>
        <w:tc>
          <w:tcPr>
            <w:tcW w:w="750" w:type="pct"/>
            <w:tcBorders>
              <w:top w:val="single" w:color="auto" w:sz="4" w:space="0"/>
              <w:left w:val="single" w:color="auto" w:sz="4" w:space="0"/>
              <w:bottom w:val="single" w:color="auto" w:sz="4" w:space="0"/>
              <w:right w:val="single" w:color="auto" w:sz="4" w:space="0"/>
            </w:tcBorders>
            <w:vAlign w:val="center"/>
          </w:tcPr>
          <w:p w14:paraId="02BCDFCE">
            <w:pPr>
              <w:widowControl/>
              <w:snapToGrid w:val="0"/>
              <w:jc w:val="right"/>
              <w:rPr>
                <w:rFonts w:ascii="宋体" w:hAnsi="宋体"/>
                <w:color w:val="000000"/>
                <w:kern w:val="0"/>
                <w:sz w:val="25"/>
                <w:szCs w:val="24"/>
              </w:rPr>
            </w:pPr>
            <w:r>
              <w:rPr>
                <w:rFonts w:ascii="Times New Roman" w:hAnsi="Times New Roman"/>
                <w:color w:val="000000"/>
                <w:kern w:val="0"/>
                <w:sz w:val="25"/>
                <w:szCs w:val="24"/>
              </w:rPr>
              <w:t>1,413,836.81</w:t>
            </w:r>
          </w:p>
        </w:tc>
        <w:tc>
          <w:tcPr>
            <w:tcW w:w="750" w:type="pct"/>
            <w:tcBorders>
              <w:top w:val="single" w:color="auto" w:sz="4" w:space="0"/>
              <w:left w:val="single" w:color="auto" w:sz="4" w:space="0"/>
              <w:bottom w:val="single" w:color="auto" w:sz="4" w:space="0"/>
              <w:right w:val="single" w:color="auto" w:sz="4" w:space="0"/>
            </w:tcBorders>
            <w:vAlign w:val="center"/>
          </w:tcPr>
          <w:p w14:paraId="4EEC18E3">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14:paraId="3B890944">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3F3B9E5">
            <w:pPr>
              <w:widowControl/>
              <w:snapToGrid w:val="0"/>
              <w:jc w:val="center"/>
              <w:rPr>
                <w:rFonts w:ascii="宋体" w:hAnsi="宋体"/>
                <w:color w:val="000000"/>
                <w:kern w:val="0"/>
                <w:sz w:val="25"/>
                <w:szCs w:val="24"/>
              </w:rPr>
            </w:pPr>
            <w:r>
              <w:rPr>
                <w:rFonts w:ascii="Times New Roman" w:hAnsi="Times New Roman"/>
                <w:color w:val="000000"/>
                <w:kern w:val="0"/>
                <w:sz w:val="25"/>
                <w:szCs w:val="24"/>
              </w:rPr>
              <w:t>93</w:t>
            </w:r>
          </w:p>
        </w:tc>
        <w:tc>
          <w:tcPr>
            <w:tcW w:w="750" w:type="pct"/>
            <w:tcBorders>
              <w:top w:val="single" w:color="auto" w:sz="4" w:space="0"/>
              <w:left w:val="single" w:color="auto" w:sz="4" w:space="0"/>
              <w:bottom w:val="single" w:color="auto" w:sz="4" w:space="0"/>
              <w:right w:val="single" w:color="auto" w:sz="4" w:space="0"/>
            </w:tcBorders>
            <w:vAlign w:val="center"/>
          </w:tcPr>
          <w:p w14:paraId="3873382F">
            <w:pPr>
              <w:widowControl/>
              <w:snapToGrid w:val="0"/>
              <w:jc w:val="center"/>
              <w:rPr>
                <w:rFonts w:ascii="宋体" w:hAnsi="宋体"/>
                <w:color w:val="000000"/>
                <w:kern w:val="0"/>
                <w:sz w:val="25"/>
                <w:szCs w:val="24"/>
              </w:rPr>
            </w:pPr>
            <w:r>
              <w:rPr>
                <w:rFonts w:ascii="Times New Roman" w:hAnsi="Times New Roman"/>
                <w:color w:val="000000"/>
                <w:kern w:val="0"/>
                <w:sz w:val="25"/>
                <w:szCs w:val="24"/>
              </w:rPr>
              <w:t>127024</w:t>
            </w:r>
          </w:p>
        </w:tc>
        <w:tc>
          <w:tcPr>
            <w:tcW w:w="750" w:type="pct"/>
            <w:tcBorders>
              <w:top w:val="single" w:color="auto" w:sz="4" w:space="0"/>
              <w:left w:val="single" w:color="auto" w:sz="4" w:space="0"/>
              <w:bottom w:val="single" w:color="auto" w:sz="4" w:space="0"/>
              <w:right w:val="single" w:color="auto" w:sz="4" w:space="0"/>
            </w:tcBorders>
            <w:vAlign w:val="center"/>
          </w:tcPr>
          <w:p w14:paraId="386439E3">
            <w:pPr>
              <w:widowControl/>
              <w:snapToGrid w:val="0"/>
              <w:jc w:val="center"/>
              <w:rPr>
                <w:rFonts w:ascii="宋体" w:hAnsi="宋体"/>
                <w:color w:val="000000"/>
                <w:kern w:val="0"/>
                <w:sz w:val="25"/>
                <w:szCs w:val="24"/>
              </w:rPr>
            </w:pPr>
            <w:r>
              <w:rPr>
                <w:rFonts w:ascii="Times New Roman" w:hAnsi="Times New Roman"/>
                <w:color w:val="000000"/>
                <w:kern w:val="0"/>
                <w:sz w:val="25"/>
                <w:szCs w:val="24"/>
              </w:rPr>
              <w:t>盈峰转债</w:t>
            </w:r>
          </w:p>
        </w:tc>
        <w:tc>
          <w:tcPr>
            <w:tcW w:w="750" w:type="pct"/>
            <w:tcBorders>
              <w:top w:val="single" w:color="auto" w:sz="4" w:space="0"/>
              <w:left w:val="single" w:color="auto" w:sz="4" w:space="0"/>
              <w:bottom w:val="single" w:color="auto" w:sz="4" w:space="0"/>
              <w:right w:val="single" w:color="auto" w:sz="4" w:space="0"/>
            </w:tcBorders>
            <w:vAlign w:val="center"/>
          </w:tcPr>
          <w:p w14:paraId="63D32F5C">
            <w:pPr>
              <w:widowControl/>
              <w:snapToGrid w:val="0"/>
              <w:jc w:val="right"/>
              <w:rPr>
                <w:rFonts w:ascii="宋体" w:hAnsi="宋体"/>
                <w:color w:val="000000"/>
                <w:kern w:val="0"/>
                <w:sz w:val="25"/>
                <w:szCs w:val="24"/>
              </w:rPr>
            </w:pPr>
            <w:r>
              <w:rPr>
                <w:rFonts w:ascii="Times New Roman" w:hAnsi="Times New Roman"/>
                <w:color w:val="000000"/>
                <w:kern w:val="0"/>
                <w:sz w:val="25"/>
                <w:szCs w:val="24"/>
              </w:rPr>
              <w:t>1,405,754.49</w:t>
            </w:r>
          </w:p>
        </w:tc>
        <w:tc>
          <w:tcPr>
            <w:tcW w:w="750" w:type="pct"/>
            <w:tcBorders>
              <w:top w:val="single" w:color="auto" w:sz="4" w:space="0"/>
              <w:left w:val="single" w:color="auto" w:sz="4" w:space="0"/>
              <w:bottom w:val="single" w:color="auto" w:sz="4" w:space="0"/>
              <w:right w:val="single" w:color="auto" w:sz="4" w:space="0"/>
            </w:tcBorders>
            <w:vAlign w:val="center"/>
          </w:tcPr>
          <w:p w14:paraId="76BB67ED">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14:paraId="6E94803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DDFBC68">
            <w:pPr>
              <w:widowControl/>
              <w:snapToGrid w:val="0"/>
              <w:jc w:val="center"/>
              <w:rPr>
                <w:rFonts w:ascii="宋体" w:hAnsi="宋体"/>
                <w:color w:val="000000"/>
                <w:kern w:val="0"/>
                <w:sz w:val="25"/>
                <w:szCs w:val="24"/>
              </w:rPr>
            </w:pPr>
            <w:r>
              <w:rPr>
                <w:rFonts w:ascii="Times New Roman" w:hAnsi="Times New Roman"/>
                <w:color w:val="000000"/>
                <w:kern w:val="0"/>
                <w:sz w:val="25"/>
                <w:szCs w:val="24"/>
              </w:rPr>
              <w:t>94</w:t>
            </w:r>
          </w:p>
        </w:tc>
        <w:tc>
          <w:tcPr>
            <w:tcW w:w="750" w:type="pct"/>
            <w:tcBorders>
              <w:top w:val="single" w:color="auto" w:sz="4" w:space="0"/>
              <w:left w:val="single" w:color="auto" w:sz="4" w:space="0"/>
              <w:bottom w:val="single" w:color="auto" w:sz="4" w:space="0"/>
              <w:right w:val="single" w:color="auto" w:sz="4" w:space="0"/>
            </w:tcBorders>
            <w:vAlign w:val="center"/>
          </w:tcPr>
          <w:p w14:paraId="16EE0BE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113048</w:t>
            </w:r>
          </w:p>
        </w:tc>
        <w:tc>
          <w:tcPr>
            <w:tcW w:w="750" w:type="pct"/>
            <w:tcBorders>
              <w:top w:val="single" w:color="auto" w:sz="4" w:space="0"/>
              <w:left w:val="single" w:color="auto" w:sz="4" w:space="0"/>
              <w:bottom w:val="single" w:color="auto" w:sz="4" w:space="0"/>
              <w:right w:val="single" w:color="auto" w:sz="4" w:space="0"/>
            </w:tcBorders>
            <w:vAlign w:val="center"/>
          </w:tcPr>
          <w:p w14:paraId="69B66857">
            <w:pPr>
              <w:widowControl/>
              <w:snapToGrid w:val="0"/>
              <w:jc w:val="center"/>
              <w:rPr>
                <w:rFonts w:ascii="宋体" w:hAnsi="宋体"/>
                <w:color w:val="000000"/>
                <w:kern w:val="0"/>
                <w:sz w:val="25"/>
                <w:szCs w:val="24"/>
              </w:rPr>
            </w:pPr>
            <w:r>
              <w:rPr>
                <w:rFonts w:ascii="Times New Roman" w:hAnsi="Times New Roman"/>
                <w:color w:val="000000"/>
                <w:kern w:val="0"/>
                <w:sz w:val="25"/>
                <w:szCs w:val="24"/>
              </w:rPr>
              <w:t>晶科转债</w:t>
            </w:r>
          </w:p>
        </w:tc>
        <w:tc>
          <w:tcPr>
            <w:tcW w:w="750" w:type="pct"/>
            <w:tcBorders>
              <w:top w:val="single" w:color="auto" w:sz="4" w:space="0"/>
              <w:left w:val="single" w:color="auto" w:sz="4" w:space="0"/>
              <w:bottom w:val="single" w:color="auto" w:sz="4" w:space="0"/>
              <w:right w:val="single" w:color="auto" w:sz="4" w:space="0"/>
            </w:tcBorders>
            <w:vAlign w:val="center"/>
          </w:tcPr>
          <w:p w14:paraId="57CAFE6C">
            <w:pPr>
              <w:widowControl/>
              <w:snapToGrid w:val="0"/>
              <w:jc w:val="right"/>
              <w:rPr>
                <w:rFonts w:ascii="宋体" w:hAnsi="宋体"/>
                <w:color w:val="000000"/>
                <w:kern w:val="0"/>
                <w:sz w:val="25"/>
                <w:szCs w:val="24"/>
              </w:rPr>
            </w:pPr>
            <w:r>
              <w:rPr>
                <w:rFonts w:ascii="Times New Roman" w:hAnsi="Times New Roman"/>
                <w:color w:val="000000"/>
                <w:kern w:val="0"/>
                <w:sz w:val="25"/>
                <w:szCs w:val="24"/>
              </w:rPr>
              <w:t>1,361,539.65</w:t>
            </w:r>
          </w:p>
        </w:tc>
        <w:tc>
          <w:tcPr>
            <w:tcW w:w="750" w:type="pct"/>
            <w:tcBorders>
              <w:top w:val="single" w:color="auto" w:sz="4" w:space="0"/>
              <w:left w:val="single" w:color="auto" w:sz="4" w:space="0"/>
              <w:bottom w:val="single" w:color="auto" w:sz="4" w:space="0"/>
              <w:right w:val="single" w:color="auto" w:sz="4" w:space="0"/>
            </w:tcBorders>
            <w:vAlign w:val="center"/>
          </w:tcPr>
          <w:p w14:paraId="0CBD2E49">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14:paraId="76E4A0A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552161C">
            <w:pPr>
              <w:widowControl/>
              <w:snapToGrid w:val="0"/>
              <w:jc w:val="center"/>
              <w:rPr>
                <w:rFonts w:ascii="宋体" w:hAnsi="宋体"/>
                <w:color w:val="000000"/>
                <w:kern w:val="0"/>
                <w:sz w:val="25"/>
                <w:szCs w:val="24"/>
              </w:rPr>
            </w:pPr>
            <w:r>
              <w:rPr>
                <w:rFonts w:ascii="Times New Roman" w:hAnsi="Times New Roman"/>
                <w:color w:val="000000"/>
                <w:kern w:val="0"/>
                <w:sz w:val="25"/>
                <w:szCs w:val="24"/>
              </w:rPr>
              <w:t>95</w:t>
            </w:r>
          </w:p>
        </w:tc>
        <w:tc>
          <w:tcPr>
            <w:tcW w:w="750" w:type="pct"/>
            <w:tcBorders>
              <w:top w:val="single" w:color="auto" w:sz="4" w:space="0"/>
              <w:left w:val="single" w:color="auto" w:sz="4" w:space="0"/>
              <w:bottom w:val="single" w:color="auto" w:sz="4" w:space="0"/>
              <w:right w:val="single" w:color="auto" w:sz="4" w:space="0"/>
            </w:tcBorders>
            <w:vAlign w:val="center"/>
          </w:tcPr>
          <w:p w14:paraId="06DDDF0C">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113675</w:t>
            </w:r>
          </w:p>
        </w:tc>
        <w:tc>
          <w:tcPr>
            <w:tcW w:w="750" w:type="pct"/>
            <w:tcBorders>
              <w:top w:val="single" w:color="auto" w:sz="4" w:space="0"/>
              <w:left w:val="single" w:color="auto" w:sz="4" w:space="0"/>
              <w:bottom w:val="single" w:color="auto" w:sz="4" w:space="0"/>
              <w:right w:val="single" w:color="auto" w:sz="4" w:space="0"/>
            </w:tcBorders>
            <w:vAlign w:val="center"/>
          </w:tcPr>
          <w:p w14:paraId="368B9EBF">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新23转债</w:t>
            </w:r>
          </w:p>
        </w:tc>
        <w:tc>
          <w:tcPr>
            <w:tcW w:w="750" w:type="pct"/>
            <w:tcBorders>
              <w:top w:val="single" w:color="auto" w:sz="4" w:space="0"/>
              <w:left w:val="single" w:color="auto" w:sz="4" w:space="0"/>
              <w:bottom w:val="single" w:color="auto" w:sz="4" w:space="0"/>
              <w:right w:val="single" w:color="auto" w:sz="4" w:space="0"/>
            </w:tcBorders>
            <w:vAlign w:val="center"/>
          </w:tcPr>
          <w:p w14:paraId="58CEB37E">
            <w:pPr>
              <w:widowControl/>
              <w:snapToGrid w:val="0"/>
              <w:jc w:val="right"/>
              <w:rPr>
                <w:rFonts w:ascii="宋体" w:hAnsi="宋体"/>
                <w:color w:val="000000"/>
                <w:kern w:val="0"/>
                <w:sz w:val="25"/>
                <w:szCs w:val="24"/>
              </w:rPr>
            </w:pPr>
            <w:r>
              <w:rPr>
                <w:rFonts w:ascii="Times New Roman" w:hAnsi="Times New Roman"/>
                <w:color w:val="000000"/>
                <w:kern w:val="0"/>
                <w:sz w:val="25"/>
                <w:szCs w:val="24"/>
              </w:rPr>
              <w:t>1,357,286.96</w:t>
            </w:r>
          </w:p>
        </w:tc>
        <w:tc>
          <w:tcPr>
            <w:tcW w:w="750" w:type="pct"/>
            <w:tcBorders>
              <w:top w:val="single" w:color="auto" w:sz="4" w:space="0"/>
              <w:left w:val="single" w:color="auto" w:sz="4" w:space="0"/>
              <w:bottom w:val="single" w:color="auto" w:sz="4" w:space="0"/>
              <w:right w:val="single" w:color="auto" w:sz="4" w:space="0"/>
            </w:tcBorders>
            <w:vAlign w:val="center"/>
          </w:tcPr>
          <w:p w14:paraId="7DF370D5">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14:paraId="488CFD7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368A01">
            <w:pPr>
              <w:widowControl/>
              <w:snapToGrid w:val="0"/>
              <w:jc w:val="center"/>
              <w:rPr>
                <w:rFonts w:ascii="宋体" w:hAnsi="宋体"/>
                <w:color w:val="000000"/>
                <w:kern w:val="0"/>
                <w:sz w:val="25"/>
                <w:szCs w:val="24"/>
              </w:rPr>
            </w:pPr>
            <w:r>
              <w:rPr>
                <w:rFonts w:ascii="Times New Roman" w:hAnsi="Times New Roman"/>
                <w:color w:val="000000"/>
                <w:kern w:val="0"/>
                <w:sz w:val="25"/>
                <w:szCs w:val="24"/>
              </w:rPr>
              <w:t>96</w:t>
            </w:r>
          </w:p>
        </w:tc>
        <w:tc>
          <w:tcPr>
            <w:tcW w:w="750" w:type="pct"/>
            <w:tcBorders>
              <w:top w:val="single" w:color="auto" w:sz="4" w:space="0"/>
              <w:left w:val="single" w:color="auto" w:sz="4" w:space="0"/>
              <w:bottom w:val="single" w:color="auto" w:sz="4" w:space="0"/>
              <w:right w:val="single" w:color="auto" w:sz="4" w:space="0"/>
            </w:tcBorders>
            <w:vAlign w:val="center"/>
          </w:tcPr>
          <w:p w14:paraId="7180C1D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111009</w:t>
            </w:r>
          </w:p>
        </w:tc>
        <w:tc>
          <w:tcPr>
            <w:tcW w:w="750" w:type="pct"/>
            <w:tcBorders>
              <w:top w:val="single" w:color="auto" w:sz="4" w:space="0"/>
              <w:left w:val="single" w:color="auto" w:sz="4" w:space="0"/>
              <w:bottom w:val="single" w:color="auto" w:sz="4" w:space="0"/>
              <w:right w:val="single" w:color="auto" w:sz="4" w:space="0"/>
            </w:tcBorders>
            <w:vAlign w:val="center"/>
          </w:tcPr>
          <w:p w14:paraId="40357579">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盛泰转债</w:t>
            </w:r>
          </w:p>
        </w:tc>
        <w:tc>
          <w:tcPr>
            <w:tcW w:w="750" w:type="pct"/>
            <w:tcBorders>
              <w:top w:val="single" w:color="auto" w:sz="4" w:space="0"/>
              <w:left w:val="single" w:color="auto" w:sz="4" w:space="0"/>
              <w:bottom w:val="single" w:color="auto" w:sz="4" w:space="0"/>
              <w:right w:val="single" w:color="auto" w:sz="4" w:space="0"/>
            </w:tcBorders>
            <w:vAlign w:val="center"/>
          </w:tcPr>
          <w:p w14:paraId="01F99CFA">
            <w:pPr>
              <w:widowControl/>
              <w:snapToGrid w:val="0"/>
              <w:jc w:val="right"/>
              <w:rPr>
                <w:rFonts w:ascii="宋体" w:hAnsi="宋体"/>
                <w:color w:val="000000"/>
                <w:kern w:val="0"/>
                <w:sz w:val="25"/>
                <w:szCs w:val="24"/>
              </w:rPr>
            </w:pPr>
            <w:r>
              <w:rPr>
                <w:rFonts w:ascii="Times New Roman" w:hAnsi="Times New Roman"/>
                <w:color w:val="000000"/>
                <w:kern w:val="0"/>
                <w:sz w:val="25"/>
                <w:szCs w:val="24"/>
              </w:rPr>
              <w:t>1,253,891.16</w:t>
            </w:r>
          </w:p>
        </w:tc>
        <w:tc>
          <w:tcPr>
            <w:tcW w:w="750" w:type="pct"/>
            <w:tcBorders>
              <w:top w:val="single" w:color="auto" w:sz="4" w:space="0"/>
              <w:left w:val="single" w:color="auto" w:sz="4" w:space="0"/>
              <w:bottom w:val="single" w:color="auto" w:sz="4" w:space="0"/>
              <w:right w:val="single" w:color="auto" w:sz="4" w:space="0"/>
            </w:tcBorders>
            <w:vAlign w:val="center"/>
          </w:tcPr>
          <w:p w14:paraId="1A5F2772">
            <w:pPr>
              <w:widowControl/>
              <w:snapToGrid w:val="0"/>
              <w:jc w:val="right"/>
              <w:rPr>
                <w:rFonts w:ascii="宋体" w:hAnsi="宋体"/>
                <w:color w:val="000000"/>
                <w:kern w:val="0"/>
                <w:sz w:val="25"/>
                <w:szCs w:val="24"/>
              </w:rPr>
            </w:pPr>
            <w:r>
              <w:rPr>
                <w:rFonts w:ascii="Times New Roman" w:hAnsi="Times New Roman"/>
                <w:color w:val="000000"/>
                <w:kern w:val="0"/>
                <w:sz w:val="25"/>
                <w:szCs w:val="24"/>
              </w:rPr>
              <w:t>0.04</w:t>
            </w:r>
          </w:p>
        </w:tc>
      </w:tr>
      <w:tr w14:paraId="57A34F1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398F4CF">
            <w:pPr>
              <w:widowControl/>
              <w:snapToGrid w:val="0"/>
              <w:jc w:val="center"/>
              <w:rPr>
                <w:rFonts w:ascii="宋体" w:hAnsi="宋体"/>
                <w:color w:val="000000"/>
                <w:kern w:val="0"/>
                <w:sz w:val="25"/>
                <w:szCs w:val="24"/>
              </w:rPr>
            </w:pPr>
            <w:r>
              <w:rPr>
                <w:rFonts w:ascii="Times New Roman" w:hAnsi="Times New Roman"/>
                <w:color w:val="000000"/>
                <w:kern w:val="0"/>
                <w:sz w:val="25"/>
                <w:szCs w:val="24"/>
              </w:rPr>
              <w:t>97</w:t>
            </w:r>
          </w:p>
        </w:tc>
        <w:tc>
          <w:tcPr>
            <w:tcW w:w="750" w:type="pct"/>
            <w:tcBorders>
              <w:top w:val="single" w:color="auto" w:sz="4" w:space="0"/>
              <w:left w:val="single" w:color="auto" w:sz="4" w:space="0"/>
              <w:bottom w:val="single" w:color="auto" w:sz="4" w:space="0"/>
              <w:right w:val="single" w:color="auto" w:sz="4" w:space="0"/>
            </w:tcBorders>
            <w:vAlign w:val="center"/>
          </w:tcPr>
          <w:p w14:paraId="44612EB3">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113663</w:t>
            </w:r>
          </w:p>
        </w:tc>
        <w:tc>
          <w:tcPr>
            <w:tcW w:w="750" w:type="pct"/>
            <w:tcBorders>
              <w:top w:val="single" w:color="auto" w:sz="4" w:space="0"/>
              <w:left w:val="single" w:color="auto" w:sz="4" w:space="0"/>
              <w:bottom w:val="single" w:color="auto" w:sz="4" w:space="0"/>
              <w:right w:val="single" w:color="auto" w:sz="4" w:space="0"/>
            </w:tcBorders>
            <w:vAlign w:val="center"/>
          </w:tcPr>
          <w:p w14:paraId="19F802BE">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新化转债</w:t>
            </w:r>
          </w:p>
        </w:tc>
        <w:tc>
          <w:tcPr>
            <w:tcW w:w="750" w:type="pct"/>
            <w:tcBorders>
              <w:top w:val="single" w:color="auto" w:sz="4" w:space="0"/>
              <w:left w:val="single" w:color="auto" w:sz="4" w:space="0"/>
              <w:bottom w:val="single" w:color="auto" w:sz="4" w:space="0"/>
              <w:right w:val="single" w:color="auto" w:sz="4" w:space="0"/>
            </w:tcBorders>
            <w:vAlign w:val="center"/>
          </w:tcPr>
          <w:p w14:paraId="4C3B9FB8">
            <w:pPr>
              <w:widowControl/>
              <w:snapToGrid w:val="0"/>
              <w:jc w:val="right"/>
              <w:rPr>
                <w:rFonts w:ascii="宋体" w:hAnsi="宋体"/>
                <w:color w:val="000000"/>
                <w:kern w:val="0"/>
                <w:sz w:val="25"/>
                <w:szCs w:val="24"/>
              </w:rPr>
            </w:pPr>
            <w:r>
              <w:rPr>
                <w:rFonts w:ascii="Times New Roman" w:hAnsi="Times New Roman"/>
                <w:color w:val="000000"/>
                <w:kern w:val="0"/>
                <w:sz w:val="25"/>
                <w:szCs w:val="24"/>
              </w:rPr>
              <w:t>1,177,312.53</w:t>
            </w:r>
          </w:p>
        </w:tc>
        <w:tc>
          <w:tcPr>
            <w:tcW w:w="750" w:type="pct"/>
            <w:tcBorders>
              <w:top w:val="single" w:color="auto" w:sz="4" w:space="0"/>
              <w:left w:val="single" w:color="auto" w:sz="4" w:space="0"/>
              <w:bottom w:val="single" w:color="auto" w:sz="4" w:space="0"/>
              <w:right w:val="single" w:color="auto" w:sz="4" w:space="0"/>
            </w:tcBorders>
            <w:vAlign w:val="center"/>
          </w:tcPr>
          <w:p w14:paraId="15A2D680">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14:paraId="39D4932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3E5322A">
            <w:pPr>
              <w:widowControl/>
              <w:snapToGrid w:val="0"/>
              <w:jc w:val="center"/>
              <w:rPr>
                <w:rFonts w:ascii="宋体" w:hAnsi="宋体"/>
                <w:color w:val="000000"/>
                <w:kern w:val="0"/>
                <w:sz w:val="25"/>
                <w:szCs w:val="24"/>
              </w:rPr>
            </w:pPr>
            <w:r>
              <w:rPr>
                <w:rFonts w:ascii="Times New Roman" w:hAnsi="Times New Roman"/>
                <w:color w:val="000000"/>
                <w:kern w:val="0"/>
                <w:sz w:val="25"/>
                <w:szCs w:val="24"/>
              </w:rPr>
              <w:t>98</w:t>
            </w:r>
          </w:p>
        </w:tc>
        <w:tc>
          <w:tcPr>
            <w:tcW w:w="750" w:type="pct"/>
            <w:tcBorders>
              <w:top w:val="single" w:color="auto" w:sz="4" w:space="0"/>
              <w:left w:val="single" w:color="auto" w:sz="4" w:space="0"/>
              <w:bottom w:val="single" w:color="auto" w:sz="4" w:space="0"/>
              <w:right w:val="single" w:color="auto" w:sz="4" w:space="0"/>
            </w:tcBorders>
            <w:vAlign w:val="center"/>
          </w:tcPr>
          <w:p w14:paraId="1542A454">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113045</w:t>
            </w:r>
          </w:p>
        </w:tc>
        <w:tc>
          <w:tcPr>
            <w:tcW w:w="750" w:type="pct"/>
            <w:tcBorders>
              <w:top w:val="single" w:color="auto" w:sz="4" w:space="0"/>
              <w:left w:val="single" w:color="auto" w:sz="4" w:space="0"/>
              <w:bottom w:val="single" w:color="auto" w:sz="4" w:space="0"/>
              <w:right w:val="single" w:color="auto" w:sz="4" w:space="0"/>
            </w:tcBorders>
            <w:vAlign w:val="center"/>
          </w:tcPr>
          <w:p w14:paraId="3935DACE">
            <w:pPr>
              <w:widowControl/>
              <w:snapToGrid w:val="0"/>
              <w:jc w:val="center"/>
              <w:rPr>
                <w:rFonts w:ascii="宋体" w:hAnsi="宋体"/>
                <w:color w:val="000000"/>
                <w:kern w:val="0"/>
                <w:sz w:val="25"/>
                <w:szCs w:val="24"/>
              </w:rPr>
            </w:pPr>
            <w:r>
              <w:rPr>
                <w:rFonts w:ascii="Times New Roman" w:hAnsi="Times New Roman"/>
                <w:color w:val="000000"/>
                <w:kern w:val="0"/>
                <w:sz w:val="25"/>
                <w:szCs w:val="24"/>
              </w:rPr>
              <w:t>环旭转债</w:t>
            </w:r>
          </w:p>
        </w:tc>
        <w:tc>
          <w:tcPr>
            <w:tcW w:w="750" w:type="pct"/>
            <w:tcBorders>
              <w:top w:val="single" w:color="auto" w:sz="4" w:space="0"/>
              <w:left w:val="single" w:color="auto" w:sz="4" w:space="0"/>
              <w:bottom w:val="single" w:color="auto" w:sz="4" w:space="0"/>
              <w:right w:val="single" w:color="auto" w:sz="4" w:space="0"/>
            </w:tcBorders>
            <w:vAlign w:val="center"/>
          </w:tcPr>
          <w:p w14:paraId="73CA13F5">
            <w:pPr>
              <w:widowControl/>
              <w:snapToGrid w:val="0"/>
              <w:jc w:val="right"/>
              <w:rPr>
                <w:rFonts w:ascii="宋体" w:hAnsi="宋体"/>
                <w:color w:val="000000"/>
                <w:kern w:val="0"/>
                <w:sz w:val="25"/>
                <w:szCs w:val="24"/>
              </w:rPr>
            </w:pPr>
            <w:r>
              <w:rPr>
                <w:rFonts w:ascii="Times New Roman" w:hAnsi="Times New Roman"/>
                <w:color w:val="000000"/>
                <w:kern w:val="0"/>
                <w:sz w:val="25"/>
                <w:szCs w:val="24"/>
              </w:rPr>
              <w:t>1,165,625.73</w:t>
            </w:r>
          </w:p>
        </w:tc>
        <w:tc>
          <w:tcPr>
            <w:tcW w:w="750" w:type="pct"/>
            <w:tcBorders>
              <w:top w:val="single" w:color="auto" w:sz="4" w:space="0"/>
              <w:left w:val="single" w:color="auto" w:sz="4" w:space="0"/>
              <w:bottom w:val="single" w:color="auto" w:sz="4" w:space="0"/>
              <w:right w:val="single" w:color="auto" w:sz="4" w:space="0"/>
            </w:tcBorders>
            <w:vAlign w:val="center"/>
          </w:tcPr>
          <w:p w14:paraId="01232F26">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14:paraId="0482C4C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A1A86F2">
            <w:pPr>
              <w:widowControl/>
              <w:snapToGrid w:val="0"/>
              <w:jc w:val="center"/>
              <w:rPr>
                <w:rFonts w:ascii="宋体" w:hAnsi="宋体"/>
                <w:color w:val="000000"/>
                <w:kern w:val="0"/>
                <w:sz w:val="25"/>
                <w:szCs w:val="24"/>
              </w:rPr>
            </w:pPr>
            <w:r>
              <w:rPr>
                <w:rFonts w:ascii="Times New Roman" w:hAnsi="Times New Roman"/>
                <w:color w:val="000000"/>
                <w:kern w:val="0"/>
                <w:sz w:val="25"/>
                <w:szCs w:val="24"/>
              </w:rPr>
              <w:t>99</w:t>
            </w:r>
          </w:p>
        </w:tc>
        <w:tc>
          <w:tcPr>
            <w:tcW w:w="750" w:type="pct"/>
            <w:tcBorders>
              <w:top w:val="single" w:color="auto" w:sz="4" w:space="0"/>
              <w:left w:val="single" w:color="auto" w:sz="4" w:space="0"/>
              <w:bottom w:val="single" w:color="auto" w:sz="4" w:space="0"/>
              <w:right w:val="single" w:color="auto" w:sz="4" w:space="0"/>
            </w:tcBorders>
            <w:vAlign w:val="center"/>
          </w:tcPr>
          <w:p w14:paraId="51908C2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113686</w:t>
            </w:r>
          </w:p>
        </w:tc>
        <w:tc>
          <w:tcPr>
            <w:tcW w:w="750" w:type="pct"/>
            <w:tcBorders>
              <w:top w:val="single" w:color="auto" w:sz="4" w:space="0"/>
              <w:left w:val="single" w:color="auto" w:sz="4" w:space="0"/>
              <w:bottom w:val="single" w:color="auto" w:sz="4" w:space="0"/>
              <w:right w:val="single" w:color="auto" w:sz="4" w:space="0"/>
            </w:tcBorders>
            <w:vAlign w:val="center"/>
          </w:tcPr>
          <w:p w14:paraId="67ED349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泰瑞转债</w:t>
            </w:r>
          </w:p>
        </w:tc>
        <w:tc>
          <w:tcPr>
            <w:tcW w:w="750" w:type="pct"/>
            <w:tcBorders>
              <w:top w:val="single" w:color="auto" w:sz="4" w:space="0"/>
              <w:left w:val="single" w:color="auto" w:sz="4" w:space="0"/>
              <w:bottom w:val="single" w:color="auto" w:sz="4" w:space="0"/>
              <w:right w:val="single" w:color="auto" w:sz="4" w:space="0"/>
            </w:tcBorders>
            <w:vAlign w:val="center"/>
          </w:tcPr>
          <w:p w14:paraId="3D993532">
            <w:pPr>
              <w:widowControl/>
              <w:snapToGrid w:val="0"/>
              <w:jc w:val="right"/>
              <w:rPr>
                <w:rFonts w:ascii="宋体" w:hAnsi="宋体"/>
                <w:color w:val="000000"/>
                <w:kern w:val="0"/>
                <w:sz w:val="25"/>
                <w:szCs w:val="24"/>
              </w:rPr>
            </w:pPr>
            <w:r>
              <w:rPr>
                <w:rFonts w:ascii="Times New Roman" w:hAnsi="Times New Roman"/>
                <w:color w:val="000000"/>
                <w:kern w:val="0"/>
                <w:sz w:val="25"/>
                <w:szCs w:val="24"/>
              </w:rPr>
              <w:t>1,075,980.51</w:t>
            </w:r>
          </w:p>
        </w:tc>
        <w:tc>
          <w:tcPr>
            <w:tcW w:w="750" w:type="pct"/>
            <w:tcBorders>
              <w:top w:val="single" w:color="auto" w:sz="4" w:space="0"/>
              <w:left w:val="single" w:color="auto" w:sz="4" w:space="0"/>
              <w:bottom w:val="single" w:color="auto" w:sz="4" w:space="0"/>
              <w:right w:val="single" w:color="auto" w:sz="4" w:space="0"/>
            </w:tcBorders>
            <w:vAlign w:val="center"/>
          </w:tcPr>
          <w:p w14:paraId="6A3AB202">
            <w:pPr>
              <w:widowControl/>
              <w:snapToGrid w:val="0"/>
              <w:jc w:val="right"/>
              <w:rPr>
                <w:rFonts w:ascii="宋体" w:hAnsi="宋体"/>
                <w:color w:val="000000"/>
                <w:kern w:val="0"/>
                <w:sz w:val="25"/>
                <w:szCs w:val="24"/>
              </w:rPr>
            </w:pPr>
            <w:r>
              <w:rPr>
                <w:rFonts w:ascii="Times New Roman" w:hAnsi="Times New Roman"/>
                <w:color w:val="000000"/>
                <w:kern w:val="0"/>
                <w:sz w:val="25"/>
                <w:szCs w:val="24"/>
              </w:rPr>
              <w:t>0.03</w:t>
            </w:r>
          </w:p>
        </w:tc>
      </w:tr>
      <w:tr w14:paraId="15C8418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8CEB5F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color="auto" w:sz="4" w:space="0"/>
              <w:left w:val="single" w:color="auto" w:sz="4" w:space="0"/>
              <w:bottom w:val="single" w:color="auto" w:sz="4" w:space="0"/>
              <w:right w:val="single" w:color="auto" w:sz="4" w:space="0"/>
            </w:tcBorders>
            <w:vAlign w:val="center"/>
          </w:tcPr>
          <w:p w14:paraId="2EDE2F3C">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128097</w:t>
            </w:r>
          </w:p>
        </w:tc>
        <w:tc>
          <w:tcPr>
            <w:tcW w:w="750" w:type="pct"/>
            <w:tcBorders>
              <w:top w:val="single" w:color="auto" w:sz="4" w:space="0"/>
              <w:left w:val="single" w:color="auto" w:sz="4" w:space="0"/>
              <w:bottom w:val="single" w:color="auto" w:sz="4" w:space="0"/>
              <w:right w:val="single" w:color="auto" w:sz="4" w:space="0"/>
            </w:tcBorders>
            <w:vAlign w:val="center"/>
          </w:tcPr>
          <w:p w14:paraId="15B51375">
            <w:pPr>
              <w:widowControl/>
              <w:snapToGrid w:val="0"/>
              <w:jc w:val="center"/>
              <w:rPr>
                <w:rFonts w:ascii="宋体" w:hAnsi="宋体"/>
                <w:color w:val="000000"/>
                <w:kern w:val="0"/>
                <w:sz w:val="25"/>
                <w:szCs w:val="24"/>
              </w:rPr>
            </w:pPr>
            <w:r>
              <w:rPr>
                <w:rFonts w:ascii="Times New Roman" w:hAnsi="Times New Roman"/>
                <w:color w:val="000000"/>
                <w:kern w:val="0"/>
                <w:sz w:val="25"/>
                <w:szCs w:val="24"/>
              </w:rPr>
              <w:t>奥佳转债</w:t>
            </w:r>
          </w:p>
        </w:tc>
        <w:tc>
          <w:tcPr>
            <w:tcW w:w="750" w:type="pct"/>
            <w:tcBorders>
              <w:top w:val="single" w:color="auto" w:sz="4" w:space="0"/>
              <w:left w:val="single" w:color="auto" w:sz="4" w:space="0"/>
              <w:bottom w:val="single" w:color="auto" w:sz="4" w:space="0"/>
              <w:right w:val="single" w:color="auto" w:sz="4" w:space="0"/>
            </w:tcBorders>
            <w:vAlign w:val="center"/>
          </w:tcPr>
          <w:p w14:paraId="4DFCAA05">
            <w:pPr>
              <w:widowControl/>
              <w:snapToGrid w:val="0"/>
              <w:jc w:val="right"/>
              <w:rPr>
                <w:rFonts w:ascii="宋体" w:hAnsi="宋体"/>
                <w:color w:val="000000"/>
                <w:kern w:val="0"/>
                <w:sz w:val="25"/>
                <w:szCs w:val="24"/>
              </w:rPr>
            </w:pPr>
            <w:r>
              <w:rPr>
                <w:rFonts w:ascii="Times New Roman" w:hAnsi="Times New Roman"/>
                <w:color w:val="000000"/>
                <w:kern w:val="0"/>
                <w:sz w:val="25"/>
                <w:szCs w:val="24"/>
              </w:rPr>
              <w:t>306,654.42</w:t>
            </w:r>
          </w:p>
        </w:tc>
        <w:tc>
          <w:tcPr>
            <w:tcW w:w="750" w:type="pct"/>
            <w:tcBorders>
              <w:top w:val="single" w:color="auto" w:sz="4" w:space="0"/>
              <w:left w:val="single" w:color="auto" w:sz="4" w:space="0"/>
              <w:bottom w:val="single" w:color="auto" w:sz="4" w:space="0"/>
              <w:right w:val="single" w:color="auto" w:sz="4" w:space="0"/>
            </w:tcBorders>
            <w:vAlign w:val="center"/>
          </w:tcPr>
          <w:p w14:paraId="063B707E">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14:paraId="0402586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0B1CAA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color="auto" w:sz="4" w:space="0"/>
              <w:left w:val="single" w:color="auto" w:sz="4" w:space="0"/>
              <w:bottom w:val="single" w:color="auto" w:sz="4" w:space="0"/>
              <w:right w:val="single" w:color="auto" w:sz="4" w:space="0"/>
            </w:tcBorders>
            <w:vAlign w:val="center"/>
          </w:tcPr>
          <w:p w14:paraId="35E76188">
            <w:pPr>
              <w:widowControl/>
              <w:snapToGrid w:val="0"/>
              <w:jc w:val="center"/>
              <w:rPr>
                <w:rFonts w:ascii="宋体" w:hAnsi="宋体"/>
                <w:color w:val="000000"/>
                <w:kern w:val="0"/>
                <w:sz w:val="25"/>
                <w:szCs w:val="24"/>
              </w:rPr>
            </w:pPr>
            <w:r>
              <w:rPr>
                <w:rFonts w:ascii="Times New Roman" w:hAnsi="Times New Roman"/>
                <w:color w:val="000000"/>
                <w:kern w:val="0"/>
                <w:sz w:val="25"/>
                <w:szCs w:val="24"/>
              </w:rPr>
              <w:t>128119</w:t>
            </w:r>
          </w:p>
        </w:tc>
        <w:tc>
          <w:tcPr>
            <w:tcW w:w="750" w:type="pct"/>
            <w:tcBorders>
              <w:top w:val="single" w:color="auto" w:sz="4" w:space="0"/>
              <w:left w:val="single" w:color="auto" w:sz="4" w:space="0"/>
              <w:bottom w:val="single" w:color="auto" w:sz="4" w:space="0"/>
              <w:right w:val="single" w:color="auto" w:sz="4" w:space="0"/>
            </w:tcBorders>
            <w:vAlign w:val="center"/>
          </w:tcPr>
          <w:p w14:paraId="7023C18C">
            <w:pPr>
              <w:widowControl/>
              <w:snapToGrid w:val="0"/>
              <w:jc w:val="center"/>
              <w:rPr>
                <w:rFonts w:ascii="宋体" w:hAnsi="宋体"/>
                <w:color w:val="000000"/>
                <w:kern w:val="0"/>
                <w:sz w:val="25"/>
                <w:szCs w:val="24"/>
              </w:rPr>
            </w:pPr>
            <w:r>
              <w:rPr>
                <w:rFonts w:ascii="Times New Roman" w:hAnsi="Times New Roman"/>
                <w:color w:val="000000"/>
                <w:kern w:val="0"/>
                <w:sz w:val="25"/>
                <w:szCs w:val="24"/>
              </w:rPr>
              <w:t>龙大转债</w:t>
            </w:r>
          </w:p>
        </w:tc>
        <w:tc>
          <w:tcPr>
            <w:tcW w:w="750" w:type="pct"/>
            <w:tcBorders>
              <w:top w:val="single" w:color="auto" w:sz="4" w:space="0"/>
              <w:left w:val="single" w:color="auto" w:sz="4" w:space="0"/>
              <w:bottom w:val="single" w:color="auto" w:sz="4" w:space="0"/>
              <w:right w:val="single" w:color="auto" w:sz="4" w:space="0"/>
            </w:tcBorders>
            <w:vAlign w:val="center"/>
          </w:tcPr>
          <w:p w14:paraId="0E17B56F">
            <w:pPr>
              <w:widowControl/>
              <w:snapToGrid w:val="0"/>
              <w:jc w:val="right"/>
              <w:rPr>
                <w:rFonts w:ascii="宋体" w:hAnsi="宋体"/>
                <w:color w:val="000000"/>
                <w:kern w:val="0"/>
                <w:sz w:val="25"/>
                <w:szCs w:val="24"/>
              </w:rPr>
            </w:pPr>
            <w:r>
              <w:rPr>
                <w:rFonts w:ascii="Times New Roman" w:hAnsi="Times New Roman"/>
                <w:color w:val="000000"/>
                <w:kern w:val="0"/>
                <w:sz w:val="25"/>
                <w:szCs w:val="24"/>
              </w:rPr>
              <w:t>8,260.05</w:t>
            </w:r>
          </w:p>
        </w:tc>
        <w:tc>
          <w:tcPr>
            <w:tcW w:w="750" w:type="pct"/>
            <w:tcBorders>
              <w:top w:val="single" w:color="auto" w:sz="4" w:space="0"/>
              <w:left w:val="single" w:color="auto" w:sz="4" w:space="0"/>
              <w:bottom w:val="single" w:color="auto" w:sz="4" w:space="0"/>
              <w:right w:val="single" w:color="auto" w:sz="4" w:space="0"/>
            </w:tcBorders>
            <w:vAlign w:val="center"/>
          </w:tcPr>
          <w:p w14:paraId="497BD59D">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14:paraId="09169B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10.5 报告期末前十名股票中存在流通受限情况的说明</w:t>
      </w:r>
    </w:p>
    <w:p w14:paraId="331EB2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无。</w:t>
      </w:r>
    </w:p>
    <w:p w14:paraId="6C2B0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10.6 投资组合报告附注的其他文字描述部分</w:t>
      </w:r>
    </w:p>
    <w:p w14:paraId="3A148D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由于四舍五入的原因，分项之和与合计项之间可能存在尾差。</w:t>
      </w:r>
    </w:p>
    <w:p w14:paraId="4A8EE7E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335DECA">
      <w:pPr>
        <w:pStyle w:val="2"/>
        <w:snapToGrid w:val="0"/>
        <w:spacing w:before="240" w:beforeLines="0" w:after="240"/>
        <w:rPr>
          <w:rFonts w:ascii="宋体" w:hAnsi="宋体"/>
          <w:szCs w:val="30"/>
        </w:rPr>
      </w:pPr>
      <w:bookmarkStart w:id="13" w:name="_Toc216956605"/>
      <w:r>
        <w:rPr>
          <w:rFonts w:ascii="Times New Roman" w:hAnsi="Times New Roman"/>
          <w:sz w:val="30"/>
        </w:rPr>
        <w:t>十一、基金的业绩</w:t>
      </w:r>
      <w:bookmarkEnd w:id="13"/>
    </w:p>
    <w:p w14:paraId="4ED97A2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基金业绩截止日为2025年09月30日，所载财务数据未经审计师审计。</w:t>
      </w:r>
    </w:p>
    <w:p w14:paraId="726B7C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14:paraId="0D3F1A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14:paraId="689F76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1、基金份额净值增长率及其与同期业绩比较基准收益率的比较</w:t>
      </w:r>
    </w:p>
    <w:p w14:paraId="68CE61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（1）交银增利债券A/B</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71D6151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442AD27">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6215C81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6964220A">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6C0DF7C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4BACE02A">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610DE9D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770D345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751AB27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B94F18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5839A3DA">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color="auto" w:sz="4" w:space="0"/>
              <w:left w:val="single" w:color="auto" w:sz="4" w:space="0"/>
              <w:bottom w:val="single" w:color="auto" w:sz="4" w:space="0"/>
              <w:right w:val="single" w:color="auto" w:sz="4" w:space="0"/>
            </w:tcBorders>
            <w:vAlign w:val="center"/>
          </w:tcPr>
          <w:p w14:paraId="6092B475">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0C1DB95F">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color="auto" w:sz="4" w:space="0"/>
              <w:left w:val="single" w:color="auto" w:sz="4" w:space="0"/>
              <w:bottom w:val="single" w:color="auto" w:sz="4" w:space="0"/>
              <w:right w:val="single" w:color="auto" w:sz="4" w:space="0"/>
            </w:tcBorders>
            <w:vAlign w:val="center"/>
          </w:tcPr>
          <w:p w14:paraId="7A5EE65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01C46FA3">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color="auto" w:sz="4" w:space="0"/>
              <w:left w:val="single" w:color="auto" w:sz="4" w:space="0"/>
              <w:bottom w:val="single" w:color="auto" w:sz="4" w:space="0"/>
              <w:right w:val="single" w:color="auto" w:sz="4" w:space="0"/>
            </w:tcBorders>
            <w:vAlign w:val="center"/>
          </w:tcPr>
          <w:p w14:paraId="50307B4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56B9C64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FD13A3F">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14:paraId="4DA90FEF">
            <w:pPr>
              <w:widowControl/>
              <w:snapToGrid w:val="0"/>
              <w:jc w:val="left"/>
              <w:rPr>
                <w:rFonts w:ascii="宋体" w:hAnsi="宋体"/>
                <w:color w:val="000000"/>
                <w:kern w:val="0"/>
                <w:sz w:val="25"/>
                <w:szCs w:val="24"/>
              </w:rPr>
            </w:pPr>
            <w:r>
              <w:rPr>
                <w:rFonts w:ascii="Times New Roman" w:hAnsi="Times New Roman"/>
                <w:color w:val="000000"/>
                <w:kern w:val="0"/>
                <w:sz w:val="25"/>
                <w:szCs w:val="24"/>
              </w:rPr>
              <w:t>2.14%</w:t>
            </w:r>
          </w:p>
        </w:tc>
        <w:tc>
          <w:tcPr>
            <w:tcW w:w="750" w:type="pct"/>
            <w:tcBorders>
              <w:top w:val="single" w:color="auto" w:sz="4" w:space="0"/>
              <w:left w:val="single" w:color="auto" w:sz="4" w:space="0"/>
              <w:bottom w:val="single" w:color="auto" w:sz="4" w:space="0"/>
              <w:right w:val="single" w:color="auto" w:sz="4" w:space="0"/>
            </w:tcBorders>
            <w:vAlign w:val="center"/>
          </w:tcPr>
          <w:p w14:paraId="7F3385EE">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3DBC5565">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color="auto" w:sz="4" w:space="0"/>
              <w:left w:val="single" w:color="auto" w:sz="4" w:space="0"/>
              <w:bottom w:val="single" w:color="auto" w:sz="4" w:space="0"/>
              <w:right w:val="single" w:color="auto" w:sz="4" w:space="0"/>
            </w:tcBorders>
            <w:vAlign w:val="center"/>
          </w:tcPr>
          <w:p w14:paraId="4791FC4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65C8CA62">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color="auto" w:sz="4" w:space="0"/>
              <w:left w:val="single" w:color="auto" w:sz="4" w:space="0"/>
              <w:bottom w:val="single" w:color="auto" w:sz="4" w:space="0"/>
              <w:right w:val="single" w:color="auto" w:sz="4" w:space="0"/>
            </w:tcBorders>
            <w:vAlign w:val="center"/>
          </w:tcPr>
          <w:p w14:paraId="0D04325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14:paraId="0D424F9B">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1FCED3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767CED05">
            <w:pPr>
              <w:widowControl/>
              <w:snapToGrid w:val="0"/>
              <w:jc w:val="left"/>
              <w:rPr>
                <w:rFonts w:ascii="宋体" w:hAnsi="宋体"/>
                <w:color w:val="000000"/>
                <w:kern w:val="0"/>
                <w:sz w:val="25"/>
                <w:szCs w:val="24"/>
              </w:rPr>
            </w:pPr>
            <w:r>
              <w:rPr>
                <w:rFonts w:ascii="Times New Roman" w:hAnsi="Times New Roman"/>
                <w:color w:val="000000"/>
                <w:kern w:val="0"/>
                <w:sz w:val="25"/>
                <w:szCs w:val="24"/>
              </w:rPr>
              <w:t>5.32%</w:t>
            </w:r>
          </w:p>
        </w:tc>
        <w:tc>
          <w:tcPr>
            <w:tcW w:w="750" w:type="pct"/>
            <w:tcBorders>
              <w:top w:val="single" w:color="auto" w:sz="4" w:space="0"/>
              <w:left w:val="single" w:color="auto" w:sz="4" w:space="0"/>
              <w:bottom w:val="single" w:color="auto" w:sz="4" w:space="0"/>
              <w:right w:val="single" w:color="auto" w:sz="4" w:space="0"/>
            </w:tcBorders>
            <w:vAlign w:val="center"/>
          </w:tcPr>
          <w:p w14:paraId="764C7033">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42705F16">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14:paraId="476CA05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1B6A2B33">
            <w:pPr>
              <w:widowControl/>
              <w:snapToGrid w:val="0"/>
              <w:jc w:val="left"/>
              <w:rPr>
                <w:rFonts w:ascii="宋体" w:hAnsi="宋体"/>
                <w:color w:val="000000"/>
                <w:kern w:val="0"/>
                <w:sz w:val="25"/>
                <w:szCs w:val="24"/>
              </w:rPr>
            </w:pPr>
            <w:r>
              <w:rPr>
                <w:rFonts w:ascii="Times New Roman" w:hAnsi="Times New Roman"/>
                <w:color w:val="000000"/>
                <w:kern w:val="0"/>
                <w:sz w:val="25"/>
                <w:szCs w:val="24"/>
              </w:rPr>
              <w:t>4.17%</w:t>
            </w:r>
          </w:p>
        </w:tc>
        <w:tc>
          <w:tcPr>
            <w:tcW w:w="750" w:type="pct"/>
            <w:tcBorders>
              <w:top w:val="single" w:color="auto" w:sz="4" w:space="0"/>
              <w:left w:val="single" w:color="auto" w:sz="4" w:space="0"/>
              <w:bottom w:val="single" w:color="auto" w:sz="4" w:space="0"/>
              <w:right w:val="single" w:color="auto" w:sz="4" w:space="0"/>
            </w:tcBorders>
            <w:vAlign w:val="center"/>
          </w:tcPr>
          <w:p w14:paraId="14A555C3">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2E5292DD">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CFE94F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796C70A3">
            <w:pPr>
              <w:widowControl/>
              <w:snapToGrid w:val="0"/>
              <w:jc w:val="left"/>
              <w:rPr>
                <w:rFonts w:ascii="宋体" w:hAnsi="宋体"/>
                <w:color w:val="000000"/>
                <w:kern w:val="0"/>
                <w:sz w:val="25"/>
                <w:szCs w:val="24"/>
              </w:rPr>
            </w:pPr>
            <w:r>
              <w:rPr>
                <w:rFonts w:ascii="Times New Roman" w:hAnsi="Times New Roman"/>
                <w:color w:val="000000"/>
                <w:kern w:val="0"/>
                <w:sz w:val="25"/>
                <w:szCs w:val="24"/>
              </w:rPr>
              <w:t>3.53%</w:t>
            </w:r>
          </w:p>
        </w:tc>
        <w:tc>
          <w:tcPr>
            <w:tcW w:w="750" w:type="pct"/>
            <w:tcBorders>
              <w:top w:val="single" w:color="auto" w:sz="4" w:space="0"/>
              <w:left w:val="single" w:color="auto" w:sz="4" w:space="0"/>
              <w:bottom w:val="single" w:color="auto" w:sz="4" w:space="0"/>
              <w:right w:val="single" w:color="auto" w:sz="4" w:space="0"/>
            </w:tcBorders>
            <w:vAlign w:val="center"/>
          </w:tcPr>
          <w:p w14:paraId="68CBB64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14:paraId="4AF64562">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color="auto" w:sz="4" w:space="0"/>
              <w:left w:val="single" w:color="auto" w:sz="4" w:space="0"/>
              <w:bottom w:val="single" w:color="auto" w:sz="4" w:space="0"/>
              <w:right w:val="single" w:color="auto" w:sz="4" w:space="0"/>
            </w:tcBorders>
            <w:vAlign w:val="center"/>
          </w:tcPr>
          <w:p w14:paraId="398E5169">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60DF3D68">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14:paraId="59E5162A">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14:paraId="1117054F">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D2AF26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0F897F86">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14:paraId="064FEA66">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1C907E90">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color="auto" w:sz="4" w:space="0"/>
              <w:left w:val="single" w:color="auto" w:sz="4" w:space="0"/>
              <w:bottom w:val="single" w:color="auto" w:sz="4" w:space="0"/>
              <w:right w:val="single" w:color="auto" w:sz="4" w:space="0"/>
            </w:tcBorders>
            <w:vAlign w:val="center"/>
          </w:tcPr>
          <w:p w14:paraId="76114357">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6779675D">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color="auto" w:sz="4" w:space="0"/>
              <w:left w:val="single" w:color="auto" w:sz="4" w:space="0"/>
              <w:bottom w:val="single" w:color="auto" w:sz="4" w:space="0"/>
              <w:right w:val="single" w:color="auto" w:sz="4" w:space="0"/>
            </w:tcBorders>
            <w:vAlign w:val="center"/>
          </w:tcPr>
          <w:p w14:paraId="28CDFCF3">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5EFCF47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039F5A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14:paraId="43EFF8B1">
            <w:pPr>
              <w:widowControl/>
              <w:snapToGrid w:val="0"/>
              <w:jc w:val="left"/>
              <w:rPr>
                <w:rFonts w:ascii="宋体" w:hAnsi="宋体"/>
                <w:color w:val="000000"/>
                <w:kern w:val="0"/>
                <w:sz w:val="25"/>
                <w:szCs w:val="24"/>
              </w:rPr>
            </w:pPr>
            <w:r>
              <w:rPr>
                <w:rFonts w:ascii="Times New Roman" w:hAnsi="Times New Roman"/>
                <w:color w:val="000000"/>
                <w:kern w:val="0"/>
                <w:sz w:val="25"/>
                <w:szCs w:val="24"/>
              </w:rPr>
              <w:t>9.15%</w:t>
            </w:r>
          </w:p>
        </w:tc>
        <w:tc>
          <w:tcPr>
            <w:tcW w:w="750" w:type="pct"/>
            <w:tcBorders>
              <w:top w:val="single" w:color="auto" w:sz="4" w:space="0"/>
              <w:left w:val="single" w:color="auto" w:sz="4" w:space="0"/>
              <w:bottom w:val="single" w:color="auto" w:sz="4" w:space="0"/>
              <w:right w:val="single" w:color="auto" w:sz="4" w:space="0"/>
            </w:tcBorders>
            <w:vAlign w:val="center"/>
          </w:tcPr>
          <w:p w14:paraId="2C0DFC84">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792B5E83">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color="auto" w:sz="4" w:space="0"/>
              <w:left w:val="single" w:color="auto" w:sz="4" w:space="0"/>
              <w:bottom w:val="single" w:color="auto" w:sz="4" w:space="0"/>
              <w:right w:val="single" w:color="auto" w:sz="4" w:space="0"/>
            </w:tcBorders>
            <w:vAlign w:val="center"/>
          </w:tcPr>
          <w:p w14:paraId="14A9705C">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5C3A2EA6">
            <w:pPr>
              <w:widowControl/>
              <w:snapToGrid w:val="0"/>
              <w:jc w:val="left"/>
              <w:rPr>
                <w:rFonts w:ascii="宋体" w:hAnsi="宋体"/>
                <w:color w:val="000000"/>
                <w:kern w:val="0"/>
                <w:sz w:val="25"/>
                <w:szCs w:val="24"/>
              </w:rPr>
            </w:pPr>
            <w:r>
              <w:rPr>
                <w:rFonts w:ascii="Times New Roman" w:hAnsi="Times New Roman"/>
                <w:color w:val="000000"/>
                <w:kern w:val="0"/>
                <w:sz w:val="25"/>
                <w:szCs w:val="24"/>
              </w:rPr>
              <w:t>8.03%</w:t>
            </w:r>
          </w:p>
        </w:tc>
        <w:tc>
          <w:tcPr>
            <w:tcW w:w="750" w:type="pct"/>
            <w:tcBorders>
              <w:top w:val="single" w:color="auto" w:sz="4" w:space="0"/>
              <w:left w:val="single" w:color="auto" w:sz="4" w:space="0"/>
              <w:bottom w:val="single" w:color="auto" w:sz="4" w:space="0"/>
              <w:right w:val="single" w:color="auto" w:sz="4" w:space="0"/>
            </w:tcBorders>
            <w:vAlign w:val="center"/>
          </w:tcPr>
          <w:p w14:paraId="263C812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14:paraId="519550C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0BD9825">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14:paraId="5A189928">
            <w:pPr>
              <w:widowControl/>
              <w:snapToGrid w:val="0"/>
              <w:jc w:val="left"/>
              <w:rPr>
                <w:rFonts w:ascii="宋体" w:hAnsi="宋体"/>
                <w:color w:val="000000"/>
                <w:kern w:val="0"/>
                <w:sz w:val="25"/>
                <w:szCs w:val="24"/>
              </w:rPr>
            </w:pPr>
            <w:r>
              <w:rPr>
                <w:rFonts w:ascii="Times New Roman" w:hAnsi="Times New Roman"/>
                <w:color w:val="000000"/>
                <w:kern w:val="0"/>
                <w:sz w:val="25"/>
                <w:szCs w:val="24"/>
              </w:rPr>
              <w:t>4.86%</w:t>
            </w:r>
          </w:p>
        </w:tc>
        <w:tc>
          <w:tcPr>
            <w:tcW w:w="750" w:type="pct"/>
            <w:tcBorders>
              <w:top w:val="single" w:color="auto" w:sz="4" w:space="0"/>
              <w:left w:val="single" w:color="auto" w:sz="4" w:space="0"/>
              <w:bottom w:val="single" w:color="auto" w:sz="4" w:space="0"/>
              <w:right w:val="single" w:color="auto" w:sz="4" w:space="0"/>
            </w:tcBorders>
            <w:vAlign w:val="center"/>
          </w:tcPr>
          <w:p w14:paraId="209C9E36">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7EBDE6E6">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color="auto" w:sz="4" w:space="0"/>
              <w:left w:val="single" w:color="auto" w:sz="4" w:space="0"/>
              <w:bottom w:val="single" w:color="auto" w:sz="4" w:space="0"/>
              <w:right w:val="single" w:color="auto" w:sz="4" w:space="0"/>
            </w:tcBorders>
            <w:vAlign w:val="center"/>
          </w:tcPr>
          <w:p w14:paraId="0909BB2C">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0EB17253">
            <w:pPr>
              <w:widowControl/>
              <w:snapToGrid w:val="0"/>
              <w:jc w:val="left"/>
              <w:rPr>
                <w:rFonts w:ascii="宋体" w:hAnsi="宋体"/>
                <w:color w:val="000000"/>
                <w:kern w:val="0"/>
                <w:sz w:val="25"/>
                <w:szCs w:val="24"/>
              </w:rPr>
            </w:pPr>
            <w:r>
              <w:rPr>
                <w:rFonts w:ascii="Times New Roman" w:hAnsi="Times New Roman"/>
                <w:color w:val="000000"/>
                <w:kern w:val="0"/>
                <w:sz w:val="25"/>
                <w:szCs w:val="24"/>
              </w:rPr>
              <w:t>6.03%</w:t>
            </w:r>
          </w:p>
        </w:tc>
        <w:tc>
          <w:tcPr>
            <w:tcW w:w="750" w:type="pct"/>
            <w:tcBorders>
              <w:top w:val="single" w:color="auto" w:sz="4" w:space="0"/>
              <w:left w:val="single" w:color="auto" w:sz="4" w:space="0"/>
              <w:bottom w:val="single" w:color="auto" w:sz="4" w:space="0"/>
              <w:right w:val="single" w:color="auto" w:sz="4" w:space="0"/>
            </w:tcBorders>
            <w:vAlign w:val="center"/>
          </w:tcPr>
          <w:p w14:paraId="26386C9C">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14:paraId="6F7D2E9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0603D9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14:paraId="49C9F829">
            <w:pPr>
              <w:widowControl/>
              <w:snapToGrid w:val="0"/>
              <w:jc w:val="left"/>
              <w:rPr>
                <w:rFonts w:ascii="宋体" w:hAnsi="宋体"/>
                <w:color w:val="000000"/>
                <w:kern w:val="0"/>
                <w:sz w:val="25"/>
                <w:szCs w:val="24"/>
              </w:rPr>
            </w:pPr>
            <w:r>
              <w:rPr>
                <w:rFonts w:ascii="Times New Roman" w:hAnsi="Times New Roman"/>
                <w:color w:val="000000"/>
                <w:kern w:val="0"/>
                <w:sz w:val="25"/>
                <w:szCs w:val="24"/>
              </w:rPr>
              <w:t>6.90%</w:t>
            </w:r>
          </w:p>
        </w:tc>
        <w:tc>
          <w:tcPr>
            <w:tcW w:w="750" w:type="pct"/>
            <w:tcBorders>
              <w:top w:val="single" w:color="auto" w:sz="4" w:space="0"/>
              <w:left w:val="single" w:color="auto" w:sz="4" w:space="0"/>
              <w:bottom w:val="single" w:color="auto" w:sz="4" w:space="0"/>
              <w:right w:val="single" w:color="auto" w:sz="4" w:space="0"/>
            </w:tcBorders>
            <w:vAlign w:val="center"/>
          </w:tcPr>
          <w:p w14:paraId="716A2B7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409FCF76">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color="auto" w:sz="4" w:space="0"/>
              <w:left w:val="single" w:color="auto" w:sz="4" w:space="0"/>
              <w:bottom w:val="single" w:color="auto" w:sz="4" w:space="0"/>
              <w:right w:val="single" w:color="auto" w:sz="4" w:space="0"/>
            </w:tcBorders>
            <w:vAlign w:val="center"/>
          </w:tcPr>
          <w:p w14:paraId="2B19A39E">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5297A12A">
            <w:pPr>
              <w:widowControl/>
              <w:snapToGrid w:val="0"/>
              <w:jc w:val="left"/>
              <w:rPr>
                <w:rFonts w:ascii="宋体" w:hAnsi="宋体"/>
                <w:color w:val="000000"/>
                <w:kern w:val="0"/>
                <w:sz w:val="25"/>
                <w:szCs w:val="24"/>
              </w:rPr>
            </w:pPr>
            <w:r>
              <w:rPr>
                <w:rFonts w:ascii="Times New Roman" w:hAnsi="Times New Roman"/>
                <w:color w:val="000000"/>
                <w:kern w:val="0"/>
                <w:sz w:val="25"/>
                <w:szCs w:val="24"/>
              </w:rPr>
              <w:t>5.77%</w:t>
            </w:r>
          </w:p>
        </w:tc>
        <w:tc>
          <w:tcPr>
            <w:tcW w:w="750" w:type="pct"/>
            <w:tcBorders>
              <w:top w:val="single" w:color="auto" w:sz="4" w:space="0"/>
              <w:left w:val="single" w:color="auto" w:sz="4" w:space="0"/>
              <w:bottom w:val="single" w:color="auto" w:sz="4" w:space="0"/>
              <w:right w:val="single" w:color="auto" w:sz="4" w:space="0"/>
            </w:tcBorders>
            <w:vAlign w:val="center"/>
          </w:tcPr>
          <w:p w14:paraId="02C4BF18">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14:paraId="07127D52">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3C5900D">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14:paraId="36E809F1">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color="auto" w:sz="4" w:space="0"/>
              <w:left w:val="single" w:color="auto" w:sz="4" w:space="0"/>
              <w:bottom w:val="single" w:color="auto" w:sz="4" w:space="0"/>
              <w:right w:val="single" w:color="auto" w:sz="4" w:space="0"/>
            </w:tcBorders>
            <w:vAlign w:val="center"/>
          </w:tcPr>
          <w:p w14:paraId="2D7765E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55FBFEF3">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color="auto" w:sz="4" w:space="0"/>
              <w:left w:val="single" w:color="auto" w:sz="4" w:space="0"/>
              <w:bottom w:val="single" w:color="auto" w:sz="4" w:space="0"/>
              <w:right w:val="single" w:color="auto" w:sz="4" w:space="0"/>
            </w:tcBorders>
            <w:vAlign w:val="center"/>
          </w:tcPr>
          <w:p w14:paraId="527DC6B7">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01827037">
            <w:pPr>
              <w:widowControl/>
              <w:snapToGrid w:val="0"/>
              <w:jc w:val="left"/>
              <w:rPr>
                <w:rFonts w:ascii="宋体" w:hAnsi="宋体"/>
                <w:color w:val="000000"/>
                <w:kern w:val="0"/>
                <w:sz w:val="25"/>
                <w:szCs w:val="24"/>
              </w:rPr>
            </w:pPr>
            <w:r>
              <w:rPr>
                <w:rFonts w:ascii="Times New Roman" w:hAnsi="Times New Roman"/>
                <w:color w:val="000000"/>
                <w:kern w:val="0"/>
                <w:sz w:val="25"/>
                <w:szCs w:val="24"/>
              </w:rPr>
              <w:t>5.59%</w:t>
            </w:r>
          </w:p>
        </w:tc>
        <w:tc>
          <w:tcPr>
            <w:tcW w:w="750" w:type="pct"/>
            <w:tcBorders>
              <w:top w:val="single" w:color="auto" w:sz="4" w:space="0"/>
              <w:left w:val="single" w:color="auto" w:sz="4" w:space="0"/>
              <w:bottom w:val="single" w:color="auto" w:sz="4" w:space="0"/>
              <w:right w:val="single" w:color="auto" w:sz="4" w:space="0"/>
            </w:tcBorders>
            <w:vAlign w:val="center"/>
          </w:tcPr>
          <w:p w14:paraId="5829F9E8">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14:paraId="36920BE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E7F96AF">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14:paraId="4331C0CE">
            <w:pPr>
              <w:widowControl/>
              <w:snapToGrid w:val="0"/>
              <w:jc w:val="left"/>
              <w:rPr>
                <w:rFonts w:ascii="宋体" w:hAnsi="宋体"/>
                <w:color w:val="000000"/>
                <w:kern w:val="0"/>
                <w:sz w:val="25"/>
                <w:szCs w:val="24"/>
              </w:rPr>
            </w:pPr>
            <w:r>
              <w:rPr>
                <w:rFonts w:ascii="Times New Roman" w:hAnsi="Times New Roman"/>
                <w:color w:val="000000"/>
                <w:kern w:val="0"/>
                <w:sz w:val="25"/>
                <w:szCs w:val="24"/>
              </w:rPr>
              <w:t>-0.26%</w:t>
            </w:r>
          </w:p>
        </w:tc>
        <w:tc>
          <w:tcPr>
            <w:tcW w:w="750" w:type="pct"/>
            <w:tcBorders>
              <w:top w:val="single" w:color="auto" w:sz="4" w:space="0"/>
              <w:left w:val="single" w:color="auto" w:sz="4" w:space="0"/>
              <w:bottom w:val="single" w:color="auto" w:sz="4" w:space="0"/>
              <w:right w:val="single" w:color="auto" w:sz="4" w:space="0"/>
            </w:tcBorders>
            <w:vAlign w:val="center"/>
          </w:tcPr>
          <w:p w14:paraId="67528A2B">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34B8F568">
            <w:pPr>
              <w:widowControl/>
              <w:snapToGrid w:val="0"/>
              <w:jc w:val="left"/>
              <w:rPr>
                <w:rFonts w:ascii="宋体" w:hAnsi="宋体"/>
                <w:color w:val="000000"/>
                <w:kern w:val="0"/>
                <w:sz w:val="25"/>
                <w:szCs w:val="24"/>
              </w:rPr>
            </w:pPr>
            <w:r>
              <w:rPr>
                <w:rFonts w:ascii="Times New Roman" w:hAnsi="Times New Roman"/>
                <w:color w:val="000000"/>
                <w:kern w:val="0"/>
                <w:sz w:val="25"/>
                <w:szCs w:val="24"/>
              </w:rPr>
              <w:t>-9.85%</w:t>
            </w:r>
          </w:p>
        </w:tc>
        <w:tc>
          <w:tcPr>
            <w:tcW w:w="750" w:type="pct"/>
            <w:tcBorders>
              <w:top w:val="single" w:color="auto" w:sz="4" w:space="0"/>
              <w:left w:val="single" w:color="auto" w:sz="4" w:space="0"/>
              <w:bottom w:val="single" w:color="auto" w:sz="4" w:space="0"/>
              <w:right w:val="single" w:color="auto" w:sz="4" w:space="0"/>
            </w:tcBorders>
            <w:vAlign w:val="center"/>
          </w:tcPr>
          <w:p w14:paraId="231F1714">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0B404D74">
            <w:pPr>
              <w:widowControl/>
              <w:snapToGrid w:val="0"/>
              <w:jc w:val="left"/>
              <w:rPr>
                <w:rFonts w:ascii="宋体" w:hAnsi="宋体"/>
                <w:color w:val="000000"/>
                <w:kern w:val="0"/>
                <w:sz w:val="25"/>
                <w:szCs w:val="24"/>
              </w:rPr>
            </w:pPr>
            <w:r>
              <w:rPr>
                <w:rFonts w:ascii="Times New Roman" w:hAnsi="Times New Roman"/>
                <w:color w:val="000000"/>
                <w:kern w:val="0"/>
                <w:sz w:val="25"/>
                <w:szCs w:val="24"/>
              </w:rPr>
              <w:t>9.59%</w:t>
            </w:r>
          </w:p>
        </w:tc>
        <w:tc>
          <w:tcPr>
            <w:tcW w:w="750" w:type="pct"/>
            <w:tcBorders>
              <w:top w:val="single" w:color="auto" w:sz="4" w:space="0"/>
              <w:left w:val="single" w:color="auto" w:sz="4" w:space="0"/>
              <w:bottom w:val="single" w:color="auto" w:sz="4" w:space="0"/>
              <w:right w:val="single" w:color="auto" w:sz="4" w:space="0"/>
            </w:tcBorders>
            <w:vAlign w:val="center"/>
          </w:tcPr>
          <w:p w14:paraId="376FA1DD">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14:paraId="317043CF">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14661EC">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14:paraId="45243897">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color="auto" w:sz="4" w:space="0"/>
              <w:left w:val="single" w:color="auto" w:sz="4" w:space="0"/>
              <w:bottom w:val="single" w:color="auto" w:sz="4" w:space="0"/>
              <w:right w:val="single" w:color="auto" w:sz="4" w:space="0"/>
            </w:tcBorders>
            <w:vAlign w:val="center"/>
          </w:tcPr>
          <w:p w14:paraId="053F7037">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14:paraId="38B54F50">
            <w:pPr>
              <w:widowControl/>
              <w:snapToGrid w:val="0"/>
              <w:jc w:val="left"/>
              <w:rPr>
                <w:rFonts w:ascii="宋体" w:hAnsi="宋体"/>
                <w:color w:val="000000"/>
                <w:kern w:val="0"/>
                <w:sz w:val="25"/>
                <w:szCs w:val="24"/>
              </w:rPr>
            </w:pPr>
            <w:r>
              <w:rPr>
                <w:rFonts w:ascii="Times New Roman" w:hAnsi="Times New Roman"/>
                <w:color w:val="000000"/>
                <w:kern w:val="0"/>
                <w:sz w:val="25"/>
                <w:szCs w:val="24"/>
              </w:rPr>
              <w:t>-7.89%</w:t>
            </w:r>
          </w:p>
        </w:tc>
        <w:tc>
          <w:tcPr>
            <w:tcW w:w="750" w:type="pct"/>
            <w:tcBorders>
              <w:top w:val="single" w:color="auto" w:sz="4" w:space="0"/>
              <w:left w:val="single" w:color="auto" w:sz="4" w:space="0"/>
              <w:bottom w:val="single" w:color="auto" w:sz="4" w:space="0"/>
              <w:right w:val="single" w:color="auto" w:sz="4" w:space="0"/>
            </w:tcBorders>
            <w:vAlign w:val="center"/>
          </w:tcPr>
          <w:p w14:paraId="0237DB25">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2988927A">
            <w:pPr>
              <w:widowControl/>
              <w:snapToGrid w:val="0"/>
              <w:jc w:val="left"/>
              <w:rPr>
                <w:rFonts w:ascii="宋体" w:hAnsi="宋体"/>
                <w:color w:val="000000"/>
                <w:kern w:val="0"/>
                <w:sz w:val="25"/>
                <w:szCs w:val="24"/>
              </w:rPr>
            </w:pPr>
            <w:r>
              <w:rPr>
                <w:rFonts w:ascii="Times New Roman" w:hAnsi="Times New Roman"/>
                <w:color w:val="000000"/>
                <w:kern w:val="0"/>
                <w:sz w:val="25"/>
                <w:szCs w:val="24"/>
              </w:rPr>
              <w:t>6.17%</w:t>
            </w:r>
          </w:p>
        </w:tc>
        <w:tc>
          <w:tcPr>
            <w:tcW w:w="750" w:type="pct"/>
            <w:tcBorders>
              <w:top w:val="single" w:color="auto" w:sz="4" w:space="0"/>
              <w:left w:val="single" w:color="auto" w:sz="4" w:space="0"/>
              <w:bottom w:val="single" w:color="auto" w:sz="4" w:space="0"/>
              <w:right w:val="single" w:color="auto" w:sz="4" w:space="0"/>
            </w:tcBorders>
            <w:vAlign w:val="center"/>
          </w:tcPr>
          <w:p w14:paraId="7BD0E492">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3476C7EB">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D801917">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14:paraId="261F9248">
            <w:pPr>
              <w:widowControl/>
              <w:snapToGrid w:val="0"/>
              <w:jc w:val="left"/>
              <w:rPr>
                <w:rFonts w:ascii="宋体" w:hAnsi="宋体"/>
                <w:color w:val="000000"/>
                <w:kern w:val="0"/>
                <w:sz w:val="25"/>
                <w:szCs w:val="24"/>
              </w:rPr>
            </w:pPr>
            <w:r>
              <w:rPr>
                <w:rFonts w:ascii="Times New Roman" w:hAnsi="Times New Roman"/>
                <w:color w:val="000000"/>
                <w:kern w:val="0"/>
                <w:sz w:val="25"/>
                <w:szCs w:val="24"/>
              </w:rPr>
              <w:t>9.60%</w:t>
            </w:r>
          </w:p>
        </w:tc>
        <w:tc>
          <w:tcPr>
            <w:tcW w:w="750" w:type="pct"/>
            <w:tcBorders>
              <w:top w:val="single" w:color="auto" w:sz="4" w:space="0"/>
              <w:left w:val="single" w:color="auto" w:sz="4" w:space="0"/>
              <w:bottom w:val="single" w:color="auto" w:sz="4" w:space="0"/>
              <w:right w:val="single" w:color="auto" w:sz="4" w:space="0"/>
            </w:tcBorders>
            <w:vAlign w:val="center"/>
          </w:tcPr>
          <w:p w14:paraId="71AC9E11">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5A074597">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color="auto" w:sz="4" w:space="0"/>
              <w:left w:val="single" w:color="auto" w:sz="4" w:space="0"/>
              <w:bottom w:val="single" w:color="auto" w:sz="4" w:space="0"/>
              <w:right w:val="single" w:color="auto" w:sz="4" w:space="0"/>
            </w:tcBorders>
            <w:vAlign w:val="center"/>
          </w:tcPr>
          <w:p w14:paraId="394085D3">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14:paraId="5E4C7203">
            <w:pPr>
              <w:widowControl/>
              <w:snapToGrid w:val="0"/>
              <w:jc w:val="left"/>
              <w:rPr>
                <w:rFonts w:ascii="宋体" w:hAnsi="宋体"/>
                <w:color w:val="000000"/>
                <w:kern w:val="0"/>
                <w:sz w:val="25"/>
                <w:szCs w:val="24"/>
              </w:rPr>
            </w:pPr>
            <w:r>
              <w:rPr>
                <w:rFonts w:ascii="Times New Roman" w:hAnsi="Times New Roman"/>
                <w:color w:val="000000"/>
                <w:kern w:val="0"/>
                <w:sz w:val="25"/>
                <w:szCs w:val="24"/>
              </w:rPr>
              <w:t>8.03%</w:t>
            </w:r>
          </w:p>
        </w:tc>
        <w:tc>
          <w:tcPr>
            <w:tcW w:w="750" w:type="pct"/>
            <w:tcBorders>
              <w:top w:val="single" w:color="auto" w:sz="4" w:space="0"/>
              <w:left w:val="single" w:color="auto" w:sz="4" w:space="0"/>
              <w:bottom w:val="single" w:color="auto" w:sz="4" w:space="0"/>
              <w:right w:val="single" w:color="auto" w:sz="4" w:space="0"/>
            </w:tcBorders>
            <w:vAlign w:val="center"/>
          </w:tcPr>
          <w:p w14:paraId="5F6D2214">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14:paraId="628903A8">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7BDCC12">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14:paraId="283DE825">
            <w:pPr>
              <w:widowControl/>
              <w:snapToGrid w:val="0"/>
              <w:jc w:val="left"/>
              <w:rPr>
                <w:rFonts w:ascii="宋体" w:hAnsi="宋体"/>
                <w:color w:val="000000"/>
                <w:kern w:val="0"/>
                <w:sz w:val="25"/>
                <w:szCs w:val="24"/>
              </w:rPr>
            </w:pPr>
            <w:r>
              <w:rPr>
                <w:rFonts w:ascii="Times New Roman" w:hAnsi="Times New Roman"/>
                <w:color w:val="000000"/>
                <w:kern w:val="0"/>
                <w:sz w:val="25"/>
                <w:szCs w:val="24"/>
              </w:rPr>
              <w:t>19.84%</w:t>
            </w:r>
          </w:p>
        </w:tc>
        <w:tc>
          <w:tcPr>
            <w:tcW w:w="750" w:type="pct"/>
            <w:tcBorders>
              <w:top w:val="single" w:color="auto" w:sz="4" w:space="0"/>
              <w:left w:val="single" w:color="auto" w:sz="4" w:space="0"/>
              <w:bottom w:val="single" w:color="auto" w:sz="4" w:space="0"/>
              <w:right w:val="single" w:color="auto" w:sz="4" w:space="0"/>
            </w:tcBorders>
            <w:vAlign w:val="center"/>
          </w:tcPr>
          <w:p w14:paraId="6238A430">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color="auto" w:sz="4" w:space="0"/>
              <w:left w:val="single" w:color="auto" w:sz="4" w:space="0"/>
              <w:bottom w:val="single" w:color="auto" w:sz="4" w:space="0"/>
              <w:right w:val="single" w:color="auto" w:sz="4" w:space="0"/>
            </w:tcBorders>
            <w:vAlign w:val="center"/>
          </w:tcPr>
          <w:p w14:paraId="4ECB9D9C">
            <w:pPr>
              <w:widowControl/>
              <w:snapToGrid w:val="0"/>
              <w:jc w:val="left"/>
              <w:rPr>
                <w:rFonts w:ascii="宋体" w:hAnsi="宋体"/>
                <w:color w:val="000000"/>
                <w:kern w:val="0"/>
                <w:sz w:val="25"/>
                <w:szCs w:val="24"/>
              </w:rPr>
            </w:pPr>
            <w:r>
              <w:rPr>
                <w:rFonts w:ascii="Times New Roman" w:hAnsi="Times New Roman"/>
                <w:color w:val="000000"/>
                <w:kern w:val="0"/>
                <w:sz w:val="25"/>
                <w:szCs w:val="24"/>
              </w:rPr>
              <w:t>5.92%</w:t>
            </w:r>
          </w:p>
        </w:tc>
        <w:tc>
          <w:tcPr>
            <w:tcW w:w="750" w:type="pct"/>
            <w:tcBorders>
              <w:top w:val="single" w:color="auto" w:sz="4" w:space="0"/>
              <w:left w:val="single" w:color="auto" w:sz="4" w:space="0"/>
              <w:bottom w:val="single" w:color="auto" w:sz="4" w:space="0"/>
              <w:right w:val="single" w:color="auto" w:sz="4" w:space="0"/>
            </w:tcBorders>
            <w:vAlign w:val="center"/>
          </w:tcPr>
          <w:p w14:paraId="33599B9A">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14:paraId="068F09B0">
            <w:pPr>
              <w:widowControl/>
              <w:snapToGrid w:val="0"/>
              <w:jc w:val="left"/>
              <w:rPr>
                <w:rFonts w:ascii="宋体" w:hAnsi="宋体"/>
                <w:color w:val="000000"/>
                <w:kern w:val="0"/>
                <w:sz w:val="25"/>
                <w:szCs w:val="24"/>
              </w:rPr>
            </w:pPr>
            <w:r>
              <w:rPr>
                <w:rFonts w:ascii="Times New Roman" w:hAnsi="Times New Roman"/>
                <w:color w:val="000000"/>
                <w:kern w:val="0"/>
                <w:sz w:val="25"/>
                <w:szCs w:val="24"/>
              </w:rPr>
              <w:t>13.92%</w:t>
            </w:r>
          </w:p>
        </w:tc>
        <w:tc>
          <w:tcPr>
            <w:tcW w:w="750" w:type="pct"/>
            <w:tcBorders>
              <w:top w:val="single" w:color="auto" w:sz="4" w:space="0"/>
              <w:left w:val="single" w:color="auto" w:sz="4" w:space="0"/>
              <w:bottom w:val="single" w:color="auto" w:sz="4" w:space="0"/>
              <w:right w:val="single" w:color="auto" w:sz="4" w:space="0"/>
            </w:tcBorders>
            <w:vAlign w:val="center"/>
          </w:tcPr>
          <w:p w14:paraId="42EDE1B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14:paraId="79587DA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104A14F">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w:t>
            </w:r>
          </w:p>
        </w:tc>
        <w:tc>
          <w:tcPr>
            <w:tcW w:w="750" w:type="pct"/>
            <w:tcBorders>
              <w:top w:val="single" w:color="auto" w:sz="4" w:space="0"/>
              <w:left w:val="single" w:color="auto" w:sz="4" w:space="0"/>
              <w:bottom w:val="single" w:color="auto" w:sz="4" w:space="0"/>
              <w:right w:val="single" w:color="auto" w:sz="4" w:space="0"/>
            </w:tcBorders>
            <w:vAlign w:val="center"/>
          </w:tcPr>
          <w:p w14:paraId="75351433">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color="auto" w:sz="4" w:space="0"/>
              <w:left w:val="single" w:color="auto" w:sz="4" w:space="0"/>
              <w:bottom w:val="single" w:color="auto" w:sz="4" w:space="0"/>
              <w:right w:val="single" w:color="auto" w:sz="4" w:space="0"/>
            </w:tcBorders>
            <w:vAlign w:val="center"/>
          </w:tcPr>
          <w:p w14:paraId="1E713C5A">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color="auto" w:sz="4" w:space="0"/>
              <w:left w:val="single" w:color="auto" w:sz="4" w:space="0"/>
              <w:bottom w:val="single" w:color="auto" w:sz="4" w:space="0"/>
              <w:right w:val="single" w:color="auto" w:sz="4" w:space="0"/>
            </w:tcBorders>
            <w:vAlign w:val="center"/>
          </w:tcPr>
          <w:p w14:paraId="77248991">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color="auto" w:sz="4" w:space="0"/>
              <w:left w:val="single" w:color="auto" w:sz="4" w:space="0"/>
              <w:bottom w:val="single" w:color="auto" w:sz="4" w:space="0"/>
              <w:right w:val="single" w:color="auto" w:sz="4" w:space="0"/>
            </w:tcBorders>
            <w:vAlign w:val="center"/>
          </w:tcPr>
          <w:p w14:paraId="2A728DCD">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26317512">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color="auto" w:sz="4" w:space="0"/>
              <w:left w:val="single" w:color="auto" w:sz="4" w:space="0"/>
              <w:bottom w:val="single" w:color="auto" w:sz="4" w:space="0"/>
              <w:right w:val="single" w:color="auto" w:sz="4" w:space="0"/>
            </w:tcBorders>
            <w:vAlign w:val="center"/>
          </w:tcPr>
          <w:p w14:paraId="58FA8156">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14:paraId="38EED895">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50729DC">
            <w:pPr>
              <w:widowControl/>
              <w:snapToGrid w:val="0"/>
              <w:jc w:val="left"/>
              <w:rPr>
                <w:rFonts w:ascii="宋体" w:hAnsi="宋体"/>
                <w:color w:val="000000"/>
                <w:kern w:val="0"/>
                <w:sz w:val="25"/>
                <w:szCs w:val="24"/>
              </w:rPr>
            </w:pPr>
            <w:r>
              <w:rPr>
                <w:rFonts w:ascii="Times New Roman" w:hAnsi="Times New Roman"/>
                <w:color w:val="000000"/>
                <w:kern w:val="0"/>
                <w:sz w:val="25"/>
                <w:szCs w:val="24"/>
              </w:rPr>
              <w:t>2012年度</w:t>
            </w:r>
          </w:p>
        </w:tc>
        <w:tc>
          <w:tcPr>
            <w:tcW w:w="750" w:type="pct"/>
            <w:tcBorders>
              <w:top w:val="single" w:color="auto" w:sz="4" w:space="0"/>
              <w:left w:val="single" w:color="auto" w:sz="4" w:space="0"/>
              <w:bottom w:val="single" w:color="auto" w:sz="4" w:space="0"/>
              <w:right w:val="single" w:color="auto" w:sz="4" w:space="0"/>
            </w:tcBorders>
            <w:vAlign w:val="center"/>
          </w:tcPr>
          <w:p w14:paraId="068AB6A1">
            <w:pPr>
              <w:widowControl/>
              <w:snapToGrid w:val="0"/>
              <w:jc w:val="left"/>
              <w:rPr>
                <w:rFonts w:ascii="宋体" w:hAnsi="宋体"/>
                <w:color w:val="000000"/>
                <w:kern w:val="0"/>
                <w:sz w:val="25"/>
                <w:szCs w:val="24"/>
              </w:rPr>
            </w:pPr>
            <w:r>
              <w:rPr>
                <w:rFonts w:ascii="Times New Roman" w:hAnsi="Times New Roman"/>
                <w:color w:val="000000"/>
                <w:kern w:val="0"/>
                <w:sz w:val="25"/>
                <w:szCs w:val="24"/>
              </w:rPr>
              <w:t>10.74%</w:t>
            </w:r>
          </w:p>
        </w:tc>
        <w:tc>
          <w:tcPr>
            <w:tcW w:w="750" w:type="pct"/>
            <w:tcBorders>
              <w:top w:val="single" w:color="auto" w:sz="4" w:space="0"/>
              <w:left w:val="single" w:color="auto" w:sz="4" w:space="0"/>
              <w:bottom w:val="single" w:color="auto" w:sz="4" w:space="0"/>
              <w:right w:val="single" w:color="auto" w:sz="4" w:space="0"/>
            </w:tcBorders>
            <w:vAlign w:val="center"/>
          </w:tcPr>
          <w:p w14:paraId="788B0612">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37B15C86">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color="auto" w:sz="4" w:space="0"/>
              <w:left w:val="single" w:color="auto" w:sz="4" w:space="0"/>
              <w:bottom w:val="single" w:color="auto" w:sz="4" w:space="0"/>
              <w:right w:val="single" w:color="auto" w:sz="4" w:space="0"/>
            </w:tcBorders>
            <w:vAlign w:val="center"/>
          </w:tcPr>
          <w:p w14:paraId="17BB261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14:paraId="5AEC3BAD">
            <w:pPr>
              <w:widowControl/>
              <w:snapToGrid w:val="0"/>
              <w:jc w:val="left"/>
              <w:rPr>
                <w:rFonts w:ascii="宋体" w:hAnsi="宋体"/>
                <w:color w:val="000000"/>
                <w:kern w:val="0"/>
                <w:sz w:val="25"/>
                <w:szCs w:val="24"/>
              </w:rPr>
            </w:pPr>
            <w:r>
              <w:rPr>
                <w:rFonts w:ascii="Times New Roman" w:hAnsi="Times New Roman"/>
                <w:color w:val="000000"/>
                <w:kern w:val="0"/>
                <w:sz w:val="25"/>
                <w:szCs w:val="24"/>
              </w:rPr>
              <w:t>7.84%</w:t>
            </w:r>
          </w:p>
        </w:tc>
        <w:tc>
          <w:tcPr>
            <w:tcW w:w="750" w:type="pct"/>
            <w:tcBorders>
              <w:top w:val="single" w:color="auto" w:sz="4" w:space="0"/>
              <w:left w:val="single" w:color="auto" w:sz="4" w:space="0"/>
              <w:bottom w:val="single" w:color="auto" w:sz="4" w:space="0"/>
              <w:right w:val="single" w:color="auto" w:sz="4" w:space="0"/>
            </w:tcBorders>
            <w:vAlign w:val="center"/>
          </w:tcPr>
          <w:p w14:paraId="5E483F7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14:paraId="0996CFC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6CBD29E">
            <w:pPr>
              <w:widowControl/>
              <w:snapToGrid w:val="0"/>
              <w:jc w:val="left"/>
              <w:rPr>
                <w:rFonts w:ascii="宋体" w:hAnsi="宋体"/>
                <w:color w:val="000000"/>
                <w:kern w:val="0"/>
                <w:sz w:val="25"/>
                <w:szCs w:val="24"/>
              </w:rPr>
            </w:pPr>
            <w:r>
              <w:rPr>
                <w:rFonts w:ascii="Times New Roman" w:hAnsi="Times New Roman"/>
                <w:color w:val="000000"/>
                <w:kern w:val="0"/>
                <w:sz w:val="25"/>
                <w:szCs w:val="24"/>
              </w:rPr>
              <w:t>2011年度</w:t>
            </w:r>
          </w:p>
        </w:tc>
        <w:tc>
          <w:tcPr>
            <w:tcW w:w="750" w:type="pct"/>
            <w:tcBorders>
              <w:top w:val="single" w:color="auto" w:sz="4" w:space="0"/>
              <w:left w:val="single" w:color="auto" w:sz="4" w:space="0"/>
              <w:bottom w:val="single" w:color="auto" w:sz="4" w:space="0"/>
              <w:right w:val="single" w:color="auto" w:sz="4" w:space="0"/>
            </w:tcBorders>
            <w:vAlign w:val="center"/>
          </w:tcPr>
          <w:p w14:paraId="1BA71DB2">
            <w:pPr>
              <w:widowControl/>
              <w:snapToGrid w:val="0"/>
              <w:jc w:val="left"/>
              <w:rPr>
                <w:rFonts w:ascii="宋体" w:hAnsi="宋体"/>
                <w:color w:val="000000"/>
                <w:kern w:val="0"/>
                <w:sz w:val="25"/>
                <w:szCs w:val="24"/>
              </w:rPr>
            </w:pPr>
            <w:r>
              <w:rPr>
                <w:rFonts w:ascii="Times New Roman" w:hAnsi="Times New Roman"/>
                <w:color w:val="000000"/>
                <w:kern w:val="0"/>
                <w:sz w:val="25"/>
                <w:szCs w:val="24"/>
              </w:rPr>
              <w:t>-5.74%</w:t>
            </w:r>
          </w:p>
        </w:tc>
        <w:tc>
          <w:tcPr>
            <w:tcW w:w="750" w:type="pct"/>
            <w:tcBorders>
              <w:top w:val="single" w:color="auto" w:sz="4" w:space="0"/>
              <w:left w:val="single" w:color="auto" w:sz="4" w:space="0"/>
              <w:bottom w:val="single" w:color="auto" w:sz="4" w:space="0"/>
              <w:right w:val="single" w:color="auto" w:sz="4" w:space="0"/>
            </w:tcBorders>
            <w:vAlign w:val="center"/>
          </w:tcPr>
          <w:p w14:paraId="76D91753">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color="auto" w:sz="4" w:space="0"/>
              <w:left w:val="single" w:color="auto" w:sz="4" w:space="0"/>
              <w:bottom w:val="single" w:color="auto" w:sz="4" w:space="0"/>
              <w:right w:val="single" w:color="auto" w:sz="4" w:space="0"/>
            </w:tcBorders>
            <w:vAlign w:val="center"/>
          </w:tcPr>
          <w:p w14:paraId="09A8D87E">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color="auto" w:sz="4" w:space="0"/>
              <w:left w:val="single" w:color="auto" w:sz="4" w:space="0"/>
              <w:bottom w:val="single" w:color="auto" w:sz="4" w:space="0"/>
              <w:right w:val="single" w:color="auto" w:sz="4" w:space="0"/>
            </w:tcBorders>
            <w:vAlign w:val="center"/>
          </w:tcPr>
          <w:p w14:paraId="420D3854">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4B4C5FF3">
            <w:pPr>
              <w:widowControl/>
              <w:snapToGrid w:val="0"/>
              <w:jc w:val="left"/>
              <w:rPr>
                <w:rFonts w:ascii="宋体" w:hAnsi="宋体"/>
                <w:color w:val="000000"/>
                <w:kern w:val="0"/>
                <w:sz w:val="25"/>
                <w:szCs w:val="24"/>
              </w:rPr>
            </w:pPr>
            <w:r>
              <w:rPr>
                <w:rFonts w:ascii="Times New Roman" w:hAnsi="Times New Roman"/>
                <w:color w:val="000000"/>
                <w:kern w:val="0"/>
                <w:sz w:val="25"/>
                <w:szCs w:val="24"/>
              </w:rPr>
              <w:t>-4.96%</w:t>
            </w:r>
          </w:p>
        </w:tc>
        <w:tc>
          <w:tcPr>
            <w:tcW w:w="750" w:type="pct"/>
            <w:tcBorders>
              <w:top w:val="single" w:color="auto" w:sz="4" w:space="0"/>
              <w:left w:val="single" w:color="auto" w:sz="4" w:space="0"/>
              <w:bottom w:val="single" w:color="auto" w:sz="4" w:space="0"/>
              <w:right w:val="single" w:color="auto" w:sz="4" w:space="0"/>
            </w:tcBorders>
            <w:vAlign w:val="center"/>
          </w:tcPr>
          <w:p w14:paraId="705236AF">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14:paraId="2C444A5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3FE5527">
            <w:pPr>
              <w:widowControl/>
              <w:snapToGrid w:val="0"/>
              <w:jc w:val="left"/>
              <w:rPr>
                <w:rFonts w:ascii="宋体" w:hAnsi="宋体"/>
                <w:color w:val="000000"/>
                <w:kern w:val="0"/>
                <w:sz w:val="25"/>
                <w:szCs w:val="24"/>
              </w:rPr>
            </w:pPr>
            <w:r>
              <w:rPr>
                <w:rFonts w:ascii="Times New Roman" w:hAnsi="Times New Roman"/>
                <w:color w:val="000000"/>
                <w:kern w:val="0"/>
                <w:sz w:val="25"/>
                <w:szCs w:val="24"/>
              </w:rPr>
              <w:t>2010年度</w:t>
            </w:r>
          </w:p>
        </w:tc>
        <w:tc>
          <w:tcPr>
            <w:tcW w:w="750" w:type="pct"/>
            <w:tcBorders>
              <w:top w:val="single" w:color="auto" w:sz="4" w:space="0"/>
              <w:left w:val="single" w:color="auto" w:sz="4" w:space="0"/>
              <w:bottom w:val="single" w:color="auto" w:sz="4" w:space="0"/>
              <w:right w:val="single" w:color="auto" w:sz="4" w:space="0"/>
            </w:tcBorders>
            <w:vAlign w:val="center"/>
          </w:tcPr>
          <w:p w14:paraId="115E1FB1">
            <w:pPr>
              <w:widowControl/>
              <w:snapToGrid w:val="0"/>
              <w:jc w:val="left"/>
              <w:rPr>
                <w:rFonts w:ascii="宋体" w:hAnsi="宋体"/>
                <w:color w:val="000000"/>
                <w:kern w:val="0"/>
                <w:sz w:val="25"/>
                <w:szCs w:val="24"/>
              </w:rPr>
            </w:pPr>
            <w:r>
              <w:rPr>
                <w:rFonts w:ascii="Times New Roman" w:hAnsi="Times New Roman"/>
                <w:color w:val="000000"/>
                <w:kern w:val="0"/>
                <w:sz w:val="25"/>
                <w:szCs w:val="24"/>
              </w:rPr>
              <w:t>5.57%</w:t>
            </w:r>
          </w:p>
        </w:tc>
        <w:tc>
          <w:tcPr>
            <w:tcW w:w="750" w:type="pct"/>
            <w:tcBorders>
              <w:top w:val="single" w:color="auto" w:sz="4" w:space="0"/>
              <w:left w:val="single" w:color="auto" w:sz="4" w:space="0"/>
              <w:bottom w:val="single" w:color="auto" w:sz="4" w:space="0"/>
              <w:right w:val="single" w:color="auto" w:sz="4" w:space="0"/>
            </w:tcBorders>
            <w:vAlign w:val="center"/>
          </w:tcPr>
          <w:p w14:paraId="22DD676C">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color="auto" w:sz="4" w:space="0"/>
              <w:left w:val="single" w:color="auto" w:sz="4" w:space="0"/>
              <w:bottom w:val="single" w:color="auto" w:sz="4" w:space="0"/>
              <w:right w:val="single" w:color="auto" w:sz="4" w:space="0"/>
            </w:tcBorders>
            <w:vAlign w:val="center"/>
          </w:tcPr>
          <w:p w14:paraId="57EB49B4">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14:paraId="2A176B72">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color="auto" w:sz="4" w:space="0"/>
              <w:left w:val="single" w:color="auto" w:sz="4" w:space="0"/>
              <w:bottom w:val="single" w:color="auto" w:sz="4" w:space="0"/>
              <w:right w:val="single" w:color="auto" w:sz="4" w:space="0"/>
            </w:tcBorders>
            <w:vAlign w:val="center"/>
          </w:tcPr>
          <w:p w14:paraId="715F97A4">
            <w:pPr>
              <w:widowControl/>
              <w:snapToGrid w:val="0"/>
              <w:jc w:val="left"/>
              <w:rPr>
                <w:rFonts w:ascii="宋体" w:hAnsi="宋体"/>
                <w:color w:val="000000"/>
                <w:kern w:val="0"/>
                <w:sz w:val="25"/>
                <w:szCs w:val="24"/>
              </w:rPr>
            </w:pPr>
            <w:r>
              <w:rPr>
                <w:rFonts w:ascii="Times New Roman" w:hAnsi="Times New Roman"/>
                <w:color w:val="000000"/>
                <w:kern w:val="0"/>
                <w:sz w:val="25"/>
                <w:szCs w:val="24"/>
              </w:rPr>
              <w:t>5.06%</w:t>
            </w:r>
          </w:p>
        </w:tc>
        <w:tc>
          <w:tcPr>
            <w:tcW w:w="750" w:type="pct"/>
            <w:tcBorders>
              <w:top w:val="single" w:color="auto" w:sz="4" w:space="0"/>
              <w:left w:val="single" w:color="auto" w:sz="4" w:space="0"/>
              <w:bottom w:val="single" w:color="auto" w:sz="4" w:space="0"/>
              <w:right w:val="single" w:color="auto" w:sz="4" w:space="0"/>
            </w:tcBorders>
            <w:vAlign w:val="center"/>
          </w:tcPr>
          <w:p w14:paraId="30F6383D">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14:paraId="1B1174B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592A669">
            <w:pPr>
              <w:widowControl/>
              <w:snapToGrid w:val="0"/>
              <w:jc w:val="left"/>
              <w:rPr>
                <w:rFonts w:ascii="宋体" w:hAnsi="宋体"/>
                <w:color w:val="000000"/>
                <w:kern w:val="0"/>
                <w:sz w:val="25"/>
                <w:szCs w:val="24"/>
              </w:rPr>
            </w:pPr>
            <w:r>
              <w:rPr>
                <w:rFonts w:ascii="Times New Roman" w:hAnsi="Times New Roman"/>
                <w:color w:val="000000"/>
                <w:kern w:val="0"/>
                <w:sz w:val="25"/>
                <w:szCs w:val="24"/>
              </w:rPr>
              <w:t>2009年度</w:t>
            </w:r>
          </w:p>
        </w:tc>
        <w:tc>
          <w:tcPr>
            <w:tcW w:w="750" w:type="pct"/>
            <w:tcBorders>
              <w:top w:val="single" w:color="auto" w:sz="4" w:space="0"/>
              <w:left w:val="single" w:color="auto" w:sz="4" w:space="0"/>
              <w:bottom w:val="single" w:color="auto" w:sz="4" w:space="0"/>
              <w:right w:val="single" w:color="auto" w:sz="4" w:space="0"/>
            </w:tcBorders>
            <w:vAlign w:val="center"/>
          </w:tcPr>
          <w:p w14:paraId="45B88075">
            <w:pPr>
              <w:widowControl/>
              <w:snapToGrid w:val="0"/>
              <w:jc w:val="left"/>
              <w:rPr>
                <w:rFonts w:ascii="宋体" w:hAnsi="宋体"/>
                <w:color w:val="000000"/>
                <w:kern w:val="0"/>
                <w:sz w:val="25"/>
                <w:szCs w:val="24"/>
              </w:rPr>
            </w:pPr>
            <w:r>
              <w:rPr>
                <w:rFonts w:ascii="Times New Roman" w:hAnsi="Times New Roman"/>
                <w:color w:val="000000"/>
                <w:kern w:val="0"/>
                <w:sz w:val="25"/>
                <w:szCs w:val="24"/>
              </w:rPr>
              <w:t>6.97%</w:t>
            </w:r>
          </w:p>
        </w:tc>
        <w:tc>
          <w:tcPr>
            <w:tcW w:w="750" w:type="pct"/>
            <w:tcBorders>
              <w:top w:val="single" w:color="auto" w:sz="4" w:space="0"/>
              <w:left w:val="single" w:color="auto" w:sz="4" w:space="0"/>
              <w:bottom w:val="single" w:color="auto" w:sz="4" w:space="0"/>
              <w:right w:val="single" w:color="auto" w:sz="4" w:space="0"/>
            </w:tcBorders>
            <w:vAlign w:val="center"/>
          </w:tcPr>
          <w:p w14:paraId="0D0C4AA1">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color="auto" w:sz="4" w:space="0"/>
              <w:left w:val="single" w:color="auto" w:sz="4" w:space="0"/>
              <w:bottom w:val="single" w:color="auto" w:sz="4" w:space="0"/>
              <w:right w:val="single" w:color="auto" w:sz="4" w:space="0"/>
            </w:tcBorders>
            <w:vAlign w:val="center"/>
          </w:tcPr>
          <w:p w14:paraId="25F7F443">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color="auto" w:sz="4" w:space="0"/>
              <w:left w:val="single" w:color="auto" w:sz="4" w:space="0"/>
              <w:bottom w:val="single" w:color="auto" w:sz="4" w:space="0"/>
              <w:right w:val="single" w:color="auto" w:sz="4" w:space="0"/>
            </w:tcBorders>
            <w:vAlign w:val="center"/>
          </w:tcPr>
          <w:p w14:paraId="558DEDA6">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7530A57A">
            <w:pPr>
              <w:widowControl/>
              <w:snapToGrid w:val="0"/>
              <w:jc w:val="left"/>
              <w:rPr>
                <w:rFonts w:ascii="宋体" w:hAnsi="宋体"/>
                <w:color w:val="000000"/>
                <w:kern w:val="0"/>
                <w:sz w:val="25"/>
                <w:szCs w:val="24"/>
              </w:rPr>
            </w:pPr>
            <w:r>
              <w:rPr>
                <w:rFonts w:ascii="Times New Roman" w:hAnsi="Times New Roman"/>
                <w:color w:val="000000"/>
                <w:kern w:val="0"/>
                <w:sz w:val="25"/>
                <w:szCs w:val="24"/>
              </w:rPr>
              <w:t>10.42%</w:t>
            </w:r>
          </w:p>
        </w:tc>
        <w:tc>
          <w:tcPr>
            <w:tcW w:w="750" w:type="pct"/>
            <w:tcBorders>
              <w:top w:val="single" w:color="auto" w:sz="4" w:space="0"/>
              <w:left w:val="single" w:color="auto" w:sz="4" w:space="0"/>
              <w:bottom w:val="single" w:color="auto" w:sz="4" w:space="0"/>
              <w:right w:val="single" w:color="auto" w:sz="4" w:space="0"/>
            </w:tcBorders>
            <w:vAlign w:val="center"/>
          </w:tcPr>
          <w:p w14:paraId="43873DF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14:paraId="7B64446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5741ECD">
            <w:pPr>
              <w:widowControl/>
              <w:snapToGrid w:val="0"/>
              <w:jc w:val="left"/>
              <w:rPr>
                <w:rFonts w:ascii="宋体" w:hAnsi="宋体"/>
                <w:color w:val="000000"/>
                <w:kern w:val="0"/>
                <w:sz w:val="25"/>
                <w:szCs w:val="24"/>
              </w:rPr>
            </w:pPr>
            <w:r>
              <w:rPr>
                <w:rFonts w:ascii="Times New Roman" w:hAnsi="Times New Roman"/>
                <w:color w:val="000000"/>
                <w:kern w:val="0"/>
                <w:sz w:val="25"/>
                <w:szCs w:val="24"/>
              </w:rPr>
              <w:t>2008年度（自基金合同生效日起至2008年12月31日）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1046364C">
            <w:pPr>
              <w:widowControl/>
              <w:snapToGrid w:val="0"/>
              <w:jc w:val="left"/>
              <w:rPr>
                <w:rFonts w:ascii="宋体" w:hAnsi="宋体"/>
                <w:color w:val="000000"/>
                <w:kern w:val="0"/>
                <w:sz w:val="25"/>
                <w:szCs w:val="24"/>
              </w:rPr>
            </w:pPr>
            <w:r>
              <w:rPr>
                <w:rFonts w:ascii="Times New Roman" w:hAnsi="Times New Roman"/>
                <w:color w:val="000000"/>
                <w:kern w:val="0"/>
                <w:sz w:val="25"/>
                <w:szCs w:val="24"/>
              </w:rPr>
              <w:t>13.04%</w:t>
            </w:r>
          </w:p>
        </w:tc>
        <w:tc>
          <w:tcPr>
            <w:tcW w:w="750" w:type="pct"/>
            <w:tcBorders>
              <w:top w:val="single" w:color="auto" w:sz="4" w:space="0"/>
              <w:left w:val="single" w:color="auto" w:sz="4" w:space="0"/>
              <w:bottom w:val="single" w:color="auto" w:sz="4" w:space="0"/>
              <w:right w:val="single" w:color="auto" w:sz="4" w:space="0"/>
            </w:tcBorders>
            <w:vAlign w:val="center"/>
          </w:tcPr>
          <w:p w14:paraId="40897A0B">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0D98131C">
            <w:pPr>
              <w:widowControl/>
              <w:snapToGrid w:val="0"/>
              <w:jc w:val="left"/>
              <w:rPr>
                <w:rFonts w:ascii="宋体" w:hAnsi="宋体"/>
                <w:color w:val="000000"/>
                <w:kern w:val="0"/>
                <w:sz w:val="25"/>
                <w:szCs w:val="24"/>
              </w:rPr>
            </w:pPr>
            <w:r>
              <w:rPr>
                <w:rFonts w:ascii="Times New Roman" w:hAnsi="Times New Roman"/>
                <w:color w:val="000000"/>
                <w:kern w:val="0"/>
                <w:sz w:val="25"/>
                <w:szCs w:val="24"/>
              </w:rPr>
              <w:t>9.84%</w:t>
            </w:r>
          </w:p>
        </w:tc>
        <w:tc>
          <w:tcPr>
            <w:tcW w:w="750" w:type="pct"/>
            <w:tcBorders>
              <w:top w:val="single" w:color="auto" w:sz="4" w:space="0"/>
              <w:left w:val="single" w:color="auto" w:sz="4" w:space="0"/>
              <w:bottom w:val="single" w:color="auto" w:sz="4" w:space="0"/>
              <w:right w:val="single" w:color="auto" w:sz="4" w:space="0"/>
            </w:tcBorders>
            <w:vAlign w:val="center"/>
          </w:tcPr>
          <w:p w14:paraId="37E1AC3B">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color="auto" w:sz="4" w:space="0"/>
              <w:left w:val="single" w:color="auto" w:sz="4" w:space="0"/>
              <w:bottom w:val="single" w:color="auto" w:sz="4" w:space="0"/>
              <w:right w:val="single" w:color="auto" w:sz="4" w:space="0"/>
            </w:tcBorders>
            <w:vAlign w:val="center"/>
          </w:tcPr>
          <w:p w14:paraId="3EB4F79F">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color="auto" w:sz="4" w:space="0"/>
              <w:left w:val="single" w:color="auto" w:sz="4" w:space="0"/>
              <w:bottom w:val="single" w:color="auto" w:sz="4" w:space="0"/>
              <w:right w:val="single" w:color="auto" w:sz="4" w:space="0"/>
            </w:tcBorders>
            <w:vAlign w:val="center"/>
          </w:tcPr>
          <w:p w14:paraId="06E95018">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14:paraId="12AB9B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（2）交银增利债券C</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5A94D029">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9B8925B">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44FF133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6518A38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11F26676">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058EDB2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03303AED">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7E6221B6">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512EE40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2933D1A">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788DD29F">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color="auto" w:sz="4" w:space="0"/>
              <w:left w:val="single" w:color="auto" w:sz="4" w:space="0"/>
              <w:bottom w:val="single" w:color="auto" w:sz="4" w:space="0"/>
              <w:right w:val="single" w:color="auto" w:sz="4" w:space="0"/>
            </w:tcBorders>
            <w:vAlign w:val="center"/>
          </w:tcPr>
          <w:p w14:paraId="6F722A89">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7E043B3C">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color="auto" w:sz="4" w:space="0"/>
              <w:left w:val="single" w:color="auto" w:sz="4" w:space="0"/>
              <w:bottom w:val="single" w:color="auto" w:sz="4" w:space="0"/>
              <w:right w:val="single" w:color="auto" w:sz="4" w:space="0"/>
            </w:tcBorders>
            <w:vAlign w:val="center"/>
          </w:tcPr>
          <w:p w14:paraId="4C2B67A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5C24866F">
            <w:pPr>
              <w:widowControl/>
              <w:snapToGrid w:val="0"/>
              <w:jc w:val="left"/>
              <w:rPr>
                <w:rFonts w:ascii="宋体" w:hAnsi="宋体"/>
                <w:color w:val="000000"/>
                <w:kern w:val="0"/>
                <w:sz w:val="25"/>
                <w:szCs w:val="24"/>
              </w:rPr>
            </w:pPr>
            <w:r>
              <w:rPr>
                <w:rFonts w:ascii="Times New Roman" w:hAnsi="Times New Roman"/>
                <w:color w:val="000000"/>
                <w:kern w:val="0"/>
                <w:sz w:val="25"/>
                <w:szCs w:val="24"/>
              </w:rPr>
              <w:t>2.33%</w:t>
            </w:r>
          </w:p>
        </w:tc>
        <w:tc>
          <w:tcPr>
            <w:tcW w:w="750" w:type="pct"/>
            <w:tcBorders>
              <w:top w:val="single" w:color="auto" w:sz="4" w:space="0"/>
              <w:left w:val="single" w:color="auto" w:sz="4" w:space="0"/>
              <w:bottom w:val="single" w:color="auto" w:sz="4" w:space="0"/>
              <w:right w:val="single" w:color="auto" w:sz="4" w:space="0"/>
            </w:tcBorders>
            <w:vAlign w:val="center"/>
          </w:tcPr>
          <w:p w14:paraId="2F36147D">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7AE56B7A">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C85E0A6">
            <w:pPr>
              <w:widowControl/>
              <w:snapToGrid w:val="0"/>
              <w:jc w:val="left"/>
              <w:rPr>
                <w:rFonts w:ascii="宋体" w:hAnsi="宋体"/>
                <w:color w:val="000000"/>
                <w:kern w:val="0"/>
                <w:sz w:val="25"/>
                <w:szCs w:val="24"/>
              </w:rPr>
            </w:pPr>
            <w:r>
              <w:rPr>
                <w:rFonts w:ascii="Times New Roman" w:hAnsi="Times New Roman"/>
                <w:color w:val="000000"/>
                <w:kern w:val="0"/>
                <w:sz w:val="25"/>
                <w:szCs w:val="24"/>
              </w:rPr>
              <w:t>2025上半年</w:t>
            </w:r>
          </w:p>
        </w:tc>
        <w:tc>
          <w:tcPr>
            <w:tcW w:w="750" w:type="pct"/>
            <w:tcBorders>
              <w:top w:val="single" w:color="auto" w:sz="4" w:space="0"/>
              <w:left w:val="single" w:color="auto" w:sz="4" w:space="0"/>
              <w:bottom w:val="single" w:color="auto" w:sz="4" w:space="0"/>
              <w:right w:val="single" w:color="auto" w:sz="4" w:space="0"/>
            </w:tcBorders>
            <w:vAlign w:val="center"/>
          </w:tcPr>
          <w:p w14:paraId="408637CA">
            <w:pPr>
              <w:widowControl/>
              <w:snapToGrid w:val="0"/>
              <w:jc w:val="left"/>
              <w:rPr>
                <w:rFonts w:ascii="宋体" w:hAnsi="宋体"/>
                <w:color w:val="000000"/>
                <w:kern w:val="0"/>
                <w:sz w:val="25"/>
                <w:szCs w:val="24"/>
              </w:rPr>
            </w:pPr>
            <w:r>
              <w:rPr>
                <w:rFonts w:ascii="Times New Roman" w:hAnsi="Times New Roman"/>
                <w:color w:val="000000"/>
                <w:kern w:val="0"/>
                <w:sz w:val="25"/>
                <w:szCs w:val="24"/>
              </w:rPr>
              <w:t>1.94%</w:t>
            </w:r>
          </w:p>
        </w:tc>
        <w:tc>
          <w:tcPr>
            <w:tcW w:w="750" w:type="pct"/>
            <w:tcBorders>
              <w:top w:val="single" w:color="auto" w:sz="4" w:space="0"/>
              <w:left w:val="single" w:color="auto" w:sz="4" w:space="0"/>
              <w:bottom w:val="single" w:color="auto" w:sz="4" w:space="0"/>
              <w:right w:val="single" w:color="auto" w:sz="4" w:space="0"/>
            </w:tcBorders>
            <w:vAlign w:val="center"/>
          </w:tcPr>
          <w:p w14:paraId="2B886051">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0D966939">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color="auto" w:sz="4" w:space="0"/>
              <w:left w:val="single" w:color="auto" w:sz="4" w:space="0"/>
              <w:bottom w:val="single" w:color="auto" w:sz="4" w:space="0"/>
              <w:right w:val="single" w:color="auto" w:sz="4" w:space="0"/>
            </w:tcBorders>
            <w:vAlign w:val="center"/>
          </w:tcPr>
          <w:p w14:paraId="31FF6C5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43B1A0B5">
            <w:pPr>
              <w:widowControl/>
              <w:snapToGrid w:val="0"/>
              <w:jc w:val="left"/>
              <w:rPr>
                <w:rFonts w:ascii="宋体" w:hAnsi="宋体"/>
                <w:color w:val="000000"/>
                <w:kern w:val="0"/>
                <w:sz w:val="25"/>
                <w:szCs w:val="24"/>
              </w:rPr>
            </w:pPr>
            <w:r>
              <w:rPr>
                <w:rFonts w:ascii="Times New Roman" w:hAnsi="Times New Roman"/>
                <w:color w:val="000000"/>
                <w:kern w:val="0"/>
                <w:sz w:val="25"/>
                <w:szCs w:val="24"/>
              </w:rPr>
              <w:t>2.84%</w:t>
            </w:r>
          </w:p>
        </w:tc>
        <w:tc>
          <w:tcPr>
            <w:tcW w:w="750" w:type="pct"/>
            <w:tcBorders>
              <w:top w:val="single" w:color="auto" w:sz="4" w:space="0"/>
              <w:left w:val="single" w:color="auto" w:sz="4" w:space="0"/>
              <w:bottom w:val="single" w:color="auto" w:sz="4" w:space="0"/>
              <w:right w:val="single" w:color="auto" w:sz="4" w:space="0"/>
            </w:tcBorders>
            <w:vAlign w:val="center"/>
          </w:tcPr>
          <w:p w14:paraId="357FDF45">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14:paraId="31A06A5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7CFADF1">
            <w:pPr>
              <w:widowControl/>
              <w:snapToGrid w:val="0"/>
              <w:jc w:val="left"/>
              <w:rPr>
                <w:rFonts w:ascii="宋体" w:hAnsi="宋体"/>
                <w:color w:val="000000"/>
                <w:kern w:val="0"/>
                <w:sz w:val="25"/>
                <w:szCs w:val="24"/>
              </w:rPr>
            </w:pPr>
            <w:r>
              <w:rPr>
                <w:rFonts w:ascii="Times New Roman" w:hAnsi="Times New Roman"/>
                <w:color w:val="000000"/>
                <w:kern w:val="0"/>
                <w:sz w:val="25"/>
                <w:szCs w:val="24"/>
              </w:rPr>
              <w:t>2024年度</w:t>
            </w:r>
          </w:p>
        </w:tc>
        <w:tc>
          <w:tcPr>
            <w:tcW w:w="750" w:type="pct"/>
            <w:tcBorders>
              <w:top w:val="single" w:color="auto" w:sz="4" w:space="0"/>
              <w:left w:val="single" w:color="auto" w:sz="4" w:space="0"/>
              <w:bottom w:val="single" w:color="auto" w:sz="4" w:space="0"/>
              <w:right w:val="single" w:color="auto" w:sz="4" w:space="0"/>
            </w:tcBorders>
            <w:vAlign w:val="center"/>
          </w:tcPr>
          <w:p w14:paraId="7B42E704">
            <w:pPr>
              <w:widowControl/>
              <w:snapToGrid w:val="0"/>
              <w:jc w:val="left"/>
              <w:rPr>
                <w:rFonts w:ascii="宋体" w:hAnsi="宋体"/>
                <w:color w:val="000000"/>
                <w:kern w:val="0"/>
                <w:sz w:val="25"/>
                <w:szCs w:val="24"/>
              </w:rPr>
            </w:pPr>
            <w:r>
              <w:rPr>
                <w:rFonts w:ascii="Times New Roman" w:hAnsi="Times New Roman"/>
                <w:color w:val="000000"/>
                <w:kern w:val="0"/>
                <w:sz w:val="25"/>
                <w:szCs w:val="24"/>
              </w:rPr>
              <w:t>4.91%</w:t>
            </w:r>
          </w:p>
        </w:tc>
        <w:tc>
          <w:tcPr>
            <w:tcW w:w="750" w:type="pct"/>
            <w:tcBorders>
              <w:top w:val="single" w:color="auto" w:sz="4" w:space="0"/>
              <w:left w:val="single" w:color="auto" w:sz="4" w:space="0"/>
              <w:bottom w:val="single" w:color="auto" w:sz="4" w:space="0"/>
              <w:right w:val="single" w:color="auto" w:sz="4" w:space="0"/>
            </w:tcBorders>
            <w:vAlign w:val="center"/>
          </w:tcPr>
          <w:p w14:paraId="45F94BA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7EACD73C">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color="auto" w:sz="4" w:space="0"/>
              <w:left w:val="single" w:color="auto" w:sz="4" w:space="0"/>
              <w:bottom w:val="single" w:color="auto" w:sz="4" w:space="0"/>
              <w:right w:val="single" w:color="auto" w:sz="4" w:space="0"/>
            </w:tcBorders>
            <w:vAlign w:val="center"/>
          </w:tcPr>
          <w:p w14:paraId="652572DE">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3DB0DE11">
            <w:pPr>
              <w:widowControl/>
              <w:snapToGrid w:val="0"/>
              <w:jc w:val="left"/>
              <w:rPr>
                <w:rFonts w:ascii="宋体" w:hAnsi="宋体"/>
                <w:color w:val="000000"/>
                <w:kern w:val="0"/>
                <w:sz w:val="25"/>
                <w:szCs w:val="24"/>
              </w:rPr>
            </w:pPr>
            <w:r>
              <w:rPr>
                <w:rFonts w:ascii="Times New Roman" w:hAnsi="Times New Roman"/>
                <w:color w:val="000000"/>
                <w:kern w:val="0"/>
                <w:sz w:val="25"/>
                <w:szCs w:val="24"/>
              </w:rPr>
              <w:t>3.76%</w:t>
            </w:r>
          </w:p>
        </w:tc>
        <w:tc>
          <w:tcPr>
            <w:tcW w:w="750" w:type="pct"/>
            <w:tcBorders>
              <w:top w:val="single" w:color="auto" w:sz="4" w:space="0"/>
              <w:left w:val="single" w:color="auto" w:sz="4" w:space="0"/>
              <w:bottom w:val="single" w:color="auto" w:sz="4" w:space="0"/>
              <w:right w:val="single" w:color="auto" w:sz="4" w:space="0"/>
            </w:tcBorders>
            <w:vAlign w:val="center"/>
          </w:tcPr>
          <w:p w14:paraId="473699C3">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293BB97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BE4B39A">
            <w:pPr>
              <w:widowControl/>
              <w:snapToGrid w:val="0"/>
              <w:jc w:val="left"/>
              <w:rPr>
                <w:rFonts w:ascii="宋体" w:hAnsi="宋体"/>
                <w:color w:val="000000"/>
                <w:kern w:val="0"/>
                <w:sz w:val="25"/>
                <w:szCs w:val="24"/>
              </w:rPr>
            </w:pPr>
            <w:r>
              <w:rPr>
                <w:rFonts w:ascii="Times New Roman" w:hAnsi="Times New Roman"/>
                <w:color w:val="000000"/>
                <w:kern w:val="0"/>
                <w:sz w:val="25"/>
                <w:szCs w:val="24"/>
              </w:rPr>
              <w:t>2023年度</w:t>
            </w:r>
          </w:p>
        </w:tc>
        <w:tc>
          <w:tcPr>
            <w:tcW w:w="750" w:type="pct"/>
            <w:tcBorders>
              <w:top w:val="single" w:color="auto" w:sz="4" w:space="0"/>
              <w:left w:val="single" w:color="auto" w:sz="4" w:space="0"/>
              <w:bottom w:val="single" w:color="auto" w:sz="4" w:space="0"/>
              <w:right w:val="single" w:color="auto" w:sz="4" w:space="0"/>
            </w:tcBorders>
            <w:vAlign w:val="center"/>
          </w:tcPr>
          <w:p w14:paraId="070D80DD">
            <w:pPr>
              <w:widowControl/>
              <w:snapToGrid w:val="0"/>
              <w:jc w:val="left"/>
              <w:rPr>
                <w:rFonts w:ascii="宋体" w:hAnsi="宋体"/>
                <w:color w:val="000000"/>
                <w:kern w:val="0"/>
                <w:sz w:val="25"/>
                <w:szCs w:val="24"/>
              </w:rPr>
            </w:pPr>
            <w:r>
              <w:rPr>
                <w:rFonts w:ascii="Times New Roman" w:hAnsi="Times New Roman"/>
                <w:color w:val="000000"/>
                <w:kern w:val="0"/>
                <w:sz w:val="25"/>
                <w:szCs w:val="24"/>
              </w:rPr>
              <w:t>3.13%</w:t>
            </w:r>
          </w:p>
        </w:tc>
        <w:tc>
          <w:tcPr>
            <w:tcW w:w="750" w:type="pct"/>
            <w:tcBorders>
              <w:top w:val="single" w:color="auto" w:sz="4" w:space="0"/>
              <w:left w:val="single" w:color="auto" w:sz="4" w:space="0"/>
              <w:bottom w:val="single" w:color="auto" w:sz="4" w:space="0"/>
              <w:right w:val="single" w:color="auto" w:sz="4" w:space="0"/>
            </w:tcBorders>
            <w:vAlign w:val="center"/>
          </w:tcPr>
          <w:p w14:paraId="0358F66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14:paraId="0FAACB0D">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color="auto" w:sz="4" w:space="0"/>
              <w:left w:val="single" w:color="auto" w:sz="4" w:space="0"/>
              <w:bottom w:val="single" w:color="auto" w:sz="4" w:space="0"/>
              <w:right w:val="single" w:color="auto" w:sz="4" w:space="0"/>
            </w:tcBorders>
            <w:vAlign w:val="center"/>
          </w:tcPr>
          <w:p w14:paraId="12A8E93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107DA8A3">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color="auto" w:sz="4" w:space="0"/>
              <w:left w:val="single" w:color="auto" w:sz="4" w:space="0"/>
              <w:bottom w:val="single" w:color="auto" w:sz="4" w:space="0"/>
              <w:right w:val="single" w:color="auto" w:sz="4" w:space="0"/>
            </w:tcBorders>
            <w:vAlign w:val="center"/>
          </w:tcPr>
          <w:p w14:paraId="4DA6BF7D">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14:paraId="7960E78D">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841818D">
            <w:pPr>
              <w:widowControl/>
              <w:snapToGrid w:val="0"/>
              <w:jc w:val="left"/>
              <w:rPr>
                <w:rFonts w:ascii="宋体" w:hAnsi="宋体"/>
                <w:color w:val="000000"/>
                <w:kern w:val="0"/>
                <w:sz w:val="25"/>
                <w:szCs w:val="24"/>
              </w:rPr>
            </w:pPr>
            <w:r>
              <w:rPr>
                <w:rFonts w:ascii="Times New Roman" w:hAnsi="Times New Roman"/>
                <w:color w:val="000000"/>
                <w:kern w:val="0"/>
                <w:sz w:val="25"/>
                <w:szCs w:val="24"/>
              </w:rPr>
              <w:t>2022年度</w:t>
            </w:r>
          </w:p>
        </w:tc>
        <w:tc>
          <w:tcPr>
            <w:tcW w:w="750" w:type="pct"/>
            <w:tcBorders>
              <w:top w:val="single" w:color="auto" w:sz="4" w:space="0"/>
              <w:left w:val="single" w:color="auto" w:sz="4" w:space="0"/>
              <w:bottom w:val="single" w:color="auto" w:sz="4" w:space="0"/>
              <w:right w:val="single" w:color="auto" w:sz="4" w:space="0"/>
            </w:tcBorders>
            <w:vAlign w:val="center"/>
          </w:tcPr>
          <w:p w14:paraId="647D7190">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color="auto" w:sz="4" w:space="0"/>
              <w:left w:val="single" w:color="auto" w:sz="4" w:space="0"/>
              <w:bottom w:val="single" w:color="auto" w:sz="4" w:space="0"/>
              <w:right w:val="single" w:color="auto" w:sz="4" w:space="0"/>
            </w:tcBorders>
            <w:vAlign w:val="center"/>
          </w:tcPr>
          <w:p w14:paraId="209E2CAD">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color="auto" w:sz="4" w:space="0"/>
              <w:left w:val="single" w:color="auto" w:sz="4" w:space="0"/>
              <w:bottom w:val="single" w:color="auto" w:sz="4" w:space="0"/>
              <w:right w:val="single" w:color="auto" w:sz="4" w:space="0"/>
            </w:tcBorders>
            <w:vAlign w:val="center"/>
          </w:tcPr>
          <w:p w14:paraId="3F31B8D8">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color="auto" w:sz="4" w:space="0"/>
              <w:left w:val="single" w:color="auto" w:sz="4" w:space="0"/>
              <w:bottom w:val="single" w:color="auto" w:sz="4" w:space="0"/>
              <w:right w:val="single" w:color="auto" w:sz="4" w:space="0"/>
            </w:tcBorders>
            <w:vAlign w:val="center"/>
          </w:tcPr>
          <w:p w14:paraId="0D038F1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5D4740B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5C6B713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6BFEC21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1C5D77D4">
            <w:pPr>
              <w:widowControl/>
              <w:snapToGrid w:val="0"/>
              <w:jc w:val="left"/>
              <w:rPr>
                <w:rFonts w:ascii="宋体" w:hAnsi="宋体"/>
                <w:color w:val="000000"/>
                <w:kern w:val="0"/>
                <w:sz w:val="25"/>
                <w:szCs w:val="24"/>
              </w:rPr>
            </w:pPr>
            <w:r>
              <w:rPr>
                <w:rFonts w:ascii="Times New Roman" w:hAnsi="Times New Roman"/>
                <w:color w:val="000000"/>
                <w:kern w:val="0"/>
                <w:sz w:val="25"/>
                <w:szCs w:val="24"/>
              </w:rPr>
              <w:t>2021年度</w:t>
            </w:r>
          </w:p>
        </w:tc>
        <w:tc>
          <w:tcPr>
            <w:tcW w:w="750" w:type="pct"/>
            <w:tcBorders>
              <w:top w:val="single" w:color="auto" w:sz="4" w:space="0"/>
              <w:left w:val="single" w:color="auto" w:sz="4" w:space="0"/>
              <w:bottom w:val="single" w:color="auto" w:sz="4" w:space="0"/>
              <w:right w:val="single" w:color="auto" w:sz="4" w:space="0"/>
            </w:tcBorders>
            <w:vAlign w:val="center"/>
          </w:tcPr>
          <w:p w14:paraId="2DF691D7">
            <w:pPr>
              <w:widowControl/>
              <w:snapToGrid w:val="0"/>
              <w:jc w:val="left"/>
              <w:rPr>
                <w:rFonts w:ascii="宋体" w:hAnsi="宋体"/>
                <w:color w:val="000000"/>
                <w:kern w:val="0"/>
                <w:sz w:val="25"/>
                <w:szCs w:val="24"/>
              </w:rPr>
            </w:pPr>
            <w:r>
              <w:rPr>
                <w:rFonts w:ascii="Times New Roman" w:hAnsi="Times New Roman"/>
                <w:color w:val="000000"/>
                <w:kern w:val="0"/>
                <w:sz w:val="25"/>
                <w:szCs w:val="24"/>
              </w:rPr>
              <w:t>8.74%</w:t>
            </w:r>
          </w:p>
        </w:tc>
        <w:tc>
          <w:tcPr>
            <w:tcW w:w="750" w:type="pct"/>
            <w:tcBorders>
              <w:top w:val="single" w:color="auto" w:sz="4" w:space="0"/>
              <w:left w:val="single" w:color="auto" w:sz="4" w:space="0"/>
              <w:bottom w:val="single" w:color="auto" w:sz="4" w:space="0"/>
              <w:right w:val="single" w:color="auto" w:sz="4" w:space="0"/>
            </w:tcBorders>
            <w:vAlign w:val="center"/>
          </w:tcPr>
          <w:p w14:paraId="37BA45BA">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color="auto" w:sz="4" w:space="0"/>
              <w:left w:val="single" w:color="auto" w:sz="4" w:space="0"/>
              <w:bottom w:val="single" w:color="auto" w:sz="4" w:space="0"/>
              <w:right w:val="single" w:color="auto" w:sz="4" w:space="0"/>
            </w:tcBorders>
            <w:vAlign w:val="center"/>
          </w:tcPr>
          <w:p w14:paraId="2795C1CF">
            <w:pPr>
              <w:widowControl/>
              <w:snapToGrid w:val="0"/>
              <w:jc w:val="left"/>
              <w:rPr>
                <w:rFonts w:ascii="宋体" w:hAnsi="宋体"/>
                <w:color w:val="000000"/>
                <w:kern w:val="0"/>
                <w:sz w:val="25"/>
                <w:szCs w:val="24"/>
              </w:rPr>
            </w:pPr>
            <w:r>
              <w:rPr>
                <w:rFonts w:ascii="Times New Roman" w:hAnsi="Times New Roman"/>
                <w:color w:val="000000"/>
                <w:kern w:val="0"/>
                <w:sz w:val="25"/>
                <w:szCs w:val="24"/>
              </w:rPr>
              <w:t>1.12%</w:t>
            </w:r>
          </w:p>
        </w:tc>
        <w:tc>
          <w:tcPr>
            <w:tcW w:w="750" w:type="pct"/>
            <w:tcBorders>
              <w:top w:val="single" w:color="auto" w:sz="4" w:space="0"/>
              <w:left w:val="single" w:color="auto" w:sz="4" w:space="0"/>
              <w:bottom w:val="single" w:color="auto" w:sz="4" w:space="0"/>
              <w:right w:val="single" w:color="auto" w:sz="4" w:space="0"/>
            </w:tcBorders>
            <w:vAlign w:val="center"/>
          </w:tcPr>
          <w:p w14:paraId="4081D371">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32BA36DF">
            <w:pPr>
              <w:widowControl/>
              <w:snapToGrid w:val="0"/>
              <w:jc w:val="left"/>
              <w:rPr>
                <w:rFonts w:ascii="宋体" w:hAnsi="宋体"/>
                <w:color w:val="000000"/>
                <w:kern w:val="0"/>
                <w:sz w:val="25"/>
                <w:szCs w:val="24"/>
              </w:rPr>
            </w:pPr>
            <w:r>
              <w:rPr>
                <w:rFonts w:ascii="Times New Roman" w:hAnsi="Times New Roman"/>
                <w:color w:val="000000"/>
                <w:kern w:val="0"/>
                <w:sz w:val="25"/>
                <w:szCs w:val="24"/>
              </w:rPr>
              <w:t>7.62%</w:t>
            </w:r>
          </w:p>
        </w:tc>
        <w:tc>
          <w:tcPr>
            <w:tcW w:w="750" w:type="pct"/>
            <w:tcBorders>
              <w:top w:val="single" w:color="auto" w:sz="4" w:space="0"/>
              <w:left w:val="single" w:color="auto" w:sz="4" w:space="0"/>
              <w:bottom w:val="single" w:color="auto" w:sz="4" w:space="0"/>
              <w:right w:val="single" w:color="auto" w:sz="4" w:space="0"/>
            </w:tcBorders>
            <w:vAlign w:val="center"/>
          </w:tcPr>
          <w:p w14:paraId="1624CB86">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14:paraId="2BC7281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7C249A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2020年度</w:t>
            </w:r>
          </w:p>
        </w:tc>
        <w:tc>
          <w:tcPr>
            <w:tcW w:w="750" w:type="pct"/>
            <w:tcBorders>
              <w:top w:val="single" w:color="auto" w:sz="4" w:space="0"/>
              <w:left w:val="single" w:color="auto" w:sz="4" w:space="0"/>
              <w:bottom w:val="single" w:color="auto" w:sz="4" w:space="0"/>
              <w:right w:val="single" w:color="auto" w:sz="4" w:space="0"/>
            </w:tcBorders>
            <w:vAlign w:val="center"/>
          </w:tcPr>
          <w:p w14:paraId="3793B5AB">
            <w:pPr>
              <w:widowControl/>
              <w:snapToGrid w:val="0"/>
              <w:jc w:val="left"/>
              <w:rPr>
                <w:rFonts w:ascii="宋体" w:hAnsi="宋体"/>
                <w:color w:val="000000"/>
                <w:kern w:val="0"/>
                <w:sz w:val="25"/>
                <w:szCs w:val="24"/>
              </w:rPr>
            </w:pPr>
            <w:r>
              <w:rPr>
                <w:rFonts w:ascii="Times New Roman" w:hAnsi="Times New Roman"/>
                <w:color w:val="000000"/>
                <w:kern w:val="0"/>
                <w:sz w:val="25"/>
                <w:szCs w:val="24"/>
              </w:rPr>
              <w:t>4.44%</w:t>
            </w:r>
          </w:p>
        </w:tc>
        <w:tc>
          <w:tcPr>
            <w:tcW w:w="750" w:type="pct"/>
            <w:tcBorders>
              <w:top w:val="single" w:color="auto" w:sz="4" w:space="0"/>
              <w:left w:val="single" w:color="auto" w:sz="4" w:space="0"/>
              <w:bottom w:val="single" w:color="auto" w:sz="4" w:space="0"/>
              <w:right w:val="single" w:color="auto" w:sz="4" w:space="0"/>
            </w:tcBorders>
            <w:vAlign w:val="center"/>
          </w:tcPr>
          <w:p w14:paraId="562C0785">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33C59CE7">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color="auto" w:sz="4" w:space="0"/>
              <w:left w:val="single" w:color="auto" w:sz="4" w:space="0"/>
              <w:bottom w:val="single" w:color="auto" w:sz="4" w:space="0"/>
              <w:right w:val="single" w:color="auto" w:sz="4" w:space="0"/>
            </w:tcBorders>
            <w:vAlign w:val="center"/>
          </w:tcPr>
          <w:p w14:paraId="2ADE28E2">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4EBBD67C">
            <w:pPr>
              <w:widowControl/>
              <w:snapToGrid w:val="0"/>
              <w:jc w:val="left"/>
              <w:rPr>
                <w:rFonts w:ascii="宋体" w:hAnsi="宋体"/>
                <w:color w:val="000000"/>
                <w:kern w:val="0"/>
                <w:sz w:val="25"/>
                <w:szCs w:val="24"/>
              </w:rPr>
            </w:pPr>
            <w:r>
              <w:rPr>
                <w:rFonts w:ascii="Times New Roman" w:hAnsi="Times New Roman"/>
                <w:color w:val="000000"/>
                <w:kern w:val="0"/>
                <w:sz w:val="25"/>
                <w:szCs w:val="24"/>
              </w:rPr>
              <w:t>5.61%</w:t>
            </w:r>
          </w:p>
        </w:tc>
        <w:tc>
          <w:tcPr>
            <w:tcW w:w="750" w:type="pct"/>
            <w:tcBorders>
              <w:top w:val="single" w:color="auto" w:sz="4" w:space="0"/>
              <w:left w:val="single" w:color="auto" w:sz="4" w:space="0"/>
              <w:bottom w:val="single" w:color="auto" w:sz="4" w:space="0"/>
              <w:right w:val="single" w:color="auto" w:sz="4" w:space="0"/>
            </w:tcBorders>
            <w:vAlign w:val="center"/>
          </w:tcPr>
          <w:p w14:paraId="7537F9E9">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14:paraId="2FA86FCF">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3ECE65A">
            <w:pPr>
              <w:widowControl/>
              <w:snapToGrid w:val="0"/>
              <w:jc w:val="left"/>
              <w:rPr>
                <w:rFonts w:ascii="宋体" w:hAnsi="宋体"/>
                <w:color w:val="000000"/>
                <w:kern w:val="0"/>
                <w:sz w:val="25"/>
                <w:szCs w:val="24"/>
              </w:rPr>
            </w:pPr>
            <w:r>
              <w:rPr>
                <w:rFonts w:ascii="Times New Roman" w:hAnsi="Times New Roman"/>
                <w:color w:val="000000"/>
                <w:kern w:val="0"/>
                <w:sz w:val="25"/>
                <w:szCs w:val="24"/>
              </w:rPr>
              <w:t>2019年度</w:t>
            </w:r>
          </w:p>
        </w:tc>
        <w:tc>
          <w:tcPr>
            <w:tcW w:w="750" w:type="pct"/>
            <w:tcBorders>
              <w:top w:val="single" w:color="auto" w:sz="4" w:space="0"/>
              <w:left w:val="single" w:color="auto" w:sz="4" w:space="0"/>
              <w:bottom w:val="single" w:color="auto" w:sz="4" w:space="0"/>
              <w:right w:val="single" w:color="auto" w:sz="4" w:space="0"/>
            </w:tcBorders>
            <w:vAlign w:val="center"/>
          </w:tcPr>
          <w:p w14:paraId="05B10BEE">
            <w:pPr>
              <w:widowControl/>
              <w:snapToGrid w:val="0"/>
              <w:jc w:val="left"/>
              <w:rPr>
                <w:rFonts w:ascii="宋体" w:hAnsi="宋体"/>
                <w:color w:val="000000"/>
                <w:kern w:val="0"/>
                <w:sz w:val="25"/>
                <w:szCs w:val="24"/>
              </w:rPr>
            </w:pPr>
            <w:r>
              <w:rPr>
                <w:rFonts w:ascii="Times New Roman" w:hAnsi="Times New Roman"/>
                <w:color w:val="000000"/>
                <w:kern w:val="0"/>
                <w:sz w:val="25"/>
                <w:szCs w:val="24"/>
              </w:rPr>
              <w:t>6.47%</w:t>
            </w:r>
          </w:p>
        </w:tc>
        <w:tc>
          <w:tcPr>
            <w:tcW w:w="750" w:type="pct"/>
            <w:tcBorders>
              <w:top w:val="single" w:color="auto" w:sz="4" w:space="0"/>
              <w:left w:val="single" w:color="auto" w:sz="4" w:space="0"/>
              <w:bottom w:val="single" w:color="auto" w:sz="4" w:space="0"/>
              <w:right w:val="single" w:color="auto" w:sz="4" w:space="0"/>
            </w:tcBorders>
            <w:vAlign w:val="center"/>
          </w:tcPr>
          <w:p w14:paraId="347ED753">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42906295">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color="auto" w:sz="4" w:space="0"/>
              <w:left w:val="single" w:color="auto" w:sz="4" w:space="0"/>
              <w:bottom w:val="single" w:color="auto" w:sz="4" w:space="0"/>
              <w:right w:val="single" w:color="auto" w:sz="4" w:space="0"/>
            </w:tcBorders>
            <w:vAlign w:val="center"/>
          </w:tcPr>
          <w:p w14:paraId="03DF51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color="auto" w:sz="4" w:space="0"/>
              <w:left w:val="single" w:color="auto" w:sz="4" w:space="0"/>
              <w:bottom w:val="single" w:color="auto" w:sz="4" w:space="0"/>
              <w:right w:val="single" w:color="auto" w:sz="4" w:space="0"/>
            </w:tcBorders>
            <w:vAlign w:val="center"/>
          </w:tcPr>
          <w:p w14:paraId="55A20A7E">
            <w:pPr>
              <w:widowControl/>
              <w:snapToGrid w:val="0"/>
              <w:jc w:val="left"/>
              <w:rPr>
                <w:rFonts w:ascii="宋体" w:hAnsi="宋体"/>
                <w:color w:val="000000"/>
                <w:kern w:val="0"/>
                <w:sz w:val="25"/>
                <w:szCs w:val="24"/>
              </w:rPr>
            </w:pPr>
            <w:r>
              <w:rPr>
                <w:rFonts w:ascii="Times New Roman" w:hAnsi="Times New Roman"/>
                <w:color w:val="000000"/>
                <w:kern w:val="0"/>
                <w:sz w:val="25"/>
                <w:szCs w:val="24"/>
              </w:rPr>
              <w:t>5.34%</w:t>
            </w:r>
          </w:p>
        </w:tc>
        <w:tc>
          <w:tcPr>
            <w:tcW w:w="750" w:type="pct"/>
            <w:tcBorders>
              <w:top w:val="single" w:color="auto" w:sz="4" w:space="0"/>
              <w:left w:val="single" w:color="auto" w:sz="4" w:space="0"/>
              <w:bottom w:val="single" w:color="auto" w:sz="4" w:space="0"/>
              <w:right w:val="single" w:color="auto" w:sz="4" w:space="0"/>
            </w:tcBorders>
            <w:vAlign w:val="center"/>
          </w:tcPr>
          <w:p w14:paraId="5DE7CD01">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14:paraId="5AA1A8E5">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4A45DEEB">
            <w:pPr>
              <w:widowControl/>
              <w:snapToGrid w:val="0"/>
              <w:jc w:val="left"/>
              <w:rPr>
                <w:rFonts w:ascii="宋体" w:hAnsi="宋体"/>
                <w:color w:val="000000"/>
                <w:kern w:val="0"/>
                <w:sz w:val="25"/>
                <w:szCs w:val="24"/>
              </w:rPr>
            </w:pPr>
            <w:r>
              <w:rPr>
                <w:rFonts w:ascii="Times New Roman" w:hAnsi="Times New Roman"/>
                <w:color w:val="000000"/>
                <w:kern w:val="0"/>
                <w:sz w:val="25"/>
                <w:szCs w:val="24"/>
              </w:rPr>
              <w:t>2018年度</w:t>
            </w:r>
          </w:p>
        </w:tc>
        <w:tc>
          <w:tcPr>
            <w:tcW w:w="750" w:type="pct"/>
            <w:tcBorders>
              <w:top w:val="single" w:color="auto" w:sz="4" w:space="0"/>
              <w:left w:val="single" w:color="auto" w:sz="4" w:space="0"/>
              <w:bottom w:val="single" w:color="auto" w:sz="4" w:space="0"/>
              <w:right w:val="single" w:color="auto" w:sz="4" w:space="0"/>
            </w:tcBorders>
            <w:vAlign w:val="center"/>
          </w:tcPr>
          <w:p w14:paraId="3A0EB4CC">
            <w:pPr>
              <w:widowControl/>
              <w:snapToGrid w:val="0"/>
              <w:jc w:val="left"/>
              <w:rPr>
                <w:rFonts w:ascii="宋体" w:hAnsi="宋体"/>
                <w:color w:val="000000"/>
                <w:kern w:val="0"/>
                <w:sz w:val="25"/>
                <w:szCs w:val="24"/>
              </w:rPr>
            </w:pPr>
            <w:r>
              <w:rPr>
                <w:rFonts w:ascii="Times New Roman" w:hAnsi="Times New Roman"/>
                <w:color w:val="000000"/>
                <w:kern w:val="0"/>
                <w:sz w:val="25"/>
                <w:szCs w:val="24"/>
              </w:rPr>
              <w:t>7.49%</w:t>
            </w:r>
          </w:p>
        </w:tc>
        <w:tc>
          <w:tcPr>
            <w:tcW w:w="750" w:type="pct"/>
            <w:tcBorders>
              <w:top w:val="single" w:color="auto" w:sz="4" w:space="0"/>
              <w:left w:val="single" w:color="auto" w:sz="4" w:space="0"/>
              <w:bottom w:val="single" w:color="auto" w:sz="4" w:space="0"/>
              <w:right w:val="single" w:color="auto" w:sz="4" w:space="0"/>
            </w:tcBorders>
            <w:vAlign w:val="center"/>
          </w:tcPr>
          <w:p w14:paraId="3A615BC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48D94685">
            <w:pPr>
              <w:widowControl/>
              <w:snapToGrid w:val="0"/>
              <w:jc w:val="left"/>
              <w:rPr>
                <w:rFonts w:ascii="宋体" w:hAnsi="宋体"/>
                <w:color w:val="000000"/>
                <w:kern w:val="0"/>
                <w:sz w:val="25"/>
                <w:szCs w:val="24"/>
              </w:rPr>
            </w:pPr>
            <w:r>
              <w:rPr>
                <w:rFonts w:ascii="Times New Roman" w:hAnsi="Times New Roman"/>
                <w:color w:val="000000"/>
                <w:kern w:val="0"/>
                <w:sz w:val="25"/>
                <w:szCs w:val="24"/>
              </w:rPr>
              <w:t>2.35%</w:t>
            </w:r>
          </w:p>
        </w:tc>
        <w:tc>
          <w:tcPr>
            <w:tcW w:w="750" w:type="pct"/>
            <w:tcBorders>
              <w:top w:val="single" w:color="auto" w:sz="4" w:space="0"/>
              <w:left w:val="single" w:color="auto" w:sz="4" w:space="0"/>
              <w:bottom w:val="single" w:color="auto" w:sz="4" w:space="0"/>
              <w:right w:val="single" w:color="auto" w:sz="4" w:space="0"/>
            </w:tcBorders>
            <w:vAlign w:val="center"/>
          </w:tcPr>
          <w:p w14:paraId="0C6F9C48">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color="auto" w:sz="4" w:space="0"/>
              <w:left w:val="single" w:color="auto" w:sz="4" w:space="0"/>
              <w:bottom w:val="single" w:color="auto" w:sz="4" w:space="0"/>
              <w:right w:val="single" w:color="auto" w:sz="4" w:space="0"/>
            </w:tcBorders>
            <w:vAlign w:val="center"/>
          </w:tcPr>
          <w:p w14:paraId="5EF35FBC">
            <w:pPr>
              <w:widowControl/>
              <w:snapToGrid w:val="0"/>
              <w:jc w:val="left"/>
              <w:rPr>
                <w:rFonts w:ascii="宋体" w:hAnsi="宋体"/>
                <w:color w:val="000000"/>
                <w:kern w:val="0"/>
                <w:sz w:val="25"/>
                <w:szCs w:val="24"/>
              </w:rPr>
            </w:pPr>
            <w:r>
              <w:rPr>
                <w:rFonts w:ascii="Times New Roman" w:hAnsi="Times New Roman"/>
                <w:color w:val="000000"/>
                <w:kern w:val="0"/>
                <w:sz w:val="25"/>
                <w:szCs w:val="24"/>
              </w:rPr>
              <w:t>5.14%</w:t>
            </w:r>
          </w:p>
        </w:tc>
        <w:tc>
          <w:tcPr>
            <w:tcW w:w="750" w:type="pct"/>
            <w:tcBorders>
              <w:top w:val="single" w:color="auto" w:sz="4" w:space="0"/>
              <w:left w:val="single" w:color="auto" w:sz="4" w:space="0"/>
              <w:bottom w:val="single" w:color="auto" w:sz="4" w:space="0"/>
              <w:right w:val="single" w:color="auto" w:sz="4" w:space="0"/>
            </w:tcBorders>
            <w:vAlign w:val="center"/>
          </w:tcPr>
          <w:p w14:paraId="6A6D80C1">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14:paraId="02752CA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4B8E3F8">
            <w:pPr>
              <w:widowControl/>
              <w:snapToGrid w:val="0"/>
              <w:jc w:val="left"/>
              <w:rPr>
                <w:rFonts w:ascii="宋体" w:hAnsi="宋体"/>
                <w:color w:val="000000"/>
                <w:kern w:val="0"/>
                <w:sz w:val="25"/>
                <w:szCs w:val="24"/>
              </w:rPr>
            </w:pPr>
            <w:r>
              <w:rPr>
                <w:rFonts w:ascii="Times New Roman" w:hAnsi="Times New Roman"/>
                <w:color w:val="000000"/>
                <w:kern w:val="0"/>
                <w:sz w:val="25"/>
                <w:szCs w:val="24"/>
              </w:rPr>
              <w:t>2017年度</w:t>
            </w:r>
          </w:p>
        </w:tc>
        <w:tc>
          <w:tcPr>
            <w:tcW w:w="750" w:type="pct"/>
            <w:tcBorders>
              <w:top w:val="single" w:color="auto" w:sz="4" w:space="0"/>
              <w:left w:val="single" w:color="auto" w:sz="4" w:space="0"/>
              <w:bottom w:val="single" w:color="auto" w:sz="4" w:space="0"/>
              <w:right w:val="single" w:color="auto" w:sz="4" w:space="0"/>
            </w:tcBorders>
            <w:vAlign w:val="center"/>
          </w:tcPr>
          <w:p w14:paraId="1EB7254B">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color="auto" w:sz="4" w:space="0"/>
              <w:left w:val="single" w:color="auto" w:sz="4" w:space="0"/>
              <w:bottom w:val="single" w:color="auto" w:sz="4" w:space="0"/>
              <w:right w:val="single" w:color="auto" w:sz="4" w:space="0"/>
            </w:tcBorders>
            <w:vAlign w:val="center"/>
          </w:tcPr>
          <w:p w14:paraId="5CFCCF2D">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color="auto" w:sz="4" w:space="0"/>
              <w:left w:val="single" w:color="auto" w:sz="4" w:space="0"/>
              <w:bottom w:val="single" w:color="auto" w:sz="4" w:space="0"/>
              <w:right w:val="single" w:color="auto" w:sz="4" w:space="0"/>
            </w:tcBorders>
            <w:vAlign w:val="center"/>
          </w:tcPr>
          <w:p w14:paraId="644FE022">
            <w:pPr>
              <w:widowControl/>
              <w:snapToGrid w:val="0"/>
              <w:jc w:val="left"/>
              <w:rPr>
                <w:rFonts w:ascii="宋体" w:hAnsi="宋体"/>
                <w:color w:val="000000"/>
                <w:kern w:val="0"/>
                <w:sz w:val="25"/>
                <w:szCs w:val="24"/>
              </w:rPr>
            </w:pPr>
            <w:r>
              <w:rPr>
                <w:rFonts w:ascii="Times New Roman" w:hAnsi="Times New Roman"/>
                <w:color w:val="000000"/>
                <w:kern w:val="0"/>
                <w:sz w:val="25"/>
                <w:szCs w:val="24"/>
              </w:rPr>
              <w:t>-9.85%</w:t>
            </w:r>
          </w:p>
        </w:tc>
        <w:tc>
          <w:tcPr>
            <w:tcW w:w="750" w:type="pct"/>
            <w:tcBorders>
              <w:top w:val="single" w:color="auto" w:sz="4" w:space="0"/>
              <w:left w:val="single" w:color="auto" w:sz="4" w:space="0"/>
              <w:bottom w:val="single" w:color="auto" w:sz="4" w:space="0"/>
              <w:right w:val="single" w:color="auto" w:sz="4" w:space="0"/>
            </w:tcBorders>
            <w:vAlign w:val="center"/>
          </w:tcPr>
          <w:p w14:paraId="745AA1F3">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60AA95C8">
            <w:pPr>
              <w:widowControl/>
              <w:snapToGrid w:val="0"/>
              <w:jc w:val="left"/>
              <w:rPr>
                <w:rFonts w:ascii="宋体" w:hAnsi="宋体"/>
                <w:color w:val="000000"/>
                <w:kern w:val="0"/>
                <w:sz w:val="25"/>
                <w:szCs w:val="24"/>
              </w:rPr>
            </w:pPr>
            <w:r>
              <w:rPr>
                <w:rFonts w:ascii="Times New Roman" w:hAnsi="Times New Roman"/>
                <w:color w:val="000000"/>
                <w:kern w:val="0"/>
                <w:sz w:val="25"/>
                <w:szCs w:val="24"/>
              </w:rPr>
              <w:t>9.16%</w:t>
            </w:r>
          </w:p>
        </w:tc>
        <w:tc>
          <w:tcPr>
            <w:tcW w:w="750" w:type="pct"/>
            <w:tcBorders>
              <w:top w:val="single" w:color="auto" w:sz="4" w:space="0"/>
              <w:left w:val="single" w:color="auto" w:sz="4" w:space="0"/>
              <w:bottom w:val="single" w:color="auto" w:sz="4" w:space="0"/>
              <w:right w:val="single" w:color="auto" w:sz="4" w:space="0"/>
            </w:tcBorders>
            <w:vAlign w:val="center"/>
          </w:tcPr>
          <w:p w14:paraId="486F3BBE">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14:paraId="7FE0C26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9D8906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2016年度</w:t>
            </w:r>
          </w:p>
        </w:tc>
        <w:tc>
          <w:tcPr>
            <w:tcW w:w="750" w:type="pct"/>
            <w:tcBorders>
              <w:top w:val="single" w:color="auto" w:sz="4" w:space="0"/>
              <w:left w:val="single" w:color="auto" w:sz="4" w:space="0"/>
              <w:bottom w:val="single" w:color="auto" w:sz="4" w:space="0"/>
              <w:right w:val="single" w:color="auto" w:sz="4" w:space="0"/>
            </w:tcBorders>
            <w:vAlign w:val="center"/>
          </w:tcPr>
          <w:p w14:paraId="2BCB2159">
            <w:pPr>
              <w:widowControl/>
              <w:snapToGrid w:val="0"/>
              <w:jc w:val="left"/>
              <w:rPr>
                <w:rFonts w:ascii="宋体" w:hAnsi="宋体"/>
                <w:color w:val="000000"/>
                <w:kern w:val="0"/>
                <w:sz w:val="25"/>
                <w:szCs w:val="24"/>
              </w:rPr>
            </w:pPr>
            <w:r>
              <w:rPr>
                <w:rFonts w:ascii="Times New Roman" w:hAnsi="Times New Roman"/>
                <w:color w:val="000000"/>
                <w:kern w:val="0"/>
                <w:sz w:val="25"/>
                <w:szCs w:val="24"/>
              </w:rPr>
              <w:t>-2.13%</w:t>
            </w:r>
          </w:p>
        </w:tc>
        <w:tc>
          <w:tcPr>
            <w:tcW w:w="750" w:type="pct"/>
            <w:tcBorders>
              <w:top w:val="single" w:color="auto" w:sz="4" w:space="0"/>
              <w:left w:val="single" w:color="auto" w:sz="4" w:space="0"/>
              <w:bottom w:val="single" w:color="auto" w:sz="4" w:space="0"/>
              <w:right w:val="single" w:color="auto" w:sz="4" w:space="0"/>
            </w:tcBorders>
            <w:vAlign w:val="center"/>
          </w:tcPr>
          <w:p w14:paraId="69C81854">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14:paraId="111DD5A7">
            <w:pPr>
              <w:widowControl/>
              <w:snapToGrid w:val="0"/>
              <w:jc w:val="left"/>
              <w:rPr>
                <w:rFonts w:ascii="宋体" w:hAnsi="宋体"/>
                <w:color w:val="000000"/>
                <w:kern w:val="0"/>
                <w:sz w:val="25"/>
                <w:szCs w:val="24"/>
              </w:rPr>
            </w:pPr>
            <w:r>
              <w:rPr>
                <w:rFonts w:ascii="Times New Roman" w:hAnsi="Times New Roman"/>
                <w:color w:val="000000"/>
                <w:kern w:val="0"/>
                <w:sz w:val="25"/>
                <w:szCs w:val="24"/>
              </w:rPr>
              <w:t>-7.89%</w:t>
            </w:r>
          </w:p>
        </w:tc>
        <w:tc>
          <w:tcPr>
            <w:tcW w:w="750" w:type="pct"/>
            <w:tcBorders>
              <w:top w:val="single" w:color="auto" w:sz="4" w:space="0"/>
              <w:left w:val="single" w:color="auto" w:sz="4" w:space="0"/>
              <w:bottom w:val="single" w:color="auto" w:sz="4" w:space="0"/>
              <w:right w:val="single" w:color="auto" w:sz="4" w:space="0"/>
            </w:tcBorders>
            <w:vAlign w:val="center"/>
          </w:tcPr>
          <w:p w14:paraId="7FE82E2F">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08560E45">
            <w:pPr>
              <w:widowControl/>
              <w:snapToGrid w:val="0"/>
              <w:jc w:val="left"/>
              <w:rPr>
                <w:rFonts w:ascii="宋体" w:hAnsi="宋体"/>
                <w:color w:val="000000"/>
                <w:kern w:val="0"/>
                <w:sz w:val="25"/>
                <w:szCs w:val="24"/>
              </w:rPr>
            </w:pPr>
            <w:r>
              <w:rPr>
                <w:rFonts w:ascii="Times New Roman" w:hAnsi="Times New Roman"/>
                <w:color w:val="000000"/>
                <w:kern w:val="0"/>
                <w:sz w:val="25"/>
                <w:szCs w:val="24"/>
              </w:rPr>
              <w:t>5.76%</w:t>
            </w:r>
          </w:p>
        </w:tc>
        <w:tc>
          <w:tcPr>
            <w:tcW w:w="750" w:type="pct"/>
            <w:tcBorders>
              <w:top w:val="single" w:color="auto" w:sz="4" w:space="0"/>
              <w:left w:val="single" w:color="auto" w:sz="4" w:space="0"/>
              <w:bottom w:val="single" w:color="auto" w:sz="4" w:space="0"/>
              <w:right w:val="single" w:color="auto" w:sz="4" w:space="0"/>
            </w:tcBorders>
            <w:vAlign w:val="center"/>
          </w:tcPr>
          <w:p w14:paraId="31B212F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14:paraId="1489EF9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8E01ECD">
            <w:pPr>
              <w:widowControl/>
              <w:snapToGrid w:val="0"/>
              <w:jc w:val="left"/>
              <w:rPr>
                <w:rFonts w:ascii="宋体" w:hAnsi="宋体"/>
                <w:color w:val="000000"/>
                <w:kern w:val="0"/>
                <w:sz w:val="25"/>
                <w:szCs w:val="24"/>
              </w:rPr>
            </w:pPr>
            <w:r>
              <w:rPr>
                <w:rFonts w:ascii="Times New Roman" w:hAnsi="Times New Roman"/>
                <w:color w:val="000000"/>
                <w:kern w:val="0"/>
                <w:sz w:val="25"/>
                <w:szCs w:val="24"/>
              </w:rPr>
              <w:t>2015年度</w:t>
            </w:r>
          </w:p>
        </w:tc>
        <w:tc>
          <w:tcPr>
            <w:tcW w:w="750" w:type="pct"/>
            <w:tcBorders>
              <w:top w:val="single" w:color="auto" w:sz="4" w:space="0"/>
              <w:left w:val="single" w:color="auto" w:sz="4" w:space="0"/>
              <w:bottom w:val="single" w:color="auto" w:sz="4" w:space="0"/>
              <w:right w:val="single" w:color="auto" w:sz="4" w:space="0"/>
            </w:tcBorders>
            <w:vAlign w:val="center"/>
          </w:tcPr>
          <w:p w14:paraId="51E5EDDF">
            <w:pPr>
              <w:widowControl/>
              <w:snapToGrid w:val="0"/>
              <w:jc w:val="left"/>
              <w:rPr>
                <w:rFonts w:ascii="宋体" w:hAnsi="宋体"/>
                <w:color w:val="000000"/>
                <w:kern w:val="0"/>
                <w:sz w:val="25"/>
                <w:szCs w:val="24"/>
              </w:rPr>
            </w:pPr>
            <w:r>
              <w:rPr>
                <w:rFonts w:ascii="Times New Roman" w:hAnsi="Times New Roman"/>
                <w:color w:val="000000"/>
                <w:kern w:val="0"/>
                <w:sz w:val="25"/>
                <w:szCs w:val="24"/>
              </w:rPr>
              <w:t>9.13%</w:t>
            </w:r>
          </w:p>
        </w:tc>
        <w:tc>
          <w:tcPr>
            <w:tcW w:w="750" w:type="pct"/>
            <w:tcBorders>
              <w:top w:val="single" w:color="auto" w:sz="4" w:space="0"/>
              <w:left w:val="single" w:color="auto" w:sz="4" w:space="0"/>
              <w:bottom w:val="single" w:color="auto" w:sz="4" w:space="0"/>
              <w:right w:val="single" w:color="auto" w:sz="4" w:space="0"/>
            </w:tcBorders>
            <w:vAlign w:val="center"/>
          </w:tcPr>
          <w:p w14:paraId="5ACD18BD">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color="auto" w:sz="4" w:space="0"/>
              <w:left w:val="single" w:color="auto" w:sz="4" w:space="0"/>
              <w:bottom w:val="single" w:color="auto" w:sz="4" w:space="0"/>
              <w:right w:val="single" w:color="auto" w:sz="4" w:space="0"/>
            </w:tcBorders>
            <w:vAlign w:val="center"/>
          </w:tcPr>
          <w:p w14:paraId="64249F81">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color="auto" w:sz="4" w:space="0"/>
              <w:left w:val="single" w:color="auto" w:sz="4" w:space="0"/>
              <w:bottom w:val="single" w:color="auto" w:sz="4" w:space="0"/>
              <w:right w:val="single" w:color="auto" w:sz="4" w:space="0"/>
            </w:tcBorders>
            <w:vAlign w:val="center"/>
          </w:tcPr>
          <w:p w14:paraId="6B01126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14:paraId="12171753">
            <w:pPr>
              <w:widowControl/>
              <w:snapToGrid w:val="0"/>
              <w:jc w:val="left"/>
              <w:rPr>
                <w:rFonts w:ascii="宋体" w:hAnsi="宋体"/>
                <w:color w:val="000000"/>
                <w:kern w:val="0"/>
                <w:sz w:val="25"/>
                <w:szCs w:val="24"/>
              </w:rPr>
            </w:pPr>
            <w:r>
              <w:rPr>
                <w:rFonts w:ascii="Times New Roman" w:hAnsi="Times New Roman"/>
                <w:color w:val="000000"/>
                <w:kern w:val="0"/>
                <w:sz w:val="25"/>
                <w:szCs w:val="24"/>
              </w:rPr>
              <w:t>7.56%</w:t>
            </w:r>
          </w:p>
        </w:tc>
        <w:tc>
          <w:tcPr>
            <w:tcW w:w="750" w:type="pct"/>
            <w:tcBorders>
              <w:top w:val="single" w:color="auto" w:sz="4" w:space="0"/>
              <w:left w:val="single" w:color="auto" w:sz="4" w:space="0"/>
              <w:bottom w:val="single" w:color="auto" w:sz="4" w:space="0"/>
              <w:right w:val="single" w:color="auto" w:sz="4" w:space="0"/>
            </w:tcBorders>
            <w:vAlign w:val="center"/>
          </w:tcPr>
          <w:p w14:paraId="3A311519">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r>
      <w:tr w14:paraId="1E76DF6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64D2986B">
            <w:pPr>
              <w:widowControl/>
              <w:snapToGrid w:val="0"/>
              <w:jc w:val="left"/>
              <w:rPr>
                <w:rFonts w:ascii="宋体" w:hAnsi="宋体"/>
                <w:color w:val="000000"/>
                <w:kern w:val="0"/>
                <w:sz w:val="25"/>
                <w:szCs w:val="24"/>
              </w:rPr>
            </w:pPr>
            <w:r>
              <w:rPr>
                <w:rFonts w:ascii="Times New Roman" w:hAnsi="Times New Roman"/>
                <w:color w:val="000000"/>
                <w:kern w:val="0"/>
                <w:sz w:val="25"/>
                <w:szCs w:val="24"/>
              </w:rPr>
              <w:t>2014年度</w:t>
            </w:r>
          </w:p>
        </w:tc>
        <w:tc>
          <w:tcPr>
            <w:tcW w:w="750" w:type="pct"/>
            <w:tcBorders>
              <w:top w:val="single" w:color="auto" w:sz="4" w:space="0"/>
              <w:left w:val="single" w:color="auto" w:sz="4" w:space="0"/>
              <w:bottom w:val="single" w:color="auto" w:sz="4" w:space="0"/>
              <w:right w:val="single" w:color="auto" w:sz="4" w:space="0"/>
            </w:tcBorders>
            <w:vAlign w:val="center"/>
          </w:tcPr>
          <w:p w14:paraId="42C44B17">
            <w:pPr>
              <w:widowControl/>
              <w:snapToGrid w:val="0"/>
              <w:jc w:val="left"/>
              <w:rPr>
                <w:rFonts w:ascii="宋体" w:hAnsi="宋体"/>
                <w:color w:val="000000"/>
                <w:kern w:val="0"/>
                <w:sz w:val="25"/>
                <w:szCs w:val="24"/>
              </w:rPr>
            </w:pPr>
            <w:r>
              <w:rPr>
                <w:rFonts w:ascii="Times New Roman" w:hAnsi="Times New Roman"/>
                <w:color w:val="000000"/>
                <w:kern w:val="0"/>
                <w:sz w:val="25"/>
                <w:szCs w:val="24"/>
              </w:rPr>
              <w:t>19.35%</w:t>
            </w:r>
          </w:p>
        </w:tc>
        <w:tc>
          <w:tcPr>
            <w:tcW w:w="750" w:type="pct"/>
            <w:tcBorders>
              <w:top w:val="single" w:color="auto" w:sz="4" w:space="0"/>
              <w:left w:val="single" w:color="auto" w:sz="4" w:space="0"/>
              <w:bottom w:val="single" w:color="auto" w:sz="4" w:space="0"/>
              <w:right w:val="single" w:color="auto" w:sz="4" w:space="0"/>
            </w:tcBorders>
            <w:vAlign w:val="center"/>
          </w:tcPr>
          <w:p w14:paraId="2836417B">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color="auto" w:sz="4" w:space="0"/>
              <w:left w:val="single" w:color="auto" w:sz="4" w:space="0"/>
              <w:bottom w:val="single" w:color="auto" w:sz="4" w:space="0"/>
              <w:right w:val="single" w:color="auto" w:sz="4" w:space="0"/>
            </w:tcBorders>
            <w:vAlign w:val="center"/>
          </w:tcPr>
          <w:p w14:paraId="4CF6A692">
            <w:pPr>
              <w:widowControl/>
              <w:snapToGrid w:val="0"/>
              <w:jc w:val="left"/>
              <w:rPr>
                <w:rFonts w:ascii="宋体" w:hAnsi="宋体"/>
                <w:color w:val="000000"/>
                <w:kern w:val="0"/>
                <w:sz w:val="25"/>
                <w:szCs w:val="24"/>
              </w:rPr>
            </w:pPr>
            <w:r>
              <w:rPr>
                <w:rFonts w:ascii="Times New Roman" w:hAnsi="Times New Roman"/>
                <w:color w:val="000000"/>
                <w:kern w:val="0"/>
                <w:sz w:val="25"/>
                <w:szCs w:val="24"/>
              </w:rPr>
              <w:t>5.92%</w:t>
            </w:r>
          </w:p>
        </w:tc>
        <w:tc>
          <w:tcPr>
            <w:tcW w:w="750" w:type="pct"/>
            <w:tcBorders>
              <w:top w:val="single" w:color="auto" w:sz="4" w:space="0"/>
              <w:left w:val="single" w:color="auto" w:sz="4" w:space="0"/>
              <w:bottom w:val="single" w:color="auto" w:sz="4" w:space="0"/>
              <w:right w:val="single" w:color="auto" w:sz="4" w:space="0"/>
            </w:tcBorders>
            <w:vAlign w:val="center"/>
          </w:tcPr>
          <w:p w14:paraId="1683A291">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color="auto" w:sz="4" w:space="0"/>
              <w:left w:val="single" w:color="auto" w:sz="4" w:space="0"/>
              <w:bottom w:val="single" w:color="auto" w:sz="4" w:space="0"/>
              <w:right w:val="single" w:color="auto" w:sz="4" w:space="0"/>
            </w:tcBorders>
            <w:vAlign w:val="center"/>
          </w:tcPr>
          <w:p w14:paraId="5FB1589B">
            <w:pPr>
              <w:widowControl/>
              <w:snapToGrid w:val="0"/>
              <w:jc w:val="left"/>
              <w:rPr>
                <w:rFonts w:ascii="宋体" w:hAnsi="宋体"/>
                <w:color w:val="000000"/>
                <w:kern w:val="0"/>
                <w:sz w:val="25"/>
                <w:szCs w:val="24"/>
              </w:rPr>
            </w:pPr>
            <w:r>
              <w:rPr>
                <w:rFonts w:ascii="Times New Roman" w:hAnsi="Times New Roman"/>
                <w:color w:val="000000"/>
                <w:kern w:val="0"/>
                <w:sz w:val="25"/>
                <w:szCs w:val="24"/>
              </w:rPr>
              <w:t>13.43%</w:t>
            </w:r>
          </w:p>
        </w:tc>
        <w:tc>
          <w:tcPr>
            <w:tcW w:w="750" w:type="pct"/>
            <w:tcBorders>
              <w:top w:val="single" w:color="auto" w:sz="4" w:space="0"/>
              <w:left w:val="single" w:color="auto" w:sz="4" w:space="0"/>
              <w:bottom w:val="single" w:color="auto" w:sz="4" w:space="0"/>
              <w:right w:val="single" w:color="auto" w:sz="4" w:space="0"/>
            </w:tcBorders>
            <w:vAlign w:val="center"/>
          </w:tcPr>
          <w:p w14:paraId="2644829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14:paraId="011B1B7B">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ACDE29E">
            <w:pPr>
              <w:widowControl/>
              <w:snapToGrid w:val="0"/>
              <w:jc w:val="left"/>
              <w:rPr>
                <w:rFonts w:ascii="宋体" w:hAnsi="宋体"/>
                <w:color w:val="000000"/>
                <w:kern w:val="0"/>
                <w:sz w:val="25"/>
                <w:szCs w:val="24"/>
              </w:rPr>
            </w:pPr>
            <w:r>
              <w:rPr>
                <w:rFonts w:ascii="Times New Roman" w:hAnsi="Times New Roman"/>
                <w:color w:val="000000"/>
                <w:kern w:val="0"/>
                <w:sz w:val="25"/>
                <w:szCs w:val="24"/>
              </w:rPr>
              <w:t>2013年度</w:t>
            </w:r>
          </w:p>
        </w:tc>
        <w:tc>
          <w:tcPr>
            <w:tcW w:w="750" w:type="pct"/>
            <w:tcBorders>
              <w:top w:val="single" w:color="auto" w:sz="4" w:space="0"/>
              <w:left w:val="single" w:color="auto" w:sz="4" w:space="0"/>
              <w:bottom w:val="single" w:color="auto" w:sz="4" w:space="0"/>
              <w:right w:val="single" w:color="auto" w:sz="4" w:space="0"/>
            </w:tcBorders>
            <w:vAlign w:val="center"/>
          </w:tcPr>
          <w:p w14:paraId="360BEDC4">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779913EB">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color="auto" w:sz="4" w:space="0"/>
              <w:left w:val="single" w:color="auto" w:sz="4" w:space="0"/>
              <w:bottom w:val="single" w:color="auto" w:sz="4" w:space="0"/>
              <w:right w:val="single" w:color="auto" w:sz="4" w:space="0"/>
            </w:tcBorders>
            <w:vAlign w:val="center"/>
          </w:tcPr>
          <w:p w14:paraId="0A6D01EE">
            <w:pPr>
              <w:widowControl/>
              <w:snapToGrid w:val="0"/>
              <w:jc w:val="left"/>
              <w:rPr>
                <w:rFonts w:ascii="宋体" w:hAnsi="宋体"/>
                <w:color w:val="000000"/>
                <w:kern w:val="0"/>
                <w:sz w:val="25"/>
                <w:szCs w:val="24"/>
              </w:rPr>
            </w:pPr>
            <w:r>
              <w:rPr>
                <w:rFonts w:ascii="Times New Roman" w:hAnsi="Times New Roman"/>
                <w:color w:val="000000"/>
                <w:kern w:val="0"/>
                <w:sz w:val="25"/>
                <w:szCs w:val="24"/>
              </w:rPr>
              <w:t>-2.96%</w:t>
            </w:r>
          </w:p>
        </w:tc>
        <w:tc>
          <w:tcPr>
            <w:tcW w:w="750" w:type="pct"/>
            <w:tcBorders>
              <w:top w:val="single" w:color="auto" w:sz="4" w:space="0"/>
              <w:left w:val="single" w:color="auto" w:sz="4" w:space="0"/>
              <w:bottom w:val="single" w:color="auto" w:sz="4" w:space="0"/>
              <w:right w:val="single" w:color="auto" w:sz="4" w:space="0"/>
            </w:tcBorders>
            <w:vAlign w:val="center"/>
          </w:tcPr>
          <w:p w14:paraId="5C6F874C">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color="auto" w:sz="4" w:space="0"/>
              <w:left w:val="single" w:color="auto" w:sz="4" w:space="0"/>
              <w:bottom w:val="single" w:color="auto" w:sz="4" w:space="0"/>
              <w:right w:val="single" w:color="auto" w:sz="4" w:space="0"/>
            </w:tcBorders>
            <w:vAlign w:val="center"/>
          </w:tcPr>
          <w:p w14:paraId="0DB3CF09">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color="auto" w:sz="4" w:space="0"/>
              <w:left w:val="single" w:color="auto" w:sz="4" w:space="0"/>
              <w:bottom w:val="single" w:color="auto" w:sz="4" w:space="0"/>
              <w:right w:val="single" w:color="auto" w:sz="4" w:space="0"/>
            </w:tcBorders>
            <w:vAlign w:val="center"/>
          </w:tcPr>
          <w:p w14:paraId="5C7BBB54">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14:paraId="1B0FFD9D">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05716E7">
            <w:pPr>
              <w:widowControl/>
              <w:snapToGrid w:val="0"/>
              <w:jc w:val="left"/>
              <w:rPr>
                <w:rFonts w:ascii="宋体" w:hAnsi="宋体"/>
                <w:color w:val="000000"/>
                <w:kern w:val="0"/>
                <w:sz w:val="25"/>
                <w:szCs w:val="24"/>
              </w:rPr>
            </w:pPr>
            <w:r>
              <w:rPr>
                <w:rFonts w:ascii="Times New Roman" w:hAnsi="Times New Roman"/>
                <w:color w:val="000000"/>
                <w:kern w:val="0"/>
                <w:sz w:val="25"/>
                <w:szCs w:val="24"/>
              </w:rPr>
              <w:t>2012年度</w:t>
            </w:r>
          </w:p>
        </w:tc>
        <w:tc>
          <w:tcPr>
            <w:tcW w:w="750" w:type="pct"/>
            <w:tcBorders>
              <w:top w:val="single" w:color="auto" w:sz="4" w:space="0"/>
              <w:left w:val="single" w:color="auto" w:sz="4" w:space="0"/>
              <w:bottom w:val="single" w:color="auto" w:sz="4" w:space="0"/>
              <w:right w:val="single" w:color="auto" w:sz="4" w:space="0"/>
            </w:tcBorders>
            <w:vAlign w:val="center"/>
          </w:tcPr>
          <w:p w14:paraId="364DCDB2">
            <w:pPr>
              <w:widowControl/>
              <w:snapToGrid w:val="0"/>
              <w:jc w:val="left"/>
              <w:rPr>
                <w:rFonts w:ascii="宋体" w:hAnsi="宋体"/>
                <w:color w:val="000000"/>
                <w:kern w:val="0"/>
                <w:sz w:val="25"/>
                <w:szCs w:val="24"/>
              </w:rPr>
            </w:pPr>
            <w:r>
              <w:rPr>
                <w:rFonts w:ascii="Times New Roman" w:hAnsi="Times New Roman"/>
                <w:color w:val="000000"/>
                <w:kern w:val="0"/>
                <w:sz w:val="25"/>
                <w:szCs w:val="24"/>
              </w:rPr>
              <w:t>10.24%</w:t>
            </w:r>
          </w:p>
        </w:tc>
        <w:tc>
          <w:tcPr>
            <w:tcW w:w="750" w:type="pct"/>
            <w:tcBorders>
              <w:top w:val="single" w:color="auto" w:sz="4" w:space="0"/>
              <w:left w:val="single" w:color="auto" w:sz="4" w:space="0"/>
              <w:bottom w:val="single" w:color="auto" w:sz="4" w:space="0"/>
              <w:right w:val="single" w:color="auto" w:sz="4" w:space="0"/>
            </w:tcBorders>
            <w:vAlign w:val="center"/>
          </w:tcPr>
          <w:p w14:paraId="402E239A">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color="auto" w:sz="4" w:space="0"/>
              <w:left w:val="single" w:color="auto" w:sz="4" w:space="0"/>
              <w:bottom w:val="single" w:color="auto" w:sz="4" w:space="0"/>
              <w:right w:val="single" w:color="auto" w:sz="4" w:space="0"/>
            </w:tcBorders>
            <w:vAlign w:val="center"/>
          </w:tcPr>
          <w:p w14:paraId="7952EA6B">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color="auto" w:sz="4" w:space="0"/>
              <w:left w:val="single" w:color="auto" w:sz="4" w:space="0"/>
              <w:bottom w:val="single" w:color="auto" w:sz="4" w:space="0"/>
              <w:right w:val="single" w:color="auto" w:sz="4" w:space="0"/>
            </w:tcBorders>
            <w:vAlign w:val="center"/>
          </w:tcPr>
          <w:p w14:paraId="4866BEF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color="auto" w:sz="4" w:space="0"/>
              <w:left w:val="single" w:color="auto" w:sz="4" w:space="0"/>
              <w:bottom w:val="single" w:color="auto" w:sz="4" w:space="0"/>
              <w:right w:val="single" w:color="auto" w:sz="4" w:space="0"/>
            </w:tcBorders>
            <w:vAlign w:val="center"/>
          </w:tcPr>
          <w:p w14:paraId="4A35FE6A">
            <w:pPr>
              <w:widowControl/>
              <w:snapToGrid w:val="0"/>
              <w:jc w:val="left"/>
              <w:rPr>
                <w:rFonts w:ascii="宋体" w:hAnsi="宋体"/>
                <w:color w:val="000000"/>
                <w:kern w:val="0"/>
                <w:sz w:val="25"/>
                <w:szCs w:val="24"/>
              </w:rPr>
            </w:pPr>
            <w:r>
              <w:rPr>
                <w:rFonts w:ascii="Times New Roman" w:hAnsi="Times New Roman"/>
                <w:color w:val="000000"/>
                <w:kern w:val="0"/>
                <w:sz w:val="25"/>
                <w:szCs w:val="24"/>
              </w:rPr>
              <w:t>7.34%</w:t>
            </w:r>
          </w:p>
        </w:tc>
        <w:tc>
          <w:tcPr>
            <w:tcW w:w="750" w:type="pct"/>
            <w:tcBorders>
              <w:top w:val="single" w:color="auto" w:sz="4" w:space="0"/>
              <w:left w:val="single" w:color="auto" w:sz="4" w:space="0"/>
              <w:bottom w:val="single" w:color="auto" w:sz="4" w:space="0"/>
              <w:right w:val="single" w:color="auto" w:sz="4" w:space="0"/>
            </w:tcBorders>
            <w:vAlign w:val="center"/>
          </w:tcPr>
          <w:p w14:paraId="7029EDFC">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r>
      <w:tr w14:paraId="2D6D09C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28F2D139">
            <w:pPr>
              <w:widowControl/>
              <w:snapToGrid w:val="0"/>
              <w:jc w:val="left"/>
              <w:rPr>
                <w:rFonts w:ascii="宋体" w:hAnsi="宋体"/>
                <w:color w:val="000000"/>
                <w:kern w:val="0"/>
                <w:sz w:val="25"/>
                <w:szCs w:val="24"/>
              </w:rPr>
            </w:pPr>
            <w:r>
              <w:rPr>
                <w:rFonts w:ascii="Times New Roman" w:hAnsi="Times New Roman"/>
                <w:color w:val="000000"/>
                <w:kern w:val="0"/>
                <w:sz w:val="25"/>
                <w:szCs w:val="24"/>
              </w:rPr>
              <w:t>2011年度</w:t>
            </w:r>
          </w:p>
        </w:tc>
        <w:tc>
          <w:tcPr>
            <w:tcW w:w="750" w:type="pct"/>
            <w:tcBorders>
              <w:top w:val="single" w:color="auto" w:sz="4" w:space="0"/>
              <w:left w:val="single" w:color="auto" w:sz="4" w:space="0"/>
              <w:bottom w:val="single" w:color="auto" w:sz="4" w:space="0"/>
              <w:right w:val="single" w:color="auto" w:sz="4" w:space="0"/>
            </w:tcBorders>
            <w:vAlign w:val="center"/>
          </w:tcPr>
          <w:p w14:paraId="4065CAF3">
            <w:pPr>
              <w:widowControl/>
              <w:snapToGrid w:val="0"/>
              <w:jc w:val="left"/>
              <w:rPr>
                <w:rFonts w:ascii="宋体" w:hAnsi="宋体"/>
                <w:color w:val="000000"/>
                <w:kern w:val="0"/>
                <w:sz w:val="25"/>
                <w:szCs w:val="24"/>
              </w:rPr>
            </w:pPr>
            <w:r>
              <w:rPr>
                <w:rFonts w:ascii="Times New Roman" w:hAnsi="Times New Roman"/>
                <w:color w:val="000000"/>
                <w:kern w:val="0"/>
                <w:sz w:val="25"/>
                <w:szCs w:val="24"/>
              </w:rPr>
              <w:t>-6.13%</w:t>
            </w:r>
          </w:p>
        </w:tc>
        <w:tc>
          <w:tcPr>
            <w:tcW w:w="750" w:type="pct"/>
            <w:tcBorders>
              <w:top w:val="single" w:color="auto" w:sz="4" w:space="0"/>
              <w:left w:val="single" w:color="auto" w:sz="4" w:space="0"/>
              <w:bottom w:val="single" w:color="auto" w:sz="4" w:space="0"/>
              <w:right w:val="single" w:color="auto" w:sz="4" w:space="0"/>
            </w:tcBorders>
            <w:vAlign w:val="center"/>
          </w:tcPr>
          <w:p w14:paraId="0911764C">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color="auto" w:sz="4" w:space="0"/>
              <w:left w:val="single" w:color="auto" w:sz="4" w:space="0"/>
              <w:bottom w:val="single" w:color="auto" w:sz="4" w:space="0"/>
              <w:right w:val="single" w:color="auto" w:sz="4" w:space="0"/>
            </w:tcBorders>
            <w:vAlign w:val="center"/>
          </w:tcPr>
          <w:p w14:paraId="7F215689">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color="auto" w:sz="4" w:space="0"/>
              <w:left w:val="single" w:color="auto" w:sz="4" w:space="0"/>
              <w:bottom w:val="single" w:color="auto" w:sz="4" w:space="0"/>
              <w:right w:val="single" w:color="auto" w:sz="4" w:space="0"/>
            </w:tcBorders>
            <w:vAlign w:val="center"/>
          </w:tcPr>
          <w:p w14:paraId="75289E2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659E253F">
            <w:pPr>
              <w:widowControl/>
              <w:snapToGrid w:val="0"/>
              <w:jc w:val="left"/>
              <w:rPr>
                <w:rFonts w:ascii="宋体" w:hAnsi="宋体"/>
                <w:color w:val="000000"/>
                <w:kern w:val="0"/>
                <w:sz w:val="25"/>
                <w:szCs w:val="24"/>
              </w:rPr>
            </w:pPr>
            <w:r>
              <w:rPr>
                <w:rFonts w:ascii="Times New Roman" w:hAnsi="Times New Roman"/>
                <w:color w:val="000000"/>
                <w:kern w:val="0"/>
                <w:sz w:val="25"/>
                <w:szCs w:val="24"/>
              </w:rPr>
              <w:t>-5.35%</w:t>
            </w:r>
          </w:p>
        </w:tc>
        <w:tc>
          <w:tcPr>
            <w:tcW w:w="750" w:type="pct"/>
            <w:tcBorders>
              <w:top w:val="single" w:color="auto" w:sz="4" w:space="0"/>
              <w:left w:val="single" w:color="auto" w:sz="4" w:space="0"/>
              <w:bottom w:val="single" w:color="auto" w:sz="4" w:space="0"/>
              <w:right w:val="single" w:color="auto" w:sz="4" w:space="0"/>
            </w:tcBorders>
            <w:vAlign w:val="center"/>
          </w:tcPr>
          <w:p w14:paraId="593B6647">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14:paraId="2732A488">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70D555E9">
            <w:pPr>
              <w:widowControl/>
              <w:snapToGrid w:val="0"/>
              <w:jc w:val="left"/>
              <w:rPr>
                <w:rFonts w:ascii="宋体" w:hAnsi="宋体"/>
                <w:color w:val="000000"/>
                <w:kern w:val="0"/>
                <w:sz w:val="25"/>
                <w:szCs w:val="24"/>
              </w:rPr>
            </w:pPr>
            <w:r>
              <w:rPr>
                <w:rFonts w:ascii="Times New Roman" w:hAnsi="Times New Roman"/>
                <w:color w:val="000000"/>
                <w:kern w:val="0"/>
                <w:sz w:val="25"/>
                <w:szCs w:val="24"/>
              </w:rPr>
              <w:t>2010年度</w:t>
            </w:r>
          </w:p>
        </w:tc>
        <w:tc>
          <w:tcPr>
            <w:tcW w:w="750" w:type="pct"/>
            <w:tcBorders>
              <w:top w:val="single" w:color="auto" w:sz="4" w:space="0"/>
              <w:left w:val="single" w:color="auto" w:sz="4" w:space="0"/>
              <w:bottom w:val="single" w:color="auto" w:sz="4" w:space="0"/>
              <w:right w:val="single" w:color="auto" w:sz="4" w:space="0"/>
            </w:tcBorders>
            <w:vAlign w:val="center"/>
          </w:tcPr>
          <w:p w14:paraId="23DB5C9B">
            <w:pPr>
              <w:widowControl/>
              <w:snapToGrid w:val="0"/>
              <w:jc w:val="left"/>
              <w:rPr>
                <w:rFonts w:ascii="宋体" w:hAnsi="宋体"/>
                <w:color w:val="000000"/>
                <w:kern w:val="0"/>
                <w:sz w:val="25"/>
                <w:szCs w:val="24"/>
              </w:rPr>
            </w:pPr>
            <w:r>
              <w:rPr>
                <w:rFonts w:ascii="Times New Roman" w:hAnsi="Times New Roman"/>
                <w:color w:val="000000"/>
                <w:kern w:val="0"/>
                <w:sz w:val="25"/>
                <w:szCs w:val="24"/>
              </w:rPr>
              <w:t>5.11%</w:t>
            </w:r>
          </w:p>
        </w:tc>
        <w:tc>
          <w:tcPr>
            <w:tcW w:w="750" w:type="pct"/>
            <w:tcBorders>
              <w:top w:val="single" w:color="auto" w:sz="4" w:space="0"/>
              <w:left w:val="single" w:color="auto" w:sz="4" w:space="0"/>
              <w:bottom w:val="single" w:color="auto" w:sz="4" w:space="0"/>
              <w:right w:val="single" w:color="auto" w:sz="4" w:space="0"/>
            </w:tcBorders>
            <w:vAlign w:val="center"/>
          </w:tcPr>
          <w:p w14:paraId="79AE9426">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c>
          <w:tcPr>
            <w:tcW w:w="750" w:type="pct"/>
            <w:tcBorders>
              <w:top w:val="single" w:color="auto" w:sz="4" w:space="0"/>
              <w:left w:val="single" w:color="auto" w:sz="4" w:space="0"/>
              <w:bottom w:val="single" w:color="auto" w:sz="4" w:space="0"/>
              <w:right w:val="single" w:color="auto" w:sz="4" w:space="0"/>
            </w:tcBorders>
            <w:vAlign w:val="center"/>
          </w:tcPr>
          <w:p w14:paraId="73505A18">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color="auto" w:sz="4" w:space="0"/>
              <w:left w:val="single" w:color="auto" w:sz="4" w:space="0"/>
              <w:bottom w:val="single" w:color="auto" w:sz="4" w:space="0"/>
              <w:right w:val="single" w:color="auto" w:sz="4" w:space="0"/>
            </w:tcBorders>
            <w:vAlign w:val="center"/>
          </w:tcPr>
          <w:p w14:paraId="0D7842D4">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color="auto" w:sz="4" w:space="0"/>
              <w:left w:val="single" w:color="auto" w:sz="4" w:space="0"/>
              <w:bottom w:val="single" w:color="auto" w:sz="4" w:space="0"/>
              <w:right w:val="single" w:color="auto" w:sz="4" w:space="0"/>
            </w:tcBorders>
            <w:vAlign w:val="center"/>
          </w:tcPr>
          <w:p w14:paraId="19E4B4D6">
            <w:pPr>
              <w:widowControl/>
              <w:snapToGrid w:val="0"/>
              <w:jc w:val="left"/>
              <w:rPr>
                <w:rFonts w:ascii="宋体" w:hAnsi="宋体"/>
                <w:color w:val="000000"/>
                <w:kern w:val="0"/>
                <w:sz w:val="25"/>
                <w:szCs w:val="24"/>
              </w:rPr>
            </w:pPr>
            <w:r>
              <w:rPr>
                <w:rFonts w:ascii="Times New Roman" w:hAnsi="Times New Roman"/>
                <w:color w:val="000000"/>
                <w:kern w:val="0"/>
                <w:sz w:val="25"/>
                <w:szCs w:val="24"/>
              </w:rPr>
              <w:t>4.60%</w:t>
            </w:r>
          </w:p>
        </w:tc>
        <w:tc>
          <w:tcPr>
            <w:tcW w:w="750" w:type="pct"/>
            <w:tcBorders>
              <w:top w:val="single" w:color="auto" w:sz="4" w:space="0"/>
              <w:left w:val="single" w:color="auto" w:sz="4" w:space="0"/>
              <w:bottom w:val="single" w:color="auto" w:sz="4" w:space="0"/>
              <w:right w:val="single" w:color="auto" w:sz="4" w:space="0"/>
            </w:tcBorders>
            <w:vAlign w:val="center"/>
          </w:tcPr>
          <w:p w14:paraId="4BB25357">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14:paraId="77EC1D17">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3E25ADE8">
            <w:pPr>
              <w:widowControl/>
              <w:snapToGrid w:val="0"/>
              <w:jc w:val="left"/>
              <w:rPr>
                <w:rFonts w:ascii="宋体" w:hAnsi="宋体"/>
                <w:color w:val="000000"/>
                <w:kern w:val="0"/>
                <w:sz w:val="25"/>
                <w:szCs w:val="24"/>
              </w:rPr>
            </w:pPr>
            <w:r>
              <w:rPr>
                <w:rFonts w:ascii="Times New Roman" w:hAnsi="Times New Roman"/>
                <w:color w:val="000000"/>
                <w:kern w:val="0"/>
                <w:sz w:val="25"/>
                <w:szCs w:val="24"/>
              </w:rPr>
              <w:t>2009年度</w:t>
            </w:r>
          </w:p>
        </w:tc>
        <w:tc>
          <w:tcPr>
            <w:tcW w:w="750" w:type="pct"/>
            <w:tcBorders>
              <w:top w:val="single" w:color="auto" w:sz="4" w:space="0"/>
              <w:left w:val="single" w:color="auto" w:sz="4" w:space="0"/>
              <w:bottom w:val="single" w:color="auto" w:sz="4" w:space="0"/>
              <w:right w:val="single" w:color="auto" w:sz="4" w:space="0"/>
            </w:tcBorders>
            <w:vAlign w:val="center"/>
          </w:tcPr>
          <w:p w14:paraId="0BB4F709">
            <w:pPr>
              <w:widowControl/>
              <w:snapToGrid w:val="0"/>
              <w:jc w:val="left"/>
              <w:rPr>
                <w:rFonts w:ascii="宋体" w:hAnsi="宋体"/>
                <w:color w:val="000000"/>
                <w:kern w:val="0"/>
                <w:sz w:val="25"/>
                <w:szCs w:val="24"/>
              </w:rPr>
            </w:pPr>
            <w:r>
              <w:rPr>
                <w:rFonts w:ascii="Times New Roman" w:hAnsi="Times New Roman"/>
                <w:color w:val="000000"/>
                <w:kern w:val="0"/>
                <w:sz w:val="25"/>
                <w:szCs w:val="24"/>
              </w:rPr>
              <w:t>6.50%</w:t>
            </w:r>
          </w:p>
        </w:tc>
        <w:tc>
          <w:tcPr>
            <w:tcW w:w="750" w:type="pct"/>
            <w:tcBorders>
              <w:top w:val="single" w:color="auto" w:sz="4" w:space="0"/>
              <w:left w:val="single" w:color="auto" w:sz="4" w:space="0"/>
              <w:bottom w:val="single" w:color="auto" w:sz="4" w:space="0"/>
              <w:right w:val="single" w:color="auto" w:sz="4" w:space="0"/>
            </w:tcBorders>
            <w:vAlign w:val="center"/>
          </w:tcPr>
          <w:p w14:paraId="64FB56C3">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color="auto" w:sz="4" w:space="0"/>
              <w:left w:val="single" w:color="auto" w:sz="4" w:space="0"/>
              <w:bottom w:val="single" w:color="auto" w:sz="4" w:space="0"/>
              <w:right w:val="single" w:color="auto" w:sz="4" w:space="0"/>
            </w:tcBorders>
            <w:vAlign w:val="center"/>
          </w:tcPr>
          <w:p w14:paraId="1C111E01">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color="auto" w:sz="4" w:space="0"/>
              <w:left w:val="single" w:color="auto" w:sz="4" w:space="0"/>
              <w:bottom w:val="single" w:color="auto" w:sz="4" w:space="0"/>
              <w:right w:val="single" w:color="auto" w:sz="4" w:space="0"/>
            </w:tcBorders>
            <w:vAlign w:val="center"/>
          </w:tcPr>
          <w:p w14:paraId="573F2AA7">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753CDACE">
            <w:pPr>
              <w:widowControl/>
              <w:snapToGrid w:val="0"/>
              <w:jc w:val="left"/>
              <w:rPr>
                <w:rFonts w:ascii="宋体" w:hAnsi="宋体"/>
                <w:color w:val="000000"/>
                <w:kern w:val="0"/>
                <w:sz w:val="25"/>
                <w:szCs w:val="24"/>
              </w:rPr>
            </w:pPr>
            <w:r>
              <w:rPr>
                <w:rFonts w:ascii="Times New Roman" w:hAnsi="Times New Roman"/>
                <w:color w:val="000000"/>
                <w:kern w:val="0"/>
                <w:sz w:val="25"/>
                <w:szCs w:val="24"/>
              </w:rPr>
              <w:t>9.95%</w:t>
            </w:r>
          </w:p>
        </w:tc>
        <w:tc>
          <w:tcPr>
            <w:tcW w:w="750" w:type="pct"/>
            <w:tcBorders>
              <w:top w:val="single" w:color="auto" w:sz="4" w:space="0"/>
              <w:left w:val="single" w:color="auto" w:sz="4" w:space="0"/>
              <w:bottom w:val="single" w:color="auto" w:sz="4" w:space="0"/>
              <w:right w:val="single" w:color="auto" w:sz="4" w:space="0"/>
            </w:tcBorders>
            <w:vAlign w:val="center"/>
          </w:tcPr>
          <w:p w14:paraId="7138770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14:paraId="6BCA2C14">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63AE3C5">
            <w:pPr>
              <w:widowControl/>
              <w:snapToGrid w:val="0"/>
              <w:jc w:val="left"/>
              <w:rPr>
                <w:rFonts w:ascii="宋体" w:hAnsi="宋体"/>
                <w:color w:val="000000"/>
                <w:kern w:val="0"/>
                <w:sz w:val="25"/>
                <w:szCs w:val="24"/>
              </w:rPr>
            </w:pPr>
            <w:r>
              <w:rPr>
                <w:rFonts w:ascii="Times New Roman" w:hAnsi="Times New Roman"/>
                <w:color w:val="000000"/>
                <w:kern w:val="0"/>
                <w:sz w:val="25"/>
                <w:szCs w:val="24"/>
              </w:rPr>
              <w:t>2008年度（自基金合同生效日起至2008年12月31日）</w:t>
            </w:r>
          </w:p>
        </w:tc>
        <w:tc>
          <w:tcPr>
            <w:tcW w:w="750" w:type="pct"/>
            <w:tcBorders>
              <w:top w:val="single" w:color="auto" w:sz="4" w:space="0"/>
              <w:left w:val="single" w:color="auto" w:sz="4" w:space="0"/>
              <w:bottom w:val="single" w:color="auto" w:sz="4" w:space="0"/>
              <w:right w:val="single" w:color="auto" w:sz="4" w:space="0"/>
            </w:tcBorders>
            <w:vAlign w:val="center"/>
          </w:tcPr>
          <w:p w14:paraId="365B0032">
            <w:pPr>
              <w:widowControl/>
              <w:snapToGrid w:val="0"/>
              <w:jc w:val="left"/>
              <w:rPr>
                <w:rFonts w:ascii="宋体" w:hAnsi="宋体"/>
                <w:color w:val="000000"/>
                <w:kern w:val="0"/>
                <w:sz w:val="25"/>
                <w:szCs w:val="24"/>
              </w:rPr>
            </w:pPr>
            <w:r>
              <w:rPr>
                <w:rFonts w:ascii="Times New Roman" w:hAnsi="Times New Roman"/>
                <w:color w:val="000000"/>
                <w:kern w:val="0"/>
                <w:sz w:val="25"/>
                <w:szCs w:val="24"/>
              </w:rPr>
              <w:t>12.66%</w:t>
            </w:r>
          </w:p>
        </w:tc>
        <w:tc>
          <w:tcPr>
            <w:tcW w:w="750" w:type="pct"/>
            <w:tcBorders>
              <w:top w:val="single" w:color="auto" w:sz="4" w:space="0"/>
              <w:left w:val="single" w:color="auto" w:sz="4" w:space="0"/>
              <w:bottom w:val="single" w:color="auto" w:sz="4" w:space="0"/>
              <w:right w:val="single" w:color="auto" w:sz="4" w:space="0"/>
            </w:tcBorders>
            <w:vAlign w:val="center"/>
          </w:tcPr>
          <w:p w14:paraId="3F4CC0D5">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color="auto" w:sz="4" w:space="0"/>
              <w:left w:val="single" w:color="auto" w:sz="4" w:space="0"/>
              <w:bottom w:val="single" w:color="auto" w:sz="4" w:space="0"/>
              <w:right w:val="single" w:color="auto" w:sz="4" w:space="0"/>
            </w:tcBorders>
            <w:vAlign w:val="center"/>
          </w:tcPr>
          <w:p w14:paraId="04DE5C40">
            <w:pPr>
              <w:widowControl/>
              <w:snapToGrid w:val="0"/>
              <w:jc w:val="left"/>
              <w:rPr>
                <w:rFonts w:ascii="宋体" w:hAnsi="宋体"/>
                <w:color w:val="000000"/>
                <w:kern w:val="0"/>
                <w:sz w:val="25"/>
                <w:szCs w:val="24"/>
              </w:rPr>
            </w:pPr>
            <w:r>
              <w:rPr>
                <w:rFonts w:ascii="Times New Roman" w:hAnsi="Times New Roman"/>
                <w:color w:val="000000"/>
                <w:kern w:val="0"/>
                <w:sz w:val="25"/>
                <w:szCs w:val="24"/>
              </w:rPr>
              <w:t>9.84%</w:t>
            </w:r>
          </w:p>
        </w:tc>
        <w:tc>
          <w:tcPr>
            <w:tcW w:w="750" w:type="pct"/>
            <w:tcBorders>
              <w:top w:val="single" w:color="auto" w:sz="4" w:space="0"/>
              <w:left w:val="single" w:color="auto" w:sz="4" w:space="0"/>
              <w:bottom w:val="single" w:color="auto" w:sz="4" w:space="0"/>
              <w:right w:val="single" w:color="auto" w:sz="4" w:space="0"/>
            </w:tcBorders>
            <w:vAlign w:val="center"/>
          </w:tcPr>
          <w:p w14:paraId="0E0720F7">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color="auto" w:sz="4" w:space="0"/>
              <w:left w:val="single" w:color="auto" w:sz="4" w:space="0"/>
              <w:bottom w:val="single" w:color="auto" w:sz="4" w:space="0"/>
              <w:right w:val="single" w:color="auto" w:sz="4" w:space="0"/>
            </w:tcBorders>
            <w:vAlign w:val="center"/>
          </w:tcPr>
          <w:p w14:paraId="3C498207">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color="auto" w:sz="4" w:space="0"/>
              <w:left w:val="single" w:color="auto" w:sz="4" w:space="0"/>
              <w:bottom w:val="single" w:color="auto" w:sz="4" w:space="0"/>
              <w:right w:val="single" w:color="auto" w:sz="4" w:space="0"/>
            </w:tcBorders>
            <w:vAlign w:val="center"/>
          </w:tcPr>
          <w:p w14:paraId="2F910B0E">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r>
    </w:tbl>
    <w:p w14:paraId="25C603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（3）交银增利债券D</w:t>
      </w:r>
    </w:p>
    <w:tbl>
      <w:tblPr>
        <w:tblStyle w:val="14"/>
        <w:tblW w:w="5000" w:type="pct"/>
        <w:tblInd w:w="0" w:type="dxa"/>
        <w:tblLayout w:type="autofit"/>
        <w:tblCellMar>
          <w:top w:w="0" w:type="dxa"/>
          <w:left w:w="0" w:type="dxa"/>
          <w:bottom w:w="0" w:type="dxa"/>
          <w:right w:w="0" w:type="dxa"/>
        </w:tblCellMar>
      </w:tblPr>
      <w:tblGrid>
        <w:gridCol w:w="1300"/>
        <w:gridCol w:w="1300"/>
        <w:gridCol w:w="1300"/>
        <w:gridCol w:w="1301"/>
        <w:gridCol w:w="1301"/>
        <w:gridCol w:w="1301"/>
        <w:gridCol w:w="867"/>
      </w:tblGrid>
      <w:tr w14:paraId="4FEDBE16">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575849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color="auto" w:sz="4" w:space="0"/>
              <w:left w:val="single" w:color="auto" w:sz="4" w:space="0"/>
              <w:bottom w:val="single" w:color="auto" w:sz="4" w:space="0"/>
              <w:right w:val="single" w:color="auto" w:sz="4" w:space="0"/>
            </w:tcBorders>
            <w:vAlign w:val="center"/>
          </w:tcPr>
          <w:p w14:paraId="426A158F">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净值增长率①</w:t>
            </w:r>
          </w:p>
        </w:tc>
        <w:tc>
          <w:tcPr>
            <w:tcW w:w="750" w:type="pct"/>
            <w:tcBorders>
              <w:top w:val="single" w:color="auto" w:sz="4" w:space="0"/>
              <w:left w:val="single" w:color="auto" w:sz="4" w:space="0"/>
              <w:bottom w:val="single" w:color="auto" w:sz="4" w:space="0"/>
              <w:right w:val="single" w:color="auto" w:sz="4" w:space="0"/>
            </w:tcBorders>
            <w:vAlign w:val="center"/>
          </w:tcPr>
          <w:p w14:paraId="45AC8F6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净值增长率标准差②</w:t>
            </w:r>
          </w:p>
        </w:tc>
        <w:tc>
          <w:tcPr>
            <w:tcW w:w="750" w:type="pct"/>
            <w:tcBorders>
              <w:top w:val="single" w:color="auto" w:sz="4" w:space="0"/>
              <w:left w:val="single" w:color="auto" w:sz="4" w:space="0"/>
              <w:bottom w:val="single" w:color="auto" w:sz="4" w:space="0"/>
              <w:right w:val="single" w:color="auto" w:sz="4" w:space="0"/>
            </w:tcBorders>
            <w:vAlign w:val="center"/>
          </w:tcPr>
          <w:p w14:paraId="5B555F4C">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业绩比较基准收益率③</w:t>
            </w:r>
          </w:p>
        </w:tc>
        <w:tc>
          <w:tcPr>
            <w:tcW w:w="750" w:type="pct"/>
            <w:tcBorders>
              <w:top w:val="single" w:color="auto" w:sz="4" w:space="0"/>
              <w:left w:val="single" w:color="auto" w:sz="4" w:space="0"/>
              <w:bottom w:val="single" w:color="auto" w:sz="4" w:space="0"/>
              <w:right w:val="single" w:color="auto" w:sz="4" w:space="0"/>
            </w:tcBorders>
            <w:vAlign w:val="center"/>
          </w:tcPr>
          <w:p w14:paraId="22CBD94D">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业绩比较基准收益率标准差④</w:t>
            </w:r>
          </w:p>
        </w:tc>
        <w:tc>
          <w:tcPr>
            <w:tcW w:w="750" w:type="pct"/>
            <w:tcBorders>
              <w:top w:val="single" w:color="auto" w:sz="4" w:space="0"/>
              <w:left w:val="single" w:color="auto" w:sz="4" w:space="0"/>
              <w:bottom w:val="single" w:color="auto" w:sz="4" w:space="0"/>
              <w:right w:val="single" w:color="auto" w:sz="4" w:space="0"/>
            </w:tcBorders>
            <w:vAlign w:val="center"/>
          </w:tcPr>
          <w:p w14:paraId="1BC44CB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color="auto" w:sz="4" w:space="0"/>
              <w:left w:val="single" w:color="auto" w:sz="4" w:space="0"/>
              <w:bottom w:val="single" w:color="auto" w:sz="4" w:space="0"/>
              <w:right w:val="single" w:color="auto" w:sz="4" w:space="0"/>
            </w:tcBorders>
            <w:vAlign w:val="center"/>
          </w:tcPr>
          <w:p w14:paraId="17A8944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14:paraId="6A9D9740">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5C04D89D">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color="auto" w:sz="4" w:space="0"/>
              <w:left w:val="single" w:color="auto" w:sz="4" w:space="0"/>
              <w:bottom w:val="single" w:color="auto" w:sz="4" w:space="0"/>
              <w:right w:val="single" w:color="auto" w:sz="4" w:space="0"/>
            </w:tcBorders>
            <w:vAlign w:val="center"/>
          </w:tcPr>
          <w:p w14:paraId="51E5154F">
            <w:pPr>
              <w:widowControl/>
              <w:snapToGrid w:val="0"/>
              <w:jc w:val="left"/>
              <w:rPr>
                <w:rFonts w:ascii="宋体" w:hAnsi="宋体"/>
                <w:color w:val="000000"/>
                <w:kern w:val="0"/>
                <w:sz w:val="25"/>
                <w:szCs w:val="24"/>
              </w:rPr>
            </w:pPr>
            <w:r>
              <w:rPr>
                <w:rFonts w:ascii="Times New Roman" w:hAnsi="Times New Roman"/>
                <w:color w:val="000000"/>
                <w:kern w:val="0"/>
                <w:sz w:val="25"/>
                <w:szCs w:val="24"/>
              </w:rPr>
              <w:t>1.42%</w:t>
            </w:r>
          </w:p>
        </w:tc>
        <w:tc>
          <w:tcPr>
            <w:tcW w:w="750" w:type="pct"/>
            <w:tcBorders>
              <w:top w:val="single" w:color="auto" w:sz="4" w:space="0"/>
              <w:left w:val="single" w:color="auto" w:sz="4" w:space="0"/>
              <w:bottom w:val="single" w:color="auto" w:sz="4" w:space="0"/>
              <w:right w:val="single" w:color="auto" w:sz="4" w:space="0"/>
            </w:tcBorders>
            <w:vAlign w:val="center"/>
          </w:tcPr>
          <w:p w14:paraId="2E4DA0B9">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7A601592">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color="auto" w:sz="4" w:space="0"/>
              <w:left w:val="single" w:color="auto" w:sz="4" w:space="0"/>
              <w:bottom w:val="single" w:color="auto" w:sz="4" w:space="0"/>
              <w:right w:val="single" w:color="auto" w:sz="4" w:space="0"/>
            </w:tcBorders>
            <w:vAlign w:val="center"/>
          </w:tcPr>
          <w:p w14:paraId="21F6C263">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69604C43">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color="auto" w:sz="4" w:space="0"/>
              <w:left w:val="single" w:color="auto" w:sz="4" w:space="0"/>
              <w:bottom w:val="single" w:color="auto" w:sz="4" w:space="0"/>
              <w:right w:val="single" w:color="auto" w:sz="4" w:space="0"/>
            </w:tcBorders>
            <w:vAlign w:val="center"/>
          </w:tcPr>
          <w:p w14:paraId="3817304E">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14:paraId="34A898DE">
        <w:tblPrEx>
          <w:tblCellMar>
            <w:top w:w="0" w:type="dxa"/>
            <w:left w:w="0" w:type="dxa"/>
            <w:bottom w:w="0" w:type="dxa"/>
            <w:right w:w="0" w:type="dxa"/>
          </w:tblCellMar>
        </w:tblPrEx>
        <w:trPr>
          <w:cantSplit/>
          <w:trHeight w:val="375" w:hRule="atLeast"/>
        </w:trPr>
        <w:tc>
          <w:tcPr>
            <w:tcW w:w="750" w:type="pct"/>
            <w:tcBorders>
              <w:top w:val="single" w:color="auto" w:sz="4" w:space="0"/>
              <w:left w:val="single" w:color="auto" w:sz="4" w:space="0"/>
              <w:bottom w:val="single" w:color="auto" w:sz="4" w:space="0"/>
              <w:right w:val="single" w:color="auto" w:sz="4" w:space="0"/>
            </w:tcBorders>
            <w:vAlign w:val="center"/>
          </w:tcPr>
          <w:p w14:paraId="027B6A78">
            <w:pPr>
              <w:widowControl/>
              <w:snapToGrid w:val="0"/>
              <w:jc w:val="left"/>
              <w:rPr>
                <w:rFonts w:ascii="宋体" w:hAnsi="宋体"/>
                <w:color w:val="000000"/>
                <w:kern w:val="0"/>
                <w:sz w:val="25"/>
                <w:szCs w:val="24"/>
              </w:rPr>
            </w:pPr>
            <w:r>
              <w:rPr>
                <w:rFonts w:ascii="Times New Roman" w:hAnsi="Times New Roman"/>
                <w:color w:val="000000"/>
                <w:kern w:val="0"/>
                <w:sz w:val="25"/>
                <w:szCs w:val="24"/>
              </w:rPr>
              <w:t>2025年度（自基金份额类别首次确认起至2025年9月30）</w:t>
            </w:r>
          </w:p>
        </w:tc>
        <w:tc>
          <w:tcPr>
            <w:tcW w:w="750" w:type="pct"/>
            <w:tcBorders>
              <w:top w:val="single" w:color="auto" w:sz="4" w:space="0"/>
              <w:left w:val="single" w:color="auto" w:sz="4" w:space="0"/>
              <w:bottom w:val="single" w:color="auto" w:sz="4" w:space="0"/>
              <w:right w:val="single" w:color="auto" w:sz="4" w:space="0"/>
            </w:tcBorders>
            <w:vAlign w:val="center"/>
          </w:tcPr>
          <w:p w14:paraId="7F5F1944">
            <w:pPr>
              <w:widowControl/>
              <w:snapToGrid w:val="0"/>
              <w:jc w:val="left"/>
              <w:rPr>
                <w:rFonts w:ascii="宋体" w:hAnsi="宋体"/>
                <w:color w:val="000000"/>
                <w:kern w:val="0"/>
                <w:sz w:val="25"/>
                <w:szCs w:val="24"/>
              </w:rPr>
            </w:pPr>
            <w:r>
              <w:rPr>
                <w:rFonts w:ascii="Times New Roman" w:hAnsi="Times New Roman"/>
                <w:color w:val="000000"/>
                <w:kern w:val="0"/>
                <w:sz w:val="25"/>
                <w:szCs w:val="24"/>
              </w:rPr>
              <w:t>2.76%</w:t>
            </w:r>
          </w:p>
        </w:tc>
        <w:tc>
          <w:tcPr>
            <w:tcW w:w="750" w:type="pct"/>
            <w:tcBorders>
              <w:top w:val="single" w:color="auto" w:sz="4" w:space="0"/>
              <w:left w:val="single" w:color="auto" w:sz="4" w:space="0"/>
              <w:bottom w:val="single" w:color="auto" w:sz="4" w:space="0"/>
              <w:right w:val="single" w:color="auto" w:sz="4" w:space="0"/>
            </w:tcBorders>
            <w:vAlign w:val="center"/>
          </w:tcPr>
          <w:p w14:paraId="223CE772">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color="auto" w:sz="4" w:space="0"/>
              <w:left w:val="single" w:color="auto" w:sz="4" w:space="0"/>
              <w:bottom w:val="single" w:color="auto" w:sz="4" w:space="0"/>
              <w:right w:val="single" w:color="auto" w:sz="4" w:space="0"/>
            </w:tcBorders>
            <w:vAlign w:val="center"/>
          </w:tcPr>
          <w:p w14:paraId="1C7B6BC8">
            <w:pPr>
              <w:widowControl/>
              <w:snapToGrid w:val="0"/>
              <w:jc w:val="left"/>
              <w:rPr>
                <w:rFonts w:ascii="宋体" w:hAnsi="宋体"/>
                <w:color w:val="000000"/>
                <w:kern w:val="0"/>
                <w:sz w:val="25"/>
                <w:szCs w:val="24"/>
              </w:rPr>
            </w:pPr>
            <w:r>
              <w:rPr>
                <w:rFonts w:ascii="Times New Roman" w:hAnsi="Times New Roman"/>
                <w:color w:val="000000"/>
                <w:kern w:val="0"/>
                <w:sz w:val="25"/>
                <w:szCs w:val="24"/>
              </w:rPr>
              <w:t>-1.16%</w:t>
            </w:r>
          </w:p>
        </w:tc>
        <w:tc>
          <w:tcPr>
            <w:tcW w:w="750" w:type="pct"/>
            <w:tcBorders>
              <w:top w:val="single" w:color="auto" w:sz="4" w:space="0"/>
              <w:left w:val="single" w:color="auto" w:sz="4" w:space="0"/>
              <w:bottom w:val="single" w:color="auto" w:sz="4" w:space="0"/>
              <w:right w:val="single" w:color="auto" w:sz="4" w:space="0"/>
            </w:tcBorders>
            <w:vAlign w:val="center"/>
          </w:tcPr>
          <w:p w14:paraId="25A2B42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color="auto" w:sz="4" w:space="0"/>
              <w:left w:val="single" w:color="auto" w:sz="4" w:space="0"/>
              <w:bottom w:val="single" w:color="auto" w:sz="4" w:space="0"/>
              <w:right w:val="single" w:color="auto" w:sz="4" w:space="0"/>
            </w:tcBorders>
            <w:vAlign w:val="center"/>
          </w:tcPr>
          <w:p w14:paraId="3D13C612">
            <w:pPr>
              <w:widowControl/>
              <w:snapToGrid w:val="0"/>
              <w:jc w:val="left"/>
              <w:rPr>
                <w:rFonts w:ascii="宋体" w:hAnsi="宋体"/>
                <w:color w:val="000000"/>
                <w:kern w:val="0"/>
                <w:sz w:val="25"/>
                <w:szCs w:val="24"/>
              </w:rPr>
            </w:pPr>
            <w:r>
              <w:rPr>
                <w:rFonts w:ascii="Times New Roman" w:hAnsi="Times New Roman"/>
                <w:color w:val="000000"/>
                <w:kern w:val="0"/>
                <w:sz w:val="25"/>
                <w:szCs w:val="24"/>
              </w:rPr>
              <w:t>3.92%</w:t>
            </w:r>
          </w:p>
        </w:tc>
        <w:tc>
          <w:tcPr>
            <w:tcW w:w="750" w:type="pct"/>
            <w:tcBorders>
              <w:top w:val="single" w:color="auto" w:sz="4" w:space="0"/>
              <w:left w:val="single" w:color="auto" w:sz="4" w:space="0"/>
              <w:bottom w:val="single" w:color="auto" w:sz="4" w:space="0"/>
              <w:right w:val="single" w:color="auto" w:sz="4" w:space="0"/>
            </w:tcBorders>
            <w:vAlign w:val="center"/>
          </w:tcPr>
          <w:p w14:paraId="51087106">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bl>
    <w:p w14:paraId="425D97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注：本基金的业绩比较基准为中债企业债总指数。</w:t>
      </w:r>
    </w:p>
    <w:p w14:paraId="2560C0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2、自基金合同生效以来基金份额累计净值增长率变动及其与同期业绩比较基准收益率变动的比较</w:t>
      </w:r>
    </w:p>
    <w:p w14:paraId="2BF21F97">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交银施罗德增利债券证券投资基金</w:t>
      </w:r>
    </w:p>
    <w:p w14:paraId="710C3385">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份额累计净值增长率与业绩比较基准收益率的历史走势对比图</w:t>
      </w:r>
    </w:p>
    <w:p w14:paraId="6AD830EF">
      <w:pPr>
        <w:autoSpaceDE w:val="0"/>
        <w:autoSpaceDN w:val="0"/>
        <w:adjustRightInd w:val="0"/>
        <w:snapToGrid w:val="0"/>
        <w:spacing w:line="360" w:lineRule="auto"/>
        <w:ind w:firstLine="480" w:firstLineChars="200"/>
        <w:jc w:val="center"/>
        <w:rPr>
          <w:rFonts w:ascii="宋体" w:hAnsi="宋体"/>
          <w:szCs w:val="24"/>
        </w:rPr>
      </w:pPr>
      <w:r>
        <w:rPr>
          <w:rFonts w:ascii="宋体" w:hAnsi="宋体"/>
          <w:sz w:val="24"/>
        </w:rPr>
        <w:t>（2008年3月31日至2025年09月30日）</w:t>
      </w:r>
    </w:p>
    <w:p w14:paraId="093152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1．交银增利债券A/B</w:t>
      </w:r>
    </w:p>
    <w:p w14:paraId="42EC3155">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7" o:spt="75" type="#_x0000_t75" style="height:461.25pt;width:439.5pt;" filled="f" o:preferrelative="t" stroked="f" coordsize="21600,21600">
            <v:path/>
            <v:fill on="f" focussize="0,0"/>
            <v:stroke on="f" joinstyle="miter"/>
            <v:imagedata r:id="rId15" o:title="1521256610242020828"/>
            <o:lock v:ext="edit" aspectratio="t"/>
            <w10:wrap type="none"/>
            <w10:anchorlock/>
          </v:shape>
        </w:pict>
      </w:r>
    </w:p>
    <w:p w14:paraId="0F1C07B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2．交银增利债券C</w:t>
      </w:r>
    </w:p>
    <w:p w14:paraId="281A91D5">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8" o:spt="75" type="#_x0000_t75" style="height:461.25pt;width:439.5pt;" filled="f" o:preferrelative="t" stroked="f" coordsize="21600,21600">
            <v:path/>
            <v:fill on="f" focussize="0,0"/>
            <v:stroke on="f" joinstyle="miter"/>
            <v:imagedata r:id="rId16" o:title="1521256610242020828"/>
            <o:lock v:ext="edit" aspectratio="t"/>
            <w10:wrap type="none"/>
            <w10:anchorlock/>
          </v:shape>
        </w:pict>
      </w:r>
    </w:p>
    <w:p w14:paraId="0E6859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3．交银增利债券D</w:t>
      </w:r>
    </w:p>
    <w:p w14:paraId="76514ED6">
      <w:pPr>
        <w:autoSpaceDE w:val="0"/>
        <w:autoSpaceDN w:val="0"/>
        <w:adjustRightInd w:val="0"/>
        <w:snapToGrid w:val="0"/>
        <w:spacing w:line="360" w:lineRule="auto"/>
        <w:ind w:firstLine="480" w:firstLineChars="200"/>
        <w:jc w:val="left"/>
        <w:rPr>
          <w:rFonts w:ascii="宋体" w:hAnsi="宋体"/>
          <w:szCs w:val="24"/>
        </w:rPr>
      </w:pPr>
      <w:r>
        <w:rPr>
          <w:rFonts w:ascii="宋体" w:hAnsi="宋体"/>
          <w:kern w:val="0"/>
          <w:sz w:val="24"/>
        </w:rPr>
        <w:pict>
          <v:shape id="_x0000_i1029" o:spt="75" type="#_x0000_t75" style="height:461.25pt;width:439.5pt;" filled="f" o:preferrelative="t" stroked="f" coordsize="21600,21600">
            <v:path/>
            <v:fill on="f" focussize="0,0"/>
            <v:stroke on="f" joinstyle="miter"/>
            <v:imagedata r:id="rId17" o:title="1521256610242020828"/>
            <o:lock v:ext="edit" aspectratio="t"/>
            <w10:wrap type="none"/>
            <w10:anchorlock/>
          </v:shape>
        </w:pict>
      </w:r>
    </w:p>
    <w:p w14:paraId="56D355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 　　2、本基金自2025年3月31日起，开始销售D类份额，投资者提交的申购申请于2025年4月1日被确认并将有效份额登记在册。</w:t>
      </w:r>
    </w:p>
    <w:p w14:paraId="49A2126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E443861">
      <w:pPr>
        <w:pStyle w:val="2"/>
        <w:snapToGrid w:val="0"/>
        <w:spacing w:before="240" w:beforeLines="0" w:after="240"/>
        <w:rPr>
          <w:rFonts w:ascii="宋体" w:hAnsi="宋体"/>
          <w:szCs w:val="30"/>
        </w:rPr>
      </w:pPr>
      <w:bookmarkStart w:id="14" w:name="_Toc216956606"/>
      <w:r>
        <w:rPr>
          <w:rFonts w:ascii="Times New Roman" w:hAnsi="Times New Roman"/>
          <w:sz w:val="30"/>
        </w:rPr>
        <w:t>十二、基金的财产</w:t>
      </w:r>
      <w:bookmarkEnd w:id="14"/>
    </w:p>
    <w:p w14:paraId="2145EE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（一）基金资产总值</w:t>
      </w:r>
    </w:p>
    <w:p w14:paraId="37E7FA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基金资产总值是指基金拥有的各类有价证券、银行存款本息、基金应收申购款以及其他资产的价值总和。</w:t>
      </w:r>
    </w:p>
    <w:p w14:paraId="5A5E19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（二）基金资产净值</w:t>
      </w:r>
    </w:p>
    <w:p w14:paraId="497441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基金资产净值是指基金资产总值减去基金负债后的价值。</w:t>
      </w:r>
    </w:p>
    <w:p w14:paraId="214679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（三）基金财产的账户</w:t>
      </w:r>
    </w:p>
    <w:p w14:paraId="75FD87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财产以基金名义开立银行存款账户，以基金托管人的名义开立证券交易清算资金的结算备付金账户，并以基金托管人和“交银施罗德增利债券证券投资基金”联名的方式开立基金证券账户，以“交银施罗德增利债券证券投资基金”的名义开立银行间债券托管账户并报中国人民银行备案。开立的基金专用账户与基金管理人、基金托管人、基金代销机构和基金登记结算机构自有的财产账户以及其他基金财产账户相独立。</w:t>
      </w:r>
    </w:p>
    <w:p w14:paraId="0D25BD1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（四）基金财产的保管与处分</w:t>
      </w:r>
    </w:p>
    <w:p w14:paraId="524BFC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14:paraId="15D7B5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14:paraId="30C169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14:paraId="720AEBE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CE1B98C">
      <w:pPr>
        <w:pStyle w:val="2"/>
        <w:snapToGrid w:val="0"/>
        <w:spacing w:before="240" w:beforeLines="0" w:after="240"/>
        <w:rPr>
          <w:rFonts w:ascii="宋体" w:hAnsi="宋体"/>
          <w:szCs w:val="30"/>
        </w:rPr>
      </w:pPr>
      <w:bookmarkStart w:id="15" w:name="_Toc216956607"/>
      <w:r>
        <w:rPr>
          <w:rFonts w:ascii="Times New Roman" w:hAnsi="Times New Roman"/>
          <w:sz w:val="30"/>
        </w:rPr>
        <w:t>十三、基金资产的估值</w:t>
      </w:r>
      <w:bookmarkEnd w:id="15"/>
    </w:p>
    <w:p w14:paraId="1C23D3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（一）估值目的</w:t>
      </w:r>
    </w:p>
    <w:p w14:paraId="44BE16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基金资产估值的目的是客观、准确地反映基金财产是否保值、增值，依据经基金资产估值后确定的基金资产净值计算出的基金份额净值，是计算基金申购与赎回价格的基础。</w:t>
      </w:r>
    </w:p>
    <w:p w14:paraId="7F4AED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（二）估值日</w:t>
      </w:r>
    </w:p>
    <w:p w14:paraId="483445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本基金的估值日为本基金相关的证券交易场所的正常营业日以及国家法律法规规定需要对外披露基金净值的非营业日。</w:t>
      </w:r>
    </w:p>
    <w:p w14:paraId="28E694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（三）估值方法</w:t>
      </w:r>
    </w:p>
    <w:p w14:paraId="4BF1B1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1.股票估值方法：</w:t>
      </w:r>
    </w:p>
    <w:p w14:paraId="708935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14:paraId="1170B7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(2)未上市股票的估值：</w:t>
      </w:r>
    </w:p>
    <w:p w14:paraId="264D5E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1)首次发行未上市的股票，按成本计量；</w:t>
      </w:r>
    </w:p>
    <w:p w14:paraId="7AB49E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2)送股、转增股、配股和公开增发新股等发行未上市的股票，按估值日在证券交易所挂牌的同一股票的市价估值；</w:t>
      </w:r>
    </w:p>
    <w:p w14:paraId="49464E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3)首次公开发行有明确锁定期的股票，同一股票在交易所上市后，按交易所上市的同一股票的市价估值；</w:t>
      </w:r>
    </w:p>
    <w:p w14:paraId="5A911D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4)非公开发行有明确锁定期的流通受限股票，按监管机构或行业协会有关规定确定公允价值；</w:t>
      </w:r>
    </w:p>
    <w:p w14:paraId="2071FF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任何情况下，基金管理人如采用本项第(1)－(2)小项规定的方法对基金资产进行估值，均应被认为采用了适当的估值方法。但是，如果基金管理人认为按本项第(1)－(2)小项规定的方法对基金资产进行估值不能客观反映其公允价值的，基金管理人可根据具体情况，并与基金托管人商定后，按最能反映公允价值的价格估值；</w:t>
      </w:r>
    </w:p>
    <w:p w14:paraId="2D5AD3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(4)国家有最新规定的，按其规定进行估值。</w:t>
      </w:r>
    </w:p>
    <w:p w14:paraId="6C3797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2.债券估值方法：</w:t>
      </w:r>
    </w:p>
    <w:p w14:paraId="5872F0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 交易所市场上市交易或挂牌转让的固定收益品种（另有规定的除外），选取第三方估值机构提供的相应品种当日的估值净价进行估值；</w:t>
      </w:r>
    </w:p>
    <w:p w14:paraId="21000A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(2)证券交易所市场未实行净价交易的债券按估值日收盘价减去债券收盘价中所含的应收利息得到的净价进行估值，估值日没有交易的，以最近交易日的收盘净价估值；</w:t>
      </w:r>
    </w:p>
    <w:p w14:paraId="5B6271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(3)发行未上市债券采用估值技术确定公允价值，在估值技术难以可靠计量公允价值的情况下，按成本进行后续计量；</w:t>
      </w:r>
    </w:p>
    <w:p w14:paraId="58D41F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(4)在全国银行间债券市场交易的债券、资产支持证券等固定收益品种，采用估值技术确定公允价值；</w:t>
      </w:r>
    </w:p>
    <w:p w14:paraId="5ECAED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(5)同一债券同时在两个或两个以上市场交易的，按债券所处的市场分别估值；</w:t>
      </w:r>
    </w:p>
    <w:p w14:paraId="6817C7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14:paraId="6FE4D9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(7)国家有最新规定的，按其规定进行估值。</w:t>
      </w:r>
    </w:p>
    <w:p w14:paraId="2A5C5F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3.权证估值方法：</w:t>
      </w:r>
    </w:p>
    <w:p w14:paraId="305AB3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(1)基金持有的权证，从持有确认日起到卖出日或行权日止，上市交易的权证按估值日在证券交易所挂牌的该权证的收盘价估值；估值日没有交易的，按最近交易日的收盘价估值；</w:t>
      </w:r>
    </w:p>
    <w:p w14:paraId="71E095E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未上市交易的权证采用估值技术确定公允价值；在估值技术难以可靠计量公允价值的情况下，按成本计量；</w:t>
      </w:r>
    </w:p>
    <w:p w14:paraId="22421A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w:t>
      </w:r>
    </w:p>
    <w:p w14:paraId="05B24A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(3)国家有最新规定的，按其规定进行估值。</w:t>
      </w:r>
    </w:p>
    <w:p w14:paraId="607A80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4.如基金管理人或基金托管人发现基金估值违反基金合同订明的估值方法、程序及相关法律法规的规定或者未能充分维护基金份额持有人利益时，应立即通知对方，共同查明原因，双方协商解决。</w:t>
      </w:r>
    </w:p>
    <w:p w14:paraId="2A495A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14:paraId="224B04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（四）估值对象</w:t>
      </w:r>
    </w:p>
    <w:p w14:paraId="284593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本基金所拥有的股票、权证、债券和银行存款本息、应收款项、其它投资等资产。</w:t>
      </w:r>
    </w:p>
    <w:p w14:paraId="48F96C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（五）估值程序</w:t>
      </w:r>
    </w:p>
    <w:p w14:paraId="3C0E07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1、各类基金份额净值是按照每个开放日闭市后，基金资产净值除以当日基金份额的余额数量计算，均精确到0.0001元，小数点后第五位四舍五入。国家另有规定的，从其规定。</w:t>
      </w:r>
    </w:p>
    <w:p w14:paraId="26B545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每个工作日分别计算本基金各类基金份额的基金资产净值及基金份额净值，并按规定分别公告。</w:t>
      </w:r>
    </w:p>
    <w:p w14:paraId="17EFE6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每个工作日对本基金各类基金份额的基金资产估值。基金管理人每个开放日对本基金各类基金份额的基金资产估值后，将该类基金份额的基金份额净值结果发送基金托管人，经基金托管人复核无误后，由基金管理人对外公布。月末、年中和年末估值复核与基金会计账目的核对同时进行。</w:t>
      </w:r>
    </w:p>
    <w:p w14:paraId="107D8B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（六）估值错误的处理</w:t>
      </w:r>
    </w:p>
    <w:p w14:paraId="5B4300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基金管理人和基金托管人将采取必要、适当、合理的措施确保基金资产估值的准确性、及时性。当任一类基金份额净值小数点后4位以内(含第4位)发生差错时，视为该类基金份额净值错误。</w:t>
      </w:r>
    </w:p>
    <w:p w14:paraId="2D0337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本基金合同的当事人应按照以下约定处理：</w:t>
      </w:r>
    </w:p>
    <w:p w14:paraId="3ED221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1.差错类型</w:t>
      </w:r>
    </w:p>
    <w:p w14:paraId="1D6E0E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运作过程中，如果由于基金管理人或基金托管人、或登记结算机构、或代销机构、或投资人自身的过错造成差错，导致其他当事人遭受损失的，过错的责任人应当对由于该差错遭受损失的当事人(“受损方”)按下述“差错处理原则”给予赔偿，承担赔偿责任。</w:t>
      </w:r>
    </w:p>
    <w:p w14:paraId="6608FF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14:paraId="1947AA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14:paraId="49CC45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2.差错处理原则</w:t>
      </w:r>
    </w:p>
    <w:p w14:paraId="6A255A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赔偿责任；若差错责任方已经积极协调，并且有协助义务的当事人有足够的时间进行更正而未更正，则其应当承担相应赔偿责任。差错责任方应对更正的情况向有关当事人进行确认，确保差错已得到更正。</w:t>
      </w:r>
    </w:p>
    <w:p w14:paraId="173C33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(2)差错的责任方对有关当事人的直接损失负责，不对间接损失负责，并且仅对差错的有关直接当事人负责，不对第三方负责。</w:t>
      </w:r>
    </w:p>
    <w:p w14:paraId="5AA120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14:paraId="0BA28F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(4)差错调整采用尽量恢复至假设未发生差错的正确情形的方式。</w:t>
      </w:r>
    </w:p>
    <w:p w14:paraId="0F998D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财产损失时，基金管理人应为基金的利益向基金托管人追偿。基金管理人和托管人之外的第三方造成基金财产的损失，并拒绝进行赔偿时，由基金管理人负责向差错方追偿；追偿过程中产生的有关费用，应列入基金费用，从基金资产中支付。</w:t>
      </w:r>
    </w:p>
    <w:p w14:paraId="3A92C3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差错的当事人进行追索，并有权要求其赔偿或补偿由此发生的费用和遭受的损失。</w:t>
      </w:r>
    </w:p>
    <w:p w14:paraId="44A7B8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(7)按法律法规规定的其他原则处理差错。</w:t>
      </w:r>
    </w:p>
    <w:p w14:paraId="4249E8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3.差错处理程序</w:t>
      </w:r>
    </w:p>
    <w:p w14:paraId="2BB129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差错被发现后，有关的当事人应当及时进行处理，处理的程序如下：</w:t>
      </w:r>
    </w:p>
    <w:p w14:paraId="6D3251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(1)查明差错发生的原因，列明所有的当事人，并根据差错发生的原因确定差错的责任方；</w:t>
      </w:r>
    </w:p>
    <w:p w14:paraId="21C614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(2)根据差错处理原则或当事人协商的方法对因差错造成的损失进行评估；</w:t>
      </w:r>
    </w:p>
    <w:p w14:paraId="0F1D46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(3)根据差错处理原则或当事人协商的方法由差错的责任方进行更正和赔偿损失；</w:t>
      </w:r>
    </w:p>
    <w:p w14:paraId="5CCC11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(4)根据差错处理的方法，需要修改基金登记结算机构交易数据的，由基金登记结算机构进行更正，并就差错的更正向有关当事人进行确认。</w:t>
      </w:r>
    </w:p>
    <w:p w14:paraId="748169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4.基金份额净值差错处理的原则和方法如下：</w:t>
      </w:r>
    </w:p>
    <w:p w14:paraId="4B006D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14:paraId="46C5AA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(2)错误偏差达到该类基金份额净值的0.25%时，基金管理人应当通报基金托管人并报中国证监会备案；错误偏差达到该类基金份额净值的0.5%时，基金管理人应当公告。</w:t>
      </w:r>
    </w:p>
    <w:p w14:paraId="7FAF56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(3)因基金份额净值计算错误，给基金或基金份额持有人造成损失的，应由基金管理人先行赔付，基金管理人按差错情形，有权向其他当事人追偿。</w:t>
      </w:r>
    </w:p>
    <w:p w14:paraId="25607A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(4)基金管理人和基金托管人由于各自技术系统设置而产生的净值计算尾差，以基金管理人计算结果为准。</w:t>
      </w:r>
    </w:p>
    <w:p w14:paraId="6FEFA36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(5)前述内容如法律法规或监管机关另有规定的，从其规定处理。</w:t>
      </w:r>
    </w:p>
    <w:p w14:paraId="76D503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(七)暂停估值的情形</w:t>
      </w:r>
    </w:p>
    <w:p w14:paraId="0FA1E5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1.基金投资所涉及的证券交易市场遇法定节假日或因其他原因暂停营业时；</w:t>
      </w:r>
    </w:p>
    <w:p w14:paraId="2A513E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2.因不可抗力或其它情形致使基金管理人、基金托管人无法准确评估基金资产价值时；</w:t>
      </w:r>
    </w:p>
    <w:p w14:paraId="7ADCEF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3.如果出现基金管理人认为属于紧急事故的任何情况，导致基金管理人不能出售或评估基金资产时；</w:t>
      </w:r>
    </w:p>
    <w:p w14:paraId="5F4235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14:paraId="19E7EF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5.中国证监会和基金合同认定的其它情形。</w:t>
      </w:r>
    </w:p>
    <w:p w14:paraId="6EF4E9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(八)基金净值的确认</w:t>
      </w:r>
    </w:p>
    <w:p w14:paraId="712E94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用于基金信息披露的基金资产净值和各类基金份额净值由基金管理人负责计算，基金托管人负责进行复核。基金管理人应于每个开放日交易结束后计算当日的基金资产净值并发送给基金托管人。基金托管人对净值计算结果复核确认后发送给基金管理人，由基金管理人对基金净值予以公布。</w:t>
      </w:r>
    </w:p>
    <w:p w14:paraId="7A5F25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(九)特殊情况的处理</w:t>
      </w:r>
    </w:p>
    <w:p w14:paraId="66774B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1.基金管理人或基金托管人按股票估值方法的第(3)项、债券估值方法的第(6)项或权证估值方法的第(2)项进行估值时，所造成的误差不作为基金资产估值错误处理。</w:t>
      </w:r>
    </w:p>
    <w:p w14:paraId="1E748F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由于不可抗力原因，或由于证券交易所及登记结算公司发送的数据错误，或国家会计政策变更、市场规则变更等等，基金管理人和基金托管人虽然已经采取必要、适当、合理的措施进行检查，但未能发现错误的，由此造成的基金资产估值错误，基金管理人和基金托管人免除赔偿责任。但基金管理人应当积极采取必要的措施消除由此造成的影响。</w:t>
      </w:r>
    </w:p>
    <w:p w14:paraId="48EC6E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（十）实施侧袋机制期间的基金资产估值</w:t>
      </w:r>
    </w:p>
    <w:p w14:paraId="7DF5AE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14:paraId="5075DF31">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6D007A1">
      <w:pPr>
        <w:pStyle w:val="2"/>
        <w:snapToGrid w:val="0"/>
        <w:spacing w:before="240" w:beforeLines="0" w:after="240"/>
        <w:rPr>
          <w:rFonts w:ascii="宋体" w:hAnsi="宋体"/>
          <w:szCs w:val="30"/>
        </w:rPr>
      </w:pPr>
      <w:bookmarkStart w:id="16" w:name="_Toc216956608"/>
      <w:r>
        <w:rPr>
          <w:rFonts w:ascii="Times New Roman" w:hAnsi="Times New Roman"/>
          <w:sz w:val="30"/>
        </w:rPr>
        <w:t>十四、基金的收益与分配</w:t>
      </w:r>
      <w:bookmarkEnd w:id="16"/>
    </w:p>
    <w:p w14:paraId="2B0986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（一）基金收益的构成</w:t>
      </w:r>
    </w:p>
    <w:p w14:paraId="1D0305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1、买卖证券差价；</w:t>
      </w:r>
    </w:p>
    <w:p w14:paraId="5F33B6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2、基金投资所得红利、股息、债券利息；</w:t>
      </w:r>
    </w:p>
    <w:p w14:paraId="61C32CA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3、银行存款利息；</w:t>
      </w:r>
    </w:p>
    <w:p w14:paraId="1EC1F1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4、已实现的其他合法收入；</w:t>
      </w:r>
    </w:p>
    <w:p w14:paraId="41416D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5、持有期间产生的公允价值变动；</w:t>
      </w:r>
    </w:p>
    <w:p w14:paraId="0C4DC2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因运用基金财产带来的成本或费用的节约应计入收益。</w:t>
      </w:r>
    </w:p>
    <w:p w14:paraId="3F62C9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（二）基金净收益</w:t>
      </w:r>
    </w:p>
    <w:p w14:paraId="0E3346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基金净收益为基金收益扣除按照有关规定可以在基金收益中扣除的费用后的余额。</w:t>
      </w:r>
    </w:p>
    <w:p w14:paraId="5EB8D6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（三）基金收益分配原则</w:t>
      </w:r>
    </w:p>
    <w:p w14:paraId="08E444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本基金收益分配应遵循下列原则：</w:t>
      </w:r>
    </w:p>
    <w:p w14:paraId="673EC6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1、由于本基金A类、B类和D类基金份额不收取销售服务费，C类基金份额收取销售服务费，各基金份额类别对应的可分配收益将有所不同，本基金同一基金份额类别内的每一份基金份额享有同等分配权；</w:t>
      </w:r>
    </w:p>
    <w:p w14:paraId="23EC16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登记结算机构可将投资人的现金红利按红利发放日的基金份额净值自动转为对应类别基金份额；</w:t>
      </w:r>
    </w:p>
    <w:p w14:paraId="503E3F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3、本基金每年收益分配次数最多为12次，基金年度收益分配比例不低于年度可分配收益的90%；</w:t>
      </w:r>
    </w:p>
    <w:p w14:paraId="331D37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4、若基金合同生效不满3个月则可不进行收益分配；</w:t>
      </w:r>
    </w:p>
    <w:p w14:paraId="0A4FF96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收益分配方式分为两种：现金分红与红利再投资，投资人可选择现金红利或将现金红利按红利除息日的基金份额净值自动转为对应类别基金份额进行再投资；若投资人不选择，本基金默认的收益分配方式是现金分红；</w:t>
      </w:r>
    </w:p>
    <w:p w14:paraId="17126D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可对各类基金份额分别选择不同的分红方式。选择采取红利再投资形式的，同一类别基金份额的分红资金将按除息日该类别的基金份额净值转成相应的同一类别的基金份额，持有A/B/D类基金份额的投资人选择红利再投资，红利再投资的份额免收申购费；</w:t>
      </w:r>
    </w:p>
    <w:p w14:paraId="58F8F4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7、基金投资当期出现净亏损，则不进行收益分配；</w:t>
      </w:r>
    </w:p>
    <w:p w14:paraId="29BBE5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8、基金当期收益应先弥补上期亏损后，方可进行当期收益分配；</w:t>
      </w:r>
    </w:p>
    <w:p w14:paraId="1029EA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9、基金收益分配后各类基金份额净值不能低于初始面值；</w:t>
      </w:r>
    </w:p>
    <w:p w14:paraId="0486E4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10、在符合有关基金分红条件的前提下，本基金收益每年至少分配两次；</w:t>
      </w:r>
    </w:p>
    <w:p w14:paraId="2CB3A6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11、法律法规或监管机构另有规定的从其规定。</w:t>
      </w:r>
    </w:p>
    <w:p w14:paraId="783D774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（四）收益分配方案</w:t>
      </w:r>
    </w:p>
    <w:p w14:paraId="61C5A6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基金收益分配方案中应载明基金收益分配对象、分配时间、分配数额及比例、分配方式、支付方式等内容。由于不同基金份额类别对应的可分配收益不同，基金管理人可相应制定不同的收益分配方案。</w:t>
      </w:r>
    </w:p>
    <w:p w14:paraId="3A0AEC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（五）收益分配方案的确定、公告与实施</w:t>
      </w:r>
    </w:p>
    <w:p w14:paraId="1849A8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收益分配方案由基金管理人拟定，并由基金托管人复核，依照《信息披露办法》的有关规定在指定媒介上分别就不同基金份额类别的基金收益分配方案进行公告。</w:t>
      </w:r>
    </w:p>
    <w:p w14:paraId="49B74C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在收益分配方案公布后，基金管理人依据具体方案的规定就支付的现金红利向基金托管人发送划款指令，基金托管人按照基金管理人的指令及时进行分红资金的划付。</w:t>
      </w:r>
    </w:p>
    <w:p w14:paraId="0BEF05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（六）基金收益分配中发生的费用</w:t>
      </w:r>
    </w:p>
    <w:p w14:paraId="3E1438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现金红利分配时所发生的银行转账或其他手续费用由投资人自行承担。当投资人的现金红利小于一定金额，不足于支付银行转账或其他手续费用时，基金登记结算机构可将投资人的现金红利按红利发放日的基金份额净值自动转为基金份额。红利再投资的计算方法，依照交银施罗德基金管理有限公司开放式基金有关业务规定执行。</w:t>
      </w:r>
    </w:p>
    <w:p w14:paraId="5630B0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（七）收益分配方式的修改</w:t>
      </w:r>
    </w:p>
    <w:p w14:paraId="5B4B0B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登记结算机构记录为准。</w:t>
      </w:r>
    </w:p>
    <w:p w14:paraId="499D9D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（八）实施侧袋机制期间的收益分配</w:t>
      </w:r>
    </w:p>
    <w:p w14:paraId="3C6E85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本基金实施侧袋机制的，侧袋账户不进行收益分配。</w:t>
      </w:r>
    </w:p>
    <w:p w14:paraId="2E52012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0BCDEB7B">
      <w:pPr>
        <w:pStyle w:val="2"/>
        <w:snapToGrid w:val="0"/>
        <w:spacing w:before="240" w:beforeLines="0" w:after="240"/>
        <w:rPr>
          <w:rFonts w:ascii="宋体" w:hAnsi="宋体"/>
          <w:szCs w:val="30"/>
        </w:rPr>
      </w:pPr>
      <w:bookmarkStart w:id="17" w:name="_Toc216956609"/>
      <w:r>
        <w:rPr>
          <w:rFonts w:ascii="Times New Roman" w:hAnsi="Times New Roman"/>
          <w:sz w:val="30"/>
        </w:rPr>
        <w:t>十五、基金的费用与税收</w:t>
      </w:r>
      <w:bookmarkEnd w:id="17"/>
    </w:p>
    <w:p w14:paraId="16D65C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（一）基金费用的种类</w:t>
      </w:r>
    </w:p>
    <w:p w14:paraId="7D7E3A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27CA39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3063D91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3、基金财产拨划支付的银行费用；</w:t>
      </w:r>
    </w:p>
    <w:p w14:paraId="7C7951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4、基金合同生效后的基金信息披露费用；</w:t>
      </w:r>
    </w:p>
    <w:p w14:paraId="0584B3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5、基金份额持有人大会费用；</w:t>
      </w:r>
    </w:p>
    <w:p w14:paraId="1B001C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6、基金合同生效后与基金相关的会计师费和律师费；</w:t>
      </w:r>
    </w:p>
    <w:p w14:paraId="197D12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7、基金的证券交易费用；</w:t>
      </w:r>
    </w:p>
    <w:p w14:paraId="404631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8、本基金从C类基金份额的基金财产中计提销售服务费；</w:t>
      </w:r>
    </w:p>
    <w:p w14:paraId="1054D2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9、依法可以在基金财产中列支的其他费用。</w:t>
      </w:r>
    </w:p>
    <w:p w14:paraId="00A55B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14:paraId="48EE9F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本基金基金合同终止基金财产清算时所发生费用，按实际支出额从基金财产总值中扣除。</w:t>
      </w:r>
    </w:p>
    <w:p w14:paraId="370DE4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（二）基金费用计提方法、计提标准和支付方式</w:t>
      </w:r>
    </w:p>
    <w:p w14:paraId="3986C9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1、与基金运作有关的费用</w:t>
      </w:r>
    </w:p>
    <w:p w14:paraId="28EC83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（1）基金管理人的管理费</w:t>
      </w:r>
    </w:p>
    <w:p w14:paraId="4CB375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在通常情况下，基金管理费按前一日基金资产净值的0.3%的年费率计提。管理费的计算方法如下：</w:t>
      </w:r>
    </w:p>
    <w:p w14:paraId="60D164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H＝E×年管理费率÷当年天数</w:t>
      </w:r>
    </w:p>
    <w:p w14:paraId="0AEB07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H为每日应计提的基金管理费</w:t>
      </w:r>
    </w:p>
    <w:p w14:paraId="50D421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E为前一日基金资产净值</w:t>
      </w:r>
    </w:p>
    <w:p w14:paraId="23E2280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14:paraId="012FD4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（2）基金托管人的托管费</w:t>
      </w:r>
    </w:p>
    <w:p w14:paraId="53E253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在通常情况下，基金的托管费按前一日基金资产净值的0.1%的年费率计提。托管费的计算方法如下：</w:t>
      </w:r>
    </w:p>
    <w:p w14:paraId="34F683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H＝E×年托管费率÷当年天数</w:t>
      </w:r>
    </w:p>
    <w:p w14:paraId="6CED50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H为每日应计提的基金托管费</w:t>
      </w:r>
    </w:p>
    <w:p w14:paraId="3208A0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E为前一日基金资产净值</w:t>
      </w:r>
    </w:p>
    <w:p w14:paraId="3A747E2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14:paraId="7818FF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（3）除管理费和托管费之外的基金费用由基金托管人根据其他有关法规及相应协议的规定，按费用实际支出金额支付，列入或摊入当期基金费用。</w:t>
      </w:r>
    </w:p>
    <w:p w14:paraId="3959FD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2、与基金销售有关的费用</w:t>
      </w:r>
    </w:p>
    <w:p w14:paraId="7BCDC1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（1）申购费</w:t>
      </w:r>
    </w:p>
    <w:p w14:paraId="0698E3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本基金申购费的费率水平、计算公式和收取方式详见“基金份额的申购与赎回”一章。</w:t>
      </w:r>
    </w:p>
    <w:p w14:paraId="671618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（2）赎回费</w:t>
      </w:r>
    </w:p>
    <w:p w14:paraId="520826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本基金赎回费的费率水平、计算公式和收取方式详见“基金份额的申购与赎回”一章。</w:t>
      </w:r>
    </w:p>
    <w:p w14:paraId="43FE3B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（3）转换费</w:t>
      </w:r>
    </w:p>
    <w:p w14:paraId="267D4F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本基金转换费的费率水平、计算公式和收取方式详见“基金的转换”一章。</w:t>
      </w:r>
    </w:p>
    <w:p w14:paraId="526A4D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（4）销售服务费</w:t>
      </w:r>
    </w:p>
    <w:p w14:paraId="00C062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本基金A类、B类和D类基金份额不收取销售服务费，C类基金份额的销售服务费按前一日C类基金资产净值的0.4%年费率计提。计算方法如下：</w:t>
      </w:r>
    </w:p>
    <w:p w14:paraId="7B5F62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H＝E×年销售费率÷当年天数</w:t>
      </w:r>
    </w:p>
    <w:p w14:paraId="244C6AA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H为C类基金份额每日应计提的销售服务费</w:t>
      </w:r>
    </w:p>
    <w:p w14:paraId="12716B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E为C类基金份额前一日基金资产净值</w:t>
      </w:r>
    </w:p>
    <w:p w14:paraId="0D217C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销售服务费每日计提，按月支付。由基金管理人向基金托管人发送销售服务费划付指令，基金托管人复核后于次月首日起3个工作日内从基金财产中一次性支付给基金管理人，若遇法定节假日、休息日等，支付日期顺延。</w:t>
      </w:r>
    </w:p>
    <w:p w14:paraId="37343C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本基金销售服务费将专门用于本基金的销售与基金份额持有人服务，基金管理人将在基金年度报告中对该项费用的列支情况作专项说明。</w:t>
      </w:r>
    </w:p>
    <w:p w14:paraId="69E75D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（三）不列入基金费用的项目</w:t>
      </w:r>
    </w:p>
    <w:p w14:paraId="3D60DF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w:t>
      </w:r>
    </w:p>
    <w:p w14:paraId="50029C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基金合同生效前所发生的信息披露费、会计师费、律师费及其他费用，不得从基金财产中列支。</w:t>
      </w:r>
    </w:p>
    <w:p w14:paraId="29B4DD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（四）基金管理费、托管费和销售服务费的调整</w:t>
      </w:r>
    </w:p>
    <w:p w14:paraId="380F7F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和基金托管人可根据基金发展情况协商调整基金管理费率、基金托管费率和销售服务费率等相关费率或改变收费模式。降低基金管理费率、基金托管费率和销售服务费率等相关费率或在不提高整体费率水平的情况下改变收费模式，此项调整不需要基金份额持有人大会决议通过。</w:t>
      </w:r>
    </w:p>
    <w:p w14:paraId="3136EE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基金管理人必须最迟于新的费率或收费模式实施日前依照《信息披露办法》的有关规定在指定媒介上公告。</w:t>
      </w:r>
    </w:p>
    <w:p w14:paraId="1E91C5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（五）实施侧袋机制期间的基金费用</w:t>
      </w:r>
    </w:p>
    <w:p w14:paraId="39C941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14:paraId="7D4D14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（六）基金税收</w:t>
      </w:r>
    </w:p>
    <w:p w14:paraId="016E5C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基金和基金份额持有人根据国家法律法规的规定，履行纳税义务。</w:t>
      </w:r>
    </w:p>
    <w:p w14:paraId="460EC019">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A40EA1F">
      <w:pPr>
        <w:pStyle w:val="2"/>
        <w:snapToGrid w:val="0"/>
        <w:spacing w:before="240" w:beforeLines="0" w:after="240"/>
        <w:rPr>
          <w:rFonts w:ascii="宋体" w:hAnsi="宋体"/>
          <w:szCs w:val="30"/>
        </w:rPr>
      </w:pPr>
      <w:bookmarkStart w:id="18" w:name="_Toc216956610"/>
      <w:r>
        <w:rPr>
          <w:rFonts w:ascii="Times New Roman" w:hAnsi="Times New Roman"/>
          <w:sz w:val="30"/>
        </w:rPr>
        <w:t>十六、基金的会计与审计</w:t>
      </w:r>
      <w:bookmarkEnd w:id="18"/>
    </w:p>
    <w:p w14:paraId="365673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（一）基金会计政策</w:t>
      </w:r>
    </w:p>
    <w:p w14:paraId="5DE0D5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1、基金管理人为本基金的基金会计责任方；</w:t>
      </w:r>
    </w:p>
    <w:p w14:paraId="18418C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2、基金的会计年度为公历年度的1月1日至12月31日；</w:t>
      </w:r>
    </w:p>
    <w:p w14:paraId="12DC4C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3、本基金的会计核算以人民币为记账本位币，以人民币元为记账单位；</w:t>
      </w:r>
    </w:p>
    <w:p w14:paraId="79FFBA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4、会计制度执行国家有关会计制度；</w:t>
      </w:r>
    </w:p>
    <w:p w14:paraId="3E5DC9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5、本基金独立建账、独立核算；</w:t>
      </w:r>
    </w:p>
    <w:p w14:paraId="39E68A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6、基金管理人保留完整的会计账目、凭证并进行日常的会计核算，按照有关规定编制基金会计报表；</w:t>
      </w:r>
    </w:p>
    <w:p w14:paraId="78B3B3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7、基金托管人定期与基金管理人就基金的会计核算、报表编制等进行核对并书面确认。</w:t>
      </w:r>
    </w:p>
    <w:p w14:paraId="6F666A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（二）基金的审计</w:t>
      </w:r>
    </w:p>
    <w:p w14:paraId="5A5611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1、基金管理人聘请具有证券、期货相关从业资格的会计师事务所及其注册会计师对本基金的年度财务报表及其他规定事项进行审计。会计师事务所及其注册会计师与基金管理人、基金托管人相互独立。</w:t>
      </w:r>
    </w:p>
    <w:p w14:paraId="2A0E48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2、会计师事务所更换经办注册会计师时，应事先征得基金管理人同意。</w:t>
      </w:r>
    </w:p>
    <w:p w14:paraId="0893AE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3、基金管理人（或基金托管人）认为有充足理由更换会计师事务所，经基金托管人（或基金管理人）同意后可以更换。更换会计师事务所，基金管理人应当依照《信息披露办法》的有关规定在指定媒介上公告。</w:t>
      </w:r>
    </w:p>
    <w:p w14:paraId="214A59A3">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C94F12F">
      <w:pPr>
        <w:pStyle w:val="2"/>
        <w:snapToGrid w:val="0"/>
        <w:spacing w:before="240" w:beforeLines="0" w:after="240"/>
        <w:rPr>
          <w:rFonts w:ascii="宋体" w:hAnsi="宋体"/>
          <w:szCs w:val="30"/>
        </w:rPr>
      </w:pPr>
      <w:bookmarkStart w:id="19" w:name="_Toc216956611"/>
      <w:r>
        <w:rPr>
          <w:rFonts w:ascii="Times New Roman" w:hAnsi="Times New Roman"/>
          <w:sz w:val="30"/>
        </w:rPr>
        <w:t>十七、基金的信息披露</w:t>
      </w:r>
      <w:bookmarkEnd w:id="19"/>
    </w:p>
    <w:p w14:paraId="4F32EF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的信息披露应符合《基金法》、《运作办法》、《信息披露办法》、《流动性规定》、基金合同及其他有关规定。基金管理人、基金托管人和其他基金信息披露义务人应当以保护基金份额持有人利益为根本出发点，依法披露基金信息，并保证所披露信息的真实性、准确性、完整性、及时性、简明性和易得性。</w:t>
      </w:r>
    </w:p>
    <w:p w14:paraId="7031AD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（二）信息披露义务人</w:t>
      </w:r>
    </w:p>
    <w:p w14:paraId="7FC670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14:paraId="67A2E8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（三）本基金信息披露义务人承诺公开披露的基金信息，不得有下列行为：</w:t>
      </w:r>
    </w:p>
    <w:p w14:paraId="18BC90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1、虚假记载、误导性陈述或者重大遗漏；</w:t>
      </w:r>
    </w:p>
    <w:p w14:paraId="64CB4B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2、对证券投资业绩进行预测；</w:t>
      </w:r>
    </w:p>
    <w:p w14:paraId="114459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3、违规承诺收益或者承担损失；</w:t>
      </w:r>
    </w:p>
    <w:p w14:paraId="68A599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4、诋毁其他基金管理人、基金托管人或者基金份额发售机构；</w:t>
      </w:r>
    </w:p>
    <w:p w14:paraId="5FCB0F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5、登载任何自然人、法人和非法人组织的祝贺性、恭维性或推荐性的文字；</w:t>
      </w:r>
    </w:p>
    <w:p w14:paraId="7D58AB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6、中国证监会禁止的其他行为。</w:t>
      </w:r>
    </w:p>
    <w:p w14:paraId="4B7C62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14:paraId="4F105D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本基金公开披露的信息采用阿拉伯数字；除特别说明外，货币单位为人民币元。</w:t>
      </w:r>
    </w:p>
    <w:p w14:paraId="6D3423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（五）公开披露的基金信息</w:t>
      </w:r>
    </w:p>
    <w:p w14:paraId="0EFBFE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公开披露的基金信息包括：</w:t>
      </w:r>
    </w:p>
    <w:p w14:paraId="0AD75B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1、招募说明书</w:t>
      </w:r>
    </w:p>
    <w:p w14:paraId="42F5D8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招募说明书是基金向社会公开销售时对基金情况进行说明的法律文件。</w:t>
      </w:r>
    </w:p>
    <w:p w14:paraId="731995D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14:paraId="5F10C5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2、基金合同、托管协议</w:t>
      </w:r>
    </w:p>
    <w:p w14:paraId="4CB4E1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14:paraId="46C88B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3、基金产品资料概要</w:t>
      </w:r>
    </w:p>
    <w:p w14:paraId="0DD2EB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14:paraId="56C946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4、基金份额发售公告</w:t>
      </w:r>
    </w:p>
    <w:p w14:paraId="0134127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14:paraId="5123D7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5、基金合同生效公告</w:t>
      </w:r>
    </w:p>
    <w:p w14:paraId="5BB153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14:paraId="4E85988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6、基金净值信息</w:t>
      </w:r>
    </w:p>
    <w:p w14:paraId="1D37A2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1）《基金合同》生效后，在开始办理基金份额申购或者赎回前，基金管理人应当至少每周在指定网站披露一次各类基金份额所对应的基金份额净值和基金份额累计净值；</w:t>
      </w:r>
    </w:p>
    <w:p w14:paraId="654875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2）在开始办理基金份额申购或者赎回后，基金管理人应当在不晚于每个开放日的次日，通过指定网站、销售机构网站或者营业网点披露开放日的各类基金份额所对应的基金份额净值和基金份额累计净值；</w:t>
      </w:r>
    </w:p>
    <w:p w14:paraId="04A92A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3）基金管理人应当在不晚于半年度和年度最后一日的次日，在指定网站披露半年度和年度最后一日的各类基金份额所对应的基金份额净值和基金份额累计净值。</w:t>
      </w:r>
    </w:p>
    <w:p w14:paraId="74D31F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7、基金份额申购、赎回价格公告</w:t>
      </w:r>
    </w:p>
    <w:p w14:paraId="68CD25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14:paraId="4A3D17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8、基金年度报告、基金中期报告、基金季度报告</w:t>
      </w:r>
    </w:p>
    <w:p w14:paraId="47739E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14:paraId="5D13D5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14:paraId="3F0E892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14:paraId="1AF3A7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4）《基金合同》生效不足2个月的，基金管理人可以不编制当期季度报告、中期报告或者年度报告。</w:t>
      </w:r>
    </w:p>
    <w:p w14:paraId="599571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70771F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6）基金管理人应当在基金年度报告和中期报告中披露基金组合资产情况及其流动性风险分析等。</w:t>
      </w:r>
    </w:p>
    <w:p w14:paraId="0F4019D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9、临时报告与公告</w:t>
      </w:r>
    </w:p>
    <w:p w14:paraId="253338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14:paraId="1BED68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1）基金份额持有人大会的召开及决定的事项；</w:t>
      </w:r>
    </w:p>
    <w:p w14:paraId="1010922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2）《基金合同》终止、基金清算；</w:t>
      </w:r>
    </w:p>
    <w:p w14:paraId="0CE6ED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3）转换基金运作方式、基金合并；</w:t>
      </w:r>
    </w:p>
    <w:p w14:paraId="308CF38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4）更换基金管理人、基金托管人、基金份额登记机构，基金改聘会计师事务所；</w:t>
      </w:r>
    </w:p>
    <w:p w14:paraId="34C5D2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14:paraId="171671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6）基金管理人、基金托管人的法定名称、住所发生变更；</w:t>
      </w:r>
    </w:p>
    <w:p w14:paraId="7F1B1F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7）基金管理人变更持有百分之五以上股权的股东、基金管理人的实际控制人变更；</w:t>
      </w:r>
    </w:p>
    <w:p w14:paraId="1AF110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8）基金募集期延长或提前结束募集；</w:t>
      </w:r>
    </w:p>
    <w:p w14:paraId="5D123C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9）基金管理人的高级管理人员、基金经理和基金托管人专门基金托管部门负责人发生变动；</w:t>
      </w:r>
    </w:p>
    <w:p w14:paraId="2B0EE0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14:paraId="7C19BA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11）涉及基金财产、基金管理业务、基金托管业务的诉讼或仲裁；</w:t>
      </w:r>
    </w:p>
    <w:p w14:paraId="547AC6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14:paraId="684437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2FE6A0C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14）基金收益分配事项；</w:t>
      </w:r>
    </w:p>
    <w:p w14:paraId="0E0C5F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15）管理费、托管费、销售服务费、申购费、赎回费等费用计提标准、计提方式和费率发生变更；</w:t>
      </w:r>
    </w:p>
    <w:p w14:paraId="78C50A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16）任一类基金份额净值计价错误达该类基金份额净值百分之零点五；</w:t>
      </w:r>
    </w:p>
    <w:p w14:paraId="520CEF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17）本基金开始办理申购、赎回；</w:t>
      </w:r>
    </w:p>
    <w:p w14:paraId="07F13F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18）本基金发生巨额赎回并延期办理；</w:t>
      </w:r>
    </w:p>
    <w:p w14:paraId="3E3D02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19）本基金连续发生巨额赎回并暂停接受赎回申请或延缓支付赎回款项；</w:t>
      </w:r>
    </w:p>
    <w:p w14:paraId="0C5504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20）本基金暂停接受申购、赎回申请或重新接受申购、赎回申请；</w:t>
      </w:r>
    </w:p>
    <w:p w14:paraId="0D79A3E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21）发生涉及基金申购、赎回事项调整或潜在影响投资者赎回等重大事项时；</w:t>
      </w:r>
    </w:p>
    <w:p w14:paraId="1BFE44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14:paraId="0E8809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10、澄清公告</w:t>
      </w:r>
    </w:p>
    <w:p w14:paraId="5BDE5B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14:paraId="63379A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11、基金份额持有人大会决议</w:t>
      </w:r>
    </w:p>
    <w:p w14:paraId="69753F1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基金份额持有人大会决定的事项，应当依法报中国证监会备案，并予以公告。</w:t>
      </w:r>
    </w:p>
    <w:p w14:paraId="048253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12、清算报告</w:t>
      </w:r>
    </w:p>
    <w:p w14:paraId="558BA1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14:paraId="06DD77B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13、信息披露事务管理</w:t>
      </w:r>
    </w:p>
    <w:p w14:paraId="5B70CE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14:paraId="7850EB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14:paraId="0DE38E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6F084E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14:paraId="7D674E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14:paraId="1CD46A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14:paraId="1AFCE3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14:paraId="6C5A5E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14、实施侧袋机制期间的信息披露</w:t>
      </w:r>
    </w:p>
    <w:p w14:paraId="4C88CF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14:paraId="3997DB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15、中国证监会规定的其他信息</w:t>
      </w:r>
    </w:p>
    <w:p w14:paraId="056D3B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（六）信息披露文件的存放与查阅</w:t>
      </w:r>
    </w:p>
    <w:p w14:paraId="7F0E20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14:paraId="65ABD05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（七）本基金信息披露事项以法律法规规定及本章节约定的内容为准。</w:t>
      </w:r>
    </w:p>
    <w:p w14:paraId="5112D2AA">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6F087D2">
      <w:pPr>
        <w:pStyle w:val="2"/>
        <w:snapToGrid w:val="0"/>
        <w:spacing w:before="240" w:beforeLines="0" w:after="240"/>
        <w:rPr>
          <w:rFonts w:ascii="宋体" w:hAnsi="宋体"/>
          <w:szCs w:val="30"/>
        </w:rPr>
      </w:pPr>
      <w:bookmarkStart w:id="20" w:name="_Toc216956612"/>
      <w:r>
        <w:rPr>
          <w:rFonts w:ascii="Times New Roman" w:hAnsi="Times New Roman"/>
          <w:sz w:val="30"/>
        </w:rPr>
        <w:t>十八、侧袋机制</w:t>
      </w:r>
      <w:bookmarkEnd w:id="20"/>
    </w:p>
    <w:p w14:paraId="6FD578AA">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（一）侧袋机制的实施条件</w:t>
      </w:r>
    </w:p>
    <w:p w14:paraId="7DD07E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14:paraId="08F83F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14:paraId="1AAFE0F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14:paraId="7C7939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14:paraId="0629FA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14:paraId="4ABC4F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14:paraId="64F09336">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14:paraId="122F99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14:paraId="1EE048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14:paraId="5920F0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基金管理人不得在侧袋账户中进行除特定资产处置变现以外的其他投资操作。</w:t>
      </w:r>
    </w:p>
    <w:p w14:paraId="769EDB75">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14:paraId="4BADBA7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本基金实施侧袋机制的，基金管理人和基金托管人应对主袋账户资产进行估值并披露主袋账户的基金净值信息，暂停披露侧袋账户份额净值。侧袋账户的会计核算应符合《企业会计准则》的相关要求。</w:t>
      </w:r>
    </w:p>
    <w:p w14:paraId="193C18F1">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14:paraId="30D910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1、本基金实施侧袋机制的，管理费和托管费按主袋账户基金资产净值作为基数计提。</w:t>
      </w:r>
    </w:p>
    <w:p w14:paraId="16E84C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14:paraId="2FE08262">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14:paraId="17F8E3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14:paraId="4E2FEF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14:paraId="22E3C05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14:paraId="002228F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（七）侧袋机制的信息披露</w:t>
      </w:r>
    </w:p>
    <w:p w14:paraId="2B3450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1、临时公告</w:t>
      </w:r>
    </w:p>
    <w:p w14:paraId="2B4FA2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14:paraId="7BA4D0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2、基金净值信息</w:t>
      </w:r>
    </w:p>
    <w:p w14:paraId="3070EB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14:paraId="101A3DD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3、定期报告</w:t>
      </w:r>
    </w:p>
    <w:p w14:paraId="16C441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14:paraId="03E942CF">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04426F0">
      <w:pPr>
        <w:pStyle w:val="2"/>
        <w:snapToGrid w:val="0"/>
        <w:spacing w:before="240" w:beforeLines="0" w:after="240"/>
        <w:rPr>
          <w:rFonts w:ascii="宋体" w:hAnsi="宋体"/>
          <w:szCs w:val="30"/>
        </w:rPr>
      </w:pPr>
      <w:bookmarkStart w:id="21" w:name="_Toc216956613"/>
      <w:r>
        <w:rPr>
          <w:rFonts w:ascii="Times New Roman" w:hAnsi="Times New Roman"/>
          <w:sz w:val="30"/>
        </w:rPr>
        <w:t>十九、风险揭示</w:t>
      </w:r>
      <w:bookmarkEnd w:id="21"/>
    </w:p>
    <w:p w14:paraId="5A9BE78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14:paraId="3A02E9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超过基金总份额的百分之十时，投资人将可能无法及时赎回持有的全部基金份额。</w:t>
      </w:r>
    </w:p>
    <w:p w14:paraId="3301B3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14:paraId="1F32FB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14:paraId="43750D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14:paraId="07ADD8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14:paraId="768EA8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14:paraId="49EAD2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基金份额持有人须了解并承受以下风险：</w:t>
      </w:r>
    </w:p>
    <w:p w14:paraId="19BC13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（一）市场风险</w:t>
      </w:r>
    </w:p>
    <w:p w14:paraId="043601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14:paraId="5730F7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14:paraId="0BA4D6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14:paraId="1F9BEC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14:paraId="1AC4DF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14:paraId="67731B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14:paraId="645C8A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（二）管理风险</w:t>
      </w:r>
    </w:p>
    <w:p w14:paraId="0FB07C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14:paraId="3CA7B1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（三）流动性风险</w:t>
      </w:r>
    </w:p>
    <w:p w14:paraId="6CD650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14:paraId="258D98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1、本基金的申购、赎回安排</w:t>
      </w:r>
    </w:p>
    <w:p w14:paraId="59328E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57826E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2、投资市场、行业及资产的流动性风险评估</w:t>
      </w:r>
    </w:p>
    <w:p w14:paraId="66461D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14:paraId="14E4EE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3、巨额赎回情形下的流动性风险管理措施</w:t>
      </w:r>
    </w:p>
    <w:p w14:paraId="7A1457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14:paraId="007CC2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当基金出现巨额赎回时，基金管理人可以根据基金当时的资产组合状况决定全额赎回或部分延期赎回。</w:t>
      </w:r>
    </w:p>
    <w:p w14:paraId="36D3F2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(1)全额赎回：当基金管理人认为有能力支付投资人的全部赎回申请时，按正常赎回程序执行。</w:t>
      </w:r>
    </w:p>
    <w:p w14:paraId="5C5C31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各类基金份额净值为基础计算赎回金额，以此类推，直到全部赎回为止。如投资人在提交赎回申请时未作明确选择，投资人未能赎回部分作自动延期赎回处理。</w:t>
      </w:r>
    </w:p>
    <w:p w14:paraId="79969C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14:paraId="506B53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14:paraId="25AA10B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4、实施备用的流动性风险管理工具的情形、程序及对投资者的潜在影响</w:t>
      </w:r>
    </w:p>
    <w:p w14:paraId="659A9F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本基金在面临大规模赎回的情况下有可能因为无法变现造成流动性风险。</w:t>
      </w:r>
    </w:p>
    <w:p w14:paraId="065EE1B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14:paraId="6D3D39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14:paraId="4505D3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14:paraId="6E58E5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14:paraId="76AE74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14:paraId="5475CB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（四）信用风险</w:t>
      </w:r>
    </w:p>
    <w:p w14:paraId="29BF63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14:paraId="07D4DE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（五）本基金投资策略所特有的风险</w:t>
      </w:r>
    </w:p>
    <w:p w14:paraId="7571D1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本基金属于债券型基金，将维持较高的债券持仓比例。如果债券市场出现整体下跌，本基金的净值表现将受到影响。</w:t>
      </w:r>
    </w:p>
    <w:p w14:paraId="3B8B37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14:paraId="762381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（六）本基金法律文件风险收益特征表述与销售机构基金风险评价可能不一致的风险</w:t>
      </w:r>
    </w:p>
    <w:p w14:paraId="0A3EEE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256B461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（七）其他风险</w:t>
      </w:r>
    </w:p>
    <w:p w14:paraId="08E92A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1、因技术因素而产生的风险，如电脑系统不可靠产生的风险；</w:t>
      </w:r>
    </w:p>
    <w:p w14:paraId="3857C43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2、因基金业务快速发展，在制度建设、人员配备、内控制度建立等方面的不完善产生的风险；</w:t>
      </w:r>
    </w:p>
    <w:p w14:paraId="460CFC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3、因人为因素而产生的风险、如内幕交易、欺诈行为等产生的风险；</w:t>
      </w:r>
    </w:p>
    <w:p w14:paraId="7A025F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4、对主要业务人员如基金经理的依赖而可能产生的风险；</w:t>
      </w:r>
    </w:p>
    <w:p w14:paraId="6D35DF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5、因业务竞争压力可能产生的风险；</w:t>
      </w:r>
    </w:p>
    <w:p w14:paraId="4169C7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6、战争、自然灾害等不可抗力可能导致基金财产的损失，影响基金收益水平，从而带来风险；</w:t>
      </w:r>
    </w:p>
    <w:p w14:paraId="53FB2F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7、其他意外导致的风险。</w:t>
      </w:r>
    </w:p>
    <w:p w14:paraId="6751DD0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9638365">
      <w:pPr>
        <w:pStyle w:val="2"/>
        <w:snapToGrid w:val="0"/>
        <w:spacing w:before="240" w:beforeLines="0" w:after="240"/>
        <w:rPr>
          <w:rFonts w:ascii="宋体" w:hAnsi="宋体"/>
          <w:szCs w:val="30"/>
        </w:rPr>
      </w:pPr>
      <w:bookmarkStart w:id="22" w:name="_Toc216956614"/>
      <w:r>
        <w:rPr>
          <w:rFonts w:ascii="Times New Roman" w:hAnsi="Times New Roman"/>
          <w:sz w:val="30"/>
        </w:rPr>
        <w:t>二十、基金合同的终止与基金财产的清算</w:t>
      </w:r>
      <w:bookmarkEnd w:id="22"/>
    </w:p>
    <w:p w14:paraId="612D46A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（一）基金合同的终止</w:t>
      </w:r>
    </w:p>
    <w:p w14:paraId="281F36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有下列情形之一的，基金合同经中国证监会核准后将终止：</w:t>
      </w:r>
    </w:p>
    <w:p w14:paraId="55ED3E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39D9BB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14:paraId="63E4591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14:paraId="5ACE4D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4、中国证监会规定的其他情况。</w:t>
      </w:r>
    </w:p>
    <w:p w14:paraId="145C62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基金合同终止时，基金管理人应予公告并组织清算小组对基金财产进行清算。</w:t>
      </w:r>
    </w:p>
    <w:p w14:paraId="6F0A5F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（二）基金财产的清算</w:t>
      </w:r>
    </w:p>
    <w:p w14:paraId="7C34E1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14:paraId="3AC0CF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14:paraId="750460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3、基金财产清算小组职责：基金财产清算小组负责基金财产的保管、清理、估价、变现和分配。基金财产清算小组可以依法以基金的名义进行必要的民事活动。</w:t>
      </w:r>
    </w:p>
    <w:p w14:paraId="0AB2A2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4、基金财产清算程序：</w:t>
      </w:r>
    </w:p>
    <w:p w14:paraId="7F28CB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14:paraId="657BCEE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（1）基金合同终止后，发布基金财产清算公告；</w:t>
      </w:r>
    </w:p>
    <w:p w14:paraId="357446F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（2）基金合同终止时，由基金清算小组统一接管基金财产；</w:t>
      </w:r>
    </w:p>
    <w:p w14:paraId="39C1B0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（3）对基金财产进行清理和确认；</w:t>
      </w:r>
    </w:p>
    <w:p w14:paraId="72F4E6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（4）对基金财产进行估价和变现；</w:t>
      </w:r>
    </w:p>
    <w:p w14:paraId="0DCBD36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（5）聘请会计师事务所对清算报告进行审计；</w:t>
      </w:r>
    </w:p>
    <w:p w14:paraId="199758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（6）聘请律师事务所出具法律意见书；</w:t>
      </w:r>
    </w:p>
    <w:p w14:paraId="30A252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（7）将基金清算结果报告中国证监会；</w:t>
      </w:r>
    </w:p>
    <w:p w14:paraId="3C1E09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（8）参加与基金财产有关的民事诉讼；</w:t>
      </w:r>
    </w:p>
    <w:p w14:paraId="347649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（9）公布基金财产清算结果；</w:t>
      </w:r>
    </w:p>
    <w:p w14:paraId="6C287B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（10）对基金剩余财产进行分配。</w:t>
      </w:r>
    </w:p>
    <w:p w14:paraId="2001BEE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（四）清算费用</w:t>
      </w:r>
    </w:p>
    <w:p w14:paraId="487542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14:paraId="269726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（五）基金财产的清偿、分配顺序</w:t>
      </w:r>
    </w:p>
    <w:p w14:paraId="7AB8EA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基金财产按照下列顺序清偿和分配：</w:t>
      </w:r>
    </w:p>
    <w:p w14:paraId="3CB2C1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14:paraId="0D0F9AD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14:paraId="50CC4B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14:paraId="7A5F77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14:paraId="5B2FAA6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基金财产未按前款（1）、（2）、（3）项规定清偿前，不分配给基金份额持有人。</w:t>
      </w:r>
    </w:p>
    <w:p w14:paraId="02E390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（六）基金财产清算的公告</w:t>
      </w:r>
    </w:p>
    <w:p w14:paraId="1E6E8D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报告经会计师事务所审计，律师事务所出具法律意见书后，由基金财产清算组报中国证监会备案并公告。</w:t>
      </w:r>
    </w:p>
    <w:p w14:paraId="3C7C0D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（七）基金财产清算账册及文件的保存</w:t>
      </w:r>
    </w:p>
    <w:p w14:paraId="010F123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14:paraId="3DD89A34">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8F3FAC2">
      <w:pPr>
        <w:pStyle w:val="2"/>
        <w:snapToGrid w:val="0"/>
        <w:spacing w:before="240" w:beforeLines="0" w:after="240"/>
        <w:rPr>
          <w:rFonts w:ascii="宋体" w:hAnsi="宋体"/>
          <w:szCs w:val="30"/>
        </w:rPr>
      </w:pPr>
      <w:bookmarkStart w:id="23" w:name="_Toc216956615"/>
      <w:r>
        <w:rPr>
          <w:rFonts w:ascii="Times New Roman" w:hAnsi="Times New Roman"/>
          <w:sz w:val="30"/>
        </w:rPr>
        <w:t>二十一、基金合同内容摘要</w:t>
      </w:r>
      <w:bookmarkEnd w:id="23"/>
    </w:p>
    <w:p w14:paraId="000336D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（一）基金合同当事人及权利义务</w:t>
      </w:r>
    </w:p>
    <w:p w14:paraId="1C4D3D5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1、基金管理人的权利与义务</w:t>
      </w:r>
    </w:p>
    <w:p w14:paraId="20570A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根据《基金法》及其他有关法律法规，基金管理人的权利为：</w:t>
      </w:r>
    </w:p>
    <w:p w14:paraId="64ED2E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（1）自本基金合同生效之日起，依照有关法律法规和本基金合同的规定独立运用基金财产；</w:t>
      </w:r>
    </w:p>
    <w:p w14:paraId="23E858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（2）依照基金合同获得基金管理费以及法律法规规定或监管部门批准的其他收入；</w:t>
      </w:r>
    </w:p>
    <w:p w14:paraId="68E246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（3）发售基金份额；</w:t>
      </w:r>
    </w:p>
    <w:p w14:paraId="4A1197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（4）依照有关规定行使因基金财产投资于证券所产生的权利；</w:t>
      </w:r>
    </w:p>
    <w:p w14:paraId="3BE49A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14:paraId="1D8613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14:paraId="68EC0D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（7）在基金合同约定的范围内，拒绝或暂停受理申购和赎回申请；</w:t>
      </w:r>
    </w:p>
    <w:p w14:paraId="7294F1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（8）在法律法规允许的前提下，为基金的利益依法为基金进行融资、融券；</w:t>
      </w:r>
    </w:p>
    <w:p w14:paraId="430083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（9）自行担任或选择、更换登记结算机构，获取基金份额持有人名册，并对登记结算机构的代理行为进行必要的监督和检查；</w:t>
      </w:r>
    </w:p>
    <w:p w14:paraId="7FEBD7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（10）选择、更换代销机构，并依据基金销售服务代理协议和有关法律法规，对其行为进行必要的监督和检查；</w:t>
      </w:r>
    </w:p>
    <w:p w14:paraId="44A2AE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（11）选择、更换律师、审计师、证券经纪商或其他为基金提供服务的外部机构；</w:t>
      </w:r>
    </w:p>
    <w:p w14:paraId="60FB00D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（12）在基金托管人更换时，提名新的基金托管人；</w:t>
      </w:r>
    </w:p>
    <w:p w14:paraId="07B8D1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（13）依法召集基金份额持有人大会；</w:t>
      </w:r>
    </w:p>
    <w:p w14:paraId="6E1375F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（14）法律法规和基金合同规定的其他权利。</w:t>
      </w:r>
    </w:p>
    <w:p w14:paraId="22CA92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根据《基金法》及其他有关法律法规，基金管理人的义务为：</w:t>
      </w:r>
    </w:p>
    <w:p w14:paraId="475596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14:paraId="047ED1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（2）办理基金备案手续；</w:t>
      </w:r>
    </w:p>
    <w:p w14:paraId="758A63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（3）自基金合同生效之日起，以诚实信用、勤勉尽责的原则管理和运用基金财产；</w:t>
      </w:r>
    </w:p>
    <w:p w14:paraId="6898ED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（4）配备足够的具有专业资格的人员进行基金投资分析、决策，以专业化的经营方式管理和运作基金财产；</w:t>
      </w:r>
    </w:p>
    <w:p w14:paraId="445FFE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（5）建立健全内部风险控制、监察与稽核、财务管理及人事管理等制度，保证所管理的基金财产和管理人的财产相互独立，对所管理的不同基金分别管理，分别记账，进行证券投资；</w:t>
      </w:r>
    </w:p>
    <w:p w14:paraId="71F3A0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14:paraId="15BDC0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（7）依法接受基金托管人的监督；</w:t>
      </w:r>
    </w:p>
    <w:p w14:paraId="165AF5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（8）计算并公告基金净值信息，确定基金份额申购、赎回价格；</w:t>
      </w:r>
    </w:p>
    <w:p w14:paraId="7B1653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14:paraId="52FE0E4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（10）按规定受理申购和赎回申请，及时、足额支付赎回款项；</w:t>
      </w:r>
    </w:p>
    <w:p w14:paraId="729A7D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（11）进行基金会计核算并编制基金财务会计报告；</w:t>
      </w:r>
    </w:p>
    <w:p w14:paraId="5E23DC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（12）编制季度报告、中期报告和年度报告；</w:t>
      </w:r>
    </w:p>
    <w:p w14:paraId="7350B9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（13）严格按照《基金法》、基金合同及其他有关规定，履行信息披露及报告义务；</w:t>
      </w:r>
    </w:p>
    <w:p w14:paraId="3EE24CC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（14）保守基金商业秘密，不得泄露基金投资计划、投资意向等，除《基金法》、基金合同及其他有关规定另有规定外，在基金信息公开披露前应予保密，不得向他人泄露；</w:t>
      </w:r>
    </w:p>
    <w:p w14:paraId="11FA91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（15）按照基金合同的约定确定基金收益分配方案，及时向基金份额持有人分配收益；</w:t>
      </w:r>
    </w:p>
    <w:p w14:paraId="0AE92F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14:paraId="0FAF303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（17）保存基金财产管理业务活动的记录、账册、报表和其他相关资料；</w:t>
      </w:r>
    </w:p>
    <w:p w14:paraId="2A3FF1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（18）以基金管理人名义，代表基金份额持有人利益行使诉讼权利或者实施其他法律行为；</w:t>
      </w:r>
    </w:p>
    <w:p w14:paraId="353A2B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（19）组织并参加基金财产清算小组，参与基金财产的保管、清理、估价、变现和分配；</w:t>
      </w:r>
    </w:p>
    <w:p w14:paraId="706E30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14:paraId="5585AB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（21）基金托管人违反基金合同造成基金财产损失时，应为基金份额持有人利益向基金托管人追偿；</w:t>
      </w:r>
    </w:p>
    <w:p w14:paraId="18D0A3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（22）按规定向基金托管人提供基金份额持有人名册资料；</w:t>
      </w:r>
    </w:p>
    <w:p w14:paraId="65564F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（23）面临解散、依法被撤销或者被依法宣告破产时，及时报告中国证监会并通知基金托管人；</w:t>
      </w:r>
    </w:p>
    <w:p w14:paraId="3C0F7B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（24）执行生效的基金份额持有人大会决议；</w:t>
      </w:r>
    </w:p>
    <w:p w14:paraId="333470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（25）不从事任何有损基金及其他基金当事人利益的活动；</w:t>
      </w:r>
    </w:p>
    <w:p w14:paraId="6AD76E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14:paraId="332A8A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（27）法律法规、中国证监会和基金合同规定的其他义务。</w:t>
      </w:r>
    </w:p>
    <w:p w14:paraId="452E72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2、基金托管人的权利与义务</w:t>
      </w:r>
    </w:p>
    <w:p w14:paraId="09E0AC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根据《基金法》及其他有关法律法规，基金托管人的权利为：</w:t>
      </w:r>
    </w:p>
    <w:p w14:paraId="15D1283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（1）依基金合同约定获得基金托管费以及法律法规规定或监管部门批准的其他收入；</w:t>
      </w:r>
    </w:p>
    <w:p w14:paraId="1C34D9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（2）监督基金管理人对本基金的投资运作；</w:t>
      </w:r>
    </w:p>
    <w:p w14:paraId="2354B6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（3）自本基金合同生效之日起，依法保管基金资产；</w:t>
      </w:r>
    </w:p>
    <w:p w14:paraId="17A6BC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（4）在基金管理人更换时，提名新任基金管理人；</w:t>
      </w:r>
    </w:p>
    <w:p w14:paraId="228F5DA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14:paraId="17AAFB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（6）依法召集基金份额持有人大会；</w:t>
      </w:r>
    </w:p>
    <w:p w14:paraId="7374F0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（7）按规定取得基金份额持有人名册资料；</w:t>
      </w:r>
    </w:p>
    <w:p w14:paraId="3D92A9D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（8）法律法规和基金合同规定的其他权利。</w:t>
      </w:r>
    </w:p>
    <w:p w14:paraId="47B4404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根据《基金法》及其他有关法律法规，基金托管人的义务为：</w:t>
      </w:r>
    </w:p>
    <w:p w14:paraId="163975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（1）安全保管基金财产；</w:t>
      </w:r>
    </w:p>
    <w:p w14:paraId="1F4ABF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14:paraId="07819E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（3）对所托管的不同基金财产分别设置账户，确保基金财产的完整与独立；</w:t>
      </w:r>
    </w:p>
    <w:p w14:paraId="06325E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（4）除依据《基金法》、基金合同及其他有关规定外，不得为自己及任何第三人谋取利益，不得委托第三人托管基金财产；</w:t>
      </w:r>
    </w:p>
    <w:p w14:paraId="70EB08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（5）保管由基金管理人代表基金签订的与基金有关的重大合同及有关凭证；</w:t>
      </w:r>
    </w:p>
    <w:p w14:paraId="43EF6EB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（6）按规定开设基金财产的资金账户和证券账户；</w:t>
      </w:r>
    </w:p>
    <w:p w14:paraId="418CA72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（7）保守基金商业秘密，除《基金法》、基金合同及其他有关规定另有规定外，在基金信息公开披露前应予保密，不得向他人泄露；</w:t>
      </w:r>
    </w:p>
    <w:p w14:paraId="5E7B97B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53A0D7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（9）保存基金托管业务活动的记录、账册、报表和其他相关资料；</w:t>
      </w:r>
    </w:p>
    <w:p w14:paraId="6A0027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（10）按照基金合同的约定，根据基金管理人的投资指令，及时办理清算、交割事宜；</w:t>
      </w:r>
    </w:p>
    <w:p w14:paraId="15071B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（11）办理与基金托管业务活动有关的信息披露事项；</w:t>
      </w:r>
    </w:p>
    <w:p w14:paraId="1D8B7D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（12）复核、审查基金管理人计算的基金资产净值、各类基金份额净值、基金份额申购、赎回价格；</w:t>
      </w:r>
    </w:p>
    <w:p w14:paraId="7D7C21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（13）按照规定监督基金管理人的投资运作；</w:t>
      </w:r>
    </w:p>
    <w:p w14:paraId="71C108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（14）按规定制作相关账册并与基金管理人核对；</w:t>
      </w:r>
    </w:p>
    <w:p w14:paraId="737035C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（15）依据基金管理人的指令或有关规定向基金份额持有人支付基金收益和赎回款项；</w:t>
      </w:r>
    </w:p>
    <w:p w14:paraId="0A88A6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（16）按照规定召集基金份额持有人大会或配合基金份额持有人依法自行召集基金份额持有人大会；</w:t>
      </w:r>
    </w:p>
    <w:p w14:paraId="429ACE2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（17）因违反基金合同导致基金财产损失，应承担赔偿责任，其赔偿责任不因其退任而免除；</w:t>
      </w:r>
    </w:p>
    <w:p w14:paraId="6C7675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（18）基金管理人因违反基金合同造成基金财产损失时，应为基金向基金管理人追偿；</w:t>
      </w:r>
    </w:p>
    <w:p w14:paraId="15426B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（19）参加基金财产清算小组，参与基金财产的保管、清理、估价、变现和分配；</w:t>
      </w:r>
    </w:p>
    <w:p w14:paraId="09C282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（20）面临解散、依法被撤销或者被依法宣告破产时，及时报告中国证监会和银行业监督管理机构，并通知基金管理人；</w:t>
      </w:r>
    </w:p>
    <w:p w14:paraId="3626B5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（21）执行生效的基金份额持有人大会决议；</w:t>
      </w:r>
    </w:p>
    <w:p w14:paraId="442DEE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（22）不从事任何有损基金及其他基金当事人利益的活动；</w:t>
      </w:r>
    </w:p>
    <w:p w14:paraId="41B61E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（23）建立并保存基金份额持有人名册；</w:t>
      </w:r>
    </w:p>
    <w:p w14:paraId="19D105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（24）法律法规、中国证监会和基金合同规定的其他义务。</w:t>
      </w:r>
    </w:p>
    <w:p w14:paraId="5BC68E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3、基金份额持有人的权利与义务</w:t>
      </w:r>
    </w:p>
    <w:p w14:paraId="3711476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根据《基金法》及其他有关法律法规，基金份额持有人的权利为：</w:t>
      </w:r>
    </w:p>
    <w:p w14:paraId="01DA2F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（1）同类基金份额的每份基金份额具有同等的合法权益；</w:t>
      </w:r>
    </w:p>
    <w:p w14:paraId="32380C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（2）分享基金财产收益；</w:t>
      </w:r>
    </w:p>
    <w:p w14:paraId="2ADB1C9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（3）参与分配清算后的剩余基金财产；</w:t>
      </w:r>
    </w:p>
    <w:p w14:paraId="58D654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（4）依法申请赎回其持有的基金份额；</w:t>
      </w:r>
    </w:p>
    <w:p w14:paraId="16CF879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（5）按照规定要求召开基金份额持有人大会；</w:t>
      </w:r>
    </w:p>
    <w:p w14:paraId="2E31EF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（6）出席或者委派代表出席基金份额持有人大会，对基金份额持有人大会审议事项行使表决权；</w:t>
      </w:r>
    </w:p>
    <w:p w14:paraId="2EFDD4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（7）查阅或者复制公开披露的基金信息资料；</w:t>
      </w:r>
    </w:p>
    <w:p w14:paraId="30A3F6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（8）监督基金管理人的投资运作；</w:t>
      </w:r>
    </w:p>
    <w:p w14:paraId="1120FF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（9）对基金管理人、基金托管人、基金份额发售机构损害其合法权益的行为依法提起诉讼；</w:t>
      </w:r>
    </w:p>
    <w:p w14:paraId="0C760E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（10）法律法规和基金合同规定的其他权利。</w:t>
      </w:r>
    </w:p>
    <w:p w14:paraId="54B2487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根据《基金法》及其他有关法律法规，基金份额持有人的义务为：</w:t>
      </w:r>
    </w:p>
    <w:p w14:paraId="072074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（1）遵守法律法规、基金合同及其他有关规定；</w:t>
      </w:r>
    </w:p>
    <w:p w14:paraId="67829F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（2）交纳基金认购、申购款项及法律法规和基金合同所规定的费用；</w:t>
      </w:r>
    </w:p>
    <w:p w14:paraId="4131FA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（3）在持有的基金份额范围内，承担基金亏损或者基金合同终止的有限责任；</w:t>
      </w:r>
    </w:p>
    <w:p w14:paraId="5CCA9E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（4）不从事任何有损基金及其他基金份额持有人合法权益的活动；</w:t>
      </w:r>
    </w:p>
    <w:p w14:paraId="175152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（5）执行生效的基金份额持有人大会决议；</w:t>
      </w:r>
    </w:p>
    <w:p w14:paraId="53CD36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（6）返还在基金交易过程中因任何原因，自基金管理人及基金管理人的代理人、基金托管人、代销机构、其他基金份额持有人处获得的不当得利；</w:t>
      </w:r>
    </w:p>
    <w:p w14:paraId="4B2C4A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（7）法律法规和基金合同规定的其他义务。</w:t>
      </w:r>
    </w:p>
    <w:p w14:paraId="2C7710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本基金合同当事各方的权利义务以本基金合同为依据，不因基金财产账户名称而有所改变。</w:t>
      </w:r>
    </w:p>
    <w:p w14:paraId="4BEBCD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（二）基金份额持有人大会</w:t>
      </w:r>
    </w:p>
    <w:p w14:paraId="2E65D72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1、基金份额持有人大会由基金份额持有人组成。基金份额持有人持有的每一基金份额具有同等的投票权。</w:t>
      </w:r>
    </w:p>
    <w:p w14:paraId="4F56075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2、召开事由</w:t>
      </w:r>
    </w:p>
    <w:p w14:paraId="097456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14:paraId="04DC99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（1）终止基金合同；</w:t>
      </w:r>
    </w:p>
    <w:p w14:paraId="049830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（2）转换基金运作方式；</w:t>
      </w:r>
    </w:p>
    <w:p w14:paraId="25AACDD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（3）变更基金类别；</w:t>
      </w:r>
    </w:p>
    <w:p w14:paraId="62F03E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（4）变更基金投资目标、投资范围或投资策略；</w:t>
      </w:r>
    </w:p>
    <w:p w14:paraId="1F75A9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（5）变更基金份额持有人大会程序；</w:t>
      </w:r>
    </w:p>
    <w:p w14:paraId="64FE0A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（6）更换基金管理人、基金托管人；</w:t>
      </w:r>
    </w:p>
    <w:p w14:paraId="08724F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（7）提高基金管理人、基金托管人的报酬标准，提高销售服务费用标准，但法律法规要求提高该等报酬标准的除外；</w:t>
      </w:r>
    </w:p>
    <w:p w14:paraId="41046DF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（8）本基金与其他基金的合并；</w:t>
      </w:r>
    </w:p>
    <w:p w14:paraId="04EC97E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（9）对基金合同当事人权利、义务产生重大影响的其他事项；</w:t>
      </w:r>
    </w:p>
    <w:p w14:paraId="68BB45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（10）法律法规、基金合同或中国证监会规定的其他情形。</w:t>
      </w:r>
    </w:p>
    <w:p w14:paraId="66D9D5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14:paraId="3307C3E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（1）调低基金管理费、基金托管费、销售服务费和其他应由基金承担的费用；</w:t>
      </w:r>
    </w:p>
    <w:p w14:paraId="1941F6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（2）在法律法规和本基金合同规定的范围内变更基金的申购费率、赎回费率或收费方式；</w:t>
      </w:r>
    </w:p>
    <w:p w14:paraId="7255AF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（3）因相应的法律法规发生变动必须对基金合同进行修改；</w:t>
      </w:r>
    </w:p>
    <w:p w14:paraId="4A89405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（4）对基金合同的修改不涉及本基金合同当事人权利义务关系发生变化；</w:t>
      </w:r>
    </w:p>
    <w:p w14:paraId="1F297F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（5）基金合同的修改对基金份额持有人利益无实质性不利影响；</w:t>
      </w:r>
    </w:p>
    <w:p w14:paraId="57E9B4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（6）按照法律法规或本基金合同规定不需召开基金份额持有人大会的其他情形。</w:t>
      </w:r>
    </w:p>
    <w:p w14:paraId="46D144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3、召集人及召集方式</w:t>
      </w:r>
    </w:p>
    <w:p w14:paraId="2E02CC9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14:paraId="65608E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14:paraId="09C296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14:paraId="06B2F0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14:paraId="37D03A7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14:paraId="02ED84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4、召开基金份额持有人大会的通知时间、通知内容、通知方式</w:t>
      </w:r>
    </w:p>
    <w:p w14:paraId="07AB27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14:paraId="47E73A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（1）会议召开的时间、地点和出席方式；</w:t>
      </w:r>
    </w:p>
    <w:p w14:paraId="7BD1B21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（2）会议拟审议的主要事项；</w:t>
      </w:r>
    </w:p>
    <w:p w14:paraId="0F3D27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（3）会议形式；</w:t>
      </w:r>
    </w:p>
    <w:p w14:paraId="6263D0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（4）议事程序；</w:t>
      </w:r>
    </w:p>
    <w:p w14:paraId="5A9562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（5）有权出席基金份额持有人大会的基金份额持有人权益登记日；</w:t>
      </w:r>
    </w:p>
    <w:p w14:paraId="6B29FC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（6）代理投票的授权委托书的内容要求（包括但不限于代理人身份、代理权限和代理有效期限等）、送达时间和地点；</w:t>
      </w:r>
    </w:p>
    <w:p w14:paraId="5B869C9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（7）表决方式；</w:t>
      </w:r>
    </w:p>
    <w:p w14:paraId="4C2380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（8）会务常设联系人姓名、电话；</w:t>
      </w:r>
    </w:p>
    <w:p w14:paraId="6B5B00B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（9）出席会议者必须准备的文件和必须履行的手续；</w:t>
      </w:r>
    </w:p>
    <w:p w14:paraId="6FED45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（10）召集人需要通知的其他事项。</w:t>
      </w:r>
    </w:p>
    <w:p w14:paraId="3795CA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14:paraId="301B21E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14:paraId="36C029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5、基金份额持有人出席会议的方式</w:t>
      </w:r>
    </w:p>
    <w:p w14:paraId="450BAC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（1）会议方式</w:t>
      </w:r>
    </w:p>
    <w:p w14:paraId="157626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1）基金份额持有人大会的召开方式包括现场开会和通讯方式开会。</w:t>
      </w:r>
    </w:p>
    <w:p w14:paraId="536F7A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2）现场开会由基金份额持有人本人出席或通过授权委托书委派其代理人出席，现场开会时基金管理人和基金托管人的授权代表应当出席，如基金管理人或基金托管人拒不派代表出席的，不影响表决效力。</w:t>
      </w:r>
    </w:p>
    <w:p w14:paraId="6E2189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3）通讯方式开会指按照本基金合同的相关规定以通讯的书面方式进行表决。</w:t>
      </w:r>
    </w:p>
    <w:p w14:paraId="493443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4）会议的召开方式由召集人确定，但决定基金管理人更换或基金托管人更换、终止基金合同的事宜必须以现场开会方式召开基金份额持有人大会。</w:t>
      </w:r>
    </w:p>
    <w:p w14:paraId="664DA36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（2）召开基金份额持有人大会的条件</w:t>
      </w:r>
    </w:p>
    <w:p w14:paraId="2D5B44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1）现场开会方式</w:t>
      </w:r>
    </w:p>
    <w:p w14:paraId="414047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在同时符合以下条件时，现场会议方可举行：</w:t>
      </w:r>
    </w:p>
    <w:p w14:paraId="13149D6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①对到会者在权益登记日持有基金份额的统计显示，全部有效凭证所对应的基金份额应占权益登记日基金总份额的50%以上(含50%，下同）；</w:t>
      </w:r>
    </w:p>
    <w:p w14:paraId="170EEC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14:paraId="2F083D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2）通讯开会方式</w:t>
      </w:r>
    </w:p>
    <w:p w14:paraId="1CFDFE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在同时符合以下条件时，通讯会议方可举行：</w:t>
      </w:r>
    </w:p>
    <w:p w14:paraId="4444CF3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①召集人按本基金合同规定公布会议通知后，在2个工作日内连续公布相关提示性公告；</w:t>
      </w:r>
    </w:p>
    <w:p w14:paraId="180241C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14:paraId="32C92E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14:paraId="3D7517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14:paraId="3DB4D9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⑤直接出具书面意见的基金份额持有人或受托代表他人出具书面意见的代理人提交的持有基金份额的凭证、授权委托书等文件符合法律法规、基金合同和会议通知的规定，并与登记结算机构记录相符。</w:t>
      </w:r>
    </w:p>
    <w:p w14:paraId="009F63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6、议事内容与程序</w:t>
      </w:r>
    </w:p>
    <w:p w14:paraId="2895FF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（1）议事内容及提案权</w:t>
      </w:r>
    </w:p>
    <w:p w14:paraId="6D52B23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1）议事内容为本基金合同规定的召开基金份额持有人大会事由所涉及的内容。</w:t>
      </w:r>
    </w:p>
    <w:p w14:paraId="774B499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14:paraId="5D190C3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3）对于基金份额持有人提交的提案，大会召集人应当按照以下原则对提案进行审核：</w:t>
      </w:r>
    </w:p>
    <w:p w14:paraId="1FB9D1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14:paraId="3AD5D8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14:paraId="2529D80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14:paraId="7CB313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14:paraId="584DA3F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（2）议事程序</w:t>
      </w:r>
    </w:p>
    <w:p w14:paraId="6037B9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7031F4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14:paraId="7F133A9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14:paraId="52AD50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14:paraId="68D2622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14:paraId="10AC424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表决开会的方式下，首先由召集人提前30日公布提案，在所通知的表决截止日期后第2个工作日在公证机关及监督人的监督下由召集人统计全部有效表决并形成决议。如监督人经通知但拒绝到场监督，则在公证机关监督下形成的决议有效。</w:t>
      </w:r>
    </w:p>
    <w:p w14:paraId="02F0BD3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（3）基金份额持有人大会不得对未事先公告的议事内容进行表决。</w:t>
      </w:r>
    </w:p>
    <w:p w14:paraId="4284BE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7、决议形成的条件、表决方式、程序</w:t>
      </w:r>
    </w:p>
    <w:p w14:paraId="0D4F4A1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（1）基金份额持有人所持每一基金份额享有平等的表决权。</w:t>
      </w:r>
    </w:p>
    <w:p w14:paraId="440434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（2）基金份额持有人大会决议分为一般决议和特别决议：</w:t>
      </w:r>
    </w:p>
    <w:p w14:paraId="6BA7C45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1）一般决议</w:t>
      </w:r>
    </w:p>
    <w:p w14:paraId="0C9DDF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14:paraId="74C77B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2）特别决议</w:t>
      </w:r>
    </w:p>
    <w:p w14:paraId="4CA6B1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特别决议须经出席会议的基金份额持有人(或其代理人)所持表决权的三分之二以上(含三分之二)通过方为有效；更换基金管理人、更换基金托管人、转换基金运作方式、终止基金合同必须以特别决议通过方为有效。</w:t>
      </w:r>
    </w:p>
    <w:p w14:paraId="08B20A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（3）基金份额持有人大会决定的事项，应当依法报中国证监会核准或者备案，并予以公告。</w:t>
      </w:r>
    </w:p>
    <w:p w14:paraId="0C90ED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14:paraId="1E135BC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（5）基金份额持有人大会采取记名方式进行投票表决。</w:t>
      </w:r>
    </w:p>
    <w:p w14:paraId="2CC5C89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（6）基金份额持有人大会的各项提案或同一项提案内并列的各项议题应当分开审议、逐项表决。</w:t>
      </w:r>
    </w:p>
    <w:p w14:paraId="143CAC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8、计票</w:t>
      </w:r>
    </w:p>
    <w:p w14:paraId="68C2F89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（1）现场开会</w:t>
      </w:r>
    </w:p>
    <w:p w14:paraId="7ED1215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14:paraId="300AA67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2）监票人应当在基金份额持有人表决后立即进行清点，由大会主持人当场公布计票结果。</w:t>
      </w:r>
    </w:p>
    <w:p w14:paraId="42B1280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14:paraId="3D56BE8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（2）通讯方式开会</w:t>
      </w:r>
    </w:p>
    <w:p w14:paraId="085D45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14:paraId="084EEE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9、基金份额持有人大会决议报中国证监会核准或备案后的公告时间、方式</w:t>
      </w:r>
    </w:p>
    <w:p w14:paraId="571574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14:paraId="666E18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14:paraId="635136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14:paraId="7071DF3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10、实施侧袋机制期间基金份额持有人大会的特殊约定</w:t>
      </w:r>
    </w:p>
    <w:p w14:paraId="3F4C0A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0CE936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（1）基金份额持有人行使提议权、召集权、提名权所需单独或合计代表相关基金份额10%以上（含10%）；</w:t>
      </w:r>
    </w:p>
    <w:p w14:paraId="12D09E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14:paraId="58B0C9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14:paraId="2FFDCC1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20BBB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14:paraId="69D9C5E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（6）一般决议须经参加大会的基金份额持有人或其代理人所持表决权的二分之一以上（含二分之一）通过；</w:t>
      </w:r>
    </w:p>
    <w:p w14:paraId="79C342B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14:paraId="29C5C8E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同一主侧袋账户内的每份基金份额具有平等的表决权。</w:t>
      </w:r>
    </w:p>
    <w:p w14:paraId="6816805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11、法律法规或监管部门对基金份额持有人大会另有规定的，从其规定。</w:t>
      </w:r>
    </w:p>
    <w:p w14:paraId="0F891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（三）基金合同的变更、终止与基金财产的清算</w:t>
      </w:r>
    </w:p>
    <w:p w14:paraId="2746EA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1、基金合同的变更</w:t>
      </w:r>
    </w:p>
    <w:p w14:paraId="7EDC9C4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14:paraId="1AD7F2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1）转换基金运作方式；</w:t>
      </w:r>
    </w:p>
    <w:p w14:paraId="192979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2）变更基金类别；</w:t>
      </w:r>
    </w:p>
    <w:p w14:paraId="3C8451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3）变更基金投资目标、投资范围或投资策略；</w:t>
      </w:r>
    </w:p>
    <w:p w14:paraId="6B63A1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4）变更基金份额持有人大会程序；</w:t>
      </w:r>
    </w:p>
    <w:p w14:paraId="610A784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5）更换基金管理人、基金托管人；</w:t>
      </w:r>
    </w:p>
    <w:p w14:paraId="28A12D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6）提高基金管理人、基金托管人的报酬标准，提高销售服务费用标准。但根据适用的相关规定提高该等报酬标准的除外；</w:t>
      </w:r>
    </w:p>
    <w:p w14:paraId="3EA875F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7）本基金与其他基金的合并；</w:t>
      </w:r>
    </w:p>
    <w:p w14:paraId="7F9916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8）对基金合同当事人权利、义务产生重大影响的其他事项；</w:t>
      </w:r>
    </w:p>
    <w:p w14:paraId="7D9C8D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9）法律法规、基金合同或中国证监会规定的其他情形。</w:t>
      </w:r>
    </w:p>
    <w:p w14:paraId="7A9AD2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14:paraId="4040344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1）调低基金管理费、基金托管费、销售服务费和其他应由基金承担的费用；</w:t>
      </w:r>
    </w:p>
    <w:p w14:paraId="507D89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2）在法律法规和本基金合同规定的范围内变更基金的申购费率、赎回费率或收费方式；</w:t>
      </w:r>
    </w:p>
    <w:p w14:paraId="598CD2A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3）因相应的法律法规发生变动必须对基金合同进行修改；</w:t>
      </w:r>
    </w:p>
    <w:p w14:paraId="3B2D6C9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4）对基金合同的修改不涉及本基金合同当事人权利义务关系发生变化；</w:t>
      </w:r>
    </w:p>
    <w:p w14:paraId="484D650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5）基金合同的修改对基金份额持有人利益无实质性不利影响；</w:t>
      </w:r>
    </w:p>
    <w:p w14:paraId="473B7D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6）按照法律法规或本基金合同规定不需召开基金份额持有人大会的其他情形。</w:t>
      </w:r>
    </w:p>
    <w:p w14:paraId="75218A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（2）关于变更基金合同的基金份额持有人大会决议应报中国证监会核准或备案，并于中国证监会核准或出具无异议意见后生效执行，并自生效之日起2日内在指定媒介公告。</w:t>
      </w:r>
    </w:p>
    <w:p w14:paraId="6C8025C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2、基金合同的终止</w:t>
      </w:r>
    </w:p>
    <w:p w14:paraId="50045B4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有下列情形之一的，本基金合同经中国证监会核准后将终止：</w:t>
      </w:r>
    </w:p>
    <w:p w14:paraId="1E8AE9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（1）基金份额持有人大会决定终止的；</w:t>
      </w:r>
    </w:p>
    <w:p w14:paraId="574C98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14:paraId="664CC3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14:paraId="1E16A9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（4）中国证监会规定的其他情况。</w:t>
      </w:r>
    </w:p>
    <w:p w14:paraId="32B7A43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3、基金财产的清算</w:t>
      </w:r>
    </w:p>
    <w:p w14:paraId="594ED0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（1）基金财产清算组</w:t>
      </w:r>
    </w:p>
    <w:p w14:paraId="030993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1)基金合同终止时，成立基金财产清算组，基金财产清算组在中国证监会的监督下进行基金清算。</w:t>
      </w:r>
    </w:p>
    <w:p w14:paraId="28D5AC8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14:paraId="5381AB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14:paraId="47D227B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（2）基金财产清算程序</w:t>
      </w:r>
    </w:p>
    <w:p w14:paraId="0317CD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14:paraId="646805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1)基金合同终止后，发布基金财产清算公告；</w:t>
      </w:r>
    </w:p>
    <w:p w14:paraId="68C377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2)基金合同终止时，由基金财产清算组统一接管基金财产；</w:t>
      </w:r>
    </w:p>
    <w:p w14:paraId="3EE2AD8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3)对基金财产进行清理和确认；</w:t>
      </w:r>
    </w:p>
    <w:p w14:paraId="675600C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4)对基金财产进行估价和变现；</w:t>
      </w:r>
    </w:p>
    <w:p w14:paraId="3D65B83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 聘请会计师事务所对清算报告进行审计；</w:t>
      </w:r>
    </w:p>
    <w:p w14:paraId="767DFEC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6)聘请律师事务所出具法律意见书；</w:t>
      </w:r>
    </w:p>
    <w:p w14:paraId="082FED0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7)将基金财产清算结果报告中国证监会；</w:t>
      </w:r>
    </w:p>
    <w:p w14:paraId="1780EB0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8)参加与基金财产有关的民事诉讼；</w:t>
      </w:r>
    </w:p>
    <w:p w14:paraId="2EEC25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9)公布基金财产清算结果；</w:t>
      </w:r>
    </w:p>
    <w:p w14:paraId="0E8AA0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10)对基金剩余财产进行分配。</w:t>
      </w:r>
    </w:p>
    <w:p w14:paraId="4B2163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（3）清算费用</w:t>
      </w:r>
    </w:p>
    <w:p w14:paraId="62C8BA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14:paraId="23EB7D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（4）基金财产按下列顺序清偿：</w:t>
      </w:r>
    </w:p>
    <w:p w14:paraId="43408A6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1)支付清算费用；</w:t>
      </w:r>
    </w:p>
    <w:p w14:paraId="2648DA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2)交纳所欠税款；</w:t>
      </w:r>
    </w:p>
    <w:p w14:paraId="2D9B57D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3)清偿基金债务；</w:t>
      </w:r>
    </w:p>
    <w:p w14:paraId="57D0B0F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4)按基金份额持有人持有的基金份额比例进行分配。</w:t>
      </w:r>
    </w:p>
    <w:p w14:paraId="5B981F1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基金财产未按前款1)－3)项规定清偿前，不分配给基金份额持有人。</w:t>
      </w:r>
    </w:p>
    <w:p w14:paraId="4E5452C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（5）基金财产清算的公告</w:t>
      </w:r>
    </w:p>
    <w:p w14:paraId="67046CD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14:paraId="7A81E0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（6）基金财产清算账册及文件的保存</w:t>
      </w:r>
    </w:p>
    <w:p w14:paraId="2568CE5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基金财产清算账册及有关文件由基金托管人保存15年以上。</w:t>
      </w:r>
    </w:p>
    <w:p w14:paraId="67E1430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（四）争议的处理</w:t>
      </w:r>
    </w:p>
    <w:p w14:paraId="2B2CBF6B">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14:paraId="2785DB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14:paraId="4BD8ED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本基金合同受中国法律管辖。</w:t>
      </w:r>
    </w:p>
    <w:p w14:paraId="62C273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（五）基金合同存放地和投资者取得基金合同的方式</w:t>
      </w:r>
    </w:p>
    <w:p w14:paraId="4DF9B0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14:paraId="5BBEC22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本基金合同可印制成册，供投资人在基金管理人、基金托管人、代销机构和登记结算机构办公场所查阅，但其效力应以基金合同正本为准。</w:t>
      </w:r>
    </w:p>
    <w:p w14:paraId="04645E1C">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490E15F4">
      <w:pPr>
        <w:pStyle w:val="2"/>
        <w:snapToGrid w:val="0"/>
        <w:spacing w:before="240" w:beforeLines="0" w:after="240"/>
        <w:rPr>
          <w:rFonts w:ascii="宋体" w:hAnsi="宋体"/>
          <w:szCs w:val="30"/>
        </w:rPr>
      </w:pPr>
      <w:bookmarkStart w:id="24" w:name="_Toc216956616"/>
      <w:r>
        <w:rPr>
          <w:rFonts w:ascii="Times New Roman" w:hAnsi="Times New Roman"/>
          <w:sz w:val="30"/>
        </w:rPr>
        <w:t>二十二、托管协议的内容摘要</w:t>
      </w:r>
      <w:bookmarkEnd w:id="24"/>
    </w:p>
    <w:p w14:paraId="70C8FFE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（一）托管协议当事人</w:t>
      </w:r>
    </w:p>
    <w:p w14:paraId="2260528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w:t>
      </w:r>
    </w:p>
    <w:p w14:paraId="6AAEEAB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名称：交银施罗德基金管理有限公司</w:t>
      </w:r>
    </w:p>
    <w:p w14:paraId="70F4FB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住所：中国(上海)自由贸易试验区银城中路188号交通银行大楼二层（裙）</w:t>
      </w:r>
    </w:p>
    <w:p w14:paraId="1D4F59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办公地址：上海市浦东新区世纪大道8号国金中心二期21-22楼</w:t>
      </w:r>
    </w:p>
    <w:p w14:paraId="2C44194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邮政编码：200120</w:t>
      </w:r>
    </w:p>
    <w:p w14:paraId="69C4C47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法定代表人：张宏良</w:t>
      </w:r>
    </w:p>
    <w:p w14:paraId="7D5D1B2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成立日期：2005年8月4日</w:t>
      </w:r>
    </w:p>
    <w:p w14:paraId="57E84C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批准设立机关及批准设立文号：中国证监会证监基金字【2005】128号</w:t>
      </w:r>
    </w:p>
    <w:p w14:paraId="69F9BD7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组织形式：有限责任公司</w:t>
      </w:r>
    </w:p>
    <w:p w14:paraId="6F4472D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注册资本：贰亿元</w:t>
      </w:r>
    </w:p>
    <w:p w14:paraId="0BF825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552671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经营范围：基金募集、基金销售、资产管理和中国证监会许可的其它业务。</w:t>
      </w:r>
    </w:p>
    <w:p w14:paraId="1765DF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w:t>
      </w:r>
    </w:p>
    <w:p w14:paraId="6107C8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名称：中国建设银行股份有限公司</w:t>
      </w:r>
    </w:p>
    <w:p w14:paraId="3C26812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住所：北京市西城区金融大街25号</w:t>
      </w:r>
    </w:p>
    <w:p w14:paraId="1D4FF8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办公地址：北京市西城区闹市口大街1号院1号楼</w:t>
      </w:r>
    </w:p>
    <w:p w14:paraId="76527EB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邮政编码：100033</w:t>
      </w:r>
    </w:p>
    <w:p w14:paraId="017E632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法定代表人：张金良</w:t>
      </w:r>
    </w:p>
    <w:p w14:paraId="76EC49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成立日期：2004年09月17日</w:t>
      </w:r>
    </w:p>
    <w:p w14:paraId="6811F2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基金托管业务批准文号：中国证监会证监基字[1998]12号</w:t>
      </w:r>
    </w:p>
    <w:p w14:paraId="681ED0C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组织形式：股份有限公司</w:t>
      </w:r>
    </w:p>
    <w:p w14:paraId="0592939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注册资本：贰仟伍佰亿壹仟零玖拾柒万柒仟肆佰捌拾陆元整</w:t>
      </w:r>
    </w:p>
    <w:p w14:paraId="3AEB6C3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存续期间：持续经营</w:t>
      </w:r>
    </w:p>
    <w:p w14:paraId="289811F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14:paraId="4761673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（二）基金托管人对基金管理人的业务监督和核查</w:t>
      </w:r>
    </w:p>
    <w:p w14:paraId="469F325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14:paraId="3CDB857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14:paraId="23492FB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如法律法规或监管机构以后允许基金投资的其他品种，基金管理人在履行适当程序后，可以将其纳入投资范围。</w:t>
      </w:r>
    </w:p>
    <w:p w14:paraId="094DF94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p w14:paraId="587713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14:paraId="2631474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1）本基金持有一家企业发行的债券，其市值不超过基金资产净值的10%；</w:t>
      </w:r>
    </w:p>
    <w:p w14:paraId="43F86E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2）本基金持有一家上市公司的股票，其市值不超过基金资产净值的10%；</w:t>
      </w:r>
    </w:p>
    <w:p w14:paraId="2701BCF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3）本基金进入全国银行间同业市场进行债券回购的资金余额不得超过基金资产净值的40%；</w:t>
      </w:r>
    </w:p>
    <w:p w14:paraId="5C997AB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股票、权证等资产占基金资产的比例为0-20%，其中权证资产占基金资产净值的比例为0-3%；</w:t>
      </w:r>
    </w:p>
    <w:p w14:paraId="641E0B0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5）基金保留的现金以及投资于到期日在一年以内的政府债券的比例合计不低于基金资产净值的5%，其中现金不包括结算备付金、存出保证金和应收申购款等；</w:t>
      </w:r>
    </w:p>
    <w:p w14:paraId="5D0DED9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6）本基金投资于同一原始权益人的各类资产支持证券的比例，不得超过基金资产净值的10%；</w:t>
      </w:r>
    </w:p>
    <w:p w14:paraId="41457AC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7）本基金持有的全部资产支持证券，其市值不得超过基金资产净值的20%；</w:t>
      </w:r>
    </w:p>
    <w:p w14:paraId="481ACA5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8）本基金持有的同一(指同一信用级别)资产支持证券的比例，不得超过该资产支持证券规模的10%；</w:t>
      </w:r>
    </w:p>
    <w:p w14:paraId="64A0437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14:paraId="18E6372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10）基金财产参与股票发行申购，本基金所申报的股票数量不超过拟发行股票公司本次发行股票的总量；</w:t>
      </w:r>
    </w:p>
    <w:p w14:paraId="75CEC4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11）本基金在任何交易日买入权证的总金额，不得超过上一交易日基金资产净值的0.5%；</w:t>
      </w:r>
    </w:p>
    <w:p w14:paraId="56F6FB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12）当本基金所持有的中签未卖出的新股市值占基金资产净值的比例达到或超过18%时，本基金将暂停进行新股申购，当该比例降低到18%以下时方可继续进行新股申购；</w:t>
      </w:r>
    </w:p>
    <w:p w14:paraId="78DF63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13）当本基金所持有的因网下申购而有锁定期限的股票的未流通市值占基金资产净值比例达到或超过5%时，本基金将暂停申购任何有锁定期的新股，当该比例降低到5%以下时方可继续进行有锁定期的新股申购；</w:t>
      </w:r>
    </w:p>
    <w:p w14:paraId="70EC6EF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13）如果法律法规对上述投资组合比例限制进行变更的，以变更后的规定为准。法律法规或监管部门取消上述限制，如适用于本基金，则本基金投资不再受相关限制。</w:t>
      </w:r>
    </w:p>
    <w:p w14:paraId="793C96A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14）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14:paraId="7B4BCA7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74E5C1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16）本基金与私募类证券资管产品及中国证监会认定的其他主体为交易对手开展逆回购交易的，可接受质押品的资质要求应当与基金合同约定的投资范围保持一致。</w:t>
      </w:r>
    </w:p>
    <w:p w14:paraId="08795DA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上述第5）、9）、15）、16）项外，因证券市场波动、上市公司合并、基金规模变动、股权分置改革中支付对价等基金管理人之外的因素致使基金投资比例不符合上述规定投资比例的，基金管理人应当在10个交易日内进行调整。</w:t>
      </w:r>
    </w:p>
    <w:p w14:paraId="4F344DD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除投资资产配置比例外，基金托管人对基金的投资比例的监督与检查自本基金合同生效之日起开始。基金管理人应当自基金合同生效之日起6个月内使基金的投资组合比例符合基金合同的有关约定。法律法规或监管部门另有规定的，从其规定。</w:t>
      </w:r>
    </w:p>
    <w:p w14:paraId="3DBFD5A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根据有关法律法规的规定及基金合同的约定，对本托管协议第十五条第九款基金投资禁止行为进行监督。基金托管人通过事后监督方式对基金管理人基金投资禁止行为和关联交易进行监督。根据法律法规有关基金禁止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w:t>
      </w:r>
    </w:p>
    <w:p w14:paraId="3A5B9BC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基金管理人采取必要措施阻止该关联交易的发生，如基金托管人采取必要措施后仍无法阻止关联交易发生时，基金托管人有权向中国证监会报告。对于基金管理人已成交的关联交易，基金托管人事前无法阻止该关联交易的发生，只能进行事后结算，基金托管人不承担由此造成的损失，并向中国证监会报告。</w:t>
      </w:r>
    </w:p>
    <w:p w14:paraId="12F3DE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14:paraId="5AB14EA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w:t>
      </w:r>
    </w:p>
    <w:p w14:paraId="24A19FF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14:paraId="3D6AAF9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基金托管人发现基金管理人的上述事项及投资指令或实际投资运作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w:t>
      </w:r>
    </w:p>
    <w:p w14:paraId="57265D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3286F9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8、若基金托管人发现基金管理人依据交易程序已经生效的指令违反法律、行政法规和其他有关规定，或者违反基金合同约定的，应当立即通知基金管理人，由此造成的损失由基金管理人承担。</w:t>
      </w:r>
    </w:p>
    <w:p w14:paraId="44E2DFF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9、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14:paraId="3888468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（三）基金管理人对基金托管人的业务核查</w:t>
      </w:r>
    </w:p>
    <w:p w14:paraId="4DDF882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14:paraId="37F2638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14:paraId="4A36D5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0039B9D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（四）基金财产的保管</w:t>
      </w:r>
    </w:p>
    <w:p w14:paraId="751F29C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1、基金财产保管的原则</w:t>
      </w:r>
    </w:p>
    <w:p w14:paraId="12E323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（1）基金财产应独立于基金管理人、基金托管人的固有财产。</w:t>
      </w:r>
    </w:p>
    <w:p w14:paraId="6D130EB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（2）基金托管人应安全保管基金财产。</w:t>
      </w:r>
    </w:p>
    <w:p w14:paraId="1C714F1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（3）基金托管人按照规定开设基金财产的资金账户和证券账户。</w:t>
      </w:r>
    </w:p>
    <w:p w14:paraId="0ECD165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（4）基金托管人对所托管的不同基金财产分别设置账户，确保基金财产的完整与独立。</w:t>
      </w:r>
    </w:p>
    <w:p w14:paraId="2156B3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14:paraId="0D61629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14:paraId="6B60BD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（7）除依据法律法规和基金合同的规定外，基金托管人不得委托第三人托管基金财产。</w:t>
      </w:r>
    </w:p>
    <w:p w14:paraId="58401D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2、基金募集期间及募集资金的验资</w:t>
      </w:r>
    </w:p>
    <w:p w14:paraId="07DE12C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（1）基金募集期间募集的资金应存于中国证券登记结算有限责任公司的基金募集专户。该账户由基金管理人或基金管理人委托的登记结算机构开立并管理。</w:t>
      </w:r>
    </w:p>
    <w:p w14:paraId="2DF3578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14:paraId="60F46E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（3）若基金募集期限届满，未能达到基金合同生效的条件，由基金管理人按规定办理退款等事宜。</w:t>
      </w:r>
    </w:p>
    <w:p w14:paraId="4B4D10E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w:t>
      </w:r>
    </w:p>
    <w:p w14:paraId="2395790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（1）基金托管人可以基金的名义在其营业机构开立基金的银行账户，并根据基金管理人合法合规的指令办理资金收付。本基金的银行预留印鉴由基金托管人保管和使用。</w:t>
      </w:r>
    </w:p>
    <w:p w14:paraId="35170B1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14:paraId="6B36A53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（3）基金银行账户的开立和管理应符合银行业监督管理机构的有关规定。</w:t>
      </w:r>
    </w:p>
    <w:p w14:paraId="3F1BDD3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（4）在符合法律法规规定的条件下，基金托管人可以通过基金托管人专用账户办理基金资产的支付。</w:t>
      </w:r>
    </w:p>
    <w:p w14:paraId="4DD133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4、基金证券账户和结算备付金账户的开立和管理</w:t>
      </w:r>
    </w:p>
    <w:p w14:paraId="2AE7B44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14:paraId="5E92461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5D8E228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14:paraId="30FEBA7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w:t>
      </w:r>
    </w:p>
    <w:p w14:paraId="69EC44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（5）若中国证监会或其他监管机构在本托管协议订立日之后允许基金从事其他投资品种的投资业务，涉及相关账户的开立、使用的，若无相关规定，则基金托管人比照上述关于账户开立、使用的规定执行。</w:t>
      </w:r>
    </w:p>
    <w:p w14:paraId="46F6815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5、债券托管专户的开设和管理</w:t>
      </w:r>
    </w:p>
    <w:p w14:paraId="1423738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生效后，基金托管人根据中国人民银行、中央国债登记结算有限责任公司的有关规定，在中央国债登记结算有限责任公司开立债券托管账户，并代表基金进行银行间市场债券的结算。基金管理人和基金托管人共同代表基金签订全国银行间债券市场债券回购主协议。</w:t>
      </w:r>
    </w:p>
    <w:p w14:paraId="493DB48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6、其他账户的开立和管理</w:t>
      </w:r>
    </w:p>
    <w:p w14:paraId="1039B8F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（1）因业务发展需要而开立的其他账户，可以根据法律法规和基金合同的规定，由基金托管人负责开立。新账户按有关规定使用并管理。</w:t>
      </w:r>
    </w:p>
    <w:p w14:paraId="39C660B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（2）法律法规等有关规定对相关账户的开立和管理另有规定的，从其规定办理。</w:t>
      </w:r>
    </w:p>
    <w:p w14:paraId="50E64B0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7、基金财产投资的有关有价凭证等的保管</w:t>
      </w:r>
    </w:p>
    <w:p w14:paraId="7E3BE8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财产投资的有关实物证券等有价凭证由基金托管人存放于基金托管人的保管库，也可存入中央国债登记结算有限责任公司、中国证券登记结算有限责任公司上海分公司/深圳分公司或票据营业中心的代保管库，保管凭证由基金托管人持有。实物证券等有价凭证的购买和转让，由基金管理人和基金托管人共同办理。基金托管人对由基金托管人以外机构实际有效控制的证券不承担保管责任。</w:t>
      </w:r>
    </w:p>
    <w:p w14:paraId="1FDDFB2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8、与基金财产有关的重大合同的保管</w:t>
      </w:r>
    </w:p>
    <w:p w14:paraId="16DE8D5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14:paraId="3F936D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（五）基金资产净值计算与复核</w:t>
      </w:r>
    </w:p>
    <w:p w14:paraId="0876DE00">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1、基金资产净值</w:t>
      </w:r>
    </w:p>
    <w:p w14:paraId="3D286C74">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基金资产净值是指基金资产总值减去负债后的金额。</w:t>
      </w:r>
    </w:p>
    <w:p w14:paraId="6C328C6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基金份额净值是指基金资产净值除以基金份额总数，各类基金份额净值的计算，均精确到0.0001元，小数点后第五位四舍五入，国家另有规定的，从其规定。</w:t>
      </w:r>
    </w:p>
    <w:p w14:paraId="4D3D800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基金管理人每个工作日分别计算本基金各类基金份额的基金资产净值及基金份额净值，经基金托管人复核，按规定公告。</w:t>
      </w:r>
    </w:p>
    <w:p w14:paraId="2831BD0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2、复核程序</w:t>
      </w:r>
    </w:p>
    <w:p w14:paraId="3A41967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基金管理人每开放日对基金资产进行估值后，将本基金各类基金份额的基金份额净值结果发送基金托管人，经基金托管人复核无误后，由基金管理人对外公布。</w:t>
      </w:r>
    </w:p>
    <w:p w14:paraId="66E5BB7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14:paraId="78E6EC6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（六）基金份额持有人名册的登记与保管</w:t>
      </w:r>
    </w:p>
    <w:p w14:paraId="6EC79D8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份额持有人名册至少应包括基金份额持有人的名称和持有的基金份额。基金份额持有人名册由基金登记结算机构根据基金管理人的指令编制和保管，基金管理人和基金托管人应分别保管基金份额持有人名册，保存期不少于15年。如不能妥善保管，则按相关法规承担责任。</w:t>
      </w:r>
    </w:p>
    <w:p w14:paraId="38D5F8F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14:paraId="108A8CC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（七）争议解决方式</w:t>
      </w:r>
    </w:p>
    <w:p w14:paraId="27A166E4">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14:paraId="4A636FC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14:paraId="46ACAE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本协议受中国法律管辖。</w:t>
      </w:r>
    </w:p>
    <w:p w14:paraId="4A4230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（八）托管协议的修改与终止</w:t>
      </w:r>
    </w:p>
    <w:p w14:paraId="4F0A769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1、托管协议的变更程序</w:t>
      </w:r>
    </w:p>
    <w:p w14:paraId="6CBE7EE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14:paraId="7A817FD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2、基金托管协议终止出现的情形</w:t>
      </w:r>
    </w:p>
    <w:p w14:paraId="712D9F1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（1）基金合同终止；</w:t>
      </w:r>
    </w:p>
    <w:p w14:paraId="1FB5389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（2）基金托管人解散、依法被撤销、破产或由其他基金托管人接管基金资产；</w:t>
      </w:r>
    </w:p>
    <w:p w14:paraId="2AFC9C4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（3）基金管理人解散、依法被撤销、破产或由其他基金管理人接管基金管理权；</w:t>
      </w:r>
    </w:p>
    <w:p w14:paraId="0429A2F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（4）发生法律法规或基金合同规定的终止事项。</w:t>
      </w:r>
    </w:p>
    <w:p w14:paraId="48015F4B">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708C1842">
      <w:pPr>
        <w:pStyle w:val="2"/>
        <w:snapToGrid w:val="0"/>
        <w:spacing w:before="240" w:beforeLines="0" w:after="240"/>
        <w:rPr>
          <w:rFonts w:ascii="宋体" w:hAnsi="宋体"/>
          <w:szCs w:val="30"/>
        </w:rPr>
      </w:pPr>
      <w:bookmarkStart w:id="25" w:name="_Toc216956617"/>
      <w:r>
        <w:rPr>
          <w:rFonts w:ascii="Times New Roman" w:hAnsi="Times New Roman"/>
          <w:sz w:val="30"/>
        </w:rPr>
        <w:t>二十三、对基金份额持有人的服务</w:t>
      </w:r>
      <w:bookmarkEnd w:id="25"/>
    </w:p>
    <w:p w14:paraId="0784A58E">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14:paraId="51FEB4E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（一）持有人交易资料的寄送服务</w:t>
      </w:r>
    </w:p>
    <w:p w14:paraId="627A45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1、每次交易结束后，投资人可在T+2个工作日后通过销售机构的网点查询和打印确认单；</w:t>
      </w:r>
    </w:p>
    <w:p w14:paraId="5C3E6A5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14:paraId="1A696F78">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（二）网上直销服务</w:t>
      </w:r>
    </w:p>
    <w:p w14:paraId="174132A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的申购、赎回、定期定额投资和转换等业务。本公司暂不开展网上直销B类基金份额的认/申购业务，通过转托管转入网上直销账户的B类基金份额只能办理赎回业务。通过网上直销交易平台办理本基金A类或D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14:paraId="7BF8D7E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本公司基金网上直销业务已开通的银行卡及各银行卡交易金额限额请参阅本公司网站。</w:t>
      </w:r>
    </w:p>
    <w:p w14:paraId="50F53C1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14:paraId="58368BA5">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（三）信息咨询、查询服务</w:t>
      </w:r>
    </w:p>
    <w:p w14:paraId="590815F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14:paraId="2A28BFE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14:paraId="34C0278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投资人可以拨打本基金管理人客户服务电话投诉直销机构的人员和服务。</w:t>
      </w:r>
    </w:p>
    <w:p w14:paraId="2AD6413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（四）基金红利再投资</w:t>
      </w:r>
    </w:p>
    <w:p w14:paraId="26AEC1A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14:paraId="36C4879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（五）定期定额投资计划和转换业务</w:t>
      </w:r>
    </w:p>
    <w:p w14:paraId="648DCFA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本基金已开通定期定额投资和转换业务，具体实施方法请参见相关公告。</w:t>
      </w:r>
    </w:p>
    <w:p w14:paraId="18A1722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服务联系方式：</w:t>
      </w:r>
    </w:p>
    <w:p w14:paraId="3A96F9D1">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本基金管理人的互联网地址及电子信箱</w:t>
      </w:r>
    </w:p>
    <w:p w14:paraId="68DB6306">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网址：www.fund001.com</w:t>
      </w:r>
    </w:p>
    <w:p w14:paraId="2FF84B6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电子信箱：services@jysld.com</w:t>
      </w:r>
    </w:p>
    <w:p w14:paraId="625D9B63">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投资人也可登录本基金管理人网站，直接提出有关本基金的问题和建议。</w:t>
      </w:r>
    </w:p>
    <w:p w14:paraId="3E93E8E0">
      <w:pPr>
        <w:autoSpaceDE w:val="0"/>
        <w:autoSpaceDN w:val="0"/>
        <w:adjustRightInd w:val="0"/>
        <w:snapToGrid w:val="0"/>
        <w:spacing w:line="360" w:lineRule="auto"/>
        <w:ind w:firstLine="480" w:firstLineChars="200"/>
        <w:jc w:val="left"/>
        <w:rPr>
          <w:rFonts w:ascii="宋体" w:hAnsi="宋体"/>
          <w:szCs w:val="24"/>
        </w:rPr>
      </w:pPr>
      <w:r>
        <w:rPr>
          <w:rFonts w:hint="eastAsia" w:ascii="宋体" w:hAnsi="宋体"/>
          <w:b/>
          <w:kern w:val="0"/>
          <w:sz w:val="24"/>
        </w:rPr>
        <w:t>（六）如本招募说明书存在任何您/贵机构无法理解的内容，请通过上述方式联系基金管理人。请确保投资前，您/贵机构已经全面理解了本招募说明书。</w:t>
      </w:r>
    </w:p>
    <w:p w14:paraId="20F94C9E">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602AFE83">
      <w:pPr>
        <w:pStyle w:val="2"/>
        <w:snapToGrid w:val="0"/>
        <w:spacing w:before="240" w:beforeLines="0" w:after="240"/>
        <w:rPr>
          <w:rFonts w:ascii="宋体" w:hAnsi="宋体"/>
          <w:szCs w:val="30"/>
        </w:rPr>
      </w:pPr>
      <w:bookmarkStart w:id="26" w:name="_Toc216956618"/>
      <w:r>
        <w:rPr>
          <w:rFonts w:ascii="Times New Roman" w:hAnsi="Times New Roman"/>
          <w:sz w:val="30"/>
        </w:rPr>
        <w:t>二十四、其他应披露事项</w:t>
      </w:r>
      <w:bookmarkEnd w:id="26"/>
    </w:p>
    <w:p w14:paraId="6E74A46F">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基金合同如有未尽事宜，由基金合同各方当事人按有关法律法规协商解决。</w:t>
      </w:r>
    </w:p>
    <w:p w14:paraId="3D3B52A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本招募说明书更新期间基金披露的其他重要事项</w:t>
      </w:r>
    </w:p>
    <w:tbl>
      <w:tblPr>
        <w:tblStyle w:val="14"/>
        <w:tblW w:w="5000" w:type="pct"/>
        <w:tblInd w:w="0" w:type="dxa"/>
        <w:tblLayout w:type="autofit"/>
        <w:tblCellMar>
          <w:top w:w="0" w:type="dxa"/>
          <w:left w:w="0" w:type="dxa"/>
          <w:bottom w:w="0" w:type="dxa"/>
          <w:right w:w="0" w:type="dxa"/>
        </w:tblCellMar>
      </w:tblPr>
      <w:tblGrid>
        <w:gridCol w:w="1008"/>
        <w:gridCol w:w="3024"/>
        <w:gridCol w:w="3024"/>
        <w:gridCol w:w="1614"/>
      </w:tblGrid>
      <w:tr w14:paraId="7C59B99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4D11FF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color="auto" w:sz="4" w:space="0"/>
              <w:left w:val="single" w:color="auto" w:sz="4" w:space="0"/>
              <w:bottom w:val="single" w:color="auto" w:sz="4" w:space="0"/>
              <w:right w:val="single" w:color="auto" w:sz="4" w:space="0"/>
            </w:tcBorders>
            <w:vAlign w:val="center"/>
          </w:tcPr>
          <w:p w14:paraId="49CA76BD">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color="auto" w:sz="4" w:space="0"/>
              <w:left w:val="single" w:color="auto" w:sz="4" w:space="0"/>
              <w:bottom w:val="single" w:color="auto" w:sz="4" w:space="0"/>
              <w:right w:val="single" w:color="auto" w:sz="4" w:space="0"/>
            </w:tcBorders>
            <w:vAlign w:val="center"/>
          </w:tcPr>
          <w:p w14:paraId="0A316B0C">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color="auto" w:sz="4" w:space="0"/>
              <w:left w:val="single" w:color="auto" w:sz="4" w:space="0"/>
              <w:bottom w:val="single" w:color="auto" w:sz="4" w:space="0"/>
              <w:right w:val="single" w:color="auto" w:sz="4" w:space="0"/>
            </w:tcBorders>
            <w:vAlign w:val="center"/>
          </w:tcPr>
          <w:p w14:paraId="5C43CAFD">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14:paraId="354029E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331651A">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color="auto" w:sz="4" w:space="0"/>
              <w:left w:val="single" w:color="auto" w:sz="4" w:space="0"/>
              <w:bottom w:val="single" w:color="auto" w:sz="4" w:space="0"/>
              <w:right w:val="single" w:color="auto" w:sz="4" w:space="0"/>
            </w:tcBorders>
            <w:vAlign w:val="center"/>
          </w:tcPr>
          <w:p w14:paraId="677E664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color="auto" w:sz="4" w:space="0"/>
              <w:left w:val="single" w:color="auto" w:sz="4" w:space="0"/>
              <w:bottom w:val="single" w:color="auto" w:sz="4" w:space="0"/>
              <w:right w:val="single" w:color="auto" w:sz="4" w:space="0"/>
            </w:tcBorders>
            <w:vAlign w:val="center"/>
          </w:tcPr>
          <w:p w14:paraId="2A07E51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74999F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14:paraId="0444408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83C499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color="auto" w:sz="4" w:space="0"/>
              <w:left w:val="single" w:color="auto" w:sz="4" w:space="0"/>
              <w:bottom w:val="single" w:color="auto" w:sz="4" w:space="0"/>
              <w:right w:val="single" w:color="auto" w:sz="4" w:space="0"/>
            </w:tcBorders>
            <w:vAlign w:val="center"/>
          </w:tcPr>
          <w:p w14:paraId="68F3926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03B4F81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F00F19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14:paraId="7195448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40B9D2C">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color="auto" w:sz="4" w:space="0"/>
              <w:left w:val="single" w:color="auto" w:sz="4" w:space="0"/>
              <w:bottom w:val="single" w:color="auto" w:sz="4" w:space="0"/>
              <w:right w:val="single" w:color="auto" w:sz="4" w:space="0"/>
            </w:tcBorders>
            <w:vAlign w:val="center"/>
          </w:tcPr>
          <w:p w14:paraId="48278F3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交银施罗德增利债券证券投资基金（AB类份额）基金产品资料概要更新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4376698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53F1ED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14:paraId="7BB9A45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A33A1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color="auto" w:sz="4" w:space="0"/>
              <w:left w:val="single" w:color="auto" w:sz="4" w:space="0"/>
              <w:bottom w:val="single" w:color="auto" w:sz="4" w:space="0"/>
              <w:right w:val="single" w:color="auto" w:sz="4" w:space="0"/>
            </w:tcBorders>
            <w:vAlign w:val="center"/>
          </w:tcPr>
          <w:p w14:paraId="6D8A8AA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1AB8662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02B8D2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2024-12-27</w:t>
            </w:r>
          </w:p>
        </w:tc>
      </w:tr>
      <w:tr w14:paraId="7A37B4B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A02CC5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color="auto" w:sz="4" w:space="0"/>
              <w:left w:val="single" w:color="auto" w:sz="4" w:space="0"/>
              <w:bottom w:val="single" w:color="auto" w:sz="4" w:space="0"/>
              <w:right w:val="single" w:color="auto" w:sz="4" w:space="0"/>
            </w:tcBorders>
            <w:vAlign w:val="center"/>
          </w:tcPr>
          <w:p w14:paraId="127BED3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交银施罗德基金管理有限公司关于交银施罗德增利债券证券投资基金暂停及恢复大额申购（转换转入、定期定额投资）业务的公告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14:paraId="06FC21C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224381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2025-01-09</w:t>
            </w:r>
          </w:p>
        </w:tc>
      </w:tr>
      <w:tr w14:paraId="6DD8D10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94A401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color="auto" w:sz="4" w:space="0"/>
              <w:left w:val="single" w:color="auto" w:sz="4" w:space="0"/>
              <w:bottom w:val="single" w:color="auto" w:sz="4" w:space="0"/>
              <w:right w:val="single" w:color="auto" w:sz="4" w:space="0"/>
            </w:tcBorders>
            <w:vAlign w:val="center"/>
          </w:tcPr>
          <w:p w14:paraId="5EC0DBD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交银施罗德基金管理有限公司关于交银施罗德增利债券证券投资基金分红公告</w:t>
            </w:r>
          </w:p>
        </w:tc>
        <w:tc>
          <w:tcPr>
            <w:tcW w:w="750" w:type="pct"/>
            <w:tcBorders>
              <w:top w:val="single" w:color="auto" w:sz="4" w:space="0"/>
              <w:left w:val="single" w:color="auto" w:sz="4" w:space="0"/>
              <w:bottom w:val="single" w:color="auto" w:sz="4" w:space="0"/>
              <w:right w:val="single" w:color="auto" w:sz="4" w:space="0"/>
            </w:tcBorders>
            <w:vAlign w:val="center"/>
          </w:tcPr>
          <w:p w14:paraId="6E5BEB0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8E5FC3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2025-01-13</w:t>
            </w:r>
          </w:p>
        </w:tc>
      </w:tr>
      <w:tr w14:paraId="6E3B625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065D401">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color="auto" w:sz="4" w:space="0"/>
              <w:left w:val="single" w:color="auto" w:sz="4" w:space="0"/>
              <w:bottom w:val="single" w:color="auto" w:sz="4" w:space="0"/>
              <w:right w:val="single" w:color="auto" w:sz="4" w:space="0"/>
            </w:tcBorders>
            <w:vAlign w:val="center"/>
          </w:tcPr>
          <w:p w14:paraId="58E185B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08B8ED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3BBF63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3D513F7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0E27EC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color="auto" w:sz="4" w:space="0"/>
              <w:left w:val="single" w:color="auto" w:sz="4" w:space="0"/>
              <w:bottom w:val="single" w:color="auto" w:sz="4" w:space="0"/>
              <w:right w:val="single" w:color="auto" w:sz="4" w:space="0"/>
            </w:tcBorders>
            <w:vAlign w:val="center"/>
          </w:tcPr>
          <w:p w14:paraId="3C9781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交银施罗德增利债券证券投资基金2024年第4季度报告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210B585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CDF412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14:paraId="7BA102EF">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8DEC0E5">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color="auto" w:sz="4" w:space="0"/>
              <w:left w:val="single" w:color="auto" w:sz="4" w:space="0"/>
              <w:bottom w:val="single" w:color="auto" w:sz="4" w:space="0"/>
              <w:right w:val="single" w:color="auto" w:sz="4" w:space="0"/>
            </w:tcBorders>
            <w:vAlign w:val="center"/>
          </w:tcPr>
          <w:p w14:paraId="2184CC8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交银施罗德基金管理有限公司关于交银施罗德增利债券证券投资基金A类基金份额参加部分代销渠道申购费率优惠活动的公告</w:t>
            </w:r>
          </w:p>
        </w:tc>
        <w:tc>
          <w:tcPr>
            <w:tcW w:w="750" w:type="pct"/>
            <w:tcBorders>
              <w:top w:val="single" w:color="auto" w:sz="4" w:space="0"/>
              <w:left w:val="single" w:color="auto" w:sz="4" w:space="0"/>
              <w:bottom w:val="single" w:color="auto" w:sz="4" w:space="0"/>
              <w:right w:val="single" w:color="auto" w:sz="4" w:space="0"/>
            </w:tcBorders>
            <w:vAlign w:val="center"/>
          </w:tcPr>
          <w:p w14:paraId="15F40C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AB0E86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2025-03-12</w:t>
            </w:r>
          </w:p>
        </w:tc>
      </w:tr>
      <w:tr w14:paraId="2FAB60A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674AF5C">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color="auto" w:sz="4" w:space="0"/>
              <w:left w:val="single" w:color="auto" w:sz="4" w:space="0"/>
              <w:bottom w:val="single" w:color="auto" w:sz="4" w:space="0"/>
              <w:right w:val="single" w:color="auto" w:sz="4" w:space="0"/>
            </w:tcBorders>
            <w:vAlign w:val="center"/>
          </w:tcPr>
          <w:p w14:paraId="2463167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交银施罗德基金管理有限公司关于交银施罗德增利债券证券投资基金增加D类基金份额并修改基金合同和托管协议的公告</w:t>
            </w:r>
          </w:p>
        </w:tc>
        <w:tc>
          <w:tcPr>
            <w:tcW w:w="750" w:type="pct"/>
            <w:tcBorders>
              <w:top w:val="single" w:color="auto" w:sz="4" w:space="0"/>
              <w:left w:val="single" w:color="auto" w:sz="4" w:space="0"/>
              <w:bottom w:val="single" w:color="auto" w:sz="4" w:space="0"/>
              <w:right w:val="single" w:color="auto" w:sz="4" w:space="0"/>
            </w:tcBorders>
            <w:vAlign w:val="center"/>
          </w:tcPr>
          <w:p w14:paraId="781F21E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490CDE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22C08F1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2422098">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color="auto" w:sz="4" w:space="0"/>
              <w:left w:val="single" w:color="auto" w:sz="4" w:space="0"/>
              <w:bottom w:val="single" w:color="auto" w:sz="4" w:space="0"/>
              <w:right w:val="single" w:color="auto" w:sz="4" w:space="0"/>
            </w:tcBorders>
            <w:vAlign w:val="center"/>
          </w:tcPr>
          <w:p w14:paraId="15446D1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交银施罗德基金管理有限公司关于变更交银施罗德增利债券证券投资基金A类基金份额参加部分代销渠道申购费率优惠活动的公告</w:t>
            </w:r>
          </w:p>
        </w:tc>
        <w:tc>
          <w:tcPr>
            <w:tcW w:w="750" w:type="pct"/>
            <w:tcBorders>
              <w:top w:val="single" w:color="auto" w:sz="4" w:space="0"/>
              <w:left w:val="single" w:color="auto" w:sz="4" w:space="0"/>
              <w:bottom w:val="single" w:color="auto" w:sz="4" w:space="0"/>
              <w:right w:val="single" w:color="auto" w:sz="4" w:space="0"/>
            </w:tcBorders>
            <w:vAlign w:val="center"/>
          </w:tcPr>
          <w:p w14:paraId="0E75FF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F73CF1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14C3C21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6B49DDC">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color="auto" w:sz="4" w:space="0"/>
              <w:left w:val="single" w:color="auto" w:sz="4" w:space="0"/>
              <w:bottom w:val="single" w:color="auto" w:sz="4" w:space="0"/>
              <w:right w:val="single" w:color="auto" w:sz="4" w:space="0"/>
            </w:tcBorders>
            <w:vAlign w:val="center"/>
          </w:tcPr>
          <w:p w14:paraId="4C9E6B7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交银施罗德增利债券证券投资基金2024年年度报告</w:t>
            </w:r>
          </w:p>
        </w:tc>
        <w:tc>
          <w:tcPr>
            <w:tcW w:w="750" w:type="pct"/>
            <w:tcBorders>
              <w:top w:val="single" w:color="auto" w:sz="4" w:space="0"/>
              <w:left w:val="single" w:color="auto" w:sz="4" w:space="0"/>
              <w:bottom w:val="single" w:color="auto" w:sz="4" w:space="0"/>
              <w:right w:val="single" w:color="auto" w:sz="4" w:space="0"/>
            </w:tcBorders>
            <w:vAlign w:val="center"/>
          </w:tcPr>
          <w:p w14:paraId="7C231FC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034BE3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54FDE59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39CA81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color="auto" w:sz="4" w:space="0"/>
              <w:left w:val="single" w:color="auto" w:sz="4" w:space="0"/>
              <w:bottom w:val="single" w:color="auto" w:sz="4" w:space="0"/>
              <w:right w:val="single" w:color="auto" w:sz="4" w:space="0"/>
            </w:tcBorders>
            <w:vAlign w:val="center"/>
          </w:tcPr>
          <w:p w14:paraId="59D6EA7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交银施罗德增利债券证券投资基金基金合同更新</w:t>
            </w:r>
          </w:p>
        </w:tc>
        <w:tc>
          <w:tcPr>
            <w:tcW w:w="750" w:type="pct"/>
            <w:tcBorders>
              <w:top w:val="single" w:color="auto" w:sz="4" w:space="0"/>
              <w:left w:val="single" w:color="auto" w:sz="4" w:space="0"/>
              <w:bottom w:val="single" w:color="auto" w:sz="4" w:space="0"/>
              <w:right w:val="single" w:color="auto" w:sz="4" w:space="0"/>
            </w:tcBorders>
            <w:vAlign w:val="center"/>
          </w:tcPr>
          <w:p w14:paraId="6AC5CC4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0F989D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66CD0563">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AD41CD7">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color="auto" w:sz="4" w:space="0"/>
              <w:left w:val="single" w:color="auto" w:sz="4" w:space="0"/>
              <w:bottom w:val="single" w:color="auto" w:sz="4" w:space="0"/>
              <w:right w:val="single" w:color="auto" w:sz="4" w:space="0"/>
            </w:tcBorders>
            <w:vAlign w:val="center"/>
          </w:tcPr>
          <w:p w14:paraId="49F833C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交银施罗德增利债券证券投资基金托管协议更新</w:t>
            </w:r>
          </w:p>
        </w:tc>
        <w:tc>
          <w:tcPr>
            <w:tcW w:w="750" w:type="pct"/>
            <w:tcBorders>
              <w:top w:val="single" w:color="auto" w:sz="4" w:space="0"/>
              <w:left w:val="single" w:color="auto" w:sz="4" w:space="0"/>
              <w:bottom w:val="single" w:color="auto" w:sz="4" w:space="0"/>
              <w:right w:val="single" w:color="auto" w:sz="4" w:space="0"/>
            </w:tcBorders>
            <w:vAlign w:val="center"/>
          </w:tcPr>
          <w:p w14:paraId="297F09B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2E28F4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7CFF33E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4A0CFAE">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color="auto" w:sz="4" w:space="0"/>
              <w:left w:val="single" w:color="auto" w:sz="4" w:space="0"/>
              <w:bottom w:val="single" w:color="auto" w:sz="4" w:space="0"/>
              <w:right w:val="single" w:color="auto" w:sz="4" w:space="0"/>
            </w:tcBorders>
            <w:vAlign w:val="center"/>
          </w:tcPr>
          <w:p w14:paraId="2D4BB13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3E9ADB4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AC5E20C">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1A044C9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A9A4D76">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color="auto" w:sz="4" w:space="0"/>
              <w:left w:val="single" w:color="auto" w:sz="4" w:space="0"/>
              <w:bottom w:val="single" w:color="auto" w:sz="4" w:space="0"/>
              <w:right w:val="single" w:color="auto" w:sz="4" w:space="0"/>
            </w:tcBorders>
            <w:vAlign w:val="center"/>
          </w:tcPr>
          <w:p w14:paraId="0844656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交银施罗德增利债券证券投资基金（AB类份额）基金产品资料概要更新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36AFDB3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CF010B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0A7C04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3092A0A">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color="auto" w:sz="4" w:space="0"/>
              <w:left w:val="single" w:color="auto" w:sz="4" w:space="0"/>
              <w:bottom w:val="single" w:color="auto" w:sz="4" w:space="0"/>
              <w:right w:val="single" w:color="auto" w:sz="4" w:space="0"/>
            </w:tcBorders>
            <w:vAlign w:val="center"/>
          </w:tcPr>
          <w:p w14:paraId="7487BD1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4F13B63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E8F1BC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5FA885D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5DFF6FE">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color="auto" w:sz="4" w:space="0"/>
              <w:left w:val="single" w:color="auto" w:sz="4" w:space="0"/>
              <w:bottom w:val="single" w:color="auto" w:sz="4" w:space="0"/>
              <w:right w:val="single" w:color="auto" w:sz="4" w:space="0"/>
            </w:tcBorders>
            <w:vAlign w:val="center"/>
          </w:tcPr>
          <w:p w14:paraId="4E3E30A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1375E5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5B9BDC8">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14:paraId="30D4C1F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17976D6">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color="auto" w:sz="4" w:space="0"/>
              <w:left w:val="single" w:color="auto" w:sz="4" w:space="0"/>
              <w:bottom w:val="single" w:color="auto" w:sz="4" w:space="0"/>
              <w:right w:val="single" w:color="auto" w:sz="4" w:space="0"/>
            </w:tcBorders>
            <w:vAlign w:val="center"/>
          </w:tcPr>
          <w:p w14:paraId="73F25DF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color="auto" w:sz="4" w:space="0"/>
              <w:left w:val="single" w:color="auto" w:sz="4" w:space="0"/>
              <w:bottom w:val="single" w:color="auto" w:sz="4" w:space="0"/>
              <w:right w:val="single" w:color="auto" w:sz="4" w:space="0"/>
            </w:tcBorders>
            <w:vAlign w:val="center"/>
          </w:tcPr>
          <w:p w14:paraId="79A612E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3CB381CD">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14:paraId="64C6AC70">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F3245E0">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color="auto" w:sz="4" w:space="0"/>
              <w:left w:val="single" w:color="auto" w:sz="4" w:space="0"/>
              <w:bottom w:val="single" w:color="auto" w:sz="4" w:space="0"/>
              <w:right w:val="single" w:color="auto" w:sz="4" w:space="0"/>
            </w:tcBorders>
            <w:vAlign w:val="center"/>
          </w:tcPr>
          <w:p w14:paraId="005F1BF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交银施罗德基金管理有限公司关于增加上海基煜基金销售有限公司为旗下基金的销售机构的公告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59DF9001">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698101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2025-04-11</w:t>
            </w:r>
          </w:p>
        </w:tc>
      </w:tr>
      <w:tr w14:paraId="116EE08C">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83F1D89">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color="auto" w:sz="4" w:space="0"/>
              <w:left w:val="single" w:color="auto" w:sz="4" w:space="0"/>
              <w:bottom w:val="single" w:color="auto" w:sz="4" w:space="0"/>
              <w:right w:val="single" w:color="auto" w:sz="4" w:space="0"/>
            </w:tcBorders>
            <w:vAlign w:val="center"/>
          </w:tcPr>
          <w:p w14:paraId="4C9F149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交银施罗德增利债券证券投资基金2025年第1季度报告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049E88C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A308ED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14:paraId="373F4ED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91EE8E7">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color="auto" w:sz="4" w:space="0"/>
              <w:left w:val="single" w:color="auto" w:sz="4" w:space="0"/>
              <w:bottom w:val="single" w:color="auto" w:sz="4" w:space="0"/>
              <w:right w:val="single" w:color="auto" w:sz="4" w:space="0"/>
            </w:tcBorders>
            <w:vAlign w:val="center"/>
          </w:tcPr>
          <w:p w14:paraId="24ED38D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color="auto" w:sz="4" w:space="0"/>
              <w:left w:val="single" w:color="auto" w:sz="4" w:space="0"/>
              <w:bottom w:val="single" w:color="auto" w:sz="4" w:space="0"/>
              <w:right w:val="single" w:color="auto" w:sz="4" w:space="0"/>
            </w:tcBorders>
            <w:vAlign w:val="center"/>
          </w:tcPr>
          <w:p w14:paraId="2C16BF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3823A8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14:paraId="3DAFB48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64E7124">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color="auto" w:sz="4" w:space="0"/>
              <w:left w:val="single" w:color="auto" w:sz="4" w:space="0"/>
              <w:bottom w:val="single" w:color="auto" w:sz="4" w:space="0"/>
              <w:right w:val="single" w:color="auto" w:sz="4" w:space="0"/>
            </w:tcBorders>
            <w:vAlign w:val="center"/>
          </w:tcPr>
          <w:p w14:paraId="445CCFAA">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交银施罗德基金管理有限公司关于增加兴业银行股份有限公司为旗下基金的销售机构的公告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7BBA122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B59F42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2025-06-10</w:t>
            </w:r>
          </w:p>
        </w:tc>
      </w:tr>
      <w:tr w14:paraId="742DF801">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AC2F4C2">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color="auto" w:sz="4" w:space="0"/>
              <w:left w:val="single" w:color="auto" w:sz="4" w:space="0"/>
              <w:bottom w:val="single" w:color="auto" w:sz="4" w:space="0"/>
              <w:right w:val="single" w:color="auto" w:sz="4" w:space="0"/>
            </w:tcBorders>
            <w:vAlign w:val="center"/>
          </w:tcPr>
          <w:p w14:paraId="4A85A17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384347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25800C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2025-06-11</w:t>
            </w:r>
          </w:p>
        </w:tc>
      </w:tr>
      <w:tr w14:paraId="53C5D4A2">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346E87DF">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color="auto" w:sz="4" w:space="0"/>
              <w:left w:val="single" w:color="auto" w:sz="4" w:space="0"/>
              <w:bottom w:val="single" w:color="auto" w:sz="4" w:space="0"/>
              <w:right w:val="single" w:color="auto" w:sz="4" w:space="0"/>
            </w:tcBorders>
            <w:vAlign w:val="center"/>
          </w:tcPr>
          <w:p w14:paraId="32A9A3D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交银施罗德基金管理有限公司关于增加上海万得基金销售有限公司为旗下基金的销售机构的公告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327EC04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7F27D8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14:paraId="6300567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658B3AD">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color="auto" w:sz="4" w:space="0"/>
              <w:left w:val="single" w:color="auto" w:sz="4" w:space="0"/>
              <w:bottom w:val="single" w:color="auto" w:sz="4" w:space="0"/>
              <w:right w:val="single" w:color="auto" w:sz="4" w:space="0"/>
            </w:tcBorders>
            <w:vAlign w:val="center"/>
          </w:tcPr>
          <w:p w14:paraId="2F7212B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交银施罗德基金管理有限公司关于增加北京汇成基金销售有限公司为旗下基金的销售机构的公告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295677AD">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F966B4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14:paraId="08DA793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278FA1C4">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color="auto" w:sz="4" w:space="0"/>
              <w:left w:val="single" w:color="auto" w:sz="4" w:space="0"/>
              <w:bottom w:val="single" w:color="auto" w:sz="4" w:space="0"/>
              <w:right w:val="single" w:color="auto" w:sz="4" w:space="0"/>
            </w:tcBorders>
            <w:vAlign w:val="center"/>
          </w:tcPr>
          <w:p w14:paraId="3F6702F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交银施罗德基金管理有限公司关于增加招商银行股份有限公司为旗下基金的销售机构的公告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1045000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C0AD91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14:paraId="124C23B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02A07484">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color="auto" w:sz="4" w:space="0"/>
              <w:left w:val="single" w:color="auto" w:sz="4" w:space="0"/>
              <w:bottom w:val="single" w:color="auto" w:sz="4" w:space="0"/>
              <w:right w:val="single" w:color="auto" w:sz="4" w:space="0"/>
            </w:tcBorders>
            <w:vAlign w:val="center"/>
          </w:tcPr>
          <w:p w14:paraId="400FD99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交银施罗德基金管理有限公司关于增加上海天天基金销售有限公司为旗下基金的销售机构的公告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4CA1637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378D5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2025-06-26</w:t>
            </w:r>
          </w:p>
        </w:tc>
      </w:tr>
      <w:tr w14:paraId="344BDEA8">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485A985">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color="auto" w:sz="4" w:space="0"/>
              <w:left w:val="single" w:color="auto" w:sz="4" w:space="0"/>
              <w:bottom w:val="single" w:color="auto" w:sz="4" w:space="0"/>
              <w:right w:val="single" w:color="auto" w:sz="4" w:space="0"/>
            </w:tcBorders>
            <w:vAlign w:val="center"/>
          </w:tcPr>
          <w:p w14:paraId="2B171E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交银施罗德基金管理有限公司关于增加方正证券股份有限公司为旗下基金的销售机构的公告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0FD66BF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B30EF1A">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2025-07-02</w:t>
            </w:r>
          </w:p>
        </w:tc>
      </w:tr>
      <w:tr w14:paraId="429DAA3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C9BB21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color="auto" w:sz="4" w:space="0"/>
              <w:left w:val="single" w:color="auto" w:sz="4" w:space="0"/>
              <w:bottom w:val="single" w:color="auto" w:sz="4" w:space="0"/>
              <w:right w:val="single" w:color="auto" w:sz="4" w:space="0"/>
            </w:tcBorders>
            <w:vAlign w:val="center"/>
          </w:tcPr>
          <w:p w14:paraId="4E2CCE9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交银施罗德基金管理有限公司关于交银施罗德增利债券证券投资基金暂停及恢复大额申购（转换转入、定期定额投资）业务的公告</w:t>
            </w:r>
          </w:p>
        </w:tc>
        <w:tc>
          <w:tcPr>
            <w:tcW w:w="750" w:type="pct"/>
            <w:tcBorders>
              <w:top w:val="single" w:color="auto" w:sz="4" w:space="0"/>
              <w:left w:val="single" w:color="auto" w:sz="4" w:space="0"/>
              <w:bottom w:val="single" w:color="auto" w:sz="4" w:space="0"/>
              <w:right w:val="single" w:color="auto" w:sz="4" w:space="0"/>
            </w:tcBorders>
            <w:vAlign w:val="center"/>
          </w:tcPr>
          <w:p w14:paraId="7D610C1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151DFA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14:paraId="7F12A45E">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D98C61B">
            <w:pPr>
              <w:widowControl/>
              <w:snapToGrid w:val="0"/>
              <w:jc w:val="left"/>
              <w:rPr>
                <w:rFonts w:ascii="宋体" w:hAnsi="宋体"/>
                <w:color w:val="000000"/>
                <w:kern w:val="0"/>
                <w:sz w:val="25"/>
                <w:szCs w:val="24"/>
              </w:rPr>
            </w:pPr>
            <w:r>
              <w:rPr>
                <w:rFonts w:ascii="Times New Roman" w:hAnsi="Times New Roman"/>
                <w:color w:val="000000"/>
                <w:kern w:val="0"/>
                <w:sz w:val="25"/>
                <w:szCs w:val="24"/>
              </w:rPr>
              <w:t>31</w:t>
            </w:r>
          </w:p>
        </w:tc>
        <w:tc>
          <w:tcPr>
            <w:tcW w:w="750" w:type="pct"/>
            <w:tcBorders>
              <w:top w:val="single" w:color="auto" w:sz="4" w:space="0"/>
              <w:left w:val="single" w:color="auto" w:sz="4" w:space="0"/>
              <w:bottom w:val="single" w:color="auto" w:sz="4" w:space="0"/>
              <w:right w:val="single" w:color="auto" w:sz="4" w:space="0"/>
            </w:tcBorders>
            <w:vAlign w:val="center"/>
          </w:tcPr>
          <w:p w14:paraId="0CACD61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交银施罗德基金管理有限公司关于交银施罗德增利债券证券投资基金分红公告</w:t>
            </w:r>
          </w:p>
        </w:tc>
        <w:tc>
          <w:tcPr>
            <w:tcW w:w="750" w:type="pct"/>
            <w:tcBorders>
              <w:top w:val="single" w:color="auto" w:sz="4" w:space="0"/>
              <w:left w:val="single" w:color="auto" w:sz="4" w:space="0"/>
              <w:bottom w:val="single" w:color="auto" w:sz="4" w:space="0"/>
              <w:right w:val="single" w:color="auto" w:sz="4" w:space="0"/>
            </w:tcBorders>
            <w:vAlign w:val="center"/>
          </w:tcPr>
          <w:p w14:paraId="3891EAA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A3903A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2025-07-09</w:t>
            </w:r>
          </w:p>
        </w:tc>
      </w:tr>
      <w:tr w14:paraId="0C94966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2805709">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color="auto" w:sz="4" w:space="0"/>
              <w:left w:val="single" w:color="auto" w:sz="4" w:space="0"/>
              <w:bottom w:val="single" w:color="auto" w:sz="4" w:space="0"/>
              <w:right w:val="single" w:color="auto" w:sz="4" w:space="0"/>
            </w:tcBorders>
            <w:vAlign w:val="center"/>
          </w:tcPr>
          <w:p w14:paraId="398F4796">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交银施罗德增利债券证券投资基金2025年第2季度报告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3CB67C9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90CC51F">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14:paraId="626E813D">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3AFBB99">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color="auto" w:sz="4" w:space="0"/>
              <w:left w:val="single" w:color="auto" w:sz="4" w:space="0"/>
              <w:bottom w:val="single" w:color="auto" w:sz="4" w:space="0"/>
              <w:right w:val="single" w:color="auto" w:sz="4" w:space="0"/>
            </w:tcBorders>
            <w:vAlign w:val="center"/>
          </w:tcPr>
          <w:p w14:paraId="56A10F0C">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交银施罗德增利债券证券投资基金2025年中期报告</w:t>
            </w:r>
          </w:p>
        </w:tc>
        <w:tc>
          <w:tcPr>
            <w:tcW w:w="750" w:type="pct"/>
            <w:tcBorders>
              <w:top w:val="single" w:color="auto" w:sz="4" w:space="0"/>
              <w:left w:val="single" w:color="auto" w:sz="4" w:space="0"/>
              <w:bottom w:val="single" w:color="auto" w:sz="4" w:space="0"/>
              <w:right w:val="single" w:color="auto" w:sz="4" w:space="0"/>
            </w:tcBorders>
            <w:vAlign w:val="center"/>
          </w:tcPr>
          <w:p w14:paraId="0A8FF11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46B7071">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14:paraId="1908EBE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AFDADD3">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color="auto" w:sz="4" w:space="0"/>
              <w:left w:val="single" w:color="auto" w:sz="4" w:space="0"/>
              <w:bottom w:val="single" w:color="auto" w:sz="4" w:space="0"/>
              <w:right w:val="single" w:color="auto" w:sz="4" w:space="0"/>
            </w:tcBorders>
            <w:vAlign w:val="center"/>
          </w:tcPr>
          <w:p w14:paraId="1C68E4C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交银施罗德基金管理有限公司关于增加宁波银行股份有限公司为旗下基金的销售机构的公告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1D5AB2AA">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791CE6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14:paraId="5EE834EF">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5C13C581">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color="auto" w:sz="4" w:space="0"/>
              <w:left w:val="single" w:color="auto" w:sz="4" w:space="0"/>
              <w:bottom w:val="single" w:color="auto" w:sz="4" w:space="0"/>
              <w:right w:val="single" w:color="auto" w:sz="4" w:space="0"/>
            </w:tcBorders>
            <w:vAlign w:val="center"/>
          </w:tcPr>
          <w:p w14:paraId="22B4B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交银施罗德基金管理有限公司关于增加珠海盈米基金销售有限公司为旗下基金的销售机构的公告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13F436F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6E59A1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2025-09-01</w:t>
            </w:r>
          </w:p>
        </w:tc>
      </w:tr>
      <w:tr w14:paraId="2E97CFAB">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43478F8">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color="auto" w:sz="4" w:space="0"/>
              <w:left w:val="single" w:color="auto" w:sz="4" w:space="0"/>
              <w:bottom w:val="single" w:color="auto" w:sz="4" w:space="0"/>
              <w:right w:val="single" w:color="auto" w:sz="4" w:space="0"/>
            </w:tcBorders>
            <w:vAlign w:val="center"/>
          </w:tcPr>
          <w:p w14:paraId="3E11DC2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交银施罗德基金管理有限公司关于增加上海好买基金销售有限公司为旗下基金的销售机构的公告</w:t>
            </w:r>
          </w:p>
        </w:tc>
        <w:tc>
          <w:tcPr>
            <w:tcW w:w="750" w:type="pct"/>
            <w:tcBorders>
              <w:top w:val="single" w:color="auto" w:sz="4" w:space="0"/>
              <w:left w:val="single" w:color="auto" w:sz="4" w:space="0"/>
              <w:bottom w:val="single" w:color="auto" w:sz="4" w:space="0"/>
              <w:right w:val="single" w:color="auto" w:sz="4" w:space="0"/>
            </w:tcBorders>
            <w:vAlign w:val="center"/>
          </w:tcPr>
          <w:p w14:paraId="765B150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51AB476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2025-09-04</w:t>
            </w:r>
          </w:p>
        </w:tc>
      </w:tr>
      <w:tr w14:paraId="7858FFC9">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BA02893">
            <w:pPr>
              <w:widowControl/>
              <w:snapToGrid w:val="0"/>
              <w:jc w:val="left"/>
              <w:rPr>
                <w:rFonts w:ascii="宋体" w:hAnsi="宋体"/>
                <w:color w:val="000000"/>
                <w:kern w:val="0"/>
                <w:sz w:val="25"/>
                <w:szCs w:val="24"/>
              </w:rPr>
            </w:pPr>
            <w:r>
              <w:rPr>
                <w:rFonts w:ascii="Times New Roman" w:hAnsi="Times New Roman"/>
                <w:color w:val="000000"/>
                <w:kern w:val="0"/>
                <w:sz w:val="25"/>
                <w:szCs w:val="24"/>
              </w:rPr>
              <w:t>37</w:t>
            </w:r>
          </w:p>
        </w:tc>
        <w:tc>
          <w:tcPr>
            <w:tcW w:w="750" w:type="pct"/>
            <w:tcBorders>
              <w:top w:val="single" w:color="auto" w:sz="4" w:space="0"/>
              <w:left w:val="single" w:color="auto" w:sz="4" w:space="0"/>
              <w:bottom w:val="single" w:color="auto" w:sz="4" w:space="0"/>
              <w:right w:val="single" w:color="auto" w:sz="4" w:space="0"/>
            </w:tcBorders>
            <w:vAlign w:val="center"/>
          </w:tcPr>
          <w:p w14:paraId="137EE33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交银施罗德增利债券证券投资基金2025年第3季度报告</w:t>
            </w:r>
          </w:p>
        </w:tc>
        <w:tc>
          <w:tcPr>
            <w:tcW w:w="750" w:type="pct"/>
            <w:tcBorders>
              <w:top w:val="single" w:color="auto" w:sz="4" w:space="0"/>
              <w:left w:val="single" w:color="auto" w:sz="4" w:space="0"/>
              <w:bottom w:val="single" w:color="auto" w:sz="4" w:space="0"/>
              <w:right w:val="single" w:color="auto" w:sz="4" w:space="0"/>
            </w:tcBorders>
            <w:vAlign w:val="center"/>
          </w:tcPr>
          <w:p w14:paraId="6E4FC7C6">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1E8D6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14:paraId="604F4EAC">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68CDED7">
            <w:pPr>
              <w:widowControl/>
              <w:snapToGrid w:val="0"/>
              <w:jc w:val="left"/>
              <w:rPr>
                <w:rFonts w:ascii="宋体" w:hAnsi="宋体"/>
                <w:color w:val="000000"/>
                <w:kern w:val="0"/>
                <w:sz w:val="25"/>
                <w:szCs w:val="24"/>
              </w:rPr>
            </w:pPr>
            <w:r>
              <w:rPr>
                <w:rFonts w:ascii="Times New Roman" w:hAnsi="Times New Roman"/>
                <w:color w:val="000000"/>
                <w:kern w:val="0"/>
                <w:sz w:val="25"/>
                <w:szCs w:val="24"/>
              </w:rPr>
              <w:t>38</w:t>
            </w:r>
          </w:p>
        </w:tc>
        <w:tc>
          <w:tcPr>
            <w:tcW w:w="750" w:type="pct"/>
            <w:tcBorders>
              <w:top w:val="single" w:color="auto" w:sz="4" w:space="0"/>
              <w:left w:val="single" w:color="auto" w:sz="4" w:space="0"/>
              <w:bottom w:val="single" w:color="auto" w:sz="4" w:space="0"/>
              <w:right w:val="single" w:color="auto" w:sz="4" w:space="0"/>
            </w:tcBorders>
            <w:vAlign w:val="center"/>
          </w:tcPr>
          <w:p w14:paraId="65F0388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交银施罗德基金管理有限公司关于调整交银施罗德增利债券证券投资基金管理费率和托管费率并修改基金合同等法律文件的公告</w:t>
            </w:r>
          </w:p>
        </w:tc>
        <w:tc>
          <w:tcPr>
            <w:tcW w:w="750" w:type="pct"/>
            <w:tcBorders>
              <w:top w:val="single" w:color="auto" w:sz="4" w:space="0"/>
              <w:left w:val="single" w:color="auto" w:sz="4" w:space="0"/>
              <w:bottom w:val="single" w:color="auto" w:sz="4" w:space="0"/>
              <w:right w:val="single" w:color="auto" w:sz="4" w:space="0"/>
            </w:tcBorders>
            <w:vAlign w:val="center"/>
          </w:tcPr>
          <w:p w14:paraId="10CC1B2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0C86F3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14:paraId="204BD2B6">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729B62B">
            <w:pPr>
              <w:widowControl/>
              <w:snapToGrid w:val="0"/>
              <w:jc w:val="left"/>
              <w:rPr>
                <w:rFonts w:ascii="宋体" w:hAnsi="宋体"/>
                <w:color w:val="000000"/>
                <w:kern w:val="0"/>
                <w:sz w:val="25"/>
                <w:szCs w:val="24"/>
              </w:rPr>
            </w:pPr>
            <w:r>
              <w:rPr>
                <w:rFonts w:ascii="Times New Roman" w:hAnsi="Times New Roman"/>
                <w:color w:val="000000"/>
                <w:kern w:val="0"/>
                <w:sz w:val="25"/>
                <w:szCs w:val="24"/>
              </w:rPr>
              <w:t>39</w:t>
            </w:r>
          </w:p>
        </w:tc>
        <w:tc>
          <w:tcPr>
            <w:tcW w:w="750" w:type="pct"/>
            <w:tcBorders>
              <w:top w:val="single" w:color="auto" w:sz="4" w:space="0"/>
              <w:left w:val="single" w:color="auto" w:sz="4" w:space="0"/>
              <w:bottom w:val="single" w:color="auto" w:sz="4" w:space="0"/>
              <w:right w:val="single" w:color="auto" w:sz="4" w:space="0"/>
            </w:tcBorders>
            <w:vAlign w:val="center"/>
          </w:tcPr>
          <w:p w14:paraId="6F5C211F">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交银施罗德增利债券证券投资基金基金合同</w:t>
            </w:r>
          </w:p>
        </w:tc>
        <w:tc>
          <w:tcPr>
            <w:tcW w:w="750" w:type="pct"/>
            <w:tcBorders>
              <w:top w:val="single" w:color="auto" w:sz="4" w:space="0"/>
              <w:left w:val="single" w:color="auto" w:sz="4" w:space="0"/>
              <w:bottom w:val="single" w:color="auto" w:sz="4" w:space="0"/>
              <w:right w:val="single" w:color="auto" w:sz="4" w:space="0"/>
            </w:tcBorders>
            <w:vAlign w:val="center"/>
          </w:tcPr>
          <w:p w14:paraId="0963D4F3">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16BED4C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14:paraId="3D6E6D25">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246B486">
            <w:pPr>
              <w:widowControl/>
              <w:snapToGrid w:val="0"/>
              <w:jc w:val="left"/>
              <w:rPr>
                <w:rFonts w:ascii="宋体" w:hAnsi="宋体"/>
                <w:color w:val="000000"/>
                <w:kern w:val="0"/>
                <w:sz w:val="25"/>
                <w:szCs w:val="24"/>
              </w:rPr>
            </w:pPr>
            <w:r>
              <w:rPr>
                <w:rFonts w:ascii="Times New Roman" w:hAnsi="Times New Roman"/>
                <w:color w:val="000000"/>
                <w:kern w:val="0"/>
                <w:sz w:val="25"/>
                <w:szCs w:val="24"/>
              </w:rPr>
              <w:t>40</w:t>
            </w:r>
          </w:p>
        </w:tc>
        <w:tc>
          <w:tcPr>
            <w:tcW w:w="750" w:type="pct"/>
            <w:tcBorders>
              <w:top w:val="single" w:color="auto" w:sz="4" w:space="0"/>
              <w:left w:val="single" w:color="auto" w:sz="4" w:space="0"/>
              <w:bottom w:val="single" w:color="auto" w:sz="4" w:space="0"/>
              <w:right w:val="single" w:color="auto" w:sz="4" w:space="0"/>
            </w:tcBorders>
            <w:vAlign w:val="center"/>
          </w:tcPr>
          <w:p w14:paraId="268FD008">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交银施罗德增利债券证券投资基金托管协议</w:t>
            </w:r>
          </w:p>
        </w:tc>
        <w:tc>
          <w:tcPr>
            <w:tcW w:w="750" w:type="pct"/>
            <w:tcBorders>
              <w:top w:val="single" w:color="auto" w:sz="4" w:space="0"/>
              <w:left w:val="single" w:color="auto" w:sz="4" w:space="0"/>
              <w:bottom w:val="single" w:color="auto" w:sz="4" w:space="0"/>
              <w:right w:val="single" w:color="auto" w:sz="4" w:space="0"/>
            </w:tcBorders>
            <w:vAlign w:val="center"/>
          </w:tcPr>
          <w:p w14:paraId="12C04CEC">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A311E4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14:paraId="79DB18F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11B1D813">
            <w:pPr>
              <w:widowControl/>
              <w:snapToGrid w:val="0"/>
              <w:jc w:val="left"/>
              <w:rPr>
                <w:rFonts w:ascii="宋体" w:hAnsi="宋体"/>
                <w:color w:val="000000"/>
                <w:kern w:val="0"/>
                <w:sz w:val="25"/>
                <w:szCs w:val="24"/>
              </w:rPr>
            </w:pPr>
            <w:r>
              <w:rPr>
                <w:rFonts w:ascii="Times New Roman" w:hAnsi="Times New Roman"/>
                <w:color w:val="000000"/>
                <w:kern w:val="0"/>
                <w:sz w:val="25"/>
                <w:szCs w:val="24"/>
              </w:rPr>
              <w:t>41</w:t>
            </w:r>
          </w:p>
        </w:tc>
        <w:tc>
          <w:tcPr>
            <w:tcW w:w="750" w:type="pct"/>
            <w:tcBorders>
              <w:top w:val="single" w:color="auto" w:sz="4" w:space="0"/>
              <w:left w:val="single" w:color="auto" w:sz="4" w:space="0"/>
              <w:bottom w:val="single" w:color="auto" w:sz="4" w:space="0"/>
              <w:right w:val="single" w:color="auto" w:sz="4" w:space="0"/>
            </w:tcBorders>
            <w:vAlign w:val="center"/>
          </w:tcPr>
          <w:p w14:paraId="558DBCE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交银施罗德增利债券证券投资基金招募说明书更新</w:t>
            </w:r>
          </w:p>
        </w:tc>
        <w:tc>
          <w:tcPr>
            <w:tcW w:w="750" w:type="pct"/>
            <w:tcBorders>
              <w:top w:val="single" w:color="auto" w:sz="4" w:space="0"/>
              <w:left w:val="single" w:color="auto" w:sz="4" w:space="0"/>
              <w:bottom w:val="single" w:color="auto" w:sz="4" w:space="0"/>
              <w:right w:val="single" w:color="auto" w:sz="4" w:space="0"/>
            </w:tcBorders>
            <w:vAlign w:val="center"/>
          </w:tcPr>
          <w:p w14:paraId="21D4836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4A755A6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14:paraId="543CDD57">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6FDFB9CE">
            <w:pPr>
              <w:widowControl/>
              <w:snapToGrid w:val="0"/>
              <w:jc w:val="left"/>
              <w:rPr>
                <w:rFonts w:ascii="宋体" w:hAnsi="宋体"/>
                <w:color w:val="000000"/>
                <w:kern w:val="0"/>
                <w:sz w:val="25"/>
                <w:szCs w:val="24"/>
              </w:rPr>
            </w:pPr>
            <w:r>
              <w:rPr>
                <w:rFonts w:ascii="Times New Roman" w:hAnsi="Times New Roman"/>
                <w:color w:val="000000"/>
                <w:kern w:val="0"/>
                <w:sz w:val="25"/>
                <w:szCs w:val="24"/>
              </w:rPr>
              <w:t>42</w:t>
            </w:r>
          </w:p>
        </w:tc>
        <w:tc>
          <w:tcPr>
            <w:tcW w:w="750" w:type="pct"/>
            <w:tcBorders>
              <w:top w:val="single" w:color="auto" w:sz="4" w:space="0"/>
              <w:left w:val="single" w:color="auto" w:sz="4" w:space="0"/>
              <w:bottom w:val="single" w:color="auto" w:sz="4" w:space="0"/>
              <w:right w:val="single" w:color="auto" w:sz="4" w:space="0"/>
            </w:tcBorders>
            <w:vAlign w:val="center"/>
          </w:tcPr>
          <w:p w14:paraId="6C506A41">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交银施罗德增利债券证券投资基金（AB类份额）基金产品资料概要更新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16660CB8">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08988DD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14:paraId="5A8F12A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74089D4E">
            <w:pPr>
              <w:widowControl/>
              <w:snapToGrid w:val="0"/>
              <w:jc w:val="left"/>
              <w:rPr>
                <w:rFonts w:ascii="宋体" w:hAnsi="宋体"/>
                <w:color w:val="000000"/>
                <w:kern w:val="0"/>
                <w:sz w:val="25"/>
                <w:szCs w:val="24"/>
              </w:rPr>
            </w:pPr>
            <w:r>
              <w:rPr>
                <w:rFonts w:ascii="Times New Roman" w:hAnsi="Times New Roman"/>
                <w:color w:val="000000"/>
                <w:kern w:val="0"/>
                <w:sz w:val="25"/>
                <w:szCs w:val="24"/>
              </w:rPr>
              <w:t>43</w:t>
            </w:r>
          </w:p>
        </w:tc>
        <w:tc>
          <w:tcPr>
            <w:tcW w:w="750" w:type="pct"/>
            <w:tcBorders>
              <w:top w:val="single" w:color="auto" w:sz="4" w:space="0"/>
              <w:left w:val="single" w:color="auto" w:sz="4" w:space="0"/>
              <w:bottom w:val="single" w:color="auto" w:sz="4" w:space="0"/>
              <w:right w:val="single" w:color="auto" w:sz="4" w:space="0"/>
            </w:tcBorders>
            <w:vAlign w:val="center"/>
          </w:tcPr>
          <w:p w14:paraId="1646187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交银施罗德增利债券证券投资基金（C类份额）基金产品资料概要更新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1187BB5F">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61CFC1A6">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r w14:paraId="43F7CB8A">
        <w:tblPrEx>
          <w:tblCellMar>
            <w:top w:w="0" w:type="dxa"/>
            <w:left w:w="0" w:type="dxa"/>
            <w:bottom w:w="0" w:type="dxa"/>
            <w:right w:w="0" w:type="dxa"/>
          </w:tblCellMar>
        </w:tblPrEx>
        <w:trPr>
          <w:cantSplit/>
          <w:trHeight w:val="375" w:hRule="atLeast"/>
        </w:trPr>
        <w:tc>
          <w:tcPr>
            <w:tcW w:w="250" w:type="pct"/>
            <w:tcBorders>
              <w:top w:val="single" w:color="auto" w:sz="4" w:space="0"/>
              <w:left w:val="single" w:color="auto" w:sz="4" w:space="0"/>
              <w:bottom w:val="single" w:color="auto" w:sz="4" w:space="0"/>
              <w:right w:val="single" w:color="auto" w:sz="4" w:space="0"/>
            </w:tcBorders>
            <w:vAlign w:val="center"/>
          </w:tcPr>
          <w:p w14:paraId="4973399C">
            <w:pPr>
              <w:widowControl/>
              <w:snapToGrid w:val="0"/>
              <w:jc w:val="left"/>
              <w:rPr>
                <w:rFonts w:ascii="宋体" w:hAnsi="宋体"/>
                <w:color w:val="000000"/>
                <w:kern w:val="0"/>
                <w:sz w:val="25"/>
                <w:szCs w:val="24"/>
              </w:rPr>
            </w:pPr>
            <w:r>
              <w:rPr>
                <w:rFonts w:ascii="Times New Roman" w:hAnsi="Times New Roman"/>
                <w:color w:val="000000"/>
                <w:kern w:val="0"/>
                <w:sz w:val="25"/>
                <w:szCs w:val="24"/>
              </w:rPr>
              <w:t>44</w:t>
            </w:r>
          </w:p>
        </w:tc>
        <w:tc>
          <w:tcPr>
            <w:tcW w:w="750" w:type="pct"/>
            <w:tcBorders>
              <w:top w:val="single" w:color="auto" w:sz="4" w:space="0"/>
              <w:left w:val="single" w:color="auto" w:sz="4" w:space="0"/>
              <w:bottom w:val="single" w:color="auto" w:sz="4" w:space="0"/>
              <w:right w:val="single" w:color="auto" w:sz="4" w:space="0"/>
            </w:tcBorders>
            <w:vAlign w:val="center"/>
          </w:tcPr>
          <w:p w14:paraId="75D56F33">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交银施罗德增利债券证券投资基金（D类份额）基金产品资料概要更新</w:t>
            </w:r>
          </w:p>
        </w:tc>
        <w:tc>
          <w:tcPr>
            <w:tcW w:w="750" w:type="pct"/>
            <w:tcBorders>
              <w:top w:val="single" w:color="auto" w:sz="4" w:space="0"/>
              <w:left w:val="single" w:color="auto" w:sz="4" w:space="0"/>
              <w:bottom w:val="single" w:color="auto" w:sz="4" w:space="0"/>
              <w:right w:val="single" w:color="auto" w:sz="4" w:space="0"/>
            </w:tcBorders>
            <w:vAlign w:val="center"/>
          </w:tcPr>
          <w:p w14:paraId="637BEF7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color="auto" w:sz="4" w:space="0"/>
              <w:left w:val="single" w:color="auto" w:sz="4" w:space="0"/>
              <w:bottom w:val="single" w:color="auto" w:sz="4" w:space="0"/>
              <w:right w:val="single" w:color="auto" w:sz="4" w:space="0"/>
            </w:tcBorders>
            <w:vAlign w:val="center"/>
          </w:tcPr>
          <w:p w14:paraId="2190616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2025-11-13</w:t>
            </w:r>
          </w:p>
        </w:tc>
      </w:tr>
    </w:tbl>
    <w:p w14:paraId="6712CC55">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C2AF493">
      <w:pPr>
        <w:pStyle w:val="2"/>
        <w:snapToGrid w:val="0"/>
        <w:spacing w:before="240" w:beforeLines="0" w:after="240"/>
        <w:rPr>
          <w:rFonts w:ascii="宋体" w:hAnsi="宋体"/>
          <w:szCs w:val="30"/>
        </w:rPr>
      </w:pPr>
      <w:bookmarkStart w:id="27" w:name="_Toc216956619"/>
      <w:r>
        <w:rPr>
          <w:rFonts w:ascii="Times New Roman" w:hAnsi="Times New Roman"/>
          <w:sz w:val="30"/>
        </w:rPr>
        <w:t>二十五、招募说明书的存放及查阅方式</w:t>
      </w:r>
      <w:bookmarkEnd w:id="27"/>
    </w:p>
    <w:p w14:paraId="693B9019">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14:paraId="043D256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投资人还可以直接登录基金管理人的网站(www.fund001.com)查阅和下载招募说明书。</w:t>
      </w:r>
    </w:p>
    <w:p w14:paraId="2F546118">
      <w:pPr>
        <w:autoSpaceDE w:val="0"/>
        <w:autoSpaceDN w:val="0"/>
        <w:adjustRightInd w:val="0"/>
        <w:spacing w:line="360" w:lineRule="auto"/>
        <w:ind w:firstLine="480" w:firstLineChars="200"/>
        <w:rPr>
          <w:rFonts w:ascii="宋体" w:hAnsi="宋体"/>
          <w:szCs w:val="24"/>
        </w:rPr>
      </w:pPr>
      <w:r>
        <w:rPr>
          <w:rFonts w:ascii="宋体" w:hAnsi="宋体"/>
          <w:sz w:val="24"/>
        </w:rPr>
        <w:br w:type="page"/>
      </w:r>
    </w:p>
    <w:p w14:paraId="1F452DD0">
      <w:pPr>
        <w:pStyle w:val="2"/>
        <w:snapToGrid w:val="0"/>
        <w:spacing w:before="240" w:beforeLines="0" w:after="240"/>
        <w:rPr>
          <w:rFonts w:ascii="宋体" w:hAnsi="宋体"/>
          <w:szCs w:val="30"/>
        </w:rPr>
      </w:pPr>
      <w:bookmarkStart w:id="28" w:name="_Toc216956620"/>
      <w:r>
        <w:rPr>
          <w:rFonts w:ascii="Times New Roman" w:hAnsi="Times New Roman"/>
          <w:sz w:val="30"/>
        </w:rPr>
        <w:t>二十六、备查文件</w:t>
      </w:r>
      <w:bookmarkEnd w:id="28"/>
    </w:p>
    <w:p w14:paraId="01F0507A">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以下备查文件存放在基金管理人的办公场所，在办公时间可供免费查阅。</w:t>
      </w:r>
    </w:p>
    <w:p w14:paraId="001AF74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（一）中国证监会批准交银施罗德增利债券证券投资基金募集的文件</w:t>
      </w:r>
    </w:p>
    <w:p w14:paraId="007436D7">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（二）《交银施罗德增利债券证券投资基金基金合同》</w:t>
      </w:r>
    </w:p>
    <w:p w14:paraId="65401AAC">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（三）《交银施罗德增利债券证券投资基金托管协议》</w:t>
      </w:r>
    </w:p>
    <w:p w14:paraId="6774A462">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（四）基金管理人业务资格批件、营业执照</w:t>
      </w:r>
    </w:p>
    <w:p w14:paraId="46BD8C0D">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（五）基金托管人业务资格批件、营业执照</w:t>
      </w:r>
    </w:p>
    <w:p w14:paraId="7D2BB86B">
      <w:pPr>
        <w:autoSpaceDE w:val="0"/>
        <w:autoSpaceDN w:val="0"/>
        <w:adjustRightInd w:val="0"/>
        <w:snapToGrid w:val="0"/>
        <w:spacing w:line="360" w:lineRule="auto"/>
        <w:ind w:firstLine="480" w:firstLineChars="200"/>
        <w:jc w:val="left"/>
        <w:rPr>
          <w:rFonts w:ascii="宋体" w:hAnsi="宋体"/>
          <w:szCs w:val="24"/>
        </w:rPr>
      </w:pPr>
      <w:r>
        <w:rPr>
          <w:rFonts w:ascii="宋体" w:hAnsi="宋体"/>
          <w:sz w:val="24"/>
        </w:rPr>
        <w:t>（六）关于申请募集交银施罗德增利债券证券投资基金之法律意见书</w:t>
      </w:r>
    </w:p>
    <w:sectPr>
      <w:footerReference r:id="rId10" w:type="default"/>
      <w:pgSz w:w="11920" w:h="16840"/>
      <w:pgMar w:top="1360" w:right="1580" w:bottom="280" w:left="1680" w:header="0" w:footer="118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F92F3D">
    <w:pPr>
      <w:autoSpaceDE w:val="0"/>
      <w:autoSpaceDN w:val="0"/>
      <w:adjustRightInd w:val="0"/>
      <w:spacing w:line="200" w:lineRule="exact"/>
      <w:jc w:val="left"/>
      <w:rPr>
        <w:rFonts w:ascii="Times New Roman" w:hAnsi="Times New Roman"/>
        <w:kern w:val="0"/>
        <w:sz w:val="20"/>
        <w:szCs w:val="20"/>
      </w:rPr>
    </w:pPr>
    <w:r>
      <w:pict>
        <v:shape id="_x0000_s4097" o:spid="_x0000_s4097" o:spt="202" type="#_x0000_t202" style="position:absolute;left:0pt;margin-left:293.4pt;margin-top:782.6pt;height:11pt;width:21.6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14:paraId="51EF1C0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2</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EDA8D7">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0BA61">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2BCAE">
    <w:pPr>
      <w:autoSpaceDE w:val="0"/>
      <w:autoSpaceDN w:val="0"/>
      <w:adjustRightInd w:val="0"/>
      <w:spacing w:line="200" w:lineRule="exact"/>
      <w:jc w:val="left"/>
      <w:rPr>
        <w:rFonts w:ascii="Times New Roman" w:hAnsi="Times New Roman"/>
        <w:kern w:val="0"/>
        <w:sz w:val="20"/>
        <w:szCs w:val="20"/>
      </w:rPr>
    </w:pPr>
    <w:r>
      <w:pict>
        <v:shape id="_x0000_s4098" o:spid="_x0000_s4098" o:spt="202" type="#_x0000_t202" style="position:absolute;left:0pt;margin-left:291.25pt;margin-top:773.85pt;height:11pt;width:33.5pt;mso-position-horizontal-relative:page;mso-position-vertical-relative:page;z-index:-251654144;mso-width-relative:page;mso-height-relative:page;" filled="f" stroked="f" coordsize="21600,21600" o:allowincell="f">
          <v:path/>
          <v:fill on="f" focussize="0,0"/>
          <v:stroke on="f" joinstyle="miter"/>
          <v:imagedata o:title=""/>
          <o:lock v:ext="edit"/>
          <v:textbox inset="0mm,0mm,0mm,0mm">
            <w:txbxContent>
              <w:p w14:paraId="7936BE28">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171</w:t>
                </w:r>
                <w:r>
                  <w:rPr>
                    <w:rFonts w:ascii="Times New Roman" w:hAnsi="Times New Roman"/>
                    <w:kern w:val="0"/>
                    <w:sz w:val="18"/>
                    <w:szCs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F34B1">
    <w:pPr>
      <w:pStyle w:val="9"/>
      <w:jc w:val="right"/>
    </w:pPr>
    <w:r>
      <w:drawing>
        <wp:anchor distT="0" distB="0" distL="114300" distR="114300" simplePos="0" relativeHeight="251659264" behindDoc="0" locked="0" layoutInCell="1" allowOverlap="1">
          <wp:simplePos x="0" y="0"/>
          <wp:positionH relativeFrom="column">
            <wp:posOffset>19050</wp:posOffset>
          </wp:positionH>
          <wp:positionV relativeFrom="paragraph">
            <wp:posOffset>-152400</wp:posOffset>
          </wp:positionV>
          <wp:extent cx="1714500" cy="238125"/>
          <wp:effectExtent l="19050" t="0" r="0" b="0"/>
          <wp:wrapNone/>
          <wp:docPr id="3" name="图片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logo1"/>
                  <pic:cNvPicPr>
                    <a:picLocks noChangeAspect="1" noChangeArrowheads="1"/>
                  </pic:cNvPicPr>
                </pic:nvPicPr>
                <pic:blipFill>
                  <a:blip r:embed="rId1"/>
                  <a:srcRect/>
                  <a:stretch>
                    <a:fillRect/>
                  </a:stretch>
                </pic:blipFill>
                <pic:spPr>
                  <a:xfrm>
                    <a:off x="0" y="0"/>
                    <a:ext cx="1714500" cy="238125"/>
                  </a:xfrm>
                  <a:prstGeom prst="rect">
                    <a:avLst/>
                  </a:prstGeom>
                  <a:noFill/>
                  <a:ln w="9525">
                    <a:noFill/>
                    <a:miter lim="800000"/>
                    <a:headEnd/>
                    <a:tailEnd/>
                  </a:ln>
                </pic:spPr>
              </pic:pic>
            </a:graphicData>
          </a:graphic>
        </wp:anchor>
      </w:drawing>
    </w:r>
  </w:p>
  <w:p w14:paraId="283358CC">
    <w:pPr>
      <w:pStyle w:val="9"/>
      <w:jc w:val="right"/>
      <w:rPr>
        <w:rFonts w:ascii="宋体" w:hAnsi="宋体"/>
      </w:rPr>
    </w:pPr>
    <w:r>
      <w:rPr>
        <w:rFonts w:hint="eastAsia" w:ascii="宋体" w:hAnsi="宋体"/>
      </w:rPr>
      <w:t>交银施罗德增利债券证券投资基金招募说明书更新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70455">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567B2">
    <w:pPr>
      <w:pStyle w:val="10"/>
      <w:jc w:val="right"/>
    </w:pPr>
  </w:p>
  <w:p w14:paraId="655649D7">
    <w:pPr>
      <w:pStyle w:val="10"/>
      <w:jc w:val="right"/>
    </w:pPr>
  </w:p>
  <w:p w14:paraId="2AB3DC9E">
    <w:pPr>
      <w:pStyle w:val="9"/>
      <w:jc w:val="right"/>
    </w:pPr>
  </w:p>
  <w:p w14:paraId="5671ED74">
    <w:pPr>
      <w:pStyle w:val="9"/>
      <w:jc w:val="right"/>
    </w:pPr>
    <w:r>
      <w:drawing>
        <wp:anchor distT="0" distB="0" distL="114300" distR="114300" simplePos="0" relativeHeight="251660288" behindDoc="0" locked="0" layoutInCell="1" allowOverlap="1">
          <wp:simplePos x="0" y="0"/>
          <wp:positionH relativeFrom="column">
            <wp:posOffset>19050</wp:posOffset>
          </wp:positionH>
          <wp:positionV relativeFrom="paragraph">
            <wp:posOffset>-152400</wp:posOffset>
          </wp:positionV>
          <wp:extent cx="1714500" cy="238125"/>
          <wp:effectExtent l="19050" t="0" r="0" b="0"/>
          <wp:wrapNone/>
          <wp:docPr id="1" name="图片 1"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1"/>
                  <pic:cNvPicPr>
                    <a:picLocks noChangeAspect="1" noChangeArrowheads="1"/>
                  </pic:cNvPicPr>
                </pic:nvPicPr>
                <pic:blipFill>
                  <a:blip r:embed="rId1"/>
                  <a:srcRect/>
                  <a:stretch>
                    <a:fillRect/>
                  </a:stretch>
                </pic:blipFill>
                <pic:spPr>
                  <a:xfrm>
                    <a:off x="0" y="0"/>
                    <a:ext cx="1714500" cy="238125"/>
                  </a:xfrm>
                  <a:prstGeom prst="rect">
                    <a:avLst/>
                  </a:prstGeom>
                  <a:noFill/>
                  <a:ln w="9525">
                    <a:noFill/>
                    <a:miter lim="800000"/>
                    <a:headEnd/>
                    <a:tailEnd/>
                  </a:ln>
                </pic:spPr>
              </pic:pic>
            </a:graphicData>
          </a:graphic>
        </wp:anchor>
      </w:drawing>
    </w:r>
  </w:p>
  <w:p w14:paraId="7DE0BEE9">
    <w:pPr>
      <w:pStyle w:val="9"/>
      <w:jc w:val="right"/>
      <w:rPr>
        <w:rFonts w:ascii="宋体" w:hAnsi="宋体"/>
      </w:rPr>
    </w:pPr>
    <w:r>
      <w:rPr>
        <w:rFonts w:hint="eastAsia" w:ascii="宋体" w:hAnsi="宋体"/>
      </w:rPr>
      <w:t>交银施罗德增利债券证券投资基金招募说明书更新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76193">
    <w:pPr>
      <w:pStyle w:val="9"/>
      <w:jc w:val="right"/>
    </w:pPr>
  </w:p>
  <w:p w14:paraId="1AE2D0E2">
    <w:pPr>
      <w:pStyle w:val="9"/>
      <w:jc w:val="right"/>
    </w:pPr>
  </w:p>
  <w:p w14:paraId="7D104C35">
    <w:pPr>
      <w:pStyle w:val="9"/>
      <w:jc w:val="right"/>
    </w:pPr>
  </w:p>
  <w:p w14:paraId="324EF78B">
    <w:pPr>
      <w:pStyle w:val="9"/>
      <w:jc w:val="right"/>
    </w:pPr>
    <w:r>
      <w:drawing>
        <wp:anchor distT="0" distB="0" distL="114300" distR="114300" simplePos="0" relativeHeight="251661312" behindDoc="0" locked="0" layoutInCell="1" allowOverlap="1">
          <wp:simplePos x="0" y="0"/>
          <wp:positionH relativeFrom="column">
            <wp:posOffset>19050</wp:posOffset>
          </wp:positionH>
          <wp:positionV relativeFrom="paragraph">
            <wp:posOffset>-152400</wp:posOffset>
          </wp:positionV>
          <wp:extent cx="1714500" cy="238125"/>
          <wp:effectExtent l="19050" t="0" r="0" b="0"/>
          <wp:wrapNone/>
          <wp:docPr id="4" name="图片 4"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1"/>
                  <pic:cNvPicPr>
                    <a:picLocks noChangeAspect="1" noChangeArrowheads="1"/>
                  </pic:cNvPicPr>
                </pic:nvPicPr>
                <pic:blipFill>
                  <a:blip r:embed="rId1"/>
                  <a:srcRect/>
                  <a:stretch>
                    <a:fillRect/>
                  </a:stretch>
                </pic:blipFill>
                <pic:spPr>
                  <a:xfrm>
                    <a:off x="0" y="0"/>
                    <a:ext cx="1714500" cy="238125"/>
                  </a:xfrm>
                  <a:prstGeom prst="rect">
                    <a:avLst/>
                  </a:prstGeom>
                  <a:noFill/>
                  <a:ln w="9525">
                    <a:noFill/>
                    <a:miter lim="800000"/>
                    <a:headEnd/>
                    <a:tailEnd/>
                  </a:ln>
                </pic:spPr>
              </pic:pic>
            </a:graphicData>
          </a:graphic>
        </wp:anchor>
      </w:drawing>
    </w:r>
  </w:p>
  <w:p w14:paraId="5EFC909E">
    <w:pPr>
      <w:pStyle w:val="9"/>
      <w:jc w:val="right"/>
      <w:rPr>
        <w:rFonts w:ascii="宋体" w:hAnsi="宋体"/>
      </w:rPr>
    </w:pPr>
    <w:r>
      <w:rPr>
        <w:rFonts w:hint="eastAsia" w:ascii="宋体" w:hAnsi="宋体"/>
      </w:rPr>
      <w:t>交银施罗德增利债券证券投资基金招募说明书更新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4"/>
      <w:suff w:val="space"/>
      <w:lvlText w:val="§%1"/>
      <w:lvlJc w:val="left"/>
      <w:pPr>
        <w:ind w:left="425" w:hanging="425"/>
      </w:pPr>
      <w:rPr>
        <w:rFonts w:hint="eastAsia"/>
      </w:rPr>
    </w:lvl>
    <w:lvl w:ilvl="1" w:tentative="0">
      <w:start w:val="1"/>
      <w:numFmt w:val="decimal"/>
      <w:pStyle w:val="25"/>
      <w:suff w:val="space"/>
      <w:lvlText w:val="%1.%2"/>
      <w:lvlJc w:val="left"/>
      <w:pPr>
        <w:ind w:left="738" w:hanging="454"/>
      </w:pPr>
      <w:rPr>
        <w:rFonts w:hint="eastAsia"/>
      </w:rPr>
    </w:lvl>
    <w:lvl w:ilvl="2" w:tentative="0">
      <w:start w:val="1"/>
      <w:numFmt w:val="decimal"/>
      <w:pStyle w:val="26"/>
      <w:suff w:val="space"/>
      <w:lvlText w:val="%1.%2.%3"/>
      <w:lvlJc w:val="left"/>
      <w:pPr>
        <w:ind w:left="624" w:hanging="624"/>
      </w:pPr>
    </w:lvl>
    <w:lvl w:ilvl="3" w:tentative="0">
      <w:start w:val="1"/>
      <w:numFmt w:val="decimal"/>
      <w:pStyle w:val="28"/>
      <w:suff w:val="space"/>
      <w:lvlText w:val="%1.%2.%3.%4"/>
      <w:lvlJc w:val="left"/>
      <w:pPr>
        <w:ind w:left="794" w:hanging="794"/>
      </w:pPr>
      <w:rPr>
        <w:rFonts w:hint="eastAsia"/>
      </w:rPr>
    </w:lvl>
    <w:lvl w:ilvl="4" w:tentative="0">
      <w:start w:val="1"/>
      <w:numFmt w:val="decimal"/>
      <w:pStyle w:val="27"/>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3,4"/>
    </o:shapelayout>
  </w:hdrShapeDefaults>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57F2"/>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0C91"/>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34B"/>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09DD"/>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041E2E7C"/>
    <w:rsid w:val="095310A5"/>
    <w:rsid w:val="1A113708"/>
    <w:rsid w:val="25EE5BB7"/>
    <w:rsid w:val="32CB0475"/>
    <w:rsid w:val="34745EC3"/>
    <w:rsid w:val="3C127CE3"/>
    <w:rsid w:val="44631FF0"/>
    <w:rsid w:val="4D8212ED"/>
    <w:rsid w:val="5235477B"/>
    <w:rsid w:val="52767C38"/>
    <w:rsid w:val="5F7149DC"/>
    <w:rsid w:val="60725354"/>
    <w:rsid w:val="7FBA33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9"/>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7"/>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8"/>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Document Map"/>
    <w:basedOn w:val="1"/>
    <w:link w:val="35"/>
    <w:unhideWhenUsed/>
    <w:qFormat/>
    <w:uiPriority w:val="99"/>
    <w:rPr>
      <w:rFonts w:ascii="宋体"/>
      <w:sz w:val="18"/>
      <w:szCs w:val="18"/>
    </w:rPr>
  </w:style>
  <w:style w:type="paragraph" w:styleId="6">
    <w:name w:val="annotation text"/>
    <w:basedOn w:val="1"/>
    <w:link w:val="31"/>
    <w:unhideWhenUsed/>
    <w:qFormat/>
    <w:uiPriority w:val="0"/>
    <w:pPr>
      <w:jc w:val="left"/>
    </w:pPr>
  </w:style>
  <w:style w:type="paragraph" w:styleId="7">
    <w:name w:val="Balloon Text"/>
    <w:basedOn w:val="1"/>
    <w:semiHidden/>
    <w:qFormat/>
    <w:uiPriority w:val="0"/>
    <w:rPr>
      <w:sz w:val="18"/>
      <w:szCs w:val="18"/>
    </w:rPr>
  </w:style>
  <w:style w:type="paragraph" w:styleId="8">
    <w:name w:val="footer"/>
    <w:basedOn w:val="1"/>
    <w:link w:val="36"/>
    <w:unhideWhenUsed/>
    <w:qFormat/>
    <w:uiPriority w:val="99"/>
    <w:pPr>
      <w:tabs>
        <w:tab w:val="center" w:pos="4153"/>
        <w:tab w:val="right" w:pos="8306"/>
      </w:tabs>
      <w:snapToGrid w:val="0"/>
      <w:jc w:val="left"/>
    </w:pPr>
    <w:rPr>
      <w:kern w:val="0"/>
      <w:sz w:val="18"/>
      <w:szCs w:val="18"/>
    </w:rPr>
  </w:style>
  <w:style w:type="paragraph" w:styleId="9">
    <w:name w:val="header"/>
    <w:basedOn w:val="1"/>
    <w:link w:val="33"/>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style>
  <w:style w:type="paragraph" w:styleId="11">
    <w:name w:val="Subtitle"/>
    <w:basedOn w:val="1"/>
    <w:next w:val="1"/>
    <w:link w:val="34"/>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qFormat/>
    <w:uiPriority w:val="39"/>
    <w:pPr>
      <w:ind w:left="480" w:leftChars="200"/>
    </w:pPr>
  </w:style>
  <w:style w:type="paragraph" w:styleId="13">
    <w:name w:val="annotation subject"/>
    <w:basedOn w:val="6"/>
    <w:next w:val="6"/>
    <w:link w:val="32"/>
    <w:unhideWhenUsed/>
    <w:qFormat/>
    <w:uiPriority w:val="99"/>
    <w:rPr>
      <w:b/>
      <w:bCs/>
    </w:rPr>
  </w:style>
  <w:style w:type="table" w:styleId="15">
    <w:name w:val="Table Grid"/>
    <w:basedOn w:val="1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qFormat/>
    <w:uiPriority w:val="99"/>
    <w:rPr>
      <w:color w:val="0000FF"/>
      <w:u w:val="single"/>
    </w:rPr>
  </w:style>
  <w:style w:type="character" w:styleId="19">
    <w:name w:val="annotation reference"/>
    <w:unhideWhenUsed/>
    <w:qFormat/>
    <w:uiPriority w:val="0"/>
    <w:rPr>
      <w:sz w:val="21"/>
      <w:szCs w:val="21"/>
    </w:rPr>
  </w:style>
  <w:style w:type="paragraph" w:customStyle="1" w:styleId="20">
    <w:name w:val="_Style 19"/>
    <w:basedOn w:val="2"/>
    <w:next w:val="1"/>
    <w:qFormat/>
    <w:uiPriority w:val="39"/>
    <w:pPr>
      <w:widowControl/>
      <w:spacing w:before="480" w:beforeLines="0" w:line="276" w:lineRule="auto"/>
      <w:jc w:val="left"/>
      <w:outlineLvl w:val="9"/>
    </w:pPr>
    <w:rPr>
      <w:rFonts w:ascii="Cambria" w:hAnsi="Cambria"/>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_Style 21"/>
    <w:semiHidden/>
    <w:qFormat/>
    <w:uiPriority w:val="99"/>
    <w:rPr>
      <w:rFonts w:ascii="Calibri" w:hAnsi="Calibri" w:eastAsia="宋体" w:cs="Times New Roman"/>
      <w:kern w:val="2"/>
      <w:sz w:val="21"/>
      <w:szCs w:val="22"/>
      <w:lang w:val="en-US" w:eastAsia="zh-CN" w:bidi="ar-SA"/>
    </w:rPr>
  </w:style>
  <w:style w:type="paragraph" w:customStyle="1" w:styleId="2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4">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5">
    <w:name w:val="XBRLTitle2"/>
    <w:basedOn w:val="11"/>
    <w:next w:val="4"/>
    <w:qFormat/>
    <w:uiPriority w:val="0"/>
    <w:pPr>
      <w:keepNext/>
      <w:keepLines/>
      <w:numPr>
        <w:ilvl w:val="1"/>
        <w:numId w:val="1"/>
      </w:numPr>
      <w:jc w:val="left"/>
    </w:pPr>
    <w:rPr>
      <w:bCs w:val="0"/>
      <w:sz w:val="24"/>
    </w:rPr>
  </w:style>
  <w:style w:type="paragraph" w:customStyle="1" w:styleId="26">
    <w:name w:val="XBRLTitle3"/>
    <w:basedOn w:val="11"/>
    <w:next w:val="4"/>
    <w:qFormat/>
    <w:uiPriority w:val="0"/>
    <w:pPr>
      <w:keepNext/>
      <w:keepLines/>
      <w:numPr>
        <w:ilvl w:val="2"/>
        <w:numId w:val="1"/>
      </w:numPr>
      <w:ind w:left="0" w:firstLine="0"/>
      <w:jc w:val="left"/>
    </w:pPr>
    <w:rPr>
      <w:bCs w:val="0"/>
      <w:sz w:val="24"/>
    </w:rPr>
  </w:style>
  <w:style w:type="paragraph" w:customStyle="1" w:styleId="27">
    <w:name w:val="XBRLTitle5"/>
    <w:basedOn w:val="11"/>
    <w:next w:val="4"/>
    <w:qFormat/>
    <w:uiPriority w:val="0"/>
    <w:pPr>
      <w:keepNext/>
      <w:keepLines/>
      <w:numPr>
        <w:ilvl w:val="4"/>
        <w:numId w:val="1"/>
      </w:numPr>
      <w:ind w:left="0" w:firstLine="0"/>
      <w:jc w:val="left"/>
    </w:pPr>
    <w:rPr>
      <w:bCs w:val="0"/>
      <w:sz w:val="24"/>
    </w:rPr>
  </w:style>
  <w:style w:type="paragraph" w:customStyle="1" w:styleId="28">
    <w:name w:val="XBRLTitle4"/>
    <w:basedOn w:val="11"/>
    <w:next w:val="4"/>
    <w:qFormat/>
    <w:uiPriority w:val="0"/>
    <w:pPr>
      <w:keepNext/>
      <w:keepLines/>
      <w:numPr>
        <w:ilvl w:val="3"/>
        <w:numId w:val="1"/>
      </w:numPr>
      <w:ind w:left="0" w:firstLine="0"/>
      <w:jc w:val="left"/>
    </w:pPr>
    <w:rPr>
      <w:bCs w:val="0"/>
      <w:sz w:val="24"/>
    </w:rPr>
  </w:style>
  <w:style w:type="character" w:customStyle="1" w:styleId="29">
    <w:name w:val="副标题 Char1"/>
    <w:qFormat/>
    <w:uiPriority w:val="0"/>
    <w:rPr>
      <w:rFonts w:ascii="Cambria" w:hAnsi="Cambria"/>
      <w:b/>
      <w:kern w:val="28"/>
      <w:sz w:val="24"/>
      <w:szCs w:val="32"/>
    </w:rPr>
  </w:style>
  <w:style w:type="character" w:customStyle="1" w:styleId="30">
    <w:name w:val="txtcontent11"/>
    <w:qFormat/>
    <w:uiPriority w:val="0"/>
    <w:rPr>
      <w:rFonts w:hint="default" w:ascii="ˎ̥" w:hAnsi="ˎ̥"/>
      <w:color w:val="000000"/>
      <w:sz w:val="21"/>
      <w:szCs w:val="21"/>
    </w:rPr>
  </w:style>
  <w:style w:type="character" w:customStyle="1" w:styleId="31">
    <w:name w:val="批注文字 Char"/>
    <w:link w:val="6"/>
    <w:qFormat/>
    <w:uiPriority w:val="0"/>
    <w:rPr>
      <w:kern w:val="2"/>
      <w:sz w:val="21"/>
      <w:szCs w:val="22"/>
    </w:rPr>
  </w:style>
  <w:style w:type="character" w:customStyle="1" w:styleId="32">
    <w:name w:val="批注主题 Char"/>
    <w:link w:val="13"/>
    <w:semiHidden/>
    <w:qFormat/>
    <w:uiPriority w:val="99"/>
    <w:rPr>
      <w:b/>
      <w:bCs/>
      <w:kern w:val="2"/>
      <w:sz w:val="21"/>
      <w:szCs w:val="22"/>
    </w:rPr>
  </w:style>
  <w:style w:type="character" w:customStyle="1" w:styleId="33">
    <w:name w:val="页眉 Char"/>
    <w:link w:val="9"/>
    <w:qFormat/>
    <w:uiPriority w:val="99"/>
    <w:rPr>
      <w:sz w:val="18"/>
      <w:szCs w:val="18"/>
    </w:rPr>
  </w:style>
  <w:style w:type="character" w:customStyle="1" w:styleId="34">
    <w:name w:val="副标题 Char"/>
    <w:link w:val="11"/>
    <w:qFormat/>
    <w:uiPriority w:val="0"/>
    <w:rPr>
      <w:rFonts w:ascii="Cambria" w:hAnsi="Cambria" w:cs="Times New Roman"/>
      <w:b/>
      <w:bCs/>
      <w:kern w:val="28"/>
      <w:sz w:val="32"/>
      <w:szCs w:val="32"/>
    </w:rPr>
  </w:style>
  <w:style w:type="character" w:customStyle="1" w:styleId="35">
    <w:name w:val="文档结构图 Char"/>
    <w:link w:val="5"/>
    <w:semiHidden/>
    <w:qFormat/>
    <w:uiPriority w:val="99"/>
    <w:rPr>
      <w:rFonts w:ascii="宋体"/>
      <w:kern w:val="2"/>
      <w:sz w:val="18"/>
      <w:szCs w:val="18"/>
    </w:rPr>
  </w:style>
  <w:style w:type="character" w:customStyle="1" w:styleId="36">
    <w:name w:val="页脚 Char"/>
    <w:link w:val="8"/>
    <w:qFormat/>
    <w:uiPriority w:val="99"/>
    <w:rPr>
      <w:sz w:val="18"/>
      <w:szCs w:val="18"/>
    </w:rPr>
  </w:style>
  <w:style w:type="character" w:customStyle="1" w:styleId="37">
    <w:name w:val="标题 2 Char"/>
    <w:link w:val="3"/>
    <w:semiHidden/>
    <w:qFormat/>
    <w:uiPriority w:val="9"/>
    <w:rPr>
      <w:rFonts w:ascii="Cambria" w:hAnsi="Cambria" w:eastAsia="宋体" w:cs="Times New Roman"/>
      <w:b/>
      <w:bCs/>
      <w:kern w:val="2"/>
      <w:sz w:val="32"/>
      <w:szCs w:val="32"/>
    </w:rPr>
  </w:style>
  <w:style w:type="character" w:customStyle="1" w:styleId="38">
    <w:name w:val="标题 4 Char"/>
    <w:link w:val="4"/>
    <w:semiHidden/>
    <w:qFormat/>
    <w:uiPriority w:val="9"/>
    <w:rPr>
      <w:rFonts w:ascii="Cambria" w:hAnsi="Cambria" w:eastAsia="宋体" w:cs="Times New Roman"/>
      <w:b/>
      <w:bCs/>
      <w:kern w:val="2"/>
      <w:sz w:val="28"/>
      <w:szCs w:val="28"/>
    </w:rPr>
  </w:style>
  <w:style w:type="character" w:customStyle="1" w:styleId="39">
    <w:name w:val="标题 1 Char"/>
    <w:link w:val="2"/>
    <w:qFormat/>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172</Pages>
  <Words>17341</Words>
  <Characters>98847</Characters>
  <Lines>823</Lines>
  <Paragraphs>231</Paragraphs>
  <TotalTime>0</TotalTime>
  <ScaleCrop>false</ScaleCrop>
  <LinksUpToDate>false</LinksUpToDate>
  <CharactersWithSpaces>115957</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2025-12-18T05:22:00Z</dcterms:created>
  <dc:creator>系统用户</dc:creator>
  <cp:lastModifiedBy>刘晨晨</cp:lastModifiedBy>
  <cp:lastPrinted>2013-02-18T03:10:00Z</cp:lastPrinted>
  <dcterms:modified xsi:type="dcterms:W3CDTF">2026-03-02T01:48:23Z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5B5ECB4D1A8C49569FFB0D9F24018FF6</vt:lpwstr>
  </property>
</Properties>
</file>