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76A3D" w14:textId="77777777" w:rsidR="001D6314" w:rsidRDefault="001D6314">
      <w:pPr>
        <w:rPr>
          <w:sz w:val="32"/>
        </w:rPr>
      </w:pPr>
    </w:p>
    <w:p w14:paraId="00536EFF" w14:textId="77777777" w:rsidR="001D6314" w:rsidRDefault="001D6314">
      <w:pPr>
        <w:rPr>
          <w:sz w:val="32"/>
        </w:rPr>
      </w:pPr>
    </w:p>
    <w:p w14:paraId="1BD5CF08" w14:textId="77777777" w:rsidR="001D6314" w:rsidRDefault="001D6314">
      <w:pPr>
        <w:rPr>
          <w:sz w:val="32"/>
        </w:rPr>
      </w:pPr>
    </w:p>
    <w:p w14:paraId="747427B1" w14:textId="32E1D9FF" w:rsidR="001D6314" w:rsidRDefault="005643F0">
      <w:pPr>
        <w:jc w:val="center"/>
        <w:rPr>
          <w:sz w:val="32"/>
        </w:rPr>
      </w:pPr>
      <w:r>
        <w:rPr>
          <w:noProof/>
        </w:rPr>
        <w:drawing>
          <wp:inline distT="0" distB="0" distL="0" distR="0" wp14:anchorId="5016B601" wp14:editId="00D628A4">
            <wp:extent cx="4343400" cy="575945"/>
            <wp:effectExtent l="0" t="0" r="0" b="0"/>
            <wp:docPr id="7"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575945"/>
                    </a:xfrm>
                    <a:prstGeom prst="rect">
                      <a:avLst/>
                    </a:prstGeom>
                    <a:noFill/>
                    <a:ln>
                      <a:noFill/>
                    </a:ln>
                  </pic:spPr>
                </pic:pic>
              </a:graphicData>
            </a:graphic>
          </wp:inline>
        </w:drawing>
      </w:r>
    </w:p>
    <w:p w14:paraId="4F846598" w14:textId="77777777" w:rsidR="001D6314" w:rsidRDefault="001D6314">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253A4F36" w14:textId="77777777" w:rsidR="001D6314" w:rsidRDefault="001D6314">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48FDA009" w14:textId="77777777" w:rsidR="001D6314" w:rsidRDefault="00130266">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交银施罗德中证红利低波动</w:t>
      </w:r>
      <w:r>
        <w:rPr>
          <w:rFonts w:ascii="Times New Roman" w:hAnsi="Times New Roman"/>
          <w:b/>
          <w:spacing w:val="2"/>
          <w:w w:val="99"/>
          <w:kern w:val="0"/>
          <w:position w:val="-4"/>
          <w:sz w:val="44"/>
          <w:szCs w:val="44"/>
        </w:rPr>
        <w:t>100</w:t>
      </w:r>
      <w:r>
        <w:rPr>
          <w:rFonts w:ascii="Times New Roman" w:hAnsi="Times New Roman"/>
          <w:b/>
          <w:spacing w:val="2"/>
          <w:w w:val="99"/>
          <w:kern w:val="0"/>
          <w:position w:val="-4"/>
          <w:sz w:val="44"/>
          <w:szCs w:val="44"/>
        </w:rPr>
        <w:t>指数型证券投资基金</w:t>
      </w:r>
    </w:p>
    <w:p w14:paraId="44F155CE" w14:textId="77777777" w:rsidR="001D6314" w:rsidRDefault="00130266">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招募说明书(更新)</w:t>
      </w:r>
    </w:p>
    <w:p w14:paraId="7975A62F" w14:textId="77777777" w:rsidR="001D6314" w:rsidRDefault="001D6314">
      <w:pPr>
        <w:snapToGrid w:val="0"/>
        <w:spacing w:line="360" w:lineRule="auto"/>
        <w:jc w:val="center"/>
        <w:rPr>
          <w:rFonts w:ascii="宋体" w:hAnsi="宋体"/>
          <w:b/>
          <w:sz w:val="30"/>
          <w:szCs w:val="30"/>
        </w:rPr>
      </w:pPr>
    </w:p>
    <w:p w14:paraId="31755DEC" w14:textId="77777777" w:rsidR="001D6314" w:rsidRDefault="001D6314">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7EA10285" w14:textId="77777777" w:rsidR="001D6314" w:rsidRDefault="001D6314">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01EA95B7" w14:textId="77777777" w:rsidR="001D6314" w:rsidRDefault="001D6314">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F7E4874" w14:textId="77777777" w:rsidR="001D6314" w:rsidRDefault="001D6314">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AAE3BBF" w14:textId="77777777" w:rsidR="001D6314" w:rsidRDefault="001D6314">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936E24F" w14:textId="77777777" w:rsidR="001D6314" w:rsidRDefault="001D6314">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994B4F5" w14:textId="77777777" w:rsidR="001D6314" w:rsidRDefault="00130266">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14:paraId="08EF070E" w14:textId="77777777" w:rsidR="001D6314" w:rsidRDefault="00130266">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基金托管人：中国农业银行股份有限公司</w:t>
      </w:r>
    </w:p>
    <w:p w14:paraId="54EE54B7" w14:textId="77777777" w:rsidR="001D6314" w:rsidRDefault="001D6314">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5634C5E6" w14:textId="77777777" w:rsidR="001D6314" w:rsidRDefault="001D6314">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198E517" w14:textId="241E1685" w:rsidR="001D6314" w:rsidRDefault="00130266">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w:t>
      </w:r>
      <w:r>
        <w:rPr>
          <w:rFonts w:ascii="Times New Roman" w:hAnsi="Times New Roman" w:hint="eastAsia"/>
          <w:b/>
          <w:spacing w:val="2"/>
          <w:w w:val="99"/>
          <w:kern w:val="0"/>
          <w:sz w:val="28"/>
          <w:szCs w:val="32"/>
        </w:rPr>
        <w:t>六</w:t>
      </w:r>
      <w:r>
        <w:rPr>
          <w:rFonts w:ascii="Times New Roman" w:hAnsi="Times New Roman"/>
          <w:b/>
          <w:spacing w:val="2"/>
          <w:w w:val="99"/>
          <w:kern w:val="0"/>
          <w:sz w:val="28"/>
          <w:szCs w:val="32"/>
        </w:rPr>
        <w:t>年二月</w:t>
      </w:r>
    </w:p>
    <w:p w14:paraId="215B20E5" w14:textId="77777777" w:rsidR="001D6314" w:rsidRDefault="001D6314">
      <w:pPr>
        <w:autoSpaceDE w:val="0"/>
        <w:autoSpaceDN w:val="0"/>
        <w:adjustRightInd w:val="0"/>
        <w:snapToGrid w:val="0"/>
        <w:spacing w:line="360" w:lineRule="auto"/>
        <w:ind w:left="1347" w:rightChars="6" w:right="13"/>
        <w:rPr>
          <w:rFonts w:ascii="宋体" w:hAnsi="宋体"/>
          <w:kern w:val="0"/>
          <w:sz w:val="32"/>
          <w:szCs w:val="32"/>
        </w:rPr>
        <w:sectPr w:rsidR="001D6314">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14:paraId="4009A8F0" w14:textId="77777777" w:rsidR="001D6314" w:rsidRDefault="00130266">
      <w:pPr>
        <w:pStyle w:val="1"/>
        <w:snapToGrid w:val="0"/>
        <w:spacing w:beforeLines="0" w:before="240" w:after="240"/>
        <w:rPr>
          <w:rFonts w:ascii="宋体" w:hAnsi="宋体"/>
          <w:kern w:val="0"/>
        </w:rPr>
      </w:pPr>
      <w:bookmarkStart w:id="0" w:name="_Toc324920538"/>
      <w:bookmarkStart w:id="1" w:name="_Toc496884613"/>
      <w:bookmarkStart w:id="2" w:name="_Toc216871995"/>
      <w:r>
        <w:rPr>
          <w:rFonts w:ascii="Times New Roman" w:hAnsi="Times New Roman"/>
          <w:kern w:val="0"/>
        </w:rPr>
        <w:lastRenderedPageBreak/>
        <w:t>重要提示</w:t>
      </w:r>
      <w:bookmarkEnd w:id="0"/>
      <w:bookmarkEnd w:id="1"/>
      <w:bookmarkEnd w:id="2"/>
    </w:p>
    <w:p w14:paraId="4DA2DE6C"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交银施罗德中证红利低波动</w:t>
      </w:r>
      <w:r>
        <w:rPr>
          <w:rFonts w:ascii="Times New Roman" w:hAnsi="Times New Roman"/>
          <w:kern w:val="0"/>
          <w:sz w:val="24"/>
        </w:rPr>
        <w:t>100</w:t>
      </w:r>
      <w:r>
        <w:rPr>
          <w:rFonts w:ascii="Times New Roman" w:hAnsi="Times New Roman"/>
          <w:kern w:val="0"/>
          <w:sz w:val="24"/>
        </w:rPr>
        <w:t>指数型证券投资基金（以下简称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2023</w:t>
      </w:r>
      <w:r>
        <w:rPr>
          <w:rFonts w:ascii="Times New Roman" w:hAnsi="Times New Roman"/>
          <w:kern w:val="0"/>
          <w:sz w:val="24"/>
        </w:rPr>
        <w:t>年</w:t>
      </w:r>
      <w:r>
        <w:rPr>
          <w:rFonts w:ascii="Times New Roman" w:hAnsi="Times New Roman"/>
          <w:kern w:val="0"/>
          <w:sz w:val="24"/>
        </w:rPr>
        <w:t>11</w:t>
      </w:r>
      <w:r>
        <w:rPr>
          <w:rFonts w:ascii="Times New Roman" w:hAnsi="Times New Roman"/>
          <w:kern w:val="0"/>
          <w:sz w:val="24"/>
        </w:rPr>
        <w:t>月</w:t>
      </w:r>
      <w:r>
        <w:rPr>
          <w:rFonts w:ascii="Times New Roman" w:hAnsi="Times New Roman"/>
          <w:kern w:val="0"/>
          <w:sz w:val="24"/>
        </w:rPr>
        <w:t>9</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2023</w:t>
      </w:r>
      <w:r>
        <w:rPr>
          <w:rFonts w:ascii="Times New Roman" w:hAnsi="Times New Roman"/>
          <w:kern w:val="0"/>
          <w:sz w:val="24"/>
        </w:rPr>
        <w:t>】</w:t>
      </w:r>
      <w:r>
        <w:rPr>
          <w:rFonts w:ascii="Times New Roman" w:hAnsi="Times New Roman"/>
          <w:kern w:val="0"/>
          <w:sz w:val="24"/>
        </w:rPr>
        <w:t>2549</w:t>
      </w:r>
      <w:r>
        <w:rPr>
          <w:rFonts w:ascii="Times New Roman" w:hAnsi="Times New Roman"/>
          <w:kern w:val="0"/>
          <w:sz w:val="24"/>
        </w:rPr>
        <w:t>号文准予募集注册。本</w:t>
      </w:r>
      <w:proofErr w:type="gramStart"/>
      <w:r>
        <w:rPr>
          <w:rFonts w:ascii="Times New Roman" w:hAnsi="Times New Roman"/>
          <w:kern w:val="0"/>
          <w:sz w:val="24"/>
        </w:rPr>
        <w:t>基金基金</w:t>
      </w:r>
      <w:proofErr w:type="gramEnd"/>
      <w:r>
        <w:rPr>
          <w:rFonts w:ascii="Times New Roman" w:hAnsi="Times New Roman"/>
          <w:kern w:val="0"/>
          <w:sz w:val="24"/>
        </w:rPr>
        <w:t>合同于</w:t>
      </w:r>
      <w:r>
        <w:rPr>
          <w:rFonts w:ascii="Times New Roman" w:hAnsi="Times New Roman"/>
          <w:kern w:val="0"/>
          <w:sz w:val="24"/>
        </w:rPr>
        <w:t>2024</w:t>
      </w:r>
      <w:r>
        <w:rPr>
          <w:rFonts w:ascii="Times New Roman" w:hAnsi="Times New Roman"/>
          <w:kern w:val="0"/>
          <w:sz w:val="24"/>
        </w:rPr>
        <w:t>年</w:t>
      </w:r>
      <w:r>
        <w:rPr>
          <w:rFonts w:ascii="Times New Roman" w:hAnsi="Times New Roman"/>
          <w:kern w:val="0"/>
          <w:sz w:val="24"/>
        </w:rPr>
        <w:t>3</w:t>
      </w:r>
      <w:r>
        <w:rPr>
          <w:rFonts w:ascii="Times New Roman" w:hAnsi="Times New Roman"/>
          <w:kern w:val="0"/>
          <w:sz w:val="24"/>
        </w:rPr>
        <w:t>月</w:t>
      </w:r>
      <w:r>
        <w:rPr>
          <w:rFonts w:ascii="Times New Roman" w:hAnsi="Times New Roman"/>
          <w:kern w:val="0"/>
          <w:sz w:val="24"/>
        </w:rPr>
        <w:t>15</w:t>
      </w:r>
      <w:r>
        <w:rPr>
          <w:rFonts w:ascii="Times New Roman" w:hAnsi="Times New Roman"/>
          <w:kern w:val="0"/>
          <w:sz w:val="24"/>
        </w:rPr>
        <w:t>日正式生效。</w:t>
      </w:r>
    </w:p>
    <w:p w14:paraId="7C3BA9E6"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w:t>
      </w:r>
      <w:proofErr w:type="gramStart"/>
      <w:r>
        <w:rPr>
          <w:rFonts w:ascii="Times New Roman" w:hAnsi="Times New Roman"/>
          <w:kern w:val="0"/>
          <w:sz w:val="24"/>
        </w:rPr>
        <w:t>作出</w:t>
      </w:r>
      <w:proofErr w:type="gramEnd"/>
      <w:r>
        <w:rPr>
          <w:rFonts w:ascii="Times New Roman" w:hAnsi="Times New Roman"/>
          <w:kern w:val="0"/>
          <w:sz w:val="24"/>
        </w:rPr>
        <w:t>实质性判断或保证，也不表明投资于本基金没有风险。</w:t>
      </w:r>
    </w:p>
    <w:p w14:paraId="17F1E680"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14:paraId="36247F69"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Pr>
          <w:rFonts w:ascii="Times New Roman" w:hAnsi="Times New Roman"/>
          <w:kern w:val="0"/>
          <w:sz w:val="24"/>
        </w:rPr>
        <w:t>作出</w:t>
      </w:r>
      <w:proofErr w:type="gramEnd"/>
      <w:r>
        <w:rPr>
          <w:rFonts w:ascii="Times New Roman" w:hAnsi="Times New Roman"/>
          <w:kern w:val="0"/>
          <w:sz w:val="24"/>
        </w:rPr>
        <w:t>独立决策。投资人根据所持有基金份额享受基金的收益，但同时也需承担相应的投资风险。投资本基金可能遇到的风险包括：因受到经济因素、政治因素、投资心理和交易制度等各种因素的影响而引起的市场风险；基金管理人在基金管理运作过程中产生的基金管理风险；流动性风险（包括实施</w:t>
      </w:r>
      <w:proofErr w:type="gramStart"/>
      <w:r>
        <w:rPr>
          <w:rFonts w:ascii="Times New Roman" w:hAnsi="Times New Roman"/>
          <w:kern w:val="0"/>
          <w:sz w:val="24"/>
        </w:rPr>
        <w:t>侧袋机制</w:t>
      </w:r>
      <w:proofErr w:type="gramEnd"/>
      <w:r>
        <w:rPr>
          <w:rFonts w:ascii="Times New Roman" w:hAnsi="Times New Roman"/>
          <w:kern w:val="0"/>
          <w:sz w:val="24"/>
        </w:rPr>
        <w:t>时的特定风险）；信用风险；本基金的特有风险；投资股指期货的特定风险；投资资产支持证券的特定风险；投资流通受限证券的特定风险；投资存托凭证的特定风险；投资</w:t>
      </w:r>
      <w:proofErr w:type="gramStart"/>
      <w:r>
        <w:rPr>
          <w:rFonts w:ascii="Times New Roman" w:hAnsi="Times New Roman"/>
          <w:kern w:val="0"/>
          <w:sz w:val="24"/>
        </w:rPr>
        <w:t>科创板股票</w:t>
      </w:r>
      <w:proofErr w:type="gramEnd"/>
      <w:r>
        <w:rPr>
          <w:rFonts w:ascii="Times New Roman" w:hAnsi="Times New Roman"/>
          <w:kern w:val="0"/>
          <w:sz w:val="24"/>
        </w:rPr>
        <w:t>的特定风险；本基金法律文件风险收益特征表述与销售机构基金风险评价可能不一致的风险；投资本基金的其他风险等等。</w:t>
      </w:r>
    </w:p>
    <w:p w14:paraId="3138C0DA"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本基金是一只股票型基金，其预期风险和预期收益理论上高于混合型基金、债券型基金和货币市场基金。</w:t>
      </w:r>
    </w:p>
    <w:p w14:paraId="694B3FA3"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本基金为指数型基金，主要采用完全复制法跟踪中证红利低波动</w:t>
      </w:r>
      <w:r>
        <w:rPr>
          <w:rFonts w:ascii="Times New Roman" w:hAnsi="Times New Roman"/>
          <w:kern w:val="0"/>
          <w:sz w:val="24"/>
        </w:rPr>
        <w:t>100</w:t>
      </w:r>
      <w:r>
        <w:rPr>
          <w:rFonts w:ascii="Times New Roman" w:hAnsi="Times New Roman"/>
          <w:kern w:val="0"/>
          <w:sz w:val="24"/>
        </w:rPr>
        <w:t>指数，具有与标的指数相似的风险收益特征。</w:t>
      </w:r>
    </w:p>
    <w:p w14:paraId="06D54542"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本基金为指数基金，投资者投资于本基金面临跟踪误差控制未达约定目标、指数编制机构停止服务、成份</w:t>
      </w:r>
      <w:proofErr w:type="gramStart"/>
      <w:r>
        <w:rPr>
          <w:rFonts w:ascii="Times New Roman" w:hAnsi="Times New Roman"/>
          <w:kern w:val="0"/>
          <w:sz w:val="24"/>
        </w:rPr>
        <w:t>券</w:t>
      </w:r>
      <w:proofErr w:type="gramEnd"/>
      <w:r>
        <w:rPr>
          <w:rFonts w:ascii="Times New Roman" w:hAnsi="Times New Roman"/>
          <w:kern w:val="0"/>
          <w:sz w:val="24"/>
        </w:rPr>
        <w:t>停牌等潜在风险。</w:t>
      </w:r>
    </w:p>
    <w:p w14:paraId="3ECE9DD0"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本基金标的指数为中证红利低波动</w:t>
      </w:r>
      <w:r>
        <w:rPr>
          <w:rFonts w:ascii="Times New Roman" w:hAnsi="Times New Roman"/>
          <w:kern w:val="0"/>
          <w:sz w:val="24"/>
        </w:rPr>
        <w:t>100</w:t>
      </w:r>
      <w:r>
        <w:rPr>
          <w:rFonts w:ascii="Times New Roman" w:hAnsi="Times New Roman"/>
          <w:kern w:val="0"/>
          <w:sz w:val="24"/>
        </w:rPr>
        <w:t>指数。</w:t>
      </w:r>
    </w:p>
    <w:p w14:paraId="17890E2E"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1</w:t>
      </w:r>
      <w:r>
        <w:rPr>
          <w:rFonts w:ascii="Times New Roman" w:hAnsi="Times New Roman"/>
          <w:kern w:val="0"/>
          <w:sz w:val="24"/>
        </w:rPr>
        <w:t>、选样空间</w:t>
      </w:r>
    </w:p>
    <w:p w14:paraId="7FF1B779"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lastRenderedPageBreak/>
        <w:t>同</w:t>
      </w:r>
      <w:proofErr w:type="gramStart"/>
      <w:r>
        <w:rPr>
          <w:rFonts w:ascii="Times New Roman" w:hAnsi="Times New Roman"/>
          <w:kern w:val="0"/>
          <w:sz w:val="24"/>
        </w:rPr>
        <w:t>中证全指</w:t>
      </w:r>
      <w:proofErr w:type="gramEnd"/>
      <w:r>
        <w:rPr>
          <w:rFonts w:ascii="Times New Roman" w:hAnsi="Times New Roman"/>
          <w:kern w:val="0"/>
          <w:sz w:val="24"/>
        </w:rPr>
        <w:t>指数的样本空间</w:t>
      </w:r>
    </w:p>
    <w:p w14:paraId="7718A912"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2</w:t>
      </w:r>
      <w:r>
        <w:rPr>
          <w:rFonts w:ascii="Times New Roman" w:hAnsi="Times New Roman"/>
          <w:kern w:val="0"/>
          <w:sz w:val="24"/>
        </w:rPr>
        <w:t>、选样方法</w:t>
      </w:r>
    </w:p>
    <w:p w14:paraId="081B0B28"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w:t>
      </w:r>
      <w:r>
        <w:rPr>
          <w:rFonts w:ascii="Times New Roman" w:hAnsi="Times New Roman"/>
          <w:kern w:val="0"/>
          <w:sz w:val="24"/>
        </w:rPr>
        <w:t>1</w:t>
      </w:r>
      <w:r>
        <w:rPr>
          <w:rFonts w:ascii="Times New Roman" w:hAnsi="Times New Roman"/>
          <w:kern w:val="0"/>
          <w:sz w:val="24"/>
        </w:rPr>
        <w:t>）对样本空间内证券按照过去一年的日均成交金额由高到低排名，剔除排名后</w:t>
      </w:r>
      <w:r>
        <w:rPr>
          <w:rFonts w:ascii="Times New Roman" w:hAnsi="Times New Roman"/>
          <w:kern w:val="0"/>
          <w:sz w:val="24"/>
        </w:rPr>
        <w:t>20%</w:t>
      </w:r>
      <w:r>
        <w:rPr>
          <w:rFonts w:ascii="Times New Roman" w:hAnsi="Times New Roman"/>
          <w:kern w:val="0"/>
          <w:sz w:val="24"/>
        </w:rPr>
        <w:t>的证券；</w:t>
      </w:r>
    </w:p>
    <w:p w14:paraId="1087BB80"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w:t>
      </w:r>
      <w:r>
        <w:rPr>
          <w:rFonts w:ascii="Times New Roman" w:hAnsi="Times New Roman"/>
          <w:kern w:val="0"/>
          <w:sz w:val="24"/>
        </w:rPr>
        <w:t>2</w:t>
      </w:r>
      <w:r>
        <w:rPr>
          <w:rFonts w:ascii="Times New Roman" w:hAnsi="Times New Roman"/>
          <w:kern w:val="0"/>
          <w:sz w:val="24"/>
        </w:rPr>
        <w:t>）选取过去三年连续现金分红且每年现金股息率均大于</w:t>
      </w:r>
      <w:r>
        <w:rPr>
          <w:rFonts w:ascii="Times New Roman" w:hAnsi="Times New Roman"/>
          <w:kern w:val="0"/>
          <w:sz w:val="24"/>
        </w:rPr>
        <w:t>0</w:t>
      </w:r>
      <w:r>
        <w:rPr>
          <w:rFonts w:ascii="Times New Roman" w:hAnsi="Times New Roman"/>
          <w:kern w:val="0"/>
          <w:sz w:val="24"/>
        </w:rPr>
        <w:t>的证券；</w:t>
      </w:r>
    </w:p>
    <w:p w14:paraId="4230D94B"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w:t>
      </w:r>
      <w:r>
        <w:rPr>
          <w:rFonts w:ascii="Times New Roman" w:hAnsi="Times New Roman"/>
          <w:kern w:val="0"/>
          <w:sz w:val="24"/>
        </w:rPr>
        <w:t>3</w:t>
      </w:r>
      <w:r>
        <w:rPr>
          <w:rFonts w:ascii="Times New Roman" w:hAnsi="Times New Roman"/>
          <w:kern w:val="0"/>
          <w:sz w:val="24"/>
        </w:rPr>
        <w:t>）对（</w:t>
      </w:r>
      <w:r>
        <w:rPr>
          <w:rFonts w:ascii="Times New Roman" w:hAnsi="Times New Roman"/>
          <w:kern w:val="0"/>
          <w:sz w:val="24"/>
        </w:rPr>
        <w:t>2</w:t>
      </w:r>
      <w:r>
        <w:rPr>
          <w:rFonts w:ascii="Times New Roman" w:hAnsi="Times New Roman"/>
          <w:kern w:val="0"/>
          <w:sz w:val="24"/>
        </w:rPr>
        <w:t>）中剩余证券，计算每只证券的股息率和过去一年波动率，其中股息率的计算方法如下：</w:t>
      </w:r>
    </w:p>
    <w:p w14:paraId="670CEA23" w14:textId="56C74BED" w:rsidR="001D6314" w:rsidRDefault="005643F0">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noProof/>
          <w:kern w:val="0"/>
          <w:sz w:val="24"/>
        </w:rPr>
        <w:drawing>
          <wp:inline distT="0" distB="0" distL="0" distR="0" wp14:anchorId="628A4BB1" wp14:editId="052AD202">
            <wp:extent cx="3505200" cy="533400"/>
            <wp:effectExtent l="0" t="0" r="0" b="0"/>
            <wp:docPr id="6"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533400"/>
                    </a:xfrm>
                    <a:prstGeom prst="rect">
                      <a:avLst/>
                    </a:prstGeom>
                    <a:noFill/>
                    <a:ln>
                      <a:noFill/>
                    </a:ln>
                  </pic:spPr>
                </pic:pic>
              </a:graphicData>
            </a:graphic>
          </wp:inline>
        </w:drawing>
      </w:r>
    </w:p>
    <w:p w14:paraId="42E39C94"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w:t>
      </w:r>
      <w:r>
        <w:rPr>
          <w:rFonts w:ascii="Times New Roman" w:hAnsi="Times New Roman"/>
          <w:kern w:val="0"/>
          <w:sz w:val="24"/>
        </w:rPr>
        <w:t>4</w:t>
      </w:r>
      <w:r>
        <w:rPr>
          <w:rFonts w:ascii="Times New Roman" w:hAnsi="Times New Roman"/>
          <w:kern w:val="0"/>
          <w:sz w:val="24"/>
        </w:rPr>
        <w:t>）对（</w:t>
      </w:r>
      <w:r>
        <w:rPr>
          <w:rFonts w:ascii="Times New Roman" w:hAnsi="Times New Roman"/>
          <w:kern w:val="0"/>
          <w:sz w:val="24"/>
        </w:rPr>
        <w:t>3</w:t>
      </w:r>
      <w:r>
        <w:rPr>
          <w:rFonts w:ascii="Times New Roman" w:hAnsi="Times New Roman"/>
          <w:kern w:val="0"/>
          <w:sz w:val="24"/>
        </w:rPr>
        <w:t>）中证券，首先按照股息率进行降序排名，选取排名靠前的</w:t>
      </w:r>
      <w:r>
        <w:rPr>
          <w:rFonts w:ascii="Times New Roman" w:hAnsi="Times New Roman"/>
          <w:kern w:val="0"/>
          <w:sz w:val="24"/>
        </w:rPr>
        <w:t>300</w:t>
      </w:r>
      <w:r>
        <w:rPr>
          <w:rFonts w:ascii="Times New Roman" w:hAnsi="Times New Roman"/>
          <w:kern w:val="0"/>
          <w:sz w:val="24"/>
        </w:rPr>
        <w:t>只证券；再根据过去一年波动率升序排名，选取排名靠前的</w:t>
      </w:r>
      <w:r>
        <w:rPr>
          <w:rFonts w:ascii="Times New Roman" w:hAnsi="Times New Roman"/>
          <w:kern w:val="0"/>
          <w:sz w:val="24"/>
        </w:rPr>
        <w:t>100</w:t>
      </w:r>
      <w:r>
        <w:rPr>
          <w:rFonts w:ascii="Times New Roman" w:hAnsi="Times New Roman"/>
          <w:kern w:val="0"/>
          <w:sz w:val="24"/>
        </w:rPr>
        <w:t>只证券作为指数样本。</w:t>
      </w:r>
    </w:p>
    <w:p w14:paraId="30FABA80"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3</w:t>
      </w:r>
      <w:r>
        <w:rPr>
          <w:rFonts w:ascii="Times New Roman" w:hAnsi="Times New Roman"/>
          <w:kern w:val="0"/>
          <w:sz w:val="24"/>
        </w:rPr>
        <w:t>、指数计算</w:t>
      </w:r>
    </w:p>
    <w:p w14:paraId="1DD18716"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指数计算公式为：</w:t>
      </w:r>
    </w:p>
    <w:p w14:paraId="0A380E85" w14:textId="2CEE28EA" w:rsidR="001D6314" w:rsidRDefault="005643F0">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noProof/>
          <w:kern w:val="0"/>
          <w:sz w:val="24"/>
        </w:rPr>
        <w:drawing>
          <wp:inline distT="0" distB="0" distL="0" distR="0" wp14:anchorId="560FE30C" wp14:editId="2EB9E760">
            <wp:extent cx="3970655" cy="533400"/>
            <wp:effectExtent l="0" t="0" r="0" b="0"/>
            <wp:docPr id="3"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0655" cy="533400"/>
                    </a:xfrm>
                    <a:prstGeom prst="rect">
                      <a:avLst/>
                    </a:prstGeom>
                    <a:noFill/>
                    <a:ln>
                      <a:noFill/>
                    </a:ln>
                  </pic:spPr>
                </pic:pic>
              </a:graphicData>
            </a:graphic>
          </wp:inline>
        </w:drawing>
      </w:r>
    </w:p>
    <w:p w14:paraId="45128B19"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其中，调整市值＝</w:t>
      </w:r>
      <w:r>
        <w:rPr>
          <w:rFonts w:ascii="Times New Roman" w:hAnsi="Times New Roman"/>
          <w:kern w:val="0"/>
          <w:sz w:val="24"/>
        </w:rPr>
        <w:t>∑(</w:t>
      </w:r>
      <w:r>
        <w:rPr>
          <w:rFonts w:ascii="Times New Roman" w:hAnsi="Times New Roman"/>
          <w:kern w:val="0"/>
          <w:sz w:val="24"/>
        </w:rPr>
        <w:t>证券价格</w:t>
      </w:r>
      <w:r>
        <w:rPr>
          <w:rFonts w:ascii="Times New Roman" w:hAnsi="Times New Roman"/>
          <w:kern w:val="0"/>
          <w:sz w:val="24"/>
        </w:rPr>
        <w:t>×</w:t>
      </w:r>
      <w:r>
        <w:rPr>
          <w:rFonts w:ascii="Times New Roman" w:hAnsi="Times New Roman"/>
          <w:kern w:val="0"/>
          <w:sz w:val="24"/>
        </w:rPr>
        <w:t>调整股本数</w:t>
      </w:r>
      <w:r>
        <w:rPr>
          <w:rFonts w:ascii="Times New Roman" w:hAnsi="Times New Roman"/>
          <w:kern w:val="0"/>
          <w:sz w:val="24"/>
        </w:rPr>
        <w:t>×</w:t>
      </w:r>
      <w:r>
        <w:rPr>
          <w:rFonts w:ascii="Times New Roman" w:hAnsi="Times New Roman"/>
          <w:kern w:val="0"/>
          <w:sz w:val="24"/>
        </w:rPr>
        <w:t>权重因子</w:t>
      </w:r>
      <w:r>
        <w:rPr>
          <w:rFonts w:ascii="Times New Roman" w:hAnsi="Times New Roman"/>
          <w:kern w:val="0"/>
          <w:sz w:val="24"/>
        </w:rPr>
        <w:t>)</w:t>
      </w:r>
      <w:r>
        <w:rPr>
          <w:rFonts w:ascii="Times New Roman" w:hAnsi="Times New Roman"/>
          <w:kern w:val="0"/>
          <w:sz w:val="24"/>
        </w:rPr>
        <w:t>。调整股本数的计算方法、除数修正方法参见计算与维护细则。权重因子介于</w:t>
      </w:r>
      <w:r>
        <w:rPr>
          <w:rFonts w:ascii="Times New Roman" w:hAnsi="Times New Roman"/>
          <w:kern w:val="0"/>
          <w:sz w:val="24"/>
        </w:rPr>
        <w:t xml:space="preserve"> 0 </w:t>
      </w:r>
      <w:r>
        <w:rPr>
          <w:rFonts w:ascii="Times New Roman" w:hAnsi="Times New Roman"/>
          <w:kern w:val="0"/>
          <w:sz w:val="24"/>
        </w:rPr>
        <w:t>和</w:t>
      </w:r>
      <w:r>
        <w:rPr>
          <w:rFonts w:ascii="Times New Roman" w:hAnsi="Times New Roman"/>
          <w:kern w:val="0"/>
          <w:sz w:val="24"/>
        </w:rPr>
        <w:t xml:space="preserve"> 1 </w:t>
      </w:r>
      <w:r>
        <w:rPr>
          <w:rFonts w:ascii="Times New Roman" w:hAnsi="Times New Roman"/>
          <w:kern w:val="0"/>
          <w:sz w:val="24"/>
        </w:rPr>
        <w:t>之间，以使样本采用股息率</w:t>
      </w:r>
      <w:r>
        <w:rPr>
          <w:rFonts w:ascii="Times New Roman" w:hAnsi="Times New Roman"/>
          <w:kern w:val="0"/>
          <w:sz w:val="24"/>
        </w:rPr>
        <w:t>/</w:t>
      </w:r>
      <w:r>
        <w:rPr>
          <w:rFonts w:ascii="Times New Roman" w:hAnsi="Times New Roman"/>
          <w:kern w:val="0"/>
          <w:sz w:val="24"/>
        </w:rPr>
        <w:t>过去一年波动率加权，且样本所属中证二级行业的权重不超过</w:t>
      </w:r>
      <w:r>
        <w:rPr>
          <w:rFonts w:ascii="Times New Roman" w:hAnsi="Times New Roman"/>
          <w:kern w:val="0"/>
          <w:sz w:val="24"/>
        </w:rPr>
        <w:t xml:space="preserve"> 20%</w:t>
      </w:r>
      <w:r>
        <w:rPr>
          <w:rFonts w:ascii="Times New Roman" w:hAnsi="Times New Roman"/>
          <w:kern w:val="0"/>
          <w:sz w:val="24"/>
        </w:rPr>
        <w:t>。</w:t>
      </w:r>
    </w:p>
    <w:p w14:paraId="736F12F9"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有关标的指数具体编制方案及成份股信息详见中证指数有限公司网站，网址：</w:t>
      </w:r>
      <w:r>
        <w:rPr>
          <w:rFonts w:ascii="Times New Roman" w:hAnsi="Times New Roman"/>
          <w:kern w:val="0"/>
          <w:sz w:val="24"/>
        </w:rPr>
        <w:t>www.csindex.com.cn</w:t>
      </w:r>
      <w:r>
        <w:rPr>
          <w:rFonts w:ascii="Times New Roman" w:hAnsi="Times New Roman"/>
          <w:kern w:val="0"/>
          <w:sz w:val="24"/>
        </w:rPr>
        <w:t>。</w:t>
      </w:r>
    </w:p>
    <w:p w14:paraId="0737D2F2"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w:t>
      </w:r>
      <w:proofErr w:type="gramStart"/>
      <w:r>
        <w:rPr>
          <w:rFonts w:ascii="Times New Roman" w:hAnsi="Times New Roman"/>
          <w:kern w:val="0"/>
          <w:sz w:val="24"/>
        </w:rPr>
        <w:t>基差风险</w:t>
      </w:r>
      <w:proofErr w:type="gramEnd"/>
      <w:r>
        <w:rPr>
          <w:rFonts w:ascii="Times New Roman" w:hAnsi="Times New Roman"/>
          <w:kern w:val="0"/>
          <w:sz w:val="24"/>
        </w:rPr>
        <w:t>、保证金风险、信用风险和操作风险，以及不适当的估值使基金资产面临损失的风险等。</w:t>
      </w:r>
    </w:p>
    <w:p w14:paraId="03A44464"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w:t>
      </w:r>
      <w:proofErr w:type="gramStart"/>
      <w:r>
        <w:rPr>
          <w:rFonts w:ascii="Times New Roman" w:hAnsi="Times New Roman"/>
          <w:kern w:val="0"/>
          <w:sz w:val="24"/>
        </w:rPr>
        <w:t>请基金</w:t>
      </w:r>
      <w:proofErr w:type="gramEnd"/>
      <w:r>
        <w:rPr>
          <w:rFonts w:ascii="Times New Roman" w:hAnsi="Times New Roman"/>
          <w:kern w:val="0"/>
          <w:sz w:val="24"/>
        </w:rPr>
        <w:t>份额持有人关注包括投资资产支持证券可能导致的基金净值波动在内的各项风险。</w:t>
      </w:r>
    </w:p>
    <w:p w14:paraId="4FE065D4"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基金投资流动受限证券将面临证券市场流动性风险，主要表现在几个方面：</w:t>
      </w:r>
      <w:r>
        <w:rPr>
          <w:rFonts w:ascii="Times New Roman" w:hAnsi="Times New Roman"/>
          <w:kern w:val="0"/>
          <w:sz w:val="24"/>
        </w:rPr>
        <w:lastRenderedPageBreak/>
        <w:t>基金建仓困难，或建仓成本很高；基金资产不能迅速转变成现金，或变现成本很高；不能应付可能出现的投资者大额赎回的风险；证券投资中个</w:t>
      </w:r>
      <w:proofErr w:type="gramStart"/>
      <w:r>
        <w:rPr>
          <w:rFonts w:ascii="Times New Roman" w:hAnsi="Times New Roman"/>
          <w:kern w:val="0"/>
          <w:sz w:val="24"/>
        </w:rPr>
        <w:t>券</w:t>
      </w:r>
      <w:proofErr w:type="gramEnd"/>
      <w:r>
        <w:rPr>
          <w:rFonts w:ascii="Times New Roman" w:hAnsi="Times New Roman"/>
          <w:kern w:val="0"/>
          <w:sz w:val="24"/>
        </w:rPr>
        <w:t>和个股的流动性风险等。</w:t>
      </w:r>
    </w:p>
    <w:p w14:paraId="6EAF4403"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14:paraId="54D12AAA"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14:paraId="775E9418"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w:t>
      </w:r>
      <w:proofErr w:type="gramStart"/>
      <w:r>
        <w:rPr>
          <w:rFonts w:ascii="Times New Roman" w:hAnsi="Times New Roman"/>
          <w:kern w:val="0"/>
          <w:sz w:val="24"/>
        </w:rPr>
        <w:t>科创板</w:t>
      </w:r>
      <w:proofErr w:type="gramEnd"/>
      <w:r>
        <w:rPr>
          <w:rFonts w:ascii="Times New Roman" w:hAnsi="Times New Roman"/>
          <w:kern w:val="0"/>
          <w:sz w:val="24"/>
        </w:rPr>
        <w:t>股票，会</w:t>
      </w:r>
      <w:proofErr w:type="gramStart"/>
      <w:r>
        <w:rPr>
          <w:rFonts w:ascii="Times New Roman" w:hAnsi="Times New Roman"/>
          <w:kern w:val="0"/>
          <w:sz w:val="24"/>
        </w:rPr>
        <w:t>面临科创板机制</w:t>
      </w:r>
      <w:proofErr w:type="gramEnd"/>
      <w:r>
        <w:rPr>
          <w:rFonts w:ascii="Times New Roman" w:hAnsi="Times New Roman"/>
          <w:kern w:val="0"/>
          <w:sz w:val="24"/>
        </w:rPr>
        <w:t>下因投资标的、市场制度以及交易规则等差异带来的特有风险，包括但不限于市场风险、流动性风险、退市风险、系统性风险、政策风险等。具体风险请查阅本基金招募说明书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章节的具体内容。</w:t>
      </w:r>
    </w:p>
    <w:p w14:paraId="026462D8"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基金可根据投资策略需要或市场环境的变化，选择将部分基金资产投资于</w:t>
      </w:r>
      <w:proofErr w:type="gramStart"/>
      <w:r>
        <w:rPr>
          <w:rFonts w:ascii="Times New Roman" w:hAnsi="Times New Roman"/>
          <w:kern w:val="0"/>
          <w:sz w:val="24"/>
        </w:rPr>
        <w:t>科创板股票</w:t>
      </w:r>
      <w:proofErr w:type="gramEnd"/>
      <w:r>
        <w:rPr>
          <w:rFonts w:ascii="Times New Roman" w:hAnsi="Times New Roman"/>
          <w:kern w:val="0"/>
          <w:sz w:val="24"/>
        </w:rPr>
        <w:t>或选择不将基金资产投资于</w:t>
      </w:r>
      <w:proofErr w:type="gramStart"/>
      <w:r>
        <w:rPr>
          <w:rFonts w:ascii="Times New Roman" w:hAnsi="Times New Roman"/>
          <w:kern w:val="0"/>
          <w:sz w:val="24"/>
        </w:rPr>
        <w:t>科创板</w:t>
      </w:r>
      <w:proofErr w:type="gramEnd"/>
      <w:r>
        <w:rPr>
          <w:rFonts w:ascii="Times New Roman" w:hAnsi="Times New Roman"/>
          <w:kern w:val="0"/>
          <w:sz w:val="24"/>
        </w:rPr>
        <w:t>股票，基金资产并非必然投资于</w:t>
      </w:r>
      <w:proofErr w:type="gramStart"/>
      <w:r>
        <w:rPr>
          <w:rFonts w:ascii="Times New Roman" w:hAnsi="Times New Roman"/>
          <w:kern w:val="0"/>
          <w:sz w:val="24"/>
        </w:rPr>
        <w:t>科创板</w:t>
      </w:r>
      <w:proofErr w:type="gramEnd"/>
      <w:r>
        <w:rPr>
          <w:rFonts w:ascii="Times New Roman" w:hAnsi="Times New Roman"/>
          <w:kern w:val="0"/>
          <w:sz w:val="24"/>
        </w:rPr>
        <w:t>股票。</w:t>
      </w:r>
    </w:p>
    <w:p w14:paraId="6030B156"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《基金合同》生效后，连续</w:t>
      </w:r>
      <w:r>
        <w:rPr>
          <w:rFonts w:ascii="Times New Roman" w:hAnsi="Times New Roman"/>
          <w:kern w:val="0"/>
          <w:sz w:val="24"/>
        </w:rPr>
        <w:t>50</w:t>
      </w:r>
      <w:r>
        <w:rPr>
          <w:rFonts w:ascii="Times New Roman" w:hAnsi="Times New Roman"/>
          <w:kern w:val="0"/>
          <w:sz w:val="24"/>
        </w:rPr>
        <w:t>个工作日出现基金份额持有人数量不满</w:t>
      </w:r>
      <w:r>
        <w:rPr>
          <w:rFonts w:ascii="Times New Roman" w:hAnsi="Times New Roman"/>
          <w:kern w:val="0"/>
          <w:sz w:val="24"/>
        </w:rPr>
        <w:t>200</w:t>
      </w:r>
      <w:r>
        <w:rPr>
          <w:rFonts w:ascii="Times New Roman" w:hAnsi="Times New Roman"/>
          <w:kern w:val="0"/>
          <w:sz w:val="24"/>
        </w:rPr>
        <w:t>人或基金资产净值低于</w:t>
      </w:r>
      <w:r>
        <w:rPr>
          <w:rFonts w:ascii="Times New Roman" w:hAnsi="Times New Roman"/>
          <w:kern w:val="0"/>
          <w:sz w:val="24"/>
        </w:rPr>
        <w:t>5000</w:t>
      </w:r>
      <w:r>
        <w:rPr>
          <w:rFonts w:ascii="Times New Roman" w:hAnsi="Times New Roman"/>
          <w:kern w:val="0"/>
          <w:sz w:val="24"/>
        </w:rPr>
        <w:t>万元情形的，基金合同终止，不需召开基金份额持有人大会。因此，投资者可能面临基金合同提前终止的风险。</w:t>
      </w:r>
    </w:p>
    <w:p w14:paraId="47102B47"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投资有风险，投资人在投资本基金前应认真阅读本基金的招募说明书、基金合同、基金产品资料概要等信息披露文件，自主判断基金的投资价值，自主</w:t>
      </w:r>
      <w:proofErr w:type="gramStart"/>
      <w:r>
        <w:rPr>
          <w:rFonts w:ascii="Times New Roman" w:hAnsi="Times New Roman"/>
          <w:kern w:val="0"/>
          <w:sz w:val="24"/>
        </w:rPr>
        <w:t>作出</w:t>
      </w:r>
      <w:proofErr w:type="gramEnd"/>
      <w:r>
        <w:rPr>
          <w:rFonts w:ascii="Times New Roman" w:hAnsi="Times New Roman"/>
          <w:kern w:val="0"/>
          <w:sz w:val="24"/>
        </w:rPr>
        <w:t>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w:t>
      </w:r>
      <w:proofErr w:type="gramStart"/>
      <w:r>
        <w:rPr>
          <w:rFonts w:ascii="Times New Roman" w:hAnsi="Times New Roman"/>
          <w:kern w:val="0"/>
          <w:sz w:val="24"/>
        </w:rPr>
        <w:t>作出</w:t>
      </w:r>
      <w:proofErr w:type="gramEnd"/>
      <w:r>
        <w:rPr>
          <w:rFonts w:ascii="Times New Roman" w:hAnsi="Times New Roman"/>
          <w:kern w:val="0"/>
          <w:sz w:val="24"/>
        </w:rPr>
        <w:t>投资决策后，基金运营状况与基金净值变化引致的投资风险，由投资者自行负责。</w:t>
      </w:r>
    </w:p>
    <w:p w14:paraId="52591703" w14:textId="77777777"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14:paraId="3ED4AE39" w14:textId="3F22D62C" w:rsidR="001D6314" w:rsidRDefault="0013026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本次更新招募说明书主要对</w:t>
      </w:r>
      <w:r>
        <w:rPr>
          <w:rFonts w:ascii="Times New Roman" w:hAnsi="Times New Roman" w:hint="eastAsia"/>
          <w:kern w:val="0"/>
          <w:sz w:val="24"/>
        </w:rPr>
        <w:t>本基金调整收益分配原则事宜</w:t>
      </w:r>
      <w:r>
        <w:rPr>
          <w:rFonts w:ascii="Times New Roman" w:hAnsi="Times New Roman"/>
          <w:kern w:val="0"/>
          <w:sz w:val="24"/>
        </w:rPr>
        <w:t>进行了相应更新，更新截止日为</w:t>
      </w:r>
      <w:r>
        <w:rPr>
          <w:rFonts w:ascii="Times New Roman" w:hAnsi="Times New Roman"/>
          <w:kern w:val="0"/>
          <w:sz w:val="24"/>
        </w:rPr>
        <w:t>2026</w:t>
      </w:r>
      <w:r>
        <w:rPr>
          <w:rFonts w:ascii="Times New Roman" w:hAnsi="Times New Roman"/>
          <w:kern w:val="0"/>
          <w:sz w:val="24"/>
        </w:rPr>
        <w:t>年</w:t>
      </w:r>
      <w:r w:rsidR="00E664E0">
        <w:rPr>
          <w:rFonts w:ascii="Times New Roman" w:hAnsi="Times New Roman" w:hint="eastAsia"/>
          <w:kern w:val="0"/>
          <w:sz w:val="24"/>
        </w:rPr>
        <w:t>0</w:t>
      </w:r>
      <w:r w:rsidR="00621A6E">
        <w:rPr>
          <w:rFonts w:ascii="Times New Roman" w:hAnsi="Times New Roman"/>
          <w:kern w:val="0"/>
          <w:sz w:val="24"/>
        </w:rPr>
        <w:t>2</w:t>
      </w:r>
      <w:r>
        <w:rPr>
          <w:rFonts w:ascii="Times New Roman" w:hAnsi="Times New Roman"/>
          <w:kern w:val="0"/>
          <w:sz w:val="24"/>
        </w:rPr>
        <w:t>月</w:t>
      </w:r>
      <w:r w:rsidR="00621A6E">
        <w:rPr>
          <w:rFonts w:ascii="Times New Roman" w:hAnsi="Times New Roman"/>
          <w:kern w:val="0"/>
          <w:sz w:val="24"/>
        </w:rPr>
        <w:t>27</w:t>
      </w:r>
      <w:r>
        <w:rPr>
          <w:rFonts w:ascii="Times New Roman" w:hAnsi="Times New Roman"/>
          <w:kern w:val="0"/>
          <w:sz w:val="24"/>
        </w:rPr>
        <w:t>日，除非另有说明，本招募说明书</w:t>
      </w:r>
      <w:r>
        <w:rPr>
          <w:rFonts w:ascii="Times New Roman" w:hAnsi="Times New Roman" w:hint="eastAsia"/>
          <w:kern w:val="0"/>
          <w:sz w:val="24"/>
        </w:rPr>
        <w:t>其他</w:t>
      </w:r>
      <w:r>
        <w:rPr>
          <w:rFonts w:ascii="Times New Roman" w:hAnsi="Times New Roman"/>
          <w:kern w:val="0"/>
          <w:sz w:val="24"/>
        </w:rPr>
        <w:t>所载内容截止日为</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12</w:t>
      </w:r>
      <w:r>
        <w:rPr>
          <w:rFonts w:ascii="Times New Roman" w:hAnsi="Times New Roman"/>
          <w:kern w:val="0"/>
          <w:sz w:val="24"/>
        </w:rPr>
        <w:t>月</w:t>
      </w:r>
      <w:r>
        <w:rPr>
          <w:rFonts w:ascii="Times New Roman" w:hAnsi="Times New Roman"/>
          <w:kern w:val="0"/>
          <w:sz w:val="24"/>
        </w:rPr>
        <w:t>01</w:t>
      </w:r>
      <w:r>
        <w:rPr>
          <w:rFonts w:ascii="Times New Roman" w:hAnsi="Times New Roman"/>
          <w:kern w:val="0"/>
          <w:sz w:val="24"/>
        </w:rPr>
        <w:t>日，有关财务数据和净值表现截止日为</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09</w:t>
      </w:r>
      <w:r>
        <w:rPr>
          <w:rFonts w:ascii="Times New Roman" w:hAnsi="Times New Roman"/>
          <w:kern w:val="0"/>
          <w:sz w:val="24"/>
        </w:rPr>
        <w:t>月</w:t>
      </w:r>
      <w:r>
        <w:rPr>
          <w:rFonts w:ascii="Times New Roman" w:hAnsi="Times New Roman"/>
          <w:kern w:val="0"/>
          <w:sz w:val="24"/>
        </w:rPr>
        <w:t>30</w:t>
      </w:r>
      <w:r>
        <w:rPr>
          <w:rFonts w:ascii="Times New Roman" w:hAnsi="Times New Roman"/>
          <w:kern w:val="0"/>
          <w:sz w:val="24"/>
        </w:rPr>
        <w:t>日。本招</w:t>
      </w:r>
      <w:r>
        <w:rPr>
          <w:rFonts w:ascii="Times New Roman" w:hAnsi="Times New Roman"/>
          <w:kern w:val="0"/>
          <w:sz w:val="24"/>
        </w:rPr>
        <w:lastRenderedPageBreak/>
        <w:t>募说明书所载的财务数据未经审计。</w:t>
      </w:r>
    </w:p>
    <w:p w14:paraId="5ECD8A43" w14:textId="77777777" w:rsidR="001D6314" w:rsidRDefault="001D6314">
      <w:pPr>
        <w:autoSpaceDE w:val="0"/>
        <w:autoSpaceDN w:val="0"/>
        <w:adjustRightInd w:val="0"/>
        <w:snapToGrid w:val="0"/>
        <w:spacing w:before="51" w:line="360" w:lineRule="auto"/>
        <w:ind w:left="120" w:rightChars="6" w:right="13" w:firstLine="480"/>
        <w:rPr>
          <w:rFonts w:ascii="宋体" w:hAnsi="宋体"/>
          <w:kern w:val="0"/>
          <w:szCs w:val="24"/>
        </w:rPr>
        <w:sectPr w:rsidR="001D6314">
          <w:headerReference w:type="default" r:id="rId14"/>
          <w:pgSz w:w="11920" w:h="16840"/>
          <w:pgMar w:top="1440" w:right="1680" w:bottom="280" w:left="1680" w:header="0" w:footer="1073" w:gutter="0"/>
          <w:pgNumType w:start="1"/>
          <w:cols w:space="720"/>
        </w:sectPr>
      </w:pPr>
    </w:p>
    <w:p w14:paraId="0E3E165E" w14:textId="77777777" w:rsidR="001D6314" w:rsidRDefault="00130266">
      <w:pPr>
        <w:pStyle w:val="Style19"/>
        <w:snapToGrid w:val="0"/>
        <w:spacing w:after="240" w:line="360" w:lineRule="auto"/>
        <w:jc w:val="center"/>
        <w:rPr>
          <w:rFonts w:ascii="宋体" w:hAnsi="宋体"/>
          <w:noProof/>
          <w:sz w:val="24"/>
        </w:rPr>
      </w:pPr>
      <w:r>
        <w:rPr>
          <w:rFonts w:ascii="宋体" w:hAnsi="宋体"/>
          <w:color w:val="000000"/>
          <w:position w:val="-4"/>
          <w:sz w:val="24"/>
          <w:szCs w:val="30"/>
        </w:rPr>
        <w:lastRenderedPageBreak/>
        <w:t>目</w:t>
      </w:r>
      <w:r>
        <w:rPr>
          <w:rFonts w:ascii="宋体" w:hAnsi="宋体"/>
          <w:color w:val="000000"/>
          <w:position w:val="-4"/>
          <w:sz w:val="24"/>
          <w:szCs w:val="30"/>
        </w:rPr>
        <w:tab/>
        <w:t>录</w:t>
      </w:r>
      <w:r>
        <w:rPr>
          <w:rFonts w:ascii="宋体" w:hAnsi="宋体"/>
          <w:color w:val="000000"/>
          <w:position w:val="-4"/>
          <w:sz w:val="24"/>
          <w:szCs w:val="30"/>
        </w:rPr>
        <w:fldChar w:fldCharType="begin"/>
      </w:r>
      <w:r>
        <w:rPr>
          <w:rFonts w:ascii="宋体" w:hAnsi="宋体"/>
          <w:color w:val="000000"/>
          <w:position w:val="-4"/>
          <w:sz w:val="24"/>
          <w:szCs w:val="30"/>
        </w:rPr>
        <w:instrText xml:space="preserve"> TOC \o "1-3" \f - \h \t "-1" </w:instrText>
      </w:r>
      <w:r>
        <w:rPr>
          <w:rFonts w:ascii="宋体" w:hAnsi="宋体"/>
          <w:color w:val="000000"/>
          <w:position w:val="-4"/>
          <w:sz w:val="24"/>
          <w:szCs w:val="30"/>
        </w:rPr>
        <w:fldChar w:fldCharType="separate"/>
      </w:r>
    </w:p>
    <w:p w14:paraId="1A84F660" w14:textId="2EFE6614" w:rsidR="001D6314" w:rsidRDefault="005132A2">
      <w:pPr>
        <w:pStyle w:val="11"/>
        <w:tabs>
          <w:tab w:val="right" w:leader="dot" w:pos="8550"/>
        </w:tabs>
        <w:spacing w:line="360" w:lineRule="auto"/>
        <w:rPr>
          <w:rFonts w:ascii="宋体" w:hAnsi="宋体"/>
          <w:noProof/>
          <w:sz w:val="24"/>
        </w:rPr>
      </w:pPr>
      <w:hyperlink w:anchor="_Toc216871995" w:history="1">
        <w:r w:rsidR="00130266">
          <w:rPr>
            <w:rStyle w:val="af1"/>
            <w:rFonts w:ascii="宋体" w:hAnsi="宋体" w:hint="eastAsia"/>
            <w:noProof/>
            <w:kern w:val="0"/>
            <w:sz w:val="24"/>
          </w:rPr>
          <w:t>重要提示</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_Toc216871995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w:t>
        </w:r>
        <w:r w:rsidR="00130266">
          <w:rPr>
            <w:rFonts w:ascii="宋体" w:hAnsi="宋体"/>
            <w:noProof/>
            <w:sz w:val="24"/>
          </w:rPr>
          <w:fldChar w:fldCharType="end"/>
        </w:r>
      </w:hyperlink>
    </w:p>
    <w:p w14:paraId="79EC73D3" w14:textId="629D7166" w:rsidR="001D6314" w:rsidRDefault="005132A2">
      <w:pPr>
        <w:pStyle w:val="11"/>
        <w:tabs>
          <w:tab w:val="right" w:leader="dot" w:pos="8550"/>
        </w:tabs>
        <w:spacing w:line="360" w:lineRule="auto"/>
        <w:rPr>
          <w:rFonts w:ascii="宋体" w:hAnsi="宋体"/>
          <w:noProof/>
          <w:sz w:val="24"/>
        </w:rPr>
      </w:pPr>
      <w:hyperlink w:anchor="_Toc216871996" w:history="1">
        <w:r w:rsidR="00130266">
          <w:rPr>
            <w:rStyle w:val="af1"/>
            <w:rFonts w:ascii="宋体" w:hAnsi="宋体" w:hint="eastAsia"/>
            <w:noProof/>
            <w:sz w:val="24"/>
          </w:rPr>
          <w:t>一、绪言</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_Toc216871996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6</w:t>
        </w:r>
        <w:r w:rsidR="00130266">
          <w:rPr>
            <w:rFonts w:ascii="宋体" w:hAnsi="宋体"/>
            <w:noProof/>
            <w:sz w:val="24"/>
          </w:rPr>
          <w:fldChar w:fldCharType="end"/>
        </w:r>
      </w:hyperlink>
    </w:p>
    <w:p w14:paraId="7F245345" w14:textId="3D6E39CB" w:rsidR="001D6314" w:rsidRDefault="005132A2">
      <w:pPr>
        <w:pStyle w:val="11"/>
        <w:tabs>
          <w:tab w:val="right" w:leader="dot" w:pos="8550"/>
        </w:tabs>
        <w:spacing w:line="360" w:lineRule="auto"/>
        <w:rPr>
          <w:rFonts w:ascii="宋体" w:hAnsi="宋体"/>
          <w:noProof/>
          <w:sz w:val="24"/>
        </w:rPr>
      </w:pPr>
      <w:hyperlink w:anchor="_Toc216871997" w:history="1">
        <w:r w:rsidR="00130266">
          <w:rPr>
            <w:rStyle w:val="af1"/>
            <w:rFonts w:ascii="宋体" w:hAnsi="宋体" w:hint="eastAsia"/>
            <w:noProof/>
            <w:sz w:val="24"/>
          </w:rPr>
          <w:t>二、释义</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_Toc216871997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7</w:t>
        </w:r>
        <w:r w:rsidR="00130266">
          <w:rPr>
            <w:rFonts w:ascii="宋体" w:hAnsi="宋体"/>
            <w:noProof/>
            <w:sz w:val="24"/>
          </w:rPr>
          <w:fldChar w:fldCharType="end"/>
        </w:r>
      </w:hyperlink>
    </w:p>
    <w:p w14:paraId="2F9B7461" w14:textId="432A6324" w:rsidR="001D6314" w:rsidRDefault="005132A2">
      <w:pPr>
        <w:pStyle w:val="11"/>
        <w:tabs>
          <w:tab w:val="right" w:leader="dot" w:pos="8550"/>
        </w:tabs>
        <w:spacing w:line="360" w:lineRule="auto"/>
        <w:rPr>
          <w:rFonts w:ascii="宋体" w:hAnsi="宋体"/>
          <w:noProof/>
          <w:sz w:val="24"/>
        </w:rPr>
      </w:pPr>
      <w:hyperlink w:anchor="_Toc216871998" w:history="1">
        <w:r w:rsidR="00130266">
          <w:rPr>
            <w:rStyle w:val="af1"/>
            <w:rFonts w:ascii="宋体" w:hAnsi="宋体" w:hint="eastAsia"/>
            <w:noProof/>
            <w:sz w:val="24"/>
          </w:rPr>
          <w:t>三、基金管理人</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_Toc216871998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12</w:t>
        </w:r>
        <w:r w:rsidR="00130266">
          <w:rPr>
            <w:rFonts w:ascii="宋体" w:hAnsi="宋体"/>
            <w:noProof/>
            <w:sz w:val="24"/>
          </w:rPr>
          <w:fldChar w:fldCharType="end"/>
        </w:r>
      </w:hyperlink>
    </w:p>
    <w:p w14:paraId="79CC7FE2" w14:textId="7F128ED3" w:rsidR="001D6314" w:rsidRDefault="005132A2">
      <w:pPr>
        <w:pStyle w:val="11"/>
        <w:tabs>
          <w:tab w:val="right" w:leader="dot" w:pos="8550"/>
        </w:tabs>
        <w:spacing w:line="360" w:lineRule="auto"/>
        <w:rPr>
          <w:rFonts w:ascii="宋体" w:hAnsi="宋体"/>
          <w:noProof/>
          <w:sz w:val="24"/>
        </w:rPr>
      </w:pPr>
      <w:hyperlink w:anchor="_Toc216871999" w:history="1">
        <w:r w:rsidR="00130266">
          <w:rPr>
            <w:rStyle w:val="af1"/>
            <w:rFonts w:ascii="宋体" w:hAnsi="宋体" w:hint="eastAsia"/>
            <w:noProof/>
            <w:sz w:val="24"/>
          </w:rPr>
          <w:t>四、基金托管人</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_Toc216871999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21</w:t>
        </w:r>
        <w:r w:rsidR="00130266">
          <w:rPr>
            <w:rFonts w:ascii="宋体" w:hAnsi="宋体"/>
            <w:noProof/>
            <w:sz w:val="24"/>
          </w:rPr>
          <w:fldChar w:fldCharType="end"/>
        </w:r>
      </w:hyperlink>
    </w:p>
    <w:p w14:paraId="3552E85B" w14:textId="3481B9EB" w:rsidR="001D6314" w:rsidRDefault="005132A2">
      <w:pPr>
        <w:pStyle w:val="11"/>
        <w:tabs>
          <w:tab w:val="right" w:leader="dot" w:pos="8550"/>
        </w:tabs>
        <w:spacing w:line="360" w:lineRule="auto"/>
        <w:rPr>
          <w:rFonts w:ascii="宋体" w:hAnsi="宋体"/>
          <w:noProof/>
          <w:sz w:val="24"/>
        </w:rPr>
      </w:pPr>
      <w:hyperlink w:anchor="_Toc216872000" w:history="1">
        <w:r w:rsidR="00130266">
          <w:rPr>
            <w:rStyle w:val="af1"/>
            <w:rFonts w:ascii="宋体" w:hAnsi="宋体" w:hint="eastAsia"/>
            <w:noProof/>
            <w:sz w:val="24"/>
          </w:rPr>
          <w:t>五、相关服务机构</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_Toc216872000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24</w:t>
        </w:r>
        <w:r w:rsidR="00130266">
          <w:rPr>
            <w:rFonts w:ascii="宋体" w:hAnsi="宋体"/>
            <w:noProof/>
            <w:sz w:val="24"/>
          </w:rPr>
          <w:fldChar w:fldCharType="end"/>
        </w:r>
      </w:hyperlink>
    </w:p>
    <w:p w14:paraId="48A8AA39" w14:textId="49537D7B" w:rsidR="001D6314" w:rsidRDefault="005132A2">
      <w:pPr>
        <w:pStyle w:val="11"/>
        <w:tabs>
          <w:tab w:val="right" w:leader="dot" w:pos="8550"/>
        </w:tabs>
        <w:spacing w:line="360" w:lineRule="auto"/>
        <w:rPr>
          <w:rFonts w:ascii="宋体" w:hAnsi="宋体"/>
          <w:noProof/>
          <w:sz w:val="24"/>
        </w:rPr>
      </w:pPr>
      <w:hyperlink w:anchor="_Toc216872001" w:history="1">
        <w:r w:rsidR="00130266">
          <w:rPr>
            <w:rStyle w:val="af1"/>
            <w:rFonts w:ascii="宋体" w:hAnsi="宋体" w:hint="eastAsia"/>
            <w:noProof/>
            <w:sz w:val="24"/>
          </w:rPr>
          <w:t>六、基金的募集</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_Toc216872001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47</w:t>
        </w:r>
        <w:r w:rsidR="00130266">
          <w:rPr>
            <w:rFonts w:ascii="宋体" w:hAnsi="宋体"/>
            <w:noProof/>
            <w:sz w:val="24"/>
          </w:rPr>
          <w:fldChar w:fldCharType="end"/>
        </w:r>
      </w:hyperlink>
    </w:p>
    <w:p w14:paraId="09972B45" w14:textId="64073202" w:rsidR="001D6314" w:rsidRDefault="005132A2">
      <w:pPr>
        <w:pStyle w:val="11"/>
        <w:tabs>
          <w:tab w:val="right" w:leader="dot" w:pos="8550"/>
        </w:tabs>
        <w:spacing w:line="360" w:lineRule="auto"/>
        <w:rPr>
          <w:rFonts w:ascii="宋体" w:hAnsi="宋体"/>
          <w:noProof/>
          <w:sz w:val="24"/>
        </w:rPr>
      </w:pPr>
      <w:hyperlink w:anchor="_Toc216872002" w:history="1">
        <w:r w:rsidR="00130266">
          <w:rPr>
            <w:rStyle w:val="af1"/>
            <w:rFonts w:ascii="宋体" w:hAnsi="宋体" w:hint="eastAsia"/>
            <w:noProof/>
            <w:sz w:val="24"/>
          </w:rPr>
          <w:t>七、基金合同的生效</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_Toc216872002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48</w:t>
        </w:r>
        <w:r w:rsidR="00130266">
          <w:rPr>
            <w:rFonts w:ascii="宋体" w:hAnsi="宋体"/>
            <w:noProof/>
            <w:sz w:val="24"/>
          </w:rPr>
          <w:fldChar w:fldCharType="end"/>
        </w:r>
      </w:hyperlink>
    </w:p>
    <w:p w14:paraId="0763B263" w14:textId="2C87674C" w:rsidR="001D6314" w:rsidRDefault="005132A2">
      <w:pPr>
        <w:pStyle w:val="11"/>
        <w:tabs>
          <w:tab w:val="right" w:leader="dot" w:pos="8550"/>
        </w:tabs>
        <w:spacing w:line="360" w:lineRule="auto"/>
        <w:rPr>
          <w:rFonts w:ascii="宋体" w:hAnsi="宋体"/>
          <w:noProof/>
          <w:sz w:val="24"/>
        </w:rPr>
      </w:pPr>
      <w:hyperlink w:anchor="_Toc216872003" w:history="1">
        <w:r w:rsidR="00130266">
          <w:rPr>
            <w:rStyle w:val="af1"/>
            <w:rFonts w:ascii="宋体" w:hAnsi="宋体" w:hint="eastAsia"/>
            <w:noProof/>
            <w:sz w:val="24"/>
          </w:rPr>
          <w:t>八、基金份额的申购与赎回</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_Toc216872003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49</w:t>
        </w:r>
        <w:r w:rsidR="00130266">
          <w:rPr>
            <w:rFonts w:ascii="宋体" w:hAnsi="宋体"/>
            <w:noProof/>
            <w:sz w:val="24"/>
          </w:rPr>
          <w:fldChar w:fldCharType="end"/>
        </w:r>
      </w:hyperlink>
    </w:p>
    <w:p w14:paraId="16BF3BE9" w14:textId="68418622" w:rsidR="001D6314" w:rsidRDefault="005132A2">
      <w:pPr>
        <w:pStyle w:val="11"/>
        <w:tabs>
          <w:tab w:val="right" w:leader="dot" w:pos="8550"/>
        </w:tabs>
        <w:spacing w:line="360" w:lineRule="auto"/>
        <w:rPr>
          <w:rFonts w:ascii="宋体" w:hAnsi="宋体"/>
          <w:noProof/>
          <w:sz w:val="24"/>
        </w:rPr>
      </w:pPr>
      <w:hyperlink w:anchor="_Toc216872004" w:history="1">
        <w:r w:rsidR="00130266">
          <w:rPr>
            <w:rStyle w:val="af1"/>
            <w:rFonts w:ascii="宋体" w:hAnsi="宋体" w:hint="eastAsia"/>
            <w:noProof/>
            <w:sz w:val="24"/>
          </w:rPr>
          <w:t>九、基金的转换</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_Toc216872004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63</w:t>
        </w:r>
        <w:r w:rsidR="00130266">
          <w:rPr>
            <w:rFonts w:ascii="宋体" w:hAnsi="宋体"/>
            <w:noProof/>
            <w:sz w:val="24"/>
          </w:rPr>
          <w:fldChar w:fldCharType="end"/>
        </w:r>
      </w:hyperlink>
    </w:p>
    <w:p w14:paraId="416A191C" w14:textId="4EDFE1FD" w:rsidR="001D6314" w:rsidRDefault="005132A2">
      <w:pPr>
        <w:pStyle w:val="11"/>
        <w:tabs>
          <w:tab w:val="right" w:leader="dot" w:pos="8550"/>
        </w:tabs>
        <w:spacing w:line="360" w:lineRule="auto"/>
        <w:rPr>
          <w:rFonts w:ascii="宋体" w:hAnsi="宋体"/>
          <w:noProof/>
          <w:sz w:val="24"/>
        </w:rPr>
      </w:pPr>
      <w:hyperlink w:anchor="_Toc216872005" w:history="1">
        <w:r w:rsidR="00130266">
          <w:rPr>
            <w:rStyle w:val="af1"/>
            <w:rFonts w:ascii="宋体" w:hAnsi="宋体" w:hint="eastAsia"/>
            <w:noProof/>
            <w:sz w:val="24"/>
          </w:rPr>
          <w:t>十、基金的投资</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_Toc216872005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70</w:t>
        </w:r>
        <w:r w:rsidR="00130266">
          <w:rPr>
            <w:rFonts w:ascii="宋体" w:hAnsi="宋体"/>
            <w:noProof/>
            <w:sz w:val="24"/>
          </w:rPr>
          <w:fldChar w:fldCharType="end"/>
        </w:r>
      </w:hyperlink>
    </w:p>
    <w:p w14:paraId="1E521B3E" w14:textId="1BC80EC7" w:rsidR="001D6314" w:rsidRDefault="005132A2">
      <w:pPr>
        <w:pStyle w:val="11"/>
        <w:tabs>
          <w:tab w:val="right" w:leader="dot" w:pos="8550"/>
        </w:tabs>
        <w:spacing w:line="360" w:lineRule="auto"/>
        <w:rPr>
          <w:rFonts w:ascii="宋体" w:hAnsi="宋体"/>
          <w:noProof/>
          <w:sz w:val="24"/>
        </w:rPr>
      </w:pPr>
      <w:hyperlink w:anchor="_Toc216872006" w:history="1">
        <w:r w:rsidR="00130266">
          <w:rPr>
            <w:rStyle w:val="af1"/>
            <w:rFonts w:ascii="宋体" w:hAnsi="宋体" w:hint="eastAsia"/>
            <w:noProof/>
            <w:sz w:val="24"/>
          </w:rPr>
          <w:t>十一、基金的业绩</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_Toc216872006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81</w:t>
        </w:r>
        <w:r w:rsidR="00130266">
          <w:rPr>
            <w:rFonts w:ascii="宋体" w:hAnsi="宋体"/>
            <w:noProof/>
            <w:sz w:val="24"/>
          </w:rPr>
          <w:fldChar w:fldCharType="end"/>
        </w:r>
      </w:hyperlink>
    </w:p>
    <w:p w14:paraId="4EEBEBB8" w14:textId="296DC5B9" w:rsidR="001D6314" w:rsidRDefault="005132A2">
      <w:pPr>
        <w:pStyle w:val="11"/>
        <w:tabs>
          <w:tab w:val="right" w:leader="dot" w:pos="8550"/>
        </w:tabs>
        <w:spacing w:line="360" w:lineRule="auto"/>
        <w:rPr>
          <w:rFonts w:ascii="宋体" w:hAnsi="宋体"/>
          <w:noProof/>
          <w:sz w:val="24"/>
        </w:rPr>
      </w:pPr>
      <w:hyperlink w:anchor="_Toc216872007" w:history="1">
        <w:r w:rsidR="00130266">
          <w:rPr>
            <w:rStyle w:val="af1"/>
            <w:rFonts w:ascii="宋体" w:hAnsi="宋体" w:hint="eastAsia"/>
            <w:noProof/>
            <w:sz w:val="24"/>
          </w:rPr>
          <w:t>十二、基金的财产</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_Toc216872007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84</w:t>
        </w:r>
        <w:r w:rsidR="00130266">
          <w:rPr>
            <w:rFonts w:ascii="宋体" w:hAnsi="宋体"/>
            <w:noProof/>
            <w:sz w:val="24"/>
          </w:rPr>
          <w:fldChar w:fldCharType="end"/>
        </w:r>
      </w:hyperlink>
    </w:p>
    <w:p w14:paraId="4BBED5A6" w14:textId="1CC0FC43" w:rsidR="001D6314" w:rsidRDefault="005132A2">
      <w:pPr>
        <w:pStyle w:val="11"/>
        <w:tabs>
          <w:tab w:val="right" w:leader="dot" w:pos="8550"/>
        </w:tabs>
        <w:spacing w:line="360" w:lineRule="auto"/>
        <w:rPr>
          <w:rFonts w:ascii="宋体" w:hAnsi="宋体"/>
          <w:noProof/>
          <w:sz w:val="24"/>
        </w:rPr>
      </w:pPr>
      <w:hyperlink w:anchor="_Toc216872008" w:history="1">
        <w:r w:rsidR="00130266">
          <w:rPr>
            <w:rStyle w:val="af1"/>
            <w:rFonts w:ascii="宋体" w:hAnsi="宋体" w:hint="eastAsia"/>
            <w:noProof/>
            <w:sz w:val="24"/>
          </w:rPr>
          <w:t>十三、基金资产的估值</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_Toc216872008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85</w:t>
        </w:r>
        <w:r w:rsidR="00130266">
          <w:rPr>
            <w:rFonts w:ascii="宋体" w:hAnsi="宋体"/>
            <w:noProof/>
            <w:sz w:val="24"/>
          </w:rPr>
          <w:fldChar w:fldCharType="end"/>
        </w:r>
      </w:hyperlink>
    </w:p>
    <w:p w14:paraId="7317190B" w14:textId="0F6EFEA7" w:rsidR="001D6314" w:rsidRDefault="005132A2">
      <w:pPr>
        <w:pStyle w:val="11"/>
        <w:tabs>
          <w:tab w:val="right" w:leader="dot" w:pos="8550"/>
        </w:tabs>
        <w:spacing w:line="360" w:lineRule="auto"/>
        <w:rPr>
          <w:rFonts w:ascii="宋体" w:hAnsi="宋体"/>
          <w:noProof/>
          <w:sz w:val="24"/>
        </w:rPr>
      </w:pPr>
      <w:hyperlink w:anchor="_Toc216872009" w:history="1">
        <w:r w:rsidR="00130266">
          <w:rPr>
            <w:rStyle w:val="af1"/>
            <w:rFonts w:ascii="宋体" w:hAnsi="宋体" w:hint="eastAsia"/>
            <w:noProof/>
            <w:sz w:val="24"/>
          </w:rPr>
          <w:t>十四、基金收益与分配</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_Toc216872009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91</w:t>
        </w:r>
        <w:r w:rsidR="00130266">
          <w:rPr>
            <w:rFonts w:ascii="宋体" w:hAnsi="宋体"/>
            <w:noProof/>
            <w:sz w:val="24"/>
          </w:rPr>
          <w:fldChar w:fldCharType="end"/>
        </w:r>
      </w:hyperlink>
    </w:p>
    <w:p w14:paraId="5828AFBC" w14:textId="4DCA043C" w:rsidR="001D6314" w:rsidRDefault="005132A2">
      <w:pPr>
        <w:pStyle w:val="11"/>
        <w:tabs>
          <w:tab w:val="right" w:leader="dot" w:pos="8550"/>
        </w:tabs>
        <w:spacing w:line="360" w:lineRule="auto"/>
        <w:rPr>
          <w:rFonts w:ascii="宋体" w:hAnsi="宋体"/>
          <w:noProof/>
          <w:sz w:val="24"/>
        </w:rPr>
      </w:pPr>
      <w:hyperlink w:anchor="_Toc216872010" w:history="1">
        <w:r w:rsidR="00130266">
          <w:rPr>
            <w:rStyle w:val="af1"/>
            <w:rFonts w:ascii="宋体" w:hAnsi="宋体" w:hint="eastAsia"/>
            <w:noProof/>
            <w:sz w:val="24"/>
          </w:rPr>
          <w:t>十五、基金的费用与税收</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_Toc216872010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93</w:t>
        </w:r>
        <w:r w:rsidR="00130266">
          <w:rPr>
            <w:rFonts w:ascii="宋体" w:hAnsi="宋体"/>
            <w:noProof/>
            <w:sz w:val="24"/>
          </w:rPr>
          <w:fldChar w:fldCharType="end"/>
        </w:r>
      </w:hyperlink>
    </w:p>
    <w:p w14:paraId="2BEA9923" w14:textId="5F8E2061" w:rsidR="001D6314" w:rsidRDefault="005132A2">
      <w:pPr>
        <w:pStyle w:val="11"/>
        <w:tabs>
          <w:tab w:val="right" w:leader="dot" w:pos="8550"/>
        </w:tabs>
        <w:spacing w:line="360" w:lineRule="auto"/>
        <w:rPr>
          <w:rFonts w:ascii="宋体" w:hAnsi="宋体"/>
          <w:noProof/>
          <w:sz w:val="24"/>
        </w:rPr>
      </w:pPr>
      <w:hyperlink w:anchor="_Toc216872011" w:history="1">
        <w:r w:rsidR="00130266">
          <w:rPr>
            <w:rStyle w:val="af1"/>
            <w:rFonts w:ascii="宋体" w:hAnsi="宋体" w:hint="eastAsia"/>
            <w:noProof/>
            <w:sz w:val="24"/>
          </w:rPr>
          <w:t>十六、基金的会计与审计</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_Toc216872011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96</w:t>
        </w:r>
        <w:r w:rsidR="00130266">
          <w:rPr>
            <w:rFonts w:ascii="宋体" w:hAnsi="宋体"/>
            <w:noProof/>
            <w:sz w:val="24"/>
          </w:rPr>
          <w:fldChar w:fldCharType="end"/>
        </w:r>
      </w:hyperlink>
    </w:p>
    <w:p w14:paraId="6201A563" w14:textId="3D584E1F" w:rsidR="001D6314" w:rsidRDefault="005132A2">
      <w:pPr>
        <w:pStyle w:val="11"/>
        <w:tabs>
          <w:tab w:val="right" w:leader="dot" w:pos="8550"/>
        </w:tabs>
        <w:spacing w:line="360" w:lineRule="auto"/>
        <w:rPr>
          <w:rFonts w:ascii="宋体" w:hAnsi="宋体"/>
          <w:noProof/>
          <w:sz w:val="24"/>
        </w:rPr>
      </w:pPr>
      <w:hyperlink w:anchor="_Toc216872012" w:history="1">
        <w:r w:rsidR="00130266">
          <w:rPr>
            <w:rStyle w:val="af1"/>
            <w:rFonts w:ascii="宋体" w:hAnsi="宋体" w:hint="eastAsia"/>
            <w:noProof/>
            <w:sz w:val="24"/>
          </w:rPr>
          <w:t>十七、基金的信息披露</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_Toc216872012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97</w:t>
        </w:r>
        <w:r w:rsidR="00130266">
          <w:rPr>
            <w:rFonts w:ascii="宋体" w:hAnsi="宋体"/>
            <w:noProof/>
            <w:sz w:val="24"/>
          </w:rPr>
          <w:fldChar w:fldCharType="end"/>
        </w:r>
      </w:hyperlink>
    </w:p>
    <w:p w14:paraId="7432A05A" w14:textId="772E77F7" w:rsidR="001D6314" w:rsidRDefault="005132A2">
      <w:pPr>
        <w:pStyle w:val="11"/>
        <w:tabs>
          <w:tab w:val="right" w:leader="dot" w:pos="8550"/>
        </w:tabs>
        <w:spacing w:line="360" w:lineRule="auto"/>
        <w:rPr>
          <w:rFonts w:ascii="宋体" w:hAnsi="宋体"/>
          <w:noProof/>
          <w:sz w:val="24"/>
        </w:rPr>
      </w:pPr>
      <w:hyperlink w:anchor="_Toc216872013" w:history="1">
        <w:r w:rsidR="00130266">
          <w:rPr>
            <w:rStyle w:val="af1"/>
            <w:rFonts w:ascii="宋体" w:hAnsi="宋体" w:hint="eastAsia"/>
            <w:noProof/>
            <w:sz w:val="24"/>
          </w:rPr>
          <w:t>十八、侧袋机制</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_Toc216872013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104</w:t>
        </w:r>
        <w:r w:rsidR="00130266">
          <w:rPr>
            <w:rFonts w:ascii="宋体" w:hAnsi="宋体"/>
            <w:noProof/>
            <w:sz w:val="24"/>
          </w:rPr>
          <w:fldChar w:fldCharType="end"/>
        </w:r>
      </w:hyperlink>
    </w:p>
    <w:p w14:paraId="553E9148" w14:textId="018D9258" w:rsidR="001D6314" w:rsidRDefault="005132A2">
      <w:pPr>
        <w:pStyle w:val="11"/>
        <w:tabs>
          <w:tab w:val="right" w:leader="dot" w:pos="8550"/>
        </w:tabs>
        <w:spacing w:line="360" w:lineRule="auto"/>
        <w:rPr>
          <w:rFonts w:ascii="宋体" w:hAnsi="宋体"/>
          <w:noProof/>
          <w:sz w:val="24"/>
        </w:rPr>
      </w:pPr>
      <w:hyperlink w:anchor="_Toc216872014" w:history="1">
        <w:r w:rsidR="00130266">
          <w:rPr>
            <w:rStyle w:val="af1"/>
            <w:rFonts w:ascii="宋体" w:hAnsi="宋体" w:hint="eastAsia"/>
            <w:noProof/>
            <w:sz w:val="24"/>
          </w:rPr>
          <w:t>十九、风险揭示</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_Toc216872014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107</w:t>
        </w:r>
        <w:r w:rsidR="00130266">
          <w:rPr>
            <w:rFonts w:ascii="宋体" w:hAnsi="宋体"/>
            <w:noProof/>
            <w:sz w:val="24"/>
          </w:rPr>
          <w:fldChar w:fldCharType="end"/>
        </w:r>
      </w:hyperlink>
    </w:p>
    <w:p w14:paraId="5C586945" w14:textId="7269FFFB" w:rsidR="001D6314" w:rsidRDefault="005132A2">
      <w:pPr>
        <w:pStyle w:val="11"/>
        <w:tabs>
          <w:tab w:val="right" w:leader="dot" w:pos="8550"/>
        </w:tabs>
        <w:spacing w:line="360" w:lineRule="auto"/>
        <w:rPr>
          <w:rFonts w:ascii="宋体" w:hAnsi="宋体"/>
          <w:noProof/>
          <w:sz w:val="24"/>
        </w:rPr>
      </w:pPr>
      <w:hyperlink w:anchor="_Toc216872015" w:history="1">
        <w:r w:rsidR="00130266">
          <w:rPr>
            <w:rStyle w:val="af1"/>
            <w:rFonts w:ascii="宋体" w:hAnsi="宋体" w:hint="eastAsia"/>
            <w:noProof/>
            <w:sz w:val="24"/>
          </w:rPr>
          <w:t>二十、基金合同的变更、终止与基金财产的清算</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_Toc216872015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117</w:t>
        </w:r>
        <w:r w:rsidR="00130266">
          <w:rPr>
            <w:rFonts w:ascii="宋体" w:hAnsi="宋体"/>
            <w:noProof/>
            <w:sz w:val="24"/>
          </w:rPr>
          <w:fldChar w:fldCharType="end"/>
        </w:r>
      </w:hyperlink>
    </w:p>
    <w:p w14:paraId="46CB6E68" w14:textId="471BEC56" w:rsidR="001D6314" w:rsidRDefault="005132A2">
      <w:pPr>
        <w:pStyle w:val="11"/>
        <w:tabs>
          <w:tab w:val="right" w:leader="dot" w:pos="8550"/>
        </w:tabs>
        <w:spacing w:line="360" w:lineRule="auto"/>
        <w:rPr>
          <w:rFonts w:ascii="宋体" w:hAnsi="宋体"/>
          <w:noProof/>
          <w:sz w:val="24"/>
        </w:rPr>
      </w:pPr>
      <w:hyperlink w:anchor="_Toc216872016" w:history="1">
        <w:r w:rsidR="00130266">
          <w:rPr>
            <w:rStyle w:val="af1"/>
            <w:rFonts w:ascii="宋体" w:hAnsi="宋体" w:hint="eastAsia"/>
            <w:noProof/>
            <w:sz w:val="24"/>
          </w:rPr>
          <w:t>二十一、基金合同内容摘要</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_Toc216872016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119</w:t>
        </w:r>
        <w:r w:rsidR="00130266">
          <w:rPr>
            <w:rFonts w:ascii="宋体" w:hAnsi="宋体"/>
            <w:noProof/>
            <w:sz w:val="24"/>
          </w:rPr>
          <w:fldChar w:fldCharType="end"/>
        </w:r>
      </w:hyperlink>
    </w:p>
    <w:p w14:paraId="05576CAB" w14:textId="43AAA8B4" w:rsidR="001D6314" w:rsidRDefault="005132A2">
      <w:pPr>
        <w:pStyle w:val="11"/>
        <w:tabs>
          <w:tab w:val="right" w:leader="dot" w:pos="8550"/>
        </w:tabs>
        <w:spacing w:line="360" w:lineRule="auto"/>
        <w:rPr>
          <w:rFonts w:ascii="宋体" w:hAnsi="宋体"/>
          <w:noProof/>
          <w:sz w:val="24"/>
        </w:rPr>
      </w:pPr>
      <w:hyperlink w:anchor="_Toc216872017" w:history="1">
        <w:r w:rsidR="00130266">
          <w:rPr>
            <w:rStyle w:val="af1"/>
            <w:rFonts w:ascii="宋体" w:hAnsi="宋体" w:hint="eastAsia"/>
            <w:noProof/>
            <w:sz w:val="24"/>
          </w:rPr>
          <w:t>二十二、托管协议的内容摘要</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_Toc216872017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136</w:t>
        </w:r>
        <w:r w:rsidR="00130266">
          <w:rPr>
            <w:rFonts w:ascii="宋体" w:hAnsi="宋体"/>
            <w:noProof/>
            <w:sz w:val="24"/>
          </w:rPr>
          <w:fldChar w:fldCharType="end"/>
        </w:r>
      </w:hyperlink>
    </w:p>
    <w:p w14:paraId="05F08A48" w14:textId="710F96DC" w:rsidR="001D6314" w:rsidRDefault="005132A2">
      <w:pPr>
        <w:pStyle w:val="11"/>
        <w:tabs>
          <w:tab w:val="right" w:leader="dot" w:pos="8550"/>
        </w:tabs>
        <w:spacing w:line="360" w:lineRule="auto"/>
        <w:rPr>
          <w:rFonts w:ascii="宋体" w:hAnsi="宋体"/>
          <w:noProof/>
          <w:sz w:val="24"/>
        </w:rPr>
      </w:pPr>
      <w:hyperlink w:anchor="_Toc216872018" w:history="1">
        <w:r w:rsidR="00130266">
          <w:rPr>
            <w:rStyle w:val="af1"/>
            <w:rFonts w:ascii="宋体" w:hAnsi="宋体" w:hint="eastAsia"/>
            <w:noProof/>
            <w:sz w:val="24"/>
          </w:rPr>
          <w:t>二十三、对基金份额持有人的服务</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_Toc216872018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149</w:t>
        </w:r>
        <w:r w:rsidR="00130266">
          <w:rPr>
            <w:rFonts w:ascii="宋体" w:hAnsi="宋体"/>
            <w:noProof/>
            <w:sz w:val="24"/>
          </w:rPr>
          <w:fldChar w:fldCharType="end"/>
        </w:r>
      </w:hyperlink>
    </w:p>
    <w:p w14:paraId="77F59B6F" w14:textId="4C90FF3E" w:rsidR="001D6314" w:rsidRDefault="005132A2">
      <w:pPr>
        <w:pStyle w:val="11"/>
        <w:tabs>
          <w:tab w:val="right" w:leader="dot" w:pos="8550"/>
        </w:tabs>
        <w:spacing w:line="360" w:lineRule="auto"/>
        <w:rPr>
          <w:rFonts w:ascii="宋体" w:hAnsi="宋体"/>
          <w:noProof/>
          <w:sz w:val="24"/>
        </w:rPr>
      </w:pPr>
      <w:hyperlink w:anchor="_Toc216872019" w:history="1">
        <w:r w:rsidR="00130266">
          <w:rPr>
            <w:rStyle w:val="af1"/>
            <w:rFonts w:ascii="宋体" w:hAnsi="宋体" w:hint="eastAsia"/>
            <w:noProof/>
            <w:sz w:val="24"/>
          </w:rPr>
          <w:t>二十四、其他应披露事项</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_Toc216872019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151</w:t>
        </w:r>
        <w:r w:rsidR="00130266">
          <w:rPr>
            <w:rFonts w:ascii="宋体" w:hAnsi="宋体"/>
            <w:noProof/>
            <w:sz w:val="24"/>
          </w:rPr>
          <w:fldChar w:fldCharType="end"/>
        </w:r>
      </w:hyperlink>
    </w:p>
    <w:p w14:paraId="2458E2C5" w14:textId="2B4BE34B" w:rsidR="001D6314" w:rsidRDefault="005132A2">
      <w:pPr>
        <w:pStyle w:val="11"/>
        <w:tabs>
          <w:tab w:val="right" w:leader="dot" w:pos="8550"/>
        </w:tabs>
        <w:spacing w:line="360" w:lineRule="auto"/>
        <w:rPr>
          <w:rFonts w:ascii="宋体" w:hAnsi="宋体"/>
          <w:noProof/>
          <w:sz w:val="24"/>
        </w:rPr>
      </w:pPr>
      <w:hyperlink w:anchor="_Toc216872020" w:history="1">
        <w:r w:rsidR="00130266">
          <w:rPr>
            <w:rStyle w:val="af1"/>
            <w:rFonts w:ascii="宋体" w:hAnsi="宋体" w:hint="eastAsia"/>
            <w:noProof/>
            <w:sz w:val="24"/>
          </w:rPr>
          <w:t>二十五、招募说明书的存放及查阅方式</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_Toc216872020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154</w:t>
        </w:r>
        <w:r w:rsidR="00130266">
          <w:rPr>
            <w:rFonts w:ascii="宋体" w:hAnsi="宋体"/>
            <w:noProof/>
            <w:sz w:val="24"/>
          </w:rPr>
          <w:fldChar w:fldCharType="end"/>
        </w:r>
      </w:hyperlink>
    </w:p>
    <w:p w14:paraId="01005359" w14:textId="3F8AE700" w:rsidR="001D6314" w:rsidRDefault="005132A2">
      <w:pPr>
        <w:pStyle w:val="11"/>
        <w:tabs>
          <w:tab w:val="right" w:leader="dot" w:pos="8550"/>
        </w:tabs>
        <w:spacing w:line="360" w:lineRule="auto"/>
        <w:rPr>
          <w:rFonts w:ascii="宋体" w:hAnsi="宋体"/>
          <w:noProof/>
          <w:sz w:val="24"/>
        </w:rPr>
      </w:pPr>
      <w:hyperlink w:anchor="_Toc216872021" w:history="1">
        <w:r w:rsidR="00130266">
          <w:rPr>
            <w:rStyle w:val="af1"/>
            <w:rFonts w:ascii="宋体" w:hAnsi="宋体" w:hint="eastAsia"/>
            <w:noProof/>
            <w:sz w:val="24"/>
          </w:rPr>
          <w:t>二十六、备查文件</w:t>
        </w:r>
        <w:r w:rsidR="00130266">
          <w:rPr>
            <w:rFonts w:ascii="宋体" w:hAnsi="宋体"/>
            <w:noProof/>
            <w:sz w:val="24"/>
          </w:rPr>
          <w:tab/>
        </w:r>
        <w:r w:rsidR="00130266">
          <w:rPr>
            <w:rFonts w:ascii="宋体" w:hAnsi="宋体"/>
            <w:noProof/>
            <w:sz w:val="24"/>
          </w:rPr>
          <w:fldChar w:fldCharType="begin"/>
        </w:r>
        <w:r w:rsidR="00130266">
          <w:rPr>
            <w:rFonts w:ascii="宋体" w:hAnsi="宋体"/>
            <w:noProof/>
            <w:sz w:val="24"/>
          </w:rPr>
          <w:instrText xml:space="preserve"> PAGEREF _Toc216872021 \h </w:instrText>
        </w:r>
        <w:r w:rsidR="00130266">
          <w:rPr>
            <w:rFonts w:ascii="宋体" w:hAnsi="宋体"/>
            <w:noProof/>
            <w:sz w:val="24"/>
          </w:rPr>
        </w:r>
        <w:r w:rsidR="00130266">
          <w:rPr>
            <w:rFonts w:ascii="宋体" w:hAnsi="宋体"/>
            <w:noProof/>
            <w:sz w:val="24"/>
          </w:rPr>
          <w:fldChar w:fldCharType="separate"/>
        </w:r>
        <w:r w:rsidR="005B2369">
          <w:rPr>
            <w:rFonts w:ascii="宋体" w:hAnsi="宋体"/>
            <w:noProof/>
            <w:sz w:val="24"/>
          </w:rPr>
          <w:t>155</w:t>
        </w:r>
        <w:r w:rsidR="00130266">
          <w:rPr>
            <w:rFonts w:ascii="宋体" w:hAnsi="宋体"/>
            <w:noProof/>
            <w:sz w:val="24"/>
          </w:rPr>
          <w:fldChar w:fldCharType="end"/>
        </w:r>
      </w:hyperlink>
    </w:p>
    <w:p w14:paraId="41B38713" w14:textId="0174618E" w:rsidR="001D6314" w:rsidRDefault="00130266" w:rsidP="00522431">
      <w:pPr>
        <w:pStyle w:val="Style19"/>
        <w:autoSpaceDE w:val="0"/>
        <w:autoSpaceDN w:val="0"/>
        <w:adjustRightInd w:val="0"/>
        <w:snapToGrid w:val="0"/>
        <w:spacing w:after="240" w:line="360" w:lineRule="auto"/>
        <w:ind w:left="120" w:rightChars="6" w:right="13"/>
        <w:jc w:val="center"/>
        <w:rPr>
          <w:rFonts w:ascii="宋体" w:hAnsi="宋体"/>
          <w:b w:val="0"/>
          <w:bCs w:val="0"/>
          <w:szCs w:val="24"/>
        </w:rPr>
        <w:sectPr w:rsidR="001D6314">
          <w:pgSz w:w="11920" w:h="16840"/>
          <w:pgMar w:top="1480" w:right="1680" w:bottom="280" w:left="1680" w:header="0" w:footer="1073" w:gutter="0"/>
          <w:cols w:space="720"/>
        </w:sectPr>
      </w:pPr>
      <w:r>
        <w:rPr>
          <w:rFonts w:ascii="宋体" w:hAnsi="宋体"/>
          <w:b w:val="0"/>
          <w:bCs w:val="0"/>
          <w:color w:val="000000"/>
          <w:position w:val="-4"/>
          <w:sz w:val="24"/>
          <w:szCs w:val="30"/>
        </w:rPr>
        <w:fldChar w:fldCharType="end"/>
      </w:r>
    </w:p>
    <w:p w14:paraId="1F51BF20" w14:textId="77777777" w:rsidR="001D6314" w:rsidRDefault="00130266">
      <w:pPr>
        <w:pStyle w:val="1"/>
        <w:snapToGrid w:val="0"/>
        <w:spacing w:beforeLines="0" w:before="240" w:after="240"/>
        <w:rPr>
          <w:rFonts w:ascii="宋体" w:hAnsi="宋体"/>
          <w:szCs w:val="30"/>
        </w:rPr>
      </w:pPr>
      <w:bookmarkStart w:id="3" w:name="_Toc216871996"/>
      <w:r>
        <w:rPr>
          <w:rFonts w:ascii="Times New Roman" w:hAnsi="Times New Roman"/>
          <w:sz w:val="30"/>
        </w:rPr>
        <w:lastRenderedPageBreak/>
        <w:t>一、绪言</w:t>
      </w:r>
      <w:bookmarkEnd w:id="3"/>
    </w:p>
    <w:p w14:paraId="1E1DF3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中证红利低波动100指数型证券投资基金招募说明书》（以下简称“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和其他相关法律法规的规定以及《交银施罗德中证红利低波动100指数型证券投资基金基金合同》（以下简称“基金合同”）编写。</w:t>
      </w:r>
    </w:p>
    <w:p w14:paraId="7E0CF35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51E1682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w:t>
      </w:r>
      <w:proofErr w:type="gramStart"/>
      <w:r>
        <w:rPr>
          <w:rFonts w:ascii="宋体" w:hAnsi="宋体"/>
          <w:sz w:val="24"/>
        </w:rPr>
        <w:t>投资人自依基金</w:t>
      </w:r>
      <w:proofErr w:type="gramEnd"/>
      <w:r>
        <w:rPr>
          <w:rFonts w:ascii="宋体" w:hAnsi="宋体"/>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F6504D2"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7176BAA9" w14:textId="77777777" w:rsidR="001D6314" w:rsidRDefault="00130266">
      <w:pPr>
        <w:pStyle w:val="1"/>
        <w:snapToGrid w:val="0"/>
        <w:spacing w:beforeLines="0" w:before="240" w:after="240"/>
        <w:rPr>
          <w:rFonts w:ascii="宋体" w:hAnsi="宋体"/>
          <w:szCs w:val="30"/>
        </w:rPr>
      </w:pPr>
      <w:bookmarkStart w:id="4" w:name="_Toc216871997"/>
      <w:r>
        <w:rPr>
          <w:rFonts w:ascii="Times New Roman" w:hAnsi="Times New Roman"/>
          <w:sz w:val="30"/>
        </w:rPr>
        <w:lastRenderedPageBreak/>
        <w:t>二、释义</w:t>
      </w:r>
      <w:bookmarkEnd w:id="4"/>
    </w:p>
    <w:p w14:paraId="72E3E57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14:paraId="2BE6309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1、基金或本基金：指交银施罗德中证红利低波动100指数型证券投资基金</w:t>
      </w:r>
    </w:p>
    <w:p w14:paraId="38E2D32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2、基金管理人：指交银施罗德基金管理有限公司</w:t>
      </w:r>
    </w:p>
    <w:p w14:paraId="70CBE8F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3、基金托管人：指中国农业银行股份有限公司</w:t>
      </w:r>
    </w:p>
    <w:p w14:paraId="59B45AF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4、基金合同或《基金合同》：指《交银施罗德中证红利低波动100指数型证券投资基金基金合同》及对基金合同的任何有效修订和补充</w:t>
      </w:r>
    </w:p>
    <w:p w14:paraId="771281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5、托管协议：指基金管理人与基金托管人就本基金签订之《交银施罗德中证红利低波动100指数型证券投资基金托管协议》及对该托管协议的任何有效修订和补充</w:t>
      </w:r>
    </w:p>
    <w:p w14:paraId="1BFE3E0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6、招募说明书、《招募说明书》或本招募说明书：指《交银施罗德中证红利低波动100指数型证券投资基金招募说明书》及其更新</w:t>
      </w:r>
    </w:p>
    <w:p w14:paraId="039E4D3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7、基金份额发售公告：指《交银施罗德中证红利低波动100指数型证券投资基金基金份额发售公告》</w:t>
      </w:r>
    </w:p>
    <w:p w14:paraId="6B04F31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8、基金产品资料概要：指《交银施罗德中证红利低波动100指数型证券投资基金基金产品资料概要》及其更新</w:t>
      </w:r>
    </w:p>
    <w:p w14:paraId="37EDED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14:paraId="3DB595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10、《基金法》：指《中华人民共和国证券投资基金法》及颁布机关对其不时做出的修订</w:t>
      </w:r>
    </w:p>
    <w:p w14:paraId="7A2B1F1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11、《销售办法》：指《公开募集证券投资基金销售机构监督管理办法》及颁布机关对其不时做出的修订</w:t>
      </w:r>
    </w:p>
    <w:p w14:paraId="6353F48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12、《信息披露办法》：指《公开募集证券投资基金信息披露管理办法》及颁布机关对其不时做出的修订</w:t>
      </w:r>
    </w:p>
    <w:p w14:paraId="26D94DD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13、《运作办法》：指《公开募集证券投资基金运作管理办法》及颁布机关对其不时做出的修订</w:t>
      </w:r>
    </w:p>
    <w:p w14:paraId="798C06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14、《流动性风险管理规定》：指《公开募集开放式证券投资基金流动性风险管理规定》及颁布机关对其不时做出的修订</w:t>
      </w:r>
    </w:p>
    <w:p w14:paraId="0BE8DEF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15、《指数基金指引》：指《公开募集证券投资基金运作指引第3号——指数基</w:t>
      </w:r>
      <w:r>
        <w:rPr>
          <w:rFonts w:ascii="宋体" w:hAnsi="宋体"/>
          <w:sz w:val="24"/>
        </w:rPr>
        <w:lastRenderedPageBreak/>
        <w:t>金指引》及颁布机关对其不时做出的修订</w:t>
      </w:r>
    </w:p>
    <w:p w14:paraId="7FBE3B2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16、中国证监会：指中国证券监督管理委员会</w:t>
      </w:r>
    </w:p>
    <w:p w14:paraId="3FF186A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17、银行业监督管理机构：指中国人民银行和/或国家金融监督管理总局</w:t>
      </w:r>
    </w:p>
    <w:p w14:paraId="2FC7122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18、基金合同当事人：指受基金合同约束，根据基金合同享有权利并承担义务的法律主体，包括基金管理人、基金托管人和基金份额持有人</w:t>
      </w:r>
    </w:p>
    <w:p w14:paraId="030F399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19、个人投资者：指依据有关法律法规规定可投资于证券投资基金的自然人</w:t>
      </w:r>
    </w:p>
    <w:p w14:paraId="7A20C87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20、机构投资者：指依法可以投资证券投资基金的、在中华人民共和国境内合法登记并存续或经有关政府部门批准设立并存续的企业法人、事业法人、社会团体或其他组织</w:t>
      </w:r>
    </w:p>
    <w:p w14:paraId="56B6838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2E1836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22、投资人、投资者：指个人投资者、机构投资者、合格境外投资者以及法律法规或中国证监会允许购买证券投资基金的其他投资人的合称</w:t>
      </w:r>
    </w:p>
    <w:p w14:paraId="1079DAD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23、基金份额持有人：指依基金合同和招募说明书合法取得基金份额的投资人</w:t>
      </w:r>
    </w:p>
    <w:p w14:paraId="2DCCF8D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24、基金销售业务：指基金管理人或销售机构宣传推介基金，发售基金份额，办理基金份额的申购、赎回、转换、转托管及定期定额投资等业务</w:t>
      </w:r>
    </w:p>
    <w:p w14:paraId="2B742E2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25、销售机构：指交银施罗德基金管理有限公司以及符合《销售办法》和中国证监会规定的其他条件，取得基金销售业务资格并与基金管理人签订了基金销售服务协议，办理基金销售业务的机构</w:t>
      </w:r>
    </w:p>
    <w:p w14:paraId="231C19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sz w:val="24"/>
        </w:rPr>
        <w:t>非交易</w:t>
      </w:r>
      <w:proofErr w:type="gramEnd"/>
      <w:r>
        <w:rPr>
          <w:rFonts w:ascii="宋体" w:hAnsi="宋体"/>
          <w:sz w:val="24"/>
        </w:rPr>
        <w:t>过户等</w:t>
      </w:r>
    </w:p>
    <w:p w14:paraId="0808B42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27、登记机构：</w:t>
      </w:r>
      <w:proofErr w:type="gramStart"/>
      <w:r>
        <w:rPr>
          <w:rFonts w:ascii="宋体" w:hAnsi="宋体"/>
          <w:sz w:val="24"/>
        </w:rPr>
        <w:t>指办理</w:t>
      </w:r>
      <w:proofErr w:type="gramEnd"/>
      <w:r>
        <w:rPr>
          <w:rFonts w:ascii="宋体" w:hAnsi="宋体"/>
          <w:sz w:val="24"/>
        </w:rPr>
        <w:t>登记业务的机构。基金的登记机构为交银施罗德基金管理有限公司或接受交银施罗德基金管理有限公司委托代为办理登记业务的机构</w:t>
      </w:r>
    </w:p>
    <w:p w14:paraId="50F42D8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28、基金账户：指登记机构为投资人开立的、记录其持有的、基金管理人所管理的基金份额余额及其变动情况的账户</w:t>
      </w:r>
    </w:p>
    <w:p w14:paraId="4283B3C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29、基金交易账户：指销售机构为投资人开立的、记录投资人通过该销售机构办理认购、申购、赎回、转换及转托管等业务而引起的基金份额变动及结余情况的</w:t>
      </w:r>
      <w:r>
        <w:rPr>
          <w:rFonts w:ascii="宋体" w:hAnsi="宋体"/>
          <w:sz w:val="24"/>
        </w:rPr>
        <w:lastRenderedPageBreak/>
        <w:t>账户</w:t>
      </w:r>
    </w:p>
    <w:p w14:paraId="5195301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30、基金合同生效日：指基金募集达到法律法规规定及基金合同规定的条件，基金管理人向中国证监会办理基金备案手续完毕，并获得中国证监会书面确认的日期</w:t>
      </w:r>
    </w:p>
    <w:p w14:paraId="636399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31、基金合同终止日：指基金合同规定的基金合同终止事由出现后，基金财产清算完毕，清算结果报中国证监会备案并予以公告的日期</w:t>
      </w:r>
    </w:p>
    <w:p w14:paraId="7EFD3E3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32、基金募集期：指自基金份额发售之日起至发售结束之日止的期间，最长不得超过3个月</w:t>
      </w:r>
    </w:p>
    <w:p w14:paraId="5447DD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33、存续期：指基金合同生效至终止之间的不定期期限</w:t>
      </w:r>
    </w:p>
    <w:p w14:paraId="64087EF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34、工作日：指上海证券交易所、深圳证券交易所的正常交易日</w:t>
      </w:r>
    </w:p>
    <w:p w14:paraId="34FAB36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35、T日：指销售机构在规定时间受理投资人申购、赎回或其他业务申请的开放日</w:t>
      </w:r>
    </w:p>
    <w:p w14:paraId="10C2283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36、T+n日：指自T日起第n</w:t>
      </w:r>
      <w:proofErr w:type="gramStart"/>
      <w:r>
        <w:rPr>
          <w:rFonts w:ascii="宋体" w:hAnsi="宋体"/>
          <w:sz w:val="24"/>
        </w:rPr>
        <w:t>个</w:t>
      </w:r>
      <w:proofErr w:type="gramEnd"/>
      <w:r>
        <w:rPr>
          <w:rFonts w:ascii="宋体" w:hAnsi="宋体"/>
          <w:sz w:val="24"/>
        </w:rPr>
        <w:t>工作日（不包含T日）</w:t>
      </w:r>
    </w:p>
    <w:p w14:paraId="038D10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37、开放日：指为投资人办理基金份额申购、赎回或其他业务的工作日</w:t>
      </w:r>
    </w:p>
    <w:p w14:paraId="55CF639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38、开放时间：指开放日基金接受申购、赎回或其他交易的时间段</w:t>
      </w:r>
    </w:p>
    <w:p w14:paraId="102C454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39、《业务规则》：指中国证券登记结算有限责任公司相关业务规则及其不时做出的修订</w:t>
      </w:r>
    </w:p>
    <w:p w14:paraId="0D69F80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40、认购：指在基金募集期内，投资人根据基金合同和招募说明书的规定申请购买基金份额的行为</w:t>
      </w:r>
    </w:p>
    <w:p w14:paraId="355CF27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41、申购：指基金合同生效后，投资人根据基金合同和招募说明书的规定申请购买基金份额的行为</w:t>
      </w:r>
    </w:p>
    <w:p w14:paraId="49CEBBD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42、赎回：指基金合同生效后，基金份额持有人按基金合同和招募说明书规定的条件要求将基金份额兑换为现金的行为</w:t>
      </w:r>
    </w:p>
    <w:p w14:paraId="1B08DD3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43、基金转换：指基金份额持有人按照基金合同和基金管理人届时有效公告规定的条件，申请将其持有基金管理人管理的、某一基金的基金份额转换为基金管理人管理的其他</w:t>
      </w:r>
      <w:proofErr w:type="gramStart"/>
      <w:r>
        <w:rPr>
          <w:rFonts w:ascii="宋体" w:hAnsi="宋体"/>
          <w:sz w:val="24"/>
        </w:rPr>
        <w:t>基金基金</w:t>
      </w:r>
      <w:proofErr w:type="gramEnd"/>
      <w:r>
        <w:rPr>
          <w:rFonts w:ascii="宋体" w:hAnsi="宋体"/>
          <w:sz w:val="24"/>
        </w:rPr>
        <w:t>份额的行为</w:t>
      </w:r>
    </w:p>
    <w:p w14:paraId="3E1AF34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44、转托管：指基金份额持有人在本基金的不同销售机构之间实施的变更所持基金份额销售机构的操作</w:t>
      </w:r>
    </w:p>
    <w:p w14:paraId="2AF3A70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45、定期定额投资计划：指投资人通过有关销售机构提出申请，约定每期申购日、扣款金额及扣款方式，由指定的销售机构在投资人指定银行账户内自动完成扣</w:t>
      </w:r>
      <w:r>
        <w:rPr>
          <w:rFonts w:ascii="宋体" w:hAnsi="宋体"/>
          <w:sz w:val="24"/>
        </w:rPr>
        <w:lastRenderedPageBreak/>
        <w:t>款并于每期约定的申购日受理基金申购申请的一种投资方式</w:t>
      </w:r>
    </w:p>
    <w:p w14:paraId="605BDF9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巨额赎回：指本基金单个开放日，基金净赎回申请（赎回申请份额总数加上基金转换中转出申请份额总数后扣除申购申请份额总数及基金转换中转入申请份额总数后的余额）超过上一开放日基金总份额的10%的情形</w:t>
      </w:r>
    </w:p>
    <w:p w14:paraId="3F9E27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47、元：指人民币元</w:t>
      </w:r>
    </w:p>
    <w:p w14:paraId="3154E2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48、基金收益：指基金投资所得红利、股息、债券利息、买卖证券价差、银行存款利息、已实现的其他合法收入及因运用基金财产带来的成本和费用的节约</w:t>
      </w:r>
    </w:p>
    <w:p w14:paraId="2088B63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49、基金资产总值：指基金拥有的各类有价证券、股指期货合约、银行存款本息、基金应收款项及其他资产的价值总和</w:t>
      </w:r>
    </w:p>
    <w:p w14:paraId="37C2BAF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50、基金资产净值：指基金资产总值减去基金负债后的价值</w:t>
      </w:r>
    </w:p>
    <w:p w14:paraId="448A5F0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51、基金份额净值：指计算日基金资产净值除以计算日基金份额总数</w:t>
      </w:r>
    </w:p>
    <w:p w14:paraId="0B6D7C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52、基金资产估值：指计算评估基金资产和负债的价值，以确定基金资产净值和基金份额净值的过程</w:t>
      </w:r>
    </w:p>
    <w:p w14:paraId="023D8C2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53、规定媒介：指符合中国证监会规定条件的用以进行信息披露的全国性报刊及《信息披露办法》规定的互联网网站（包括基金管理人网站、基金托管人网站、中国证监会基金电子披露网站）等媒介</w:t>
      </w:r>
    </w:p>
    <w:p w14:paraId="0E3707F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54、销售服务费：指从基金财产中计提的，用于本基金市场推广、销售以及基金份额持有人服务的费用</w:t>
      </w:r>
    </w:p>
    <w:p w14:paraId="703A61D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55、A类基金份额：指在投资人认购/申购时收取认购/申购费用、不从本类别基金资产中计</w:t>
      </w:r>
      <w:proofErr w:type="gramStart"/>
      <w:r>
        <w:rPr>
          <w:rFonts w:ascii="宋体" w:hAnsi="宋体"/>
          <w:sz w:val="24"/>
        </w:rPr>
        <w:t>提销售</w:t>
      </w:r>
      <w:proofErr w:type="gramEnd"/>
      <w:r>
        <w:rPr>
          <w:rFonts w:ascii="宋体" w:hAnsi="宋体"/>
          <w:sz w:val="24"/>
        </w:rPr>
        <w:t>服务费的基金份额</w:t>
      </w:r>
    </w:p>
    <w:p w14:paraId="0AC9037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56、C类基金份额：指在投资人认购/申购时不收取认购/申购费用、从本类别基金资产中计</w:t>
      </w:r>
      <w:proofErr w:type="gramStart"/>
      <w:r>
        <w:rPr>
          <w:rFonts w:ascii="宋体" w:hAnsi="宋体"/>
          <w:sz w:val="24"/>
        </w:rPr>
        <w:t>提销售</w:t>
      </w:r>
      <w:proofErr w:type="gramEnd"/>
      <w:r>
        <w:rPr>
          <w:rFonts w:ascii="宋体" w:hAnsi="宋体"/>
          <w:sz w:val="24"/>
        </w:rPr>
        <w:t>服务费的基金份额</w:t>
      </w:r>
    </w:p>
    <w:p w14:paraId="5C96140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57、标的指数：指中证红利低波动100指数</w:t>
      </w:r>
    </w:p>
    <w:p w14:paraId="048BA57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58、流动性受限资产：指由于法律法规、监管、合同或操作障碍等原因无法以合理价格予以变现的资产，包括但不限于到期日在10个交易日以上的逆回购与银行定期存款（</w:t>
      </w:r>
      <w:proofErr w:type="gramStart"/>
      <w:r>
        <w:rPr>
          <w:rFonts w:ascii="宋体" w:hAnsi="宋体"/>
          <w:sz w:val="24"/>
        </w:rPr>
        <w:t>含协议</w:t>
      </w:r>
      <w:proofErr w:type="gramEnd"/>
      <w:r>
        <w:rPr>
          <w:rFonts w:ascii="宋体" w:hAnsi="宋体"/>
          <w:sz w:val="24"/>
        </w:rPr>
        <w:t>约定有条件提前支取的银行存款）、停牌股票、流通受限的新股及非公开发行股票、资产支持证券、因发行人债务违约无法进行转让或交易的债券等</w:t>
      </w:r>
    </w:p>
    <w:p w14:paraId="7C588EC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59、摆动定价机制：指当开放式基金遭遇大额申购赎回时，通过调整基金份额净值的方式，将基金调整投资组合的市场冲击成本分配给实际申购、赎回的投资</w:t>
      </w:r>
      <w:r>
        <w:rPr>
          <w:rFonts w:ascii="宋体" w:hAnsi="宋体"/>
          <w:sz w:val="24"/>
        </w:rPr>
        <w:lastRenderedPageBreak/>
        <w:t>者，从而减少对存量基金份额持有人利益的不利影响，确保投资人的合法权益不受损害并得到公平对待</w:t>
      </w:r>
    </w:p>
    <w:p w14:paraId="6C6AC82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w:t>
      </w:r>
      <w:proofErr w:type="gramStart"/>
      <w:r>
        <w:rPr>
          <w:rFonts w:ascii="宋体" w:hAnsi="宋体"/>
          <w:sz w:val="24"/>
        </w:rPr>
        <w:t>侧袋机制</w:t>
      </w:r>
      <w:proofErr w:type="gramEnd"/>
      <w:r>
        <w:rPr>
          <w:rFonts w:ascii="宋体" w:hAnsi="宋体"/>
          <w:sz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sz w:val="24"/>
        </w:rPr>
        <w:t>侧袋机制</w:t>
      </w:r>
      <w:proofErr w:type="gramEnd"/>
      <w:r>
        <w:rPr>
          <w:rFonts w:ascii="宋体" w:hAnsi="宋体"/>
          <w:sz w:val="24"/>
        </w:rPr>
        <w:t>实施期间，原有账户称为主袋账户，专门账户</w:t>
      </w:r>
      <w:proofErr w:type="gramStart"/>
      <w:r>
        <w:rPr>
          <w:rFonts w:ascii="宋体" w:hAnsi="宋体"/>
          <w:sz w:val="24"/>
        </w:rPr>
        <w:t>称为侧袋账户</w:t>
      </w:r>
      <w:proofErr w:type="gramEnd"/>
    </w:p>
    <w:p w14:paraId="578E5C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61、特定资产：包括：（一）无可参考的活跃市场价格且采用估值技术</w:t>
      </w:r>
      <w:proofErr w:type="gramStart"/>
      <w:r>
        <w:rPr>
          <w:rFonts w:ascii="宋体" w:hAnsi="宋体"/>
          <w:sz w:val="24"/>
        </w:rPr>
        <w:t>仍导致</w:t>
      </w:r>
      <w:proofErr w:type="gramEnd"/>
      <w:r>
        <w:rPr>
          <w:rFonts w:ascii="宋体" w:hAnsi="宋体"/>
          <w:sz w:val="24"/>
        </w:rPr>
        <w:t>公允价值存在重大不确定性的资产；（二）</w:t>
      </w:r>
      <w:proofErr w:type="gramStart"/>
      <w:r>
        <w:rPr>
          <w:rFonts w:ascii="宋体" w:hAnsi="宋体"/>
          <w:sz w:val="24"/>
        </w:rPr>
        <w:t>按摊余成本</w:t>
      </w:r>
      <w:proofErr w:type="gramEnd"/>
      <w:r>
        <w:rPr>
          <w:rFonts w:ascii="宋体" w:hAnsi="宋体"/>
          <w:sz w:val="24"/>
        </w:rPr>
        <w:t>计量且计提资产减值</w:t>
      </w:r>
      <w:proofErr w:type="gramStart"/>
      <w:r>
        <w:rPr>
          <w:rFonts w:ascii="宋体" w:hAnsi="宋体"/>
          <w:sz w:val="24"/>
        </w:rPr>
        <w:t>准备仍导致</w:t>
      </w:r>
      <w:proofErr w:type="gramEnd"/>
      <w:r>
        <w:rPr>
          <w:rFonts w:ascii="宋体" w:hAnsi="宋体"/>
          <w:sz w:val="24"/>
        </w:rPr>
        <w:t>资产价值存在重大不确定性的资产；（三）其他资产价值存在重大不确定性的资产</w:t>
      </w:r>
    </w:p>
    <w:p w14:paraId="0B8592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62、不可抗力：指基金合同当事人不能预见、不能避免且不能克服的客观事件</w:t>
      </w:r>
    </w:p>
    <w:p w14:paraId="1E4070E3"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937737B" w14:textId="77777777" w:rsidR="001D6314" w:rsidRDefault="00130266">
      <w:pPr>
        <w:pStyle w:val="1"/>
        <w:snapToGrid w:val="0"/>
        <w:spacing w:beforeLines="0" w:before="240" w:after="240"/>
        <w:rPr>
          <w:rFonts w:ascii="宋体" w:hAnsi="宋体"/>
          <w:szCs w:val="30"/>
        </w:rPr>
      </w:pPr>
      <w:bookmarkStart w:id="5" w:name="_Toc216871998"/>
      <w:r>
        <w:rPr>
          <w:rFonts w:ascii="Times New Roman" w:hAnsi="Times New Roman"/>
          <w:sz w:val="30"/>
        </w:rPr>
        <w:lastRenderedPageBreak/>
        <w:t>三、基金管理人</w:t>
      </w:r>
      <w:bookmarkEnd w:id="5"/>
    </w:p>
    <w:p w14:paraId="4F5606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14:paraId="323CC9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6101CA8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1CC3B04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14:paraId="1A4E6AB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4D60969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14:paraId="0D7D19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1341B7D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14:paraId="5B372E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6F023A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联系人：何佳妮</w:t>
      </w:r>
    </w:p>
    <w:p w14:paraId="439017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14:paraId="09D0D1D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14:paraId="2B0F24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w:t>
      </w:r>
      <w:proofErr w:type="gramStart"/>
      <w:r>
        <w:rPr>
          <w:rFonts w:ascii="宋体" w:hAnsi="宋体"/>
          <w:sz w:val="24"/>
        </w:rPr>
        <w:t>监基金字</w:t>
      </w:r>
      <w:proofErr w:type="gramEnd"/>
      <w:r>
        <w:rPr>
          <w:rFonts w:ascii="宋体" w:hAnsi="宋体"/>
          <w:sz w:val="24"/>
        </w:rPr>
        <w:t>[2005]128号文批准设立。公司股权结构如下：</w:t>
      </w:r>
    </w:p>
    <w:tbl>
      <w:tblPr>
        <w:tblW w:w="5000" w:type="pct"/>
        <w:tblCellMar>
          <w:left w:w="0" w:type="dxa"/>
          <w:right w:w="0" w:type="dxa"/>
        </w:tblCellMar>
        <w:tblLook w:val="04A0" w:firstRow="1" w:lastRow="0" w:firstColumn="1" w:lastColumn="0" w:noHBand="0" w:noVBand="1"/>
      </w:tblPr>
      <w:tblGrid>
        <w:gridCol w:w="2162"/>
        <w:gridCol w:w="6488"/>
      </w:tblGrid>
      <w:tr w:rsidR="001D6314" w14:paraId="663E1D2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F08BA0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14:paraId="0CD5197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1D6314" w14:paraId="1D411C4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7F0585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5A7A349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1D6314" w14:paraId="2F50C61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5E61D2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47F8D00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1D6314" w14:paraId="4199EE6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8CBAF9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491B911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14:paraId="495BD77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14:paraId="63658EE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14:paraId="4A270C61"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张宏良先生，董事长，硕士，高级经济师。历任中国太平洋人寿保险公司乌鲁木齐分公司、河南（郑州）分公司、上海分公司党委书记、总经理，交银人寿保险有限公司党委书记、董事长、总裁，兼任交银康</w:t>
      </w:r>
      <w:proofErr w:type="gramStart"/>
      <w:r>
        <w:rPr>
          <w:rFonts w:ascii="宋体" w:hAnsi="宋体" w:hint="eastAsia"/>
          <w:sz w:val="24"/>
        </w:rPr>
        <w:t>联资产</w:t>
      </w:r>
      <w:proofErr w:type="gramEnd"/>
      <w:r>
        <w:rPr>
          <w:rFonts w:ascii="宋体" w:hAnsi="宋体" w:hint="eastAsia"/>
          <w:sz w:val="24"/>
        </w:rPr>
        <w:t>管理有限公司董事长，交银理财有限责任公司党委书记、董事长。</w:t>
      </w:r>
    </w:p>
    <w:p w14:paraId="5712B962"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袁庆伟女士，董事，总经理，硕士。历任交通银行乌鲁木齐分行财务会计处副</w:t>
      </w:r>
      <w:r>
        <w:rPr>
          <w:rFonts w:ascii="宋体" w:hAnsi="宋体" w:hint="eastAsia"/>
          <w:sz w:val="24"/>
        </w:rPr>
        <w:lastRenderedPageBreak/>
        <w:t>处长、会计结算部高级经理，交通银行总行资产托管业务中心（资产托管部）副总裁、总裁，交通银行总行金融机构部总经理、资产管理业务中心总裁等职务。</w:t>
      </w:r>
    </w:p>
    <w:p w14:paraId="045EBDC5"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14:paraId="41A2E7E3"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Karine Szenberg女士，董事，硕士。现任施罗德投资集团执行副主席、集团执行委员会成员和施罗德投资管理（瑞士）股份有限公司董事会主席。历任施罗德投资法国主管、欧洲主管、全球产品和营销主管等。</w:t>
      </w:r>
    </w:p>
    <w:p w14:paraId="21A6C795"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14:paraId="164369FC"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单锋先生，独立董事，博士。现任南京大学法学教授职务。历任南京大学法学院助教、讲师、副教授。</w:t>
      </w:r>
    </w:p>
    <w:p w14:paraId="3345ADA2"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刘凤元先生，独立董事，博士。现任华东政法大学国际金融法律学院教授，资本市场研究中心主任，兼任多家香港和大陆上市公司（非证券基金经营机构）独立董事。</w:t>
      </w:r>
    </w:p>
    <w:p w14:paraId="1322E577"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宋若坤女士，独立董事，学士。英格兰及威尔士特许会计师协会和香港会计师公会特许会计师、注册金融分析师。历任毕马威会计师事务所香港分所审计部主管副经理，摩根资产管理（香港）亚太区资产管理合</w:t>
      </w:r>
      <w:proofErr w:type="gramStart"/>
      <w:r>
        <w:rPr>
          <w:rFonts w:ascii="宋体" w:hAnsi="宋体" w:hint="eastAsia"/>
          <w:sz w:val="24"/>
        </w:rPr>
        <w:t>规</w:t>
      </w:r>
      <w:proofErr w:type="gramEnd"/>
      <w:r>
        <w:rPr>
          <w:rFonts w:ascii="宋体" w:hAnsi="宋体" w:hint="eastAsia"/>
          <w:sz w:val="24"/>
        </w:rPr>
        <w:t>主管、董事总经理等。</w:t>
      </w:r>
    </w:p>
    <w:p w14:paraId="3CC9AFE4"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2、基金管理人高级管理人员</w:t>
      </w:r>
    </w:p>
    <w:p w14:paraId="206D975F"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袁庆伟女士，总经理。简历同上。</w:t>
      </w:r>
    </w:p>
    <w:p w14:paraId="2754CD50"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w:t>
      </w:r>
      <w:proofErr w:type="gramStart"/>
      <w:r>
        <w:rPr>
          <w:rFonts w:ascii="宋体" w:hAnsi="宋体" w:hint="eastAsia"/>
          <w:sz w:val="24"/>
        </w:rPr>
        <w:t>风控副</w:t>
      </w:r>
      <w:proofErr w:type="gramEnd"/>
      <w:r>
        <w:rPr>
          <w:rFonts w:ascii="宋体" w:hAnsi="宋体" w:hint="eastAsia"/>
          <w:sz w:val="24"/>
        </w:rPr>
        <w:t>总监、投资运营总监。</w:t>
      </w:r>
    </w:p>
    <w:p w14:paraId="7B553992"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马俊先生，副总经理，硕士。历任交通银行总行投资管理部高级投资分析、副高级经理，交银施罗德基金管理有限公司总裁办公室总经理、研究部副总经理、研究总监、综合管理部总经理。</w:t>
      </w:r>
    </w:p>
    <w:p w14:paraId="0F8E8922"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lastRenderedPageBreak/>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14:paraId="4752FC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w:t>
      </w:r>
      <w:proofErr w:type="gramStart"/>
      <w:r>
        <w:rPr>
          <w:rFonts w:ascii="宋体" w:hAnsi="宋体"/>
          <w:sz w:val="24"/>
        </w:rPr>
        <w:t>基金基金</w:t>
      </w:r>
      <w:proofErr w:type="gramEnd"/>
      <w:r>
        <w:rPr>
          <w:rFonts w:ascii="宋体" w:hAnsi="宋体"/>
          <w:sz w:val="24"/>
        </w:rPr>
        <w:t>经理</w:t>
      </w:r>
    </w:p>
    <w:p w14:paraId="55A6EBA5" w14:textId="306F2689"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蔡铮先生:基金经理。复旦大学电子工程硕士，17年证券投资行业从业经验。2007年起在瑞士银行香港分行工作。2009年加入交银施罗德基金管理有限公司，曾任投资研究部数量分析师、基金经理助理、量化投资部助理总经理、量化投资部副总经理、多元资产管理副总监，现任量化投资部量化投资副总监、基金经理。曾任上证180公司治理交易型开放式指数证券投资基金(2012年12月27日至2021年04月30日)、深证300价值交易型开放式指数证券投资基金(2012年12月27日至2021年04月30日)、交银施罗德深证300价值交易型开放式指数证券投资基金联接基金(2012年12月27日至2021年04月30日)、交银施罗德沪深300行业分层等权重指数证券投资基金(2012年12月27日至2015年06月30日)、交银施罗德消费新驱动股票型证券投资基金(2012年12月27日至2015年06月30日)、交银施罗德上证180公司治理交易型开放式指数证券投资基金联接基金(2012年12月27日至2021年04月30日)、</w:t>
      </w:r>
      <w:proofErr w:type="gramStart"/>
      <w:r>
        <w:rPr>
          <w:rFonts w:ascii="宋体" w:hAnsi="宋体"/>
          <w:sz w:val="24"/>
        </w:rPr>
        <w:t>交银施罗</w:t>
      </w:r>
      <w:proofErr w:type="gramEnd"/>
      <w:r>
        <w:rPr>
          <w:rFonts w:ascii="宋体" w:hAnsi="宋体"/>
          <w:sz w:val="24"/>
        </w:rPr>
        <w:t>德国证新能源指数证券投资基金（LOF）(2015年03月26日至2021年04月30日)、交银施罗德全球自然资源证券投资基金(2015年04月22日至2017年03月24日)、交银施罗德环球精选价值证券投资基金(2015年04月22日至2017年03月24日)、交银施罗德中</w:t>
      </w:r>
      <w:proofErr w:type="gramStart"/>
      <w:r>
        <w:rPr>
          <w:rFonts w:ascii="宋体" w:hAnsi="宋体"/>
          <w:sz w:val="24"/>
        </w:rPr>
        <w:t>证海外</w:t>
      </w:r>
      <w:proofErr w:type="gramEnd"/>
      <w:r>
        <w:rPr>
          <w:rFonts w:ascii="宋体" w:hAnsi="宋体"/>
          <w:sz w:val="24"/>
        </w:rPr>
        <w:t>中国互联网指数型证券投资基金(LOF)(2015年05月27日至2021年04月30日)、交银施罗德中证互联网金融指数分级证券投资基金(2015年06月26日至2020年11月25日)、交银施罗德中</w:t>
      </w:r>
      <w:proofErr w:type="gramStart"/>
      <w:r>
        <w:rPr>
          <w:rFonts w:ascii="宋体" w:hAnsi="宋体"/>
          <w:sz w:val="24"/>
        </w:rPr>
        <w:t>证环境</w:t>
      </w:r>
      <w:proofErr w:type="gramEnd"/>
      <w:r>
        <w:rPr>
          <w:rFonts w:ascii="宋体" w:hAnsi="宋体"/>
          <w:sz w:val="24"/>
        </w:rPr>
        <w:t>治理指数分级证券投资基金(2015年08月13日至2016年07月18日)、交银施罗德中</w:t>
      </w:r>
      <w:proofErr w:type="gramStart"/>
      <w:r>
        <w:rPr>
          <w:rFonts w:ascii="宋体" w:hAnsi="宋体"/>
          <w:sz w:val="24"/>
        </w:rPr>
        <w:t>证环境</w:t>
      </w:r>
      <w:proofErr w:type="gramEnd"/>
      <w:r>
        <w:rPr>
          <w:rFonts w:ascii="宋体" w:hAnsi="宋体"/>
          <w:sz w:val="24"/>
        </w:rPr>
        <w:t>治理指数型证券投资基金(LOF)(2016年07月19日至2021年04月30日)、交银施罗德致远</w:t>
      </w:r>
      <w:proofErr w:type="gramStart"/>
      <w:r>
        <w:rPr>
          <w:rFonts w:ascii="宋体" w:hAnsi="宋体"/>
          <w:sz w:val="24"/>
        </w:rPr>
        <w:t>量化智投策略</w:t>
      </w:r>
      <w:proofErr w:type="gramEnd"/>
      <w:r>
        <w:rPr>
          <w:rFonts w:ascii="宋体" w:hAnsi="宋体"/>
          <w:sz w:val="24"/>
        </w:rPr>
        <w:t>定期开放混合型证券投资基金(2018年05月18日至2020年07月17日)、交银施罗德创业板50指数型证券投资基金(2019年11月20日至2021年04月30日)、交银施罗德养老目标日期2035三年持有期混合型基金中基金（FOF）(2021年04月30日至2025年01月22日)、交银施罗德安享稳健养老目标一年持有期混合型基金中基金（FOF）(2021年04月30日至2025年01月22日)的基金经理。现任交银施罗德上证180公司治理交易型开放式指数证券投资基金联接基金(2025年02月27日至今)、交银施罗德创业板50指数型证券投资基金(2025</w:t>
      </w:r>
      <w:r>
        <w:rPr>
          <w:rFonts w:ascii="宋体" w:hAnsi="宋体"/>
          <w:sz w:val="24"/>
        </w:rPr>
        <w:lastRenderedPageBreak/>
        <w:t>年02月27日至今)、交银施罗德中</w:t>
      </w:r>
      <w:proofErr w:type="gramStart"/>
      <w:r>
        <w:rPr>
          <w:rFonts w:ascii="宋体" w:hAnsi="宋体"/>
          <w:sz w:val="24"/>
        </w:rPr>
        <w:t>证海外</w:t>
      </w:r>
      <w:proofErr w:type="gramEnd"/>
      <w:r>
        <w:rPr>
          <w:rFonts w:ascii="宋体" w:hAnsi="宋体"/>
          <w:sz w:val="24"/>
        </w:rPr>
        <w:t>中国互联网指数型证券投资基金(LOF)(2025年02月27日至今)、上证180公司治理交易型开放式指数证券投资基金(2025年02月27日至今)、交银施罗德中证红利低波动100指数型证券投资基金(2025年02月27日至今)</w:t>
      </w:r>
      <w:r>
        <w:rPr>
          <w:rFonts w:ascii="宋体" w:hAnsi="宋体" w:hint="eastAsia"/>
          <w:sz w:val="24"/>
        </w:rPr>
        <w:t>、交银施罗德中</w:t>
      </w:r>
      <w:proofErr w:type="gramStart"/>
      <w:r>
        <w:rPr>
          <w:rFonts w:ascii="宋体" w:hAnsi="宋体" w:hint="eastAsia"/>
          <w:sz w:val="24"/>
        </w:rPr>
        <w:t>证智选沪</w:t>
      </w:r>
      <w:proofErr w:type="gramEnd"/>
      <w:r>
        <w:rPr>
          <w:rFonts w:ascii="宋体" w:hAnsi="宋体" w:hint="eastAsia"/>
          <w:sz w:val="24"/>
        </w:rPr>
        <w:t>深港科技50交易型开放式指数证券投资基金(2025年12月10日至今) 、交银施罗德环球精选价值证券投资基金（2026年01月22日至今）</w:t>
      </w:r>
      <w:r>
        <w:rPr>
          <w:rFonts w:ascii="宋体" w:hAnsi="宋体"/>
          <w:sz w:val="24"/>
        </w:rPr>
        <w:t>的基金经理。</w:t>
      </w:r>
    </w:p>
    <w:p w14:paraId="7FAAFD91" w14:textId="22C35C3D"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邵文婷女士:基金经理。英国诺丁汉大学金融与投资硕士、西南财经大学数学与经济学双学士。10年证券投资行业从业经验。2016年加入交银施罗德基金管理有限公司，曾任量化投资部研究员、投资经理，现任</w:t>
      </w:r>
      <w:proofErr w:type="gramStart"/>
      <w:r>
        <w:rPr>
          <w:rFonts w:ascii="宋体" w:hAnsi="宋体"/>
          <w:sz w:val="24"/>
        </w:rPr>
        <w:t>多资产</w:t>
      </w:r>
      <w:proofErr w:type="gramEnd"/>
      <w:r>
        <w:rPr>
          <w:rFonts w:ascii="宋体" w:hAnsi="宋体"/>
          <w:sz w:val="24"/>
        </w:rPr>
        <w:t>研究部副总监、基金经理。</w:t>
      </w:r>
      <w:proofErr w:type="gramStart"/>
      <w:r>
        <w:rPr>
          <w:rFonts w:ascii="宋体" w:hAnsi="宋体"/>
          <w:sz w:val="24"/>
        </w:rPr>
        <w:t>曾任交银</w:t>
      </w:r>
      <w:proofErr w:type="gramEnd"/>
      <w:r>
        <w:rPr>
          <w:rFonts w:ascii="宋体" w:hAnsi="宋体"/>
          <w:sz w:val="24"/>
        </w:rPr>
        <w:t>施罗德定期支付月月丰债券型证券投资基金(2022年11月30日至2024年12月27日)的基金经理。现任深证300价值交易型开放式指数证券投资基金(2021年04月30日至今)、上证180公司治理交易型开放式指数证券投资基金(2021年04月30日至今)、交银施罗德上证180公司治理交易型开放式指数证券投资基金联接基金(2021年04月30日至今)、交银施罗德深证300价值交易型开放式指数证券投资基金联接基金(2021年04月30日至今)、交银施罗德国证新能源指数证券投资基金（LOF）(2021年04月30日至今)、交银施罗德中证环境治理指数型证券投资基金(LOF)(2021年04月30日至今)、交银施罗德中证海外中国互联网指数型证券投资基金(LOF)(2021年04月30日至今)、交银施罗德创业板50指数型证券投资基金(2021年04月30日至今)、交银施罗德中证红利低波动100指数型证券投资基金(2024年03月15日至今)、交银施罗德中证A500指数型证券投资基金(2025年01月22日至今)、交银施罗德上证科创板100指数型证券投资基金(2025年02月26日至今)、交</w:t>
      </w:r>
      <w:bookmarkStart w:id="6" w:name="_GoBack"/>
      <w:bookmarkEnd w:id="6"/>
      <w:r>
        <w:rPr>
          <w:rFonts w:ascii="宋体" w:hAnsi="宋体"/>
          <w:sz w:val="24"/>
        </w:rPr>
        <w:t>银施罗德中证A50指数型证券投资基金(2025年04月02日至今)、交银施罗德恒生港股通创新药精选指数型证券投资基金(2025年08月20日至今)、交银施罗德中证港股通央企红利指数型证券投资基金(2025年10月28日至今)</w:t>
      </w:r>
      <w:r>
        <w:rPr>
          <w:rFonts w:hint="eastAsia"/>
        </w:rPr>
        <w:t xml:space="preserve"> </w:t>
      </w:r>
      <w:r>
        <w:rPr>
          <w:rFonts w:ascii="宋体" w:hAnsi="宋体" w:hint="eastAsia"/>
          <w:sz w:val="24"/>
        </w:rPr>
        <w:t>、交银施罗德中证智选沪深港科技50交易型开放式指数证券投资基金(2025年12月10日至今)、交银施罗德中证A500指数增强型发起式证券投资基金(202</w:t>
      </w:r>
      <w:r>
        <w:rPr>
          <w:rFonts w:ascii="宋体" w:hAnsi="宋体"/>
          <w:sz w:val="24"/>
        </w:rPr>
        <w:t>6</w:t>
      </w:r>
      <w:r>
        <w:rPr>
          <w:rFonts w:ascii="宋体" w:hAnsi="宋体" w:hint="eastAsia"/>
          <w:sz w:val="24"/>
        </w:rPr>
        <w:t>年</w:t>
      </w:r>
      <w:r w:rsidR="00DA76B1">
        <w:rPr>
          <w:rFonts w:ascii="宋体" w:hAnsi="宋体" w:hint="eastAsia"/>
          <w:sz w:val="24"/>
        </w:rPr>
        <w:t>0</w:t>
      </w:r>
      <w:r>
        <w:rPr>
          <w:rFonts w:ascii="宋体" w:hAnsi="宋体"/>
          <w:sz w:val="24"/>
        </w:rPr>
        <w:t>2</w:t>
      </w:r>
      <w:r>
        <w:rPr>
          <w:rFonts w:ascii="宋体" w:hAnsi="宋体" w:hint="eastAsia"/>
          <w:sz w:val="24"/>
        </w:rPr>
        <w:t>月10日至今)</w:t>
      </w:r>
      <w:r>
        <w:rPr>
          <w:rFonts w:ascii="宋体" w:hAnsi="宋体"/>
          <w:sz w:val="24"/>
        </w:rPr>
        <w:t>的基金经理。</w:t>
      </w:r>
    </w:p>
    <w:p w14:paraId="5DCEA1B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4、投资决策委员会成员</w:t>
      </w:r>
    </w:p>
    <w:p w14:paraId="5B1E64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委员：袁庆伟（总经理）</w:t>
      </w:r>
    </w:p>
    <w:p w14:paraId="37FB167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w:t>
      </w:r>
    </w:p>
    <w:p w14:paraId="3698F4E6" w14:textId="5B310304"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于海颖（混合资产投资总监、基金经理）</w:t>
      </w:r>
    </w:p>
    <w:p w14:paraId="24F7DB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王崇（权益投资副总监、权益部一级专家、基金经理）</w:t>
      </w:r>
    </w:p>
    <w:p w14:paraId="539D02C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马韬（研究总监）</w:t>
      </w:r>
    </w:p>
    <w:p w14:paraId="497F9A8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上述人员之间不存在近亲属关系。</w:t>
      </w:r>
    </w:p>
    <w:p w14:paraId="3F58F7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14:paraId="5317FEA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5A90935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777198E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14:paraId="5C0361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14:paraId="08C73DF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14:paraId="5EA1A3F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14:paraId="7A1D30F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14:paraId="4CED8BC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14:paraId="5018A69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9、按照规定召集基金份额持有人大会；</w:t>
      </w:r>
    </w:p>
    <w:p w14:paraId="5CBCB3E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14:paraId="4E4E306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14:paraId="28A2F16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14:paraId="0E14A3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14:paraId="48D3914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14:paraId="7779DD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14:paraId="192466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14:paraId="247BE7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14:paraId="4071E3C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14:paraId="6C3B3BE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14:paraId="3775F02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14:paraId="4289C1F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（6）法律、行政法规和中国证监会禁止的其他行为。</w:t>
      </w:r>
    </w:p>
    <w:p w14:paraId="39E3A98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14:paraId="6DEB76B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14:paraId="7D36EA3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14:paraId="3EC3B9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14:paraId="75C0049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14:paraId="627C489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14:paraId="54F9333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14:paraId="772E18C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14:paraId="3E79375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14:paraId="4B4C4B6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1、内部控制的原则</w:t>
      </w:r>
    </w:p>
    <w:p w14:paraId="48F6CAD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（1）健全性原则</w:t>
      </w:r>
    </w:p>
    <w:p w14:paraId="3ECFD0E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内部控制应当包括公司的各项业务、各个部门或机构和各级人员, 并涵盖到决策、执行、监督、反馈等各个环节。</w:t>
      </w:r>
    </w:p>
    <w:p w14:paraId="458DF60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（2）有效性原则</w:t>
      </w:r>
    </w:p>
    <w:p w14:paraId="72232DC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通过科学的内控手段和方法，建立合理的内控程序，维护内控制度的有效执行。</w:t>
      </w:r>
    </w:p>
    <w:p w14:paraId="4AA0D6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（3）独立性原则</w:t>
      </w:r>
    </w:p>
    <w:p w14:paraId="1742B2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公司各机构、部门和岗位职责应当保持相对独立，除非法律法规另有规定，公司基金资产、自有资产、其他资产的运作应当分离。</w:t>
      </w:r>
    </w:p>
    <w:p w14:paraId="74C04F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（4）相互制约原则</w:t>
      </w:r>
    </w:p>
    <w:p w14:paraId="10BBAAC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公司内部部门和岗位的设置应当体现权责分明、相互制衡。</w:t>
      </w:r>
    </w:p>
    <w:p w14:paraId="0A9385A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（5）成本效益原则</w:t>
      </w:r>
    </w:p>
    <w:p w14:paraId="587B776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公司运用科学化的经营管理方法降低运作成本，提高经济效益，力争以合理的控制成本达到最佳的内部控制效果。</w:t>
      </w:r>
    </w:p>
    <w:p w14:paraId="13A1013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2、风险管理和内部风险控制体系结构</w:t>
      </w:r>
    </w:p>
    <w:p w14:paraId="22B951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14:paraId="3A89105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14:paraId="3743F3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负责制定公司风险偏好（</w:t>
      </w:r>
      <w:proofErr w:type="gramStart"/>
      <w:r>
        <w:rPr>
          <w:rFonts w:ascii="宋体" w:hAnsi="宋体"/>
          <w:sz w:val="24"/>
        </w:rPr>
        <w:t>含风险</w:t>
      </w:r>
      <w:proofErr w:type="gramEnd"/>
      <w:r>
        <w:rPr>
          <w:rFonts w:ascii="宋体" w:hAnsi="宋体"/>
          <w:sz w:val="24"/>
        </w:rPr>
        <w:t>容忍度）、风险管理和内部控制政策，审议并通过与公司内部风险管理和合</w:t>
      </w:r>
      <w:proofErr w:type="gramStart"/>
      <w:r>
        <w:rPr>
          <w:rFonts w:ascii="宋体" w:hAnsi="宋体"/>
          <w:sz w:val="24"/>
        </w:rPr>
        <w:t>规</w:t>
      </w:r>
      <w:proofErr w:type="gramEnd"/>
      <w:r>
        <w:rPr>
          <w:rFonts w:ascii="宋体" w:hAnsi="宋体"/>
          <w:sz w:val="24"/>
        </w:rPr>
        <w:t>有关的重大事项。</w:t>
      </w:r>
    </w:p>
    <w:p w14:paraId="44D21A1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（2）合</w:t>
      </w:r>
      <w:proofErr w:type="gramStart"/>
      <w:r>
        <w:rPr>
          <w:rFonts w:ascii="宋体" w:hAnsi="宋体"/>
          <w:sz w:val="24"/>
        </w:rPr>
        <w:t>规</w:t>
      </w:r>
      <w:proofErr w:type="gramEnd"/>
      <w:r>
        <w:rPr>
          <w:rFonts w:ascii="宋体" w:hAnsi="宋体"/>
          <w:sz w:val="24"/>
        </w:rPr>
        <w:t>风险及审计委员会</w:t>
      </w:r>
    </w:p>
    <w:p w14:paraId="4B3ECE0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作为董事会下的专业委员会之一，负责对公司在经营管理和基金业务运作的合法性、合</w:t>
      </w:r>
      <w:proofErr w:type="gramStart"/>
      <w:r>
        <w:rPr>
          <w:rFonts w:ascii="宋体" w:hAnsi="宋体"/>
          <w:sz w:val="24"/>
        </w:rPr>
        <w:t>规</w:t>
      </w:r>
      <w:proofErr w:type="gramEnd"/>
      <w:r>
        <w:rPr>
          <w:rFonts w:ascii="宋体" w:hAnsi="宋体"/>
          <w:sz w:val="24"/>
        </w:rPr>
        <w:t>性和风险状况进行检查和评估，对公司监察稽核制度的有效性进行评价，监督检查公司财务状况，审计公司的财务报表，评估公司的财务表现，保证公司的财务运作符合法律的要求和通行的会计标准。</w:t>
      </w:r>
    </w:p>
    <w:p w14:paraId="4373945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（3）风险控制委员会</w:t>
      </w:r>
    </w:p>
    <w:p w14:paraId="440E188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作为总经理下设的专业委员会之一，风险控制委员会负责评估与公司战略发展和经营运作相关的主要风险；评估公司各方面运行状况是否合</w:t>
      </w:r>
      <w:proofErr w:type="gramStart"/>
      <w:r>
        <w:rPr>
          <w:rFonts w:ascii="宋体" w:hAnsi="宋体"/>
          <w:sz w:val="24"/>
        </w:rPr>
        <w:t>规</w:t>
      </w:r>
      <w:proofErr w:type="gramEnd"/>
      <w:r>
        <w:rPr>
          <w:rFonts w:ascii="宋体" w:hAnsi="宋体"/>
          <w:sz w:val="24"/>
        </w:rPr>
        <w:t>有序，审查有无存在与公司业务有关的重大风险；审议或听取由公司制度规定的需要向风险控制委员会报告的其他情形等。</w:t>
      </w:r>
    </w:p>
    <w:p w14:paraId="6BD0E8B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（4）督察长</w:t>
      </w:r>
    </w:p>
    <w:p w14:paraId="487C61E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14:paraId="66C41E4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（5）风险管理部</w:t>
      </w:r>
    </w:p>
    <w:p w14:paraId="0CCB4BD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风险管理部负责制定公司风险管理政策和防范及控制措施，汇总公司业务所有的风险信息，独立识别、评估各类风险，提出风险控制建议，使公司在一种风险管理和控制的环境中实现业务目标。</w:t>
      </w:r>
    </w:p>
    <w:p w14:paraId="6E291E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（6）审计部</w:t>
      </w:r>
    </w:p>
    <w:p w14:paraId="3A8D3C3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Pr>
          <w:rFonts w:ascii="宋体" w:hAnsi="宋体"/>
          <w:sz w:val="24"/>
        </w:rPr>
        <w:t>规</w:t>
      </w:r>
      <w:proofErr w:type="gramEnd"/>
      <w:r>
        <w:rPr>
          <w:rFonts w:ascii="宋体" w:hAnsi="宋体"/>
          <w:sz w:val="24"/>
        </w:rPr>
        <w:t>经营目标。</w:t>
      </w:r>
    </w:p>
    <w:p w14:paraId="574CA22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（7）内控合</w:t>
      </w:r>
      <w:proofErr w:type="gramStart"/>
      <w:r>
        <w:rPr>
          <w:rFonts w:ascii="宋体" w:hAnsi="宋体"/>
          <w:sz w:val="24"/>
        </w:rPr>
        <w:t>规</w:t>
      </w:r>
      <w:proofErr w:type="gramEnd"/>
      <w:r>
        <w:rPr>
          <w:rFonts w:ascii="宋体" w:hAnsi="宋体"/>
          <w:sz w:val="24"/>
        </w:rPr>
        <w:t>及法律事务部</w:t>
      </w:r>
    </w:p>
    <w:p w14:paraId="31F4F8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内控合</w:t>
      </w:r>
      <w:proofErr w:type="gramStart"/>
      <w:r>
        <w:rPr>
          <w:rFonts w:ascii="宋体" w:hAnsi="宋体"/>
          <w:sz w:val="24"/>
        </w:rPr>
        <w:t>规</w:t>
      </w:r>
      <w:proofErr w:type="gramEnd"/>
      <w:r>
        <w:rPr>
          <w:rFonts w:ascii="宋体" w:hAnsi="宋体"/>
          <w:sz w:val="24"/>
        </w:rPr>
        <w:t>及法律事务部负责公司的法律、内控合</w:t>
      </w:r>
      <w:proofErr w:type="gramStart"/>
      <w:r>
        <w:rPr>
          <w:rFonts w:ascii="宋体" w:hAnsi="宋体"/>
          <w:sz w:val="24"/>
        </w:rPr>
        <w:t>规</w:t>
      </w:r>
      <w:proofErr w:type="gramEnd"/>
      <w:r>
        <w:rPr>
          <w:rFonts w:ascii="宋体" w:hAnsi="宋体"/>
          <w:sz w:val="24"/>
        </w:rPr>
        <w:t>事务及协调实施信息披露事务，依法维护公司合法权益，评估并处理公司运营中发生的法律、内控合</w:t>
      </w:r>
      <w:proofErr w:type="gramStart"/>
      <w:r>
        <w:rPr>
          <w:rFonts w:ascii="宋体" w:hAnsi="宋体"/>
          <w:sz w:val="24"/>
        </w:rPr>
        <w:t>规</w:t>
      </w:r>
      <w:proofErr w:type="gramEnd"/>
      <w:r>
        <w:rPr>
          <w:rFonts w:ascii="宋体" w:hAnsi="宋体"/>
          <w:sz w:val="24"/>
        </w:rPr>
        <w:t>及信息披露相关问题，及时向公司管理层及全体员工传达法规及监管要求。</w:t>
      </w:r>
    </w:p>
    <w:p w14:paraId="1DED19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（8）业务部门</w:t>
      </w:r>
    </w:p>
    <w:p w14:paraId="2BE681B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风险管理是每一个业务部门首要的责任。部门负责人对本部门的风险负全部责任，负责履行公司的风险管理程序，负责本部门的风险管理系统的开发、执行和维护，用于识别、监控和降低风险。</w:t>
      </w:r>
    </w:p>
    <w:p w14:paraId="450BA8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14:paraId="6B47EC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14:paraId="415370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14:paraId="38FF64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14:paraId="38BB21D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14:paraId="7E0E73A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14:paraId="0B777D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14:paraId="0220E01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14:paraId="4241669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Pr>
          <w:rFonts w:ascii="宋体" w:hAnsi="宋体"/>
          <w:sz w:val="24"/>
        </w:rPr>
        <w:t>作出</w:t>
      </w:r>
      <w:proofErr w:type="gramEnd"/>
      <w:r>
        <w:rPr>
          <w:rFonts w:ascii="宋体" w:hAnsi="宋体"/>
          <w:sz w:val="24"/>
        </w:rPr>
        <w:t>决策。</w:t>
      </w:r>
    </w:p>
    <w:p w14:paraId="620963F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14:paraId="1D4D7CB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建立了足够、有效的内部监控系统，对可能出现的各种风险进行全面和实时的监控。</w:t>
      </w:r>
    </w:p>
    <w:p w14:paraId="40B614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14:paraId="243D702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14:paraId="6404797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14:paraId="1AB46F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制定了完整的培训计划，为所有员工提供足够和适当的培训，使员工明确其职责所在，控制风险。</w:t>
      </w:r>
    </w:p>
    <w:p w14:paraId="17367239"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EC8C51C" w14:textId="77777777" w:rsidR="001D6314" w:rsidRDefault="00130266">
      <w:pPr>
        <w:pStyle w:val="1"/>
        <w:snapToGrid w:val="0"/>
        <w:spacing w:beforeLines="0" w:before="240" w:after="240"/>
        <w:rPr>
          <w:rFonts w:ascii="宋体" w:hAnsi="宋体"/>
          <w:szCs w:val="30"/>
        </w:rPr>
      </w:pPr>
      <w:bookmarkStart w:id="7" w:name="_Toc216871999"/>
      <w:r>
        <w:rPr>
          <w:rFonts w:ascii="Times New Roman" w:hAnsi="Times New Roman"/>
          <w:sz w:val="30"/>
        </w:rPr>
        <w:lastRenderedPageBreak/>
        <w:t>四、基金托管人</w:t>
      </w:r>
      <w:bookmarkEnd w:id="7"/>
    </w:p>
    <w:p w14:paraId="173E72D4"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（一）基金托管人情况</w:t>
      </w:r>
    </w:p>
    <w:p w14:paraId="51C7F69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1、基本情况</w:t>
      </w:r>
    </w:p>
    <w:p w14:paraId="7F4B2AC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名称：中国农业银行股份有限公司（简称中国农业银行）</w:t>
      </w:r>
    </w:p>
    <w:p w14:paraId="01B542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住所：北京市东城区建国门内大街69号</w:t>
      </w:r>
    </w:p>
    <w:p w14:paraId="21C50E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办公地址：北京市西城区复兴门内大街28号</w:t>
      </w:r>
      <w:proofErr w:type="gramStart"/>
      <w:r>
        <w:rPr>
          <w:rFonts w:ascii="宋体" w:hAnsi="宋体"/>
          <w:sz w:val="24"/>
        </w:rPr>
        <w:t>凯</w:t>
      </w:r>
      <w:proofErr w:type="gramEnd"/>
      <w:r>
        <w:rPr>
          <w:rFonts w:ascii="宋体" w:hAnsi="宋体"/>
          <w:sz w:val="24"/>
        </w:rPr>
        <w:t>晨世贸中心东座</w:t>
      </w:r>
    </w:p>
    <w:p w14:paraId="1FC940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法定代表人：谷澍</w:t>
      </w:r>
    </w:p>
    <w:p w14:paraId="06B5B7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成立日期：2009年1月15日</w:t>
      </w:r>
    </w:p>
    <w:p w14:paraId="044C787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批准设立机关和批准设立文号：中国银监</w:t>
      </w:r>
      <w:proofErr w:type="gramStart"/>
      <w:r>
        <w:rPr>
          <w:rFonts w:ascii="宋体" w:hAnsi="宋体"/>
          <w:sz w:val="24"/>
        </w:rPr>
        <w:t>会银监复</w:t>
      </w:r>
      <w:proofErr w:type="gramEnd"/>
      <w:r>
        <w:rPr>
          <w:rFonts w:ascii="宋体" w:hAnsi="宋体"/>
          <w:sz w:val="24"/>
        </w:rPr>
        <w:t>[2009]13号</w:t>
      </w:r>
    </w:p>
    <w:p w14:paraId="04B57EF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基金托管资格批文及文号：中国证监会</w:t>
      </w:r>
      <w:proofErr w:type="gramStart"/>
      <w:r>
        <w:rPr>
          <w:rFonts w:ascii="宋体" w:hAnsi="宋体"/>
          <w:sz w:val="24"/>
        </w:rPr>
        <w:t>证监基字</w:t>
      </w:r>
      <w:proofErr w:type="gramEnd"/>
      <w:r>
        <w:rPr>
          <w:rFonts w:ascii="宋体" w:hAnsi="宋体"/>
          <w:sz w:val="24"/>
        </w:rPr>
        <w:t>[1998]23号</w:t>
      </w:r>
    </w:p>
    <w:p w14:paraId="41D388A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注册资本：34,998,303.4万元人民币</w:t>
      </w:r>
    </w:p>
    <w:p w14:paraId="6B2DD2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57DFE15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联系电话：010-66060069</w:t>
      </w:r>
    </w:p>
    <w:p w14:paraId="42D57FE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传真：010-68121816</w:t>
      </w:r>
    </w:p>
    <w:p w14:paraId="1397C5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联系人：任航</w:t>
      </w:r>
    </w:p>
    <w:p w14:paraId="407E265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4291AA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中国农业银行是中国第一批开展托管业务的国内商业银行，经验丰富，服务优质，业绩突出，2004年被英国《全球托管人》评为中国“最佳托管银行”。2007年</w:t>
      </w:r>
      <w:r>
        <w:rPr>
          <w:rFonts w:ascii="宋体" w:hAnsi="宋体"/>
          <w:sz w:val="24"/>
        </w:rPr>
        <w:lastRenderedPageBreak/>
        <w:t>中国农业银行通过了美国SAS70内部控制审计，并获得无保留意见的SAS70审计报告。自2010年起中国农业银行连续通过托管业务国际内控标准（ISAE3402）认证，表明了独立</w:t>
      </w:r>
      <w:proofErr w:type="gramStart"/>
      <w:r>
        <w:rPr>
          <w:rFonts w:ascii="宋体" w:hAnsi="宋体"/>
          <w:sz w:val="24"/>
        </w:rPr>
        <w:t>公正第三</w:t>
      </w:r>
      <w:proofErr w:type="gramEnd"/>
      <w:r>
        <w:rPr>
          <w:rFonts w:ascii="宋体" w:hAnsi="宋体"/>
          <w:sz w:val="24"/>
        </w:rPr>
        <w:t>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w:t>
      </w:r>
      <w:proofErr w:type="gramStart"/>
      <w:r>
        <w:rPr>
          <w:rFonts w:ascii="宋体" w:hAnsi="宋体"/>
          <w:sz w:val="24"/>
        </w:rPr>
        <w:t>募基金</w:t>
      </w:r>
      <w:proofErr w:type="gramEnd"/>
      <w:r>
        <w:rPr>
          <w:rFonts w:ascii="宋体" w:hAnsi="宋体"/>
          <w:sz w:val="24"/>
        </w:rPr>
        <w:t>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14:paraId="6945E0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中国农业银行证券投资基金托管部于1998年5月经中国证监会和中国人民银行批准成立，2004年更名为中国农业银行托管业务部。目前内设风险合</w:t>
      </w:r>
      <w:proofErr w:type="gramStart"/>
      <w:r>
        <w:rPr>
          <w:rFonts w:ascii="宋体" w:hAnsi="宋体"/>
          <w:sz w:val="24"/>
        </w:rPr>
        <w:t>规</w:t>
      </w:r>
      <w:proofErr w:type="gramEnd"/>
      <w:r>
        <w:rPr>
          <w:rFonts w:ascii="宋体" w:hAnsi="宋体"/>
          <w:sz w:val="24"/>
        </w:rPr>
        <w:t>部/综合管理部、业务管理部、客户一部、客户二部、客户三部、客户四部、系统与信息管理部、营运管理部、营运一部、营运二部，拥有先进的安全防范设施和基金托管业务系统。</w:t>
      </w:r>
    </w:p>
    <w:p w14:paraId="38B3918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2、主要人员情况</w:t>
      </w:r>
    </w:p>
    <w:p w14:paraId="5BE39FF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14:paraId="467CCD7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3、基金托管业务经营情况</w:t>
      </w:r>
    </w:p>
    <w:p w14:paraId="3CE2A53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截止到2025年9月30日，中国农业银行托管的封闭式证券投资基金和开放式证券投资基金共982只。</w:t>
      </w:r>
    </w:p>
    <w:p w14:paraId="5DEA2E03"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（二）基金托管人的内部风险控制制度说明</w:t>
      </w:r>
    </w:p>
    <w:p w14:paraId="7BF417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1、内部控制目标</w:t>
      </w:r>
    </w:p>
    <w:p w14:paraId="5E4611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严格遵守国家有关托管业务的法律法规、行业监管规章和行内有关管理规定，守法经营、规范运作、严格监察，确保业务的稳健运行，保证基金财产的安全完</w:t>
      </w:r>
      <w:r>
        <w:rPr>
          <w:rFonts w:ascii="宋体" w:hAnsi="宋体"/>
          <w:sz w:val="24"/>
        </w:rPr>
        <w:lastRenderedPageBreak/>
        <w:t>整，确保有关信息的真实、准确、完整、及时，保护基金份额持有人的合法权益。</w:t>
      </w:r>
    </w:p>
    <w:p w14:paraId="412A614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2、内部控制组织结构</w:t>
      </w:r>
    </w:p>
    <w:p w14:paraId="11E2B2C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14:paraId="40F0D81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3、内部控制制度及措施</w:t>
      </w:r>
    </w:p>
    <w:p w14:paraId="729F418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w:t>
      </w:r>
      <w:proofErr w:type="gramStart"/>
      <w:r>
        <w:rPr>
          <w:rFonts w:ascii="宋体" w:hAnsi="宋体"/>
          <w:sz w:val="24"/>
        </w:rPr>
        <w:t>操作区</w:t>
      </w:r>
      <w:proofErr w:type="gramEnd"/>
      <w:r>
        <w:rPr>
          <w:rFonts w:ascii="宋体" w:hAnsi="宋体"/>
          <w:sz w:val="24"/>
        </w:rPr>
        <w:t>专门设置，封闭管理，实施音像监控；业务信息由专职信息披露人负责，防止泄密；业务实现自动化操作，防止人为事故的发生，技术系统完整、独立。</w:t>
      </w:r>
    </w:p>
    <w:p w14:paraId="62A28B7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（三）基金托管人对基金管理人运作基金进行监督的方法和程序</w:t>
      </w:r>
    </w:p>
    <w:p w14:paraId="10CD854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377F23A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当基金出现异常交易行为时，基金托管人应当针对不同情况进行以下方式的处理：</w:t>
      </w:r>
    </w:p>
    <w:p w14:paraId="23887BB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1、电话提示。对媒体和舆论反映集中的问题，电话提示基金管理人；</w:t>
      </w:r>
    </w:p>
    <w:p w14:paraId="45FFDD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2、书面警示。对本基金投资比例接近超标、资金头寸不足等问题，以书面方式对基金管理人进行提示；</w:t>
      </w:r>
    </w:p>
    <w:p w14:paraId="03F36A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3、书面报告。对投资比例超标、清算资金透支以及其他涉嫌违规交易等行为，书面提示有关基金管理人并报中国证监会。</w:t>
      </w:r>
    </w:p>
    <w:p w14:paraId="2C590AC4"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EFEDBCA" w14:textId="77777777" w:rsidR="001D6314" w:rsidRDefault="00130266">
      <w:pPr>
        <w:pStyle w:val="1"/>
        <w:snapToGrid w:val="0"/>
        <w:spacing w:beforeLines="0" w:before="240" w:after="240"/>
        <w:rPr>
          <w:rFonts w:ascii="宋体" w:hAnsi="宋体"/>
          <w:szCs w:val="30"/>
        </w:rPr>
      </w:pPr>
      <w:bookmarkStart w:id="8" w:name="_Toc216872000"/>
      <w:r>
        <w:rPr>
          <w:rFonts w:ascii="Times New Roman" w:hAnsi="Times New Roman"/>
          <w:sz w:val="30"/>
        </w:rPr>
        <w:lastRenderedPageBreak/>
        <w:t>五、相关服务机构</w:t>
      </w:r>
      <w:bookmarkEnd w:id="8"/>
    </w:p>
    <w:p w14:paraId="4242C56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14:paraId="169ACA6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14:paraId="4B543CD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本基金直销机构为本公司直销柜台以及本公司的网上直销交易平台（网站及APP，下同）。</w:t>
      </w:r>
    </w:p>
    <w:p w14:paraId="79AEF95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14:paraId="48A16F4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7435DDD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14:paraId="518D4B8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14:paraId="3497C8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3DF28D8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1D2CE13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5DC7EA8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597CC25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22393FA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094BC9A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个人投资者可以通过基金管理人网上直销交易平台办理开户、本基金的申购、赎回、定期定额投资、转换等业务，具体交易细则请参阅基金管理人网站。</w:t>
      </w:r>
    </w:p>
    <w:p w14:paraId="3B83D94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t>
      </w:r>
      <w:proofErr w:type="gramStart"/>
      <w:r>
        <w:rPr>
          <w:rFonts w:ascii="宋体" w:hAnsi="宋体"/>
          <w:sz w:val="24"/>
        </w:rPr>
        <w:t>www</w:t>
      </w:r>
      <w:proofErr w:type="gramEnd"/>
      <w:r>
        <w:rPr>
          <w:rFonts w:ascii="宋体" w:hAnsi="宋体"/>
          <w:sz w:val="24"/>
        </w:rPr>
        <w:t>. fund001.com。</w:t>
      </w:r>
    </w:p>
    <w:p w14:paraId="4C33F2F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2、其他销售机构</w:t>
      </w:r>
    </w:p>
    <w:p w14:paraId="7FFD4DC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（1）名称：交通银行股份有限公司</w:t>
      </w:r>
    </w:p>
    <w:p w14:paraId="339D361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w:t>
      </w:r>
      <w:proofErr w:type="gramStart"/>
      <w:r>
        <w:rPr>
          <w:rFonts w:ascii="宋体" w:hAnsi="宋体"/>
          <w:sz w:val="24"/>
        </w:rPr>
        <w:t>新区银</w:t>
      </w:r>
      <w:proofErr w:type="gramEnd"/>
      <w:r>
        <w:rPr>
          <w:rFonts w:ascii="宋体" w:hAnsi="宋体"/>
          <w:sz w:val="24"/>
        </w:rPr>
        <w:t>城中路188号</w:t>
      </w:r>
    </w:p>
    <w:p w14:paraId="3130DAC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新区银</w:t>
      </w:r>
      <w:proofErr w:type="gramEnd"/>
      <w:r>
        <w:rPr>
          <w:rFonts w:ascii="宋体" w:hAnsi="宋体"/>
          <w:sz w:val="24"/>
        </w:rPr>
        <w:t>城中路188号</w:t>
      </w:r>
    </w:p>
    <w:p w14:paraId="3A452C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14:paraId="0AC822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14:paraId="3AE654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14:paraId="3150518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14:paraId="7153A6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14:paraId="3129E75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14:paraId="2F9BAB6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（2）名称：中国农业银行股份有限公司</w:t>
      </w:r>
    </w:p>
    <w:p w14:paraId="020C33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住所：北京市东城区建国门内大街69号</w:t>
      </w:r>
    </w:p>
    <w:p w14:paraId="291C3F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办公地址：北京市西城区复兴门内大街28号</w:t>
      </w:r>
      <w:proofErr w:type="gramStart"/>
      <w:r>
        <w:rPr>
          <w:rFonts w:ascii="宋体" w:hAnsi="宋体"/>
          <w:sz w:val="24"/>
        </w:rPr>
        <w:t>凯</w:t>
      </w:r>
      <w:proofErr w:type="gramEnd"/>
      <w:r>
        <w:rPr>
          <w:rFonts w:ascii="宋体" w:hAnsi="宋体"/>
          <w:sz w:val="24"/>
        </w:rPr>
        <w:t>晨世贸中心东座</w:t>
      </w:r>
    </w:p>
    <w:p w14:paraId="3BAB804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法定代表人：周慕冰</w:t>
      </w:r>
    </w:p>
    <w:p w14:paraId="3D6541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联系电话：010-66060069</w:t>
      </w:r>
    </w:p>
    <w:p w14:paraId="70922C3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传真：010-68121816</w:t>
      </w:r>
    </w:p>
    <w:p w14:paraId="32B775E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联系人：贺倩</w:t>
      </w:r>
    </w:p>
    <w:p w14:paraId="4332E7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w:t>
      </w:r>
    </w:p>
    <w:p w14:paraId="12EE99A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网址：www.abchina.com</w:t>
      </w:r>
    </w:p>
    <w:p w14:paraId="6688C81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（3）名称：招商银行股份有限公司</w:t>
      </w:r>
    </w:p>
    <w:p w14:paraId="2872392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住所：深圳市福田区深南大道7088号</w:t>
      </w:r>
    </w:p>
    <w:p w14:paraId="4107A2F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14:paraId="5D0321F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14:paraId="5C39CF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14:paraId="30EC70D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14:paraId="79B23C8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14:paraId="45C8DF0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14:paraId="4620332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14:paraId="5C5760C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（4）名称：中信银行股份有限公司</w:t>
      </w:r>
    </w:p>
    <w:p w14:paraId="1F292EB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住所：北京市东城区朝阳门北大街9号</w:t>
      </w:r>
    </w:p>
    <w:p w14:paraId="09F26D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办公地址：北京市东城区朝阳门北大街9号</w:t>
      </w:r>
    </w:p>
    <w:p w14:paraId="345B44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法定代表人：朱鹤新</w:t>
      </w:r>
    </w:p>
    <w:p w14:paraId="2C5860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电话：（010）89936330</w:t>
      </w:r>
    </w:p>
    <w:p w14:paraId="5571FB2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传真：（010）85230024</w:t>
      </w:r>
    </w:p>
    <w:p w14:paraId="10BDCB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联系人：丰靖</w:t>
      </w:r>
    </w:p>
    <w:p w14:paraId="5C3326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客户服务电话：95558</w:t>
      </w:r>
    </w:p>
    <w:p w14:paraId="3161F5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网址：bank.ecitic.com</w:t>
      </w:r>
    </w:p>
    <w:p w14:paraId="160D7B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（5）名称：宁波银行股份有限公司</w:t>
      </w:r>
    </w:p>
    <w:p w14:paraId="1E3830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住所：宁波市江东区中山东路294号</w:t>
      </w:r>
    </w:p>
    <w:p w14:paraId="6CB982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法定代表人：陆华裕</w:t>
      </w:r>
    </w:p>
    <w:p w14:paraId="23C144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电话：（021）63586210</w:t>
      </w:r>
    </w:p>
    <w:p w14:paraId="4876D5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传真：（021）63586215</w:t>
      </w:r>
    </w:p>
    <w:p w14:paraId="11DA73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胡技勋</w:t>
      </w:r>
      <w:proofErr w:type="gramEnd"/>
    </w:p>
    <w:p w14:paraId="049A71F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客户服务电话：96528（上海地区962528）</w:t>
      </w:r>
    </w:p>
    <w:p w14:paraId="3413FF4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网址：www.nbcb.com.cn</w:t>
      </w:r>
    </w:p>
    <w:p w14:paraId="7E3537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（6）名称：中国邮政储蓄银行股份有限公司</w:t>
      </w:r>
    </w:p>
    <w:p w14:paraId="5A9011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住所：北京市西城区金融大街3号</w:t>
      </w:r>
    </w:p>
    <w:p w14:paraId="6404DD6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办公地址：北京市西城区金融大街3号</w:t>
      </w:r>
    </w:p>
    <w:p w14:paraId="29AF2B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法定代表人：李国华</w:t>
      </w:r>
    </w:p>
    <w:p w14:paraId="401E57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传真：（010）68858117</w:t>
      </w:r>
    </w:p>
    <w:p w14:paraId="670D2B5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联系人：陈春林</w:t>
      </w:r>
    </w:p>
    <w:p w14:paraId="7F43B52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客户服务电话：95580</w:t>
      </w:r>
    </w:p>
    <w:p w14:paraId="638903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网址：www.psbc.com</w:t>
      </w:r>
    </w:p>
    <w:p w14:paraId="1A55C6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（7）名称：中国银河证券股份有限公司</w:t>
      </w:r>
    </w:p>
    <w:p w14:paraId="679E2BF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住所：北京市西城区金融大街35号国际企业大厦C座</w:t>
      </w:r>
    </w:p>
    <w:p w14:paraId="3A0A60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办公地址：北京市西城区金融大街35号国际企业大厦C座</w:t>
      </w:r>
    </w:p>
    <w:p w14:paraId="3B24F54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陈共炎</w:t>
      </w:r>
      <w:proofErr w:type="gramEnd"/>
    </w:p>
    <w:p w14:paraId="13E36C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电话：010-83574507</w:t>
      </w:r>
    </w:p>
    <w:p w14:paraId="16D5C3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联系人：辛国政</w:t>
      </w:r>
    </w:p>
    <w:p w14:paraId="21B0F06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客户服务电话：400-888-8888</w:t>
      </w:r>
    </w:p>
    <w:p w14:paraId="1C0289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网址：www.chinastock.com.cn</w:t>
      </w:r>
    </w:p>
    <w:p w14:paraId="2864285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（8）名称：中信证券股份有限公司</w:t>
      </w:r>
    </w:p>
    <w:p w14:paraId="256D437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住所：广东省深圳市福田区中心三路8号卓越时代广场（二期）北座</w:t>
      </w:r>
    </w:p>
    <w:p w14:paraId="6BC1F1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办公地址：北京市朝阳区亮马桥路48号中信证券大厦</w:t>
      </w:r>
    </w:p>
    <w:p w14:paraId="0A50962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法定代表人：张佑君</w:t>
      </w:r>
    </w:p>
    <w:p w14:paraId="509D9D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电话：010-60838888</w:t>
      </w:r>
    </w:p>
    <w:p w14:paraId="49AC519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客服电话：95548</w:t>
      </w:r>
    </w:p>
    <w:p w14:paraId="72C2A0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网址：www.cs.ecitic.com</w:t>
      </w:r>
    </w:p>
    <w:p w14:paraId="2FA023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（9）名称：中国中金财富证券有限公司</w:t>
      </w:r>
    </w:p>
    <w:p w14:paraId="2D85951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14:paraId="78B472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办公地址：深圳市福田区益田路6003号荣超商务中心A栋第04、18层至21层</w:t>
      </w:r>
    </w:p>
    <w:p w14:paraId="3D9039F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法定代表人：高涛</w:t>
      </w:r>
    </w:p>
    <w:p w14:paraId="610BEF6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电话：（0755）88320851</w:t>
      </w:r>
    </w:p>
    <w:p w14:paraId="21EB166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联系人：胡芷境</w:t>
      </w:r>
    </w:p>
    <w:p w14:paraId="52C685A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客户服务电话：95532/400-600-8008</w:t>
      </w:r>
    </w:p>
    <w:p w14:paraId="2501CED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网址：www.ciccwm.com</w:t>
      </w:r>
    </w:p>
    <w:p w14:paraId="5168643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（10）名称：山西证券股份有限公司</w:t>
      </w:r>
    </w:p>
    <w:p w14:paraId="2CD9A3F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住所：山西省太原市府西街69号山西国际贸易中心东塔楼</w:t>
      </w:r>
    </w:p>
    <w:p w14:paraId="347328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办公地址：山西省太原市府西街69号山西国际贸易中心东塔楼</w:t>
      </w:r>
    </w:p>
    <w:p w14:paraId="40D60ED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法定代表人：侯巍</w:t>
      </w:r>
    </w:p>
    <w:p w14:paraId="6F050E9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电话：0351—8686815</w:t>
      </w:r>
    </w:p>
    <w:p w14:paraId="300CF28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谢武兵</w:t>
      </w:r>
      <w:proofErr w:type="gramEnd"/>
    </w:p>
    <w:p w14:paraId="7BC0BF5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客户服务电话：400-666-1618、95573</w:t>
      </w:r>
    </w:p>
    <w:p w14:paraId="2C79637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网址：www.i618.com.cn</w:t>
      </w:r>
    </w:p>
    <w:p w14:paraId="47E8C33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（11）名称：西部证券股份有限公司</w:t>
      </w:r>
    </w:p>
    <w:p w14:paraId="4794D9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住所：陕西省西安市新城区东新街 319 号 8 幢 10000 室</w:t>
      </w:r>
    </w:p>
    <w:p w14:paraId="3474BE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办公地址：陕西省西安市新城区东新街 319 号 8 幢 10000 室</w:t>
      </w:r>
    </w:p>
    <w:p w14:paraId="7DACE3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法定代表人：徐朝晖</w:t>
      </w:r>
    </w:p>
    <w:p w14:paraId="6CB2B81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电话：029-87211668</w:t>
      </w:r>
    </w:p>
    <w:p w14:paraId="1F4C8B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联系人：张吉安</w:t>
      </w:r>
    </w:p>
    <w:p w14:paraId="567EEC4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客户服务电话：95582</w:t>
      </w:r>
    </w:p>
    <w:p w14:paraId="5E3A497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网址：www.west95582.com</w:t>
      </w:r>
    </w:p>
    <w:p w14:paraId="7D220C0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（12）名称：国投证券股份有限公司</w:t>
      </w:r>
    </w:p>
    <w:p w14:paraId="1E33B37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住所：深圳市福田区福田街道福华一路119号安信金融大厦</w:t>
      </w:r>
    </w:p>
    <w:p w14:paraId="4079D1E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办公地址：深圳市福田区福田街道福华一路119号安信金融大厦</w:t>
      </w:r>
    </w:p>
    <w:p w14:paraId="1C7638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法定代表人：王苏望</w:t>
      </w:r>
    </w:p>
    <w:p w14:paraId="7E5BA4D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电话：（0755）81688000</w:t>
      </w:r>
    </w:p>
    <w:p w14:paraId="1CCF9A0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传真：（0755）82558355</w:t>
      </w:r>
    </w:p>
    <w:p w14:paraId="6354FB2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客户服务电话：95517</w:t>
      </w:r>
    </w:p>
    <w:p w14:paraId="4E33BD4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网址：https://www.sdicsc.com.cn/</w:t>
      </w:r>
    </w:p>
    <w:p w14:paraId="31F0B91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（13）名称：中</w:t>
      </w:r>
      <w:proofErr w:type="gramStart"/>
      <w:r>
        <w:rPr>
          <w:rFonts w:ascii="宋体" w:hAnsi="宋体"/>
          <w:sz w:val="24"/>
        </w:rPr>
        <w:t>信建投证券</w:t>
      </w:r>
      <w:proofErr w:type="gramEnd"/>
      <w:r>
        <w:rPr>
          <w:rFonts w:ascii="宋体" w:hAnsi="宋体"/>
          <w:sz w:val="24"/>
        </w:rPr>
        <w:t>股份有限公司</w:t>
      </w:r>
    </w:p>
    <w:p w14:paraId="7AF963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住所：北京市朝阳区安立路66号4号楼</w:t>
      </w:r>
    </w:p>
    <w:p w14:paraId="4C6EBFE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办公地址：北京市朝阳门内大街188号</w:t>
      </w:r>
    </w:p>
    <w:p w14:paraId="4FC5846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法定代表人：刘成</w:t>
      </w:r>
    </w:p>
    <w:p w14:paraId="6774F15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电话：（010）56135784</w:t>
      </w:r>
    </w:p>
    <w:p w14:paraId="0C5C01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联系人：刘芸</w:t>
      </w:r>
    </w:p>
    <w:p w14:paraId="40B85C7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客户服务电话：95587</w:t>
      </w:r>
    </w:p>
    <w:p w14:paraId="7BBFA07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网址：www.csc108.com</w:t>
      </w:r>
    </w:p>
    <w:p w14:paraId="017CA6C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（14）名称：中原证券股份有限公司</w:t>
      </w:r>
    </w:p>
    <w:p w14:paraId="2617630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住所：郑州市郑东新区商务外环路10号</w:t>
      </w:r>
    </w:p>
    <w:p w14:paraId="6A3F06F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办公地址：郑州市郑东新区商务外环路10号</w:t>
      </w:r>
    </w:p>
    <w:p w14:paraId="0EFB2E0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菅</w:t>
      </w:r>
      <w:proofErr w:type="gramEnd"/>
      <w:r>
        <w:rPr>
          <w:rFonts w:ascii="宋体" w:hAnsi="宋体"/>
          <w:sz w:val="24"/>
        </w:rPr>
        <w:t>明军</w:t>
      </w:r>
    </w:p>
    <w:p w14:paraId="5520865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程月艳</w:t>
      </w:r>
      <w:proofErr w:type="gramEnd"/>
      <w:r>
        <w:rPr>
          <w:rFonts w:ascii="宋体" w:hAnsi="宋体"/>
          <w:sz w:val="24"/>
        </w:rPr>
        <w:t xml:space="preserve"> 李盼</w:t>
      </w:r>
      <w:proofErr w:type="gramStart"/>
      <w:r>
        <w:rPr>
          <w:rFonts w:ascii="宋体" w:hAnsi="宋体"/>
          <w:sz w:val="24"/>
        </w:rPr>
        <w:t>盼</w:t>
      </w:r>
      <w:proofErr w:type="gramEnd"/>
    </w:p>
    <w:p w14:paraId="5BCDED3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电话：0371-69099881/2</w:t>
      </w:r>
    </w:p>
    <w:p w14:paraId="0611AF9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客户服务电话：95377</w:t>
      </w:r>
    </w:p>
    <w:p w14:paraId="6F8939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网址：https://www.ccnew.com</w:t>
      </w:r>
    </w:p>
    <w:p w14:paraId="7E5E66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（15）名称：东方财富证券股份有限公司</w:t>
      </w:r>
    </w:p>
    <w:p w14:paraId="0689D1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住所：西藏自治区拉萨市柳梧新区国际总部城10栋楼</w:t>
      </w:r>
    </w:p>
    <w:p w14:paraId="704770B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办公地址：上海市徐汇区宛平南路88号东方财富大厦</w:t>
      </w:r>
    </w:p>
    <w:p w14:paraId="7FBB69A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法定代表人：戴彦</w:t>
      </w:r>
    </w:p>
    <w:p w14:paraId="53D20C5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电话：（021）021-23586603</w:t>
      </w:r>
    </w:p>
    <w:p w14:paraId="3C30D84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传真：（021）021-23586860</w:t>
      </w:r>
    </w:p>
    <w:p w14:paraId="38E6C2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联系人：付佳</w:t>
      </w:r>
    </w:p>
    <w:p w14:paraId="07B7585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客户服务电话：95357</w:t>
      </w:r>
    </w:p>
    <w:p w14:paraId="1FC4A6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网址：http://www.18.cn</w:t>
      </w:r>
    </w:p>
    <w:p w14:paraId="5633318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（16）名称：国信证券股份有限公司</w:t>
      </w:r>
    </w:p>
    <w:p w14:paraId="04FF92B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住所：深圳市罗湖区红岭中路1012号国信证券大厦16-26楼</w:t>
      </w:r>
    </w:p>
    <w:p w14:paraId="5BAB157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办公地址：深圳市罗湖区红岭中路1012号国信证券大厦16-26楼</w:t>
      </w:r>
    </w:p>
    <w:p w14:paraId="4D638AE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张纳沙</w:t>
      </w:r>
      <w:proofErr w:type="gramEnd"/>
    </w:p>
    <w:p w14:paraId="7ED40EB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电话：（0755）82130833</w:t>
      </w:r>
    </w:p>
    <w:p w14:paraId="2844692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传真：（0755）82133952</w:t>
      </w:r>
    </w:p>
    <w:p w14:paraId="6383CB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于智勇</w:t>
      </w:r>
      <w:proofErr w:type="gramEnd"/>
    </w:p>
    <w:p w14:paraId="521A13C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客户服务电话：95536</w:t>
      </w:r>
    </w:p>
    <w:p w14:paraId="4D764B0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网址：www.guosen.com.cn</w:t>
      </w:r>
    </w:p>
    <w:p w14:paraId="4E2853A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（17）名称：华泰证券股份有限公司</w:t>
      </w:r>
    </w:p>
    <w:p w14:paraId="7C1E3C4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住所：江苏省南京市江东中路228号</w:t>
      </w:r>
    </w:p>
    <w:p w14:paraId="2EFA7CD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办公地址：江苏省南京市建</w:t>
      </w:r>
      <w:proofErr w:type="gramStart"/>
      <w:r>
        <w:rPr>
          <w:rFonts w:ascii="宋体" w:hAnsi="宋体"/>
          <w:sz w:val="24"/>
        </w:rPr>
        <w:t>邺</w:t>
      </w:r>
      <w:proofErr w:type="gramEnd"/>
      <w:r>
        <w:rPr>
          <w:rFonts w:ascii="宋体" w:hAnsi="宋体"/>
          <w:sz w:val="24"/>
        </w:rPr>
        <w:t>区江东中路228号华泰证券广场</w:t>
      </w:r>
    </w:p>
    <w:p w14:paraId="5A949F1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法定代表人：张伟</w:t>
      </w:r>
    </w:p>
    <w:p w14:paraId="12A93FA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电话：（0755）82492193</w:t>
      </w:r>
    </w:p>
    <w:p w14:paraId="01FAD5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传真：（0755）82492962</w:t>
      </w:r>
    </w:p>
    <w:p w14:paraId="0ED8FEE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联系人：徐</w:t>
      </w:r>
      <w:proofErr w:type="gramStart"/>
      <w:r>
        <w:rPr>
          <w:rFonts w:ascii="宋体" w:hAnsi="宋体"/>
          <w:sz w:val="24"/>
        </w:rPr>
        <w:t>浩</w:t>
      </w:r>
      <w:proofErr w:type="gramEnd"/>
      <w:r>
        <w:rPr>
          <w:rFonts w:ascii="宋体" w:hAnsi="宋体"/>
          <w:sz w:val="24"/>
        </w:rPr>
        <w:t>津</w:t>
      </w:r>
    </w:p>
    <w:p w14:paraId="35B77F6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客户服务电话：95597</w:t>
      </w:r>
    </w:p>
    <w:p w14:paraId="5BA00F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网址：www.htsc.com.cn</w:t>
      </w:r>
    </w:p>
    <w:p w14:paraId="268917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（18）名称：海通证券股份有限公司</w:t>
      </w:r>
    </w:p>
    <w:p w14:paraId="7455D4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住所：上海市淮海中路98号</w:t>
      </w:r>
    </w:p>
    <w:p w14:paraId="1BB783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办公地址：上海市广东路689号</w:t>
      </w:r>
    </w:p>
    <w:p w14:paraId="6A35EDE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法定代表人：王开国</w:t>
      </w:r>
    </w:p>
    <w:p w14:paraId="31F3ABB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电话：（021）23219000</w:t>
      </w:r>
    </w:p>
    <w:p w14:paraId="6C0EDF7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传真：（021）23219100</w:t>
      </w:r>
    </w:p>
    <w:p w14:paraId="11A0F37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联系人：李笑鸣</w:t>
      </w:r>
    </w:p>
    <w:p w14:paraId="66A7E38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客户服务电话：95553或拨打各城市营业网点咨询电话</w:t>
      </w:r>
    </w:p>
    <w:p w14:paraId="51D0BC0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网址：www.htsec.com</w:t>
      </w:r>
    </w:p>
    <w:p w14:paraId="4FCB7B9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（19）名称：华</w:t>
      </w:r>
      <w:proofErr w:type="gramStart"/>
      <w:r>
        <w:rPr>
          <w:rFonts w:ascii="宋体" w:hAnsi="宋体"/>
          <w:sz w:val="24"/>
        </w:rPr>
        <w:t>龙证券</w:t>
      </w:r>
      <w:proofErr w:type="gramEnd"/>
      <w:r>
        <w:rPr>
          <w:rFonts w:ascii="宋体" w:hAnsi="宋体"/>
          <w:sz w:val="24"/>
        </w:rPr>
        <w:t>股份有限公司</w:t>
      </w:r>
    </w:p>
    <w:p w14:paraId="4C5233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住所：兰州市城关区东岗西路638号财富中心</w:t>
      </w:r>
    </w:p>
    <w:p w14:paraId="087BF96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办公地址：兰州市城关区东岗西路638号财富中心</w:t>
      </w:r>
    </w:p>
    <w:p w14:paraId="171B62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法定代表人：李晓安</w:t>
      </w:r>
    </w:p>
    <w:p w14:paraId="109D7A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电话：（0931）4890208</w:t>
      </w:r>
    </w:p>
    <w:p w14:paraId="0460F4A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传真：（0931）4890628</w:t>
      </w:r>
    </w:p>
    <w:p w14:paraId="1695BA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联系人：李昕田</w:t>
      </w:r>
    </w:p>
    <w:p w14:paraId="09209D9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客户服务电话：4006898888、（0931）4890208</w:t>
      </w:r>
    </w:p>
    <w:p w14:paraId="434967B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网址：www.hlzqgs.com</w:t>
      </w:r>
    </w:p>
    <w:p w14:paraId="721CBF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（20）名称：大同证券有限责任公司</w:t>
      </w:r>
    </w:p>
    <w:p w14:paraId="53EAB0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注册地址：山西省大同市城区迎宾街15号桐城中央21层</w:t>
      </w:r>
    </w:p>
    <w:p w14:paraId="6D6F7DA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办公地址：太原市长治路 111 号山西世贸中心 A 座 F12、F13</w:t>
      </w:r>
    </w:p>
    <w:p w14:paraId="6934D86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邮政编码：030600</w:t>
      </w:r>
    </w:p>
    <w:p w14:paraId="2B5E7B6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法定代表人：董祥</w:t>
      </w:r>
    </w:p>
    <w:p w14:paraId="62B1CB2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 话：（0351）4130322</w:t>
      </w:r>
    </w:p>
    <w:p w14:paraId="59CC81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 真：（0351）7219891</w:t>
      </w:r>
    </w:p>
    <w:p w14:paraId="159494E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客服电话：4007121212</w:t>
      </w:r>
    </w:p>
    <w:p w14:paraId="00218F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网址：www.dtsbc.com.cn</w:t>
      </w:r>
    </w:p>
    <w:p w14:paraId="2291C2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（21）名称：招商证券股份有限公司</w:t>
      </w:r>
    </w:p>
    <w:p w14:paraId="4CD7F7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住所：深圳市福田区福田街道福华一路111号</w:t>
      </w:r>
    </w:p>
    <w:p w14:paraId="1447E7E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办公地址：深圳市福田区益田路江苏大厦A座38-45层</w:t>
      </w:r>
    </w:p>
    <w:p w14:paraId="25974A8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法定代表人：霍达</w:t>
      </w:r>
    </w:p>
    <w:p w14:paraId="3812E1D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电话：（0755）82943666</w:t>
      </w:r>
    </w:p>
    <w:p w14:paraId="476E521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传真：（0755）82943636</w:t>
      </w:r>
    </w:p>
    <w:p w14:paraId="6E51030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联系人：黄婵君</w:t>
      </w:r>
    </w:p>
    <w:p w14:paraId="34EE950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客户服务电话：400-8888-111，95565</w:t>
      </w:r>
    </w:p>
    <w:p w14:paraId="3FD864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网址：www.newone.com.cn</w:t>
      </w:r>
    </w:p>
    <w:p w14:paraId="6B97EB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（22）名称：</w:t>
      </w:r>
      <w:proofErr w:type="gramStart"/>
      <w:r>
        <w:rPr>
          <w:rFonts w:ascii="宋体" w:hAnsi="宋体"/>
          <w:sz w:val="24"/>
        </w:rPr>
        <w:t>国泰海通</w:t>
      </w:r>
      <w:proofErr w:type="gramEnd"/>
      <w:r>
        <w:rPr>
          <w:rFonts w:ascii="宋体" w:hAnsi="宋体"/>
          <w:sz w:val="24"/>
        </w:rPr>
        <w:t>证券股份有限公司</w:t>
      </w:r>
    </w:p>
    <w:p w14:paraId="3E2E42C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注册地址：中国（上海）自由贸易试验区商城路618号</w:t>
      </w:r>
    </w:p>
    <w:p w14:paraId="0FC5AC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办公地址：上海市静安区南京西路768号国泰君安大厦</w:t>
      </w:r>
    </w:p>
    <w:p w14:paraId="2D84329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法定代表人：朱健</w:t>
      </w:r>
    </w:p>
    <w:p w14:paraId="43964C3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联系电话：021-38676666</w:t>
      </w:r>
    </w:p>
    <w:p w14:paraId="77F7712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传真：021-38670666</w:t>
      </w:r>
    </w:p>
    <w:p w14:paraId="6ABD2A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联系人：邵亚杰</w:t>
      </w:r>
    </w:p>
    <w:p w14:paraId="7607088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服务热线 : 95521 / 4008888666</w:t>
      </w:r>
    </w:p>
    <w:p w14:paraId="06DF5EF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网址：www.gtht.com</w:t>
      </w:r>
    </w:p>
    <w:p w14:paraId="424AF27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（23）名称：中信证券华南股份有限公司</w:t>
      </w:r>
    </w:p>
    <w:p w14:paraId="5045673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住所：广州市天河区珠江西路5号广州国际金融中心主塔19层、20层</w:t>
      </w:r>
    </w:p>
    <w:p w14:paraId="1194D5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办公地址：广州市天河区珠江西路5号广州国际金融中心主塔19层、20层</w:t>
      </w:r>
    </w:p>
    <w:p w14:paraId="15CCEF3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法定代表人：陈可可</w:t>
      </w:r>
    </w:p>
    <w:p w14:paraId="720226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电话：020-88836999</w:t>
      </w:r>
    </w:p>
    <w:p w14:paraId="5795E48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传真：020-88836984</w:t>
      </w:r>
    </w:p>
    <w:p w14:paraId="2C6BDE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联系人：郭杏燕</w:t>
      </w:r>
    </w:p>
    <w:p w14:paraId="414143A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客服电话：（020）95396</w:t>
      </w:r>
    </w:p>
    <w:p w14:paraId="7FCD5D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网址：www.gzs.com.cn</w:t>
      </w:r>
    </w:p>
    <w:p w14:paraId="047A46F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（24）名称：华西证券股份有限公司</w:t>
      </w:r>
    </w:p>
    <w:p w14:paraId="6201C10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住所：四川省成都市高新区天府二街198号华西证券大厦</w:t>
      </w:r>
    </w:p>
    <w:p w14:paraId="785826E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办公地址：四川省成都市高新区天府二街198号华西证券大厦</w:t>
      </w:r>
    </w:p>
    <w:p w14:paraId="68DA411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法定代表人：杨炯洋</w:t>
      </w:r>
    </w:p>
    <w:p w14:paraId="17FF037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电话：（028）86135991</w:t>
      </w:r>
    </w:p>
    <w:p w14:paraId="2D34C15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传真：（028）86150400</w:t>
      </w:r>
    </w:p>
    <w:p w14:paraId="5BEA5A5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联系人：周志茹</w:t>
      </w:r>
    </w:p>
    <w:p w14:paraId="48994BE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客户服务电话：95584</w:t>
      </w:r>
    </w:p>
    <w:p w14:paraId="3C016D2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网址：www.hx168.com.cn</w:t>
      </w:r>
    </w:p>
    <w:p w14:paraId="1DC6412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（25）名称：国金证券股份有限公司</w:t>
      </w:r>
    </w:p>
    <w:p w14:paraId="59BE14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住所：四川省成都市东城根上街95号</w:t>
      </w:r>
    </w:p>
    <w:p w14:paraId="6C27B6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办公地址：成都市东城根上街95号</w:t>
      </w:r>
    </w:p>
    <w:p w14:paraId="4A886CB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法定代表人：冉云</w:t>
      </w:r>
    </w:p>
    <w:p w14:paraId="6EBFF88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电话：（028）86690057，（028）86690058</w:t>
      </w:r>
    </w:p>
    <w:p w14:paraId="55AF496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传真：（028）86690126</w:t>
      </w:r>
    </w:p>
    <w:p w14:paraId="409F20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联系人：刘婧漪 贾鹏</w:t>
      </w:r>
    </w:p>
    <w:p w14:paraId="33B7372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客户服务电话：95310</w:t>
      </w:r>
    </w:p>
    <w:p w14:paraId="16CC3D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网址：www.gjzq.com.cn</w:t>
      </w:r>
    </w:p>
    <w:p w14:paraId="34703D4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（26）名称：中信证券（山东）有限责任公司</w:t>
      </w:r>
    </w:p>
    <w:p w14:paraId="50EBD5F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住所：青岛市崂山区深圳路222号1号楼2001</w:t>
      </w:r>
    </w:p>
    <w:p w14:paraId="027D14C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办公地址：青岛市市南区东海西路28号龙</w:t>
      </w:r>
      <w:proofErr w:type="gramStart"/>
      <w:r>
        <w:rPr>
          <w:rFonts w:ascii="宋体" w:hAnsi="宋体"/>
          <w:sz w:val="24"/>
        </w:rPr>
        <w:t>翔广场东</w:t>
      </w:r>
      <w:proofErr w:type="gramEnd"/>
      <w:r>
        <w:rPr>
          <w:rFonts w:ascii="宋体" w:hAnsi="宋体"/>
          <w:sz w:val="24"/>
        </w:rPr>
        <w:t>座5层</w:t>
      </w:r>
    </w:p>
    <w:p w14:paraId="139366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法定代表人：肖海峰</w:t>
      </w:r>
    </w:p>
    <w:p w14:paraId="18E20CE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电话：0531-89606166</w:t>
      </w:r>
    </w:p>
    <w:p w14:paraId="33164F2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传真：0532-85022605</w:t>
      </w:r>
    </w:p>
    <w:p w14:paraId="79E7D62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联系人：赵如意</w:t>
      </w:r>
    </w:p>
    <w:p w14:paraId="4E0F4C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客户服务电话：95548</w:t>
      </w:r>
    </w:p>
    <w:p w14:paraId="3BE7EC5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网址：sd.citics.com</w:t>
      </w:r>
    </w:p>
    <w:p w14:paraId="4B62D6D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（27）名称：广发证券股份有限公司</w:t>
      </w:r>
    </w:p>
    <w:p w14:paraId="29D7EA8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住所：广州市黄埔区中新广州知识城腾飞一街2号618室</w:t>
      </w:r>
    </w:p>
    <w:p w14:paraId="5B4C949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w:t>
      </w:r>
      <w:proofErr w:type="gramStart"/>
      <w:r>
        <w:rPr>
          <w:rFonts w:ascii="宋体" w:hAnsi="宋体"/>
          <w:sz w:val="24"/>
        </w:rPr>
        <w:t>马场路</w:t>
      </w:r>
      <w:proofErr w:type="gramEnd"/>
      <w:r>
        <w:rPr>
          <w:rFonts w:ascii="宋体" w:hAnsi="宋体"/>
          <w:sz w:val="24"/>
        </w:rPr>
        <w:t>26号广发证券大厦</w:t>
      </w:r>
    </w:p>
    <w:p w14:paraId="23ECEE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法定代表人：林传辉</w:t>
      </w:r>
    </w:p>
    <w:p w14:paraId="538D0E7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电话：（020）66338888</w:t>
      </w:r>
    </w:p>
    <w:p w14:paraId="65706D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传真：（020）87553600</w:t>
      </w:r>
    </w:p>
    <w:p w14:paraId="2521EC8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任嘉鹏</w:t>
      </w:r>
      <w:proofErr w:type="gramEnd"/>
    </w:p>
    <w:p w14:paraId="217B9D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客户服务电话：95575</w:t>
      </w:r>
    </w:p>
    <w:p w14:paraId="1E6697B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网址：www.gf.com.cn</w:t>
      </w:r>
    </w:p>
    <w:p w14:paraId="60D722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（28）名称：</w:t>
      </w:r>
      <w:proofErr w:type="gramStart"/>
      <w:r>
        <w:rPr>
          <w:rFonts w:ascii="宋体" w:hAnsi="宋体"/>
          <w:sz w:val="24"/>
        </w:rPr>
        <w:t>申万宏源证券</w:t>
      </w:r>
      <w:proofErr w:type="gramEnd"/>
      <w:r>
        <w:rPr>
          <w:rFonts w:ascii="宋体" w:hAnsi="宋体"/>
          <w:sz w:val="24"/>
        </w:rPr>
        <w:t>有限公司</w:t>
      </w:r>
    </w:p>
    <w:p w14:paraId="3859D62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住所：上海市徐汇区长乐路989号世纪商贸广场45层</w:t>
      </w:r>
    </w:p>
    <w:p w14:paraId="6978B24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办公地址：上海市徐汇区长乐路989号世纪商贸广场45层</w:t>
      </w:r>
    </w:p>
    <w:p w14:paraId="565C95D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法定代表人：杨玉成</w:t>
      </w:r>
    </w:p>
    <w:p w14:paraId="38EDA54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电话：（021）33389888</w:t>
      </w:r>
    </w:p>
    <w:p w14:paraId="0FEABA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联系人：李清怡</w:t>
      </w:r>
    </w:p>
    <w:p w14:paraId="3AF76C0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客户服务电话：95523或4008895523</w:t>
      </w:r>
    </w:p>
    <w:p w14:paraId="40F85F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网址：www.sywg.com</w:t>
      </w:r>
    </w:p>
    <w:p w14:paraId="137E11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（29）名称：</w:t>
      </w:r>
      <w:proofErr w:type="gramStart"/>
      <w:r>
        <w:rPr>
          <w:rFonts w:ascii="宋体" w:hAnsi="宋体"/>
          <w:sz w:val="24"/>
        </w:rPr>
        <w:t>申万宏</w:t>
      </w:r>
      <w:proofErr w:type="gramEnd"/>
      <w:r>
        <w:rPr>
          <w:rFonts w:ascii="宋体" w:hAnsi="宋体"/>
          <w:sz w:val="24"/>
        </w:rPr>
        <w:t>源西部证券有限公司</w:t>
      </w:r>
    </w:p>
    <w:p w14:paraId="666CAA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住所：新疆乌鲁木齐市建设路2号</w:t>
      </w:r>
    </w:p>
    <w:p w14:paraId="71CD0D9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办公地址：北京市西城区太平桥大街19号宏源证券</w:t>
      </w:r>
    </w:p>
    <w:p w14:paraId="628ED1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法定代表人：冯戎</w:t>
      </w:r>
    </w:p>
    <w:p w14:paraId="1C17CE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电话：（010）88085858</w:t>
      </w:r>
    </w:p>
    <w:p w14:paraId="5850820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传真：（010）88085195</w:t>
      </w:r>
    </w:p>
    <w:p w14:paraId="239A494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联系人：李巍</w:t>
      </w:r>
    </w:p>
    <w:p w14:paraId="70F8E0E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客户服务电话：4008-000-562</w:t>
      </w:r>
    </w:p>
    <w:p w14:paraId="16D826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网址：www.hysec.com</w:t>
      </w:r>
    </w:p>
    <w:p w14:paraId="7D4EB0F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（30）名称：东莞证券股份有限公司</w:t>
      </w:r>
    </w:p>
    <w:p w14:paraId="4EE7388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住所：广东省东莞市</w:t>
      </w:r>
      <w:proofErr w:type="gramStart"/>
      <w:r>
        <w:rPr>
          <w:rFonts w:ascii="宋体" w:hAnsi="宋体"/>
          <w:sz w:val="24"/>
        </w:rPr>
        <w:t>莞</w:t>
      </w:r>
      <w:proofErr w:type="gramEnd"/>
      <w:r>
        <w:rPr>
          <w:rFonts w:ascii="宋体" w:hAnsi="宋体"/>
          <w:sz w:val="24"/>
        </w:rPr>
        <w:t>城区可园南路一号</w:t>
      </w:r>
    </w:p>
    <w:p w14:paraId="1770CD1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办公地址：广东省东莞市</w:t>
      </w:r>
      <w:proofErr w:type="gramStart"/>
      <w:r>
        <w:rPr>
          <w:rFonts w:ascii="宋体" w:hAnsi="宋体"/>
          <w:sz w:val="24"/>
        </w:rPr>
        <w:t>莞</w:t>
      </w:r>
      <w:proofErr w:type="gramEnd"/>
      <w:r>
        <w:rPr>
          <w:rFonts w:ascii="宋体" w:hAnsi="宋体"/>
          <w:sz w:val="24"/>
        </w:rPr>
        <w:t>城区可园南路一号</w:t>
      </w:r>
    </w:p>
    <w:p w14:paraId="5D78C5B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电话：（0769）22115712</w:t>
      </w:r>
    </w:p>
    <w:p w14:paraId="7D45FFE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传真：（0769）22115712</w:t>
      </w:r>
    </w:p>
    <w:p w14:paraId="0178305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联系人：李荣</w:t>
      </w:r>
    </w:p>
    <w:p w14:paraId="7AE456F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客户服务电话：95328</w:t>
      </w:r>
    </w:p>
    <w:p w14:paraId="24EA4E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网址：www.dgzq.com</w:t>
      </w:r>
    </w:p>
    <w:p w14:paraId="4BC31C2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（31）名称：华</w:t>
      </w:r>
      <w:proofErr w:type="gramStart"/>
      <w:r>
        <w:rPr>
          <w:rFonts w:ascii="宋体" w:hAnsi="宋体"/>
          <w:sz w:val="24"/>
        </w:rPr>
        <w:t>宝证券</w:t>
      </w:r>
      <w:proofErr w:type="gramEnd"/>
      <w:r>
        <w:rPr>
          <w:rFonts w:ascii="宋体" w:hAnsi="宋体"/>
          <w:sz w:val="24"/>
        </w:rPr>
        <w:t>股份有限公司</w:t>
      </w:r>
    </w:p>
    <w:p w14:paraId="171CD74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住所：中国上海市陆家嘴环路166号未来资产大厦27楼</w:t>
      </w:r>
    </w:p>
    <w:p w14:paraId="487C362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w:t>
      </w:r>
      <w:proofErr w:type="gramStart"/>
      <w:r>
        <w:rPr>
          <w:rFonts w:ascii="宋体" w:hAnsi="宋体"/>
          <w:sz w:val="24"/>
        </w:rPr>
        <w:t>新区世纪</w:t>
      </w:r>
      <w:proofErr w:type="gramEnd"/>
      <w:r>
        <w:rPr>
          <w:rFonts w:ascii="宋体" w:hAnsi="宋体"/>
          <w:sz w:val="24"/>
        </w:rPr>
        <w:t>大道100号上海环球金融中心57楼</w:t>
      </w:r>
    </w:p>
    <w:p w14:paraId="603580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陈林</w:t>
      </w:r>
    </w:p>
    <w:p w14:paraId="7F9674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电话：（021）68777222</w:t>
      </w:r>
    </w:p>
    <w:p w14:paraId="49F650F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传真：（021）68777822</w:t>
      </w:r>
    </w:p>
    <w:p w14:paraId="098D7A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联系人：赵洁</w:t>
      </w:r>
    </w:p>
    <w:p w14:paraId="13AA581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客户服务电话：400-820-9898</w:t>
      </w:r>
    </w:p>
    <w:p w14:paraId="0901288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网址：www.cnhbstock.com</w:t>
      </w:r>
    </w:p>
    <w:p w14:paraId="0C7C2D7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（32）名称：上海中欧财富基金销售有限公司</w:t>
      </w:r>
    </w:p>
    <w:p w14:paraId="12E8FC1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住所：中国（上海）自由贸易试验区陆家嘴环路479号1008-1室</w:t>
      </w:r>
    </w:p>
    <w:p w14:paraId="0F1B80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办公地址：上海市虹口区公平路18号嘉</w:t>
      </w:r>
      <w:proofErr w:type="gramStart"/>
      <w:r>
        <w:rPr>
          <w:rFonts w:ascii="宋体" w:hAnsi="宋体"/>
          <w:sz w:val="24"/>
        </w:rPr>
        <w:t>昱</w:t>
      </w:r>
      <w:proofErr w:type="gramEnd"/>
      <w:r>
        <w:rPr>
          <w:rFonts w:ascii="宋体" w:hAnsi="宋体"/>
          <w:sz w:val="24"/>
        </w:rPr>
        <w:t>大厦6楼</w:t>
      </w:r>
    </w:p>
    <w:p w14:paraId="2D2CFE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法定代表人：许欣</w:t>
      </w:r>
    </w:p>
    <w:p w14:paraId="322C538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电话：021-68609600</w:t>
      </w:r>
    </w:p>
    <w:p w14:paraId="698C885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传真：021-33830351</w:t>
      </w:r>
    </w:p>
    <w:p w14:paraId="4F57D4A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刘弘义</w:t>
      </w:r>
    </w:p>
    <w:p w14:paraId="7785594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客户服务电话：400-700-9700</w:t>
      </w:r>
    </w:p>
    <w:p w14:paraId="51BF512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公司网址：https://www.zocaifu.com</w:t>
      </w:r>
    </w:p>
    <w:p w14:paraId="339A681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（33）名称：济安财富（北京）基金销售有限公司</w:t>
      </w:r>
    </w:p>
    <w:p w14:paraId="4598296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住所：北京市朝阳区太阳宫中路16号院1号楼10层1005</w:t>
      </w:r>
    </w:p>
    <w:p w14:paraId="79790F3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办公地址：北京市朝阳区太阳宫中路16号院1号楼11层1105</w:t>
      </w:r>
    </w:p>
    <w:p w14:paraId="344A613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法定代表人：杨健</w:t>
      </w:r>
    </w:p>
    <w:p w14:paraId="247F59F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电话：010-65309516</w:t>
      </w:r>
    </w:p>
    <w:p w14:paraId="44AAFEF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传真：010-65330699</w:t>
      </w:r>
    </w:p>
    <w:p w14:paraId="6F0355D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联系人：宋静</w:t>
      </w:r>
    </w:p>
    <w:p w14:paraId="6E000CD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客户服务电话：400-673-7010</w:t>
      </w:r>
    </w:p>
    <w:p w14:paraId="12F96C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网址：www.jianfortune.com</w:t>
      </w:r>
    </w:p>
    <w:p w14:paraId="05CDB0B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（34）名称：博时财富基金销售有限公司</w:t>
      </w:r>
    </w:p>
    <w:p w14:paraId="3F01CB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住所：深圳市福田区莲花街道福新社区益田路5999号基金大厦19层</w:t>
      </w:r>
    </w:p>
    <w:p w14:paraId="42E8D7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办公地址：深圳市福田区莲花街道福新社区益田路5999号基金大厦19层</w:t>
      </w:r>
    </w:p>
    <w:p w14:paraId="79B249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法定代表人：王德英</w:t>
      </w:r>
    </w:p>
    <w:p w14:paraId="47BD1E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电话：0755-83169999</w:t>
      </w:r>
    </w:p>
    <w:p w14:paraId="3D57A5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传真：0755-83195220</w:t>
      </w:r>
    </w:p>
    <w:p w14:paraId="6670B18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联系人：崔丹</w:t>
      </w:r>
    </w:p>
    <w:p w14:paraId="0C56D3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客户服务电话：400-610-5568</w:t>
      </w:r>
    </w:p>
    <w:p w14:paraId="7A03223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网址：www.boserawealth.com</w:t>
      </w:r>
    </w:p>
    <w:p w14:paraId="65452CD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（35）名称：大连</w:t>
      </w:r>
      <w:proofErr w:type="gramStart"/>
      <w:r>
        <w:rPr>
          <w:rFonts w:ascii="宋体" w:hAnsi="宋体"/>
          <w:sz w:val="24"/>
        </w:rPr>
        <w:t>网金基金</w:t>
      </w:r>
      <w:proofErr w:type="gramEnd"/>
      <w:r>
        <w:rPr>
          <w:rFonts w:ascii="宋体" w:hAnsi="宋体"/>
          <w:sz w:val="24"/>
        </w:rPr>
        <w:t>销售有限公司</w:t>
      </w:r>
    </w:p>
    <w:p w14:paraId="29D614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辽宁省大连市沙河口区体坛路22号诺德大厦2层202室</w:t>
      </w:r>
    </w:p>
    <w:p w14:paraId="14D343B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辽宁省大连市沙河口区体坛路22号诺德大厦2层202室</w:t>
      </w:r>
    </w:p>
    <w:p w14:paraId="07D9E8B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樊怀东</w:t>
      </w:r>
    </w:p>
    <w:p w14:paraId="4DC0E2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电话：（0411-39027810）</w:t>
      </w:r>
    </w:p>
    <w:p w14:paraId="7BB8BA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传真：（0411-39027835）</w:t>
      </w:r>
    </w:p>
    <w:p w14:paraId="78CE8A2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于秀</w:t>
      </w:r>
    </w:p>
    <w:p w14:paraId="2698120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4000-899-100</w:t>
      </w:r>
    </w:p>
    <w:p w14:paraId="32F77D9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网址：http://www.yibaijin.com/</w:t>
      </w:r>
    </w:p>
    <w:p w14:paraId="5B9AD44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（36）名称：阳光人寿保险股份有限公司</w:t>
      </w:r>
    </w:p>
    <w:p w14:paraId="5DCEF61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住所：海南省三亚市迎宾路360-1号三亚阳光金融广场16层</w:t>
      </w:r>
    </w:p>
    <w:p w14:paraId="67C2EC8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办公地址：北京市朝阳区朝阳门外大街乙12号院1号昆泰国际大厦12层</w:t>
      </w:r>
    </w:p>
    <w:p w14:paraId="3BF9B92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法定代表人：李科</w:t>
      </w:r>
    </w:p>
    <w:p w14:paraId="76412ED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电话：（010）85632771</w:t>
      </w:r>
    </w:p>
    <w:p w14:paraId="3DAFAD6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传真：（010）85632773</w:t>
      </w:r>
    </w:p>
    <w:p w14:paraId="179B14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联系人：王超</w:t>
      </w:r>
    </w:p>
    <w:p w14:paraId="3374A0F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客户服务电话：95510</w:t>
      </w:r>
    </w:p>
    <w:p w14:paraId="1C4FEA1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网址：http://fund.sinosig.com/</w:t>
      </w:r>
    </w:p>
    <w:p w14:paraId="40D43D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（37）名称：</w:t>
      </w:r>
      <w:proofErr w:type="gramStart"/>
      <w:r>
        <w:rPr>
          <w:rFonts w:ascii="宋体" w:hAnsi="宋体"/>
          <w:sz w:val="24"/>
        </w:rPr>
        <w:t>玄元保险</w:t>
      </w:r>
      <w:proofErr w:type="gramEnd"/>
      <w:r>
        <w:rPr>
          <w:rFonts w:ascii="宋体" w:hAnsi="宋体"/>
          <w:sz w:val="24"/>
        </w:rPr>
        <w:t>代理有限公司</w:t>
      </w:r>
    </w:p>
    <w:p w14:paraId="2941E2F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住所：中国(上海)自由贸易试验区张杨路707号1105室</w:t>
      </w:r>
    </w:p>
    <w:p w14:paraId="5FABCAB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办公地址：中国(上海)自由贸易试验区张杨路707号1105室</w:t>
      </w:r>
    </w:p>
    <w:p w14:paraId="5C8D54F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法定代表人：马永谙</w:t>
      </w:r>
    </w:p>
    <w:p w14:paraId="3500F97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电话：（021）50701053</w:t>
      </w:r>
    </w:p>
    <w:p w14:paraId="0170435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传真：（021）50701053</w:t>
      </w:r>
    </w:p>
    <w:p w14:paraId="4AD4686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客户服务电话：400-080-8208</w:t>
      </w:r>
    </w:p>
    <w:p w14:paraId="51B509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网址：www.licaimofang.cn</w:t>
      </w:r>
    </w:p>
    <w:p w14:paraId="294634D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（38）名称：京东肯特瑞基金销售有限公司</w:t>
      </w:r>
    </w:p>
    <w:p w14:paraId="0565485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北京市海淀区西三旗建材城中路12号17号平房157</w:t>
      </w:r>
    </w:p>
    <w:p w14:paraId="1994E2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办公地址：北京市通州区亦庄</w:t>
      </w:r>
      <w:proofErr w:type="gramStart"/>
      <w:r>
        <w:rPr>
          <w:rFonts w:ascii="宋体" w:hAnsi="宋体"/>
          <w:sz w:val="24"/>
        </w:rPr>
        <w:t>经济技术开发区科创十一</w:t>
      </w:r>
      <w:proofErr w:type="gramEnd"/>
      <w:r>
        <w:rPr>
          <w:rFonts w:ascii="宋体" w:hAnsi="宋体"/>
          <w:sz w:val="24"/>
        </w:rPr>
        <w:t>街18号院京东集团总部A座17层</w:t>
      </w:r>
    </w:p>
    <w:p w14:paraId="7FB7ED3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法定代表人：王苏宁</w:t>
      </w:r>
    </w:p>
    <w:p w14:paraId="4E14338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电话：95118</w:t>
      </w:r>
    </w:p>
    <w:p w14:paraId="7809356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传真：010-89189566</w:t>
      </w:r>
    </w:p>
    <w:p w14:paraId="1451AFB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14:paraId="1CCDF1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客服热线：95118</w:t>
      </w:r>
    </w:p>
    <w:p w14:paraId="23A5016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网址：kenterui.jd.com</w:t>
      </w:r>
    </w:p>
    <w:p w14:paraId="0C32733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（39）名称：上海大智慧基金销售有限公司</w:t>
      </w:r>
    </w:p>
    <w:p w14:paraId="067A55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w:t>
      </w:r>
      <w:proofErr w:type="gramStart"/>
      <w:r>
        <w:rPr>
          <w:rFonts w:ascii="宋体" w:hAnsi="宋体"/>
          <w:sz w:val="24"/>
        </w:rPr>
        <w:t>新区杨</w:t>
      </w:r>
      <w:proofErr w:type="gramEnd"/>
      <w:r>
        <w:rPr>
          <w:rFonts w:ascii="宋体" w:hAnsi="宋体"/>
          <w:sz w:val="24"/>
        </w:rPr>
        <w:t>高南路428号1号楼10-11层</w:t>
      </w:r>
    </w:p>
    <w:p w14:paraId="1E33BC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新区杨</w:t>
      </w:r>
      <w:proofErr w:type="gramEnd"/>
      <w:r>
        <w:rPr>
          <w:rFonts w:ascii="宋体" w:hAnsi="宋体"/>
          <w:sz w:val="24"/>
        </w:rPr>
        <w:t>高南路428号1号楼10-11层</w:t>
      </w:r>
    </w:p>
    <w:p w14:paraId="41DD2BF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法定代表人：申健</w:t>
      </w:r>
    </w:p>
    <w:p w14:paraId="5CEC026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电话：021-0219988-35374</w:t>
      </w:r>
    </w:p>
    <w:p w14:paraId="6526518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传真：021-20219923</w:t>
      </w:r>
    </w:p>
    <w:p w14:paraId="0A11EBB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w:t>
      </w:r>
      <w:proofErr w:type="gramStart"/>
      <w:r>
        <w:rPr>
          <w:rFonts w:ascii="宋体" w:hAnsi="宋体"/>
          <w:sz w:val="24"/>
        </w:rPr>
        <w:t>蜓</w:t>
      </w:r>
      <w:proofErr w:type="gramEnd"/>
    </w:p>
    <w:p w14:paraId="6C8D0FF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客户服务电话：021-20292031</w:t>
      </w:r>
    </w:p>
    <w:p w14:paraId="7AA9746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网址：https://www.wg.com.cn</w:t>
      </w:r>
    </w:p>
    <w:p w14:paraId="51E47EB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（40）名称：</w:t>
      </w:r>
      <w:proofErr w:type="gramStart"/>
      <w:r>
        <w:rPr>
          <w:rFonts w:ascii="宋体" w:hAnsi="宋体"/>
          <w:sz w:val="24"/>
        </w:rPr>
        <w:t>和耕传承</w:t>
      </w:r>
      <w:proofErr w:type="gramEnd"/>
      <w:r>
        <w:rPr>
          <w:rFonts w:ascii="宋体" w:hAnsi="宋体"/>
          <w:sz w:val="24"/>
        </w:rPr>
        <w:t>基金销售有限公司</w:t>
      </w:r>
    </w:p>
    <w:p w14:paraId="45DF36A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住所：河南自贸试验区郑州片区（郑东）东风南路东康宁街北6号楼5楼503</w:t>
      </w:r>
    </w:p>
    <w:p w14:paraId="1F41B4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办公地址：河南自贸试验区郑州片区（郑东）东风南路东康宁街北6号楼5楼503</w:t>
      </w:r>
    </w:p>
    <w:p w14:paraId="36B5DBE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法定代表人：温丽燕</w:t>
      </w:r>
    </w:p>
    <w:p w14:paraId="79C1109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电话：0371-85518395</w:t>
      </w:r>
    </w:p>
    <w:p w14:paraId="7EA75AF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传真：0371-85518397</w:t>
      </w:r>
    </w:p>
    <w:p w14:paraId="755A4A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联系人：胡静华</w:t>
      </w:r>
    </w:p>
    <w:p w14:paraId="23E6A34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客户服务电话：4000555671</w:t>
      </w:r>
    </w:p>
    <w:p w14:paraId="62118BC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网址：www.hgccpb.com</w:t>
      </w:r>
    </w:p>
    <w:p w14:paraId="562BBC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（41）名称：</w:t>
      </w:r>
      <w:proofErr w:type="gramStart"/>
      <w:r>
        <w:rPr>
          <w:rFonts w:ascii="宋体" w:hAnsi="宋体"/>
          <w:sz w:val="24"/>
        </w:rPr>
        <w:t>腾安基金</w:t>
      </w:r>
      <w:proofErr w:type="gramEnd"/>
      <w:r>
        <w:rPr>
          <w:rFonts w:ascii="宋体" w:hAnsi="宋体"/>
          <w:sz w:val="24"/>
        </w:rPr>
        <w:t>销售（深圳）有限公司</w:t>
      </w:r>
    </w:p>
    <w:p w14:paraId="66FB27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14:paraId="4C1E0F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w:t>
      </w:r>
      <w:proofErr w:type="gramStart"/>
      <w:r>
        <w:rPr>
          <w:rFonts w:ascii="宋体" w:hAnsi="宋体"/>
          <w:sz w:val="24"/>
        </w:rPr>
        <w:t>33号腾讯滨海</w:t>
      </w:r>
      <w:proofErr w:type="gramEnd"/>
      <w:r>
        <w:rPr>
          <w:rFonts w:ascii="宋体" w:hAnsi="宋体"/>
          <w:sz w:val="24"/>
        </w:rPr>
        <w:t>大厦</w:t>
      </w:r>
    </w:p>
    <w:p w14:paraId="3841C8F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14:paraId="4EC8ABA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电话：95017（拨通后转1转8）</w:t>
      </w:r>
    </w:p>
    <w:p w14:paraId="036E68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14:paraId="3D9CBB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客户服务电话：95017（拨通后转1转8）</w:t>
      </w:r>
    </w:p>
    <w:p w14:paraId="40CC93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网址：http://www.tenganxinxi.com/</w:t>
      </w:r>
    </w:p>
    <w:p w14:paraId="033C243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（42）名称：珠海</w:t>
      </w:r>
      <w:proofErr w:type="gramStart"/>
      <w:r>
        <w:rPr>
          <w:rFonts w:ascii="宋体" w:hAnsi="宋体"/>
          <w:sz w:val="24"/>
        </w:rPr>
        <w:t>盈米基金</w:t>
      </w:r>
      <w:proofErr w:type="gramEnd"/>
      <w:r>
        <w:rPr>
          <w:rFonts w:ascii="宋体" w:hAnsi="宋体"/>
          <w:sz w:val="24"/>
        </w:rPr>
        <w:t>销售有限公司</w:t>
      </w:r>
    </w:p>
    <w:p w14:paraId="3545A4F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住所：珠海市横琴新区宝华路6号105室-3491</w:t>
      </w:r>
    </w:p>
    <w:p w14:paraId="4BD5D1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w:t>
      </w:r>
      <w:proofErr w:type="gramStart"/>
      <w:r>
        <w:rPr>
          <w:rFonts w:ascii="宋体" w:hAnsi="宋体"/>
          <w:sz w:val="24"/>
        </w:rPr>
        <w:t>琶</w:t>
      </w:r>
      <w:proofErr w:type="gramEnd"/>
      <w:r>
        <w:rPr>
          <w:rFonts w:ascii="宋体" w:hAnsi="宋体"/>
          <w:sz w:val="24"/>
        </w:rPr>
        <w:t>洲大道东1号保利国际广场南塔12楼B1201-1203</w:t>
      </w:r>
    </w:p>
    <w:p w14:paraId="64DC8A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法定代表人：肖雯</w:t>
      </w:r>
    </w:p>
    <w:p w14:paraId="7BBCB2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电话：（020）89629099</w:t>
      </w:r>
    </w:p>
    <w:p w14:paraId="11063F6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传真：（020）89629011</w:t>
      </w:r>
    </w:p>
    <w:p w14:paraId="37BA7D3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w:t>
      </w:r>
      <w:proofErr w:type="gramStart"/>
      <w:r>
        <w:rPr>
          <w:rFonts w:ascii="宋体" w:hAnsi="宋体"/>
          <w:sz w:val="24"/>
        </w:rPr>
        <w:t>嫦</w:t>
      </w:r>
      <w:proofErr w:type="gramEnd"/>
    </w:p>
    <w:p w14:paraId="0862DF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客户服务电话：（020）89629066</w:t>
      </w:r>
    </w:p>
    <w:p w14:paraId="542EC6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网址：www.yingmi.com</w:t>
      </w:r>
    </w:p>
    <w:p w14:paraId="2172CF3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（43）名称：上海华夏财富投资管理有限公司</w:t>
      </w:r>
    </w:p>
    <w:p w14:paraId="4C84C09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住所：上海市虹口区东大名路687号1幢2楼268室</w:t>
      </w:r>
    </w:p>
    <w:p w14:paraId="1BDDE0A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北京市西城区金融大街33号通泰大厦B座8层</w:t>
      </w:r>
    </w:p>
    <w:p w14:paraId="2A0091E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 xml:space="preserve">法定代表人： </w:t>
      </w:r>
      <w:proofErr w:type="gramStart"/>
      <w:r>
        <w:rPr>
          <w:rFonts w:ascii="宋体" w:hAnsi="宋体"/>
          <w:sz w:val="24"/>
        </w:rPr>
        <w:t>毛淮平</w:t>
      </w:r>
      <w:proofErr w:type="gramEnd"/>
    </w:p>
    <w:p w14:paraId="72E9407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电话：010-88066632</w:t>
      </w:r>
    </w:p>
    <w:p w14:paraId="795A623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传真：010-63136184</w:t>
      </w:r>
    </w:p>
    <w:p w14:paraId="1B764A6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张静怡</w:t>
      </w:r>
    </w:p>
    <w:p w14:paraId="2411C98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客户服务电话：400-817-5666</w:t>
      </w:r>
    </w:p>
    <w:p w14:paraId="596C438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www.amcfortune.com</w:t>
      </w:r>
    </w:p>
    <w:p w14:paraId="2966D6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（44）名称：北京度小满基金销售有限公司</w:t>
      </w:r>
    </w:p>
    <w:p w14:paraId="694A502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注册地址：北京市海淀区西北旺东路10号院西区4号楼1层103室</w:t>
      </w:r>
    </w:p>
    <w:p w14:paraId="62F0F8E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法定代表人：葛新</w:t>
      </w:r>
    </w:p>
    <w:p w14:paraId="5189738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办公地址：北京市海淀区西北旺东路10号院西区4号楼</w:t>
      </w:r>
    </w:p>
    <w:p w14:paraId="212127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机构联系人：王笑宇</w:t>
      </w:r>
    </w:p>
    <w:p w14:paraId="1004B56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联系人电话：010-59403028</w:t>
      </w:r>
    </w:p>
    <w:p w14:paraId="1FB07DF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联系人传真：010-59403027</w:t>
      </w:r>
    </w:p>
    <w:p w14:paraId="50DC8FF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客户服务电话：95055-4</w:t>
      </w:r>
    </w:p>
    <w:p w14:paraId="388BFBE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公司网址：www.baiyingfund.com</w:t>
      </w:r>
    </w:p>
    <w:p w14:paraId="6D4AB7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（45）名称：南京苏宁基金销售有限公司</w:t>
      </w:r>
    </w:p>
    <w:p w14:paraId="66802E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住所：南京市玄武区苏宁大道1-5号</w:t>
      </w:r>
    </w:p>
    <w:p w14:paraId="5E7D73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办公地址：南京市玄武区苏宁大道1-5号</w:t>
      </w:r>
    </w:p>
    <w:p w14:paraId="0DCD77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法定代表人：王锋</w:t>
      </w:r>
    </w:p>
    <w:p w14:paraId="1E5CBDF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电话：025-66996699</w:t>
      </w:r>
    </w:p>
    <w:p w14:paraId="66F12FF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传真：025-66996699</w:t>
      </w:r>
    </w:p>
    <w:p w14:paraId="4DCA9C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联系人：冯鹏鹏</w:t>
      </w:r>
    </w:p>
    <w:p w14:paraId="70DB3A4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客户服务电话：95177</w:t>
      </w:r>
    </w:p>
    <w:p w14:paraId="255846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网址：www.snjijin.com</w:t>
      </w:r>
    </w:p>
    <w:p w14:paraId="46A50F4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（46）名称：嘉实财富管理有限公司</w:t>
      </w:r>
    </w:p>
    <w:p w14:paraId="45478D8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住所：海南省三亚市天涯区三亚</w:t>
      </w:r>
      <w:proofErr w:type="gramStart"/>
      <w:r>
        <w:rPr>
          <w:rFonts w:ascii="宋体" w:hAnsi="宋体"/>
          <w:sz w:val="24"/>
        </w:rPr>
        <w:t>湾路</w:t>
      </w:r>
      <w:proofErr w:type="gramEnd"/>
      <w:r>
        <w:rPr>
          <w:rFonts w:ascii="宋体" w:hAnsi="宋体"/>
          <w:sz w:val="24"/>
        </w:rPr>
        <w:t>国际客运港区国际养生度假中心酒店B座(2＃楼)27楼2714室</w:t>
      </w:r>
    </w:p>
    <w:p w14:paraId="650C539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办公地址及其联系方式：北京市朝阳区建国门外大街21号北京国际俱乐部C座</w:t>
      </w:r>
    </w:p>
    <w:p w14:paraId="24F0D8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张峰</w:t>
      </w:r>
    </w:p>
    <w:p w14:paraId="46B702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 010-85097302</w:t>
      </w:r>
    </w:p>
    <w:p w14:paraId="75E7EBC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联系人：闫欢</w:t>
      </w:r>
    </w:p>
    <w:p w14:paraId="5D4CED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客户服务电话：400-021-8850</w:t>
      </w:r>
    </w:p>
    <w:p w14:paraId="6B4A1BC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公司网址：http://www.harvestwm.cn</w:t>
      </w:r>
    </w:p>
    <w:p w14:paraId="15191F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（47）名称：北京汇成基金销售有限公司</w:t>
      </w:r>
    </w:p>
    <w:p w14:paraId="7FD29DD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住所：北京市西城区宣武门外大街甲1号4层401-2</w:t>
      </w:r>
    </w:p>
    <w:p w14:paraId="4DFD5AC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办公地址：北京市西城区宣武门外大街甲1号</w:t>
      </w:r>
      <w:proofErr w:type="gramStart"/>
      <w:r>
        <w:rPr>
          <w:rFonts w:ascii="宋体" w:hAnsi="宋体"/>
          <w:sz w:val="24"/>
        </w:rPr>
        <w:t>环球财讯中心</w:t>
      </w:r>
      <w:proofErr w:type="gramEnd"/>
      <w:r>
        <w:rPr>
          <w:rFonts w:ascii="宋体" w:hAnsi="宋体"/>
          <w:sz w:val="24"/>
        </w:rPr>
        <w:t>D座4层401-2</w:t>
      </w:r>
    </w:p>
    <w:p w14:paraId="0B8F73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14:paraId="194D25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电话：（010）56282140</w:t>
      </w:r>
    </w:p>
    <w:p w14:paraId="3F940E0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传真：（010）62680827</w:t>
      </w:r>
    </w:p>
    <w:p w14:paraId="2DEA673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14:paraId="1485EEC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客户服务电话：010-63158805</w:t>
      </w:r>
    </w:p>
    <w:p w14:paraId="7125838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网址：www.hcfunds.co</w:t>
      </w:r>
    </w:p>
    <w:p w14:paraId="4732F5C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（48）名称：上海利得基金销售有限公司</w:t>
      </w:r>
    </w:p>
    <w:p w14:paraId="090CC91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w:t>
      </w:r>
      <w:proofErr w:type="gramStart"/>
      <w:r>
        <w:rPr>
          <w:rFonts w:ascii="宋体" w:hAnsi="宋体"/>
          <w:sz w:val="24"/>
        </w:rPr>
        <w:t>峨</w:t>
      </w:r>
      <w:proofErr w:type="gramEnd"/>
      <w:r>
        <w:rPr>
          <w:rFonts w:ascii="宋体" w:hAnsi="宋体"/>
          <w:sz w:val="24"/>
        </w:rPr>
        <w:t>山路91弄61号陆家</w:t>
      </w:r>
      <w:proofErr w:type="gramStart"/>
      <w:r>
        <w:rPr>
          <w:rFonts w:ascii="宋体" w:hAnsi="宋体"/>
          <w:sz w:val="24"/>
        </w:rPr>
        <w:t>嘴软件园10号</w:t>
      </w:r>
      <w:proofErr w:type="gramEnd"/>
      <w:r>
        <w:rPr>
          <w:rFonts w:ascii="宋体" w:hAnsi="宋体"/>
          <w:sz w:val="24"/>
        </w:rPr>
        <w:t>楼12楼</w:t>
      </w:r>
    </w:p>
    <w:p w14:paraId="4A8C18E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办公地址：上海市虹口区东大名路1098号浦江国际金融广场53层</w:t>
      </w:r>
    </w:p>
    <w:p w14:paraId="7BA3442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法定代表人：李兴春</w:t>
      </w:r>
    </w:p>
    <w:p w14:paraId="417B8D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14:paraId="3BF9CE1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14:paraId="79647C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伍豪</w:t>
      </w:r>
    </w:p>
    <w:p w14:paraId="1F0E2DB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客服电话：400-032-5885</w:t>
      </w:r>
    </w:p>
    <w:p w14:paraId="7DFD923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网址：www.leadfund.com.cn</w:t>
      </w:r>
    </w:p>
    <w:p w14:paraId="03DFFB3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（49）名称：上海挖财基金销售有限公司</w:t>
      </w:r>
    </w:p>
    <w:p w14:paraId="42B42FC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注册地址：中国(上海)自由贸易试验区杨高南路759号18层03单元</w:t>
      </w:r>
    </w:p>
    <w:p w14:paraId="159A199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办公地址：中国(上海)自由贸易试验区杨高南路759号18层03单元</w:t>
      </w:r>
    </w:p>
    <w:p w14:paraId="53D3D0E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法定代表人：吕柳霞</w:t>
      </w:r>
    </w:p>
    <w:p w14:paraId="0002FA9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电话：021-50810673</w:t>
      </w:r>
    </w:p>
    <w:p w14:paraId="0D54AC0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传真：021-50810687</w:t>
      </w:r>
    </w:p>
    <w:p w14:paraId="045775D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邮编：200120</w:t>
      </w:r>
    </w:p>
    <w:p w14:paraId="2A5061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毛善波</w:t>
      </w:r>
      <w:proofErr w:type="gramEnd"/>
    </w:p>
    <w:p w14:paraId="68B501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客服电话：400-711-8718</w:t>
      </w:r>
    </w:p>
    <w:p w14:paraId="02F8C5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网址：www.wacaijijin.com</w:t>
      </w:r>
    </w:p>
    <w:p w14:paraId="1CBB1A4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（50）名称：万家财富基金销售（天津）有限公司</w:t>
      </w:r>
    </w:p>
    <w:p w14:paraId="50EBDF4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住所：天津自贸区（中心商务区）迎宾大道1988号</w:t>
      </w:r>
      <w:proofErr w:type="gramStart"/>
      <w:r>
        <w:rPr>
          <w:rFonts w:ascii="宋体" w:hAnsi="宋体"/>
          <w:sz w:val="24"/>
        </w:rPr>
        <w:t>滨海浙商大厦</w:t>
      </w:r>
      <w:proofErr w:type="gramEnd"/>
      <w:r>
        <w:rPr>
          <w:rFonts w:ascii="宋体" w:hAnsi="宋体"/>
          <w:sz w:val="24"/>
        </w:rPr>
        <w:t>公寓2-2413室</w:t>
      </w:r>
    </w:p>
    <w:p w14:paraId="03E25E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办公地址：北京市西城区丰盛胡同28号太平洋保险大厦A座5层</w:t>
      </w:r>
    </w:p>
    <w:p w14:paraId="1E58993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法定代表人：张军</w:t>
      </w:r>
    </w:p>
    <w:p w14:paraId="47FA29F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电话：（010）59013825</w:t>
      </w:r>
    </w:p>
    <w:p w14:paraId="6329E7C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传真：（010）59013828</w:t>
      </w:r>
    </w:p>
    <w:p w14:paraId="59AD12A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联系人：王茜蕊</w:t>
      </w:r>
    </w:p>
    <w:p w14:paraId="5FB1A9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客户服务电话：010-59013895</w:t>
      </w:r>
    </w:p>
    <w:p w14:paraId="3DC701E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网址：http://www.wanjiawealth.com/</w:t>
      </w:r>
    </w:p>
    <w:p w14:paraId="169FD8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（51）名称：上海万得基金销售有限公司</w:t>
      </w:r>
    </w:p>
    <w:p w14:paraId="0D4BFB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住所：中国（上海）自由贸易试验区福山路33号11楼B座</w:t>
      </w:r>
    </w:p>
    <w:p w14:paraId="36EBC4E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办公地址：上海市浦东新区浦明路1500号万得大厦11楼</w:t>
      </w:r>
    </w:p>
    <w:p w14:paraId="0DED59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宋晓言</w:t>
      </w:r>
    </w:p>
    <w:p w14:paraId="658ED12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电话：021-50712782</w:t>
      </w:r>
    </w:p>
    <w:p w14:paraId="32FA763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传真：021-50710161</w:t>
      </w:r>
    </w:p>
    <w:p w14:paraId="4D9727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马烨莹</w:t>
      </w:r>
    </w:p>
    <w:p w14:paraId="3ADCDAE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客户服务电话：400-799-1888</w:t>
      </w:r>
    </w:p>
    <w:p w14:paraId="45C778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www.520fund.com.cn</w:t>
      </w:r>
    </w:p>
    <w:p w14:paraId="1060449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（52）名称：深圳市金斧子基金销售有限公司</w:t>
      </w:r>
    </w:p>
    <w:p w14:paraId="583474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住所：深圳市南山区粤海街道科苑路16号东方科技大厦18楼</w:t>
      </w:r>
    </w:p>
    <w:p w14:paraId="6F6FDB6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办公地址：深圳市南山区粤海街道科苑路科兴科学园B3单元7楼</w:t>
      </w:r>
    </w:p>
    <w:p w14:paraId="314160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赖任军</w:t>
      </w:r>
      <w:proofErr w:type="gramEnd"/>
    </w:p>
    <w:p w14:paraId="341C22A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电话：（0755）66892301</w:t>
      </w:r>
    </w:p>
    <w:p w14:paraId="366AA60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传真：（0755）66892399</w:t>
      </w:r>
    </w:p>
    <w:p w14:paraId="3470455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联系人：张烨</w:t>
      </w:r>
    </w:p>
    <w:p w14:paraId="522008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客户服务电话：400-9500-888</w:t>
      </w:r>
    </w:p>
    <w:p w14:paraId="31E183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网址：www.jfzinv.com</w:t>
      </w:r>
    </w:p>
    <w:p w14:paraId="336F9F5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（53）名称：北京雪球基金销售有限公司</w:t>
      </w:r>
    </w:p>
    <w:p w14:paraId="5C40A2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住所：北京市朝阳区创远路 34 </w:t>
      </w:r>
      <w:proofErr w:type="gramStart"/>
      <w:r>
        <w:rPr>
          <w:rFonts w:ascii="宋体" w:hAnsi="宋体"/>
          <w:sz w:val="24"/>
        </w:rPr>
        <w:t>号院6号</w:t>
      </w:r>
      <w:proofErr w:type="gramEnd"/>
      <w:r>
        <w:rPr>
          <w:rFonts w:ascii="宋体" w:hAnsi="宋体"/>
          <w:sz w:val="24"/>
        </w:rPr>
        <w:t>楼15层1501室</w:t>
      </w:r>
    </w:p>
    <w:p w14:paraId="36977C9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 xml:space="preserve">办公地址：北京市朝阳区创远路 34 </w:t>
      </w:r>
      <w:proofErr w:type="gramStart"/>
      <w:r>
        <w:rPr>
          <w:rFonts w:ascii="宋体" w:hAnsi="宋体"/>
          <w:sz w:val="24"/>
        </w:rPr>
        <w:t>号院融新</w:t>
      </w:r>
      <w:proofErr w:type="gramEnd"/>
      <w:r>
        <w:rPr>
          <w:rFonts w:ascii="宋体" w:hAnsi="宋体"/>
          <w:sz w:val="24"/>
        </w:rPr>
        <w:t>科技中心 C 座 17 层</w:t>
      </w:r>
    </w:p>
    <w:p w14:paraId="6C9368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法定代表人：李楠</w:t>
      </w:r>
    </w:p>
    <w:p w14:paraId="6E25601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电话：（010）61840688</w:t>
      </w:r>
    </w:p>
    <w:p w14:paraId="2AE3448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传真：（010）84997571</w:t>
      </w:r>
    </w:p>
    <w:p w14:paraId="6BC85BC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联系人：武安广</w:t>
      </w:r>
    </w:p>
    <w:p w14:paraId="007614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客户服务电话：400-1599-288</w:t>
      </w:r>
    </w:p>
    <w:p w14:paraId="4CECDFA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网址：danjuanfunds.com</w:t>
      </w:r>
    </w:p>
    <w:p w14:paraId="364D508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（54）名称：中证金牛（北京）基金销售有限公司</w:t>
      </w:r>
    </w:p>
    <w:p w14:paraId="4F17333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北京市丰台区东管头1号2号楼2-45室</w:t>
      </w:r>
    </w:p>
    <w:p w14:paraId="4813CB1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北京市西城区宣武门外大街甲一号</w:t>
      </w:r>
      <w:proofErr w:type="gramStart"/>
      <w:r>
        <w:rPr>
          <w:rFonts w:ascii="宋体" w:hAnsi="宋体"/>
          <w:sz w:val="24"/>
        </w:rPr>
        <w:t>环球财讯中心</w:t>
      </w:r>
      <w:proofErr w:type="gramEnd"/>
      <w:r>
        <w:rPr>
          <w:rFonts w:ascii="宋体" w:hAnsi="宋体"/>
          <w:sz w:val="24"/>
        </w:rPr>
        <w:t>A座5层</w:t>
      </w:r>
    </w:p>
    <w:p w14:paraId="3A625D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钱昊旻</w:t>
      </w:r>
    </w:p>
    <w:p w14:paraId="6AA75AB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电话：（010）59336512</w:t>
      </w:r>
    </w:p>
    <w:p w14:paraId="315108A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传真：（010）59336586</w:t>
      </w:r>
    </w:p>
    <w:p w14:paraId="0CC6FD5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沈晨</w:t>
      </w:r>
    </w:p>
    <w:p w14:paraId="48F29FD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客户服务电话：4008-909-998</w:t>
      </w:r>
    </w:p>
    <w:p w14:paraId="1EE9F6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www.jnlc.com</w:t>
      </w:r>
    </w:p>
    <w:p w14:paraId="109919F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（55）名称：上海证达通基金销售有限公司</w:t>
      </w:r>
    </w:p>
    <w:p w14:paraId="5C8515D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上海市浦东</w:t>
      </w:r>
      <w:proofErr w:type="gramStart"/>
      <w:r>
        <w:rPr>
          <w:rFonts w:ascii="宋体" w:hAnsi="宋体"/>
          <w:sz w:val="24"/>
        </w:rPr>
        <w:t>新区金葵路</w:t>
      </w:r>
      <w:proofErr w:type="gramEnd"/>
      <w:r>
        <w:rPr>
          <w:rFonts w:ascii="宋体" w:hAnsi="宋体"/>
          <w:sz w:val="24"/>
        </w:rPr>
        <w:t>118号3层B区</w:t>
      </w:r>
    </w:p>
    <w:p w14:paraId="78A359B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新区金葵路</w:t>
      </w:r>
      <w:proofErr w:type="gramEnd"/>
      <w:r>
        <w:rPr>
          <w:rFonts w:ascii="宋体" w:hAnsi="宋体"/>
          <w:sz w:val="24"/>
        </w:rPr>
        <w:t>118号3层B区</w:t>
      </w:r>
    </w:p>
    <w:p w14:paraId="2DB5399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法定代表人：姚杨</w:t>
      </w:r>
    </w:p>
    <w:p w14:paraId="1C70132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电话：（021）20530186</w:t>
      </w:r>
    </w:p>
    <w:p w14:paraId="129C88B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传真：（021）20538999</w:t>
      </w:r>
    </w:p>
    <w:p w14:paraId="1A3535B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潘梦茹</w:t>
      </w:r>
    </w:p>
    <w:p w14:paraId="065961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客户服务电话：021-20538880</w:t>
      </w:r>
    </w:p>
    <w:p w14:paraId="2E05014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网址：www.zdt.fund</w:t>
      </w:r>
    </w:p>
    <w:p w14:paraId="110F4C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（56）名称：北京</w:t>
      </w:r>
      <w:proofErr w:type="gramStart"/>
      <w:r>
        <w:rPr>
          <w:rFonts w:ascii="宋体" w:hAnsi="宋体"/>
          <w:sz w:val="24"/>
        </w:rPr>
        <w:t>创金启富基金</w:t>
      </w:r>
      <w:proofErr w:type="gramEnd"/>
      <w:r>
        <w:rPr>
          <w:rFonts w:ascii="宋体" w:hAnsi="宋体"/>
          <w:sz w:val="24"/>
        </w:rPr>
        <w:t>销售有限公司</w:t>
      </w:r>
    </w:p>
    <w:p w14:paraId="130025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北京市西城区白纸坊东街2号院6号楼712室</w:t>
      </w:r>
    </w:p>
    <w:p w14:paraId="07ADC78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北京市西城区白纸坊东街2号院6号楼712室</w:t>
      </w:r>
    </w:p>
    <w:p w14:paraId="30CD359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梁蓉</w:t>
      </w:r>
    </w:p>
    <w:p w14:paraId="4B8D41F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电话：010-66154828-8047</w:t>
      </w:r>
    </w:p>
    <w:p w14:paraId="05275F7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传真：010-63583991</w:t>
      </w:r>
    </w:p>
    <w:p w14:paraId="52872D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魏素清</w:t>
      </w:r>
    </w:p>
    <w:p w14:paraId="26E1DC9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客户服务电话：010-66154828</w:t>
      </w:r>
    </w:p>
    <w:p w14:paraId="41D8126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https://www.5irich.com</w:t>
      </w:r>
    </w:p>
    <w:p w14:paraId="1946BD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（57）名称：奕丰基金销售有限公司</w:t>
      </w:r>
    </w:p>
    <w:p w14:paraId="49ED41A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住所：深圳市前海深港合作区前湾一路1号A栋201室（入住深圳市前海商务秘书有限公司）</w:t>
      </w:r>
    </w:p>
    <w:p w14:paraId="2DFBD8F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办公地址：深圳市南山区海德三道航天科技广场A座17楼1704室</w:t>
      </w:r>
    </w:p>
    <w:p w14:paraId="31BF51E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法定代表人：TEO WEE HOWE</w:t>
      </w:r>
    </w:p>
    <w:p w14:paraId="13B5BA0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电话：（0755）89460500</w:t>
      </w:r>
    </w:p>
    <w:p w14:paraId="3DAF41D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传真：（0755）21674453</w:t>
      </w:r>
    </w:p>
    <w:p w14:paraId="077E9D8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联系人：叶健</w:t>
      </w:r>
    </w:p>
    <w:p w14:paraId="1F6DAFD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客户服务电话：400-684-0500</w:t>
      </w:r>
    </w:p>
    <w:p w14:paraId="4DFE96C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网址：www.ifastps.com.cn</w:t>
      </w:r>
    </w:p>
    <w:p w14:paraId="3AEA3BF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（58）名称：上海天天基金销售有限公司</w:t>
      </w:r>
    </w:p>
    <w:p w14:paraId="470A272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14:paraId="6B8CC92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办公地址：上海市徐汇区宛平南路88号金</w:t>
      </w:r>
      <w:proofErr w:type="gramStart"/>
      <w:r>
        <w:rPr>
          <w:rFonts w:ascii="宋体" w:hAnsi="宋体"/>
          <w:sz w:val="24"/>
        </w:rPr>
        <w:t>座东</w:t>
      </w:r>
      <w:proofErr w:type="gramEnd"/>
      <w:r>
        <w:rPr>
          <w:rFonts w:ascii="宋体" w:hAnsi="宋体"/>
          <w:sz w:val="24"/>
        </w:rPr>
        <w:t>方财富大厦</w:t>
      </w:r>
    </w:p>
    <w:p w14:paraId="130DA9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14:paraId="0E32F07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14:paraId="5340F6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14:paraId="7E48046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联系人：屠彦洋</w:t>
      </w:r>
    </w:p>
    <w:p w14:paraId="2BDF15D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客户服务电话：400-1818-188</w:t>
      </w:r>
    </w:p>
    <w:p w14:paraId="28562C0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14:paraId="0CE3EE9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（59）名称：和讯信息科技有限公司</w:t>
      </w:r>
    </w:p>
    <w:p w14:paraId="1F45263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住所：北京市朝阳区朝外大街</w:t>
      </w:r>
      <w:proofErr w:type="gramStart"/>
      <w:r>
        <w:rPr>
          <w:rFonts w:ascii="宋体" w:hAnsi="宋体"/>
          <w:sz w:val="24"/>
        </w:rPr>
        <w:t>22号泛利大厦</w:t>
      </w:r>
      <w:proofErr w:type="gramEnd"/>
      <w:r>
        <w:rPr>
          <w:rFonts w:ascii="宋体" w:hAnsi="宋体"/>
          <w:sz w:val="24"/>
        </w:rPr>
        <w:t>10层</w:t>
      </w:r>
    </w:p>
    <w:p w14:paraId="3AD711F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办公地址：北京市朝阳区朝外大街</w:t>
      </w:r>
      <w:proofErr w:type="gramStart"/>
      <w:r>
        <w:rPr>
          <w:rFonts w:ascii="宋体" w:hAnsi="宋体"/>
          <w:sz w:val="24"/>
        </w:rPr>
        <w:t>22号泛利大厦</w:t>
      </w:r>
      <w:proofErr w:type="gramEnd"/>
      <w:r>
        <w:rPr>
          <w:rFonts w:ascii="宋体" w:hAnsi="宋体"/>
          <w:sz w:val="24"/>
        </w:rPr>
        <w:t>10层</w:t>
      </w:r>
    </w:p>
    <w:p w14:paraId="67DA48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法定代表人：王莉</w:t>
      </w:r>
    </w:p>
    <w:p w14:paraId="3C1EAFD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电话：（021）20835789</w:t>
      </w:r>
    </w:p>
    <w:p w14:paraId="004D1B7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传真：（021）20835879</w:t>
      </w:r>
    </w:p>
    <w:p w14:paraId="29241CF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联系人：周轶</w:t>
      </w:r>
    </w:p>
    <w:p w14:paraId="697917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客户服务电话：4009200022</w:t>
      </w:r>
    </w:p>
    <w:p w14:paraId="659733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网址：http://licaike.hexun.com/</w:t>
      </w:r>
    </w:p>
    <w:p w14:paraId="749F273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（60）名称：诺亚正</w:t>
      </w:r>
      <w:proofErr w:type="gramStart"/>
      <w:r>
        <w:rPr>
          <w:rFonts w:ascii="宋体" w:hAnsi="宋体"/>
          <w:sz w:val="24"/>
        </w:rPr>
        <w:t>行基金</w:t>
      </w:r>
      <w:proofErr w:type="gramEnd"/>
      <w:r>
        <w:rPr>
          <w:rFonts w:ascii="宋体" w:hAnsi="宋体"/>
          <w:sz w:val="24"/>
        </w:rPr>
        <w:t>销售有限公司</w:t>
      </w:r>
    </w:p>
    <w:p w14:paraId="18AF42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住所:上海市虹口区飞虹路360弄9号3724室</w:t>
      </w:r>
    </w:p>
    <w:p w14:paraId="16855F2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办公地址:上海市杨浦区长阳路1687号长阳谷2号楼</w:t>
      </w:r>
    </w:p>
    <w:p w14:paraId="15A0867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法定代表：汪静波</w:t>
      </w:r>
    </w:p>
    <w:p w14:paraId="4A52F2D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电话：（021）80358523</w:t>
      </w:r>
    </w:p>
    <w:p w14:paraId="6B3A44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传真：（021）80358749</w:t>
      </w:r>
    </w:p>
    <w:p w14:paraId="356661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联系人：李娟</w:t>
      </w:r>
    </w:p>
    <w:p w14:paraId="33A5DD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客户服务电话：4008215399</w:t>
      </w:r>
    </w:p>
    <w:p w14:paraId="7D2F770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网址：www.noah-fund.com</w:t>
      </w:r>
    </w:p>
    <w:p w14:paraId="20F6273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（61）名称：上海好买基金销售有限公司</w:t>
      </w:r>
    </w:p>
    <w:p w14:paraId="1E4BB4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住所：上海市虹口区场中路685弄37号4号楼449室</w:t>
      </w:r>
    </w:p>
    <w:p w14:paraId="594F402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办公地址：上海市浦东新区浦东南路1118号鄂尔多斯国际大厦903-906室</w:t>
      </w:r>
    </w:p>
    <w:p w14:paraId="505D4C3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法定代表人：杨文斌</w:t>
      </w:r>
    </w:p>
    <w:p w14:paraId="2641ECB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传真：（021）68596916</w:t>
      </w:r>
    </w:p>
    <w:p w14:paraId="4A220EC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联系人：薛年</w:t>
      </w:r>
    </w:p>
    <w:p w14:paraId="179EB9C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客户服务电话：400-700-9665</w:t>
      </w:r>
    </w:p>
    <w:p w14:paraId="3F49989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网址：www.howbuy.com</w:t>
      </w:r>
    </w:p>
    <w:p w14:paraId="0570243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（62）名称：上海长</w:t>
      </w:r>
      <w:proofErr w:type="gramStart"/>
      <w:r>
        <w:rPr>
          <w:rFonts w:ascii="宋体" w:hAnsi="宋体"/>
          <w:sz w:val="24"/>
        </w:rPr>
        <w:t>量基金</w:t>
      </w:r>
      <w:proofErr w:type="gramEnd"/>
      <w:r>
        <w:rPr>
          <w:rFonts w:ascii="宋体" w:hAnsi="宋体"/>
          <w:sz w:val="24"/>
        </w:rPr>
        <w:t>销售有限公司</w:t>
      </w:r>
    </w:p>
    <w:p w14:paraId="3A2A046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住所：上海市浦东新区高翔路526号2幢220室</w:t>
      </w:r>
    </w:p>
    <w:p w14:paraId="78F7ECF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办公地址：上海市浦东新区浦东大道555号裕</w:t>
      </w:r>
      <w:proofErr w:type="gramStart"/>
      <w:r>
        <w:rPr>
          <w:rFonts w:ascii="宋体" w:hAnsi="宋体"/>
          <w:sz w:val="24"/>
        </w:rPr>
        <w:t>景国际</w:t>
      </w:r>
      <w:proofErr w:type="gramEnd"/>
      <w:r>
        <w:rPr>
          <w:rFonts w:ascii="宋体" w:hAnsi="宋体"/>
          <w:sz w:val="24"/>
        </w:rPr>
        <w:t>B座16层</w:t>
      </w:r>
    </w:p>
    <w:p w14:paraId="5A4B6C4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法定代表人：张跃伟</w:t>
      </w:r>
    </w:p>
    <w:p w14:paraId="1A855C2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电话：（021）20691832</w:t>
      </w:r>
    </w:p>
    <w:p w14:paraId="092BEEE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传真：（021）20691861</w:t>
      </w:r>
    </w:p>
    <w:p w14:paraId="7579AF8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联系人：单丙烨</w:t>
      </w:r>
    </w:p>
    <w:p w14:paraId="584F6EB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客户服务电话：400-820-2899</w:t>
      </w:r>
    </w:p>
    <w:p w14:paraId="7A571D7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网址：www.erichfund.com</w:t>
      </w:r>
    </w:p>
    <w:p w14:paraId="7B119C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（63）名称：深圳</w:t>
      </w:r>
      <w:proofErr w:type="gramStart"/>
      <w:r>
        <w:rPr>
          <w:rFonts w:ascii="宋体" w:hAnsi="宋体"/>
          <w:sz w:val="24"/>
        </w:rPr>
        <w:t>众禄基金</w:t>
      </w:r>
      <w:proofErr w:type="gramEnd"/>
      <w:r>
        <w:rPr>
          <w:rFonts w:ascii="宋体" w:hAnsi="宋体"/>
          <w:sz w:val="24"/>
        </w:rPr>
        <w:t>销售股份有限公司</w:t>
      </w:r>
    </w:p>
    <w:p w14:paraId="6DB7087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住所：深圳市罗湖区梨园路物资控股置地大厦8楼</w:t>
      </w:r>
    </w:p>
    <w:p w14:paraId="21CC25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办公地址：深圳市罗湖区梨园路物资控股置地大厦8楼</w:t>
      </w:r>
    </w:p>
    <w:p w14:paraId="2FC6A35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14:paraId="727541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电话：（0755）33227953</w:t>
      </w:r>
    </w:p>
    <w:p w14:paraId="1763B57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传真：（0755）33227951</w:t>
      </w:r>
    </w:p>
    <w:p w14:paraId="6734CF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联系人：汤素娅</w:t>
      </w:r>
    </w:p>
    <w:p w14:paraId="700089B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客户服务电话：4006-788-887</w:t>
      </w:r>
    </w:p>
    <w:p w14:paraId="5FB12BA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网址：www.zlfund.cn，www.jjmmw.com</w:t>
      </w:r>
    </w:p>
    <w:p w14:paraId="2AE428E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（64）名称：蚂蚁（杭州）基金销售有限公司</w:t>
      </w:r>
    </w:p>
    <w:p w14:paraId="0E0185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住所：浙江省杭州市余杭区五常街道文</w:t>
      </w:r>
      <w:proofErr w:type="gramStart"/>
      <w:r>
        <w:rPr>
          <w:rFonts w:ascii="宋体" w:hAnsi="宋体"/>
          <w:sz w:val="24"/>
        </w:rPr>
        <w:t>一</w:t>
      </w:r>
      <w:proofErr w:type="gramEnd"/>
      <w:r>
        <w:rPr>
          <w:rFonts w:ascii="宋体" w:hAnsi="宋体"/>
          <w:sz w:val="24"/>
        </w:rPr>
        <w:t>西路969号3幢5层599室</w:t>
      </w:r>
    </w:p>
    <w:p w14:paraId="6B677A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办公地址：浙江省杭州市西湖区西溪路556号</w:t>
      </w:r>
    </w:p>
    <w:p w14:paraId="7BCD1E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14:paraId="07212F4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电话：（0571）28829790，（021）60897869</w:t>
      </w:r>
    </w:p>
    <w:p w14:paraId="1F1F589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传真：（0571）26698533</w:t>
      </w:r>
    </w:p>
    <w:p w14:paraId="109649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14:paraId="70854FD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客户服务电话：95188-8</w:t>
      </w:r>
    </w:p>
    <w:p w14:paraId="4555471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网址：www.fund123.cn</w:t>
      </w:r>
    </w:p>
    <w:p w14:paraId="739548F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（65）名称：中信期货有限公司</w:t>
      </w:r>
    </w:p>
    <w:p w14:paraId="411C54F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住所：深圳市福田区中心三路8号卓越时代广场（二期）北座13层1301-1305室、14层</w:t>
      </w:r>
    </w:p>
    <w:p w14:paraId="76F454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办公地址：深圳市福田区中心三路8号卓越时代广场（二期）北座13层1301-1305室、14层</w:t>
      </w:r>
    </w:p>
    <w:p w14:paraId="166185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法定代表人：张皓</w:t>
      </w:r>
    </w:p>
    <w:p w14:paraId="365CCD7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电话：010-60833754</w:t>
      </w:r>
    </w:p>
    <w:p w14:paraId="2143105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传真：021-60819988</w:t>
      </w:r>
    </w:p>
    <w:p w14:paraId="24D5D53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联系人：刘宏</w:t>
      </w:r>
      <w:proofErr w:type="gramStart"/>
      <w:r>
        <w:rPr>
          <w:rFonts w:ascii="宋体" w:hAnsi="宋体"/>
          <w:sz w:val="24"/>
        </w:rPr>
        <w:t>莹</w:t>
      </w:r>
      <w:proofErr w:type="gramEnd"/>
    </w:p>
    <w:p w14:paraId="3A612D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客服电话：400-990-8826</w:t>
      </w:r>
    </w:p>
    <w:p w14:paraId="3D21C3A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网站：www.citicsf.com</w:t>
      </w:r>
    </w:p>
    <w:p w14:paraId="535C936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（66）名称：上海基</w:t>
      </w:r>
      <w:proofErr w:type="gramStart"/>
      <w:r>
        <w:rPr>
          <w:rFonts w:ascii="宋体" w:hAnsi="宋体"/>
          <w:sz w:val="24"/>
        </w:rPr>
        <w:t>煜</w:t>
      </w:r>
      <w:proofErr w:type="gramEnd"/>
      <w:r>
        <w:rPr>
          <w:rFonts w:ascii="宋体" w:hAnsi="宋体"/>
          <w:sz w:val="24"/>
        </w:rPr>
        <w:t>基金销售有限公司</w:t>
      </w:r>
    </w:p>
    <w:p w14:paraId="21906C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住所：上海市崇明县长兴镇路潘园公路1800号2号楼6153室（上海泰和经济发展区）</w:t>
      </w:r>
    </w:p>
    <w:p w14:paraId="3C98A10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办公地址：上海市杨浦区昆明路518号A1002室</w:t>
      </w:r>
    </w:p>
    <w:p w14:paraId="4666E4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14:paraId="744F99D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电话：（021）65370077</w:t>
      </w:r>
    </w:p>
    <w:p w14:paraId="2CCD62C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传真：（021）55085991</w:t>
      </w:r>
    </w:p>
    <w:p w14:paraId="5E52995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联系人：俞申莉</w:t>
      </w:r>
    </w:p>
    <w:p w14:paraId="21D1C24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客户服务电话：（021）65370077</w:t>
      </w:r>
    </w:p>
    <w:p w14:paraId="0715DFB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网址：www.fofund.com.cn</w:t>
      </w:r>
    </w:p>
    <w:p w14:paraId="6D33B6A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（67）名称：浙江同花</w:t>
      </w:r>
      <w:proofErr w:type="gramStart"/>
      <w:r>
        <w:rPr>
          <w:rFonts w:ascii="宋体" w:hAnsi="宋体"/>
          <w:sz w:val="24"/>
        </w:rPr>
        <w:t>顺基金</w:t>
      </w:r>
      <w:proofErr w:type="gramEnd"/>
      <w:r>
        <w:rPr>
          <w:rFonts w:ascii="宋体" w:hAnsi="宋体"/>
          <w:sz w:val="24"/>
        </w:rPr>
        <w:t>销售有限公司</w:t>
      </w:r>
    </w:p>
    <w:p w14:paraId="73F43D8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住所：浙江省杭州市文二西路1号元茂大厦903</w:t>
      </w:r>
    </w:p>
    <w:p w14:paraId="7BEA2C4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办公地址：浙江杭州余杭区五常街道同顺街18号</w:t>
      </w:r>
    </w:p>
    <w:p w14:paraId="61B27D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法定代表人：吴强</w:t>
      </w:r>
    </w:p>
    <w:p w14:paraId="177F0D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电话：（0571）88911818</w:t>
      </w:r>
    </w:p>
    <w:p w14:paraId="00302FF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传真：（0571）86800423</w:t>
      </w:r>
    </w:p>
    <w:p w14:paraId="53AD747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联系人：吴强</w:t>
      </w:r>
    </w:p>
    <w:p w14:paraId="4058FF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客户服务电话：952555</w:t>
      </w:r>
    </w:p>
    <w:p w14:paraId="313F47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网址：https://fund.10jqka.com.cn/</w:t>
      </w:r>
    </w:p>
    <w:p w14:paraId="63A54A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（68）名称：</w:t>
      </w:r>
      <w:proofErr w:type="gramStart"/>
      <w:r>
        <w:rPr>
          <w:rFonts w:ascii="宋体" w:hAnsi="宋体"/>
          <w:sz w:val="24"/>
        </w:rPr>
        <w:t>宜信普</w:t>
      </w:r>
      <w:proofErr w:type="gramEnd"/>
      <w:r>
        <w:rPr>
          <w:rFonts w:ascii="宋体" w:hAnsi="宋体"/>
          <w:sz w:val="24"/>
        </w:rPr>
        <w:t>泽（北京）基金销售有限公司</w:t>
      </w:r>
    </w:p>
    <w:p w14:paraId="572788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w:t>
      </w:r>
      <w:proofErr w:type="gramStart"/>
      <w:r>
        <w:rPr>
          <w:rFonts w:ascii="宋体" w:hAnsi="宋体"/>
          <w:sz w:val="24"/>
        </w:rPr>
        <w:t>建国路乙118号</w:t>
      </w:r>
      <w:proofErr w:type="gramEnd"/>
      <w:r>
        <w:rPr>
          <w:rFonts w:ascii="宋体" w:hAnsi="宋体"/>
          <w:sz w:val="24"/>
        </w:rPr>
        <w:t>12层01D、02A—02F、03A—03C</w:t>
      </w:r>
    </w:p>
    <w:p w14:paraId="22A606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w:t>
      </w:r>
      <w:proofErr w:type="gramStart"/>
      <w:r>
        <w:rPr>
          <w:rFonts w:ascii="宋体" w:hAnsi="宋体"/>
          <w:sz w:val="24"/>
        </w:rPr>
        <w:t>建国路乙118号</w:t>
      </w:r>
      <w:proofErr w:type="gramEnd"/>
      <w:r>
        <w:rPr>
          <w:rFonts w:ascii="宋体" w:hAnsi="宋体"/>
          <w:sz w:val="24"/>
        </w:rPr>
        <w:t>12层01D、02A—02F、03A—03C</w:t>
      </w:r>
    </w:p>
    <w:p w14:paraId="5651BD3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法定代表人：汤蕾</w:t>
      </w:r>
    </w:p>
    <w:p w14:paraId="18D3FE1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电话：010-5090-5707</w:t>
      </w:r>
    </w:p>
    <w:p w14:paraId="17C73A1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传真：无</w:t>
      </w:r>
    </w:p>
    <w:p w14:paraId="510BF1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联系人：蒋凯帆</w:t>
      </w:r>
    </w:p>
    <w:p w14:paraId="524CD0B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客户服务电话：400-6099-200</w:t>
      </w:r>
    </w:p>
    <w:p w14:paraId="67EFB81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网址：http://www.puzefund.com</w:t>
      </w:r>
    </w:p>
    <w:p w14:paraId="72776D9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（69）名称：上海联泰基金销售有限公司</w:t>
      </w:r>
    </w:p>
    <w:p w14:paraId="6AB3AB5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住所：上海市普陀区兰溪路900弄15号526室</w:t>
      </w:r>
    </w:p>
    <w:p w14:paraId="09C039A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办公地址：上海市虹口区</w:t>
      </w:r>
      <w:proofErr w:type="gramStart"/>
      <w:r>
        <w:rPr>
          <w:rFonts w:ascii="宋体" w:hAnsi="宋体"/>
          <w:sz w:val="24"/>
        </w:rPr>
        <w:t>临潼路</w:t>
      </w:r>
      <w:proofErr w:type="gramEnd"/>
      <w:r>
        <w:rPr>
          <w:rFonts w:ascii="宋体" w:hAnsi="宋体"/>
          <w:sz w:val="24"/>
        </w:rPr>
        <w:t>188号</w:t>
      </w:r>
    </w:p>
    <w:p w14:paraId="2E6FFB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尹</w:t>
      </w:r>
      <w:proofErr w:type="gramEnd"/>
      <w:r>
        <w:rPr>
          <w:rFonts w:ascii="宋体" w:hAnsi="宋体"/>
          <w:sz w:val="24"/>
        </w:rPr>
        <w:t>彬彬</w:t>
      </w:r>
    </w:p>
    <w:p w14:paraId="1917176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电话：021-52822063</w:t>
      </w:r>
    </w:p>
    <w:p w14:paraId="25E9B86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传真：021-52975270</w:t>
      </w:r>
    </w:p>
    <w:p w14:paraId="125486D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联系人：兰敏</w:t>
      </w:r>
    </w:p>
    <w:p w14:paraId="4FC6834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客户服务电话：400-118-1188</w:t>
      </w:r>
    </w:p>
    <w:p w14:paraId="0DA747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网址：www.66liantai.com</w:t>
      </w:r>
    </w:p>
    <w:p w14:paraId="656C44D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（70）名称：深圳市新兰德证券投资咨询有限公司</w:t>
      </w:r>
    </w:p>
    <w:p w14:paraId="0599CBF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住所：深圳市福田区华强北路赛格科技园4栋10层1006#</w:t>
      </w:r>
    </w:p>
    <w:p w14:paraId="78319C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办公地址：北京市西城区金融大街35号国际企业大厦C座9层</w:t>
      </w:r>
    </w:p>
    <w:p w14:paraId="2243B92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法定代表人：陈操</w:t>
      </w:r>
    </w:p>
    <w:p w14:paraId="1B2239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电话：（010）58325395</w:t>
      </w:r>
    </w:p>
    <w:p w14:paraId="0B0974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传真：（010）58325282</w:t>
      </w:r>
    </w:p>
    <w:p w14:paraId="04CD407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联系人：刘宝文</w:t>
      </w:r>
    </w:p>
    <w:p w14:paraId="512E59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客户服务电话：400-850-7771</w:t>
      </w:r>
    </w:p>
    <w:p w14:paraId="7A29F9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网址：http://8.jrj.com.cn/</w:t>
      </w:r>
    </w:p>
    <w:p w14:paraId="3754845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（71）名称：泛华</w:t>
      </w:r>
      <w:proofErr w:type="gramStart"/>
      <w:r>
        <w:rPr>
          <w:rFonts w:ascii="宋体" w:hAnsi="宋体"/>
          <w:sz w:val="24"/>
        </w:rPr>
        <w:t>普益基金</w:t>
      </w:r>
      <w:proofErr w:type="gramEnd"/>
      <w:r>
        <w:rPr>
          <w:rFonts w:ascii="宋体" w:hAnsi="宋体"/>
          <w:sz w:val="24"/>
        </w:rPr>
        <w:t>销售有限公司</w:t>
      </w:r>
    </w:p>
    <w:p w14:paraId="4066520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住所：成都市成华区建设路9号高地中心1101室</w:t>
      </w:r>
    </w:p>
    <w:p w14:paraId="3065AE8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办公地址：成都市金牛区花</w:t>
      </w:r>
      <w:proofErr w:type="gramStart"/>
      <w:r>
        <w:rPr>
          <w:rFonts w:ascii="宋体" w:hAnsi="宋体"/>
          <w:sz w:val="24"/>
        </w:rPr>
        <w:t>照壁西顺街</w:t>
      </w:r>
      <w:proofErr w:type="gramEnd"/>
      <w:r>
        <w:rPr>
          <w:rFonts w:ascii="宋体" w:hAnsi="宋体"/>
          <w:sz w:val="24"/>
        </w:rPr>
        <w:t>399号1栋1</w:t>
      </w:r>
      <w:proofErr w:type="gramStart"/>
      <w:r>
        <w:rPr>
          <w:rFonts w:ascii="宋体" w:hAnsi="宋体"/>
          <w:sz w:val="24"/>
        </w:rPr>
        <w:t>单元龙</w:t>
      </w:r>
      <w:proofErr w:type="gramEnd"/>
      <w:r>
        <w:rPr>
          <w:rFonts w:ascii="宋体" w:hAnsi="宋体"/>
          <w:sz w:val="24"/>
        </w:rPr>
        <w:t>湖西</w:t>
      </w:r>
      <w:proofErr w:type="gramStart"/>
      <w:r>
        <w:rPr>
          <w:rFonts w:ascii="宋体" w:hAnsi="宋体"/>
          <w:sz w:val="24"/>
        </w:rPr>
        <w:t>宸</w:t>
      </w:r>
      <w:proofErr w:type="gramEnd"/>
      <w:r>
        <w:rPr>
          <w:rFonts w:ascii="宋体" w:hAnsi="宋体"/>
          <w:sz w:val="24"/>
        </w:rPr>
        <w:t>天街B座1201号</w:t>
      </w:r>
    </w:p>
    <w:p w14:paraId="47E4948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法定代表人：于海锋</w:t>
      </w:r>
    </w:p>
    <w:p w14:paraId="27220C8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电话：028-8661-6229</w:t>
      </w:r>
    </w:p>
    <w:p w14:paraId="6048687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传真：无</w:t>
      </w:r>
    </w:p>
    <w:p w14:paraId="54DBB4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隋亚方</w:t>
      </w:r>
      <w:proofErr w:type="gramEnd"/>
    </w:p>
    <w:p w14:paraId="0BA7AF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客户服务电话：400-080-3388</w:t>
      </w:r>
    </w:p>
    <w:p w14:paraId="3AF41D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网址：https://www.puyifund.com/</w:t>
      </w:r>
    </w:p>
    <w:p w14:paraId="422E005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（72）名称：上海</w:t>
      </w:r>
      <w:proofErr w:type="gramStart"/>
      <w:r>
        <w:rPr>
          <w:rFonts w:ascii="宋体" w:hAnsi="宋体"/>
          <w:sz w:val="24"/>
        </w:rPr>
        <w:t>攀赢基金</w:t>
      </w:r>
      <w:proofErr w:type="gramEnd"/>
      <w:r>
        <w:rPr>
          <w:rFonts w:ascii="宋体" w:hAnsi="宋体"/>
          <w:sz w:val="24"/>
        </w:rPr>
        <w:t>销售有限公司</w:t>
      </w:r>
    </w:p>
    <w:p w14:paraId="79D0F1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客户服务电话：021-68889082</w:t>
      </w:r>
    </w:p>
    <w:p w14:paraId="5FBEACA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网址：www.weonefunds.com</w:t>
      </w:r>
    </w:p>
    <w:p w14:paraId="30F1F7F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（73）名称：中国人寿保险股份有限公司</w:t>
      </w:r>
    </w:p>
    <w:p w14:paraId="4DC2267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住所：中国北京市西城区金融大街16号</w:t>
      </w:r>
    </w:p>
    <w:p w14:paraId="2C4A0FA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办公地址：北京市西城区金融大街16号中国人</w:t>
      </w:r>
      <w:proofErr w:type="gramStart"/>
      <w:r>
        <w:rPr>
          <w:rFonts w:ascii="宋体" w:hAnsi="宋体"/>
          <w:sz w:val="24"/>
        </w:rPr>
        <w:t>寿广场</w:t>
      </w:r>
      <w:proofErr w:type="gramEnd"/>
      <w:r>
        <w:rPr>
          <w:rFonts w:ascii="宋体" w:hAnsi="宋体"/>
          <w:sz w:val="24"/>
        </w:rPr>
        <w:t>A座</w:t>
      </w:r>
    </w:p>
    <w:p w14:paraId="30482A0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法定代表人：王滨</w:t>
      </w:r>
    </w:p>
    <w:p w14:paraId="5B8121A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客户服务电话：95519</w:t>
      </w:r>
    </w:p>
    <w:p w14:paraId="03F454E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 www.e-chinalife.com</w:t>
      </w:r>
    </w:p>
    <w:p w14:paraId="4F6A61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14:paraId="3F31634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14:paraId="64B9FD7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14:paraId="4E3ECA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14:paraId="59DE0BE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14:paraId="367BF05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14:paraId="4BC1104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14:paraId="489959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14:paraId="3E1496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14:paraId="36DDB8F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14:paraId="730D8B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14:paraId="69B77BD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办公地址：上海市银城中路68号时代金融中心18-20楼</w:t>
      </w:r>
    </w:p>
    <w:p w14:paraId="3F18178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14:paraId="1A4B065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14:paraId="4B3DD8F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14:paraId="1EBA6F6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14:paraId="714F8D5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14:paraId="13ED354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14:paraId="0E22423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名称：毕马威华振会计师事务所(特殊普通合伙)</w:t>
      </w:r>
    </w:p>
    <w:p w14:paraId="5352BB6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住所：北京市东城区东长安街1号东方广场2座办公楼8层</w:t>
      </w:r>
    </w:p>
    <w:p w14:paraId="27ED2C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办公地址：中国上海南京西路1266号恒</w:t>
      </w:r>
      <w:proofErr w:type="gramStart"/>
      <w:r>
        <w:rPr>
          <w:rFonts w:ascii="宋体" w:hAnsi="宋体"/>
          <w:sz w:val="24"/>
        </w:rPr>
        <w:t>隆广场</w:t>
      </w:r>
      <w:proofErr w:type="gramEnd"/>
      <w:r>
        <w:rPr>
          <w:rFonts w:ascii="宋体" w:hAnsi="宋体"/>
          <w:sz w:val="24"/>
        </w:rPr>
        <w:t>2期25楼</w:t>
      </w:r>
    </w:p>
    <w:p w14:paraId="50C0A8D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执行事务合伙人：邹俊</w:t>
      </w:r>
    </w:p>
    <w:p w14:paraId="0A196AE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电话：+86 (21) 2212 2888</w:t>
      </w:r>
    </w:p>
    <w:p w14:paraId="0C2758B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传真：+86 (21) 6288 1889</w:t>
      </w:r>
    </w:p>
    <w:p w14:paraId="5C82554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联系人：侯雯</w:t>
      </w:r>
    </w:p>
    <w:p w14:paraId="0F0EF3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经办注册会计师：王国</w:t>
      </w:r>
      <w:proofErr w:type="gramStart"/>
      <w:r>
        <w:rPr>
          <w:rFonts w:ascii="宋体" w:hAnsi="宋体"/>
          <w:sz w:val="24"/>
        </w:rPr>
        <w:t>蓓</w:t>
      </w:r>
      <w:proofErr w:type="gramEnd"/>
      <w:r>
        <w:rPr>
          <w:rFonts w:ascii="宋体" w:hAnsi="宋体"/>
          <w:sz w:val="24"/>
        </w:rPr>
        <w:t>、侯雯</w:t>
      </w:r>
    </w:p>
    <w:p w14:paraId="4BA69D4B"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1ED2C99" w14:textId="77777777" w:rsidR="001D6314" w:rsidRDefault="00130266">
      <w:pPr>
        <w:pStyle w:val="1"/>
        <w:snapToGrid w:val="0"/>
        <w:spacing w:beforeLines="0" w:before="240" w:after="240"/>
        <w:rPr>
          <w:rFonts w:ascii="宋体" w:hAnsi="宋体"/>
          <w:szCs w:val="30"/>
        </w:rPr>
      </w:pPr>
      <w:bookmarkStart w:id="9" w:name="_Toc216872001"/>
      <w:r>
        <w:rPr>
          <w:rFonts w:ascii="Times New Roman" w:hAnsi="Times New Roman"/>
          <w:sz w:val="30"/>
        </w:rPr>
        <w:lastRenderedPageBreak/>
        <w:t>六、基金的募集</w:t>
      </w:r>
      <w:bookmarkEnd w:id="9"/>
    </w:p>
    <w:p w14:paraId="12D4C81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本基金由基金管理人依照《基金法》、《运作办法》、《销售办法》、基金合同及其他有关规定，并经中国证监会2023年11月9日证监许可【2023】2549号文准予募集注册。</w:t>
      </w:r>
    </w:p>
    <w:p w14:paraId="080C0FE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本基金为契约型开放式股票型基金。基金存续期间为不定期。</w:t>
      </w:r>
    </w:p>
    <w:p w14:paraId="51CA5DE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本基金募集期间基金份额净值为人民币1.00元，按初始面值发售。</w:t>
      </w:r>
    </w:p>
    <w:p w14:paraId="5B80D94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本基金2024年2月28日至2024年3月12日进行发售，本基金设立募集期共募集1,018,649,990.54份基金份额，有效认购户数为8,419户。</w:t>
      </w:r>
    </w:p>
    <w:p w14:paraId="791C76BF"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4046430" w14:textId="77777777" w:rsidR="001D6314" w:rsidRDefault="00130266">
      <w:pPr>
        <w:pStyle w:val="1"/>
        <w:snapToGrid w:val="0"/>
        <w:spacing w:beforeLines="0" w:before="240" w:after="240"/>
        <w:rPr>
          <w:rFonts w:ascii="宋体" w:hAnsi="宋体"/>
          <w:szCs w:val="30"/>
        </w:rPr>
      </w:pPr>
      <w:bookmarkStart w:id="10" w:name="_Toc216872002"/>
      <w:r>
        <w:rPr>
          <w:rFonts w:ascii="Times New Roman" w:hAnsi="Times New Roman"/>
          <w:sz w:val="30"/>
        </w:rPr>
        <w:lastRenderedPageBreak/>
        <w:t>七、基金合同的生效</w:t>
      </w:r>
      <w:bookmarkEnd w:id="10"/>
    </w:p>
    <w:p w14:paraId="4784675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根据有关规定，本基金满足基金合同生效条件，基金合同已于2024年3月15日正式生效。自基金合同生效之日起，本基金管理人正式开始管理本基金。</w:t>
      </w:r>
    </w:p>
    <w:p w14:paraId="3D7E6A8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w:t>
      </w:r>
    </w:p>
    <w:p w14:paraId="35C872D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法律法规或中国证监会另有规定时，从其规定。</w:t>
      </w:r>
    </w:p>
    <w:p w14:paraId="65E965E2"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5F68484" w14:textId="77777777" w:rsidR="001D6314" w:rsidRDefault="00130266">
      <w:pPr>
        <w:pStyle w:val="1"/>
        <w:snapToGrid w:val="0"/>
        <w:spacing w:beforeLines="0" w:before="240" w:after="240"/>
        <w:rPr>
          <w:rFonts w:ascii="宋体" w:hAnsi="宋体"/>
          <w:szCs w:val="30"/>
        </w:rPr>
      </w:pPr>
      <w:bookmarkStart w:id="11" w:name="_Toc216872003"/>
      <w:r>
        <w:rPr>
          <w:rFonts w:ascii="Times New Roman" w:hAnsi="Times New Roman"/>
          <w:sz w:val="30"/>
        </w:rPr>
        <w:lastRenderedPageBreak/>
        <w:t>八、基金份额的申购与赎回</w:t>
      </w:r>
      <w:bookmarkEnd w:id="11"/>
    </w:p>
    <w:p w14:paraId="1D4687A2"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（一）申购和赎回的场所</w:t>
      </w:r>
    </w:p>
    <w:p w14:paraId="35CE16D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14:paraId="3E4FDAE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1、本基金管理人的直销机构</w:t>
      </w:r>
    </w:p>
    <w:p w14:paraId="188E8A3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w:t>
      </w:r>
    </w:p>
    <w:p w14:paraId="2F5A45B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3530509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1991BBE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14:paraId="06E171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11CF99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64390AF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7B65B5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080191B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3F4068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个人投资者可以通过基金管理人网上直销交易平台办理开户、本基金的申购、赎回、转换、定期定额投资等业务，具体交易细则请参阅基金管理人网站。</w:t>
      </w:r>
    </w:p>
    <w:p w14:paraId="250197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网上直销交易平台网址：www.fund001.com</w:t>
      </w:r>
    </w:p>
    <w:p w14:paraId="4924B6D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14:paraId="20864A2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本基金除基金管理人之外的其他销售机构参见本招募说明书“五、相关服务机构”章节或拨打基金管理</w:t>
      </w:r>
      <w:proofErr w:type="gramStart"/>
      <w:r>
        <w:rPr>
          <w:rFonts w:ascii="宋体" w:hAnsi="宋体"/>
          <w:sz w:val="24"/>
        </w:rPr>
        <w:t>人客户</w:t>
      </w:r>
      <w:proofErr w:type="gramEnd"/>
      <w:r>
        <w:rPr>
          <w:rFonts w:ascii="宋体" w:hAnsi="宋体"/>
          <w:sz w:val="24"/>
        </w:rPr>
        <w:t>服务电话进行咨询。</w:t>
      </w:r>
    </w:p>
    <w:p w14:paraId="5AD7153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投资人应当通过上述销售机构办理基金申购、赎回业务的营业场所或按上述销售机构提供的其他方式进行申购或赎回。本基金管理人可根据情况变更或增减基金销售机构，并在基金管理人网站公示。</w:t>
      </w:r>
    </w:p>
    <w:p w14:paraId="08563D3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若基金</w:t>
      </w:r>
      <w:proofErr w:type="gramEnd"/>
      <w:r>
        <w:rPr>
          <w:rFonts w:ascii="宋体" w:hAnsi="宋体"/>
          <w:sz w:val="24"/>
        </w:rPr>
        <w:t>管理人或其指定的销售机构开通电话、传真或网上等交易方式，投资人可以通过上述方式进行申购与赎回。</w:t>
      </w:r>
    </w:p>
    <w:p w14:paraId="6F775D71"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（二）申购和赎回的开放日及时间</w:t>
      </w:r>
    </w:p>
    <w:p w14:paraId="5148988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14:paraId="69117DF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5F1B3D2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3306171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14:paraId="0BB105A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本基金已于2024年3月25日起开放申购业务。</w:t>
      </w:r>
    </w:p>
    <w:p w14:paraId="2133B7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本基金已于2024年4月15日起开放赎回业务。</w:t>
      </w:r>
    </w:p>
    <w:p w14:paraId="581D55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sz w:val="24"/>
        </w:rPr>
        <w:t>且登记</w:t>
      </w:r>
      <w:proofErr w:type="gramEnd"/>
      <w:r>
        <w:rPr>
          <w:rFonts w:ascii="宋体" w:hAnsi="宋体"/>
          <w:sz w:val="24"/>
        </w:rPr>
        <w:t>机构确认接受的，其基金份额申购、赎回价格为下一开放日基金份额申购、赎回的价格。</w:t>
      </w:r>
    </w:p>
    <w:p w14:paraId="785C9F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（三）申购与赎回的原则</w:t>
      </w:r>
    </w:p>
    <w:p w14:paraId="1456C8D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14:paraId="6063075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14:paraId="521C7EE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14:paraId="2A3D1A8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053009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5、办理申购、赎回业务时，应当遵循基金份额持有人利益优先原则，确保投资者的合法权益不受损害并得到公平对待。</w:t>
      </w:r>
    </w:p>
    <w:p w14:paraId="1EF9DB9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基金管理人可在法律法规允许的情况下，对上述原则进行调整。基金管理人必须在新规则开始实施前依照《信息披露办法》的有关规定在规定媒介上公告。</w:t>
      </w:r>
    </w:p>
    <w:p w14:paraId="7269C11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（四）申购和赎回的数额限定</w:t>
      </w:r>
    </w:p>
    <w:p w14:paraId="5E2160A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14:paraId="4185C3A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w:t>
      </w:r>
      <w:r>
        <w:rPr>
          <w:rFonts w:ascii="宋体" w:hAnsi="宋体"/>
          <w:sz w:val="24"/>
        </w:rPr>
        <w:lastRenderedPageBreak/>
        <w:t>元。本基金直销机构单笔申购最低金额可由基金管理人酌情调整。其他销售机构接受申购申请的最低金额为单笔1元，如果销售机构业务规则规定的最低单笔申购金额高于1元，以该销售机构的规定为准。</w:t>
      </w:r>
    </w:p>
    <w:p w14:paraId="43AFC77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14:paraId="49840C5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14:paraId="69DAB6A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3、最低基金份额余额的限制</w:t>
      </w:r>
    </w:p>
    <w:p w14:paraId="069E1C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每个工作日投资人在单个基金交易账户保留的本</w:t>
      </w:r>
      <w:proofErr w:type="gramStart"/>
      <w:r>
        <w:rPr>
          <w:rFonts w:ascii="宋体" w:hAnsi="宋体"/>
          <w:sz w:val="24"/>
        </w:rPr>
        <w:t>基金基金</w:t>
      </w:r>
      <w:proofErr w:type="gramEnd"/>
      <w:r>
        <w:rPr>
          <w:rFonts w:ascii="宋体" w:hAnsi="宋体"/>
          <w:sz w:val="24"/>
        </w:rPr>
        <w:t>份额余额少于1份时，若当日该账户同时有基金份额减少类业务（如赎回、转换出等）被确认，</w:t>
      </w:r>
      <w:proofErr w:type="gramStart"/>
      <w:r>
        <w:rPr>
          <w:rFonts w:ascii="宋体" w:hAnsi="宋体"/>
          <w:sz w:val="24"/>
        </w:rPr>
        <w:t>则基金</w:t>
      </w:r>
      <w:proofErr w:type="gramEnd"/>
      <w:r>
        <w:rPr>
          <w:rFonts w:ascii="宋体" w:hAnsi="宋体"/>
          <w:sz w:val="24"/>
        </w:rPr>
        <w:t>管理人有权将投资人在该账户保留的本</w:t>
      </w:r>
      <w:proofErr w:type="gramStart"/>
      <w:r>
        <w:rPr>
          <w:rFonts w:ascii="宋体" w:hAnsi="宋体"/>
          <w:sz w:val="24"/>
        </w:rPr>
        <w:t>基金基金</w:t>
      </w:r>
      <w:proofErr w:type="gramEnd"/>
      <w:r>
        <w:rPr>
          <w:rFonts w:ascii="宋体" w:hAnsi="宋体"/>
          <w:sz w:val="24"/>
        </w:rPr>
        <w:t>份额一次性全部赎回。</w:t>
      </w:r>
    </w:p>
    <w:p w14:paraId="7AB19F6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4、基金管理人可以规定本基金的总规模上限、单个投资人累计持有的基金份额上限，具体规定请参见相关公告。</w:t>
      </w:r>
    </w:p>
    <w:p w14:paraId="0B3DFB6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63E374E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6、基金管理人可在法律法规允许的情况下，调整上述规定申购金额和赎回份额的数量限制。基金管理人必须在调整实施前依照《信息披露办法》的有关规定在规定媒介上公告。</w:t>
      </w:r>
    </w:p>
    <w:p w14:paraId="280919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（五）申购和赎回的程序</w:t>
      </w:r>
    </w:p>
    <w:p w14:paraId="00267A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14:paraId="5F23909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726FDA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14:paraId="482B190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投资人申购基金份额时，必须全额交付申购款项，若申购资金在规定时间内未全额到账则申购不成立。投资人全额交付申购款项，申购成立；基金登记机构确认基金份额时，申购生效。</w:t>
      </w:r>
    </w:p>
    <w:p w14:paraId="386B56D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份额持有人递交赎回申请，赎回成立；基金登记机构确认赎回时，赎回生效。投资者赎回申请生效后，基金管理人将在T＋7日（包括该日）内支付赎回款项。在发生巨额赎回或基金合同载明的其他暂停赎回或延缓支付赎回款项的情形时，款项的支付办法参照基金合同有关条款处理。</w:t>
      </w:r>
    </w:p>
    <w:p w14:paraId="08EF4C4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14:paraId="5F4DEE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本金退还给投资人。</w:t>
      </w:r>
    </w:p>
    <w:p w14:paraId="4BD3B7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基金管理人可在法律法规允许的范围内，依法对上述申购和赎回申请的确认时间进行调整，并必须在调整实施日前按照《信息披露办法》的有关规定在规定媒介上公告。</w:t>
      </w:r>
    </w:p>
    <w:p w14:paraId="1429816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1755B83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14:paraId="4E87E1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14:paraId="4DE7AF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14:paraId="4C3D510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（3）基金管理人可在法律法规允许的范围内，对上述登记办理时间进行调整，并于开始实施前按照《信息披露办法》的有关规定在规定媒介上公告。</w:t>
      </w:r>
    </w:p>
    <w:p w14:paraId="675A3F8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（六）基金的申购费和赎回费</w:t>
      </w:r>
    </w:p>
    <w:p w14:paraId="0C43EA8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14:paraId="2489C1C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w:t>
      </w:r>
      <w:proofErr w:type="gramStart"/>
      <w:r>
        <w:rPr>
          <w:rFonts w:ascii="宋体" w:hAnsi="宋体"/>
          <w:sz w:val="24"/>
        </w:rPr>
        <w:t>基金基金</w:t>
      </w:r>
      <w:proofErr w:type="gramEnd"/>
      <w:r>
        <w:rPr>
          <w:rFonts w:ascii="宋体" w:hAnsi="宋体"/>
          <w:sz w:val="24"/>
        </w:rPr>
        <w:t>份额分为A类基金份额和C类基金份额，投资人申购A类基金份额在申购时支付申购费用；申购C类基金份额不支付申购费用、从该类别基金资产中计</w:t>
      </w:r>
      <w:proofErr w:type="gramStart"/>
      <w:r>
        <w:rPr>
          <w:rFonts w:ascii="宋体" w:hAnsi="宋体"/>
          <w:sz w:val="24"/>
        </w:rPr>
        <w:t>提销售</w:t>
      </w:r>
      <w:proofErr w:type="gramEnd"/>
      <w:r>
        <w:rPr>
          <w:rFonts w:ascii="宋体" w:hAnsi="宋体"/>
          <w:sz w:val="24"/>
        </w:rPr>
        <w:t>服务费。</w:t>
      </w:r>
    </w:p>
    <w:p w14:paraId="53DC66C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A类基金份额的申购费用由A类基金份额申购人承担，不列入基金财产，主要用</w:t>
      </w:r>
      <w:r>
        <w:rPr>
          <w:rFonts w:ascii="宋体" w:hAnsi="宋体"/>
          <w:sz w:val="24"/>
        </w:rPr>
        <w:lastRenderedPageBreak/>
        <w:t>于本基金的市场推广、销售、登记结算等各项费用。</w:t>
      </w:r>
    </w:p>
    <w:p w14:paraId="495FDE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14:paraId="7DF7DC8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本基金A类基金份额（非养老金客户）的申购费率如下：</w:t>
      </w:r>
    </w:p>
    <w:tbl>
      <w:tblPr>
        <w:tblW w:w="5000" w:type="pct"/>
        <w:tblCellMar>
          <w:left w:w="0" w:type="dxa"/>
          <w:right w:w="0" w:type="dxa"/>
        </w:tblCellMar>
        <w:tblLook w:val="04A0" w:firstRow="1" w:lastRow="0" w:firstColumn="1" w:lastColumn="0" w:noHBand="0" w:noVBand="1"/>
      </w:tblPr>
      <w:tblGrid>
        <w:gridCol w:w="1236"/>
        <w:gridCol w:w="3707"/>
        <w:gridCol w:w="3707"/>
      </w:tblGrid>
      <w:tr w:rsidR="001D6314" w14:paraId="18EA918C" w14:textId="77777777">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28D3E3E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w:t>
            </w:r>
          </w:p>
        </w:tc>
        <w:tc>
          <w:tcPr>
            <w:tcW w:w="750" w:type="pct"/>
            <w:tcBorders>
              <w:top w:val="single" w:sz="4" w:space="0" w:color="auto"/>
              <w:left w:val="single" w:sz="4" w:space="0" w:color="auto"/>
              <w:bottom w:val="single" w:sz="4" w:space="0" w:color="auto"/>
              <w:right w:val="single" w:sz="4" w:space="0" w:color="auto"/>
            </w:tcBorders>
            <w:vAlign w:val="center"/>
          </w:tcPr>
          <w:p w14:paraId="63DA41D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14:paraId="471C04A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类基金份额申购费率</w:t>
            </w:r>
          </w:p>
        </w:tc>
      </w:tr>
      <w:tr w:rsidR="001D6314" w14:paraId="49EA7493"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79DE6167" w14:textId="77777777" w:rsidR="001D6314" w:rsidRDefault="001D6314">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34B997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14:paraId="664A429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rsidR="001D6314" w14:paraId="70B92F23"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428708B0" w14:textId="77777777" w:rsidR="001D6314" w:rsidRDefault="001D6314">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5165273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309F778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rsidR="001D6314" w14:paraId="71B939D8"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0B523B4B" w14:textId="77777777" w:rsidR="001D6314" w:rsidRDefault="001D6314">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CB95D2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1E38524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1D6314" w14:paraId="129BFFD8"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69ECFB51" w14:textId="77777777" w:rsidR="001D6314" w:rsidRDefault="001D6314">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372495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12744C3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05B2C79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持有A类基金份额的投资人因红利自动再投资而产生的A类基金份额，不收取相应的申购费用。</w:t>
      </w:r>
    </w:p>
    <w:p w14:paraId="36A0396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本基金对通过基金管理人直销柜台申购A类基金份额的养老金客户实施特定申购费率。</w:t>
      </w:r>
    </w:p>
    <w:p w14:paraId="3BC647A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w:t>
      </w:r>
    </w:p>
    <w:p w14:paraId="40B7D6D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1）全国社会保障基金；</w:t>
      </w:r>
    </w:p>
    <w:p w14:paraId="67B8E12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2）可以投资基金的地方社会保障基金；</w:t>
      </w:r>
    </w:p>
    <w:p w14:paraId="3AA244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3）企业年金单一计划以及集合计划；</w:t>
      </w:r>
    </w:p>
    <w:p w14:paraId="7E343A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4）企业年金理事会委托的特定客户资产管理计划；</w:t>
      </w:r>
    </w:p>
    <w:p w14:paraId="34AEE5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5）企业年金养老金产品。</w:t>
      </w:r>
    </w:p>
    <w:p w14:paraId="3498445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如将来出现经养老基金监管部门认可的新的养老基金类型，基金管理人可在招募说明书更新或发布临时公告将其纳入养老金客户范围。</w:t>
      </w:r>
    </w:p>
    <w:p w14:paraId="5083211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通过基金管理人直销柜台申购本基金A类基金份额的养老金客户特定申购费率如下表：</w:t>
      </w:r>
    </w:p>
    <w:tbl>
      <w:tblPr>
        <w:tblW w:w="5000" w:type="pct"/>
        <w:tblCellMar>
          <w:left w:w="0" w:type="dxa"/>
          <w:right w:w="0" w:type="dxa"/>
        </w:tblCellMar>
        <w:tblLook w:val="04A0" w:firstRow="1" w:lastRow="0" w:firstColumn="1" w:lastColumn="0" w:noHBand="0" w:noVBand="1"/>
      </w:tblPr>
      <w:tblGrid>
        <w:gridCol w:w="1236"/>
        <w:gridCol w:w="3707"/>
        <w:gridCol w:w="3707"/>
      </w:tblGrid>
      <w:tr w:rsidR="001D6314" w14:paraId="4D4A41B0" w14:textId="77777777">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5199348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w:t>
            </w:r>
          </w:p>
        </w:tc>
        <w:tc>
          <w:tcPr>
            <w:tcW w:w="750" w:type="pct"/>
            <w:tcBorders>
              <w:top w:val="single" w:sz="4" w:space="0" w:color="auto"/>
              <w:left w:val="single" w:sz="4" w:space="0" w:color="auto"/>
              <w:bottom w:val="single" w:sz="4" w:space="0" w:color="auto"/>
              <w:right w:val="single" w:sz="4" w:space="0" w:color="auto"/>
            </w:tcBorders>
            <w:vAlign w:val="center"/>
          </w:tcPr>
          <w:p w14:paraId="7D80788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14:paraId="449CC54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类基金份额特定申购费率</w:t>
            </w:r>
          </w:p>
        </w:tc>
      </w:tr>
      <w:tr w:rsidR="001D6314" w14:paraId="0DD4051A"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34C6DC8C" w14:textId="77777777" w:rsidR="001D6314" w:rsidRDefault="001D6314">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C07B802"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14:paraId="5F2AF3B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0.24%</w:t>
            </w:r>
          </w:p>
        </w:tc>
      </w:tr>
      <w:tr w:rsidR="001D6314" w14:paraId="60BE37CF"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19D47F94" w14:textId="77777777" w:rsidR="001D6314" w:rsidRDefault="001D6314">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082F0F0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10607D9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0.16%</w:t>
            </w:r>
          </w:p>
        </w:tc>
      </w:tr>
      <w:tr w:rsidR="001D6314" w14:paraId="03C1C86B"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7C6FDE02" w14:textId="77777777" w:rsidR="001D6314" w:rsidRDefault="001D6314">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AA4DC7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51AA0D0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1D6314" w14:paraId="050B3623"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3C32574F" w14:textId="77777777" w:rsidR="001D6314" w:rsidRDefault="001D6314">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724C528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750612C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1A28881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投资者通过直销机构交易享有的交易费率优惠情况请见本基金管理人的有关公告或本基金管理人网站。本基金管理人基金网上直销业务已开通的银行卡及各银行卡交易金额限额请参阅本基金管理人网站。</w:t>
      </w:r>
    </w:p>
    <w:p w14:paraId="1FFA077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14:paraId="55FC44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投资者赎回A类基金份额或C类基金份额收取赎回费用，该费用随基金份额的持有时间增加而递减。本基金A类基金份额和C类基金份额的赎回费用由赎回该类基金份额的基金份额持有人承担，在基金份额持有人赎回基金份额时收取。对于持续持有期间少于7日的投资者收取的赎回费全额计入基金财产，对于持续持有期间大于等于7日的投资人收取的赎回费总额的25%应归入基金财产，其余用于支付登记费和其他必要的手续费。</w:t>
      </w:r>
    </w:p>
    <w:p w14:paraId="49CF7EA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本基金A类基金份额的赎回费率如下：</w:t>
      </w:r>
    </w:p>
    <w:tbl>
      <w:tblPr>
        <w:tblW w:w="5000" w:type="pct"/>
        <w:tblCellMar>
          <w:left w:w="0" w:type="dxa"/>
          <w:right w:w="0" w:type="dxa"/>
        </w:tblCellMar>
        <w:tblLook w:val="04A0" w:firstRow="1" w:lastRow="0" w:firstColumn="1" w:lastColumn="0" w:noHBand="0" w:noVBand="1"/>
      </w:tblPr>
      <w:tblGrid>
        <w:gridCol w:w="1236"/>
        <w:gridCol w:w="3707"/>
        <w:gridCol w:w="3707"/>
      </w:tblGrid>
      <w:tr w:rsidR="001D6314" w14:paraId="4AA62CBB" w14:textId="77777777">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383AE1D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类基金份额的赎回费率</w:t>
            </w:r>
          </w:p>
        </w:tc>
        <w:tc>
          <w:tcPr>
            <w:tcW w:w="750" w:type="pct"/>
            <w:tcBorders>
              <w:top w:val="single" w:sz="4" w:space="0" w:color="auto"/>
              <w:left w:val="single" w:sz="4" w:space="0" w:color="auto"/>
              <w:bottom w:val="single" w:sz="4" w:space="0" w:color="auto"/>
              <w:right w:val="single" w:sz="4" w:space="0" w:color="auto"/>
            </w:tcBorders>
            <w:vAlign w:val="center"/>
          </w:tcPr>
          <w:p w14:paraId="45F7347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14:paraId="37A4DC5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1D6314" w14:paraId="5BA0EF2B"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640ED913" w14:textId="77777777" w:rsidR="001D6314" w:rsidRDefault="001D6314">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28AA9142"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14:paraId="3293654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1D6314" w14:paraId="2FC5FD6B"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48041C10" w14:textId="77777777" w:rsidR="001D6314" w:rsidRDefault="001D6314">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0B56AAD"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2ACA590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rsidR="001D6314" w14:paraId="46B7798C"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5997BB3A" w14:textId="77777777" w:rsidR="001D6314" w:rsidRDefault="001D6314">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2CF6733E"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日（含）</w:t>
            </w:r>
            <w:r>
              <w:rPr>
                <w:rFonts w:ascii="Times New Roman" w:hAnsi="Times New Roman"/>
                <w:color w:val="000000"/>
                <w:kern w:val="0"/>
                <w:sz w:val="25"/>
                <w:szCs w:val="24"/>
              </w:rPr>
              <w:t>-180</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05AFDCD5"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1D6314" w14:paraId="0AC87242"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07BEC31C" w14:textId="77777777" w:rsidR="001D6314" w:rsidRDefault="001D6314">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3C4FB51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180</w:t>
            </w:r>
            <w:r>
              <w:rPr>
                <w:rFonts w:ascii="Times New Roman" w:hAnsi="Times New Roman"/>
                <w:color w:val="000000"/>
                <w:kern w:val="0"/>
                <w:sz w:val="25"/>
                <w:szCs w:val="24"/>
              </w:rPr>
              <w:t>日以上（含）</w:t>
            </w:r>
          </w:p>
        </w:tc>
        <w:tc>
          <w:tcPr>
            <w:tcW w:w="750" w:type="pct"/>
            <w:tcBorders>
              <w:top w:val="single" w:sz="4" w:space="0" w:color="auto"/>
              <w:left w:val="single" w:sz="4" w:space="0" w:color="auto"/>
              <w:bottom w:val="single" w:sz="4" w:space="0" w:color="auto"/>
              <w:right w:val="single" w:sz="4" w:space="0" w:color="auto"/>
            </w:tcBorders>
            <w:vAlign w:val="center"/>
          </w:tcPr>
          <w:p w14:paraId="58E2AB0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46D3F65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本基金C类基金份额的赎回费率如下：</w:t>
      </w:r>
    </w:p>
    <w:tbl>
      <w:tblPr>
        <w:tblW w:w="5000" w:type="pct"/>
        <w:tblCellMar>
          <w:left w:w="0" w:type="dxa"/>
          <w:right w:w="0" w:type="dxa"/>
        </w:tblCellMar>
        <w:tblLook w:val="04A0" w:firstRow="1" w:lastRow="0" w:firstColumn="1" w:lastColumn="0" w:noHBand="0" w:noVBand="1"/>
      </w:tblPr>
      <w:tblGrid>
        <w:gridCol w:w="1236"/>
        <w:gridCol w:w="3707"/>
        <w:gridCol w:w="3707"/>
      </w:tblGrid>
      <w:tr w:rsidR="001D6314" w14:paraId="3382A7CA" w14:textId="77777777">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4C9F23F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类基金份额的赎回费率</w:t>
            </w:r>
          </w:p>
        </w:tc>
        <w:tc>
          <w:tcPr>
            <w:tcW w:w="750" w:type="pct"/>
            <w:tcBorders>
              <w:top w:val="single" w:sz="4" w:space="0" w:color="auto"/>
              <w:left w:val="single" w:sz="4" w:space="0" w:color="auto"/>
              <w:bottom w:val="single" w:sz="4" w:space="0" w:color="auto"/>
              <w:right w:val="single" w:sz="4" w:space="0" w:color="auto"/>
            </w:tcBorders>
            <w:vAlign w:val="center"/>
          </w:tcPr>
          <w:p w14:paraId="10331D2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14:paraId="13F184D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1D6314" w14:paraId="5238B44C"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366BCF3E" w14:textId="77777777" w:rsidR="001D6314" w:rsidRDefault="001D6314">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0FA55B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14:paraId="7EB71F4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1D6314" w14:paraId="7A15ED21"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6469B407" w14:textId="77777777" w:rsidR="001D6314" w:rsidRDefault="001D6314">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62C6A6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30F9CC0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1D6314" w14:paraId="7962D7CE"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36370619" w14:textId="77777777" w:rsidR="001D6314" w:rsidRDefault="001D6314">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77F1B15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日以上（含）</w:t>
            </w:r>
          </w:p>
        </w:tc>
        <w:tc>
          <w:tcPr>
            <w:tcW w:w="750" w:type="pct"/>
            <w:tcBorders>
              <w:top w:val="single" w:sz="4" w:space="0" w:color="auto"/>
              <w:left w:val="single" w:sz="4" w:space="0" w:color="auto"/>
              <w:bottom w:val="single" w:sz="4" w:space="0" w:color="auto"/>
              <w:right w:val="single" w:sz="4" w:space="0" w:color="auto"/>
            </w:tcBorders>
            <w:vAlign w:val="center"/>
          </w:tcPr>
          <w:p w14:paraId="0E2D42A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5FFE038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3、基金管理人可以在基金合同约定的范围内调整费率或收费方式，并最迟应于新的费率或收费方式实施日前依照《信息披露办法》的有关规定在规定媒介上公告。</w:t>
      </w:r>
    </w:p>
    <w:p w14:paraId="2EDB330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4、当本基金发生大额申购或赎回情形时，基金管理人可以采用摆动定价机制，以确保基金估值的公平性。具体处理原则与操作规范遵循相关法律法规以及监管部门、自律规则的规定。</w:t>
      </w:r>
    </w:p>
    <w:p w14:paraId="2A41889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2F218B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（七）申购和赎回的数额和价格</w:t>
      </w:r>
    </w:p>
    <w:p w14:paraId="34EAEF2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14:paraId="33E4A81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A类基金份额或C类基金份额的有效份额为净申购金额除以当日该类基金份额的基金份额净值，有效份额单位为份，申购份额计算结果按四舍五入方法，保留到小数点后2位，由此产生的收益或损失由基金财产承担。</w:t>
      </w:r>
    </w:p>
    <w:p w14:paraId="66126CA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A类基金份额或C类基金份额的赎回金额为按实际确认的有效赎回份额乘以当日该类基金份额的基金份额净值并扣除相应的费用（如有），赎回金额单位为元。赎回金额计算结果按四舍五入方法，保留到小数点后2位，由此产生的收益或损失由基金财产承担。</w:t>
      </w:r>
    </w:p>
    <w:p w14:paraId="6BDF0FC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14:paraId="676CCEE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本基金采用金额申购的方式。</w:t>
      </w:r>
    </w:p>
    <w:p w14:paraId="5449978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（1）A类基金份额的申购</w:t>
      </w:r>
    </w:p>
    <w:p w14:paraId="264717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proofErr w:type="gramStart"/>
      <w:r>
        <w:rPr>
          <w:rFonts w:ascii="宋体" w:hAnsi="宋体"/>
          <w:sz w:val="24"/>
        </w:rPr>
        <w:t>申请总</w:t>
      </w:r>
      <w:proofErr w:type="gramEnd"/>
      <w:r>
        <w:rPr>
          <w:rFonts w:ascii="宋体" w:hAnsi="宋体"/>
          <w:sz w:val="24"/>
        </w:rPr>
        <w:t>金额</w:t>
      </w:r>
    </w:p>
    <w:p w14:paraId="1063DE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14:paraId="624C63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14:paraId="2788D6A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14:paraId="47A0CD2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14:paraId="7EEAC88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申购份额=净申购金额/ T日A类基金份额净值</w:t>
      </w:r>
    </w:p>
    <w:p w14:paraId="101CA7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例四：某投资者（非养老金客户）投资100,000.00元申购本基金的A类基金份额，假设申购当日A类基金份额净值为1.0400元，申购费率为1.2%，则其可得到的申购份额为：</w:t>
      </w:r>
    </w:p>
    <w:p w14:paraId="364C471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申购总金额＝100,000.00元</w:t>
      </w:r>
    </w:p>
    <w:p w14:paraId="2750F83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净申购金额=100,000.00/（1+1.2%）=98,814.23元</w:t>
      </w:r>
    </w:p>
    <w:p w14:paraId="684EC67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申购费用=100,000.00-98,814.23=1185.77元</w:t>
      </w:r>
    </w:p>
    <w:p w14:paraId="3120D2C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申购份额=98,814.23/1.0400=95,013.68份</w:t>
      </w:r>
    </w:p>
    <w:p w14:paraId="5343907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即：该投资者（非养老金客户）投资100,000.00元申购本基金A类基金份额，假设申购当日A类基金份额净值为1.0400元，则其可得到95,013.68份A类基金份额。</w:t>
      </w:r>
    </w:p>
    <w:p w14:paraId="620ABD9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例五：某养老金客户投资1,000,000.00元通过基金管理人的直销柜台申购本基金的A类基金份额，假设申购当日A类基金份额净值为1.0400元，申购费率为0.16%，则其可得到的申购份额为：</w:t>
      </w:r>
    </w:p>
    <w:p w14:paraId="5118FE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申购总金额＝1,000,000.00元</w:t>
      </w:r>
    </w:p>
    <w:p w14:paraId="46E1FBF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净申购金额=1,000,000.00/（1+0.16%）=998,402.56元</w:t>
      </w:r>
    </w:p>
    <w:p w14:paraId="668BFA9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申购费用=1,000,000.00-998,402.56=1,597.44元</w:t>
      </w:r>
    </w:p>
    <w:p w14:paraId="23192D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申购份额=998,402.56/1.0400=960,002.46份</w:t>
      </w:r>
    </w:p>
    <w:p w14:paraId="17FCEF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即：该养老金客户投资1,000,000.00元通过基金管理人的直销柜台申购本基金的A类基金份额，假设申购当日A类基金份额净值为1.0400元，则其可得到960,002.46份A类基金份额。</w:t>
      </w:r>
    </w:p>
    <w:p w14:paraId="5D8659C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（2）C类基金份额的申购</w:t>
      </w:r>
    </w:p>
    <w:p w14:paraId="062F675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如果投资者选择申购C类基金份额，则申购份额的计算方法如下：</w:t>
      </w:r>
    </w:p>
    <w:p w14:paraId="639C169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proofErr w:type="gramStart"/>
      <w:r>
        <w:rPr>
          <w:rFonts w:ascii="宋体" w:hAnsi="宋体"/>
          <w:sz w:val="24"/>
        </w:rPr>
        <w:t>申请总</w:t>
      </w:r>
      <w:proofErr w:type="gramEnd"/>
      <w:r>
        <w:rPr>
          <w:rFonts w:ascii="宋体" w:hAnsi="宋体"/>
          <w:sz w:val="24"/>
        </w:rPr>
        <w:t>金额</w:t>
      </w:r>
    </w:p>
    <w:p w14:paraId="761CBD6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申购份额=申购总金额/T日C类基金份额净值</w:t>
      </w:r>
    </w:p>
    <w:p w14:paraId="479C25D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例六：某投资者投资100,000.00元申购本基金的C类基金份额，假设申购当日C类基金份额净值为1.0400元，则其可得到的申购份额为：</w:t>
      </w:r>
    </w:p>
    <w:p w14:paraId="4C646CC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申购总金额=100,000.00元</w:t>
      </w:r>
    </w:p>
    <w:p w14:paraId="43AD75D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申购份额＝100,000.00/1.0400＝96,153.85份</w:t>
      </w:r>
    </w:p>
    <w:p w14:paraId="708F973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即：投资者投资100,000.00元申购本基金的C类基金份额，假设申购当日C类基金份额净值为1.0400元，则其可得到96,153.85份C类基金份额。</w:t>
      </w:r>
    </w:p>
    <w:p w14:paraId="4FAA1E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14:paraId="4C598F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本基金采用“份额赎回”的方式。</w:t>
      </w:r>
    </w:p>
    <w:p w14:paraId="22D18A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（1）A类基金份额的赎回</w:t>
      </w:r>
    </w:p>
    <w:p w14:paraId="5BC4442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如果投资者赎回A类基金份额，则赎回金额的计算方法如下：</w:t>
      </w:r>
    </w:p>
    <w:p w14:paraId="1377A80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赎回费用=赎回份额×T日A类基金份额净值×赎回费率</w:t>
      </w:r>
    </w:p>
    <w:p w14:paraId="70759A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赎回金额=赎回份额×T日A类基金份额净值-赎回费用</w:t>
      </w:r>
    </w:p>
    <w:p w14:paraId="6AB388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例七：某投资者赎回100,000.00份A类基金份额，持有期限为20日，对应的赎回费率为0.3%，假设赎回当日A类基金份额净值是1.0160元，则其可得到的赎回金额为：</w:t>
      </w:r>
    </w:p>
    <w:p w14:paraId="0479CC6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赎回费用=100,000.00×1.0160×0.3%＝304.80元</w:t>
      </w:r>
    </w:p>
    <w:p w14:paraId="4FA4502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赎回金额=100,000.00×1.0160-304.80＝101,295.20元</w:t>
      </w:r>
    </w:p>
    <w:p w14:paraId="6DA3F13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即：该投资者赎回100,000.00份A类基金份额，持有期限为20日，对应的赎回费率为0.3%，假设赎回当日A类基金份额净值是1.0160元，则其可得到的赎回金额为101,295.20元。</w:t>
      </w:r>
    </w:p>
    <w:p w14:paraId="456986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（2）C类基金份额的赎回</w:t>
      </w:r>
    </w:p>
    <w:p w14:paraId="7C69F18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如果投资者赎回C类基金份额，赎回金额的计算方法如下：</w:t>
      </w:r>
    </w:p>
    <w:p w14:paraId="0764F56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赎回费用=赎回份额×T日C类基金份额净值×赎回费率</w:t>
      </w:r>
    </w:p>
    <w:p w14:paraId="472682F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赎回金额=赎回份额×T日C类基金份额净值-赎回费用</w:t>
      </w:r>
    </w:p>
    <w:p w14:paraId="2B7A6FA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例八：某投资者赎回100,000.00份C类基金份额，持有期限为20日，对应的赎回费率为0.1%，假设赎回当日C类基金份额净值是1.0160元，则其可得到的赎回金额为：</w:t>
      </w:r>
    </w:p>
    <w:p w14:paraId="131A4F8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赎回费用=100,000.00×1.0160×0.1%＝101.60元</w:t>
      </w:r>
    </w:p>
    <w:p w14:paraId="7369E38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赎回金额=100,000.00×1.0160-101.60＝101,498.40元</w:t>
      </w:r>
    </w:p>
    <w:p w14:paraId="404AAB0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即：该投资者赎回100,000.00份C类基金份额，持有期限为20日，对应的赎回费率为0.1%，假设赎回当日C类基金份额净值是1.0160元，则其可得到的赎回金额为101,498.40元。</w:t>
      </w:r>
    </w:p>
    <w:p w14:paraId="0B90F90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14:paraId="53AF2DB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A类基金份额净值＝A类基金份额的基金资产净值总额/发行在外的A类基金份额总数</w:t>
      </w:r>
    </w:p>
    <w:p w14:paraId="027945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C类基金份额净值＝C类基金份额的基金资产净值总额/发行在外的C类基金份额总数</w:t>
      </w:r>
    </w:p>
    <w:p w14:paraId="0162B9E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T日的基金份额净值在当天收市后计算，并在T+1日（包括该日）内公告。遇特殊情况，经履行适当程序，可以适当延迟计算或公告。本基金A类基金份额和C类基金份额的基金份额净值的计算，均保留到小数点后4位，小数点后第5位四舍五入，由此产生的收益或损失由基金财产承担。</w:t>
      </w:r>
    </w:p>
    <w:p w14:paraId="4382FDA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（八）拒绝或暂停申购的情形</w:t>
      </w:r>
    </w:p>
    <w:p w14:paraId="134AEB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14:paraId="3C3863F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14:paraId="5A5EC60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14:paraId="00DEE9B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3、证券/期货交易所交易时间非正常停市，导致基金管理人无法计算当日基金资产净值。</w:t>
      </w:r>
    </w:p>
    <w:p w14:paraId="02B89A5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4、接受某笔或某些申购申请可能会影响或损害现有基金份额持有人利益时。</w:t>
      </w:r>
    </w:p>
    <w:p w14:paraId="7F0526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5、基金资产规模过大，使基金管理人无法找到合适的投资品种，或其他可能对基金业绩产生负面影响，或发生其他损害现有基金份额持有人利益的情形。</w:t>
      </w:r>
    </w:p>
    <w:p w14:paraId="0399C1F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6、基金销售机构、基金销售支付结算机构或登记机构的异常情况导致基金销</w:t>
      </w:r>
      <w:r>
        <w:rPr>
          <w:rFonts w:ascii="宋体" w:hAnsi="宋体"/>
          <w:sz w:val="24"/>
        </w:rPr>
        <w:lastRenderedPageBreak/>
        <w:t>售系统、基金销售支付结算系统、基金注册登记系统或基金会计系统无法正常运行。</w:t>
      </w:r>
    </w:p>
    <w:p w14:paraId="3CB25E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w:t>
      </w:r>
      <w:proofErr w:type="gramStart"/>
      <w:r>
        <w:rPr>
          <w:rFonts w:ascii="宋体" w:hAnsi="宋体"/>
          <w:sz w:val="24"/>
        </w:rPr>
        <w:t>仍导致</w:t>
      </w:r>
      <w:proofErr w:type="gramEnd"/>
      <w:r>
        <w:rPr>
          <w:rFonts w:ascii="宋体" w:hAnsi="宋体"/>
          <w:sz w:val="24"/>
        </w:rPr>
        <w:t>公允价值存在重大不确定性时，经与基金托管人协商确认后，基金管理人应当暂停接受基金申购申请。</w:t>
      </w:r>
    </w:p>
    <w:p w14:paraId="21D752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8、基金管理人接受某笔或者某些申购申请有可能导致单一投资者持有基金份额的比例超过50%，或者变相规避50%集中度的。出现上述情形时，基金管理人有权将上述申购申请全部或部分确认失败。</w:t>
      </w:r>
    </w:p>
    <w:p w14:paraId="5C843B9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9、法律法规规定、中国证监会认定或基金合同约定的其他情形。</w:t>
      </w:r>
    </w:p>
    <w:p w14:paraId="57EEA9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发生上述第1、2、3、5、6、7、9项暂停申购情形之一</w:t>
      </w:r>
      <w:proofErr w:type="gramStart"/>
      <w:r>
        <w:rPr>
          <w:rFonts w:ascii="宋体" w:hAnsi="宋体"/>
          <w:sz w:val="24"/>
        </w:rPr>
        <w:t>且基金</w:t>
      </w:r>
      <w:proofErr w:type="gramEnd"/>
      <w:r>
        <w:rPr>
          <w:rFonts w:ascii="宋体" w:hAnsi="宋体"/>
          <w:sz w:val="24"/>
        </w:rPr>
        <w:t>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79E8B22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（九）暂停赎回或延缓支付赎回款项的情形</w:t>
      </w:r>
    </w:p>
    <w:p w14:paraId="6F07F7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14:paraId="1FA85E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14:paraId="1936BBD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14:paraId="63D1EBD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3、证券/期货交易所交易时间非正常停市，导致基金管理人无法计算当日基金资产净值。</w:t>
      </w:r>
    </w:p>
    <w:p w14:paraId="0751A0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14:paraId="6179B4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5、发生继续接受赎回申请将损害现有基金份额持有人利益的情形时，基金管理人可暂停接受基金份额持有人的赎回申请。</w:t>
      </w:r>
    </w:p>
    <w:p w14:paraId="14FF7C0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6、指数编制单位或指数发布机构因异常情况使标的指数数据无法正常计算、计算错误或发布异常时。</w:t>
      </w:r>
    </w:p>
    <w:p w14:paraId="2844E01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w:t>
      </w:r>
      <w:proofErr w:type="gramStart"/>
      <w:r>
        <w:rPr>
          <w:rFonts w:ascii="宋体" w:hAnsi="宋体"/>
          <w:sz w:val="24"/>
        </w:rPr>
        <w:t>仍导致</w:t>
      </w:r>
      <w:proofErr w:type="gramEnd"/>
      <w:r>
        <w:rPr>
          <w:rFonts w:ascii="宋体" w:hAnsi="宋体"/>
          <w:sz w:val="24"/>
        </w:rPr>
        <w:t>公允价值存在重大不确定性时，经与基金托管人协商确认后，基金管理人应当延缓支付赎回款项或暂停接受基金赎回申请。</w:t>
      </w:r>
    </w:p>
    <w:p w14:paraId="7554E4B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8、法律法规规定、中国证监会认定或基金合同约定的其他情形。</w:t>
      </w:r>
    </w:p>
    <w:p w14:paraId="54D7E41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发生上述情形之一</w:t>
      </w:r>
      <w:proofErr w:type="gramStart"/>
      <w:r>
        <w:rPr>
          <w:rFonts w:ascii="宋体" w:hAnsi="宋体"/>
          <w:sz w:val="24"/>
        </w:rPr>
        <w:t>且基金</w:t>
      </w:r>
      <w:proofErr w:type="gramEnd"/>
      <w:r>
        <w:rPr>
          <w:rFonts w:ascii="宋体" w:hAnsi="宋体"/>
          <w:sz w:val="24"/>
        </w:rPr>
        <w:t>管理人决定暂停接受基金份额持有人的赎回申请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7956912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（十）巨额赎回的情形及处理方式</w:t>
      </w:r>
    </w:p>
    <w:p w14:paraId="090CACD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14:paraId="464E81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4CC71E1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14:paraId="0DDA31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06B33A9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24DC64C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一开放日该类基金份额的基金份额净值为基础计算赎回金额，以此类推，直到全部赎回为止。如投资人在提交赎回申请时未作明确选择，投资人未能赎回部分作自动延期赎回处理。</w:t>
      </w:r>
    </w:p>
    <w:p w14:paraId="361365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w:t>
      </w:r>
      <w:r>
        <w:rPr>
          <w:rFonts w:ascii="宋体" w:hAnsi="宋体"/>
          <w:sz w:val="24"/>
        </w:rPr>
        <w:lastRenderedPageBreak/>
        <w:t>施：</w:t>
      </w:r>
    </w:p>
    <w:p w14:paraId="21245B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一开放日该类基金份额的基金份额净值为基础计算赎回金额，以此类推，直到全部赎回为止。</w:t>
      </w:r>
    </w:p>
    <w:p w14:paraId="0ACF93D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14:paraId="58680E3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2AF5ABF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14:paraId="2DD3231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当发生上述巨额赎回并延期办理时，基金管理人应当通过邮寄、传真、刊登公告或者通知销售机构代为告知等方式在3个交易日内通知基金份额持有人，说明有关处理方法，并在2日内在规定媒介上刊登公告。</w:t>
      </w:r>
    </w:p>
    <w:p w14:paraId="17F5BC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（十一）暂停申购或赎回的公告和重新开放申购或赎回的公告</w:t>
      </w:r>
    </w:p>
    <w:p w14:paraId="494341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1、发生上述暂停申购或赎回情况的，基金管理人应在规定期限内在规定媒介上刊登暂停公告。</w:t>
      </w:r>
    </w:p>
    <w:p w14:paraId="342D42A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2、如发生暂停的时间为1日，基金管理人应于重新开放日，在规定媒介上刊登基金重新开放申购或赎回公告，并公布最近1个开放日的各类基金份额的基金份额净值。</w:t>
      </w:r>
    </w:p>
    <w:p w14:paraId="4763AB8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55B956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（十二）基金的</w:t>
      </w:r>
      <w:proofErr w:type="gramStart"/>
      <w:r>
        <w:rPr>
          <w:rFonts w:ascii="宋体" w:hAnsi="宋体"/>
          <w:sz w:val="24"/>
        </w:rPr>
        <w:t>非交易</w:t>
      </w:r>
      <w:proofErr w:type="gramEnd"/>
      <w:r>
        <w:rPr>
          <w:rFonts w:ascii="宋体" w:hAnsi="宋体"/>
          <w:sz w:val="24"/>
        </w:rPr>
        <w:t>过户</w:t>
      </w:r>
    </w:p>
    <w:p w14:paraId="422821E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w:t>
      </w:r>
      <w:proofErr w:type="gramStart"/>
      <w:r>
        <w:rPr>
          <w:rFonts w:ascii="宋体" w:hAnsi="宋体"/>
          <w:sz w:val="24"/>
        </w:rPr>
        <w:t>非交易</w:t>
      </w:r>
      <w:proofErr w:type="gramEnd"/>
      <w:r>
        <w:rPr>
          <w:rFonts w:ascii="宋体" w:hAnsi="宋体"/>
          <w:sz w:val="24"/>
        </w:rPr>
        <w:t>过户是指基金登记机构受理继承、捐赠和司法强制执行等情形而</w:t>
      </w:r>
      <w:r>
        <w:rPr>
          <w:rFonts w:ascii="宋体" w:hAnsi="宋体"/>
          <w:sz w:val="24"/>
        </w:rPr>
        <w:lastRenderedPageBreak/>
        <w:t>产生的</w:t>
      </w:r>
      <w:proofErr w:type="gramStart"/>
      <w:r>
        <w:rPr>
          <w:rFonts w:ascii="宋体" w:hAnsi="宋体"/>
          <w:sz w:val="24"/>
        </w:rPr>
        <w:t>非交易</w:t>
      </w:r>
      <w:proofErr w:type="gramEnd"/>
      <w:r>
        <w:rPr>
          <w:rFonts w:ascii="宋体" w:hAnsi="宋体"/>
          <w:sz w:val="24"/>
        </w:rPr>
        <w:t>过户以及登记机构认可、符合法律法规的其它</w:t>
      </w:r>
      <w:proofErr w:type="gramStart"/>
      <w:r>
        <w:rPr>
          <w:rFonts w:ascii="宋体" w:hAnsi="宋体"/>
          <w:sz w:val="24"/>
        </w:rPr>
        <w:t>非交易</w:t>
      </w:r>
      <w:proofErr w:type="gramEnd"/>
      <w:r>
        <w:rPr>
          <w:rFonts w:ascii="宋体" w:hAnsi="宋体"/>
          <w:sz w:val="24"/>
        </w:rPr>
        <w:t>过户。无论在上述何种情况下，接受划转的主体必须是依法可以持有本</w:t>
      </w:r>
      <w:proofErr w:type="gramStart"/>
      <w:r>
        <w:rPr>
          <w:rFonts w:ascii="宋体" w:hAnsi="宋体"/>
          <w:sz w:val="24"/>
        </w:rPr>
        <w:t>基金基金</w:t>
      </w:r>
      <w:proofErr w:type="gramEnd"/>
      <w:r>
        <w:rPr>
          <w:rFonts w:ascii="宋体" w:hAnsi="宋体"/>
          <w:sz w:val="24"/>
        </w:rPr>
        <w:t>份额的投资人。</w:t>
      </w:r>
    </w:p>
    <w:p w14:paraId="18A925D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w:t>
      </w:r>
      <w:proofErr w:type="gramStart"/>
      <w:r>
        <w:rPr>
          <w:rFonts w:ascii="宋体" w:hAnsi="宋体"/>
          <w:sz w:val="24"/>
        </w:rPr>
        <w:t>捐赠指</w:t>
      </w:r>
      <w:proofErr w:type="gramEnd"/>
      <w:r>
        <w:rPr>
          <w:rFonts w:ascii="宋体" w:hAnsi="宋体"/>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sz w:val="24"/>
        </w:rPr>
        <w:t>非交易</w:t>
      </w:r>
      <w:proofErr w:type="gramEnd"/>
      <w:r>
        <w:rPr>
          <w:rFonts w:ascii="宋体" w:hAnsi="宋体"/>
          <w:sz w:val="24"/>
        </w:rPr>
        <w:t>过户必须提供基金登记机构要求提供的相关资料，对于符合条件的</w:t>
      </w:r>
      <w:proofErr w:type="gramStart"/>
      <w:r>
        <w:rPr>
          <w:rFonts w:ascii="宋体" w:hAnsi="宋体"/>
          <w:sz w:val="24"/>
        </w:rPr>
        <w:t>非交易过户申请按</w:t>
      </w:r>
      <w:proofErr w:type="gramEnd"/>
      <w:r>
        <w:rPr>
          <w:rFonts w:ascii="宋体" w:hAnsi="宋体"/>
          <w:sz w:val="24"/>
        </w:rPr>
        <w:t>基金登记机构的规定办理，并按基金登记机构规定的标准收费。</w:t>
      </w:r>
    </w:p>
    <w:p w14:paraId="2C1E30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（十三）基金的转托管</w:t>
      </w:r>
    </w:p>
    <w:p w14:paraId="1D30E4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14:paraId="77B42DE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（十四）定期定额投资计划</w:t>
      </w:r>
    </w:p>
    <w:p w14:paraId="5650CF8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14:paraId="753650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本基金2024年3月21日刊登公告自2024年3月25日起开通定期定额投资计划业务，具体开通销售机构名单和业务规则参见相关公告。</w:t>
      </w:r>
    </w:p>
    <w:p w14:paraId="3FB26C4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（十五）基金份额的冻结和解冻</w:t>
      </w:r>
    </w:p>
    <w:p w14:paraId="3AF12B3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基金登记机构只受理国家有权机关依法要求的基金份额的冻结与解冻，以及登记机构认可、符合法律法规的其他情况下的冻结与解冻。</w:t>
      </w:r>
    </w:p>
    <w:p w14:paraId="5114097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（十六）基金份额的转让</w:t>
      </w:r>
    </w:p>
    <w:p w14:paraId="08BBF95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E585F2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（十七）实施</w:t>
      </w:r>
      <w:proofErr w:type="gramStart"/>
      <w:r>
        <w:rPr>
          <w:rFonts w:ascii="宋体" w:hAnsi="宋体"/>
          <w:sz w:val="24"/>
        </w:rPr>
        <w:t>侧袋机制</w:t>
      </w:r>
      <w:proofErr w:type="gramEnd"/>
      <w:r>
        <w:rPr>
          <w:rFonts w:ascii="宋体" w:hAnsi="宋体"/>
          <w:sz w:val="24"/>
        </w:rPr>
        <w:t>期间本基金的申购与赎回</w:t>
      </w:r>
    </w:p>
    <w:p w14:paraId="0F476D5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的，本基金的申购和赎回安排详见本招募说明书“侧袋机制”部分的规定或相关公告。</w:t>
      </w:r>
    </w:p>
    <w:p w14:paraId="423AFE2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（十八）其他业务</w:t>
      </w:r>
    </w:p>
    <w:p w14:paraId="6C34B33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3CCC6D1F"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98308D2" w14:textId="77777777" w:rsidR="001D6314" w:rsidRDefault="00130266">
      <w:pPr>
        <w:pStyle w:val="1"/>
        <w:snapToGrid w:val="0"/>
        <w:spacing w:beforeLines="0" w:before="240" w:after="240"/>
        <w:rPr>
          <w:rFonts w:ascii="宋体" w:hAnsi="宋体"/>
          <w:szCs w:val="30"/>
        </w:rPr>
      </w:pPr>
      <w:bookmarkStart w:id="12" w:name="_Toc216872004"/>
      <w:r>
        <w:rPr>
          <w:rFonts w:ascii="Times New Roman" w:hAnsi="Times New Roman"/>
          <w:sz w:val="30"/>
        </w:rPr>
        <w:lastRenderedPageBreak/>
        <w:t>九、基金的转换</w:t>
      </w:r>
      <w:bookmarkEnd w:id="12"/>
    </w:p>
    <w:p w14:paraId="02F60981"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（一）基金转换</w:t>
      </w:r>
    </w:p>
    <w:p w14:paraId="33D749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14:paraId="652F1ABE"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（二）转换业务办理时间</w:t>
      </w:r>
    </w:p>
    <w:p w14:paraId="5B21E9A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本基金2024年3月21日刊登公告自2024年3月25日起开放日常转换转入业务、自2024年4月15日起开放日常转换转出业务。</w:t>
      </w:r>
    </w:p>
    <w:p w14:paraId="3F0D847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办理基金间转换的时间为上海证券交易所、深圳证券交易所交易日。若出现新的证券交易市场或交易所交易时间更改或其它原因，基金管理人将视情况进行相应的调整并公告。</w:t>
      </w:r>
    </w:p>
    <w:p w14:paraId="049F5FB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71278F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14:paraId="15B8044E"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（三）基金转换的程序</w:t>
      </w:r>
    </w:p>
    <w:p w14:paraId="4F89D4D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1、申请方式：书面申请或销售机构公布的其他方式。</w:t>
      </w:r>
    </w:p>
    <w:p w14:paraId="75B61D6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2、基金转换申请的确认</w:t>
      </w:r>
    </w:p>
    <w:p w14:paraId="6693038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14:paraId="30FC6A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3、基金转换的注册登记</w:t>
      </w:r>
    </w:p>
    <w:p w14:paraId="5E93689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14:paraId="58217633"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（四）基金转换的数额限制</w:t>
      </w:r>
    </w:p>
    <w:p w14:paraId="16C0659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基金转换以份额为单位进行申请，申请转换份额精确到小数点后两位，小数点后两位以后的部分四舍五入，误差部分</w:t>
      </w:r>
      <w:proofErr w:type="gramStart"/>
      <w:r>
        <w:rPr>
          <w:rFonts w:ascii="宋体" w:hAnsi="宋体"/>
          <w:sz w:val="24"/>
        </w:rPr>
        <w:t>归基金</w:t>
      </w:r>
      <w:proofErr w:type="gramEnd"/>
      <w:r>
        <w:rPr>
          <w:rFonts w:ascii="宋体" w:hAnsi="宋体"/>
          <w:sz w:val="24"/>
        </w:rPr>
        <w:t>财产。</w:t>
      </w:r>
    </w:p>
    <w:p w14:paraId="6E05E3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本基金遵循“份额转换”的原则，单笔转换份额不得低于1份。基金持有人可将其全部或部分基金份额转换成其它基金，单笔转换申请不受转入基金最低申购限额限制。</w:t>
      </w:r>
    </w:p>
    <w:p w14:paraId="7305593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w:t>
      </w:r>
      <w:proofErr w:type="gramStart"/>
      <w:r>
        <w:rPr>
          <w:rFonts w:ascii="宋体" w:hAnsi="宋体"/>
          <w:sz w:val="24"/>
        </w:rPr>
        <w:t>基金基金</w:t>
      </w:r>
      <w:proofErr w:type="gramEnd"/>
      <w:r>
        <w:rPr>
          <w:rFonts w:ascii="宋体" w:hAnsi="宋体"/>
          <w:sz w:val="24"/>
        </w:rPr>
        <w:t>份额余额少于该基金的最低保留余额时，若当日该账户同时有该基金的基金份额减少类业务（如赎回、转换出等）被确认，基金管理人有权将投资人在该账户保留的该</w:t>
      </w:r>
      <w:proofErr w:type="gramStart"/>
      <w:r>
        <w:rPr>
          <w:rFonts w:ascii="宋体" w:hAnsi="宋体"/>
          <w:sz w:val="24"/>
        </w:rPr>
        <w:t>基金基金</w:t>
      </w:r>
      <w:proofErr w:type="gramEnd"/>
      <w:r>
        <w:rPr>
          <w:rFonts w:ascii="宋体" w:hAnsi="宋体"/>
          <w:sz w:val="24"/>
        </w:rPr>
        <w:t>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14:paraId="2F3D0261"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（五）基金转换费用</w:t>
      </w:r>
    </w:p>
    <w:p w14:paraId="529103E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14:paraId="204F856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2、转出基金的赎回费用</w:t>
      </w:r>
    </w:p>
    <w:p w14:paraId="25BD2A5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14:paraId="650D28D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3、前端收费模式下转出与转入基金的申购补差费用</w:t>
      </w:r>
    </w:p>
    <w:p w14:paraId="44E56C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w:t>
      </w:r>
      <w:proofErr w:type="gramStart"/>
      <w:r>
        <w:rPr>
          <w:rFonts w:ascii="宋体" w:hAnsi="宋体"/>
          <w:sz w:val="24"/>
        </w:rPr>
        <w:t>遇固定</w:t>
      </w:r>
      <w:proofErr w:type="gramEnd"/>
      <w:r>
        <w:rPr>
          <w:rFonts w:ascii="宋体" w:hAnsi="宋体"/>
          <w:sz w:val="24"/>
        </w:rPr>
        <w:t>费用，则按实际产生补差费用收取。</w:t>
      </w:r>
    </w:p>
    <w:p w14:paraId="306EBF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4、后端收费模式下转出与转入基金的申购补差费用</w:t>
      </w:r>
    </w:p>
    <w:p w14:paraId="23C6EB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w:t>
      </w:r>
      <w:r>
        <w:rPr>
          <w:rFonts w:ascii="宋体" w:hAnsi="宋体"/>
          <w:sz w:val="24"/>
        </w:rPr>
        <w:lastRenderedPageBreak/>
        <w:t>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213DC5E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5、网上直销的申购补差费率优惠</w:t>
      </w:r>
    </w:p>
    <w:p w14:paraId="59DD51E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1A9D07B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6、本基金管理人可以根据法律法规及基金合同的规定对上述转换费用收费方式和费率进行调整，并应于调整后的收费方式和费率实施前依照《信息披露办法》的有关规定在中国证监会规定媒介上公告。</w:t>
      </w:r>
    </w:p>
    <w:p w14:paraId="153D61FB"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（六）基金转换份额的计算公式</w:t>
      </w:r>
    </w:p>
    <w:p w14:paraId="6EE488A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1、前端收费模式下基金转换份额的计算公式及举例</w:t>
      </w:r>
    </w:p>
    <w:p w14:paraId="505AC6B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14:paraId="4586D4F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14:paraId="60A4EA2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14:paraId="31B900D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14:paraId="216203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14:paraId="483DBAC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对于涉及固定费用的，转出与转入基金的申购补差费＝MAX（0，转出基金和转入基金申购费用之差）</w:t>
      </w:r>
    </w:p>
    <w:p w14:paraId="0332F4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14:paraId="54D40F6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6660014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w:t>
      </w:r>
      <w:proofErr w:type="gramStart"/>
      <w:r>
        <w:rPr>
          <w:rFonts w:ascii="宋体" w:hAnsi="宋体"/>
          <w:sz w:val="24"/>
        </w:rPr>
        <w:t>待支付</w:t>
      </w:r>
      <w:proofErr w:type="gramEnd"/>
      <w:r>
        <w:rPr>
          <w:rFonts w:ascii="宋体" w:hAnsi="宋体"/>
          <w:sz w:val="24"/>
        </w:rPr>
        <w:t>收益（仅限转出基金为货币市场基金的情形，否则A为0）。</w:t>
      </w:r>
    </w:p>
    <w:p w14:paraId="0C1D818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w:t>
      </w:r>
      <w:r>
        <w:rPr>
          <w:rFonts w:ascii="宋体" w:hAnsi="宋体"/>
          <w:sz w:val="24"/>
        </w:rPr>
        <w:lastRenderedPageBreak/>
        <w:t>五入，误差部分</w:t>
      </w:r>
      <w:proofErr w:type="gramStart"/>
      <w:r>
        <w:rPr>
          <w:rFonts w:ascii="宋体" w:hAnsi="宋体"/>
          <w:sz w:val="24"/>
        </w:rPr>
        <w:t>归基金</w:t>
      </w:r>
      <w:proofErr w:type="gramEnd"/>
      <w:r>
        <w:rPr>
          <w:rFonts w:ascii="宋体" w:hAnsi="宋体"/>
          <w:sz w:val="24"/>
        </w:rPr>
        <w:t>财产。</w:t>
      </w:r>
    </w:p>
    <w:p w14:paraId="62FF844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proofErr w:type="gramStart"/>
      <w:r>
        <w:rPr>
          <w:rFonts w:ascii="宋体" w:hAnsi="宋体"/>
          <w:sz w:val="24"/>
        </w:rPr>
        <w:t>一</w:t>
      </w:r>
      <w:proofErr w:type="gramEnd"/>
      <w:r>
        <w:rPr>
          <w:rFonts w:ascii="宋体" w:hAnsi="宋体"/>
          <w:sz w:val="24"/>
        </w:rPr>
        <w:t>：某投资者持有交</w:t>
      </w:r>
      <w:proofErr w:type="gramStart"/>
      <w:r>
        <w:rPr>
          <w:rFonts w:ascii="宋体" w:hAnsi="宋体"/>
          <w:sz w:val="24"/>
        </w:rPr>
        <w:t>银趋势</w:t>
      </w:r>
      <w:proofErr w:type="gramEnd"/>
      <w:r>
        <w:rPr>
          <w:rFonts w:ascii="宋体" w:hAnsi="宋体"/>
          <w:sz w:val="24"/>
        </w:rPr>
        <w:t>前端收费模式的A类基金份额100,000份，持有期半年，转换申请当日交</w:t>
      </w:r>
      <w:proofErr w:type="gramStart"/>
      <w:r>
        <w:rPr>
          <w:rFonts w:ascii="宋体" w:hAnsi="宋体"/>
          <w:sz w:val="24"/>
        </w:rPr>
        <w:t>银趋势</w:t>
      </w:r>
      <w:proofErr w:type="gramEnd"/>
      <w:r>
        <w:rPr>
          <w:rFonts w:ascii="宋体" w:hAnsi="宋体"/>
          <w:sz w:val="24"/>
        </w:rPr>
        <w:t>的A类基金份额净值为1.0100元，交</w:t>
      </w:r>
      <w:proofErr w:type="gramStart"/>
      <w:r>
        <w:rPr>
          <w:rFonts w:ascii="宋体" w:hAnsi="宋体"/>
          <w:sz w:val="24"/>
        </w:rPr>
        <w:t>银成长</w:t>
      </w:r>
      <w:proofErr w:type="gramEnd"/>
      <w:r>
        <w:rPr>
          <w:rFonts w:ascii="宋体" w:hAnsi="宋体"/>
          <w:sz w:val="24"/>
        </w:rPr>
        <w:t>的基金份额净值为2.2700元。若该投资者将100,000份交</w:t>
      </w:r>
      <w:proofErr w:type="gramStart"/>
      <w:r>
        <w:rPr>
          <w:rFonts w:ascii="宋体" w:hAnsi="宋体"/>
          <w:sz w:val="24"/>
        </w:rPr>
        <w:t>银趋势</w:t>
      </w:r>
      <w:proofErr w:type="gramEnd"/>
      <w:r>
        <w:rPr>
          <w:rFonts w:ascii="宋体" w:hAnsi="宋体"/>
          <w:sz w:val="24"/>
        </w:rPr>
        <w:t>前端A类基金份额转换为交</w:t>
      </w:r>
      <w:proofErr w:type="gramStart"/>
      <w:r>
        <w:rPr>
          <w:rFonts w:ascii="宋体" w:hAnsi="宋体"/>
          <w:sz w:val="24"/>
        </w:rPr>
        <w:t>银成长</w:t>
      </w:r>
      <w:proofErr w:type="gramEnd"/>
      <w:r>
        <w:rPr>
          <w:rFonts w:ascii="宋体" w:hAnsi="宋体"/>
          <w:sz w:val="24"/>
        </w:rPr>
        <w:t>前端基金份额，则转入交</w:t>
      </w:r>
      <w:proofErr w:type="gramStart"/>
      <w:r>
        <w:rPr>
          <w:rFonts w:ascii="宋体" w:hAnsi="宋体"/>
          <w:sz w:val="24"/>
        </w:rPr>
        <w:t>银成长</w:t>
      </w:r>
      <w:proofErr w:type="gramEnd"/>
      <w:r>
        <w:rPr>
          <w:rFonts w:ascii="宋体" w:hAnsi="宋体"/>
          <w:sz w:val="24"/>
        </w:rPr>
        <w:t>确认的基金份额为：</w:t>
      </w:r>
    </w:p>
    <w:p w14:paraId="7F83001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转出确认金额=100,000×1.0100=101,000元</w:t>
      </w:r>
    </w:p>
    <w:p w14:paraId="5FA68F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转出基金的赎回费=101,000×0.5%=505元</w:t>
      </w:r>
    </w:p>
    <w:p w14:paraId="13E2B14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转入确认金额=101,000-505=100,495元</w:t>
      </w:r>
    </w:p>
    <w:p w14:paraId="7AB8751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转出与转入基金的申购补差费=100,495×0/（1+0）=0元</w:t>
      </w:r>
    </w:p>
    <w:p w14:paraId="1170F4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转入基金确认份额=（100,495-0）/2.2700=44,270.93份</w:t>
      </w:r>
    </w:p>
    <w:p w14:paraId="355945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w:t>
      </w:r>
      <w:proofErr w:type="gramStart"/>
      <w:r>
        <w:rPr>
          <w:rFonts w:ascii="宋体" w:hAnsi="宋体"/>
          <w:sz w:val="24"/>
        </w:rPr>
        <w:t>银趋势</w:t>
      </w:r>
      <w:proofErr w:type="gramEnd"/>
      <w:r>
        <w:rPr>
          <w:rFonts w:ascii="宋体" w:hAnsi="宋体"/>
          <w:sz w:val="24"/>
        </w:rPr>
        <w:t>的A类基金份额净值为1.0100元。若该投资者将1,000,000份交银增利A类基金份额转换为交</w:t>
      </w:r>
      <w:proofErr w:type="gramStart"/>
      <w:r>
        <w:rPr>
          <w:rFonts w:ascii="宋体" w:hAnsi="宋体"/>
          <w:sz w:val="24"/>
        </w:rPr>
        <w:t>银趋势</w:t>
      </w:r>
      <w:proofErr w:type="gramEnd"/>
      <w:r>
        <w:rPr>
          <w:rFonts w:ascii="宋体" w:hAnsi="宋体"/>
          <w:sz w:val="24"/>
        </w:rPr>
        <w:t>前端A类基金份额，则转入交</w:t>
      </w:r>
      <w:proofErr w:type="gramStart"/>
      <w:r>
        <w:rPr>
          <w:rFonts w:ascii="宋体" w:hAnsi="宋体"/>
          <w:sz w:val="24"/>
        </w:rPr>
        <w:t>银趋势</w:t>
      </w:r>
      <w:proofErr w:type="gramEnd"/>
      <w:r>
        <w:rPr>
          <w:rFonts w:ascii="宋体" w:hAnsi="宋体"/>
          <w:sz w:val="24"/>
        </w:rPr>
        <w:t>确认的A类基金份额为：</w:t>
      </w:r>
    </w:p>
    <w:p w14:paraId="3CC85DE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转出确认金额=1,000,000×1.0200=1,020,000元</w:t>
      </w:r>
    </w:p>
    <w:p w14:paraId="6DC841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转出基金的赎回费=1,020,000×0.05%=510元</w:t>
      </w:r>
    </w:p>
    <w:p w14:paraId="367E69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转入确认金额=1,020,000-510=1,019,490元</w:t>
      </w:r>
    </w:p>
    <w:p w14:paraId="2A9BE8F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转出与转入基金的申购补差费=1,019,490×0.5%/（1+0.5%）=5,072.09元</w:t>
      </w:r>
    </w:p>
    <w:p w14:paraId="3A4585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转入基金确认份额=（1,019,490-5,072.09）/1.0100=1,004,374.17份</w:t>
      </w:r>
    </w:p>
    <w:p w14:paraId="181B9E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14:paraId="7694E0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487BBAC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4DB9B9E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转入确认金额=125,000-0=125,000元</w:t>
      </w:r>
    </w:p>
    <w:p w14:paraId="691E1A6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转出与转入基金的申购补差费=125,000×1.5%/（1+1.5%）=1,847.29元</w:t>
      </w:r>
    </w:p>
    <w:p w14:paraId="42E6C2F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转入基金确认份额=（125,000-1,847.29）/2.2700=54,252.30份</w:t>
      </w:r>
    </w:p>
    <w:p w14:paraId="29D1913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w:t>
      </w:r>
      <w:proofErr w:type="gramStart"/>
      <w:r>
        <w:rPr>
          <w:rFonts w:ascii="宋体" w:hAnsi="宋体"/>
          <w:sz w:val="24"/>
        </w:rPr>
        <w:t>银货币A级基金</w:t>
      </w:r>
      <w:proofErr w:type="gramEnd"/>
      <w:r>
        <w:rPr>
          <w:rFonts w:ascii="宋体" w:hAnsi="宋体"/>
          <w:sz w:val="24"/>
        </w:rPr>
        <w:t>份额100,000份，该100,000份基金份额未结转的</w:t>
      </w:r>
      <w:proofErr w:type="gramStart"/>
      <w:r>
        <w:rPr>
          <w:rFonts w:ascii="宋体" w:hAnsi="宋体"/>
          <w:sz w:val="24"/>
        </w:rPr>
        <w:t>待支付</w:t>
      </w:r>
      <w:proofErr w:type="gramEnd"/>
      <w:r>
        <w:rPr>
          <w:rFonts w:ascii="宋体" w:hAnsi="宋体"/>
          <w:sz w:val="24"/>
        </w:rPr>
        <w:t>收益为61.52元，转换申请当日交银增利A类基金份额净值为1.2700</w:t>
      </w:r>
      <w:r>
        <w:rPr>
          <w:rFonts w:ascii="宋体" w:hAnsi="宋体"/>
          <w:sz w:val="24"/>
        </w:rPr>
        <w:lastRenderedPageBreak/>
        <w:t>元，交</w:t>
      </w:r>
      <w:proofErr w:type="gramStart"/>
      <w:r>
        <w:rPr>
          <w:rFonts w:ascii="宋体" w:hAnsi="宋体"/>
          <w:sz w:val="24"/>
        </w:rPr>
        <w:t>银货币</w:t>
      </w:r>
      <w:proofErr w:type="gramEnd"/>
      <w:r>
        <w:rPr>
          <w:rFonts w:ascii="宋体" w:hAnsi="宋体"/>
          <w:sz w:val="24"/>
        </w:rPr>
        <w:t>的基金份额净值为1.00元。若该投资者将100,000份交</w:t>
      </w:r>
      <w:proofErr w:type="gramStart"/>
      <w:r>
        <w:rPr>
          <w:rFonts w:ascii="宋体" w:hAnsi="宋体"/>
          <w:sz w:val="24"/>
        </w:rPr>
        <w:t>银货币A级基金</w:t>
      </w:r>
      <w:proofErr w:type="gramEnd"/>
      <w:r>
        <w:rPr>
          <w:rFonts w:ascii="宋体" w:hAnsi="宋体"/>
          <w:sz w:val="24"/>
        </w:rPr>
        <w:t>份额转换为交银增利A类基金份额，则转入确认的交银增利A类基金份额为：</w:t>
      </w:r>
    </w:p>
    <w:p w14:paraId="67BD840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14:paraId="6C7F33E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66F7B8B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14:paraId="4876A9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转出与转入基金的申购补差费=100,000×0.8%/（1+0.8%）=793.65元</w:t>
      </w:r>
    </w:p>
    <w:p w14:paraId="0B4751B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转入基金确认份额=（100,000-793.65+61.52）/1.2700=78,163.68份</w:t>
      </w:r>
    </w:p>
    <w:p w14:paraId="4A15C68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2、后端收费模式下基金转换份额的计算公式及举例</w:t>
      </w:r>
    </w:p>
    <w:p w14:paraId="406EBB2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14:paraId="730DCB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14:paraId="734ECB7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14:paraId="30E03C9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w:t>
      </w:r>
    </w:p>
    <w:p w14:paraId="25824FA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14:paraId="133623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1EEB160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w:t>
      </w:r>
      <w:proofErr w:type="gramStart"/>
      <w:r>
        <w:rPr>
          <w:rFonts w:ascii="宋体" w:hAnsi="宋体"/>
          <w:sz w:val="24"/>
        </w:rPr>
        <w:t>待支付</w:t>
      </w:r>
      <w:proofErr w:type="gramEnd"/>
      <w:r>
        <w:rPr>
          <w:rFonts w:ascii="宋体" w:hAnsi="宋体"/>
          <w:sz w:val="24"/>
        </w:rPr>
        <w:t>收益（仅限转出基金为货币市场基金的情形，否则A为0）。</w:t>
      </w:r>
    </w:p>
    <w:p w14:paraId="3BB87A0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w:t>
      </w:r>
      <w:proofErr w:type="gramStart"/>
      <w:r>
        <w:rPr>
          <w:rFonts w:ascii="宋体" w:hAnsi="宋体"/>
          <w:sz w:val="24"/>
        </w:rPr>
        <w:t>归基金</w:t>
      </w:r>
      <w:proofErr w:type="gramEnd"/>
      <w:r>
        <w:rPr>
          <w:rFonts w:ascii="宋体" w:hAnsi="宋体"/>
          <w:sz w:val="24"/>
        </w:rPr>
        <w:t>财产。</w:t>
      </w:r>
    </w:p>
    <w:p w14:paraId="2F2F6CC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w:t>
      </w:r>
      <w:proofErr w:type="gramStart"/>
      <w:r>
        <w:rPr>
          <w:rFonts w:ascii="宋体" w:hAnsi="宋体"/>
          <w:sz w:val="24"/>
        </w:rPr>
        <w:t>银主题</w:t>
      </w:r>
      <w:proofErr w:type="gramEnd"/>
      <w:r>
        <w:rPr>
          <w:rFonts w:ascii="宋体" w:hAnsi="宋体"/>
          <w:sz w:val="24"/>
        </w:rPr>
        <w:t>后端收费模式的A类基金份额100,000份，持有期一年半，转换申请当日交</w:t>
      </w:r>
      <w:proofErr w:type="gramStart"/>
      <w:r>
        <w:rPr>
          <w:rFonts w:ascii="宋体" w:hAnsi="宋体"/>
          <w:sz w:val="24"/>
        </w:rPr>
        <w:t>银主题</w:t>
      </w:r>
      <w:proofErr w:type="gramEnd"/>
      <w:r>
        <w:rPr>
          <w:rFonts w:ascii="宋体" w:hAnsi="宋体"/>
          <w:sz w:val="24"/>
        </w:rPr>
        <w:t>的A类基金份额净值为1.2500元，交银稳健的基金份额净值为2.2700元。若该投资者将100,000份交</w:t>
      </w:r>
      <w:proofErr w:type="gramStart"/>
      <w:r>
        <w:rPr>
          <w:rFonts w:ascii="宋体" w:hAnsi="宋体"/>
          <w:sz w:val="24"/>
        </w:rPr>
        <w:t>银主题</w:t>
      </w:r>
      <w:proofErr w:type="gramEnd"/>
      <w:r>
        <w:rPr>
          <w:rFonts w:ascii="宋体" w:hAnsi="宋体"/>
          <w:sz w:val="24"/>
        </w:rPr>
        <w:t>后端A类基金份额转换为交银稳健后端基金份额，则转入交银稳健确认的基金份额为：</w:t>
      </w:r>
    </w:p>
    <w:p w14:paraId="496D44F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7FFBB1C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14:paraId="75E068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14:paraId="3D067F7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转出与转入基金的申购补差费=124,750×0=0元</w:t>
      </w:r>
    </w:p>
    <w:p w14:paraId="3D55DAB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转入基金确认份额=（124,750-0）/2.2700=54,955.95份</w:t>
      </w:r>
    </w:p>
    <w:p w14:paraId="21B4856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例六：某投资者持有交银先锋后端收费模式的A类基金份额100,000份，持有期</w:t>
      </w:r>
      <w:r>
        <w:rPr>
          <w:rFonts w:ascii="宋体" w:hAnsi="宋体"/>
          <w:sz w:val="24"/>
        </w:rPr>
        <w:lastRenderedPageBreak/>
        <w:t>一年半，转换申请当日交银先锋的A类基金份额净值为1.2500元，交</w:t>
      </w:r>
      <w:proofErr w:type="gramStart"/>
      <w:r>
        <w:rPr>
          <w:rFonts w:ascii="宋体" w:hAnsi="宋体"/>
          <w:sz w:val="24"/>
        </w:rPr>
        <w:t>银货币</w:t>
      </w:r>
      <w:proofErr w:type="gramEnd"/>
      <w:r>
        <w:rPr>
          <w:rFonts w:ascii="宋体" w:hAnsi="宋体"/>
          <w:sz w:val="24"/>
        </w:rPr>
        <w:t>的基金份额净值为1.00元。若该投资者将100,000份交银先锋后端A类基金份额转换为交银货币，则转入交</w:t>
      </w:r>
      <w:proofErr w:type="gramStart"/>
      <w:r>
        <w:rPr>
          <w:rFonts w:ascii="宋体" w:hAnsi="宋体"/>
          <w:sz w:val="24"/>
        </w:rPr>
        <w:t>银货币</w:t>
      </w:r>
      <w:proofErr w:type="gramEnd"/>
      <w:r>
        <w:rPr>
          <w:rFonts w:ascii="宋体" w:hAnsi="宋体"/>
          <w:sz w:val="24"/>
        </w:rPr>
        <w:t>的基金份额为：</w:t>
      </w:r>
    </w:p>
    <w:p w14:paraId="256FBC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4AABF21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14:paraId="417478B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14:paraId="2C46C13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转出与转入基金的申购补差费=124,750×1.2%=1497元</w:t>
      </w:r>
    </w:p>
    <w:p w14:paraId="316F4D8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转入基金确认份额=（124,750-1497）/1.00=123,253.00份</w:t>
      </w:r>
    </w:p>
    <w:p w14:paraId="15FEC34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14:paraId="69968F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转出确认金额=100,000×0.8500=85,000元</w:t>
      </w:r>
    </w:p>
    <w:p w14:paraId="5012B69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转出基金的赎回费=85,000×0=0元</w:t>
      </w:r>
    </w:p>
    <w:p w14:paraId="78F48B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转入确认金额=85,000-0=85,000元</w:t>
      </w:r>
    </w:p>
    <w:p w14:paraId="58A8528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转出与转入基金的申购补差费=85,000×0.2%=170元</w:t>
      </w:r>
    </w:p>
    <w:p w14:paraId="4C7383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转入基金确认份额=（85,000-170）/1.0500=80,790.48份</w:t>
      </w:r>
    </w:p>
    <w:p w14:paraId="069139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w:t>
      </w:r>
      <w:proofErr w:type="gramStart"/>
      <w:r>
        <w:rPr>
          <w:rFonts w:ascii="宋体" w:hAnsi="宋体"/>
          <w:sz w:val="24"/>
        </w:rPr>
        <w:t>银货币</w:t>
      </w:r>
      <w:proofErr w:type="gramEnd"/>
      <w:r>
        <w:rPr>
          <w:rFonts w:ascii="宋体" w:hAnsi="宋体"/>
          <w:sz w:val="24"/>
        </w:rPr>
        <w:t>A类基金份额100,000份，该100,000份基金份额未结转的</w:t>
      </w:r>
      <w:proofErr w:type="gramStart"/>
      <w:r>
        <w:rPr>
          <w:rFonts w:ascii="宋体" w:hAnsi="宋体"/>
          <w:sz w:val="24"/>
        </w:rPr>
        <w:t>待支付</w:t>
      </w:r>
      <w:proofErr w:type="gramEnd"/>
      <w:r>
        <w:rPr>
          <w:rFonts w:ascii="宋体" w:hAnsi="宋体"/>
          <w:sz w:val="24"/>
        </w:rPr>
        <w:t>收益为61.52元，转换申请当日交银增利B类基金份额净值为1.2700元，交</w:t>
      </w:r>
      <w:proofErr w:type="gramStart"/>
      <w:r>
        <w:rPr>
          <w:rFonts w:ascii="宋体" w:hAnsi="宋体"/>
          <w:sz w:val="24"/>
        </w:rPr>
        <w:t>银货币</w:t>
      </w:r>
      <w:proofErr w:type="gramEnd"/>
      <w:r>
        <w:rPr>
          <w:rFonts w:ascii="宋体" w:hAnsi="宋体"/>
          <w:sz w:val="24"/>
        </w:rPr>
        <w:t>的基金份额净值为1.00元。若该投资者将100,000份交</w:t>
      </w:r>
      <w:proofErr w:type="gramStart"/>
      <w:r>
        <w:rPr>
          <w:rFonts w:ascii="宋体" w:hAnsi="宋体"/>
          <w:sz w:val="24"/>
        </w:rPr>
        <w:t>银货币</w:t>
      </w:r>
      <w:proofErr w:type="gramEnd"/>
      <w:r>
        <w:rPr>
          <w:rFonts w:ascii="宋体" w:hAnsi="宋体"/>
          <w:sz w:val="24"/>
        </w:rPr>
        <w:t>A类基金份额转换为交银增利B类基金份额，则转入确认的交银增利B类基金份额为：</w:t>
      </w:r>
    </w:p>
    <w:p w14:paraId="0C4E65C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14:paraId="36A3641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354406F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14:paraId="0DCD3E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转出与转入基金的申购补差费=100,000×0=0元</w:t>
      </w:r>
    </w:p>
    <w:p w14:paraId="15DFC02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转入基金确认份额=（100,000-0+61.52）/1.2700=78,788.60份</w:t>
      </w:r>
    </w:p>
    <w:p w14:paraId="43DA42C6"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（七）业务规则</w:t>
      </w:r>
    </w:p>
    <w:p w14:paraId="274073C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w:t>
      </w:r>
      <w:r>
        <w:rPr>
          <w:rFonts w:ascii="宋体" w:hAnsi="宋体"/>
          <w:sz w:val="24"/>
        </w:rPr>
        <w:lastRenderedPageBreak/>
        <w:t>申购状态。</w:t>
      </w:r>
    </w:p>
    <w:p w14:paraId="6EA68EE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只能在相同收费模式下进行基金转换。前端收费模式的开放式基金只能转换到前端收费模式的其他基金，后端收费模式的基金只能转换到后端收费模式的其他基金。交银货币、债券基金C类基金份额与其他基金之间的转换不受上述收费模式的限制。</w:t>
      </w:r>
    </w:p>
    <w:p w14:paraId="06C621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w:t>
      </w:r>
      <w:proofErr w:type="gramStart"/>
      <w:r>
        <w:rPr>
          <w:rFonts w:ascii="宋体" w:hAnsi="宋体"/>
          <w:sz w:val="24"/>
        </w:rPr>
        <w:t>固定价</w:t>
      </w:r>
      <w:proofErr w:type="gramEnd"/>
      <w:r>
        <w:rPr>
          <w:rFonts w:ascii="宋体" w:hAnsi="宋体"/>
          <w:sz w:val="24"/>
        </w:rPr>
        <w:t>1.00元）。</w:t>
      </w:r>
    </w:p>
    <w:p w14:paraId="79EE82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4、投资人申请转出其账户内货币市场基金的基金份额时，注册登记机构将自动结转该转出份额对应的</w:t>
      </w:r>
      <w:proofErr w:type="gramStart"/>
      <w:r>
        <w:rPr>
          <w:rFonts w:ascii="宋体" w:hAnsi="宋体"/>
          <w:sz w:val="24"/>
        </w:rPr>
        <w:t>待支付</w:t>
      </w:r>
      <w:proofErr w:type="gramEnd"/>
      <w:r>
        <w:rPr>
          <w:rFonts w:ascii="宋体" w:hAnsi="宋体"/>
          <w:sz w:val="24"/>
        </w:rPr>
        <w:t>收益，该收益将一并计入转出金额并折算为转入基金的基金份额，但收益部分不收取转换费用。</w:t>
      </w:r>
    </w:p>
    <w:p w14:paraId="4E0126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14:paraId="1D29833F"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（八）暂停基金转换</w:t>
      </w:r>
    </w:p>
    <w:p w14:paraId="5C9CC9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有关规定也一般适用于暂停基金转换。具体暂停或恢复基金转换的相关业务请详见届时本基金管理人发布的相关公告。</w:t>
      </w:r>
    </w:p>
    <w:p w14:paraId="05FD373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单个开放日，基金净赎回申请份额（该基金赎回</w:t>
      </w:r>
      <w:proofErr w:type="gramStart"/>
      <w:r>
        <w:rPr>
          <w:rFonts w:ascii="宋体" w:hAnsi="宋体"/>
          <w:sz w:val="24"/>
        </w:rPr>
        <w:t>申请总</w:t>
      </w:r>
      <w:proofErr w:type="gramEnd"/>
      <w:r>
        <w:rPr>
          <w:rFonts w:ascii="宋体" w:hAnsi="宋体"/>
          <w:sz w:val="24"/>
        </w:rPr>
        <w:t>份额加上基金转换中转出</w:t>
      </w:r>
      <w:proofErr w:type="gramStart"/>
      <w:r>
        <w:rPr>
          <w:rFonts w:ascii="宋体" w:hAnsi="宋体"/>
          <w:sz w:val="24"/>
        </w:rPr>
        <w:t>申请总</w:t>
      </w:r>
      <w:proofErr w:type="gramEnd"/>
      <w:r>
        <w:rPr>
          <w:rFonts w:ascii="宋体" w:hAnsi="宋体"/>
          <w:sz w:val="24"/>
        </w:rPr>
        <w:t>份额扣除申购</w:t>
      </w:r>
      <w:proofErr w:type="gramStart"/>
      <w:r>
        <w:rPr>
          <w:rFonts w:ascii="宋体" w:hAnsi="宋体"/>
          <w:sz w:val="24"/>
        </w:rPr>
        <w:t>申请总</w:t>
      </w:r>
      <w:proofErr w:type="gramEnd"/>
      <w:r>
        <w:rPr>
          <w:rFonts w:ascii="宋体" w:hAnsi="宋体"/>
          <w:sz w:val="24"/>
        </w:rPr>
        <w:t>份额及基金转换中转入</w:t>
      </w:r>
      <w:proofErr w:type="gramStart"/>
      <w:r>
        <w:rPr>
          <w:rFonts w:ascii="宋体" w:hAnsi="宋体"/>
          <w:sz w:val="24"/>
        </w:rPr>
        <w:t>申请总</w:t>
      </w:r>
      <w:proofErr w:type="gramEnd"/>
      <w:r>
        <w:rPr>
          <w:rFonts w:ascii="宋体" w:hAnsi="宋体"/>
          <w:sz w:val="24"/>
        </w:rPr>
        <w:t>份额后的余额）超过上一日基金总份额的10%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5E3CFA92"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465A3F4" w14:textId="77777777" w:rsidR="001D6314" w:rsidRDefault="00130266">
      <w:pPr>
        <w:pStyle w:val="1"/>
        <w:snapToGrid w:val="0"/>
        <w:spacing w:beforeLines="0" w:before="240" w:after="240"/>
        <w:rPr>
          <w:rFonts w:ascii="宋体" w:hAnsi="宋体"/>
          <w:szCs w:val="30"/>
        </w:rPr>
      </w:pPr>
      <w:bookmarkStart w:id="13" w:name="_Toc216872005"/>
      <w:r>
        <w:rPr>
          <w:rFonts w:ascii="Times New Roman" w:hAnsi="Times New Roman"/>
          <w:sz w:val="30"/>
        </w:rPr>
        <w:lastRenderedPageBreak/>
        <w:t>十、基金的投资</w:t>
      </w:r>
      <w:bookmarkEnd w:id="13"/>
    </w:p>
    <w:p w14:paraId="2A4FBD94"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（一）投资目标</w:t>
      </w:r>
    </w:p>
    <w:p w14:paraId="5028ACD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本基金采用指数</w:t>
      </w:r>
      <w:proofErr w:type="gramStart"/>
      <w:r>
        <w:rPr>
          <w:rFonts w:ascii="宋体" w:hAnsi="宋体"/>
          <w:sz w:val="24"/>
        </w:rPr>
        <w:t>化投资</w:t>
      </w:r>
      <w:proofErr w:type="gramEnd"/>
      <w:r>
        <w:rPr>
          <w:rFonts w:ascii="宋体" w:hAnsi="宋体"/>
          <w:sz w:val="24"/>
        </w:rPr>
        <w:t>策略，紧密跟踪中证红利低波动100指数，追求跟踪偏离度与跟踪误差最小化。</w:t>
      </w:r>
    </w:p>
    <w:p w14:paraId="437C4272"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（二）投资范围</w:t>
      </w:r>
    </w:p>
    <w:p w14:paraId="110DF7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本基金的投资范围为具有良好流动性的金融工具，包括中证红利低波动100指数的成份股（</w:t>
      </w:r>
      <w:proofErr w:type="gramStart"/>
      <w:r>
        <w:rPr>
          <w:rFonts w:ascii="宋体" w:hAnsi="宋体"/>
          <w:sz w:val="24"/>
        </w:rPr>
        <w:t>含存托</w:t>
      </w:r>
      <w:proofErr w:type="gramEnd"/>
      <w:r>
        <w:rPr>
          <w:rFonts w:ascii="宋体" w:hAnsi="宋体"/>
          <w:sz w:val="24"/>
        </w:rPr>
        <w:t>凭证）及备选成份股（</w:t>
      </w:r>
      <w:proofErr w:type="gramStart"/>
      <w:r>
        <w:rPr>
          <w:rFonts w:ascii="宋体" w:hAnsi="宋体"/>
          <w:sz w:val="24"/>
        </w:rPr>
        <w:t>含存托</w:t>
      </w:r>
      <w:proofErr w:type="gramEnd"/>
      <w:r>
        <w:rPr>
          <w:rFonts w:ascii="宋体" w:hAnsi="宋体"/>
          <w:sz w:val="24"/>
        </w:rPr>
        <w:t>凭证）、其他股票（</w:t>
      </w:r>
      <w:proofErr w:type="gramStart"/>
      <w:r>
        <w:rPr>
          <w:rFonts w:ascii="宋体" w:hAnsi="宋体"/>
          <w:sz w:val="24"/>
        </w:rPr>
        <w:t>含创业</w:t>
      </w:r>
      <w:proofErr w:type="gramEnd"/>
      <w:r>
        <w:rPr>
          <w:rFonts w:ascii="宋体" w:hAnsi="宋体"/>
          <w:sz w:val="24"/>
        </w:rPr>
        <w:t>板、</w:t>
      </w:r>
      <w:proofErr w:type="gramStart"/>
      <w:r>
        <w:rPr>
          <w:rFonts w:ascii="宋体" w:hAnsi="宋体"/>
          <w:sz w:val="24"/>
        </w:rPr>
        <w:t>科创板</w:t>
      </w:r>
      <w:proofErr w:type="gramEnd"/>
      <w:r>
        <w:rPr>
          <w:rFonts w:ascii="宋体" w:hAnsi="宋体"/>
          <w:sz w:val="24"/>
        </w:rPr>
        <w:t>及其他经中国证监会核准或注册上市的股票、存托凭证）、债券（含国债、央行票据、金融债券、政府支持债券、政府支持机构债券、地方政府债券、企业债券、公司债券、可转换债券（</w:t>
      </w:r>
      <w:proofErr w:type="gramStart"/>
      <w:r>
        <w:rPr>
          <w:rFonts w:ascii="宋体" w:hAnsi="宋体"/>
          <w:sz w:val="24"/>
        </w:rPr>
        <w:t>含可分离</w:t>
      </w:r>
      <w:proofErr w:type="gramEnd"/>
      <w:r>
        <w:rPr>
          <w:rFonts w:ascii="宋体" w:hAnsi="宋体"/>
          <w:sz w:val="24"/>
        </w:rPr>
        <w:t>交易可转换债券）、可交换公司债券、次级债券、中期票据、短期融资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等）、资产支持证券、货币市场工具、债券回购、同业存单、银行存款（</w:t>
      </w:r>
      <w:proofErr w:type="gramStart"/>
      <w:r>
        <w:rPr>
          <w:rFonts w:ascii="宋体" w:hAnsi="宋体"/>
          <w:sz w:val="24"/>
        </w:rPr>
        <w:t>含协议</w:t>
      </w:r>
      <w:proofErr w:type="gramEnd"/>
      <w:r>
        <w:rPr>
          <w:rFonts w:ascii="宋体" w:hAnsi="宋体"/>
          <w:sz w:val="24"/>
        </w:rPr>
        <w:t>存款、定期存款及其他银行存款）、股指期货以及法律法规或中国证监会允许基金投资的其他金融工具（但须符合中国证监会相关规定）。</w:t>
      </w:r>
    </w:p>
    <w:p w14:paraId="5FCB1C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0E10C9C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基金的投资组合比例为：本基金投资于中证红利低波动100指数成份股（</w:t>
      </w:r>
      <w:proofErr w:type="gramStart"/>
      <w:r>
        <w:rPr>
          <w:rFonts w:ascii="宋体" w:hAnsi="宋体"/>
          <w:sz w:val="24"/>
        </w:rPr>
        <w:t>含存托</w:t>
      </w:r>
      <w:proofErr w:type="gramEnd"/>
      <w:r>
        <w:rPr>
          <w:rFonts w:ascii="宋体" w:hAnsi="宋体"/>
          <w:sz w:val="24"/>
        </w:rPr>
        <w:t>凭证）及备选成份股（</w:t>
      </w:r>
      <w:proofErr w:type="gramStart"/>
      <w:r>
        <w:rPr>
          <w:rFonts w:ascii="宋体" w:hAnsi="宋体"/>
          <w:sz w:val="24"/>
        </w:rPr>
        <w:t>含存托</w:t>
      </w:r>
      <w:proofErr w:type="gramEnd"/>
      <w:r>
        <w:rPr>
          <w:rFonts w:ascii="宋体" w:hAnsi="宋体"/>
          <w:sz w:val="24"/>
        </w:rPr>
        <w:t>凭证）的比例不低于基金资产净值的90%；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351A372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49C3AFA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（三）投资策略</w:t>
      </w:r>
    </w:p>
    <w:p w14:paraId="7336B8F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采用组合复制策略及适当的替代性策略以更好的跟踪标的指数，实现基金投资目标。在正常市场情况下，力争控制本基金日均跟踪偏离度的绝对值不超过0.35%，年跟踪误差不超过4%。在条件允许的情况下，本基金也可以适当参与中证红利低波动100指数所包含指数成份股以外的其他个股（非标的指数成份股及备选成份股），以更好地跟踪指数。如因指数编制规则调整或其他因素导致跟踪偏</w:t>
      </w:r>
      <w:r>
        <w:rPr>
          <w:rFonts w:ascii="宋体" w:hAnsi="宋体"/>
          <w:sz w:val="24"/>
        </w:rPr>
        <w:lastRenderedPageBreak/>
        <w:t>离度和跟踪误差超过上述范围，基金管理人应采取合理措施避免跟踪偏离度、跟踪误差进一步扩大。</w:t>
      </w:r>
    </w:p>
    <w:p w14:paraId="1562BC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当指数编制方法变更、成份股发生变更、成份股权</w:t>
      </w:r>
      <w:proofErr w:type="gramStart"/>
      <w:r>
        <w:rPr>
          <w:rFonts w:ascii="宋体" w:hAnsi="宋体"/>
          <w:sz w:val="24"/>
        </w:rPr>
        <w:t>重由于</w:t>
      </w:r>
      <w:proofErr w:type="gramEnd"/>
      <w:r>
        <w:rPr>
          <w:rFonts w:ascii="宋体" w:hAnsi="宋体"/>
          <w:sz w:val="24"/>
        </w:rPr>
        <w:t>自由流通量调整而发生变化、成份股派发现金股息、配股及增发、股票长期停牌、市场流动性不足等情况发生时，基金管理人将对投资组合进行优化，尽量降低跟踪误差。</w:t>
      </w:r>
    </w:p>
    <w:p w14:paraId="07D3A8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1、股票投资策略</w:t>
      </w:r>
    </w:p>
    <w:p w14:paraId="5DFA58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（1）组合复制策略</w:t>
      </w:r>
    </w:p>
    <w:p w14:paraId="683432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本基金主要采取完全复制法，即按照标的指数成份股及其权重构建基金的股票投资组合，并根据标的指数成份股及其权重的变动对股票投资组合进行相应地调整。</w:t>
      </w:r>
    </w:p>
    <w:p w14:paraId="358CF2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（2）替代性策略</w:t>
      </w:r>
    </w:p>
    <w:p w14:paraId="7B4C96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对于出现市场流动性不足、因法律法规原因个别成份股被限制投资等情况，导致本基金无法获得足够数量的股票时，基金管理人将通过投资成份股、非成份股等进行替代。</w:t>
      </w:r>
    </w:p>
    <w:p w14:paraId="443633B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2、债券投资策略</w:t>
      </w:r>
    </w:p>
    <w:p w14:paraId="6E69F7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本基金将以降低跟踪误差和流动性管理为目的，综合考虑流动性和收益性，适当参与债券投资。</w:t>
      </w:r>
    </w:p>
    <w:p w14:paraId="725904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3、股指期货投资策略</w:t>
      </w:r>
    </w:p>
    <w:p w14:paraId="5C1943C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本基金投资股指期货将根据风险管理的原则，以套期保值为目的，主要选择流动性好、交易活跃的股指期货合约，以降低股票</w:t>
      </w:r>
      <w:proofErr w:type="gramStart"/>
      <w:r>
        <w:rPr>
          <w:rFonts w:ascii="宋体" w:hAnsi="宋体"/>
          <w:sz w:val="24"/>
        </w:rPr>
        <w:t>仓位</w:t>
      </w:r>
      <w:proofErr w:type="gramEnd"/>
      <w:r>
        <w:rPr>
          <w:rFonts w:ascii="宋体" w:hAnsi="宋体"/>
          <w:sz w:val="24"/>
        </w:rPr>
        <w:t>调整的交易成本，提高投资效率，从而更好地跟踪标的指数，实现投资目标。</w:t>
      </w:r>
    </w:p>
    <w:p w14:paraId="504ACC8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4、资产支持证券投资策略</w:t>
      </w:r>
    </w:p>
    <w:p w14:paraId="6095A56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基金将通过宏观经济、提前偿还率、资产</w:t>
      </w:r>
      <w:proofErr w:type="gramStart"/>
      <w:r>
        <w:rPr>
          <w:rFonts w:ascii="宋体" w:hAnsi="宋体"/>
          <w:sz w:val="24"/>
        </w:rPr>
        <w:t>池结构</w:t>
      </w:r>
      <w:proofErr w:type="gramEnd"/>
      <w:r>
        <w:rPr>
          <w:rFonts w:ascii="宋体" w:hAnsi="宋体"/>
          <w:sz w:val="24"/>
        </w:rPr>
        <w:t>及资产</w:t>
      </w:r>
      <w:proofErr w:type="gramStart"/>
      <w:r>
        <w:rPr>
          <w:rFonts w:ascii="宋体" w:hAnsi="宋体"/>
          <w:sz w:val="24"/>
        </w:rPr>
        <w:t>池资产</w:t>
      </w:r>
      <w:proofErr w:type="gramEnd"/>
      <w:r>
        <w:rPr>
          <w:rFonts w:ascii="宋体" w:hAnsi="宋体"/>
          <w:sz w:val="24"/>
        </w:rPr>
        <w:t>所在行业景气变化等因素的研究，预测资产</w:t>
      </w:r>
      <w:proofErr w:type="gramStart"/>
      <w:r>
        <w:rPr>
          <w:rFonts w:ascii="宋体" w:hAnsi="宋体"/>
          <w:sz w:val="24"/>
        </w:rPr>
        <w:t>池未来</w:t>
      </w:r>
      <w:proofErr w:type="gramEnd"/>
      <w:r>
        <w:rPr>
          <w:rFonts w:ascii="宋体" w:hAnsi="宋体"/>
          <w:sz w:val="24"/>
        </w:rPr>
        <w:t>现金流变化；研究标的证券发行条款，预测提前偿还率变化对标的证券</w:t>
      </w:r>
      <w:proofErr w:type="gramStart"/>
      <w:r>
        <w:rPr>
          <w:rFonts w:ascii="宋体" w:hAnsi="宋体"/>
          <w:sz w:val="24"/>
        </w:rPr>
        <w:t>的久期与</w:t>
      </w:r>
      <w:proofErr w:type="gramEnd"/>
      <w:r>
        <w:rPr>
          <w:rFonts w:ascii="宋体" w:hAnsi="宋体"/>
          <w:sz w:val="24"/>
        </w:rPr>
        <w:t>收益率的影响，同时密切关注流动性对标的证券收益率的影响。综合</w:t>
      </w:r>
      <w:proofErr w:type="gramStart"/>
      <w:r>
        <w:rPr>
          <w:rFonts w:ascii="宋体" w:hAnsi="宋体"/>
          <w:sz w:val="24"/>
        </w:rPr>
        <w:t>运用久期管理</w:t>
      </w:r>
      <w:proofErr w:type="gramEnd"/>
      <w:r>
        <w:rPr>
          <w:rFonts w:ascii="宋体" w:hAnsi="宋体"/>
          <w:sz w:val="24"/>
        </w:rPr>
        <w:t>、收益率曲线、</w:t>
      </w:r>
      <w:proofErr w:type="gramStart"/>
      <w:r>
        <w:rPr>
          <w:rFonts w:ascii="宋体" w:hAnsi="宋体"/>
          <w:sz w:val="24"/>
        </w:rPr>
        <w:t>个券</w:t>
      </w:r>
      <w:proofErr w:type="gramEnd"/>
      <w:r>
        <w:rPr>
          <w:rFonts w:ascii="宋体" w:hAnsi="宋体"/>
          <w:sz w:val="24"/>
        </w:rPr>
        <w:t>选择和把握市场交易机会等积极策略，在严格控制风险的情况下，通过信用研究和流动性管理，选择风险调整后的收益高的品种进行投资，以期获得长期稳健收益。</w:t>
      </w:r>
    </w:p>
    <w:p w14:paraId="67F6F6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5、存托凭证投资策略</w:t>
      </w:r>
    </w:p>
    <w:p w14:paraId="0861FC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本基金投资存托凭证的策略依照境内上市交易的股票投资策略执行。</w:t>
      </w:r>
    </w:p>
    <w:p w14:paraId="3218EB5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未来，随着投资工具的发展和丰富，基金管理人可以在不改变投资目标的前提下，在履行适当程序</w:t>
      </w:r>
      <w:proofErr w:type="gramStart"/>
      <w:r>
        <w:rPr>
          <w:rFonts w:ascii="宋体" w:hAnsi="宋体"/>
          <w:sz w:val="24"/>
        </w:rPr>
        <w:t>后相应</w:t>
      </w:r>
      <w:proofErr w:type="gramEnd"/>
      <w:r>
        <w:rPr>
          <w:rFonts w:ascii="宋体" w:hAnsi="宋体"/>
          <w:sz w:val="24"/>
        </w:rPr>
        <w:t>调整和更新相关投资策略，并在招募说明书中更新，而无需召开基金份额持有人大会。</w:t>
      </w:r>
    </w:p>
    <w:p w14:paraId="01085800"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（四）投资限制</w:t>
      </w:r>
    </w:p>
    <w:p w14:paraId="382495B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14:paraId="6E919E7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14:paraId="637A58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（1）本基金投资于中证红利低波动100指数成份股（</w:t>
      </w:r>
      <w:proofErr w:type="gramStart"/>
      <w:r>
        <w:rPr>
          <w:rFonts w:ascii="宋体" w:hAnsi="宋体"/>
          <w:sz w:val="24"/>
        </w:rPr>
        <w:t>含存托</w:t>
      </w:r>
      <w:proofErr w:type="gramEnd"/>
      <w:r>
        <w:rPr>
          <w:rFonts w:ascii="宋体" w:hAnsi="宋体"/>
          <w:sz w:val="24"/>
        </w:rPr>
        <w:t>凭证）及备选成份股（</w:t>
      </w:r>
      <w:proofErr w:type="gramStart"/>
      <w:r>
        <w:rPr>
          <w:rFonts w:ascii="宋体" w:hAnsi="宋体"/>
          <w:sz w:val="24"/>
        </w:rPr>
        <w:t>含存托</w:t>
      </w:r>
      <w:proofErr w:type="gramEnd"/>
      <w:r>
        <w:rPr>
          <w:rFonts w:ascii="宋体" w:hAnsi="宋体"/>
          <w:sz w:val="24"/>
        </w:rPr>
        <w:t>凭证）的比例不低于基金资产净值的90%；</w:t>
      </w:r>
    </w:p>
    <w:p w14:paraId="67AED6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3963B3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（3）本基金投资于同一原始权益人的各类资产支持证券的比例，不得超过基金资产净值的10％；</w:t>
      </w:r>
    </w:p>
    <w:p w14:paraId="40EC71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（4）本基金持有的全部资产支持证券，其市值不得超过基金资产净值的20％；</w:t>
      </w:r>
    </w:p>
    <w:p w14:paraId="49BBF1D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（5）本基金持有的同一（指同一信用级别）资产支持证券的比例，不得超过该资产支持证券规模的10％；</w:t>
      </w:r>
    </w:p>
    <w:p w14:paraId="4A38FD6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（6）本基金管理人管理的全部基金投资于同一原始权益人的各类资产支持证券，不得超过其各类资产支持证券合计规模的10％；</w:t>
      </w:r>
    </w:p>
    <w:p w14:paraId="075E126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（7）本基金应投资于信用级别评级为BBB以上（含BBB）的资产支持证券。基金持有资产支持证券期间，如果其信用等级下降、不再符合投资标准，应在评级报告发布之日起3个月内予以全部卖出；</w:t>
      </w:r>
    </w:p>
    <w:p w14:paraId="3EF5369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（8）基金财产参与股票发行申购，本基金所申报的金额不超过本基金的总资产，本基金所申报的股票数量不超过拟发行股票公司本次发行股票的总量；</w:t>
      </w:r>
    </w:p>
    <w:p w14:paraId="603CF12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1CFCA0B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（10）本基金与私募类</w:t>
      </w:r>
      <w:proofErr w:type="gramStart"/>
      <w:r>
        <w:rPr>
          <w:rFonts w:ascii="宋体" w:hAnsi="宋体"/>
          <w:sz w:val="24"/>
        </w:rPr>
        <w:t>证券资管产品</w:t>
      </w:r>
      <w:proofErr w:type="gramEnd"/>
      <w:r>
        <w:rPr>
          <w:rFonts w:ascii="宋体" w:hAnsi="宋体"/>
          <w:sz w:val="24"/>
        </w:rPr>
        <w:t>及中国证监会认定的其他主体为交易对手开展逆回购交易的，可接受质押品的资质要求应当与基金合同约定的投资范围保持</w:t>
      </w:r>
      <w:r>
        <w:rPr>
          <w:rFonts w:ascii="宋体" w:hAnsi="宋体"/>
          <w:sz w:val="24"/>
        </w:rPr>
        <w:lastRenderedPageBreak/>
        <w:t>一致；</w:t>
      </w:r>
    </w:p>
    <w:p w14:paraId="22AE58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（11）本基金资产总值不超过基金资产净值的140%；</w:t>
      </w:r>
    </w:p>
    <w:p w14:paraId="158FE0D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（12）本基金参与股指期货交易，则：</w:t>
      </w:r>
    </w:p>
    <w:p w14:paraId="4BB28F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14:paraId="1C2696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0F688FD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3）本基金在任何交易日日终，持有的卖出股指期货合约价值不得超过基金持有的股票总市值的20%；</w:t>
      </w:r>
    </w:p>
    <w:p w14:paraId="396398D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14:paraId="3CEBCA4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14:paraId="3CBC9D0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（13）本基金投资存托凭证的比例限制依照境内上市交易的股票执行；</w:t>
      </w:r>
    </w:p>
    <w:p w14:paraId="2AE1D49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（14）法律法规及中国证监会规定的和《基金合同》约定的其他投资限制。</w:t>
      </w:r>
    </w:p>
    <w:p w14:paraId="34A568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2）、（7）、（9）、（10）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14:paraId="48AD2A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63ED4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法律法规或监管部门取消或变更上述限制，如适用于本基金，基金管理人在履行适当程序后，则本基金投资不再受相关限制或以变更后的规定为准。</w:t>
      </w:r>
    </w:p>
    <w:p w14:paraId="2375A97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14:paraId="73F3058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14:paraId="4D28214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14:paraId="17925A3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（2）违反规定向他人贷款或者提供担保；</w:t>
      </w:r>
    </w:p>
    <w:p w14:paraId="649BE89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14:paraId="4C37B9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14:paraId="10E00DD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14:paraId="7E7F000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14:paraId="693155C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14:paraId="24B56F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F749CF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如法律、行政法规或监管部门取消或变更上述规定，如适用于本基金，基金管理人在履行适当程序后，本基金可不受上述规定的限制或以变更后的规定为准。</w:t>
      </w:r>
    </w:p>
    <w:p w14:paraId="17B6FCD0"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（五）业绩比较基准</w:t>
      </w:r>
    </w:p>
    <w:p w14:paraId="620D70C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本基金业绩比较基准：中证红利低波动100指数收益率×95%＋人民币银行活期存款利率（税后）×5%</w:t>
      </w:r>
    </w:p>
    <w:p w14:paraId="38AD865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w:t>
      </w:r>
    </w:p>
    <w:p w14:paraId="7407D3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自指数</w:t>
      </w:r>
      <w:proofErr w:type="gramEnd"/>
      <w:r>
        <w:rPr>
          <w:rFonts w:ascii="宋体" w:hAnsi="宋体"/>
          <w:sz w:val="24"/>
        </w:rPr>
        <w:t>编制机构停止标的指数的编制及发布</w:t>
      </w:r>
      <w:proofErr w:type="gramStart"/>
      <w:r>
        <w:rPr>
          <w:rFonts w:ascii="宋体" w:hAnsi="宋体"/>
          <w:sz w:val="24"/>
        </w:rPr>
        <w:t>至解决</w:t>
      </w:r>
      <w:proofErr w:type="gramEnd"/>
      <w:r>
        <w:rPr>
          <w:rFonts w:ascii="宋体" w:hAnsi="宋体"/>
          <w:sz w:val="24"/>
        </w:rPr>
        <w:t>方案确定期间，基金管理人应按照指数编制机构提供的最近一个交易日的指数信息遵循基金份额持有人利益优先原则维持基金投资运作。</w:t>
      </w:r>
    </w:p>
    <w:p w14:paraId="6B42426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本基金运作过程中，当标的指数成份股发生明显负面事件面临退市风险，且指数编制机构暂未</w:t>
      </w:r>
      <w:proofErr w:type="gramStart"/>
      <w:r>
        <w:rPr>
          <w:rFonts w:ascii="宋体" w:hAnsi="宋体"/>
          <w:sz w:val="24"/>
        </w:rPr>
        <w:t>作出</w:t>
      </w:r>
      <w:proofErr w:type="gramEnd"/>
      <w:r>
        <w:rPr>
          <w:rFonts w:ascii="宋体" w:hAnsi="宋体"/>
          <w:sz w:val="24"/>
        </w:rPr>
        <w:t>调整的，基金管理人应当按照持有人利益优先的原则，履行内部决策程序后及时对相关成份</w:t>
      </w:r>
      <w:proofErr w:type="gramStart"/>
      <w:r>
        <w:rPr>
          <w:rFonts w:ascii="宋体" w:hAnsi="宋体"/>
          <w:sz w:val="24"/>
        </w:rPr>
        <w:t>券</w:t>
      </w:r>
      <w:proofErr w:type="gramEnd"/>
      <w:r>
        <w:rPr>
          <w:rFonts w:ascii="宋体" w:hAnsi="宋体"/>
          <w:sz w:val="24"/>
        </w:rPr>
        <w:t>进行调整。</w:t>
      </w:r>
    </w:p>
    <w:p w14:paraId="67FA7F5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lastRenderedPageBreak/>
        <w:t>若基金</w:t>
      </w:r>
      <w:proofErr w:type="gramEnd"/>
      <w:r>
        <w:rPr>
          <w:rFonts w:ascii="宋体" w:hAnsi="宋体"/>
          <w:sz w:val="24"/>
        </w:rPr>
        <w:t>标的指数发生变更，基金业绩比较基准随之变更，由基金管理人根据标的指数变更情形履行对应适当程序，并在调整实施前依照《信息披露办法》的有关规定在规定媒介上刊登公告。</w:t>
      </w:r>
    </w:p>
    <w:p w14:paraId="0FF46502"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（六）风险收益特征</w:t>
      </w:r>
    </w:p>
    <w:p w14:paraId="2DD3B1E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本基金是一只股票型基金，其预期风险和预期收益理论上高于混合型基金、债券型基金和货币市场基金。</w:t>
      </w:r>
    </w:p>
    <w:p w14:paraId="2D5BC86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本基金为指数型基金，主要采用完全复制法跟踪中证红利低波动100指数，具有与标的指数相似的风险收益特征。</w:t>
      </w:r>
    </w:p>
    <w:p w14:paraId="3523CBB8"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（七）基金管理人代表基金行使股东或债权人权利的处理原则及方法</w:t>
      </w:r>
    </w:p>
    <w:p w14:paraId="394B237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1、基金管理人按照国家有关规定代表基金独立行使股东或债权人权利，保护基金份额持有人的利益；</w:t>
      </w:r>
    </w:p>
    <w:p w14:paraId="129B78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w:t>
      </w:r>
    </w:p>
    <w:p w14:paraId="71698C4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14:paraId="793857B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14:paraId="0189D722"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w:t>
      </w:r>
      <w:proofErr w:type="gramStart"/>
      <w:r>
        <w:rPr>
          <w:rFonts w:ascii="宋体" w:hAnsi="宋体" w:hint="eastAsia"/>
          <w:b/>
          <w:kern w:val="0"/>
          <w:sz w:val="24"/>
        </w:rPr>
        <w:t>侧袋机制</w:t>
      </w:r>
      <w:proofErr w:type="gramEnd"/>
      <w:r>
        <w:rPr>
          <w:rFonts w:ascii="宋体" w:hAnsi="宋体" w:hint="eastAsia"/>
          <w:b/>
          <w:kern w:val="0"/>
          <w:sz w:val="24"/>
        </w:rPr>
        <w:t>的实施和投资运作安排</w:t>
      </w:r>
    </w:p>
    <w:p w14:paraId="200EEA2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sz w:val="24"/>
        </w:rPr>
        <w:t>启用侧袋机制</w:t>
      </w:r>
      <w:proofErr w:type="gramEnd"/>
      <w:r>
        <w:rPr>
          <w:rFonts w:ascii="宋体" w:hAnsi="宋体"/>
          <w:sz w:val="24"/>
        </w:rPr>
        <w:t>。</w:t>
      </w:r>
    </w:p>
    <w:p w14:paraId="77389EF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实施期间，本部分约定的投资组合比例、投资策略、组合限制、业绩比较基准、风险收益特征等约定仅</w:t>
      </w:r>
      <w:proofErr w:type="gramStart"/>
      <w:r>
        <w:rPr>
          <w:rFonts w:ascii="宋体" w:hAnsi="宋体"/>
          <w:sz w:val="24"/>
        </w:rPr>
        <w:t>适用于主袋账户</w:t>
      </w:r>
      <w:proofErr w:type="gramEnd"/>
      <w:r>
        <w:rPr>
          <w:rFonts w:ascii="宋体" w:hAnsi="宋体"/>
          <w:sz w:val="24"/>
        </w:rPr>
        <w:t>。</w:t>
      </w:r>
    </w:p>
    <w:p w14:paraId="52388C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侧袋账户</w:t>
      </w:r>
      <w:proofErr w:type="gramEnd"/>
      <w:r>
        <w:rPr>
          <w:rFonts w:ascii="宋体" w:hAnsi="宋体"/>
          <w:sz w:val="24"/>
        </w:rPr>
        <w:t>的实施条件、实施程序、运作安排、投资安排、特定资产的处置变现和支付等对投资者权益有重大影响的事项详见本招募说明书“侧袋机制”部分的规定。</w:t>
      </w:r>
    </w:p>
    <w:p w14:paraId="5E6062EC"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（九）基金投资组合报告</w:t>
      </w:r>
    </w:p>
    <w:p w14:paraId="32BFE00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本基金管理人的董事会及董事保证本报告所载资料不存在虚假记载、误导性陈述或重大遗漏，并对其内容的真实性、准确性和完整性承担个别及连带责任。</w:t>
      </w:r>
    </w:p>
    <w:p w14:paraId="06028D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基金托管人中国农业银行股份有限公司根据本基金合同规定，于2025年10月27日复核了本报告中的财务指标、净值表现和投资组合报告等内容，保证复核内容不存在虚假记载、误导性陈述或者重大遗漏。</w:t>
      </w:r>
    </w:p>
    <w:p w14:paraId="2AEC753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本报告期为2025年07月01日起至09月30日。本报告财务资料未经审计师审计。</w:t>
      </w:r>
    </w:p>
    <w:p w14:paraId="4C58A29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4A0" w:firstRow="1" w:lastRow="0" w:firstColumn="1" w:lastColumn="0" w:noHBand="0" w:noVBand="1"/>
      </w:tblPr>
      <w:tblGrid>
        <w:gridCol w:w="1006"/>
        <w:gridCol w:w="3018"/>
        <w:gridCol w:w="3017"/>
        <w:gridCol w:w="1609"/>
      </w:tblGrid>
      <w:tr w:rsidR="001D6314" w14:paraId="26EC42B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7F62EAE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0DB5F0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AD9CD7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20ACF97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1D6314" w14:paraId="321981B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C9696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59DDBAA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14:paraId="2A4FA7BD"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222,158,800.42</w:t>
            </w:r>
          </w:p>
        </w:tc>
        <w:tc>
          <w:tcPr>
            <w:tcW w:w="400" w:type="pct"/>
            <w:tcBorders>
              <w:top w:val="single" w:sz="4" w:space="0" w:color="auto"/>
              <w:left w:val="single" w:sz="4" w:space="0" w:color="auto"/>
              <w:bottom w:val="single" w:sz="4" w:space="0" w:color="auto"/>
              <w:right w:val="single" w:sz="4" w:space="0" w:color="auto"/>
            </w:tcBorders>
            <w:vAlign w:val="center"/>
          </w:tcPr>
          <w:p w14:paraId="4CE2C12C"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92.94</w:t>
            </w:r>
          </w:p>
        </w:tc>
      </w:tr>
      <w:tr w:rsidR="001D6314" w14:paraId="2C6A65B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791FCF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56A214AD"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14:paraId="23000A3D"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222,158,800.42</w:t>
            </w:r>
          </w:p>
        </w:tc>
        <w:tc>
          <w:tcPr>
            <w:tcW w:w="400" w:type="pct"/>
            <w:tcBorders>
              <w:top w:val="single" w:sz="4" w:space="0" w:color="auto"/>
              <w:left w:val="single" w:sz="4" w:space="0" w:color="auto"/>
              <w:bottom w:val="single" w:sz="4" w:space="0" w:color="auto"/>
              <w:right w:val="single" w:sz="4" w:space="0" w:color="auto"/>
            </w:tcBorders>
            <w:vAlign w:val="center"/>
          </w:tcPr>
          <w:p w14:paraId="53959462"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92.94</w:t>
            </w:r>
          </w:p>
        </w:tc>
      </w:tr>
      <w:tr w:rsidR="001D6314" w14:paraId="01DF504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8CD0FD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3DE4CC2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14:paraId="0D798882"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A769283"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078B5DA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F189A5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1DE541C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14:paraId="7F18BE1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3405F0D"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7D5C571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89480C0"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441BF84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14:paraId="000F996D"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17DACD5"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0CA40B4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A863AF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6A90EA52"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14:paraId="547A4EC3"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32C7C2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18F1782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C50BF3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10C46B7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14:paraId="5A5B5679"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D113A2B"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69EE472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29A9B9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004F2D7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w:t>
            </w:r>
            <w:proofErr w:type="gramStart"/>
            <w:r>
              <w:rPr>
                <w:rFonts w:ascii="Times New Roman" w:hAnsi="Times New Roman"/>
                <w:color w:val="000000"/>
                <w:kern w:val="0"/>
                <w:sz w:val="25"/>
                <w:szCs w:val="24"/>
              </w:rPr>
              <w:t>品投资</w:t>
            </w:r>
            <w:proofErr w:type="gramEnd"/>
          </w:p>
        </w:tc>
        <w:tc>
          <w:tcPr>
            <w:tcW w:w="750" w:type="pct"/>
            <w:tcBorders>
              <w:top w:val="single" w:sz="4" w:space="0" w:color="auto"/>
              <w:left w:val="single" w:sz="4" w:space="0" w:color="auto"/>
              <w:bottom w:val="single" w:sz="4" w:space="0" w:color="auto"/>
              <w:right w:val="single" w:sz="4" w:space="0" w:color="auto"/>
            </w:tcBorders>
            <w:vAlign w:val="center"/>
          </w:tcPr>
          <w:p w14:paraId="789030FB"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EB3FC99"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206E0D3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52BBD1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2A02F29B"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4E21DB8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3EFC53B"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72DDAE0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8FE24A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8D1694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64BF676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DEEF29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4F9F137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D6AF3B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4B14F9AA"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14:paraId="7EBAD97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15,355,940.10</w:t>
            </w:r>
          </w:p>
        </w:tc>
        <w:tc>
          <w:tcPr>
            <w:tcW w:w="400" w:type="pct"/>
            <w:tcBorders>
              <w:top w:val="single" w:sz="4" w:space="0" w:color="auto"/>
              <w:left w:val="single" w:sz="4" w:space="0" w:color="auto"/>
              <w:bottom w:val="single" w:sz="4" w:space="0" w:color="auto"/>
              <w:right w:val="single" w:sz="4" w:space="0" w:color="auto"/>
            </w:tcBorders>
            <w:vAlign w:val="center"/>
          </w:tcPr>
          <w:p w14:paraId="61352A27"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6.42</w:t>
            </w:r>
          </w:p>
        </w:tc>
      </w:tr>
      <w:tr w:rsidR="001D6314" w14:paraId="71D7178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4BB0C15"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36CB568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14:paraId="31C324CD"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1,531,622.32</w:t>
            </w:r>
          </w:p>
        </w:tc>
        <w:tc>
          <w:tcPr>
            <w:tcW w:w="400" w:type="pct"/>
            <w:tcBorders>
              <w:top w:val="single" w:sz="4" w:space="0" w:color="auto"/>
              <w:left w:val="single" w:sz="4" w:space="0" w:color="auto"/>
              <w:bottom w:val="single" w:sz="4" w:space="0" w:color="auto"/>
              <w:right w:val="single" w:sz="4" w:space="0" w:color="auto"/>
            </w:tcBorders>
            <w:vAlign w:val="center"/>
          </w:tcPr>
          <w:p w14:paraId="2667A95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0.64</w:t>
            </w:r>
          </w:p>
        </w:tc>
      </w:tr>
      <w:tr w:rsidR="001D6314" w14:paraId="092D9C7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AFBD50"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67FE835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2A01CCA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239,046,362.84</w:t>
            </w:r>
          </w:p>
        </w:tc>
        <w:tc>
          <w:tcPr>
            <w:tcW w:w="400" w:type="pct"/>
            <w:tcBorders>
              <w:top w:val="single" w:sz="4" w:space="0" w:color="auto"/>
              <w:left w:val="single" w:sz="4" w:space="0" w:color="auto"/>
              <w:bottom w:val="single" w:sz="4" w:space="0" w:color="auto"/>
              <w:right w:val="single" w:sz="4" w:space="0" w:color="auto"/>
            </w:tcBorders>
            <w:vAlign w:val="center"/>
          </w:tcPr>
          <w:p w14:paraId="22148B3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14:paraId="35D75E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14:paraId="2248078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报告期末指数投资按行业分类的境内股票投资组合</w:t>
      </w:r>
    </w:p>
    <w:tbl>
      <w:tblPr>
        <w:tblW w:w="5000" w:type="pct"/>
        <w:tblCellMar>
          <w:left w:w="0" w:type="dxa"/>
          <w:right w:w="0" w:type="dxa"/>
        </w:tblCellMar>
        <w:tblLook w:val="04A0" w:firstRow="1" w:lastRow="0" w:firstColumn="1" w:lastColumn="0" w:noHBand="0" w:noVBand="1"/>
      </w:tblPr>
      <w:tblGrid>
        <w:gridCol w:w="1006"/>
        <w:gridCol w:w="3018"/>
        <w:gridCol w:w="3017"/>
        <w:gridCol w:w="1609"/>
      </w:tblGrid>
      <w:tr w:rsidR="001D6314" w14:paraId="34D003D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4056BCE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A9A06D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204676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5DFFAE5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p>
        </w:tc>
      </w:tr>
      <w:tr w:rsidR="001D6314" w14:paraId="5F23F67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B312155"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14:paraId="16D890E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14:paraId="0D3A906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AC3A88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1183473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1B3F7E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14:paraId="7039E7E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14:paraId="78826F5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18,176,352.00</w:t>
            </w:r>
          </w:p>
        </w:tc>
        <w:tc>
          <w:tcPr>
            <w:tcW w:w="400" w:type="pct"/>
            <w:tcBorders>
              <w:top w:val="single" w:sz="4" w:space="0" w:color="auto"/>
              <w:left w:val="single" w:sz="4" w:space="0" w:color="auto"/>
              <w:bottom w:val="single" w:sz="4" w:space="0" w:color="auto"/>
              <w:right w:val="single" w:sz="4" w:space="0" w:color="auto"/>
            </w:tcBorders>
            <w:vAlign w:val="center"/>
          </w:tcPr>
          <w:p w14:paraId="3EF67F6D"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7.65</w:t>
            </w:r>
          </w:p>
        </w:tc>
      </w:tr>
      <w:tr w:rsidR="001D6314" w14:paraId="7EF4BC9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44F37C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14:paraId="1E1AEB3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14:paraId="09BE597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79,986,454.64</w:t>
            </w:r>
          </w:p>
        </w:tc>
        <w:tc>
          <w:tcPr>
            <w:tcW w:w="400" w:type="pct"/>
            <w:tcBorders>
              <w:top w:val="single" w:sz="4" w:space="0" w:color="auto"/>
              <w:left w:val="single" w:sz="4" w:space="0" w:color="auto"/>
              <w:bottom w:val="single" w:sz="4" w:space="0" w:color="auto"/>
              <w:right w:val="single" w:sz="4" w:space="0" w:color="auto"/>
            </w:tcBorders>
            <w:vAlign w:val="center"/>
          </w:tcPr>
          <w:p w14:paraId="667A5AA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33.66</w:t>
            </w:r>
          </w:p>
        </w:tc>
      </w:tr>
      <w:tr w:rsidR="001D6314" w14:paraId="0839F0D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DF4CE3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14:paraId="0398058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14:paraId="7A17BA17"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24,214,238.00</w:t>
            </w:r>
          </w:p>
        </w:tc>
        <w:tc>
          <w:tcPr>
            <w:tcW w:w="400" w:type="pct"/>
            <w:tcBorders>
              <w:top w:val="single" w:sz="4" w:space="0" w:color="auto"/>
              <w:left w:val="single" w:sz="4" w:space="0" w:color="auto"/>
              <w:bottom w:val="single" w:sz="4" w:space="0" w:color="auto"/>
              <w:right w:val="single" w:sz="4" w:space="0" w:color="auto"/>
            </w:tcBorders>
            <w:vAlign w:val="center"/>
          </w:tcPr>
          <w:p w14:paraId="7B4B063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10.19</w:t>
            </w:r>
          </w:p>
        </w:tc>
      </w:tr>
      <w:tr w:rsidR="001D6314" w14:paraId="5EF547E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1D9ADB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14:paraId="06E9389E"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14:paraId="3C2DCCA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7,067,700.00</w:t>
            </w:r>
          </w:p>
        </w:tc>
        <w:tc>
          <w:tcPr>
            <w:tcW w:w="400" w:type="pct"/>
            <w:tcBorders>
              <w:top w:val="single" w:sz="4" w:space="0" w:color="auto"/>
              <w:left w:val="single" w:sz="4" w:space="0" w:color="auto"/>
              <w:bottom w:val="single" w:sz="4" w:space="0" w:color="auto"/>
              <w:right w:val="single" w:sz="4" w:space="0" w:color="auto"/>
            </w:tcBorders>
            <w:vAlign w:val="center"/>
          </w:tcPr>
          <w:p w14:paraId="441118E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2.97</w:t>
            </w:r>
          </w:p>
        </w:tc>
      </w:tr>
      <w:tr w:rsidR="001D6314" w14:paraId="2159E7C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2D38D8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14:paraId="08E876FE"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14:paraId="59299BA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8,442,086.00</w:t>
            </w:r>
          </w:p>
        </w:tc>
        <w:tc>
          <w:tcPr>
            <w:tcW w:w="400" w:type="pct"/>
            <w:tcBorders>
              <w:top w:val="single" w:sz="4" w:space="0" w:color="auto"/>
              <w:left w:val="single" w:sz="4" w:space="0" w:color="auto"/>
              <w:bottom w:val="single" w:sz="4" w:space="0" w:color="auto"/>
              <w:right w:val="single" w:sz="4" w:space="0" w:color="auto"/>
            </w:tcBorders>
            <w:vAlign w:val="center"/>
          </w:tcPr>
          <w:p w14:paraId="2C4655E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3.55</w:t>
            </w:r>
          </w:p>
        </w:tc>
      </w:tr>
      <w:tr w:rsidR="001D6314" w14:paraId="32A879B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11D1F2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14:paraId="2541B41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14:paraId="64A6159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19,649,143.00</w:t>
            </w:r>
          </w:p>
        </w:tc>
        <w:tc>
          <w:tcPr>
            <w:tcW w:w="400" w:type="pct"/>
            <w:tcBorders>
              <w:top w:val="single" w:sz="4" w:space="0" w:color="auto"/>
              <w:left w:val="single" w:sz="4" w:space="0" w:color="auto"/>
              <w:bottom w:val="single" w:sz="4" w:space="0" w:color="auto"/>
              <w:right w:val="single" w:sz="4" w:space="0" w:color="auto"/>
            </w:tcBorders>
            <w:vAlign w:val="center"/>
          </w:tcPr>
          <w:p w14:paraId="52982AA2"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8.27</w:t>
            </w:r>
          </w:p>
        </w:tc>
      </w:tr>
      <w:tr w:rsidR="001D6314" w14:paraId="43A98B4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4516A4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14:paraId="4266B34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14:paraId="78F89F4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5045E7B"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337AE28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A51AAC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14:paraId="0A10F7F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4805CBF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2,889,168.00</w:t>
            </w:r>
          </w:p>
        </w:tc>
        <w:tc>
          <w:tcPr>
            <w:tcW w:w="400" w:type="pct"/>
            <w:tcBorders>
              <w:top w:val="single" w:sz="4" w:space="0" w:color="auto"/>
              <w:left w:val="single" w:sz="4" w:space="0" w:color="auto"/>
              <w:bottom w:val="single" w:sz="4" w:space="0" w:color="auto"/>
              <w:right w:val="single" w:sz="4" w:space="0" w:color="auto"/>
            </w:tcBorders>
            <w:vAlign w:val="center"/>
          </w:tcPr>
          <w:p w14:paraId="216ED1F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1.22</w:t>
            </w:r>
          </w:p>
        </w:tc>
      </w:tr>
      <w:tr w:rsidR="001D6314" w14:paraId="4B7C20B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C50318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14:paraId="7B89BB0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14:paraId="6DD8B5FC"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44,920,159.16</w:t>
            </w:r>
          </w:p>
        </w:tc>
        <w:tc>
          <w:tcPr>
            <w:tcW w:w="400" w:type="pct"/>
            <w:tcBorders>
              <w:top w:val="single" w:sz="4" w:space="0" w:color="auto"/>
              <w:left w:val="single" w:sz="4" w:space="0" w:color="auto"/>
              <w:bottom w:val="single" w:sz="4" w:space="0" w:color="auto"/>
              <w:right w:val="single" w:sz="4" w:space="0" w:color="auto"/>
            </w:tcBorders>
            <w:vAlign w:val="center"/>
          </w:tcPr>
          <w:p w14:paraId="2DCA7876"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18.90</w:t>
            </w:r>
          </w:p>
        </w:tc>
      </w:tr>
      <w:tr w:rsidR="001D6314" w14:paraId="0597927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3FF916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14:paraId="2E7ADBFD"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14:paraId="3A564736"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4,900,288.00</w:t>
            </w:r>
          </w:p>
        </w:tc>
        <w:tc>
          <w:tcPr>
            <w:tcW w:w="400" w:type="pct"/>
            <w:tcBorders>
              <w:top w:val="single" w:sz="4" w:space="0" w:color="auto"/>
              <w:left w:val="single" w:sz="4" w:space="0" w:color="auto"/>
              <w:bottom w:val="single" w:sz="4" w:space="0" w:color="auto"/>
              <w:right w:val="single" w:sz="4" w:space="0" w:color="auto"/>
            </w:tcBorders>
            <w:vAlign w:val="center"/>
          </w:tcPr>
          <w:p w14:paraId="1AF6B557"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2.06</w:t>
            </w:r>
          </w:p>
        </w:tc>
      </w:tr>
      <w:tr w:rsidR="001D6314" w14:paraId="3F20310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2DA9A20"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14:paraId="37578EA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14:paraId="3507512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4,170,264.00</w:t>
            </w:r>
          </w:p>
        </w:tc>
        <w:tc>
          <w:tcPr>
            <w:tcW w:w="400" w:type="pct"/>
            <w:tcBorders>
              <w:top w:val="single" w:sz="4" w:space="0" w:color="auto"/>
              <w:left w:val="single" w:sz="4" w:space="0" w:color="auto"/>
              <w:bottom w:val="single" w:sz="4" w:space="0" w:color="auto"/>
              <w:right w:val="single" w:sz="4" w:space="0" w:color="auto"/>
            </w:tcBorders>
            <w:vAlign w:val="center"/>
          </w:tcPr>
          <w:p w14:paraId="74C18535"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1.75</w:t>
            </w:r>
          </w:p>
        </w:tc>
      </w:tr>
      <w:tr w:rsidR="001D6314" w14:paraId="07BC30D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1049275"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14:paraId="37737AF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6440C46C"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3BC3EA6"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1267325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9AB377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N</w:t>
            </w:r>
          </w:p>
        </w:tc>
        <w:tc>
          <w:tcPr>
            <w:tcW w:w="750" w:type="pct"/>
            <w:tcBorders>
              <w:top w:val="single" w:sz="4" w:space="0" w:color="auto"/>
              <w:left w:val="single" w:sz="4" w:space="0" w:color="auto"/>
              <w:bottom w:val="single" w:sz="4" w:space="0" w:color="auto"/>
              <w:right w:val="single" w:sz="4" w:space="0" w:color="auto"/>
            </w:tcBorders>
            <w:vAlign w:val="center"/>
          </w:tcPr>
          <w:p w14:paraId="187CD93B"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14:paraId="08A67AF6"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5C7F0A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130B7A8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C033C8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14:paraId="4334CED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14:paraId="5BF108B7"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8E84E2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2E2F2FE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A6740C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14:paraId="262D596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14:paraId="34CAA97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DD4222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4E6EBB0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4D5C7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14:paraId="29E0961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14:paraId="27EA18C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AC4E41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5E9E675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90A5E6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14:paraId="6DD555B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14:paraId="2C46FAD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6,457,952.29</w:t>
            </w:r>
          </w:p>
        </w:tc>
        <w:tc>
          <w:tcPr>
            <w:tcW w:w="400" w:type="pct"/>
            <w:tcBorders>
              <w:top w:val="single" w:sz="4" w:space="0" w:color="auto"/>
              <w:left w:val="single" w:sz="4" w:space="0" w:color="auto"/>
              <w:bottom w:val="single" w:sz="4" w:space="0" w:color="auto"/>
              <w:right w:val="single" w:sz="4" w:space="0" w:color="auto"/>
            </w:tcBorders>
            <w:vAlign w:val="center"/>
          </w:tcPr>
          <w:p w14:paraId="3A11F986"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2.72</w:t>
            </w:r>
          </w:p>
        </w:tc>
      </w:tr>
      <w:tr w:rsidR="001D6314" w14:paraId="1CD9175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DEF506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14:paraId="60EBF9B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14:paraId="57D80F8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6D8F91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7D44223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F62181C" w14:textId="77777777" w:rsidR="001D6314" w:rsidRDefault="001D6314">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0143D56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225E5AC3"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220,873,805.09</w:t>
            </w:r>
          </w:p>
        </w:tc>
        <w:tc>
          <w:tcPr>
            <w:tcW w:w="400" w:type="pct"/>
            <w:tcBorders>
              <w:top w:val="single" w:sz="4" w:space="0" w:color="auto"/>
              <w:left w:val="single" w:sz="4" w:space="0" w:color="auto"/>
              <w:bottom w:val="single" w:sz="4" w:space="0" w:color="auto"/>
              <w:right w:val="single" w:sz="4" w:space="0" w:color="auto"/>
            </w:tcBorders>
            <w:vAlign w:val="center"/>
          </w:tcPr>
          <w:p w14:paraId="18CCA0D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92.94</w:t>
            </w:r>
          </w:p>
        </w:tc>
      </w:tr>
    </w:tbl>
    <w:p w14:paraId="39E0F3E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报告期末积极投资按行业分类的境内股票投资组合</w:t>
      </w:r>
    </w:p>
    <w:tbl>
      <w:tblPr>
        <w:tblW w:w="5000" w:type="pct"/>
        <w:tblCellMar>
          <w:left w:w="0" w:type="dxa"/>
          <w:right w:w="0" w:type="dxa"/>
        </w:tblCellMar>
        <w:tblLook w:val="04A0" w:firstRow="1" w:lastRow="0" w:firstColumn="1" w:lastColumn="0" w:noHBand="0" w:noVBand="1"/>
      </w:tblPr>
      <w:tblGrid>
        <w:gridCol w:w="1006"/>
        <w:gridCol w:w="3018"/>
        <w:gridCol w:w="3017"/>
        <w:gridCol w:w="1609"/>
      </w:tblGrid>
      <w:tr w:rsidR="001D6314" w14:paraId="780B9B5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05F9C06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957274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F8BA6C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2B8A69D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p>
        </w:tc>
      </w:tr>
      <w:tr w:rsidR="001D6314" w14:paraId="72B8CBF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053864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14:paraId="4F53A08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14:paraId="5641EDD9"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A4E8E6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08A3E6D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675D3CB"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14:paraId="614ADF6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14:paraId="10691EE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BD43FE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0010225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2DBBE3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14:paraId="131D245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14:paraId="6007E7B5"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588,681.98</w:t>
            </w:r>
          </w:p>
        </w:tc>
        <w:tc>
          <w:tcPr>
            <w:tcW w:w="400" w:type="pct"/>
            <w:tcBorders>
              <w:top w:val="single" w:sz="4" w:space="0" w:color="auto"/>
              <w:left w:val="single" w:sz="4" w:space="0" w:color="auto"/>
              <w:bottom w:val="single" w:sz="4" w:space="0" w:color="auto"/>
              <w:right w:val="single" w:sz="4" w:space="0" w:color="auto"/>
            </w:tcBorders>
            <w:vAlign w:val="center"/>
          </w:tcPr>
          <w:p w14:paraId="2A50FD3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0.25</w:t>
            </w:r>
          </w:p>
        </w:tc>
      </w:tr>
      <w:tr w:rsidR="001D6314" w14:paraId="19B7F88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6025640"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14:paraId="22B3854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14:paraId="5C0CECD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428,016.00</w:t>
            </w:r>
          </w:p>
        </w:tc>
        <w:tc>
          <w:tcPr>
            <w:tcW w:w="400" w:type="pct"/>
            <w:tcBorders>
              <w:top w:val="single" w:sz="4" w:space="0" w:color="auto"/>
              <w:left w:val="single" w:sz="4" w:space="0" w:color="auto"/>
              <w:bottom w:val="single" w:sz="4" w:space="0" w:color="auto"/>
              <w:right w:val="single" w:sz="4" w:space="0" w:color="auto"/>
            </w:tcBorders>
            <w:vAlign w:val="center"/>
          </w:tcPr>
          <w:p w14:paraId="76E7125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0.18</w:t>
            </w:r>
          </w:p>
        </w:tc>
      </w:tr>
      <w:tr w:rsidR="001D6314" w14:paraId="220DE94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1C5902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14:paraId="53373A5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14:paraId="08C5510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4C343D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57937C7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ABAB9F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14:paraId="387CC73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14:paraId="25F27ED1"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250,041.01</w:t>
            </w:r>
          </w:p>
        </w:tc>
        <w:tc>
          <w:tcPr>
            <w:tcW w:w="400" w:type="pct"/>
            <w:tcBorders>
              <w:top w:val="single" w:sz="4" w:space="0" w:color="auto"/>
              <w:left w:val="single" w:sz="4" w:space="0" w:color="auto"/>
              <w:bottom w:val="single" w:sz="4" w:space="0" w:color="auto"/>
              <w:right w:val="single" w:sz="4" w:space="0" w:color="auto"/>
            </w:tcBorders>
            <w:vAlign w:val="center"/>
          </w:tcPr>
          <w:p w14:paraId="62F7CD7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0.11</w:t>
            </w:r>
          </w:p>
        </w:tc>
      </w:tr>
      <w:tr w:rsidR="001D6314" w14:paraId="621199A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1AE0A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14:paraId="322A724A"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14:paraId="216F5D1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85438B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5487531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83F8FB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14:paraId="1978BA8B"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14:paraId="47992B4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A1E3941"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11282F1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68CA44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14:paraId="3C88083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49B03BE9"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8F7453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676DB3F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DA28D5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14:paraId="70145D1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14:paraId="58439D62"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4F99FA1"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5E27409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69DC15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14:paraId="1D0F837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14:paraId="773464E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00F8327"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55F6BE5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2E6B1E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14:paraId="074305B2"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14:paraId="313E21E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7A87E01"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65C631F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5F0B82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14:paraId="2ED5212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4166D553"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18,256.34</w:t>
            </w:r>
          </w:p>
        </w:tc>
        <w:tc>
          <w:tcPr>
            <w:tcW w:w="400" w:type="pct"/>
            <w:tcBorders>
              <w:top w:val="single" w:sz="4" w:space="0" w:color="auto"/>
              <w:left w:val="single" w:sz="4" w:space="0" w:color="auto"/>
              <w:bottom w:val="single" w:sz="4" w:space="0" w:color="auto"/>
              <w:right w:val="single" w:sz="4" w:space="0" w:color="auto"/>
            </w:tcBorders>
            <w:vAlign w:val="center"/>
          </w:tcPr>
          <w:p w14:paraId="2112B569"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r w:rsidR="001D6314" w14:paraId="1214DA9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F77D31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14:paraId="32EA8EB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14:paraId="6B730A6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763FE05"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5FF49DE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5118A7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14:paraId="4CFB0F3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14:paraId="56838C1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FA249C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119BDA5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65A552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14:paraId="12816F6B"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14:paraId="0A9C22D5"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2F0F962"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0AE586B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313850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14:paraId="3EE4614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14:paraId="5A757A13"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7D9001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3391351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26DE6D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14:paraId="6D3D56BD"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14:paraId="653576E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F20ACC7"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0A6E4B4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4AEBBA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14:paraId="1E61B8A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14:paraId="25F5C75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0ED4B4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6C282CD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44B6E49" w14:textId="77777777" w:rsidR="001D6314" w:rsidRDefault="001D6314">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1CD2D1E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5ECAFCD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1,284,995.33</w:t>
            </w:r>
          </w:p>
        </w:tc>
        <w:tc>
          <w:tcPr>
            <w:tcW w:w="400" w:type="pct"/>
            <w:tcBorders>
              <w:top w:val="single" w:sz="4" w:space="0" w:color="auto"/>
              <w:left w:val="single" w:sz="4" w:space="0" w:color="auto"/>
              <w:bottom w:val="single" w:sz="4" w:space="0" w:color="auto"/>
              <w:right w:val="single" w:sz="4" w:space="0" w:color="auto"/>
            </w:tcBorders>
            <w:vAlign w:val="center"/>
          </w:tcPr>
          <w:p w14:paraId="2C524B86"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0.54</w:t>
            </w:r>
          </w:p>
        </w:tc>
      </w:tr>
    </w:tbl>
    <w:p w14:paraId="5C4D3A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 报告期末按行业分类的港股通投资股票投资组合</w:t>
      </w:r>
    </w:p>
    <w:p w14:paraId="19BCC2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979153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3、期末按公允价值占基金资产净值比例大小排序的股票投资明细</w:t>
      </w:r>
    </w:p>
    <w:p w14:paraId="3530D2D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报告期末指数投资按公允价值占基金资产净值比例大小排序的前十名股票投资明细</w:t>
      </w:r>
    </w:p>
    <w:tbl>
      <w:tblPr>
        <w:tblW w:w="5000" w:type="pct"/>
        <w:tblCellMar>
          <w:left w:w="0" w:type="dxa"/>
          <w:right w:w="0" w:type="dxa"/>
        </w:tblCellMar>
        <w:tblLook w:val="04A0" w:firstRow="1" w:lastRow="0" w:firstColumn="1" w:lastColumn="0" w:noHBand="0" w:noVBand="1"/>
      </w:tblPr>
      <w:tblGrid>
        <w:gridCol w:w="540"/>
        <w:gridCol w:w="1622"/>
        <w:gridCol w:w="1622"/>
        <w:gridCol w:w="1622"/>
        <w:gridCol w:w="1622"/>
        <w:gridCol w:w="1622"/>
      </w:tblGrid>
      <w:tr w:rsidR="001D6314" w14:paraId="1975473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2D15BB4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5BD801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1E78CC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B11993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D30DAA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6403D1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1D6314" w14:paraId="4E74184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33A067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2417A66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000937</w:t>
            </w:r>
          </w:p>
        </w:tc>
        <w:tc>
          <w:tcPr>
            <w:tcW w:w="750" w:type="pct"/>
            <w:tcBorders>
              <w:top w:val="single" w:sz="4" w:space="0" w:color="auto"/>
              <w:left w:val="single" w:sz="4" w:space="0" w:color="auto"/>
              <w:bottom w:val="single" w:sz="4" w:space="0" w:color="auto"/>
              <w:right w:val="single" w:sz="4" w:space="0" w:color="auto"/>
            </w:tcBorders>
            <w:vAlign w:val="center"/>
          </w:tcPr>
          <w:p w14:paraId="3A5791B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冀中能源</w:t>
            </w:r>
          </w:p>
        </w:tc>
        <w:tc>
          <w:tcPr>
            <w:tcW w:w="750" w:type="pct"/>
            <w:tcBorders>
              <w:top w:val="single" w:sz="4" w:space="0" w:color="auto"/>
              <w:left w:val="single" w:sz="4" w:space="0" w:color="auto"/>
              <w:bottom w:val="single" w:sz="4" w:space="0" w:color="auto"/>
              <w:right w:val="single" w:sz="4" w:space="0" w:color="auto"/>
            </w:tcBorders>
            <w:vAlign w:val="center"/>
          </w:tcPr>
          <w:p w14:paraId="4C7DDA3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1,131,600</w:t>
            </w:r>
          </w:p>
        </w:tc>
        <w:tc>
          <w:tcPr>
            <w:tcW w:w="750" w:type="pct"/>
            <w:tcBorders>
              <w:top w:val="single" w:sz="4" w:space="0" w:color="auto"/>
              <w:left w:val="single" w:sz="4" w:space="0" w:color="auto"/>
              <w:bottom w:val="single" w:sz="4" w:space="0" w:color="auto"/>
              <w:right w:val="single" w:sz="4" w:space="0" w:color="auto"/>
            </w:tcBorders>
            <w:vAlign w:val="center"/>
          </w:tcPr>
          <w:p w14:paraId="13296DC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6,665,124.00</w:t>
            </w:r>
          </w:p>
        </w:tc>
        <w:tc>
          <w:tcPr>
            <w:tcW w:w="750" w:type="pct"/>
            <w:tcBorders>
              <w:top w:val="single" w:sz="4" w:space="0" w:color="auto"/>
              <w:left w:val="single" w:sz="4" w:space="0" w:color="auto"/>
              <w:bottom w:val="single" w:sz="4" w:space="0" w:color="auto"/>
              <w:right w:val="single" w:sz="4" w:space="0" w:color="auto"/>
            </w:tcBorders>
            <w:vAlign w:val="center"/>
          </w:tcPr>
          <w:p w14:paraId="376590E3"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2.80</w:t>
            </w:r>
          </w:p>
        </w:tc>
      </w:tr>
      <w:tr w:rsidR="001D6314" w14:paraId="14C1747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6D41E0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2290E24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603156</w:t>
            </w:r>
          </w:p>
        </w:tc>
        <w:tc>
          <w:tcPr>
            <w:tcW w:w="750" w:type="pct"/>
            <w:tcBorders>
              <w:top w:val="single" w:sz="4" w:space="0" w:color="auto"/>
              <w:left w:val="single" w:sz="4" w:space="0" w:color="auto"/>
              <w:bottom w:val="single" w:sz="4" w:space="0" w:color="auto"/>
              <w:right w:val="single" w:sz="4" w:space="0" w:color="auto"/>
            </w:tcBorders>
            <w:vAlign w:val="center"/>
          </w:tcPr>
          <w:p w14:paraId="2B44F78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养元饮品</w:t>
            </w:r>
          </w:p>
        </w:tc>
        <w:tc>
          <w:tcPr>
            <w:tcW w:w="750" w:type="pct"/>
            <w:tcBorders>
              <w:top w:val="single" w:sz="4" w:space="0" w:color="auto"/>
              <w:left w:val="single" w:sz="4" w:space="0" w:color="auto"/>
              <w:bottom w:val="single" w:sz="4" w:space="0" w:color="auto"/>
              <w:right w:val="single" w:sz="4" w:space="0" w:color="auto"/>
            </w:tcBorders>
            <w:vAlign w:val="center"/>
          </w:tcPr>
          <w:p w14:paraId="0FD827E5"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163,500</w:t>
            </w:r>
          </w:p>
        </w:tc>
        <w:tc>
          <w:tcPr>
            <w:tcW w:w="750" w:type="pct"/>
            <w:tcBorders>
              <w:top w:val="single" w:sz="4" w:space="0" w:color="auto"/>
              <w:left w:val="single" w:sz="4" w:space="0" w:color="auto"/>
              <w:bottom w:val="single" w:sz="4" w:space="0" w:color="auto"/>
              <w:right w:val="single" w:sz="4" w:space="0" w:color="auto"/>
            </w:tcBorders>
            <w:vAlign w:val="center"/>
          </w:tcPr>
          <w:p w14:paraId="727F44B8"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4,818,345.00</w:t>
            </w:r>
          </w:p>
        </w:tc>
        <w:tc>
          <w:tcPr>
            <w:tcW w:w="750" w:type="pct"/>
            <w:tcBorders>
              <w:top w:val="single" w:sz="4" w:space="0" w:color="auto"/>
              <w:left w:val="single" w:sz="4" w:space="0" w:color="auto"/>
              <w:bottom w:val="single" w:sz="4" w:space="0" w:color="auto"/>
              <w:right w:val="single" w:sz="4" w:space="0" w:color="auto"/>
            </w:tcBorders>
            <w:vAlign w:val="center"/>
          </w:tcPr>
          <w:p w14:paraId="177C4075"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2.03</w:t>
            </w:r>
          </w:p>
        </w:tc>
      </w:tr>
      <w:tr w:rsidR="001D6314" w14:paraId="217241B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C9EAAC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4E0AD6E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600755</w:t>
            </w:r>
          </w:p>
        </w:tc>
        <w:tc>
          <w:tcPr>
            <w:tcW w:w="750" w:type="pct"/>
            <w:tcBorders>
              <w:top w:val="single" w:sz="4" w:space="0" w:color="auto"/>
              <w:left w:val="single" w:sz="4" w:space="0" w:color="auto"/>
              <w:bottom w:val="single" w:sz="4" w:space="0" w:color="auto"/>
              <w:right w:val="single" w:sz="4" w:space="0" w:color="auto"/>
            </w:tcBorders>
            <w:vAlign w:val="center"/>
          </w:tcPr>
          <w:p w14:paraId="10E26B3B"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厦门国贸</w:t>
            </w:r>
          </w:p>
        </w:tc>
        <w:tc>
          <w:tcPr>
            <w:tcW w:w="750" w:type="pct"/>
            <w:tcBorders>
              <w:top w:val="single" w:sz="4" w:space="0" w:color="auto"/>
              <w:left w:val="single" w:sz="4" w:space="0" w:color="auto"/>
              <w:bottom w:val="single" w:sz="4" w:space="0" w:color="auto"/>
              <w:right w:val="single" w:sz="4" w:space="0" w:color="auto"/>
            </w:tcBorders>
            <w:vAlign w:val="center"/>
          </w:tcPr>
          <w:p w14:paraId="593862B7"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674,800</w:t>
            </w:r>
          </w:p>
        </w:tc>
        <w:tc>
          <w:tcPr>
            <w:tcW w:w="750" w:type="pct"/>
            <w:tcBorders>
              <w:top w:val="single" w:sz="4" w:space="0" w:color="auto"/>
              <w:left w:val="single" w:sz="4" w:space="0" w:color="auto"/>
              <w:bottom w:val="single" w:sz="4" w:space="0" w:color="auto"/>
              <w:right w:val="single" w:sz="4" w:space="0" w:color="auto"/>
            </w:tcBorders>
            <w:vAlign w:val="center"/>
          </w:tcPr>
          <w:p w14:paraId="632FEDBB"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4,170,264.00</w:t>
            </w:r>
          </w:p>
        </w:tc>
        <w:tc>
          <w:tcPr>
            <w:tcW w:w="750" w:type="pct"/>
            <w:tcBorders>
              <w:top w:val="single" w:sz="4" w:space="0" w:color="auto"/>
              <w:left w:val="single" w:sz="4" w:space="0" w:color="auto"/>
              <w:bottom w:val="single" w:sz="4" w:space="0" w:color="auto"/>
              <w:right w:val="single" w:sz="4" w:space="0" w:color="auto"/>
            </w:tcBorders>
            <w:vAlign w:val="center"/>
          </w:tcPr>
          <w:p w14:paraId="40C0045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1.75</w:t>
            </w:r>
          </w:p>
        </w:tc>
      </w:tr>
      <w:tr w:rsidR="001D6314" w14:paraId="3F6585D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74EC17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636206B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000895</w:t>
            </w:r>
          </w:p>
        </w:tc>
        <w:tc>
          <w:tcPr>
            <w:tcW w:w="750" w:type="pct"/>
            <w:tcBorders>
              <w:top w:val="single" w:sz="4" w:space="0" w:color="auto"/>
              <w:left w:val="single" w:sz="4" w:space="0" w:color="auto"/>
              <w:bottom w:val="single" w:sz="4" w:space="0" w:color="auto"/>
              <w:right w:val="single" w:sz="4" w:space="0" w:color="auto"/>
            </w:tcBorders>
            <w:vAlign w:val="center"/>
          </w:tcPr>
          <w:p w14:paraId="42A7A12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双汇发展</w:t>
            </w:r>
          </w:p>
        </w:tc>
        <w:tc>
          <w:tcPr>
            <w:tcW w:w="750" w:type="pct"/>
            <w:tcBorders>
              <w:top w:val="single" w:sz="4" w:space="0" w:color="auto"/>
              <w:left w:val="single" w:sz="4" w:space="0" w:color="auto"/>
              <w:bottom w:val="single" w:sz="4" w:space="0" w:color="auto"/>
              <w:right w:val="single" w:sz="4" w:space="0" w:color="auto"/>
            </w:tcBorders>
            <w:vAlign w:val="center"/>
          </w:tcPr>
          <w:p w14:paraId="33DEEBE7"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155,900</w:t>
            </w:r>
          </w:p>
        </w:tc>
        <w:tc>
          <w:tcPr>
            <w:tcW w:w="750" w:type="pct"/>
            <w:tcBorders>
              <w:top w:val="single" w:sz="4" w:space="0" w:color="auto"/>
              <w:left w:val="single" w:sz="4" w:space="0" w:color="auto"/>
              <w:bottom w:val="single" w:sz="4" w:space="0" w:color="auto"/>
              <w:right w:val="single" w:sz="4" w:space="0" w:color="auto"/>
            </w:tcBorders>
            <w:vAlign w:val="center"/>
          </w:tcPr>
          <w:p w14:paraId="0A0CCB5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3,856,966.00</w:t>
            </w:r>
          </w:p>
        </w:tc>
        <w:tc>
          <w:tcPr>
            <w:tcW w:w="750" w:type="pct"/>
            <w:tcBorders>
              <w:top w:val="single" w:sz="4" w:space="0" w:color="auto"/>
              <w:left w:val="single" w:sz="4" w:space="0" w:color="auto"/>
              <w:bottom w:val="single" w:sz="4" w:space="0" w:color="auto"/>
              <w:right w:val="single" w:sz="4" w:space="0" w:color="auto"/>
            </w:tcBorders>
            <w:vAlign w:val="center"/>
          </w:tcPr>
          <w:p w14:paraId="27E2B5C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1.62</w:t>
            </w:r>
          </w:p>
        </w:tc>
      </w:tr>
      <w:tr w:rsidR="001D6314" w14:paraId="6FD3998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4CB5E9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78F7D0F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600177</w:t>
            </w:r>
          </w:p>
        </w:tc>
        <w:tc>
          <w:tcPr>
            <w:tcW w:w="750" w:type="pct"/>
            <w:tcBorders>
              <w:top w:val="single" w:sz="4" w:space="0" w:color="auto"/>
              <w:left w:val="single" w:sz="4" w:space="0" w:color="auto"/>
              <w:bottom w:val="single" w:sz="4" w:space="0" w:color="auto"/>
              <w:right w:val="single" w:sz="4" w:space="0" w:color="auto"/>
            </w:tcBorders>
            <w:vAlign w:val="center"/>
          </w:tcPr>
          <w:p w14:paraId="561984D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雅戈尔</w:t>
            </w:r>
          </w:p>
        </w:tc>
        <w:tc>
          <w:tcPr>
            <w:tcW w:w="750" w:type="pct"/>
            <w:tcBorders>
              <w:top w:val="single" w:sz="4" w:space="0" w:color="auto"/>
              <w:left w:val="single" w:sz="4" w:space="0" w:color="auto"/>
              <w:bottom w:val="single" w:sz="4" w:space="0" w:color="auto"/>
              <w:right w:val="single" w:sz="4" w:space="0" w:color="auto"/>
            </w:tcBorders>
            <w:vAlign w:val="center"/>
          </w:tcPr>
          <w:p w14:paraId="2C0989DD"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513,100</w:t>
            </w:r>
          </w:p>
        </w:tc>
        <w:tc>
          <w:tcPr>
            <w:tcW w:w="750" w:type="pct"/>
            <w:tcBorders>
              <w:top w:val="single" w:sz="4" w:space="0" w:color="auto"/>
              <w:left w:val="single" w:sz="4" w:space="0" w:color="auto"/>
              <w:bottom w:val="single" w:sz="4" w:space="0" w:color="auto"/>
              <w:right w:val="single" w:sz="4" w:space="0" w:color="auto"/>
            </w:tcBorders>
            <w:vAlign w:val="center"/>
          </w:tcPr>
          <w:p w14:paraId="04FABCC1"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3,802,071.00</w:t>
            </w:r>
          </w:p>
        </w:tc>
        <w:tc>
          <w:tcPr>
            <w:tcW w:w="750" w:type="pct"/>
            <w:tcBorders>
              <w:top w:val="single" w:sz="4" w:space="0" w:color="auto"/>
              <w:left w:val="single" w:sz="4" w:space="0" w:color="auto"/>
              <w:bottom w:val="single" w:sz="4" w:space="0" w:color="auto"/>
              <w:right w:val="single" w:sz="4" w:space="0" w:color="auto"/>
            </w:tcBorders>
            <w:vAlign w:val="center"/>
          </w:tcPr>
          <w:p w14:paraId="2227E6F2"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1.60</w:t>
            </w:r>
          </w:p>
        </w:tc>
      </w:tr>
      <w:tr w:rsidR="001D6314" w14:paraId="2A52F1D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3B65C3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25FC610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002032</w:t>
            </w:r>
          </w:p>
        </w:tc>
        <w:tc>
          <w:tcPr>
            <w:tcW w:w="750" w:type="pct"/>
            <w:tcBorders>
              <w:top w:val="single" w:sz="4" w:space="0" w:color="auto"/>
              <w:left w:val="single" w:sz="4" w:space="0" w:color="auto"/>
              <w:bottom w:val="single" w:sz="4" w:space="0" w:color="auto"/>
              <w:right w:val="single" w:sz="4" w:space="0" w:color="auto"/>
            </w:tcBorders>
            <w:vAlign w:val="center"/>
          </w:tcPr>
          <w:p w14:paraId="5E241CF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苏</w:t>
            </w:r>
            <w:r>
              <w:rPr>
                <w:rFonts w:ascii="Times New Roman" w:hAnsi="Times New Roman"/>
                <w:color w:val="000000"/>
                <w:kern w:val="0"/>
                <w:sz w:val="25"/>
                <w:szCs w:val="24"/>
              </w:rPr>
              <w:t xml:space="preserve"> </w:t>
            </w:r>
            <w:r>
              <w:rPr>
                <w:rFonts w:ascii="Times New Roman" w:hAnsi="Times New Roman"/>
                <w:color w:val="000000"/>
                <w:kern w:val="0"/>
                <w:sz w:val="25"/>
                <w:szCs w:val="24"/>
              </w:rPr>
              <w:t>泊</w:t>
            </w:r>
            <w:r>
              <w:rPr>
                <w:rFonts w:ascii="Times New Roman" w:hAnsi="Times New Roman"/>
                <w:color w:val="000000"/>
                <w:kern w:val="0"/>
                <w:sz w:val="25"/>
                <w:szCs w:val="24"/>
              </w:rPr>
              <w:t xml:space="preserve"> </w:t>
            </w:r>
            <w:r>
              <w:rPr>
                <w:rFonts w:ascii="Times New Roman" w:hAnsi="Times New Roman"/>
                <w:color w:val="000000"/>
                <w:kern w:val="0"/>
                <w:sz w:val="25"/>
                <w:szCs w:val="24"/>
              </w:rPr>
              <w:t>尔</w:t>
            </w:r>
          </w:p>
        </w:tc>
        <w:tc>
          <w:tcPr>
            <w:tcW w:w="750" w:type="pct"/>
            <w:tcBorders>
              <w:top w:val="single" w:sz="4" w:space="0" w:color="auto"/>
              <w:left w:val="single" w:sz="4" w:space="0" w:color="auto"/>
              <w:bottom w:val="single" w:sz="4" w:space="0" w:color="auto"/>
              <w:right w:val="single" w:sz="4" w:space="0" w:color="auto"/>
            </w:tcBorders>
            <w:vAlign w:val="center"/>
          </w:tcPr>
          <w:p w14:paraId="2A78297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77,600</w:t>
            </w:r>
          </w:p>
        </w:tc>
        <w:tc>
          <w:tcPr>
            <w:tcW w:w="750" w:type="pct"/>
            <w:tcBorders>
              <w:top w:val="single" w:sz="4" w:space="0" w:color="auto"/>
              <w:left w:val="single" w:sz="4" w:space="0" w:color="auto"/>
              <w:bottom w:val="single" w:sz="4" w:space="0" w:color="auto"/>
              <w:right w:val="single" w:sz="4" w:space="0" w:color="auto"/>
            </w:tcBorders>
            <w:vAlign w:val="center"/>
          </w:tcPr>
          <w:p w14:paraId="5EDC809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3,705,400.00</w:t>
            </w:r>
          </w:p>
        </w:tc>
        <w:tc>
          <w:tcPr>
            <w:tcW w:w="750" w:type="pct"/>
            <w:tcBorders>
              <w:top w:val="single" w:sz="4" w:space="0" w:color="auto"/>
              <w:left w:val="single" w:sz="4" w:space="0" w:color="auto"/>
              <w:bottom w:val="single" w:sz="4" w:space="0" w:color="auto"/>
              <w:right w:val="single" w:sz="4" w:space="0" w:color="auto"/>
            </w:tcBorders>
            <w:vAlign w:val="center"/>
          </w:tcPr>
          <w:p w14:paraId="4C3F0FE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1.56</w:t>
            </w:r>
          </w:p>
        </w:tc>
      </w:tr>
      <w:tr w:rsidR="001D6314" w14:paraId="5DA69E1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B14401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62EB5F50"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601006</w:t>
            </w:r>
          </w:p>
        </w:tc>
        <w:tc>
          <w:tcPr>
            <w:tcW w:w="750" w:type="pct"/>
            <w:tcBorders>
              <w:top w:val="single" w:sz="4" w:space="0" w:color="auto"/>
              <w:left w:val="single" w:sz="4" w:space="0" w:color="auto"/>
              <w:bottom w:val="single" w:sz="4" w:space="0" w:color="auto"/>
              <w:right w:val="single" w:sz="4" w:space="0" w:color="auto"/>
            </w:tcBorders>
            <w:vAlign w:val="center"/>
          </w:tcPr>
          <w:p w14:paraId="7AB4594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大秦铁路</w:t>
            </w:r>
          </w:p>
        </w:tc>
        <w:tc>
          <w:tcPr>
            <w:tcW w:w="750" w:type="pct"/>
            <w:tcBorders>
              <w:top w:val="single" w:sz="4" w:space="0" w:color="auto"/>
              <w:left w:val="single" w:sz="4" w:space="0" w:color="auto"/>
              <w:bottom w:val="single" w:sz="4" w:space="0" w:color="auto"/>
              <w:right w:val="single" w:sz="4" w:space="0" w:color="auto"/>
            </w:tcBorders>
            <w:vAlign w:val="center"/>
          </w:tcPr>
          <w:p w14:paraId="73D2C59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604,400</w:t>
            </w:r>
          </w:p>
        </w:tc>
        <w:tc>
          <w:tcPr>
            <w:tcW w:w="750" w:type="pct"/>
            <w:tcBorders>
              <w:top w:val="single" w:sz="4" w:space="0" w:color="auto"/>
              <w:left w:val="single" w:sz="4" w:space="0" w:color="auto"/>
              <w:bottom w:val="single" w:sz="4" w:space="0" w:color="auto"/>
              <w:right w:val="single" w:sz="4" w:space="0" w:color="auto"/>
            </w:tcBorders>
            <w:vAlign w:val="center"/>
          </w:tcPr>
          <w:p w14:paraId="77F45F4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3,559,916.00</w:t>
            </w:r>
          </w:p>
        </w:tc>
        <w:tc>
          <w:tcPr>
            <w:tcW w:w="750" w:type="pct"/>
            <w:tcBorders>
              <w:top w:val="single" w:sz="4" w:space="0" w:color="auto"/>
              <w:left w:val="single" w:sz="4" w:space="0" w:color="auto"/>
              <w:bottom w:val="single" w:sz="4" w:space="0" w:color="auto"/>
              <w:right w:val="single" w:sz="4" w:space="0" w:color="auto"/>
            </w:tcBorders>
            <w:vAlign w:val="center"/>
          </w:tcPr>
          <w:p w14:paraId="74F7B34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1.50</w:t>
            </w:r>
          </w:p>
        </w:tc>
      </w:tr>
      <w:tr w:rsidR="001D6314" w14:paraId="2483E80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C0AA6D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1FAFC74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601088</w:t>
            </w:r>
          </w:p>
        </w:tc>
        <w:tc>
          <w:tcPr>
            <w:tcW w:w="750" w:type="pct"/>
            <w:tcBorders>
              <w:top w:val="single" w:sz="4" w:space="0" w:color="auto"/>
              <w:left w:val="single" w:sz="4" w:space="0" w:color="auto"/>
              <w:bottom w:val="single" w:sz="4" w:space="0" w:color="auto"/>
              <w:right w:val="single" w:sz="4" w:space="0" w:color="auto"/>
            </w:tcBorders>
            <w:vAlign w:val="center"/>
          </w:tcPr>
          <w:p w14:paraId="357C863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中国神华</w:t>
            </w:r>
          </w:p>
        </w:tc>
        <w:tc>
          <w:tcPr>
            <w:tcW w:w="750" w:type="pct"/>
            <w:tcBorders>
              <w:top w:val="single" w:sz="4" w:space="0" w:color="auto"/>
              <w:left w:val="single" w:sz="4" w:space="0" w:color="auto"/>
              <w:bottom w:val="single" w:sz="4" w:space="0" w:color="auto"/>
              <w:right w:val="single" w:sz="4" w:space="0" w:color="auto"/>
            </w:tcBorders>
            <w:vAlign w:val="center"/>
          </w:tcPr>
          <w:p w14:paraId="0536F31C"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91,900</w:t>
            </w:r>
          </w:p>
        </w:tc>
        <w:tc>
          <w:tcPr>
            <w:tcW w:w="750" w:type="pct"/>
            <w:tcBorders>
              <w:top w:val="single" w:sz="4" w:space="0" w:color="auto"/>
              <w:left w:val="single" w:sz="4" w:space="0" w:color="auto"/>
              <w:bottom w:val="single" w:sz="4" w:space="0" w:color="auto"/>
              <w:right w:val="single" w:sz="4" w:space="0" w:color="auto"/>
            </w:tcBorders>
            <w:vAlign w:val="center"/>
          </w:tcPr>
          <w:p w14:paraId="281932F2"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3,538,150.00</w:t>
            </w:r>
          </w:p>
        </w:tc>
        <w:tc>
          <w:tcPr>
            <w:tcW w:w="750" w:type="pct"/>
            <w:tcBorders>
              <w:top w:val="single" w:sz="4" w:space="0" w:color="auto"/>
              <w:left w:val="single" w:sz="4" w:space="0" w:color="auto"/>
              <w:bottom w:val="single" w:sz="4" w:space="0" w:color="auto"/>
              <w:right w:val="single" w:sz="4" w:space="0" w:color="auto"/>
            </w:tcBorders>
            <w:vAlign w:val="center"/>
          </w:tcPr>
          <w:p w14:paraId="69C4231C"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1.49</w:t>
            </w:r>
          </w:p>
        </w:tc>
      </w:tr>
      <w:tr w:rsidR="001D6314" w14:paraId="5D4DA10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3691BD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225F373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600028</w:t>
            </w:r>
          </w:p>
        </w:tc>
        <w:tc>
          <w:tcPr>
            <w:tcW w:w="750" w:type="pct"/>
            <w:tcBorders>
              <w:top w:val="single" w:sz="4" w:space="0" w:color="auto"/>
              <w:left w:val="single" w:sz="4" w:space="0" w:color="auto"/>
              <w:bottom w:val="single" w:sz="4" w:space="0" w:color="auto"/>
              <w:right w:val="single" w:sz="4" w:space="0" w:color="auto"/>
            </w:tcBorders>
            <w:vAlign w:val="center"/>
          </w:tcPr>
          <w:p w14:paraId="39D626E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中国石化</w:t>
            </w:r>
          </w:p>
        </w:tc>
        <w:tc>
          <w:tcPr>
            <w:tcW w:w="750" w:type="pct"/>
            <w:tcBorders>
              <w:top w:val="single" w:sz="4" w:space="0" w:color="auto"/>
              <w:left w:val="single" w:sz="4" w:space="0" w:color="auto"/>
              <w:bottom w:val="single" w:sz="4" w:space="0" w:color="auto"/>
              <w:right w:val="single" w:sz="4" w:space="0" w:color="auto"/>
            </w:tcBorders>
            <w:vAlign w:val="center"/>
          </w:tcPr>
          <w:p w14:paraId="679F314D"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611,100</w:t>
            </w:r>
          </w:p>
        </w:tc>
        <w:tc>
          <w:tcPr>
            <w:tcW w:w="750" w:type="pct"/>
            <w:tcBorders>
              <w:top w:val="single" w:sz="4" w:space="0" w:color="auto"/>
              <w:left w:val="single" w:sz="4" w:space="0" w:color="auto"/>
              <w:bottom w:val="single" w:sz="4" w:space="0" w:color="auto"/>
              <w:right w:val="single" w:sz="4" w:space="0" w:color="auto"/>
            </w:tcBorders>
            <w:vAlign w:val="center"/>
          </w:tcPr>
          <w:p w14:paraId="6133387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3,232,719.00</w:t>
            </w:r>
          </w:p>
        </w:tc>
        <w:tc>
          <w:tcPr>
            <w:tcW w:w="750" w:type="pct"/>
            <w:tcBorders>
              <w:top w:val="single" w:sz="4" w:space="0" w:color="auto"/>
              <w:left w:val="single" w:sz="4" w:space="0" w:color="auto"/>
              <w:bottom w:val="single" w:sz="4" w:space="0" w:color="auto"/>
              <w:right w:val="single" w:sz="4" w:space="0" w:color="auto"/>
            </w:tcBorders>
            <w:vAlign w:val="center"/>
          </w:tcPr>
          <w:p w14:paraId="0509A00C"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1.36</w:t>
            </w:r>
          </w:p>
        </w:tc>
      </w:tr>
      <w:tr w:rsidR="001D6314" w14:paraId="579C22B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627A45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39D8A82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600750</w:t>
            </w:r>
          </w:p>
        </w:tc>
        <w:tc>
          <w:tcPr>
            <w:tcW w:w="750" w:type="pct"/>
            <w:tcBorders>
              <w:top w:val="single" w:sz="4" w:space="0" w:color="auto"/>
              <w:left w:val="single" w:sz="4" w:space="0" w:color="auto"/>
              <w:bottom w:val="single" w:sz="4" w:space="0" w:color="auto"/>
              <w:right w:val="single" w:sz="4" w:space="0" w:color="auto"/>
            </w:tcBorders>
            <w:vAlign w:val="center"/>
          </w:tcPr>
          <w:p w14:paraId="47B78E0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江中药业</w:t>
            </w:r>
          </w:p>
        </w:tc>
        <w:tc>
          <w:tcPr>
            <w:tcW w:w="750" w:type="pct"/>
            <w:tcBorders>
              <w:top w:val="single" w:sz="4" w:space="0" w:color="auto"/>
              <w:left w:val="single" w:sz="4" w:space="0" w:color="auto"/>
              <w:bottom w:val="single" w:sz="4" w:space="0" w:color="auto"/>
              <w:right w:val="single" w:sz="4" w:space="0" w:color="auto"/>
            </w:tcBorders>
            <w:vAlign w:val="center"/>
          </w:tcPr>
          <w:p w14:paraId="67D05C5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140,900</w:t>
            </w:r>
          </w:p>
        </w:tc>
        <w:tc>
          <w:tcPr>
            <w:tcW w:w="750" w:type="pct"/>
            <w:tcBorders>
              <w:top w:val="single" w:sz="4" w:space="0" w:color="auto"/>
              <w:left w:val="single" w:sz="4" w:space="0" w:color="auto"/>
              <w:bottom w:val="single" w:sz="4" w:space="0" w:color="auto"/>
              <w:right w:val="single" w:sz="4" w:space="0" w:color="auto"/>
            </w:tcBorders>
            <w:vAlign w:val="center"/>
          </w:tcPr>
          <w:p w14:paraId="3F7244A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3,089,937.00</w:t>
            </w:r>
          </w:p>
        </w:tc>
        <w:tc>
          <w:tcPr>
            <w:tcW w:w="750" w:type="pct"/>
            <w:tcBorders>
              <w:top w:val="single" w:sz="4" w:space="0" w:color="auto"/>
              <w:left w:val="single" w:sz="4" w:space="0" w:color="auto"/>
              <w:bottom w:val="single" w:sz="4" w:space="0" w:color="auto"/>
              <w:right w:val="single" w:sz="4" w:space="0" w:color="auto"/>
            </w:tcBorders>
            <w:vAlign w:val="center"/>
          </w:tcPr>
          <w:p w14:paraId="1DBF869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1.30</w:t>
            </w:r>
          </w:p>
        </w:tc>
      </w:tr>
    </w:tbl>
    <w:p w14:paraId="1BED36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 报告期末积极投资按公允价值占基金资产净值比例大小排序的前五名股票投资明细</w:t>
      </w:r>
    </w:p>
    <w:tbl>
      <w:tblPr>
        <w:tblW w:w="5000" w:type="pct"/>
        <w:tblCellMar>
          <w:left w:w="0" w:type="dxa"/>
          <w:right w:w="0" w:type="dxa"/>
        </w:tblCellMar>
        <w:tblLook w:val="04A0" w:firstRow="1" w:lastRow="0" w:firstColumn="1" w:lastColumn="0" w:noHBand="0" w:noVBand="1"/>
      </w:tblPr>
      <w:tblGrid>
        <w:gridCol w:w="540"/>
        <w:gridCol w:w="1622"/>
        <w:gridCol w:w="1622"/>
        <w:gridCol w:w="1622"/>
        <w:gridCol w:w="1622"/>
        <w:gridCol w:w="1622"/>
      </w:tblGrid>
      <w:tr w:rsidR="001D6314" w14:paraId="3E67EE1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765B37C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24778BB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937846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1E05C7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747CEF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8DAD69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1D6314" w14:paraId="092518D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425FD3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3070E3E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605368</w:t>
            </w:r>
          </w:p>
        </w:tc>
        <w:tc>
          <w:tcPr>
            <w:tcW w:w="750" w:type="pct"/>
            <w:tcBorders>
              <w:top w:val="single" w:sz="4" w:space="0" w:color="auto"/>
              <w:left w:val="single" w:sz="4" w:space="0" w:color="auto"/>
              <w:bottom w:val="single" w:sz="4" w:space="0" w:color="auto"/>
              <w:right w:val="single" w:sz="4" w:space="0" w:color="auto"/>
            </w:tcBorders>
            <w:vAlign w:val="center"/>
          </w:tcPr>
          <w:p w14:paraId="75E4E1F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蓝天燃气</w:t>
            </w:r>
          </w:p>
        </w:tc>
        <w:tc>
          <w:tcPr>
            <w:tcW w:w="750" w:type="pct"/>
            <w:tcBorders>
              <w:top w:val="single" w:sz="4" w:space="0" w:color="auto"/>
              <w:left w:val="single" w:sz="4" w:space="0" w:color="auto"/>
              <w:bottom w:val="single" w:sz="4" w:space="0" w:color="auto"/>
              <w:right w:val="single" w:sz="4" w:space="0" w:color="auto"/>
            </w:tcBorders>
            <w:vAlign w:val="center"/>
          </w:tcPr>
          <w:p w14:paraId="68BDF65B"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44,400</w:t>
            </w:r>
          </w:p>
        </w:tc>
        <w:tc>
          <w:tcPr>
            <w:tcW w:w="750" w:type="pct"/>
            <w:tcBorders>
              <w:top w:val="single" w:sz="4" w:space="0" w:color="auto"/>
              <w:left w:val="single" w:sz="4" w:space="0" w:color="auto"/>
              <w:bottom w:val="single" w:sz="4" w:space="0" w:color="auto"/>
              <w:right w:val="single" w:sz="4" w:space="0" w:color="auto"/>
            </w:tcBorders>
            <w:vAlign w:val="center"/>
          </w:tcPr>
          <w:p w14:paraId="5AA0E649"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428,016.00</w:t>
            </w:r>
          </w:p>
        </w:tc>
        <w:tc>
          <w:tcPr>
            <w:tcW w:w="750" w:type="pct"/>
            <w:tcBorders>
              <w:top w:val="single" w:sz="4" w:space="0" w:color="auto"/>
              <w:left w:val="single" w:sz="4" w:space="0" w:color="auto"/>
              <w:bottom w:val="single" w:sz="4" w:space="0" w:color="auto"/>
              <w:right w:val="single" w:sz="4" w:space="0" w:color="auto"/>
            </w:tcBorders>
            <w:vAlign w:val="center"/>
          </w:tcPr>
          <w:p w14:paraId="69AF6791"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0.18</w:t>
            </w:r>
          </w:p>
        </w:tc>
      </w:tr>
      <w:tr w:rsidR="001D6314" w14:paraId="0C26069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F36D0E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24F96E90"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301656</w:t>
            </w:r>
          </w:p>
        </w:tc>
        <w:tc>
          <w:tcPr>
            <w:tcW w:w="750" w:type="pct"/>
            <w:tcBorders>
              <w:top w:val="single" w:sz="4" w:space="0" w:color="auto"/>
              <w:left w:val="single" w:sz="4" w:space="0" w:color="auto"/>
              <w:bottom w:val="single" w:sz="4" w:space="0" w:color="auto"/>
              <w:right w:val="single" w:sz="4" w:space="0" w:color="auto"/>
            </w:tcBorders>
            <w:vAlign w:val="center"/>
          </w:tcPr>
          <w:p w14:paraId="10133DCB"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联合动</w:t>
            </w:r>
          </w:p>
        </w:tc>
        <w:tc>
          <w:tcPr>
            <w:tcW w:w="750" w:type="pct"/>
            <w:tcBorders>
              <w:top w:val="single" w:sz="4" w:space="0" w:color="auto"/>
              <w:left w:val="single" w:sz="4" w:space="0" w:color="auto"/>
              <w:bottom w:val="single" w:sz="4" w:space="0" w:color="auto"/>
              <w:right w:val="single" w:sz="4" w:space="0" w:color="auto"/>
            </w:tcBorders>
            <w:vAlign w:val="center"/>
          </w:tcPr>
          <w:p w14:paraId="4D36400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4,898</w:t>
            </w:r>
          </w:p>
        </w:tc>
        <w:tc>
          <w:tcPr>
            <w:tcW w:w="750" w:type="pct"/>
            <w:tcBorders>
              <w:top w:val="single" w:sz="4" w:space="0" w:color="auto"/>
              <w:left w:val="single" w:sz="4" w:space="0" w:color="auto"/>
              <w:bottom w:val="single" w:sz="4" w:space="0" w:color="auto"/>
              <w:right w:val="single" w:sz="4" w:space="0" w:color="auto"/>
            </w:tcBorders>
            <w:vAlign w:val="center"/>
          </w:tcPr>
          <w:p w14:paraId="3544327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142,479.28</w:t>
            </w:r>
          </w:p>
        </w:tc>
        <w:tc>
          <w:tcPr>
            <w:tcW w:w="750" w:type="pct"/>
            <w:tcBorders>
              <w:top w:val="single" w:sz="4" w:space="0" w:color="auto"/>
              <w:left w:val="single" w:sz="4" w:space="0" w:color="auto"/>
              <w:bottom w:val="single" w:sz="4" w:space="0" w:color="auto"/>
              <w:right w:val="single" w:sz="4" w:space="0" w:color="auto"/>
            </w:tcBorders>
            <w:vAlign w:val="center"/>
          </w:tcPr>
          <w:p w14:paraId="1451408C"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0.06</w:t>
            </w:r>
          </w:p>
        </w:tc>
      </w:tr>
      <w:tr w:rsidR="001D6314" w14:paraId="7E701F9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9D8810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71DA30F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301584</w:t>
            </w:r>
          </w:p>
        </w:tc>
        <w:tc>
          <w:tcPr>
            <w:tcW w:w="750" w:type="pct"/>
            <w:tcBorders>
              <w:top w:val="single" w:sz="4" w:space="0" w:color="auto"/>
              <w:left w:val="single" w:sz="4" w:space="0" w:color="auto"/>
              <w:bottom w:val="single" w:sz="4" w:space="0" w:color="auto"/>
              <w:right w:val="single" w:sz="4" w:space="0" w:color="auto"/>
            </w:tcBorders>
            <w:vAlign w:val="center"/>
          </w:tcPr>
          <w:p w14:paraId="5A9594F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roofErr w:type="gramStart"/>
            <w:r>
              <w:rPr>
                <w:rFonts w:ascii="Times New Roman" w:hAnsi="Times New Roman"/>
                <w:color w:val="000000"/>
                <w:kern w:val="0"/>
                <w:sz w:val="25"/>
                <w:szCs w:val="24"/>
              </w:rPr>
              <w:t>建发致</w:t>
            </w:r>
            <w:proofErr w:type="gramEnd"/>
          </w:p>
        </w:tc>
        <w:tc>
          <w:tcPr>
            <w:tcW w:w="750" w:type="pct"/>
            <w:tcBorders>
              <w:top w:val="single" w:sz="4" w:space="0" w:color="auto"/>
              <w:left w:val="single" w:sz="4" w:space="0" w:color="auto"/>
              <w:bottom w:val="single" w:sz="4" w:space="0" w:color="auto"/>
              <w:right w:val="single" w:sz="4" w:space="0" w:color="auto"/>
            </w:tcBorders>
            <w:vAlign w:val="center"/>
          </w:tcPr>
          <w:p w14:paraId="37811077"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4,465</w:t>
            </w:r>
          </w:p>
        </w:tc>
        <w:tc>
          <w:tcPr>
            <w:tcW w:w="750" w:type="pct"/>
            <w:tcBorders>
              <w:top w:val="single" w:sz="4" w:space="0" w:color="auto"/>
              <w:left w:val="single" w:sz="4" w:space="0" w:color="auto"/>
              <w:bottom w:val="single" w:sz="4" w:space="0" w:color="auto"/>
              <w:right w:val="single" w:sz="4" w:space="0" w:color="auto"/>
            </w:tcBorders>
            <w:vAlign w:val="center"/>
          </w:tcPr>
          <w:p w14:paraId="6D61704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125,721.31</w:t>
            </w:r>
          </w:p>
        </w:tc>
        <w:tc>
          <w:tcPr>
            <w:tcW w:w="750" w:type="pct"/>
            <w:tcBorders>
              <w:top w:val="single" w:sz="4" w:space="0" w:color="auto"/>
              <w:left w:val="single" w:sz="4" w:space="0" w:color="auto"/>
              <w:bottom w:val="single" w:sz="4" w:space="0" w:color="auto"/>
              <w:right w:val="single" w:sz="4" w:space="0" w:color="auto"/>
            </w:tcBorders>
            <w:vAlign w:val="center"/>
          </w:tcPr>
          <w:p w14:paraId="4E1E60B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0.05</w:t>
            </w:r>
          </w:p>
        </w:tc>
      </w:tr>
      <w:tr w:rsidR="001D6314" w14:paraId="60A3CD9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E79EEE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16CDF89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301563</w:t>
            </w:r>
          </w:p>
        </w:tc>
        <w:tc>
          <w:tcPr>
            <w:tcW w:w="750" w:type="pct"/>
            <w:tcBorders>
              <w:top w:val="single" w:sz="4" w:space="0" w:color="auto"/>
              <w:left w:val="single" w:sz="4" w:space="0" w:color="auto"/>
              <w:bottom w:val="single" w:sz="4" w:space="0" w:color="auto"/>
              <w:right w:val="single" w:sz="4" w:space="0" w:color="auto"/>
            </w:tcBorders>
            <w:vAlign w:val="center"/>
          </w:tcPr>
          <w:p w14:paraId="76C6A44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r>
              <w:rPr>
                <w:rFonts w:ascii="Times New Roman" w:hAnsi="Times New Roman"/>
                <w:color w:val="000000"/>
                <w:kern w:val="0"/>
                <w:sz w:val="25"/>
                <w:szCs w:val="24"/>
              </w:rPr>
              <w:t>云汉</w:t>
            </w:r>
          </w:p>
        </w:tc>
        <w:tc>
          <w:tcPr>
            <w:tcW w:w="750" w:type="pct"/>
            <w:tcBorders>
              <w:top w:val="single" w:sz="4" w:space="0" w:color="auto"/>
              <w:left w:val="single" w:sz="4" w:space="0" w:color="auto"/>
              <w:bottom w:val="single" w:sz="4" w:space="0" w:color="auto"/>
              <w:right w:val="single" w:sz="4" w:space="0" w:color="auto"/>
            </w:tcBorders>
            <w:vAlign w:val="center"/>
          </w:tcPr>
          <w:p w14:paraId="3D9A09F2"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1,094</w:t>
            </w:r>
          </w:p>
        </w:tc>
        <w:tc>
          <w:tcPr>
            <w:tcW w:w="750" w:type="pct"/>
            <w:tcBorders>
              <w:top w:val="single" w:sz="4" w:space="0" w:color="auto"/>
              <w:left w:val="single" w:sz="4" w:space="0" w:color="auto"/>
              <w:bottom w:val="single" w:sz="4" w:space="0" w:color="auto"/>
              <w:right w:val="single" w:sz="4" w:space="0" w:color="auto"/>
            </w:tcBorders>
            <w:vAlign w:val="center"/>
          </w:tcPr>
          <w:p w14:paraId="597C5903"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124,319.70</w:t>
            </w:r>
          </w:p>
        </w:tc>
        <w:tc>
          <w:tcPr>
            <w:tcW w:w="750" w:type="pct"/>
            <w:tcBorders>
              <w:top w:val="single" w:sz="4" w:space="0" w:color="auto"/>
              <w:left w:val="single" w:sz="4" w:space="0" w:color="auto"/>
              <w:bottom w:val="single" w:sz="4" w:space="0" w:color="auto"/>
              <w:right w:val="single" w:sz="4" w:space="0" w:color="auto"/>
            </w:tcBorders>
            <w:vAlign w:val="center"/>
          </w:tcPr>
          <w:p w14:paraId="126FA89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0.05</w:t>
            </w:r>
          </w:p>
        </w:tc>
      </w:tr>
      <w:tr w:rsidR="001D6314" w14:paraId="4CEA4F1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714370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2D8F374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001221</w:t>
            </w:r>
          </w:p>
        </w:tc>
        <w:tc>
          <w:tcPr>
            <w:tcW w:w="750" w:type="pct"/>
            <w:tcBorders>
              <w:top w:val="single" w:sz="4" w:space="0" w:color="auto"/>
              <w:left w:val="single" w:sz="4" w:space="0" w:color="auto"/>
              <w:bottom w:val="single" w:sz="4" w:space="0" w:color="auto"/>
              <w:right w:val="single" w:sz="4" w:space="0" w:color="auto"/>
            </w:tcBorders>
            <w:vAlign w:val="center"/>
          </w:tcPr>
          <w:p w14:paraId="6A4923D7" w14:textId="77777777" w:rsidR="001D6314" w:rsidRDefault="00130266">
            <w:pPr>
              <w:widowControl/>
              <w:snapToGrid w:val="0"/>
              <w:jc w:val="center"/>
              <w:rPr>
                <w:rFonts w:ascii="宋体" w:hAnsi="宋体"/>
                <w:color w:val="000000"/>
                <w:kern w:val="0"/>
                <w:sz w:val="25"/>
                <w:szCs w:val="24"/>
              </w:rPr>
            </w:pPr>
            <w:proofErr w:type="gramStart"/>
            <w:r>
              <w:rPr>
                <w:rFonts w:ascii="Times New Roman" w:hAnsi="Times New Roman"/>
                <w:color w:val="000000"/>
                <w:kern w:val="0"/>
                <w:sz w:val="25"/>
                <w:szCs w:val="24"/>
              </w:rPr>
              <w:t>悍</w:t>
            </w:r>
            <w:proofErr w:type="gramEnd"/>
            <w:r>
              <w:rPr>
                <w:rFonts w:ascii="Times New Roman" w:hAnsi="Times New Roman"/>
                <w:color w:val="000000"/>
                <w:kern w:val="0"/>
                <w:sz w:val="25"/>
                <w:szCs w:val="24"/>
              </w:rPr>
              <w:t>高集团</w:t>
            </w:r>
          </w:p>
        </w:tc>
        <w:tc>
          <w:tcPr>
            <w:tcW w:w="750" w:type="pct"/>
            <w:tcBorders>
              <w:top w:val="single" w:sz="4" w:space="0" w:color="auto"/>
              <w:left w:val="single" w:sz="4" w:space="0" w:color="auto"/>
              <w:bottom w:val="single" w:sz="4" w:space="0" w:color="auto"/>
              <w:right w:val="single" w:sz="4" w:space="0" w:color="auto"/>
            </w:tcBorders>
            <w:vAlign w:val="center"/>
          </w:tcPr>
          <w:p w14:paraId="12F0E90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1,594</w:t>
            </w:r>
          </w:p>
        </w:tc>
        <w:tc>
          <w:tcPr>
            <w:tcW w:w="750" w:type="pct"/>
            <w:tcBorders>
              <w:top w:val="single" w:sz="4" w:space="0" w:color="auto"/>
              <w:left w:val="single" w:sz="4" w:space="0" w:color="auto"/>
              <w:bottom w:val="single" w:sz="4" w:space="0" w:color="auto"/>
              <w:right w:val="single" w:sz="4" w:space="0" w:color="auto"/>
            </w:tcBorders>
            <w:vAlign w:val="center"/>
          </w:tcPr>
          <w:p w14:paraId="3F28063C"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95,436.44</w:t>
            </w:r>
          </w:p>
        </w:tc>
        <w:tc>
          <w:tcPr>
            <w:tcW w:w="750" w:type="pct"/>
            <w:tcBorders>
              <w:top w:val="single" w:sz="4" w:space="0" w:color="auto"/>
              <w:left w:val="single" w:sz="4" w:space="0" w:color="auto"/>
              <w:bottom w:val="single" w:sz="4" w:space="0" w:color="auto"/>
              <w:right w:val="single" w:sz="4" w:space="0" w:color="auto"/>
            </w:tcBorders>
            <w:vAlign w:val="center"/>
          </w:tcPr>
          <w:p w14:paraId="7D840615"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0.04</w:t>
            </w:r>
          </w:p>
        </w:tc>
      </w:tr>
    </w:tbl>
    <w:p w14:paraId="53E9CC3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p w14:paraId="4B4B910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D0689F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p w14:paraId="6EE8725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6677861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14:paraId="125FFE6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07AF1A9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14:paraId="639C120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56BB9E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8、报告期末按公允价值占基金资产净值比例大小排序的前五名权证投资明细</w:t>
      </w:r>
    </w:p>
    <w:p w14:paraId="40C8CC2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24DF02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14:paraId="3301FFA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p w14:paraId="6EB95F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887A27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本基金投资股指期货的投资政策</w:t>
      </w:r>
    </w:p>
    <w:p w14:paraId="6671950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E6E7AB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10、报告期末本基金投资的国债期货交易情况说明</w:t>
      </w:r>
    </w:p>
    <w:p w14:paraId="5F679F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14:paraId="254C4E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B5AE3E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报告期末本基金投资的国债期货持仓和损益明细</w:t>
      </w:r>
    </w:p>
    <w:p w14:paraId="68E6AC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46533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14:paraId="69753EA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1F0F9B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11、投资组合报告附注</w:t>
      </w:r>
    </w:p>
    <w:p w14:paraId="24A896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14:paraId="72A969B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14:paraId="6848E5B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 基金投资的前十名股票是否超出基金合同规定的备选股票库</w:t>
      </w:r>
    </w:p>
    <w:p w14:paraId="4FA1C1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基金投资的前十名股票中，没有超出基金合同规定的备选股票库之外的股票。</w:t>
      </w:r>
    </w:p>
    <w:p w14:paraId="0B77D73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 其他资产构成</w:t>
      </w:r>
    </w:p>
    <w:tbl>
      <w:tblPr>
        <w:tblW w:w="5000" w:type="pct"/>
        <w:tblCellMar>
          <w:left w:w="0" w:type="dxa"/>
          <w:right w:w="0" w:type="dxa"/>
        </w:tblCellMar>
        <w:tblLook w:val="04A0" w:firstRow="1" w:lastRow="0" w:firstColumn="1" w:lastColumn="0" w:noHBand="0" w:noVBand="1"/>
      </w:tblPr>
      <w:tblGrid>
        <w:gridCol w:w="1544"/>
        <w:gridCol w:w="4634"/>
        <w:gridCol w:w="2472"/>
      </w:tblGrid>
      <w:tr w:rsidR="001D6314" w14:paraId="5E44CFD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0F87CAA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776E7B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57A489B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1D6314" w14:paraId="23AE3B8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0E6E73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0541F17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14:paraId="4DD9480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1DBB9AC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E2E2F8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7CE1986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14:paraId="75A0326E"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446E4D1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12D7EA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0961065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14:paraId="6A3D157D"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23C2F07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690BF7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0A0E8DC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14:paraId="6B61D8B1"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180EAB0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890E4B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39A3439B"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14:paraId="47656634"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1,531,622.32</w:t>
            </w:r>
          </w:p>
        </w:tc>
      </w:tr>
      <w:tr w:rsidR="001D6314" w14:paraId="4066CF5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5C36EE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358355F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14:paraId="0A858C5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70B97ED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32DD4C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50481C9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14:paraId="797DF8AA"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1D6314" w14:paraId="6F5E555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7445D05"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34B14AFB"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14:paraId="10964193"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1,531,622.32</w:t>
            </w:r>
          </w:p>
        </w:tc>
      </w:tr>
    </w:tbl>
    <w:p w14:paraId="10FC68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p w14:paraId="3E4D994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无。</w:t>
      </w:r>
    </w:p>
    <w:p w14:paraId="41FD141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报告期末股票中存在流通受限情况的说明</w:t>
      </w:r>
    </w:p>
    <w:p w14:paraId="24F8F9D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报告期末指数投资前十名股票中存在流通受限情况的说明</w:t>
      </w:r>
    </w:p>
    <w:p w14:paraId="7E95A97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E93E7F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报告期末积极投资前五名股票中存在流通受限情况的说明</w:t>
      </w:r>
    </w:p>
    <w:tbl>
      <w:tblPr>
        <w:tblW w:w="5000" w:type="pct"/>
        <w:tblCellMar>
          <w:left w:w="0" w:type="dxa"/>
          <w:right w:w="0" w:type="dxa"/>
        </w:tblCellMar>
        <w:tblLook w:val="04A0" w:firstRow="1" w:lastRow="0" w:firstColumn="1" w:lastColumn="0" w:noHBand="0" w:noVBand="1"/>
      </w:tblPr>
      <w:tblGrid>
        <w:gridCol w:w="540"/>
        <w:gridCol w:w="1622"/>
        <w:gridCol w:w="1622"/>
        <w:gridCol w:w="1622"/>
        <w:gridCol w:w="1622"/>
        <w:gridCol w:w="1622"/>
      </w:tblGrid>
      <w:tr w:rsidR="001D6314" w14:paraId="4674437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B36DA8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14:paraId="226B3BA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vAlign w:val="center"/>
          </w:tcPr>
          <w:p w14:paraId="06DD1745"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vAlign w:val="center"/>
          </w:tcPr>
          <w:p w14:paraId="6AD2671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流通受限部分的公允价值（元）</w:t>
            </w:r>
          </w:p>
        </w:tc>
        <w:tc>
          <w:tcPr>
            <w:tcW w:w="750" w:type="pct"/>
            <w:tcBorders>
              <w:top w:val="single" w:sz="4" w:space="0" w:color="auto"/>
              <w:left w:val="single" w:sz="4" w:space="0" w:color="auto"/>
              <w:bottom w:val="single" w:sz="4" w:space="0" w:color="auto"/>
              <w:right w:val="single" w:sz="4" w:space="0" w:color="auto"/>
            </w:tcBorders>
            <w:vAlign w:val="center"/>
          </w:tcPr>
          <w:p w14:paraId="24CAB47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0F7995CB"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流通受限情况说明</w:t>
            </w:r>
          </w:p>
        </w:tc>
      </w:tr>
      <w:tr w:rsidR="001D6314" w14:paraId="5A6D14C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54C36D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07DFD7E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301656</w:t>
            </w:r>
          </w:p>
        </w:tc>
        <w:tc>
          <w:tcPr>
            <w:tcW w:w="750" w:type="pct"/>
            <w:tcBorders>
              <w:top w:val="single" w:sz="4" w:space="0" w:color="auto"/>
              <w:left w:val="single" w:sz="4" w:space="0" w:color="auto"/>
              <w:bottom w:val="single" w:sz="4" w:space="0" w:color="auto"/>
              <w:right w:val="single" w:sz="4" w:space="0" w:color="auto"/>
            </w:tcBorders>
            <w:vAlign w:val="center"/>
          </w:tcPr>
          <w:p w14:paraId="316B7D6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联合动</w:t>
            </w:r>
          </w:p>
        </w:tc>
        <w:tc>
          <w:tcPr>
            <w:tcW w:w="750" w:type="pct"/>
            <w:tcBorders>
              <w:top w:val="single" w:sz="4" w:space="0" w:color="auto"/>
              <w:left w:val="single" w:sz="4" w:space="0" w:color="auto"/>
              <w:bottom w:val="single" w:sz="4" w:space="0" w:color="auto"/>
              <w:right w:val="single" w:sz="4" w:space="0" w:color="auto"/>
            </w:tcBorders>
            <w:vAlign w:val="center"/>
          </w:tcPr>
          <w:p w14:paraId="03B7D91B"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36,691.20</w:t>
            </w:r>
          </w:p>
        </w:tc>
        <w:tc>
          <w:tcPr>
            <w:tcW w:w="750" w:type="pct"/>
            <w:tcBorders>
              <w:top w:val="single" w:sz="4" w:space="0" w:color="auto"/>
              <w:left w:val="single" w:sz="4" w:space="0" w:color="auto"/>
              <w:bottom w:val="single" w:sz="4" w:space="0" w:color="auto"/>
              <w:right w:val="single" w:sz="4" w:space="0" w:color="auto"/>
            </w:tcBorders>
            <w:vAlign w:val="center"/>
          </w:tcPr>
          <w:p w14:paraId="3F1082C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sz="4" w:space="0" w:color="auto"/>
              <w:left w:val="single" w:sz="4" w:space="0" w:color="auto"/>
              <w:bottom w:val="single" w:sz="4" w:space="0" w:color="auto"/>
              <w:right w:val="single" w:sz="4" w:space="0" w:color="auto"/>
            </w:tcBorders>
            <w:vAlign w:val="center"/>
          </w:tcPr>
          <w:p w14:paraId="7774E47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限售股</w:t>
            </w:r>
          </w:p>
        </w:tc>
      </w:tr>
      <w:tr w:rsidR="001D6314" w14:paraId="5E5CCDA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5C2D9A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3F24C0D2"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301563</w:t>
            </w:r>
          </w:p>
        </w:tc>
        <w:tc>
          <w:tcPr>
            <w:tcW w:w="750" w:type="pct"/>
            <w:tcBorders>
              <w:top w:val="single" w:sz="4" w:space="0" w:color="auto"/>
              <w:left w:val="single" w:sz="4" w:space="0" w:color="auto"/>
              <w:bottom w:val="single" w:sz="4" w:space="0" w:color="auto"/>
              <w:right w:val="single" w:sz="4" w:space="0" w:color="auto"/>
            </w:tcBorders>
            <w:vAlign w:val="center"/>
          </w:tcPr>
          <w:p w14:paraId="00061A60"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r>
              <w:rPr>
                <w:rFonts w:ascii="Times New Roman" w:hAnsi="Times New Roman"/>
                <w:color w:val="000000"/>
                <w:kern w:val="0"/>
                <w:sz w:val="25"/>
                <w:szCs w:val="24"/>
              </w:rPr>
              <w:t>云汉</w:t>
            </w:r>
          </w:p>
        </w:tc>
        <w:tc>
          <w:tcPr>
            <w:tcW w:w="750" w:type="pct"/>
            <w:tcBorders>
              <w:top w:val="single" w:sz="4" w:space="0" w:color="auto"/>
              <w:left w:val="single" w:sz="4" w:space="0" w:color="auto"/>
              <w:bottom w:val="single" w:sz="4" w:space="0" w:color="auto"/>
              <w:right w:val="single" w:sz="4" w:space="0" w:color="auto"/>
            </w:tcBorders>
            <w:vAlign w:val="center"/>
          </w:tcPr>
          <w:p w14:paraId="052E7F70"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9,388.50</w:t>
            </w:r>
          </w:p>
        </w:tc>
        <w:tc>
          <w:tcPr>
            <w:tcW w:w="750" w:type="pct"/>
            <w:tcBorders>
              <w:top w:val="single" w:sz="4" w:space="0" w:color="auto"/>
              <w:left w:val="single" w:sz="4" w:space="0" w:color="auto"/>
              <w:bottom w:val="single" w:sz="4" w:space="0" w:color="auto"/>
              <w:right w:val="single" w:sz="4" w:space="0" w:color="auto"/>
            </w:tcBorders>
            <w:vAlign w:val="center"/>
          </w:tcPr>
          <w:p w14:paraId="63DBA5C2"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c>
          <w:tcPr>
            <w:tcW w:w="750" w:type="pct"/>
            <w:tcBorders>
              <w:top w:val="single" w:sz="4" w:space="0" w:color="auto"/>
              <w:left w:val="single" w:sz="4" w:space="0" w:color="auto"/>
              <w:bottom w:val="single" w:sz="4" w:space="0" w:color="auto"/>
              <w:right w:val="single" w:sz="4" w:space="0" w:color="auto"/>
            </w:tcBorders>
            <w:vAlign w:val="center"/>
          </w:tcPr>
          <w:p w14:paraId="7C72E23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限售股</w:t>
            </w:r>
          </w:p>
        </w:tc>
      </w:tr>
      <w:tr w:rsidR="001D6314" w14:paraId="564073C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949E405"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12BD6CA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301584</w:t>
            </w:r>
          </w:p>
        </w:tc>
        <w:tc>
          <w:tcPr>
            <w:tcW w:w="750" w:type="pct"/>
            <w:tcBorders>
              <w:top w:val="single" w:sz="4" w:space="0" w:color="auto"/>
              <w:left w:val="single" w:sz="4" w:space="0" w:color="auto"/>
              <w:bottom w:val="single" w:sz="4" w:space="0" w:color="auto"/>
              <w:right w:val="single" w:sz="4" w:space="0" w:color="auto"/>
            </w:tcBorders>
            <w:vAlign w:val="center"/>
          </w:tcPr>
          <w:p w14:paraId="07FF396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roofErr w:type="gramStart"/>
            <w:r>
              <w:rPr>
                <w:rFonts w:ascii="Times New Roman" w:hAnsi="Times New Roman"/>
                <w:color w:val="000000"/>
                <w:kern w:val="0"/>
                <w:sz w:val="25"/>
                <w:szCs w:val="24"/>
              </w:rPr>
              <w:t>建发致</w:t>
            </w:r>
            <w:proofErr w:type="gramEnd"/>
          </w:p>
        </w:tc>
        <w:tc>
          <w:tcPr>
            <w:tcW w:w="750" w:type="pct"/>
            <w:tcBorders>
              <w:top w:val="single" w:sz="4" w:space="0" w:color="auto"/>
              <w:left w:val="single" w:sz="4" w:space="0" w:color="auto"/>
              <w:bottom w:val="single" w:sz="4" w:space="0" w:color="auto"/>
              <w:right w:val="single" w:sz="4" w:space="0" w:color="auto"/>
            </w:tcBorders>
            <w:vAlign w:val="center"/>
          </w:tcPr>
          <w:p w14:paraId="65494D33"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9,239.49</w:t>
            </w:r>
          </w:p>
        </w:tc>
        <w:tc>
          <w:tcPr>
            <w:tcW w:w="750" w:type="pct"/>
            <w:tcBorders>
              <w:top w:val="single" w:sz="4" w:space="0" w:color="auto"/>
              <w:left w:val="single" w:sz="4" w:space="0" w:color="auto"/>
              <w:bottom w:val="single" w:sz="4" w:space="0" w:color="auto"/>
              <w:right w:val="single" w:sz="4" w:space="0" w:color="auto"/>
            </w:tcBorders>
            <w:vAlign w:val="center"/>
          </w:tcPr>
          <w:p w14:paraId="48238D3F"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c>
          <w:tcPr>
            <w:tcW w:w="750" w:type="pct"/>
            <w:tcBorders>
              <w:top w:val="single" w:sz="4" w:space="0" w:color="auto"/>
              <w:left w:val="single" w:sz="4" w:space="0" w:color="auto"/>
              <w:bottom w:val="single" w:sz="4" w:space="0" w:color="auto"/>
              <w:right w:val="single" w:sz="4" w:space="0" w:color="auto"/>
            </w:tcBorders>
            <w:vAlign w:val="center"/>
          </w:tcPr>
          <w:p w14:paraId="16EE7D0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限售股</w:t>
            </w:r>
          </w:p>
        </w:tc>
      </w:tr>
      <w:tr w:rsidR="001D6314" w14:paraId="6B2A976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1A57BA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44853C30"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001221</w:t>
            </w:r>
          </w:p>
        </w:tc>
        <w:tc>
          <w:tcPr>
            <w:tcW w:w="750" w:type="pct"/>
            <w:tcBorders>
              <w:top w:val="single" w:sz="4" w:space="0" w:color="auto"/>
              <w:left w:val="single" w:sz="4" w:space="0" w:color="auto"/>
              <w:bottom w:val="single" w:sz="4" w:space="0" w:color="auto"/>
              <w:right w:val="single" w:sz="4" w:space="0" w:color="auto"/>
            </w:tcBorders>
            <w:vAlign w:val="center"/>
          </w:tcPr>
          <w:p w14:paraId="4662CFB6" w14:textId="77777777" w:rsidR="001D6314" w:rsidRDefault="00130266">
            <w:pPr>
              <w:widowControl/>
              <w:snapToGrid w:val="0"/>
              <w:jc w:val="center"/>
              <w:rPr>
                <w:rFonts w:ascii="宋体" w:hAnsi="宋体"/>
                <w:color w:val="000000"/>
                <w:kern w:val="0"/>
                <w:sz w:val="25"/>
                <w:szCs w:val="24"/>
              </w:rPr>
            </w:pPr>
            <w:proofErr w:type="gramStart"/>
            <w:r>
              <w:rPr>
                <w:rFonts w:ascii="Times New Roman" w:hAnsi="Times New Roman"/>
                <w:color w:val="000000"/>
                <w:kern w:val="0"/>
                <w:sz w:val="25"/>
                <w:szCs w:val="24"/>
              </w:rPr>
              <w:t>悍</w:t>
            </w:r>
            <w:proofErr w:type="gramEnd"/>
            <w:r>
              <w:rPr>
                <w:rFonts w:ascii="Times New Roman" w:hAnsi="Times New Roman"/>
                <w:color w:val="000000"/>
                <w:kern w:val="0"/>
                <w:sz w:val="25"/>
                <w:szCs w:val="24"/>
              </w:rPr>
              <w:t>高集团</w:t>
            </w:r>
          </w:p>
        </w:tc>
        <w:tc>
          <w:tcPr>
            <w:tcW w:w="750" w:type="pct"/>
            <w:tcBorders>
              <w:top w:val="single" w:sz="4" w:space="0" w:color="auto"/>
              <w:left w:val="single" w:sz="4" w:space="0" w:color="auto"/>
              <w:bottom w:val="single" w:sz="4" w:space="0" w:color="auto"/>
              <w:right w:val="single" w:sz="4" w:space="0" w:color="auto"/>
            </w:tcBorders>
            <w:vAlign w:val="center"/>
          </w:tcPr>
          <w:p w14:paraId="57C748FD"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7,016.00</w:t>
            </w:r>
          </w:p>
        </w:tc>
        <w:tc>
          <w:tcPr>
            <w:tcW w:w="750" w:type="pct"/>
            <w:tcBorders>
              <w:top w:val="single" w:sz="4" w:space="0" w:color="auto"/>
              <w:left w:val="single" w:sz="4" w:space="0" w:color="auto"/>
              <w:bottom w:val="single" w:sz="4" w:space="0" w:color="auto"/>
              <w:right w:val="single" w:sz="4" w:space="0" w:color="auto"/>
            </w:tcBorders>
            <w:vAlign w:val="center"/>
          </w:tcPr>
          <w:p w14:paraId="134803E1" w14:textId="77777777" w:rsidR="001D6314" w:rsidRDefault="00130266">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c>
          <w:tcPr>
            <w:tcW w:w="750" w:type="pct"/>
            <w:tcBorders>
              <w:top w:val="single" w:sz="4" w:space="0" w:color="auto"/>
              <w:left w:val="single" w:sz="4" w:space="0" w:color="auto"/>
              <w:bottom w:val="single" w:sz="4" w:space="0" w:color="auto"/>
              <w:right w:val="single" w:sz="4" w:space="0" w:color="auto"/>
            </w:tcBorders>
            <w:vAlign w:val="center"/>
          </w:tcPr>
          <w:p w14:paraId="4CC98CC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限售股</w:t>
            </w:r>
          </w:p>
        </w:tc>
      </w:tr>
    </w:tbl>
    <w:p w14:paraId="5BFFB7A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14:paraId="7C34EB6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14:paraId="15381D5F"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4CB93AA" w14:textId="77777777" w:rsidR="001D6314" w:rsidRDefault="00130266">
      <w:pPr>
        <w:pStyle w:val="1"/>
        <w:snapToGrid w:val="0"/>
        <w:spacing w:beforeLines="0" w:before="240" w:after="240"/>
        <w:rPr>
          <w:rFonts w:ascii="宋体" w:hAnsi="宋体"/>
          <w:szCs w:val="30"/>
        </w:rPr>
      </w:pPr>
      <w:bookmarkStart w:id="14" w:name="_Toc216872006"/>
      <w:r>
        <w:rPr>
          <w:rFonts w:ascii="Times New Roman" w:hAnsi="Times New Roman"/>
          <w:sz w:val="30"/>
        </w:rPr>
        <w:lastRenderedPageBreak/>
        <w:t>十一、基金的业绩</w:t>
      </w:r>
      <w:bookmarkEnd w:id="14"/>
    </w:p>
    <w:p w14:paraId="30ECA58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基金业绩截止日为2025年09月30日，所载财务数据未经审计师审计。</w:t>
      </w:r>
    </w:p>
    <w:p w14:paraId="0197959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2F52C8B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1、本报告</w:t>
      </w:r>
      <w:proofErr w:type="gramStart"/>
      <w:r>
        <w:rPr>
          <w:rFonts w:ascii="宋体" w:hAnsi="宋体"/>
          <w:sz w:val="24"/>
        </w:rPr>
        <w:t>期基金</w:t>
      </w:r>
      <w:proofErr w:type="gramEnd"/>
      <w:r>
        <w:rPr>
          <w:rFonts w:ascii="宋体" w:hAnsi="宋体"/>
          <w:sz w:val="24"/>
        </w:rPr>
        <w:t>份额净值增长率及其与同期业绩比较基准收益率的比较</w:t>
      </w:r>
    </w:p>
    <w:p w14:paraId="15EB5F9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（1）交银中证红利低波动100指数A：</w:t>
      </w:r>
    </w:p>
    <w:tbl>
      <w:tblPr>
        <w:tblW w:w="5000" w:type="pct"/>
        <w:tblCellMar>
          <w:left w:w="0" w:type="dxa"/>
          <w:right w:w="0" w:type="dxa"/>
        </w:tblCellMar>
        <w:tblLook w:val="04A0" w:firstRow="1" w:lastRow="0" w:firstColumn="1" w:lastColumn="0" w:noHBand="0" w:noVBand="1"/>
      </w:tblPr>
      <w:tblGrid>
        <w:gridCol w:w="1297"/>
        <w:gridCol w:w="1297"/>
        <w:gridCol w:w="1297"/>
        <w:gridCol w:w="1298"/>
        <w:gridCol w:w="1298"/>
        <w:gridCol w:w="1298"/>
        <w:gridCol w:w="865"/>
      </w:tblGrid>
      <w:tr w:rsidR="001D6314" w14:paraId="4E871E9B"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1BFD96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14:paraId="3804DC1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14:paraId="2D7C240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14:paraId="0E7E11A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157824F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14:paraId="3D2EBD6B"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w:t>
            </w:r>
            <w:r>
              <w:rPr>
                <w:rFonts w:ascii="Times New Roman" w:hAnsi="Times New Roman"/>
                <w:color w:val="000000"/>
                <w:kern w:val="0"/>
                <w:sz w:val="25"/>
                <w:szCs w:val="24"/>
              </w:rPr>
              <w:t>－</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452599B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w:t>
            </w:r>
            <w:r>
              <w:rPr>
                <w:rFonts w:ascii="Times New Roman" w:hAnsi="Times New Roman"/>
                <w:color w:val="000000"/>
                <w:kern w:val="0"/>
                <w:sz w:val="25"/>
                <w:szCs w:val="24"/>
              </w:rPr>
              <w:t>－</w:t>
            </w:r>
            <w:r>
              <w:rPr>
                <w:rFonts w:ascii="Times New Roman" w:hAnsi="Times New Roman"/>
                <w:color w:val="000000"/>
                <w:kern w:val="0"/>
                <w:sz w:val="25"/>
                <w:szCs w:val="24"/>
              </w:rPr>
              <w:t>④</w:t>
            </w:r>
          </w:p>
        </w:tc>
      </w:tr>
      <w:tr w:rsidR="001D6314" w14:paraId="40BA71D1"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30ADF65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14:paraId="1CCFBC1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2.29%</w:t>
            </w:r>
          </w:p>
        </w:tc>
        <w:tc>
          <w:tcPr>
            <w:tcW w:w="750" w:type="pct"/>
            <w:tcBorders>
              <w:top w:val="single" w:sz="4" w:space="0" w:color="auto"/>
              <w:left w:val="single" w:sz="4" w:space="0" w:color="auto"/>
              <w:bottom w:val="single" w:sz="4" w:space="0" w:color="auto"/>
              <w:right w:val="single" w:sz="4" w:space="0" w:color="auto"/>
            </w:tcBorders>
            <w:vAlign w:val="center"/>
          </w:tcPr>
          <w:p w14:paraId="686EEA4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0.58%</w:t>
            </w:r>
          </w:p>
        </w:tc>
        <w:tc>
          <w:tcPr>
            <w:tcW w:w="750" w:type="pct"/>
            <w:tcBorders>
              <w:top w:val="single" w:sz="4" w:space="0" w:color="auto"/>
              <w:left w:val="single" w:sz="4" w:space="0" w:color="auto"/>
              <w:bottom w:val="single" w:sz="4" w:space="0" w:color="auto"/>
              <w:right w:val="single" w:sz="4" w:space="0" w:color="auto"/>
            </w:tcBorders>
            <w:vAlign w:val="center"/>
          </w:tcPr>
          <w:p w14:paraId="021ED40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1.02%</w:t>
            </w:r>
          </w:p>
        </w:tc>
        <w:tc>
          <w:tcPr>
            <w:tcW w:w="750" w:type="pct"/>
            <w:tcBorders>
              <w:top w:val="single" w:sz="4" w:space="0" w:color="auto"/>
              <w:left w:val="single" w:sz="4" w:space="0" w:color="auto"/>
              <w:bottom w:val="single" w:sz="4" w:space="0" w:color="auto"/>
              <w:right w:val="single" w:sz="4" w:space="0" w:color="auto"/>
            </w:tcBorders>
            <w:vAlign w:val="center"/>
          </w:tcPr>
          <w:p w14:paraId="73B7E9E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0.59%</w:t>
            </w:r>
          </w:p>
        </w:tc>
        <w:tc>
          <w:tcPr>
            <w:tcW w:w="750" w:type="pct"/>
            <w:tcBorders>
              <w:top w:val="single" w:sz="4" w:space="0" w:color="auto"/>
              <w:left w:val="single" w:sz="4" w:space="0" w:color="auto"/>
              <w:bottom w:val="single" w:sz="4" w:space="0" w:color="auto"/>
              <w:right w:val="single" w:sz="4" w:space="0" w:color="auto"/>
            </w:tcBorders>
            <w:vAlign w:val="center"/>
          </w:tcPr>
          <w:p w14:paraId="71951DF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1.27%</w:t>
            </w:r>
          </w:p>
        </w:tc>
        <w:tc>
          <w:tcPr>
            <w:tcW w:w="750" w:type="pct"/>
            <w:tcBorders>
              <w:top w:val="single" w:sz="4" w:space="0" w:color="auto"/>
              <w:left w:val="single" w:sz="4" w:space="0" w:color="auto"/>
              <w:bottom w:val="single" w:sz="4" w:space="0" w:color="auto"/>
              <w:right w:val="single" w:sz="4" w:space="0" w:color="auto"/>
            </w:tcBorders>
            <w:vAlign w:val="center"/>
          </w:tcPr>
          <w:p w14:paraId="00AB251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1D6314" w14:paraId="59D7BFE2"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4BAD3AF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2025</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14:paraId="4FBAF09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14:paraId="51AC9DCE"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0.81%</w:t>
            </w:r>
          </w:p>
        </w:tc>
        <w:tc>
          <w:tcPr>
            <w:tcW w:w="750" w:type="pct"/>
            <w:tcBorders>
              <w:top w:val="single" w:sz="4" w:space="0" w:color="auto"/>
              <w:left w:val="single" w:sz="4" w:space="0" w:color="auto"/>
              <w:bottom w:val="single" w:sz="4" w:space="0" w:color="auto"/>
              <w:right w:val="single" w:sz="4" w:space="0" w:color="auto"/>
            </w:tcBorders>
            <w:vAlign w:val="center"/>
          </w:tcPr>
          <w:p w14:paraId="662ED69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-2.54%</w:t>
            </w:r>
          </w:p>
        </w:tc>
        <w:tc>
          <w:tcPr>
            <w:tcW w:w="750" w:type="pct"/>
            <w:tcBorders>
              <w:top w:val="single" w:sz="4" w:space="0" w:color="auto"/>
              <w:left w:val="single" w:sz="4" w:space="0" w:color="auto"/>
              <w:bottom w:val="single" w:sz="4" w:space="0" w:color="auto"/>
              <w:right w:val="single" w:sz="4" w:space="0" w:color="auto"/>
            </w:tcBorders>
            <w:vAlign w:val="center"/>
          </w:tcPr>
          <w:p w14:paraId="2DEAD77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0.82%</w:t>
            </w:r>
          </w:p>
        </w:tc>
        <w:tc>
          <w:tcPr>
            <w:tcW w:w="750" w:type="pct"/>
            <w:tcBorders>
              <w:top w:val="single" w:sz="4" w:space="0" w:color="auto"/>
              <w:left w:val="single" w:sz="4" w:space="0" w:color="auto"/>
              <w:bottom w:val="single" w:sz="4" w:space="0" w:color="auto"/>
              <w:right w:val="single" w:sz="4" w:space="0" w:color="auto"/>
            </w:tcBorders>
            <w:vAlign w:val="center"/>
          </w:tcPr>
          <w:p w14:paraId="2557BE3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2.49%</w:t>
            </w:r>
          </w:p>
        </w:tc>
        <w:tc>
          <w:tcPr>
            <w:tcW w:w="750" w:type="pct"/>
            <w:tcBorders>
              <w:top w:val="single" w:sz="4" w:space="0" w:color="auto"/>
              <w:left w:val="single" w:sz="4" w:space="0" w:color="auto"/>
              <w:bottom w:val="single" w:sz="4" w:space="0" w:color="auto"/>
              <w:right w:val="single" w:sz="4" w:space="0" w:color="auto"/>
            </w:tcBorders>
            <w:vAlign w:val="center"/>
          </w:tcPr>
          <w:p w14:paraId="3228948D"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1D6314" w14:paraId="1EEE49B3"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44E9391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2024</w:t>
            </w:r>
            <w:r>
              <w:rPr>
                <w:rFonts w:ascii="Times New Roman" w:hAnsi="Times New Roman"/>
                <w:color w:val="000000"/>
                <w:kern w:val="0"/>
                <w:sz w:val="25"/>
                <w:szCs w:val="24"/>
              </w:rPr>
              <w:t>年度（自基金合同生效起至</w:t>
            </w:r>
            <w:r>
              <w:rPr>
                <w:rFonts w:ascii="Times New Roman" w:hAnsi="Times New Roman"/>
                <w:color w:val="000000"/>
                <w:kern w:val="0"/>
                <w:sz w:val="25"/>
                <w:szCs w:val="24"/>
              </w:rPr>
              <w:t>2024</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423EED3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10.31%</w:t>
            </w:r>
          </w:p>
        </w:tc>
        <w:tc>
          <w:tcPr>
            <w:tcW w:w="750" w:type="pct"/>
            <w:tcBorders>
              <w:top w:val="single" w:sz="4" w:space="0" w:color="auto"/>
              <w:left w:val="single" w:sz="4" w:space="0" w:color="auto"/>
              <w:bottom w:val="single" w:sz="4" w:space="0" w:color="auto"/>
              <w:right w:val="single" w:sz="4" w:space="0" w:color="auto"/>
            </w:tcBorders>
            <w:vAlign w:val="center"/>
          </w:tcPr>
          <w:p w14:paraId="031FE92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1.13%</w:t>
            </w:r>
          </w:p>
        </w:tc>
        <w:tc>
          <w:tcPr>
            <w:tcW w:w="750" w:type="pct"/>
            <w:tcBorders>
              <w:top w:val="single" w:sz="4" w:space="0" w:color="auto"/>
              <w:left w:val="single" w:sz="4" w:space="0" w:color="auto"/>
              <w:bottom w:val="single" w:sz="4" w:space="0" w:color="auto"/>
              <w:right w:val="single" w:sz="4" w:space="0" w:color="auto"/>
            </w:tcBorders>
            <w:vAlign w:val="center"/>
          </w:tcPr>
          <w:p w14:paraId="7A3FFBD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8.02%</w:t>
            </w:r>
          </w:p>
        </w:tc>
        <w:tc>
          <w:tcPr>
            <w:tcW w:w="750" w:type="pct"/>
            <w:tcBorders>
              <w:top w:val="single" w:sz="4" w:space="0" w:color="auto"/>
              <w:left w:val="single" w:sz="4" w:space="0" w:color="auto"/>
              <w:bottom w:val="single" w:sz="4" w:space="0" w:color="auto"/>
              <w:right w:val="single" w:sz="4" w:space="0" w:color="auto"/>
            </w:tcBorders>
            <w:vAlign w:val="center"/>
          </w:tcPr>
          <w:p w14:paraId="03AC76CB"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1.16%</w:t>
            </w:r>
          </w:p>
        </w:tc>
        <w:tc>
          <w:tcPr>
            <w:tcW w:w="750" w:type="pct"/>
            <w:tcBorders>
              <w:top w:val="single" w:sz="4" w:space="0" w:color="auto"/>
              <w:left w:val="single" w:sz="4" w:space="0" w:color="auto"/>
              <w:bottom w:val="single" w:sz="4" w:space="0" w:color="auto"/>
              <w:right w:val="single" w:sz="4" w:space="0" w:color="auto"/>
            </w:tcBorders>
            <w:vAlign w:val="center"/>
          </w:tcPr>
          <w:p w14:paraId="0A56098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2.29%</w:t>
            </w:r>
          </w:p>
        </w:tc>
        <w:tc>
          <w:tcPr>
            <w:tcW w:w="750" w:type="pct"/>
            <w:tcBorders>
              <w:top w:val="single" w:sz="4" w:space="0" w:color="auto"/>
              <w:left w:val="single" w:sz="4" w:space="0" w:color="auto"/>
              <w:bottom w:val="single" w:sz="4" w:space="0" w:color="auto"/>
              <w:right w:val="single" w:sz="4" w:space="0" w:color="auto"/>
            </w:tcBorders>
            <w:vAlign w:val="center"/>
          </w:tcPr>
          <w:p w14:paraId="21B7B02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bl>
    <w:p w14:paraId="368E16F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（2）交银中证红利低波动100指数C：</w:t>
      </w:r>
    </w:p>
    <w:tbl>
      <w:tblPr>
        <w:tblW w:w="5000" w:type="pct"/>
        <w:tblCellMar>
          <w:left w:w="0" w:type="dxa"/>
          <w:right w:w="0" w:type="dxa"/>
        </w:tblCellMar>
        <w:tblLook w:val="04A0" w:firstRow="1" w:lastRow="0" w:firstColumn="1" w:lastColumn="0" w:noHBand="0" w:noVBand="1"/>
      </w:tblPr>
      <w:tblGrid>
        <w:gridCol w:w="1297"/>
        <w:gridCol w:w="1297"/>
        <w:gridCol w:w="1297"/>
        <w:gridCol w:w="1298"/>
        <w:gridCol w:w="1298"/>
        <w:gridCol w:w="1298"/>
        <w:gridCol w:w="865"/>
      </w:tblGrid>
      <w:tr w:rsidR="001D6314" w14:paraId="45732F9F"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413F1C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14:paraId="0C2E1B6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14:paraId="5FDF2C2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14:paraId="0FAD517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071B541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14:paraId="3E76CF7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w:t>
            </w:r>
            <w:r>
              <w:rPr>
                <w:rFonts w:ascii="Times New Roman" w:hAnsi="Times New Roman"/>
                <w:color w:val="000000"/>
                <w:kern w:val="0"/>
                <w:sz w:val="25"/>
                <w:szCs w:val="24"/>
              </w:rPr>
              <w:t>－</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6F02473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w:t>
            </w:r>
            <w:r>
              <w:rPr>
                <w:rFonts w:ascii="Times New Roman" w:hAnsi="Times New Roman"/>
                <w:color w:val="000000"/>
                <w:kern w:val="0"/>
                <w:sz w:val="25"/>
                <w:szCs w:val="24"/>
              </w:rPr>
              <w:t>－</w:t>
            </w:r>
            <w:r>
              <w:rPr>
                <w:rFonts w:ascii="Times New Roman" w:hAnsi="Times New Roman"/>
                <w:color w:val="000000"/>
                <w:kern w:val="0"/>
                <w:sz w:val="25"/>
                <w:szCs w:val="24"/>
              </w:rPr>
              <w:t>④</w:t>
            </w:r>
          </w:p>
        </w:tc>
      </w:tr>
      <w:tr w:rsidR="001D6314" w14:paraId="7707D77C"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6EF6BF6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14:paraId="0B19A7B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2.22%</w:t>
            </w:r>
          </w:p>
        </w:tc>
        <w:tc>
          <w:tcPr>
            <w:tcW w:w="750" w:type="pct"/>
            <w:tcBorders>
              <w:top w:val="single" w:sz="4" w:space="0" w:color="auto"/>
              <w:left w:val="single" w:sz="4" w:space="0" w:color="auto"/>
              <w:bottom w:val="single" w:sz="4" w:space="0" w:color="auto"/>
              <w:right w:val="single" w:sz="4" w:space="0" w:color="auto"/>
            </w:tcBorders>
            <w:vAlign w:val="center"/>
          </w:tcPr>
          <w:p w14:paraId="7242D9A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0.58%</w:t>
            </w:r>
          </w:p>
        </w:tc>
        <w:tc>
          <w:tcPr>
            <w:tcW w:w="750" w:type="pct"/>
            <w:tcBorders>
              <w:top w:val="single" w:sz="4" w:space="0" w:color="auto"/>
              <w:left w:val="single" w:sz="4" w:space="0" w:color="auto"/>
              <w:bottom w:val="single" w:sz="4" w:space="0" w:color="auto"/>
              <w:right w:val="single" w:sz="4" w:space="0" w:color="auto"/>
            </w:tcBorders>
            <w:vAlign w:val="center"/>
          </w:tcPr>
          <w:p w14:paraId="09A60B1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1.02%</w:t>
            </w:r>
          </w:p>
        </w:tc>
        <w:tc>
          <w:tcPr>
            <w:tcW w:w="750" w:type="pct"/>
            <w:tcBorders>
              <w:top w:val="single" w:sz="4" w:space="0" w:color="auto"/>
              <w:left w:val="single" w:sz="4" w:space="0" w:color="auto"/>
              <w:bottom w:val="single" w:sz="4" w:space="0" w:color="auto"/>
              <w:right w:val="single" w:sz="4" w:space="0" w:color="auto"/>
            </w:tcBorders>
            <w:vAlign w:val="center"/>
          </w:tcPr>
          <w:p w14:paraId="4204E07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0.59%</w:t>
            </w:r>
          </w:p>
        </w:tc>
        <w:tc>
          <w:tcPr>
            <w:tcW w:w="750" w:type="pct"/>
            <w:tcBorders>
              <w:top w:val="single" w:sz="4" w:space="0" w:color="auto"/>
              <w:left w:val="single" w:sz="4" w:space="0" w:color="auto"/>
              <w:bottom w:val="single" w:sz="4" w:space="0" w:color="auto"/>
              <w:right w:val="single" w:sz="4" w:space="0" w:color="auto"/>
            </w:tcBorders>
            <w:vAlign w:val="center"/>
          </w:tcPr>
          <w:p w14:paraId="50238D3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1.20%</w:t>
            </w:r>
          </w:p>
        </w:tc>
        <w:tc>
          <w:tcPr>
            <w:tcW w:w="750" w:type="pct"/>
            <w:tcBorders>
              <w:top w:val="single" w:sz="4" w:space="0" w:color="auto"/>
              <w:left w:val="single" w:sz="4" w:space="0" w:color="auto"/>
              <w:bottom w:val="single" w:sz="4" w:space="0" w:color="auto"/>
              <w:right w:val="single" w:sz="4" w:space="0" w:color="auto"/>
            </w:tcBorders>
            <w:vAlign w:val="center"/>
          </w:tcPr>
          <w:p w14:paraId="7EED775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1D6314" w14:paraId="55C90E03"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2E2A79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2025</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14:paraId="4C42E80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-0.17%</w:t>
            </w:r>
          </w:p>
        </w:tc>
        <w:tc>
          <w:tcPr>
            <w:tcW w:w="750" w:type="pct"/>
            <w:tcBorders>
              <w:top w:val="single" w:sz="4" w:space="0" w:color="auto"/>
              <w:left w:val="single" w:sz="4" w:space="0" w:color="auto"/>
              <w:bottom w:val="single" w:sz="4" w:space="0" w:color="auto"/>
              <w:right w:val="single" w:sz="4" w:space="0" w:color="auto"/>
            </w:tcBorders>
            <w:vAlign w:val="center"/>
          </w:tcPr>
          <w:p w14:paraId="3DCB13AE"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0.81%</w:t>
            </w:r>
          </w:p>
        </w:tc>
        <w:tc>
          <w:tcPr>
            <w:tcW w:w="750" w:type="pct"/>
            <w:tcBorders>
              <w:top w:val="single" w:sz="4" w:space="0" w:color="auto"/>
              <w:left w:val="single" w:sz="4" w:space="0" w:color="auto"/>
              <w:bottom w:val="single" w:sz="4" w:space="0" w:color="auto"/>
              <w:right w:val="single" w:sz="4" w:space="0" w:color="auto"/>
            </w:tcBorders>
            <w:vAlign w:val="center"/>
          </w:tcPr>
          <w:p w14:paraId="32BED63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-2.54%</w:t>
            </w:r>
          </w:p>
        </w:tc>
        <w:tc>
          <w:tcPr>
            <w:tcW w:w="750" w:type="pct"/>
            <w:tcBorders>
              <w:top w:val="single" w:sz="4" w:space="0" w:color="auto"/>
              <w:left w:val="single" w:sz="4" w:space="0" w:color="auto"/>
              <w:bottom w:val="single" w:sz="4" w:space="0" w:color="auto"/>
              <w:right w:val="single" w:sz="4" w:space="0" w:color="auto"/>
            </w:tcBorders>
            <w:vAlign w:val="center"/>
          </w:tcPr>
          <w:p w14:paraId="5E2D24A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0.82%</w:t>
            </w:r>
          </w:p>
        </w:tc>
        <w:tc>
          <w:tcPr>
            <w:tcW w:w="750" w:type="pct"/>
            <w:tcBorders>
              <w:top w:val="single" w:sz="4" w:space="0" w:color="auto"/>
              <w:left w:val="single" w:sz="4" w:space="0" w:color="auto"/>
              <w:bottom w:val="single" w:sz="4" w:space="0" w:color="auto"/>
              <w:right w:val="single" w:sz="4" w:space="0" w:color="auto"/>
            </w:tcBorders>
            <w:vAlign w:val="center"/>
          </w:tcPr>
          <w:p w14:paraId="04E3A2EA"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2.37%</w:t>
            </w:r>
          </w:p>
        </w:tc>
        <w:tc>
          <w:tcPr>
            <w:tcW w:w="750" w:type="pct"/>
            <w:tcBorders>
              <w:top w:val="single" w:sz="4" w:space="0" w:color="auto"/>
              <w:left w:val="single" w:sz="4" w:space="0" w:color="auto"/>
              <w:bottom w:val="single" w:sz="4" w:space="0" w:color="auto"/>
              <w:right w:val="single" w:sz="4" w:space="0" w:color="auto"/>
            </w:tcBorders>
            <w:vAlign w:val="center"/>
          </w:tcPr>
          <w:p w14:paraId="2BED9DB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1D6314" w14:paraId="576D56E7"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1D2B655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2024</w:t>
            </w:r>
            <w:r>
              <w:rPr>
                <w:rFonts w:ascii="Times New Roman" w:hAnsi="Times New Roman"/>
                <w:color w:val="000000"/>
                <w:kern w:val="0"/>
                <w:sz w:val="25"/>
                <w:szCs w:val="24"/>
              </w:rPr>
              <w:t>年度（自基金合同生效起至</w:t>
            </w:r>
            <w:r>
              <w:rPr>
                <w:rFonts w:ascii="Times New Roman" w:hAnsi="Times New Roman"/>
                <w:color w:val="000000"/>
                <w:kern w:val="0"/>
                <w:sz w:val="25"/>
                <w:szCs w:val="24"/>
              </w:rPr>
              <w:t>2024</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24DB11F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10.09%</w:t>
            </w:r>
          </w:p>
        </w:tc>
        <w:tc>
          <w:tcPr>
            <w:tcW w:w="750" w:type="pct"/>
            <w:tcBorders>
              <w:top w:val="single" w:sz="4" w:space="0" w:color="auto"/>
              <w:left w:val="single" w:sz="4" w:space="0" w:color="auto"/>
              <w:bottom w:val="single" w:sz="4" w:space="0" w:color="auto"/>
              <w:right w:val="single" w:sz="4" w:space="0" w:color="auto"/>
            </w:tcBorders>
            <w:vAlign w:val="center"/>
          </w:tcPr>
          <w:p w14:paraId="034E2C3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1.13%</w:t>
            </w:r>
          </w:p>
        </w:tc>
        <w:tc>
          <w:tcPr>
            <w:tcW w:w="750" w:type="pct"/>
            <w:tcBorders>
              <w:top w:val="single" w:sz="4" w:space="0" w:color="auto"/>
              <w:left w:val="single" w:sz="4" w:space="0" w:color="auto"/>
              <w:bottom w:val="single" w:sz="4" w:space="0" w:color="auto"/>
              <w:right w:val="single" w:sz="4" w:space="0" w:color="auto"/>
            </w:tcBorders>
            <w:vAlign w:val="center"/>
          </w:tcPr>
          <w:p w14:paraId="690420B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8.02%</w:t>
            </w:r>
          </w:p>
        </w:tc>
        <w:tc>
          <w:tcPr>
            <w:tcW w:w="750" w:type="pct"/>
            <w:tcBorders>
              <w:top w:val="single" w:sz="4" w:space="0" w:color="auto"/>
              <w:left w:val="single" w:sz="4" w:space="0" w:color="auto"/>
              <w:bottom w:val="single" w:sz="4" w:space="0" w:color="auto"/>
              <w:right w:val="single" w:sz="4" w:space="0" w:color="auto"/>
            </w:tcBorders>
            <w:vAlign w:val="center"/>
          </w:tcPr>
          <w:p w14:paraId="5E68C0D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1.16%</w:t>
            </w:r>
          </w:p>
        </w:tc>
        <w:tc>
          <w:tcPr>
            <w:tcW w:w="750" w:type="pct"/>
            <w:tcBorders>
              <w:top w:val="single" w:sz="4" w:space="0" w:color="auto"/>
              <w:left w:val="single" w:sz="4" w:space="0" w:color="auto"/>
              <w:bottom w:val="single" w:sz="4" w:space="0" w:color="auto"/>
              <w:right w:val="single" w:sz="4" w:space="0" w:color="auto"/>
            </w:tcBorders>
            <w:vAlign w:val="center"/>
          </w:tcPr>
          <w:p w14:paraId="73B9C75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2.07%</w:t>
            </w:r>
          </w:p>
        </w:tc>
        <w:tc>
          <w:tcPr>
            <w:tcW w:w="750" w:type="pct"/>
            <w:tcBorders>
              <w:top w:val="single" w:sz="4" w:space="0" w:color="auto"/>
              <w:left w:val="single" w:sz="4" w:space="0" w:color="auto"/>
              <w:bottom w:val="single" w:sz="4" w:space="0" w:color="auto"/>
              <w:right w:val="single" w:sz="4" w:space="0" w:color="auto"/>
            </w:tcBorders>
            <w:vAlign w:val="center"/>
          </w:tcPr>
          <w:p w14:paraId="39218EBA"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bl>
    <w:p w14:paraId="18ABB3E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注：本基金的业绩比较基准为中证红利低波动100指数收益率×95%+人民币银行活期存款利率（税后）×5%，每日进行再平衡过程。</w:t>
      </w:r>
    </w:p>
    <w:p w14:paraId="0E20C86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2、自基金合同生效以来基金份额累计净值增长率变动及其与同期业绩比较基准收益率变动的比较</w:t>
      </w:r>
    </w:p>
    <w:p w14:paraId="1AB424EE" w14:textId="77777777" w:rsidR="001D6314" w:rsidRDefault="00130266">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交银施罗德中证红利低波动100指数型证券投资基金</w:t>
      </w:r>
    </w:p>
    <w:p w14:paraId="0BF98353" w14:textId="77777777" w:rsidR="001D6314" w:rsidRDefault="00130266">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份额累计净值增长率与业绩比较基准收益率的历史走势对比图</w:t>
      </w:r>
    </w:p>
    <w:p w14:paraId="7E2FB7DA" w14:textId="77777777" w:rsidR="001D6314" w:rsidRDefault="00130266">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lastRenderedPageBreak/>
        <w:t>（2024年3月15日至2025年09月30日）</w:t>
      </w:r>
    </w:p>
    <w:p w14:paraId="07AD28F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（1）交银中证红利低波动100指数A</w:t>
      </w:r>
    </w:p>
    <w:p w14:paraId="1908A468" w14:textId="04E5A540" w:rsidR="001D6314" w:rsidRDefault="005643F0">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14:anchorId="655ADA41" wp14:editId="078B4513">
            <wp:extent cx="5579745" cy="4385945"/>
            <wp:effectExtent l="0" t="0" r="0" b="0"/>
            <wp:docPr id="4" name="图片 4"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212566102420208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9745" cy="4385945"/>
                    </a:xfrm>
                    <a:prstGeom prst="rect">
                      <a:avLst/>
                    </a:prstGeom>
                    <a:noFill/>
                    <a:ln>
                      <a:noFill/>
                    </a:ln>
                  </pic:spPr>
                </pic:pic>
              </a:graphicData>
            </a:graphic>
          </wp:inline>
        </w:drawing>
      </w:r>
    </w:p>
    <w:p w14:paraId="1BD303F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（2）交银中证红利低波动100指数C</w:t>
      </w:r>
    </w:p>
    <w:p w14:paraId="094CF55A" w14:textId="5129182B" w:rsidR="001D6314" w:rsidRDefault="005643F0">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lastRenderedPageBreak/>
        <w:drawing>
          <wp:inline distT="0" distB="0" distL="0" distR="0" wp14:anchorId="3E7640B1" wp14:editId="33E772BA">
            <wp:extent cx="5579745" cy="4385945"/>
            <wp:effectExtent l="0" t="0" r="0" b="0"/>
            <wp:docPr id="5" name="图片 5"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212566102420208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9745" cy="4385945"/>
                    </a:xfrm>
                    <a:prstGeom prst="rect">
                      <a:avLst/>
                    </a:prstGeom>
                    <a:noFill/>
                    <a:ln>
                      <a:noFill/>
                    </a:ln>
                  </pic:spPr>
                </pic:pic>
              </a:graphicData>
            </a:graphic>
          </wp:inline>
        </w:drawing>
      </w:r>
    </w:p>
    <w:p w14:paraId="6808FEA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14:paraId="3C1DA1CF"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7D55FEF" w14:textId="77777777" w:rsidR="001D6314" w:rsidRDefault="00130266">
      <w:pPr>
        <w:pStyle w:val="1"/>
        <w:snapToGrid w:val="0"/>
        <w:spacing w:beforeLines="0" w:before="240" w:after="240"/>
        <w:rPr>
          <w:rFonts w:ascii="宋体" w:hAnsi="宋体"/>
          <w:szCs w:val="30"/>
        </w:rPr>
      </w:pPr>
      <w:bookmarkStart w:id="15" w:name="_Toc216872007"/>
      <w:r>
        <w:rPr>
          <w:rFonts w:ascii="Times New Roman" w:hAnsi="Times New Roman"/>
          <w:sz w:val="30"/>
        </w:rPr>
        <w:lastRenderedPageBreak/>
        <w:t>十二、基金的财产</w:t>
      </w:r>
      <w:bookmarkEnd w:id="15"/>
    </w:p>
    <w:p w14:paraId="2FCE3695"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（一）基金资产总值</w:t>
      </w:r>
    </w:p>
    <w:p w14:paraId="1510B5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基金资产总值是指基金拥有的各类有价证券、股指期货合约、银行存款本息、基金应收款项及其他资产的价值总和。</w:t>
      </w:r>
    </w:p>
    <w:p w14:paraId="3CFE2257"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（二）基金资产净值</w:t>
      </w:r>
    </w:p>
    <w:p w14:paraId="7C7838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2B0B1966"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（三）基金财产的账户</w:t>
      </w:r>
    </w:p>
    <w:p w14:paraId="63DA2D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440CAFF8"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（四）基金财产的保管和处分</w:t>
      </w:r>
    </w:p>
    <w:p w14:paraId="35C797F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sz w:val="24"/>
        </w:rPr>
        <w:t>律法规</w:t>
      </w:r>
      <w:proofErr w:type="gramEnd"/>
      <w:r>
        <w:rPr>
          <w:rFonts w:ascii="宋体" w:hAnsi="宋体"/>
          <w:sz w:val="24"/>
        </w:rPr>
        <w:t>和《基金合同》的规定处分外，基金财产不得被处分。</w:t>
      </w:r>
    </w:p>
    <w:p w14:paraId="451E5EA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sz w:val="24"/>
        </w:rPr>
        <w:t>抵销</w:t>
      </w:r>
      <w:proofErr w:type="gramEnd"/>
      <w:r>
        <w:rPr>
          <w:rFonts w:ascii="宋体" w:hAnsi="宋体"/>
          <w:sz w:val="24"/>
        </w:rPr>
        <w:t>；基金管理人管理运作不同基金的基金财产所产生的债权债务不得相互</w:t>
      </w:r>
      <w:proofErr w:type="gramStart"/>
      <w:r>
        <w:rPr>
          <w:rFonts w:ascii="宋体" w:hAnsi="宋体"/>
          <w:sz w:val="24"/>
        </w:rPr>
        <w:t>抵销</w:t>
      </w:r>
      <w:proofErr w:type="gramEnd"/>
      <w:r>
        <w:rPr>
          <w:rFonts w:ascii="宋体" w:hAnsi="宋体"/>
          <w:sz w:val="24"/>
        </w:rPr>
        <w:t>。非因基金财产本身承担的债务，不得对基金财产强制执行。</w:t>
      </w:r>
    </w:p>
    <w:p w14:paraId="39234BFF"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A27491C" w14:textId="77777777" w:rsidR="001D6314" w:rsidRDefault="00130266">
      <w:pPr>
        <w:pStyle w:val="1"/>
        <w:snapToGrid w:val="0"/>
        <w:spacing w:beforeLines="0" w:before="240" w:after="240"/>
        <w:rPr>
          <w:rFonts w:ascii="宋体" w:hAnsi="宋体"/>
          <w:szCs w:val="30"/>
        </w:rPr>
      </w:pPr>
      <w:bookmarkStart w:id="16" w:name="_Toc216872008"/>
      <w:r>
        <w:rPr>
          <w:rFonts w:ascii="Times New Roman" w:hAnsi="Times New Roman"/>
          <w:sz w:val="30"/>
        </w:rPr>
        <w:lastRenderedPageBreak/>
        <w:t>十三、基金资产的估值</w:t>
      </w:r>
      <w:bookmarkEnd w:id="16"/>
    </w:p>
    <w:p w14:paraId="702C77FB"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（一）估值日</w:t>
      </w:r>
    </w:p>
    <w:p w14:paraId="7503DCF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w:t>
      </w:r>
      <w:proofErr w:type="gramStart"/>
      <w:r>
        <w:rPr>
          <w:rFonts w:ascii="宋体" w:hAnsi="宋体"/>
          <w:sz w:val="24"/>
        </w:rPr>
        <w:t>非交易</w:t>
      </w:r>
      <w:proofErr w:type="gramEnd"/>
      <w:r>
        <w:rPr>
          <w:rFonts w:ascii="宋体" w:hAnsi="宋体"/>
          <w:sz w:val="24"/>
        </w:rPr>
        <w:t>日。</w:t>
      </w:r>
    </w:p>
    <w:p w14:paraId="304077C0"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（二）估值对象</w:t>
      </w:r>
    </w:p>
    <w:p w14:paraId="343EC50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基金所拥有的股票、债券、资产支持证券、衍生工具和其他投资等持续以公允价值计量的金融资产及负债。</w:t>
      </w:r>
    </w:p>
    <w:p w14:paraId="6718C9C5"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（三）估值原则</w:t>
      </w:r>
    </w:p>
    <w:p w14:paraId="3D0187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基金管理人在确定相关金融资产和金融负债的公允价值时，应符合《企业会计准则》、监管部门有关规定。</w:t>
      </w:r>
    </w:p>
    <w:p w14:paraId="7EC83E2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3053AB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AA9F1D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4AEC46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3、如经济环境发生重大变化或证券发行人发生影响证券价格的重大事件，使潜在估值调整对前一估值日的基金资产净值的影响在0.25%以上的，应对估值进行调整并确定公允价值。</w:t>
      </w:r>
    </w:p>
    <w:p w14:paraId="7FB094D3"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（四）估值方法</w:t>
      </w:r>
    </w:p>
    <w:p w14:paraId="344A6FD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14:paraId="26B086D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D3268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（2）交易所上市交易或挂牌转让的固定收益品种（另有规定的除外），选取估值日第三方估值机构提供的相应品种当日的估值净价进行估值；</w:t>
      </w:r>
    </w:p>
    <w:p w14:paraId="71EF74F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0A66AB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（4）交易所上市实行全价交易的债券（可转债除外），选取第三方估值机构提供的估值全价减去估值全价中所含的债券（税后）应收利息得到的净价进行估值；</w:t>
      </w:r>
    </w:p>
    <w:p w14:paraId="1FC7849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（5）交易所上市不存在活跃市场的有价证券，采用估值技术确定公允价值。交易所市场挂牌转让的资产支持证券，采用估值技术确定公允价值；</w:t>
      </w:r>
    </w:p>
    <w:p w14:paraId="44357A5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2A3BA1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2、处于未上市期间的有价证券应区分如下情况处理：</w:t>
      </w:r>
    </w:p>
    <w:p w14:paraId="6E26032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（1）送股、转增股、配股和公开增发的新股，按估值日在证券交易所挂牌的同一股票的估值方法估值；该日无交易的，以最近一日的市价（收盘价）估值；</w:t>
      </w:r>
    </w:p>
    <w:p w14:paraId="4354CFD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（2）首次公开发行未上市的股票和债券，采用估值技术确定公允价值，在估值技术难以可靠计量公允价值的情况下，按成本估值；</w:t>
      </w:r>
    </w:p>
    <w:p w14:paraId="27B6DDC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（3）在发行时明确一定期限限售期的股票，包括但不限于非公开发行股票、首次公开发行股票时公司股东公开发售股份、通过大宗交易取得的带限售期的股票</w:t>
      </w:r>
      <w:r>
        <w:rPr>
          <w:rFonts w:ascii="宋体" w:hAnsi="宋体"/>
          <w:sz w:val="24"/>
        </w:rPr>
        <w:lastRenderedPageBreak/>
        <w:t>等，不包括停牌、新发行未上市、回购交易中的质押</w:t>
      </w:r>
      <w:proofErr w:type="gramStart"/>
      <w:r>
        <w:rPr>
          <w:rFonts w:ascii="宋体" w:hAnsi="宋体"/>
          <w:sz w:val="24"/>
        </w:rPr>
        <w:t>券</w:t>
      </w:r>
      <w:proofErr w:type="gramEnd"/>
      <w:r>
        <w:rPr>
          <w:rFonts w:ascii="宋体" w:hAnsi="宋体"/>
          <w:sz w:val="24"/>
        </w:rPr>
        <w:t>等流通受限股票，按监管机构或行业协会有关规定确定公允价值。</w:t>
      </w:r>
    </w:p>
    <w:p w14:paraId="2D67C1C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08129D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14:paraId="762EC1F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5、同一证券同时在两个或两个以上市场交易的，按证券所处的市场分别估值。</w:t>
      </w:r>
    </w:p>
    <w:p w14:paraId="7AD42F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6、对于因税收规定调整或其他原因导致产品实际交纳税金与估算的应交税金有差异的，产品将在相关税金调整日或实际支付日进行相应的会计处理。</w:t>
      </w:r>
    </w:p>
    <w:p w14:paraId="391CB5C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7、如有确凿证据表明按上述方法进行估值不能客观反映其公允价值的，基金管理人可根据具体情况与基金托管人商定后，按最能反映公允价值的价格估值。</w:t>
      </w:r>
    </w:p>
    <w:p w14:paraId="1D772B0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8、当发生大额申购或赎回情形时，基金管理人可以采用摆动定价机制，以确保基金估值的公平性。</w:t>
      </w:r>
    </w:p>
    <w:p w14:paraId="7FB97B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9、本基金投资存托凭证的估值核算依照境内上市交易的股票执行。</w:t>
      </w:r>
    </w:p>
    <w:p w14:paraId="09BC7D8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10、相关法律法规以及监管部门有强制规定的，从其规定。如有新增事项，按国家最新规定估值。</w:t>
      </w:r>
    </w:p>
    <w:p w14:paraId="1F27CF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542C6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7DC0A44A"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lastRenderedPageBreak/>
        <w:t>（五）估值程序</w:t>
      </w:r>
    </w:p>
    <w:p w14:paraId="626BA82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各类基金份额的基金份额净值是按照每个工作日闭市后，该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14:paraId="571F21B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基金管理人于每个工作日计算各类基金份额的基金资产净值及基金份额净值，并按规定公告。如遇特殊情况，经履行适当程序，可以适当延迟计算或公告。</w:t>
      </w:r>
    </w:p>
    <w:p w14:paraId="605CFD6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w:t>
      </w:r>
      <w:proofErr w:type="gramStart"/>
      <w:r>
        <w:rPr>
          <w:rFonts w:ascii="宋体" w:hAnsi="宋体"/>
          <w:sz w:val="24"/>
        </w:rPr>
        <w:t>应每个</w:t>
      </w:r>
      <w:proofErr w:type="gramEnd"/>
      <w:r>
        <w:rPr>
          <w:rFonts w:ascii="宋体" w:hAnsi="宋体"/>
          <w:sz w:val="24"/>
        </w:rPr>
        <w:t>工作日对基金资产估值。但基金管理人根据法律法规或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14:paraId="6A728B1F"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（六）估值错误的处理</w:t>
      </w:r>
    </w:p>
    <w:p w14:paraId="475006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基金管理人和基金托管人将采取必要、适当、合理的措施确保基金资产估值的准确性、及时性。当基金份额净值小数点后4位以内（含第4位）发生估值错误时，视为基金份额净值错误。</w:t>
      </w:r>
    </w:p>
    <w:p w14:paraId="640D4F0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14:paraId="6D9D575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14:paraId="482DA83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A9AEB3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14:paraId="443EA7B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对于因技术原因引起的差错，若系同行业现有技术水平无法预见、无法避免、无法抗拒，则属不可抗力，按照下述规定执行。</w:t>
      </w:r>
    </w:p>
    <w:p w14:paraId="32B6338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12E2FC5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14:paraId="28F832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w:t>
      </w:r>
      <w:r>
        <w:rPr>
          <w:rFonts w:ascii="宋体" w:hAnsi="宋体"/>
          <w:sz w:val="24"/>
        </w:rPr>
        <w:lastRenderedPageBreak/>
        <w:t>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4A72A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14:paraId="2C06D75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w:t>
      </w:r>
      <w:proofErr w:type="gramStart"/>
      <w:r>
        <w:rPr>
          <w:rFonts w:ascii="宋体" w:hAnsi="宋体"/>
          <w:sz w:val="24"/>
        </w:rPr>
        <w:t>不</w:t>
      </w:r>
      <w:proofErr w:type="gramEnd"/>
      <w:r>
        <w:rPr>
          <w:rFonts w:ascii="宋体" w:hAnsi="宋体"/>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D7F679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14:paraId="3BB6D16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14:paraId="6F8CD8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14:paraId="09599B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14:paraId="4DB5660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14:paraId="431901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14:paraId="3164F45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14:paraId="08FECC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14:paraId="3201DA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14:paraId="0C26AC4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14:paraId="42AABC6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（2）错误偏差达到该类基金份额净值的0.25%时，基金管理人应当通报基金托</w:t>
      </w:r>
      <w:r>
        <w:rPr>
          <w:rFonts w:ascii="宋体" w:hAnsi="宋体"/>
          <w:sz w:val="24"/>
        </w:rPr>
        <w:lastRenderedPageBreak/>
        <w:t>管人并报中国证监会备案；错误偏差达到该类基金份额净值的0.5%时，基金管理人应当公告，并报中国证监会备案。</w:t>
      </w:r>
    </w:p>
    <w:p w14:paraId="2B09F11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14:paraId="3772D201"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（七）暂停估值的情形</w:t>
      </w:r>
    </w:p>
    <w:p w14:paraId="4AEF314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14:paraId="554149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14:paraId="44B276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3、当特定资产占前一估值日基金资产净值 50%以上的，经与基金托管人协商确认后，基金管理人应当暂停估值；</w:t>
      </w:r>
    </w:p>
    <w:p w14:paraId="0D69FB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4、法律法规、中国证监会和基金合同认定的其它情形。</w:t>
      </w:r>
    </w:p>
    <w:p w14:paraId="35D2A947"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（八）基金净值的确认</w:t>
      </w:r>
    </w:p>
    <w:p w14:paraId="6DB4CF4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类基金份额的基金资产净值和基金份额净值由基金管理人负责计算，基金托管人负责进行复核。基金管理人应于每个开放日交易结束后计算当日各类基金份额的基金资产净值和基金份额净值并发送给基金托管人。基金托管人对净值计算结果复核确认后发送给基金管理人，由基金管理人依据基金合同和相关法律法规的规定对基金净值予以公布。</w:t>
      </w:r>
    </w:p>
    <w:p w14:paraId="4C8193E4"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（九）特殊情形的处理</w:t>
      </w:r>
    </w:p>
    <w:p w14:paraId="2213604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1、基金管理人或基金托管人按估值方法的第7项进行估值时，所造成的误差不作为基金资产估值错误处理。</w:t>
      </w:r>
    </w:p>
    <w:p w14:paraId="5C61647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不可抗力原因，或由于证券/期货交易所、证券/期货经纪机构、登记结算公司及存款银行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1F5775C2"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（十）实施</w:t>
      </w:r>
      <w:proofErr w:type="gramStart"/>
      <w:r>
        <w:rPr>
          <w:rFonts w:ascii="宋体" w:hAnsi="宋体" w:hint="eastAsia"/>
          <w:b/>
          <w:kern w:val="0"/>
          <w:sz w:val="24"/>
        </w:rPr>
        <w:t>侧袋机制</w:t>
      </w:r>
      <w:proofErr w:type="gramEnd"/>
      <w:r>
        <w:rPr>
          <w:rFonts w:ascii="宋体" w:hAnsi="宋体" w:hint="eastAsia"/>
          <w:b/>
          <w:kern w:val="0"/>
          <w:sz w:val="24"/>
        </w:rPr>
        <w:t>期间的基金资产估值</w:t>
      </w:r>
    </w:p>
    <w:p w14:paraId="794D4F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的，应根据本部分的约定</w:t>
      </w:r>
      <w:proofErr w:type="gramStart"/>
      <w:r>
        <w:rPr>
          <w:rFonts w:ascii="宋体" w:hAnsi="宋体"/>
          <w:sz w:val="24"/>
        </w:rPr>
        <w:t>对主袋账户</w:t>
      </w:r>
      <w:proofErr w:type="gramEnd"/>
      <w:r>
        <w:rPr>
          <w:rFonts w:ascii="宋体" w:hAnsi="宋体"/>
          <w:sz w:val="24"/>
        </w:rPr>
        <w:t>资产进行估值并</w:t>
      </w:r>
      <w:proofErr w:type="gramStart"/>
      <w:r>
        <w:rPr>
          <w:rFonts w:ascii="宋体" w:hAnsi="宋体"/>
          <w:sz w:val="24"/>
        </w:rPr>
        <w:t>披露主袋账户</w:t>
      </w:r>
      <w:proofErr w:type="gramEnd"/>
      <w:r>
        <w:rPr>
          <w:rFonts w:ascii="宋体" w:hAnsi="宋体"/>
          <w:sz w:val="24"/>
        </w:rPr>
        <w:t>的基金净值信息，暂停</w:t>
      </w:r>
      <w:proofErr w:type="gramStart"/>
      <w:r>
        <w:rPr>
          <w:rFonts w:ascii="宋体" w:hAnsi="宋体"/>
          <w:sz w:val="24"/>
        </w:rPr>
        <w:t>披露侧袋账户</w:t>
      </w:r>
      <w:proofErr w:type="gramEnd"/>
      <w:r>
        <w:rPr>
          <w:rFonts w:ascii="宋体" w:hAnsi="宋体"/>
          <w:sz w:val="24"/>
        </w:rPr>
        <w:t>份额净值。</w:t>
      </w:r>
    </w:p>
    <w:p w14:paraId="25E12238"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8EA7C9C" w14:textId="77777777" w:rsidR="001D6314" w:rsidRDefault="00130266">
      <w:pPr>
        <w:pStyle w:val="1"/>
        <w:snapToGrid w:val="0"/>
        <w:spacing w:beforeLines="0" w:before="240" w:after="240"/>
        <w:rPr>
          <w:rFonts w:ascii="宋体" w:hAnsi="宋体"/>
          <w:szCs w:val="30"/>
        </w:rPr>
      </w:pPr>
      <w:bookmarkStart w:id="17" w:name="_Toc216872009"/>
      <w:r>
        <w:rPr>
          <w:rFonts w:ascii="Times New Roman" w:hAnsi="Times New Roman"/>
          <w:sz w:val="30"/>
        </w:rPr>
        <w:lastRenderedPageBreak/>
        <w:t>十四、基金收益与分配</w:t>
      </w:r>
      <w:bookmarkEnd w:id="17"/>
    </w:p>
    <w:p w14:paraId="66BB4456"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（一）基金利润的构成</w:t>
      </w:r>
    </w:p>
    <w:p w14:paraId="3939850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14:paraId="6EB0A1E6"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（二）基金可供分配利润</w:t>
      </w:r>
    </w:p>
    <w:p w14:paraId="093FDE4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14:paraId="723F2F05"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（三）基金收益分配原则</w:t>
      </w:r>
    </w:p>
    <w:p w14:paraId="7CFBBBD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1、由于本基金A类基金份额不收取销售服务费，C类基金份额收取销售服务费，各基金份额类别对应的可供分配利润将有所不同；</w:t>
      </w:r>
    </w:p>
    <w:p w14:paraId="60630099" w14:textId="77777777" w:rsidR="001D6314" w:rsidRDefault="0013026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2、</w:t>
      </w:r>
      <w:r>
        <w:rPr>
          <w:rFonts w:ascii="宋体" w:hAnsi="宋体" w:hint="eastAsia"/>
          <w:sz w:val="24"/>
        </w:rPr>
        <w:t>基金管理人可每月度对基金相对业绩比较基准的超额收益率以及基金的可供分配利润进行评价，在符合收益分配相关规定的前提下，基金管理人可进行收益分配；</w:t>
      </w:r>
    </w:p>
    <w:p w14:paraId="511ADC6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hint="eastAsia"/>
          <w:sz w:val="24"/>
        </w:rPr>
        <w:t>3、</w:t>
      </w:r>
      <w:r>
        <w:rPr>
          <w:rFonts w:ascii="宋体" w:hAnsi="宋体"/>
          <w:sz w:val="24"/>
        </w:rPr>
        <w:t>在符合有关基金分红条件的前提下，本基金管理人可以根据实际情况进行收益分配，具体分配方案以公告为准，若《基金合同》生效不满3个月可不进行收益分配；</w:t>
      </w:r>
    </w:p>
    <w:p w14:paraId="0E8627B3" w14:textId="024D8C65"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14:paraId="4BADAE0E" w14:textId="740FAD4B"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5、本基金同一基金份额类别的每一基金份额享有同等分配权；</w:t>
      </w:r>
    </w:p>
    <w:p w14:paraId="60FB397C" w14:textId="187815B4"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6、法律法规或监管机关另有规定的，从其规定。</w:t>
      </w:r>
    </w:p>
    <w:p w14:paraId="20D92131" w14:textId="77777777" w:rsidR="001D6314" w:rsidRDefault="00130266">
      <w:pPr>
        <w:autoSpaceDE w:val="0"/>
        <w:autoSpaceDN w:val="0"/>
        <w:adjustRightInd w:val="0"/>
        <w:snapToGrid w:val="0"/>
        <w:spacing w:line="360" w:lineRule="auto"/>
        <w:ind w:firstLineChars="200" w:firstLine="482"/>
        <w:jc w:val="left"/>
        <w:rPr>
          <w:rFonts w:ascii="Times New Roman" w:hAnsi="Times New Roman"/>
          <w:b/>
          <w:sz w:val="24"/>
        </w:rPr>
      </w:pPr>
      <w:r>
        <w:rPr>
          <w:rFonts w:ascii="宋体" w:hAnsi="宋体" w:hint="eastAsia"/>
          <w:b/>
          <w:kern w:val="0"/>
          <w:sz w:val="24"/>
        </w:rPr>
        <w:t>（四）</w:t>
      </w:r>
      <w:r>
        <w:rPr>
          <w:rFonts w:ascii="Times New Roman" w:hAnsi="Times New Roman" w:hint="eastAsia"/>
          <w:b/>
          <w:sz w:val="24"/>
        </w:rPr>
        <w:t>基金相对业绩比较基准的超额收益率计算</w:t>
      </w:r>
    </w:p>
    <w:p w14:paraId="44DB11CB" w14:textId="77777777" w:rsidR="001D6314" w:rsidRDefault="00130266">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在评价日，基金管理人计算基金累计报酬率、业绩比较基准同期累计报酬率。</w:t>
      </w:r>
    </w:p>
    <w:p w14:paraId="23466D0B" w14:textId="77777777" w:rsidR="001D6314" w:rsidRDefault="00130266">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基金评价日本基金相对业绩比较基准的超额收益率＝基金累计报酬率－业绩比较基准同期累计报酬率</w:t>
      </w:r>
    </w:p>
    <w:p w14:paraId="5FD1FFBC" w14:textId="77777777" w:rsidR="001D6314" w:rsidRDefault="00130266">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基金累计报酬率＝（</w:t>
      </w:r>
      <w:proofErr w:type="gramStart"/>
      <w:r>
        <w:rPr>
          <w:rFonts w:ascii="Times New Roman" w:hAnsi="Times New Roman" w:hint="eastAsia"/>
          <w:sz w:val="24"/>
        </w:rPr>
        <w:t>评价日</w:t>
      </w:r>
      <w:proofErr w:type="gramEnd"/>
      <w:r>
        <w:rPr>
          <w:rFonts w:ascii="Times New Roman" w:hAnsi="Times New Roman" w:hint="eastAsia"/>
          <w:sz w:val="24"/>
        </w:rPr>
        <w:t>基金份额净值</w:t>
      </w:r>
      <w:r>
        <w:rPr>
          <w:rFonts w:ascii="Times New Roman" w:hAnsi="Times New Roman"/>
          <w:sz w:val="24"/>
        </w:rPr>
        <w:t>/</w:t>
      </w:r>
      <w:r>
        <w:rPr>
          <w:rFonts w:ascii="Times New Roman" w:hAnsi="Times New Roman" w:hint="eastAsia"/>
          <w:sz w:val="24"/>
        </w:rPr>
        <w:t>基金合同生效日所对应的</w:t>
      </w:r>
      <w:r>
        <w:rPr>
          <w:rFonts w:ascii="Times New Roman" w:hAnsi="Times New Roman"/>
          <w:sz w:val="24"/>
        </w:rPr>
        <w:t xml:space="preserve"> 3 </w:t>
      </w:r>
      <w:proofErr w:type="gramStart"/>
      <w:r>
        <w:rPr>
          <w:rFonts w:ascii="Times New Roman" w:hAnsi="Times New Roman" w:hint="eastAsia"/>
          <w:sz w:val="24"/>
        </w:rPr>
        <w:t>个</w:t>
      </w:r>
      <w:proofErr w:type="gramEnd"/>
      <w:r>
        <w:rPr>
          <w:rFonts w:ascii="Times New Roman" w:hAnsi="Times New Roman" w:hint="eastAsia"/>
          <w:sz w:val="24"/>
        </w:rPr>
        <w:t>月月度对日的前一工作日基金份额净值－</w:t>
      </w:r>
      <w:r>
        <w:rPr>
          <w:rFonts w:ascii="Times New Roman" w:hAnsi="Times New Roman"/>
          <w:sz w:val="24"/>
        </w:rPr>
        <w:t>1</w:t>
      </w:r>
      <w:r>
        <w:rPr>
          <w:rFonts w:ascii="Times New Roman" w:hAnsi="Times New Roman" w:hint="eastAsia"/>
          <w:sz w:val="24"/>
        </w:rPr>
        <w:t>）×</w:t>
      </w:r>
      <w:r>
        <w:rPr>
          <w:rFonts w:ascii="Times New Roman" w:hAnsi="Times New Roman"/>
          <w:sz w:val="24"/>
        </w:rPr>
        <w:t>100%</w:t>
      </w:r>
    </w:p>
    <w:p w14:paraId="164CA6BE" w14:textId="77777777" w:rsidR="001D6314" w:rsidRDefault="00130266">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业绩比较基准同期累计报酬率＝（</w:t>
      </w:r>
      <w:proofErr w:type="gramStart"/>
      <w:r>
        <w:rPr>
          <w:rFonts w:ascii="Times New Roman" w:hAnsi="Times New Roman" w:hint="eastAsia"/>
          <w:sz w:val="24"/>
        </w:rPr>
        <w:t>评价日业绩</w:t>
      </w:r>
      <w:proofErr w:type="gramEnd"/>
      <w:r>
        <w:rPr>
          <w:rFonts w:ascii="Times New Roman" w:hAnsi="Times New Roman" w:hint="eastAsia"/>
          <w:sz w:val="24"/>
        </w:rPr>
        <w:t>比较基准数值</w:t>
      </w:r>
      <w:r>
        <w:rPr>
          <w:rFonts w:ascii="Times New Roman" w:hAnsi="Times New Roman"/>
          <w:sz w:val="24"/>
        </w:rPr>
        <w:t>/</w:t>
      </w:r>
      <w:r>
        <w:rPr>
          <w:rFonts w:ascii="Times New Roman" w:hAnsi="Times New Roman" w:hint="eastAsia"/>
          <w:sz w:val="24"/>
        </w:rPr>
        <w:t>基金合同生效日</w:t>
      </w:r>
      <w:r>
        <w:rPr>
          <w:rFonts w:ascii="Times New Roman" w:hAnsi="Times New Roman" w:hint="eastAsia"/>
          <w:sz w:val="24"/>
        </w:rPr>
        <w:lastRenderedPageBreak/>
        <w:t>所对应的</w:t>
      </w:r>
      <w:r>
        <w:rPr>
          <w:rFonts w:ascii="Times New Roman" w:hAnsi="Times New Roman"/>
          <w:sz w:val="24"/>
        </w:rPr>
        <w:t xml:space="preserve"> 3 </w:t>
      </w:r>
      <w:proofErr w:type="gramStart"/>
      <w:r>
        <w:rPr>
          <w:rFonts w:ascii="Times New Roman" w:hAnsi="Times New Roman" w:hint="eastAsia"/>
          <w:sz w:val="24"/>
        </w:rPr>
        <w:t>个</w:t>
      </w:r>
      <w:proofErr w:type="gramEnd"/>
      <w:r>
        <w:rPr>
          <w:rFonts w:ascii="Times New Roman" w:hAnsi="Times New Roman" w:hint="eastAsia"/>
          <w:sz w:val="24"/>
        </w:rPr>
        <w:t>月月度对日的前一工作日业绩比较基准数值－</w:t>
      </w:r>
      <w:r>
        <w:rPr>
          <w:rFonts w:ascii="Times New Roman" w:hAnsi="Times New Roman"/>
          <w:sz w:val="24"/>
        </w:rPr>
        <w:t>1</w:t>
      </w:r>
      <w:r>
        <w:rPr>
          <w:rFonts w:ascii="Times New Roman" w:hAnsi="Times New Roman" w:hint="eastAsia"/>
          <w:sz w:val="24"/>
        </w:rPr>
        <w:t>）×</w:t>
      </w:r>
      <w:r>
        <w:rPr>
          <w:rFonts w:ascii="Times New Roman" w:hAnsi="Times New Roman"/>
          <w:sz w:val="24"/>
        </w:rPr>
        <w:t>100%</w:t>
      </w:r>
    </w:p>
    <w:p w14:paraId="15A57987" w14:textId="77777777" w:rsidR="001D6314" w:rsidRDefault="00130266">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个月月度对日指某一特定日期在之后第</w:t>
      </w:r>
      <w:r>
        <w:rPr>
          <w:rFonts w:ascii="Times New Roman" w:hAnsi="Times New Roman" w:hint="eastAsia"/>
          <w:sz w:val="24"/>
        </w:rPr>
        <w:t>3</w:t>
      </w:r>
      <w:r>
        <w:rPr>
          <w:rFonts w:ascii="Times New Roman" w:hAnsi="Times New Roman" w:hint="eastAsia"/>
          <w:sz w:val="24"/>
        </w:rPr>
        <w:t>个月月度中的对应日期，若该日历月度中不存在对应日期，则取该月度最后一日。</w:t>
      </w:r>
    </w:p>
    <w:p w14:paraId="0833F3DB" w14:textId="77777777" w:rsidR="001D6314" w:rsidRDefault="00130266">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如基金份额发生折算，则采用剔除折算因素的基金份额净值，详见届时基金管理人发布的相关公告。</w:t>
      </w:r>
    </w:p>
    <w:p w14:paraId="4C1EDACB"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Times New Roman" w:hAnsi="Times New Roman"/>
          <w:b/>
          <w:sz w:val="24"/>
        </w:rPr>
        <w:t>（</w:t>
      </w:r>
      <w:r>
        <w:rPr>
          <w:rFonts w:ascii="Times New Roman" w:hAnsi="Times New Roman" w:hint="eastAsia"/>
          <w:b/>
          <w:sz w:val="24"/>
        </w:rPr>
        <w:t>五</w:t>
      </w:r>
      <w:r>
        <w:rPr>
          <w:rFonts w:ascii="Times New Roman" w:hAnsi="Times New Roman"/>
          <w:b/>
          <w:sz w:val="24"/>
        </w:rPr>
        <w:t>）</w:t>
      </w:r>
      <w:r>
        <w:rPr>
          <w:rFonts w:ascii="宋体" w:hAnsi="宋体" w:hint="eastAsia"/>
          <w:b/>
          <w:kern w:val="0"/>
          <w:sz w:val="24"/>
        </w:rPr>
        <w:t>收益分配方案</w:t>
      </w:r>
    </w:p>
    <w:p w14:paraId="56BC8D7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14:paraId="1A8BE167" w14:textId="51E563BF"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（六）收益分配方案的确定、公告与实施</w:t>
      </w:r>
    </w:p>
    <w:p w14:paraId="0352F7B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本基金收益分配方案由基金管理人拟定，并由基金托管人复核，依照《信息披露办法》的规定在规定媒介公告。</w:t>
      </w:r>
    </w:p>
    <w:p w14:paraId="20F63C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14:paraId="2184F1E9" w14:textId="6830698E"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（七）基金收益分配中发生的费用</w:t>
      </w:r>
    </w:p>
    <w:p w14:paraId="04413A8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5703B4B" w14:textId="244E5E41"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（八）收益分配方式的修改</w:t>
      </w:r>
    </w:p>
    <w:p w14:paraId="4D9F80B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投资人可至销售机构办理收益分配方式的修改，投资人对本基金不同的基金交易账户可设置不同的收益分配方式。</w:t>
      </w:r>
    </w:p>
    <w:p w14:paraId="7B18D4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14:paraId="02AF4A06" w14:textId="6D82AC24"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（九）实施</w:t>
      </w:r>
      <w:proofErr w:type="gramStart"/>
      <w:r>
        <w:rPr>
          <w:rFonts w:ascii="宋体" w:hAnsi="宋体" w:hint="eastAsia"/>
          <w:b/>
          <w:kern w:val="0"/>
          <w:sz w:val="24"/>
        </w:rPr>
        <w:t>侧袋机制</w:t>
      </w:r>
      <w:proofErr w:type="gramEnd"/>
      <w:r>
        <w:rPr>
          <w:rFonts w:ascii="宋体" w:hAnsi="宋体" w:hint="eastAsia"/>
          <w:b/>
          <w:kern w:val="0"/>
          <w:sz w:val="24"/>
        </w:rPr>
        <w:t>期间的收益分配</w:t>
      </w:r>
    </w:p>
    <w:p w14:paraId="19B77B8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w:t>
      </w:r>
      <w:proofErr w:type="gramStart"/>
      <w:r>
        <w:rPr>
          <w:rFonts w:ascii="宋体" w:hAnsi="宋体"/>
          <w:sz w:val="24"/>
        </w:rPr>
        <w:t>侧袋账户</w:t>
      </w:r>
      <w:proofErr w:type="gramEnd"/>
      <w:r>
        <w:rPr>
          <w:rFonts w:ascii="宋体" w:hAnsi="宋体"/>
          <w:sz w:val="24"/>
        </w:rPr>
        <w:t>不进行收益分配。</w:t>
      </w:r>
    </w:p>
    <w:p w14:paraId="2F09EDF7"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AFAEF01" w14:textId="77777777" w:rsidR="001D6314" w:rsidRDefault="00130266">
      <w:pPr>
        <w:pStyle w:val="1"/>
        <w:snapToGrid w:val="0"/>
        <w:spacing w:beforeLines="0" w:before="240" w:after="240"/>
        <w:rPr>
          <w:rFonts w:ascii="宋体" w:hAnsi="宋体"/>
          <w:szCs w:val="30"/>
        </w:rPr>
      </w:pPr>
      <w:bookmarkStart w:id="18" w:name="_Toc216872010"/>
      <w:r>
        <w:rPr>
          <w:rFonts w:ascii="Times New Roman" w:hAnsi="Times New Roman"/>
          <w:sz w:val="30"/>
        </w:rPr>
        <w:lastRenderedPageBreak/>
        <w:t>十五、基金的费用与税收</w:t>
      </w:r>
      <w:bookmarkEnd w:id="18"/>
    </w:p>
    <w:p w14:paraId="77AFBDC5"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（一）基金费用的种类</w:t>
      </w:r>
    </w:p>
    <w:p w14:paraId="2C10288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02F077F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5E3761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14:paraId="0DA90C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4、《基金合同》生效后与基金相关的会计师费、律师费、仲裁费和诉讼费；</w:t>
      </w:r>
    </w:p>
    <w:p w14:paraId="295603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14:paraId="63E0B47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6、基金的证券/期货交易费用；</w:t>
      </w:r>
    </w:p>
    <w:p w14:paraId="3E7759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14:paraId="03A1EC3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14:paraId="75EF2B6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9、本基金从C类基金份额的基金财产中计提的销售服务费；</w:t>
      </w:r>
    </w:p>
    <w:p w14:paraId="736013A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10、按照国家有关规定和《基金合同》约定，可以在基金财产中列支的其他费用。</w:t>
      </w:r>
    </w:p>
    <w:p w14:paraId="47E00CB2"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（二）基金费用计提方法、计提标准和支付方式</w:t>
      </w:r>
    </w:p>
    <w:p w14:paraId="7953E6B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14:paraId="22C6394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2990CB3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本基金的管理费按前一日基金资产净值的0.5%年费率计提。管理费的计算方法如下：</w:t>
      </w:r>
    </w:p>
    <w:p w14:paraId="32CFBB3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H＝E×0.5%÷当年天数</w:t>
      </w:r>
    </w:p>
    <w:p w14:paraId="664E117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14:paraId="5C00A5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1FDDAE3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逐日累计至每月月末，按月支付。由基金管理人根据双方核对一致的数据向基金托管人发送划付指令，基金托管人于次月首日起3个工作日内从基金财产中一次性支付给基金管理人。若遇法定节假日、休息日或不可抗力致使无法按时支付的，顺延至最近可支付日支付。</w:t>
      </w:r>
    </w:p>
    <w:p w14:paraId="1671EA7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2B3DD48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本基金的托管费按前一日基金资产净值的0.1%的年费率计提。托管费的计算方法如下：</w:t>
      </w:r>
    </w:p>
    <w:p w14:paraId="7E0F9A2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H＝E×0.1%÷当年天数</w:t>
      </w:r>
    </w:p>
    <w:p w14:paraId="3798E8B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H为每日应计提的基金托管费</w:t>
      </w:r>
    </w:p>
    <w:p w14:paraId="002375C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6B6A95A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逐日累计至每月月末，按月支付。由基金管理人根据双方核对一致的数据向基金托管人发送划付指令，基金托管人于次月首日起3个工作日内从基金财产中一次性支取。若遇法定节假日、休息日或不可抗力致使无法按时支付的，顺延至最近可支付日支付。</w:t>
      </w:r>
    </w:p>
    <w:p w14:paraId="72FC2E9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（3）C类基金份额的销售服务费</w:t>
      </w:r>
    </w:p>
    <w:p w14:paraId="4F952A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本基金A类基金份额不收取销售服务费，C类基金份额的销售服务费按前一日C类基金资产净值的0.25%年费率计提。计算方法如下：</w:t>
      </w:r>
    </w:p>
    <w:p w14:paraId="288C7F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H＝E×0.25%÷当年天数</w:t>
      </w:r>
    </w:p>
    <w:p w14:paraId="30FA21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H为C类基金份额每日应计提的销售服务费</w:t>
      </w:r>
    </w:p>
    <w:p w14:paraId="06F62CF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E为C类基金份额前一日基金资产净值</w:t>
      </w:r>
    </w:p>
    <w:p w14:paraId="2D28D67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销售服务费每日计提，逐日累计至每月月末，按月支付。由基金管理人根据双方核对一致的数据向基金托管人发送销售服务费划付指令，基金托管人于次月首日起3个工作日内从基金财产中一次性支付给基金管理人，由基金管理人代付给销售机构。若遇法定节假日、休息日或不可抗力致使无法按时支付的，顺延至最近可支付日支付。</w:t>
      </w:r>
    </w:p>
    <w:p w14:paraId="12B7F33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C类基金份额的销售服务费将专门用于本基金的推广、销售与基金份额持有人服务。</w:t>
      </w:r>
    </w:p>
    <w:p w14:paraId="35FB2F7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（4）上述“（一）基金费用的种类”中第3－8项、第10项费用，根据有关法规及相应协议规定，按费用实际支出金额列入当期费用，由基金托管人从基金财产中支付。</w:t>
      </w:r>
    </w:p>
    <w:p w14:paraId="0059E7C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14:paraId="141E03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14:paraId="5E6FAA6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14:paraId="7CE93F2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14:paraId="1B2903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本基金赎回费的费率水平、计算公式和收取方式详见“基金份额的申购与赎回”一章。</w:t>
      </w:r>
    </w:p>
    <w:p w14:paraId="0F67E16C"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（三）不列入基金费用的项目</w:t>
      </w:r>
    </w:p>
    <w:p w14:paraId="1F3FA6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下列费用不列入基金费用：</w:t>
      </w:r>
    </w:p>
    <w:p w14:paraId="67EFEE8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14:paraId="7A9D9C6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14:paraId="0B854D6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14:paraId="13F7D86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4、标的指数许可使用费（由基金管理人承担）；</w:t>
      </w:r>
    </w:p>
    <w:p w14:paraId="26362C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5、其他根据相关法律法规及中国证监会的有关规定不得列入基金费用的项目。</w:t>
      </w:r>
    </w:p>
    <w:p w14:paraId="07553996"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（四）实施</w:t>
      </w:r>
      <w:proofErr w:type="gramStart"/>
      <w:r>
        <w:rPr>
          <w:rFonts w:ascii="宋体" w:hAnsi="宋体" w:hint="eastAsia"/>
          <w:b/>
          <w:kern w:val="0"/>
          <w:sz w:val="24"/>
        </w:rPr>
        <w:t>侧袋机制</w:t>
      </w:r>
      <w:proofErr w:type="gramEnd"/>
      <w:r>
        <w:rPr>
          <w:rFonts w:ascii="宋体" w:hAnsi="宋体" w:hint="eastAsia"/>
          <w:b/>
          <w:kern w:val="0"/>
          <w:sz w:val="24"/>
        </w:rPr>
        <w:t>期间的基金费用</w:t>
      </w:r>
    </w:p>
    <w:p w14:paraId="6B8EED3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w:t>
      </w:r>
      <w:proofErr w:type="gramStart"/>
      <w:r>
        <w:rPr>
          <w:rFonts w:ascii="宋体" w:hAnsi="宋体"/>
          <w:sz w:val="24"/>
        </w:rPr>
        <w:t>与侧袋账户</w:t>
      </w:r>
      <w:proofErr w:type="gramEnd"/>
      <w:r>
        <w:rPr>
          <w:rFonts w:ascii="宋体" w:hAnsi="宋体"/>
          <w:sz w:val="24"/>
        </w:rPr>
        <w:t>有关的费用可以</w:t>
      </w:r>
      <w:proofErr w:type="gramStart"/>
      <w:r>
        <w:rPr>
          <w:rFonts w:ascii="宋体" w:hAnsi="宋体"/>
          <w:sz w:val="24"/>
        </w:rPr>
        <w:t>从侧袋账户</w:t>
      </w:r>
      <w:proofErr w:type="gramEnd"/>
      <w:r>
        <w:rPr>
          <w:rFonts w:ascii="宋体" w:hAnsi="宋体"/>
          <w:sz w:val="24"/>
        </w:rPr>
        <w:t>中列支，但应</w:t>
      </w:r>
      <w:proofErr w:type="gramStart"/>
      <w:r>
        <w:rPr>
          <w:rFonts w:ascii="宋体" w:hAnsi="宋体"/>
          <w:sz w:val="24"/>
        </w:rPr>
        <w:t>待侧袋</w:t>
      </w:r>
      <w:proofErr w:type="gramEnd"/>
      <w:r>
        <w:rPr>
          <w:rFonts w:ascii="宋体" w:hAnsi="宋体"/>
          <w:sz w:val="24"/>
        </w:rPr>
        <w:t>账户资产变现后方可列支，有关费用可酌情收取或减免，但不得收取管理费，详见本招募说明书“侧袋机制”部分的规定。</w:t>
      </w:r>
    </w:p>
    <w:p w14:paraId="652FE40C"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（五）基金税收</w:t>
      </w:r>
    </w:p>
    <w:p w14:paraId="794C84A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78B3619"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2A70EC3" w14:textId="77777777" w:rsidR="001D6314" w:rsidRDefault="00130266">
      <w:pPr>
        <w:pStyle w:val="1"/>
        <w:snapToGrid w:val="0"/>
        <w:spacing w:beforeLines="0" w:before="240" w:after="240"/>
        <w:rPr>
          <w:rFonts w:ascii="宋体" w:hAnsi="宋体"/>
          <w:szCs w:val="30"/>
        </w:rPr>
      </w:pPr>
      <w:bookmarkStart w:id="19" w:name="_Toc216872011"/>
      <w:r>
        <w:rPr>
          <w:rFonts w:ascii="Times New Roman" w:hAnsi="Times New Roman"/>
          <w:sz w:val="30"/>
        </w:rPr>
        <w:lastRenderedPageBreak/>
        <w:t>十六、基金的会计与审计</w:t>
      </w:r>
      <w:bookmarkEnd w:id="19"/>
    </w:p>
    <w:p w14:paraId="5DEE12B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（一）基金会计政策</w:t>
      </w:r>
    </w:p>
    <w:p w14:paraId="115132C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14:paraId="7315D88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2、基金的会计年度为公历年度的1月1日至12月31日；基金首次募集的会计年度按如下原则：如果《基金合同》生效少于2个月，可以并入下一个会计年度披露；</w:t>
      </w:r>
    </w:p>
    <w:p w14:paraId="2820A3E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14:paraId="073C043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14:paraId="247AC07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14:paraId="14378E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14:paraId="325127E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7、基金托管人每月与基金管理人就基金的会计核算、报表编制等进行核对并以双方认可的方式确认。</w:t>
      </w:r>
    </w:p>
    <w:p w14:paraId="6E74453E"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（二）基金的年度审计</w:t>
      </w:r>
    </w:p>
    <w:p w14:paraId="7D915F8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1、基金管理人聘请与基金管理人、基金托管人相互独立的符合《中华人民共和国证券法》规定的会计师事务所及其注册会计师对本基金的年度财务报表进行审计。</w:t>
      </w:r>
    </w:p>
    <w:p w14:paraId="4D0B59C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14:paraId="4780BC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3、基金管理人认为有充足理由更换会计师事务所，须通报基金托管人。更换会计师事务所需依照《信息披露办法》的规定在规定媒介公告。</w:t>
      </w:r>
    </w:p>
    <w:p w14:paraId="30BF043A"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B11F9AA" w14:textId="77777777" w:rsidR="001D6314" w:rsidRDefault="00130266">
      <w:pPr>
        <w:pStyle w:val="1"/>
        <w:snapToGrid w:val="0"/>
        <w:spacing w:beforeLines="0" w:before="240" w:after="240"/>
        <w:rPr>
          <w:rFonts w:ascii="宋体" w:hAnsi="宋体"/>
          <w:szCs w:val="30"/>
        </w:rPr>
      </w:pPr>
      <w:bookmarkStart w:id="20" w:name="_Toc216872012"/>
      <w:r>
        <w:rPr>
          <w:rFonts w:ascii="Times New Roman" w:hAnsi="Times New Roman"/>
          <w:sz w:val="30"/>
        </w:rPr>
        <w:lastRenderedPageBreak/>
        <w:t>十七、基金的信息披露</w:t>
      </w:r>
      <w:bookmarkEnd w:id="20"/>
    </w:p>
    <w:p w14:paraId="6BA3CB5E"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（一）本基金的信息披露应符合《基金法》、《运作办法》、《信息披露办法》、《流动性风险管理规定》、《基金合同》及其他有关规定。相关法律法规关于信息披露的规定发生变化时，本基金从其最新规定。</w:t>
      </w:r>
    </w:p>
    <w:p w14:paraId="05BDC27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（二）信息披露义务人</w:t>
      </w:r>
    </w:p>
    <w:p w14:paraId="5BDA500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14:paraId="613D25F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01E62D2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765F0263"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（三）本基金信息披露义务人承诺公开披露的基金信息，不得有下列行为：</w:t>
      </w:r>
    </w:p>
    <w:p w14:paraId="35EB8C4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14:paraId="2871310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14:paraId="1972739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14:paraId="56CA56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14:paraId="2B5EBDD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14:paraId="6CA6AF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14:paraId="51B940B1"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（四）本基金公开披露的信息应采用中文文本。如同时采用外文文本的，基金信息披露义务人应保证不同文本的内容一致。不同文本之间发生歧义的，以中文文本为准。</w:t>
      </w:r>
    </w:p>
    <w:p w14:paraId="4AF3955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14:paraId="7DB5695F"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（五）公开披露的基金信息</w:t>
      </w:r>
    </w:p>
    <w:p w14:paraId="33984CE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14:paraId="74CA5F2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1、基金招募说明书、《基金合同》、基金托管协议、基金产品资料概要</w:t>
      </w:r>
    </w:p>
    <w:p w14:paraId="12B242D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（1）《基金合同》是界定《基金合同》当事人的各项权利、义务关系，明确基金份额持有人大会召开的规则及具体程序，说明基金产品的特性等涉及基金投资者重大利益的事项的法律文件。</w:t>
      </w:r>
    </w:p>
    <w:p w14:paraId="5BBA6DB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A0F25B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14:paraId="5226FEC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D09DB1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3E26A1F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14:paraId="6B1FC1A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基金管理人应当就基金份额发售的具体事宜编制基金份额发售公告，并在披露招募说明书的当日登载于规定媒介上。</w:t>
      </w:r>
    </w:p>
    <w:p w14:paraId="3C548CA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14:paraId="12A538B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基金管理人应当在收到中国证监会确认文件的次日在规定媒介上登载《基金合同》生效公告。</w:t>
      </w:r>
    </w:p>
    <w:p w14:paraId="677E82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4、基金净值信息</w:t>
      </w:r>
    </w:p>
    <w:p w14:paraId="7B6057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《基金合同》生效后，在开始办理基金份额申购或者赎回前，基金管理人应当至少每周在规定网站分别披露一次A类基金份额和C类基金份额所对应的基金份额净值和基金份额累计净值。</w:t>
      </w:r>
    </w:p>
    <w:p w14:paraId="3A0FEA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规定网站、基金销售机构网站或者营业网点分别披露开放日的A类基金份额和C类基金份额所对应的基金份额净值和基金份额累计净值。</w:t>
      </w:r>
    </w:p>
    <w:p w14:paraId="0F9D5C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基金管理人应当在不晚于半年度和年度最后一日的次日，在规定网站披露半年度和年度最后一日A类基金份额和C类基金份额所对应的基金份额净值和基金份额累计净值。</w:t>
      </w:r>
    </w:p>
    <w:p w14:paraId="22FD03F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14:paraId="5F8E64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w:t>
      </w:r>
      <w:proofErr w:type="gramStart"/>
      <w:r>
        <w:rPr>
          <w:rFonts w:ascii="宋体" w:hAnsi="宋体"/>
          <w:sz w:val="24"/>
        </w:rPr>
        <w:t>明基金</w:t>
      </w:r>
      <w:proofErr w:type="gramEnd"/>
      <w:r>
        <w:rPr>
          <w:rFonts w:ascii="宋体" w:hAnsi="宋体"/>
          <w:sz w:val="24"/>
        </w:rPr>
        <w:t>份额申购、赎回价格的计算方式及有关申购、赎回费率，并保证投资者能够在基金销售机构网站或营业网点查阅或者复制前述信息资料。</w:t>
      </w:r>
    </w:p>
    <w:p w14:paraId="74BE54F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14:paraId="44CEFDB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53E862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基金管理人应当在上半年结束之日起两个月内，编制完成基金中期报告，将中期报告登载在规定网站上，并将中期报告提示性公告登载在规定报刊上。</w:t>
      </w:r>
    </w:p>
    <w:p w14:paraId="150ED68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基金管理人应当在季度结束之日起15个工作日内，编制完成基金季度报告，将季度报告登载在规定网站上，并将季度报告提示性公告登载在规定报刊上。</w:t>
      </w:r>
    </w:p>
    <w:p w14:paraId="754883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14:paraId="79F942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6A69018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w:t>
      </w:r>
      <w:r>
        <w:rPr>
          <w:rFonts w:ascii="宋体" w:hAnsi="宋体"/>
          <w:sz w:val="24"/>
        </w:rPr>
        <w:lastRenderedPageBreak/>
        <w:t>性风险分析等。</w:t>
      </w:r>
    </w:p>
    <w:p w14:paraId="596DB45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7、临时报告</w:t>
      </w:r>
    </w:p>
    <w:p w14:paraId="60AD90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本基金发生重大事件，有关信息披露义务人应当依照《信息披露办法》的规定编制临时报告书，并登载在规定报刊和规定网站上。</w:t>
      </w:r>
    </w:p>
    <w:p w14:paraId="7D801AB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14:paraId="368E6D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（1）基金份额持有人大会的召开及决定的事项；</w:t>
      </w:r>
    </w:p>
    <w:p w14:paraId="11141A5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14:paraId="4B44388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14:paraId="133A601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14:paraId="418587F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14:paraId="3ABE8D6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14:paraId="3B43DE3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14:paraId="35AFF0F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14:paraId="39BC148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14:paraId="7F6CBF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14:paraId="0A02765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14:paraId="1B82B2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00051D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F5ADF3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14:paraId="3C336A4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（15）管理费、托管费、销售服务费、申购费、赎回费等费用计提标准、计提方式和费率发生变更；</w:t>
      </w:r>
    </w:p>
    <w:p w14:paraId="1B80E6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（16）任一类基金份额净值计价错误达该类基金份额净值百分之零点五；</w:t>
      </w:r>
    </w:p>
    <w:p w14:paraId="3B2446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14:paraId="79AAF3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14:paraId="2E4316A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14:paraId="5EC8B8E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（20）本基金暂停接受申购、赎回申请或重新接受申购、赎回申请；</w:t>
      </w:r>
    </w:p>
    <w:p w14:paraId="5569F3D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14:paraId="5CBB95D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（22）基金管理人采用摆动定价机制进行估值；</w:t>
      </w:r>
    </w:p>
    <w:p w14:paraId="236FDE5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（23）本基金增加或调整基金份额类别；</w:t>
      </w:r>
    </w:p>
    <w:p w14:paraId="15B1F19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（24）本基金推出新业务或服务；</w:t>
      </w:r>
    </w:p>
    <w:p w14:paraId="668E385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（25）本基金变更标的指数；</w:t>
      </w:r>
    </w:p>
    <w:p w14:paraId="7913956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（26）《基金合同》生效后，连续30、40、45个工作日出现基金份额持有人数量不满200人或者基金资产净值低于5000万元情形，基金管理人应当发布提示性公告；</w:t>
      </w:r>
    </w:p>
    <w:p w14:paraId="7F5774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（27）基金信息披露义务人认为可能对基金份额持有人权益或者基金份额的价格产生重大影响的其他事项或中国证监会规定和基金合同约定的其他事项。</w:t>
      </w:r>
    </w:p>
    <w:p w14:paraId="5923C5D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14:paraId="4C68F35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14B1E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14:paraId="69E6972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14:paraId="4E421F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14:paraId="59B09B3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10、实施</w:t>
      </w:r>
      <w:proofErr w:type="gramStart"/>
      <w:r>
        <w:rPr>
          <w:rFonts w:ascii="宋体" w:hAnsi="宋体"/>
          <w:sz w:val="24"/>
        </w:rPr>
        <w:t>侧袋机制</w:t>
      </w:r>
      <w:proofErr w:type="gramEnd"/>
      <w:r>
        <w:rPr>
          <w:rFonts w:ascii="宋体" w:hAnsi="宋体"/>
          <w:sz w:val="24"/>
        </w:rPr>
        <w:t>期间的信息披露</w:t>
      </w:r>
    </w:p>
    <w:p w14:paraId="673F543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的，相关信息披露义务人应当根据法律法规、基金合同和招募说明书的规定进行信息披露，详见本招募说明书“侧袋机制”部分的规定。</w:t>
      </w:r>
    </w:p>
    <w:p w14:paraId="038F780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11、清算报告</w:t>
      </w:r>
    </w:p>
    <w:p w14:paraId="31FCBCE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基金合同终止的，基金管理人应当依法组织清算小组对基金财产进行清算并</w:t>
      </w:r>
      <w:proofErr w:type="gramStart"/>
      <w:r>
        <w:rPr>
          <w:rFonts w:ascii="宋体" w:hAnsi="宋体"/>
          <w:sz w:val="24"/>
        </w:rPr>
        <w:t>作出</w:t>
      </w:r>
      <w:proofErr w:type="gramEnd"/>
      <w:r>
        <w:rPr>
          <w:rFonts w:ascii="宋体" w:hAnsi="宋体"/>
          <w:sz w:val="24"/>
        </w:rPr>
        <w:t>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47E69B6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12、基金投资资产支持证券情况</w:t>
      </w:r>
    </w:p>
    <w:p w14:paraId="74E51A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143B8C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13、基金投资股指期货情况</w:t>
      </w:r>
    </w:p>
    <w:p w14:paraId="4B8E8C9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36B4A57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14、中国证监会规定的其他信息。</w:t>
      </w:r>
    </w:p>
    <w:p w14:paraId="4B3BD46A"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（六）信息披露事务管理</w:t>
      </w:r>
    </w:p>
    <w:p w14:paraId="5150C3B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14:paraId="2271423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基金信息披露义务人公开披露基金信息，应当符合中国证监会相关基金信息披露内容与格式准则等法律法规的规定。</w:t>
      </w:r>
    </w:p>
    <w:p w14:paraId="6E04E4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相关基金信息进行复核、审查，并向基金管理人进行书面或电子确认。</w:t>
      </w:r>
    </w:p>
    <w:p w14:paraId="4CCB9E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基金管理人、基金托管人应当在规定报刊中选择一家披露信息的报刊。基金管理人、基金托管人应当向中国证监会基金电子披露网站报送拟披露的基金信息，并保证相关报送信息的真实、准确、完整、及时。</w:t>
      </w:r>
    </w:p>
    <w:p w14:paraId="3A8B020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基金管理人、基金托管人除依法在规定媒介上披露信息外，还可以根据需要在</w:t>
      </w:r>
      <w:r>
        <w:rPr>
          <w:rFonts w:ascii="宋体" w:hAnsi="宋体"/>
          <w:sz w:val="24"/>
        </w:rPr>
        <w:lastRenderedPageBreak/>
        <w:t>其他公共媒介披露信息，但是其他公共媒介不得早于规定媒介披露信息，并且在不同媒介上披露同一信息的内容应当一致。</w:t>
      </w:r>
    </w:p>
    <w:p w14:paraId="01DA061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14:paraId="242751C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w:t>
      </w:r>
      <w:proofErr w:type="gramStart"/>
      <w:r>
        <w:rPr>
          <w:rFonts w:ascii="宋体" w:hAnsi="宋体"/>
          <w:sz w:val="24"/>
        </w:rPr>
        <w:t>不</w:t>
      </w:r>
      <w:proofErr w:type="gramEnd"/>
      <w:r>
        <w:rPr>
          <w:rFonts w:ascii="宋体" w:hAnsi="宋体"/>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3792174"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（七）信息披露文件的存放与查阅</w:t>
      </w:r>
    </w:p>
    <w:p w14:paraId="290527A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依法必须披露的信息发布后，基金管理人、基金托管人应当按照相关法律法规规定将信息置备于各自办公场所，供社会公众查阅、复制。</w:t>
      </w:r>
    </w:p>
    <w:p w14:paraId="45CFC4BB"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EBB0C34" w14:textId="77777777" w:rsidR="001D6314" w:rsidRDefault="00130266">
      <w:pPr>
        <w:pStyle w:val="1"/>
        <w:snapToGrid w:val="0"/>
        <w:spacing w:beforeLines="0" w:before="240" w:after="240"/>
        <w:rPr>
          <w:rFonts w:ascii="宋体" w:hAnsi="宋体"/>
          <w:szCs w:val="30"/>
        </w:rPr>
      </w:pPr>
      <w:bookmarkStart w:id="21" w:name="_Toc216872013"/>
      <w:r>
        <w:rPr>
          <w:rFonts w:ascii="Times New Roman" w:hAnsi="Times New Roman"/>
          <w:sz w:val="30"/>
        </w:rPr>
        <w:lastRenderedPageBreak/>
        <w:t>十八、</w:t>
      </w:r>
      <w:proofErr w:type="gramStart"/>
      <w:r>
        <w:rPr>
          <w:rFonts w:ascii="Times New Roman" w:hAnsi="Times New Roman"/>
          <w:sz w:val="30"/>
        </w:rPr>
        <w:t>侧袋机制</w:t>
      </w:r>
      <w:bookmarkEnd w:id="21"/>
      <w:proofErr w:type="gramEnd"/>
    </w:p>
    <w:p w14:paraId="78D011A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w:t>
      </w:r>
      <w:proofErr w:type="gramStart"/>
      <w:r>
        <w:rPr>
          <w:rFonts w:ascii="宋体" w:hAnsi="宋体" w:hint="eastAsia"/>
          <w:b/>
          <w:kern w:val="0"/>
          <w:sz w:val="24"/>
        </w:rPr>
        <w:t>侧袋机制</w:t>
      </w:r>
      <w:proofErr w:type="gramEnd"/>
      <w:r>
        <w:rPr>
          <w:rFonts w:ascii="宋体" w:hAnsi="宋体" w:hint="eastAsia"/>
          <w:b/>
          <w:kern w:val="0"/>
          <w:sz w:val="24"/>
        </w:rPr>
        <w:t>的实施条件</w:t>
      </w:r>
    </w:p>
    <w:p w14:paraId="61427A6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sz w:val="24"/>
        </w:rPr>
        <w:t>启用侧袋机制</w:t>
      </w:r>
      <w:proofErr w:type="gramEnd"/>
      <w:r>
        <w:rPr>
          <w:rFonts w:ascii="宋体" w:hAnsi="宋体"/>
          <w:sz w:val="24"/>
        </w:rPr>
        <w:t>。</w:t>
      </w:r>
    </w:p>
    <w:p w14:paraId="4E5DA9F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基金管理人应当在启用</w:t>
      </w:r>
      <w:proofErr w:type="gramStart"/>
      <w:r>
        <w:rPr>
          <w:rFonts w:ascii="宋体" w:hAnsi="宋体"/>
          <w:sz w:val="24"/>
        </w:rPr>
        <w:t>侧袋机制</w:t>
      </w:r>
      <w:proofErr w:type="gramEnd"/>
      <w:r>
        <w:rPr>
          <w:rFonts w:ascii="宋体" w:hAnsi="宋体"/>
          <w:sz w:val="24"/>
        </w:rPr>
        <w:t>后及时发布临时公告，并在五个工作日内聘请</w:t>
      </w:r>
      <w:proofErr w:type="gramStart"/>
      <w:r>
        <w:rPr>
          <w:rFonts w:ascii="宋体" w:hAnsi="宋体"/>
          <w:sz w:val="24"/>
        </w:rPr>
        <w:t>侧袋机制</w:t>
      </w:r>
      <w:proofErr w:type="gramEnd"/>
      <w:r>
        <w:rPr>
          <w:rFonts w:ascii="宋体" w:hAnsi="宋体"/>
          <w:sz w:val="24"/>
        </w:rPr>
        <w:t>启用日发表意见且符合《中华人民共和国证券法》规定的会计师事务所进行审计并披露专项审计意见。</w:t>
      </w:r>
    </w:p>
    <w:p w14:paraId="7A4F2513"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（二）实施</w:t>
      </w:r>
      <w:proofErr w:type="gramStart"/>
      <w:r>
        <w:rPr>
          <w:rFonts w:ascii="宋体" w:hAnsi="宋体" w:hint="eastAsia"/>
          <w:b/>
          <w:kern w:val="0"/>
          <w:sz w:val="24"/>
        </w:rPr>
        <w:t>侧袋机制</w:t>
      </w:r>
      <w:proofErr w:type="gramEnd"/>
      <w:r>
        <w:rPr>
          <w:rFonts w:ascii="宋体" w:hAnsi="宋体" w:hint="eastAsia"/>
          <w:b/>
          <w:kern w:val="0"/>
          <w:sz w:val="24"/>
        </w:rPr>
        <w:t>期间基金份额的申购与赎回</w:t>
      </w:r>
    </w:p>
    <w:p w14:paraId="494E45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1、启用</w:t>
      </w:r>
      <w:proofErr w:type="gramStart"/>
      <w:r>
        <w:rPr>
          <w:rFonts w:ascii="宋体" w:hAnsi="宋体"/>
          <w:sz w:val="24"/>
        </w:rPr>
        <w:t>侧袋机制</w:t>
      </w:r>
      <w:proofErr w:type="gramEnd"/>
      <w:r>
        <w:rPr>
          <w:rFonts w:ascii="宋体" w:hAnsi="宋体"/>
          <w:sz w:val="24"/>
        </w:rPr>
        <w:t>当日，基金登记机构以基金份额持有人的原有账户份额为基础，确认</w:t>
      </w:r>
      <w:proofErr w:type="gramStart"/>
      <w:r>
        <w:rPr>
          <w:rFonts w:ascii="宋体" w:hAnsi="宋体"/>
          <w:sz w:val="24"/>
        </w:rPr>
        <w:t>相应侧袋账户</w:t>
      </w:r>
      <w:proofErr w:type="gramEnd"/>
      <w:r>
        <w:rPr>
          <w:rFonts w:ascii="宋体" w:hAnsi="宋体"/>
          <w:sz w:val="24"/>
        </w:rPr>
        <w:t>基金份额持有人名册和份额；当日收到的申购申请，按照启用</w:t>
      </w:r>
      <w:proofErr w:type="gramStart"/>
      <w:r>
        <w:rPr>
          <w:rFonts w:ascii="宋体" w:hAnsi="宋体"/>
          <w:sz w:val="24"/>
        </w:rPr>
        <w:t>侧袋机制</w:t>
      </w:r>
      <w:proofErr w:type="gramEnd"/>
      <w:r>
        <w:rPr>
          <w:rFonts w:ascii="宋体" w:hAnsi="宋体"/>
          <w:sz w:val="24"/>
        </w:rPr>
        <w:t>后</w:t>
      </w:r>
      <w:proofErr w:type="gramStart"/>
      <w:r>
        <w:rPr>
          <w:rFonts w:ascii="宋体" w:hAnsi="宋体"/>
          <w:sz w:val="24"/>
        </w:rPr>
        <w:t>的主袋账户</w:t>
      </w:r>
      <w:proofErr w:type="gramEnd"/>
      <w:r>
        <w:rPr>
          <w:rFonts w:ascii="宋体" w:hAnsi="宋体"/>
          <w:sz w:val="24"/>
        </w:rPr>
        <w:t>份额办理；当日收到的赎回申请，仅</w:t>
      </w:r>
      <w:proofErr w:type="gramStart"/>
      <w:r>
        <w:rPr>
          <w:rFonts w:ascii="宋体" w:hAnsi="宋体"/>
          <w:sz w:val="24"/>
        </w:rPr>
        <w:t>办理主袋账户</w:t>
      </w:r>
      <w:proofErr w:type="gramEnd"/>
      <w:r>
        <w:rPr>
          <w:rFonts w:ascii="宋体" w:hAnsi="宋体"/>
          <w:sz w:val="24"/>
        </w:rPr>
        <w:t>的赎回申请并支付赎回款项。</w:t>
      </w:r>
    </w:p>
    <w:p w14:paraId="5AD7070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2、实施</w:t>
      </w:r>
      <w:proofErr w:type="gramStart"/>
      <w:r>
        <w:rPr>
          <w:rFonts w:ascii="宋体" w:hAnsi="宋体"/>
          <w:sz w:val="24"/>
        </w:rPr>
        <w:t>侧袋机制</w:t>
      </w:r>
      <w:proofErr w:type="gramEnd"/>
      <w:r>
        <w:rPr>
          <w:rFonts w:ascii="宋体" w:hAnsi="宋体"/>
          <w:sz w:val="24"/>
        </w:rPr>
        <w:t>期间，基金管理人不</w:t>
      </w:r>
      <w:proofErr w:type="gramStart"/>
      <w:r>
        <w:rPr>
          <w:rFonts w:ascii="宋体" w:hAnsi="宋体"/>
          <w:sz w:val="24"/>
        </w:rPr>
        <w:t>办理侧袋账户</w:t>
      </w:r>
      <w:proofErr w:type="gramEnd"/>
      <w:r>
        <w:rPr>
          <w:rFonts w:ascii="宋体" w:hAnsi="宋体"/>
          <w:sz w:val="24"/>
        </w:rPr>
        <w:t>份额的申购、赎回和转换；同时，基金管理人按照基金合同和招募说明书的约定</w:t>
      </w:r>
      <w:proofErr w:type="gramStart"/>
      <w:r>
        <w:rPr>
          <w:rFonts w:ascii="宋体" w:hAnsi="宋体"/>
          <w:sz w:val="24"/>
        </w:rPr>
        <w:t>办理主袋账户</w:t>
      </w:r>
      <w:proofErr w:type="gramEnd"/>
      <w:r>
        <w:rPr>
          <w:rFonts w:ascii="宋体" w:hAnsi="宋体"/>
          <w:sz w:val="24"/>
        </w:rPr>
        <w:t>份额的赎回，并</w:t>
      </w:r>
      <w:proofErr w:type="gramStart"/>
      <w:r>
        <w:rPr>
          <w:rFonts w:ascii="宋体" w:hAnsi="宋体"/>
          <w:sz w:val="24"/>
        </w:rPr>
        <w:t>根据主袋账户</w:t>
      </w:r>
      <w:proofErr w:type="gramEnd"/>
      <w:r>
        <w:rPr>
          <w:rFonts w:ascii="宋体" w:hAnsi="宋体"/>
          <w:sz w:val="24"/>
        </w:rPr>
        <w:t>运作情况确定是否暂停申购。</w:t>
      </w:r>
    </w:p>
    <w:p w14:paraId="06368D4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3、除基金管理人应</w:t>
      </w:r>
      <w:proofErr w:type="gramStart"/>
      <w:r>
        <w:rPr>
          <w:rFonts w:ascii="宋体" w:hAnsi="宋体"/>
          <w:sz w:val="24"/>
        </w:rPr>
        <w:t>按照主袋账户</w:t>
      </w:r>
      <w:proofErr w:type="gramEnd"/>
      <w:r>
        <w:rPr>
          <w:rFonts w:ascii="宋体" w:hAnsi="宋体"/>
          <w:sz w:val="24"/>
        </w:rPr>
        <w:t>的份额净值</w:t>
      </w:r>
      <w:proofErr w:type="gramStart"/>
      <w:r>
        <w:rPr>
          <w:rFonts w:ascii="宋体" w:hAnsi="宋体"/>
          <w:sz w:val="24"/>
        </w:rPr>
        <w:t>办理主袋账户</w:t>
      </w:r>
      <w:proofErr w:type="gramEnd"/>
      <w:r>
        <w:rPr>
          <w:rFonts w:ascii="宋体" w:hAnsi="宋体"/>
          <w:sz w:val="24"/>
        </w:rPr>
        <w:t>份额的申购和赎回外，本招募说明书“基金份额的申购与赎回”部分的申购、赎回规定</w:t>
      </w:r>
      <w:proofErr w:type="gramStart"/>
      <w:r>
        <w:rPr>
          <w:rFonts w:ascii="宋体" w:hAnsi="宋体"/>
          <w:sz w:val="24"/>
        </w:rPr>
        <w:t>适用于主袋账户</w:t>
      </w:r>
      <w:proofErr w:type="gramEnd"/>
      <w:r>
        <w:rPr>
          <w:rFonts w:ascii="宋体" w:hAnsi="宋体"/>
          <w:sz w:val="24"/>
        </w:rPr>
        <w:t>份额。巨额赎回按照单个开放</w:t>
      </w:r>
      <w:proofErr w:type="gramStart"/>
      <w:r>
        <w:rPr>
          <w:rFonts w:ascii="宋体" w:hAnsi="宋体"/>
          <w:sz w:val="24"/>
        </w:rPr>
        <w:t>日内主袋账户</w:t>
      </w:r>
      <w:proofErr w:type="gramEnd"/>
      <w:r>
        <w:rPr>
          <w:rFonts w:ascii="宋体" w:hAnsi="宋体"/>
          <w:sz w:val="24"/>
        </w:rPr>
        <w:t>份额净赎回申请超过前一开放</w:t>
      </w:r>
      <w:proofErr w:type="gramStart"/>
      <w:r>
        <w:rPr>
          <w:rFonts w:ascii="宋体" w:hAnsi="宋体"/>
          <w:sz w:val="24"/>
        </w:rPr>
        <w:t>日主袋账户</w:t>
      </w:r>
      <w:proofErr w:type="gramEnd"/>
      <w:r>
        <w:rPr>
          <w:rFonts w:ascii="宋体" w:hAnsi="宋体"/>
          <w:sz w:val="24"/>
        </w:rPr>
        <w:t>总份额的10%认定。</w:t>
      </w:r>
    </w:p>
    <w:p w14:paraId="75D70441"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（三）实施</w:t>
      </w:r>
      <w:proofErr w:type="gramStart"/>
      <w:r>
        <w:rPr>
          <w:rFonts w:ascii="宋体" w:hAnsi="宋体" w:hint="eastAsia"/>
          <w:b/>
          <w:kern w:val="0"/>
          <w:sz w:val="24"/>
        </w:rPr>
        <w:t>侧袋机制</w:t>
      </w:r>
      <w:proofErr w:type="gramEnd"/>
      <w:r>
        <w:rPr>
          <w:rFonts w:ascii="宋体" w:hAnsi="宋体" w:hint="eastAsia"/>
          <w:b/>
          <w:kern w:val="0"/>
          <w:sz w:val="24"/>
        </w:rPr>
        <w:t>期间的基金投资</w:t>
      </w:r>
    </w:p>
    <w:p w14:paraId="54CB308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实施期间，招募说明书“基金的投资”部分约定的投资组合比例、投资策略、组合限制、业绩比较基准、风险收益特征等约定仅</w:t>
      </w:r>
      <w:proofErr w:type="gramStart"/>
      <w:r>
        <w:rPr>
          <w:rFonts w:ascii="宋体" w:hAnsi="宋体"/>
          <w:sz w:val="24"/>
        </w:rPr>
        <w:t>适用于主袋账户</w:t>
      </w:r>
      <w:proofErr w:type="gramEnd"/>
      <w:r>
        <w:rPr>
          <w:rFonts w:ascii="宋体" w:hAnsi="宋体"/>
          <w:sz w:val="24"/>
        </w:rPr>
        <w:t>。基金管理人计算各项投资运作指标和基金业绩指标时仅需</w:t>
      </w:r>
      <w:proofErr w:type="gramStart"/>
      <w:r>
        <w:rPr>
          <w:rFonts w:ascii="宋体" w:hAnsi="宋体"/>
          <w:sz w:val="24"/>
        </w:rPr>
        <w:t>考虑主袋账户</w:t>
      </w:r>
      <w:proofErr w:type="gramEnd"/>
      <w:r>
        <w:rPr>
          <w:rFonts w:ascii="宋体" w:hAnsi="宋体"/>
          <w:sz w:val="24"/>
        </w:rPr>
        <w:t>资产。</w:t>
      </w:r>
    </w:p>
    <w:p w14:paraId="121212F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基金管理人原则上应当在</w:t>
      </w:r>
      <w:proofErr w:type="gramStart"/>
      <w:r>
        <w:rPr>
          <w:rFonts w:ascii="宋体" w:hAnsi="宋体"/>
          <w:sz w:val="24"/>
        </w:rPr>
        <w:t>侧袋机制</w:t>
      </w:r>
      <w:proofErr w:type="gramEnd"/>
      <w:r>
        <w:rPr>
          <w:rFonts w:ascii="宋体" w:hAnsi="宋体"/>
          <w:sz w:val="24"/>
        </w:rPr>
        <w:t>启用后20个交易日内完成</w:t>
      </w:r>
      <w:proofErr w:type="gramStart"/>
      <w:r>
        <w:rPr>
          <w:rFonts w:ascii="宋体" w:hAnsi="宋体"/>
          <w:sz w:val="24"/>
        </w:rPr>
        <w:t>对主袋账户</w:t>
      </w:r>
      <w:proofErr w:type="gramEnd"/>
      <w:r>
        <w:rPr>
          <w:rFonts w:ascii="宋体" w:hAnsi="宋体"/>
          <w:sz w:val="24"/>
        </w:rPr>
        <w:t>投资组合的调整，因资产流动性受限等中国证监会规定的情形除外。</w:t>
      </w:r>
    </w:p>
    <w:p w14:paraId="5A6DAE9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w:t>
      </w:r>
      <w:proofErr w:type="gramStart"/>
      <w:r>
        <w:rPr>
          <w:rFonts w:ascii="宋体" w:hAnsi="宋体"/>
          <w:sz w:val="24"/>
        </w:rPr>
        <w:t>在侧袋账户</w:t>
      </w:r>
      <w:proofErr w:type="gramEnd"/>
      <w:r>
        <w:rPr>
          <w:rFonts w:ascii="宋体" w:hAnsi="宋体"/>
          <w:sz w:val="24"/>
        </w:rPr>
        <w:t>中进行除特定资产处置变现以外的其他投资操作。</w:t>
      </w:r>
    </w:p>
    <w:p w14:paraId="3CCEFD04"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（四）实施</w:t>
      </w:r>
      <w:proofErr w:type="gramStart"/>
      <w:r>
        <w:rPr>
          <w:rFonts w:ascii="宋体" w:hAnsi="宋体" w:hint="eastAsia"/>
          <w:b/>
          <w:kern w:val="0"/>
          <w:sz w:val="24"/>
        </w:rPr>
        <w:t>侧袋机制</w:t>
      </w:r>
      <w:proofErr w:type="gramEnd"/>
      <w:r>
        <w:rPr>
          <w:rFonts w:ascii="宋体" w:hAnsi="宋体" w:hint="eastAsia"/>
          <w:b/>
          <w:kern w:val="0"/>
          <w:sz w:val="24"/>
        </w:rPr>
        <w:t>期间的基金估值</w:t>
      </w:r>
    </w:p>
    <w:p w14:paraId="6BCD647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的，基金管理人和基金托管人</w:t>
      </w:r>
      <w:proofErr w:type="gramStart"/>
      <w:r>
        <w:rPr>
          <w:rFonts w:ascii="宋体" w:hAnsi="宋体"/>
          <w:sz w:val="24"/>
        </w:rPr>
        <w:t>应对主袋账户</w:t>
      </w:r>
      <w:proofErr w:type="gramEnd"/>
      <w:r>
        <w:rPr>
          <w:rFonts w:ascii="宋体" w:hAnsi="宋体"/>
          <w:sz w:val="24"/>
        </w:rPr>
        <w:t>资产进行估值</w:t>
      </w:r>
      <w:r>
        <w:rPr>
          <w:rFonts w:ascii="宋体" w:hAnsi="宋体"/>
          <w:sz w:val="24"/>
        </w:rPr>
        <w:lastRenderedPageBreak/>
        <w:t>并</w:t>
      </w:r>
      <w:proofErr w:type="gramStart"/>
      <w:r>
        <w:rPr>
          <w:rFonts w:ascii="宋体" w:hAnsi="宋体"/>
          <w:sz w:val="24"/>
        </w:rPr>
        <w:t>披露主袋账户</w:t>
      </w:r>
      <w:proofErr w:type="gramEnd"/>
      <w:r>
        <w:rPr>
          <w:rFonts w:ascii="宋体" w:hAnsi="宋体"/>
          <w:sz w:val="24"/>
        </w:rPr>
        <w:t>的基金净值信息，暂停</w:t>
      </w:r>
      <w:proofErr w:type="gramStart"/>
      <w:r>
        <w:rPr>
          <w:rFonts w:ascii="宋体" w:hAnsi="宋体"/>
          <w:sz w:val="24"/>
        </w:rPr>
        <w:t>披露侧袋账户</w:t>
      </w:r>
      <w:proofErr w:type="gramEnd"/>
      <w:r>
        <w:rPr>
          <w:rFonts w:ascii="宋体" w:hAnsi="宋体"/>
          <w:sz w:val="24"/>
        </w:rPr>
        <w:t>份额净值。</w:t>
      </w:r>
      <w:proofErr w:type="gramStart"/>
      <w:r>
        <w:rPr>
          <w:rFonts w:ascii="宋体" w:hAnsi="宋体"/>
          <w:sz w:val="24"/>
        </w:rPr>
        <w:t>侧袋账户</w:t>
      </w:r>
      <w:proofErr w:type="gramEnd"/>
      <w:r>
        <w:rPr>
          <w:rFonts w:ascii="宋体" w:hAnsi="宋体"/>
          <w:sz w:val="24"/>
        </w:rPr>
        <w:t>的会计核算应符合《企业会计准则》的相关要求。</w:t>
      </w:r>
    </w:p>
    <w:p w14:paraId="4193CCD2"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w:t>
      </w:r>
      <w:proofErr w:type="gramStart"/>
      <w:r>
        <w:rPr>
          <w:rFonts w:ascii="宋体" w:hAnsi="宋体" w:hint="eastAsia"/>
          <w:b/>
          <w:kern w:val="0"/>
          <w:sz w:val="24"/>
        </w:rPr>
        <w:t>实施侧袋账户</w:t>
      </w:r>
      <w:proofErr w:type="gramEnd"/>
      <w:r>
        <w:rPr>
          <w:rFonts w:ascii="宋体" w:hAnsi="宋体" w:hint="eastAsia"/>
          <w:b/>
          <w:kern w:val="0"/>
          <w:sz w:val="24"/>
        </w:rPr>
        <w:t>期间的基金费用</w:t>
      </w:r>
    </w:p>
    <w:p w14:paraId="5E2578E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1、本基金实施</w:t>
      </w:r>
      <w:proofErr w:type="gramStart"/>
      <w:r>
        <w:rPr>
          <w:rFonts w:ascii="宋体" w:hAnsi="宋体"/>
          <w:sz w:val="24"/>
        </w:rPr>
        <w:t>侧袋机制</w:t>
      </w:r>
      <w:proofErr w:type="gramEnd"/>
      <w:r>
        <w:rPr>
          <w:rFonts w:ascii="宋体" w:hAnsi="宋体"/>
          <w:sz w:val="24"/>
        </w:rPr>
        <w:t>的，管理费和托管费等</w:t>
      </w:r>
      <w:proofErr w:type="gramStart"/>
      <w:r>
        <w:rPr>
          <w:rFonts w:ascii="宋体" w:hAnsi="宋体"/>
          <w:sz w:val="24"/>
        </w:rPr>
        <w:t>按主袋账户</w:t>
      </w:r>
      <w:proofErr w:type="gramEnd"/>
      <w:r>
        <w:rPr>
          <w:rFonts w:ascii="宋体" w:hAnsi="宋体"/>
          <w:sz w:val="24"/>
        </w:rPr>
        <w:t>基金资产净值作为基数计提。</w:t>
      </w:r>
    </w:p>
    <w:p w14:paraId="5E9CA70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proofErr w:type="gramStart"/>
      <w:r>
        <w:rPr>
          <w:rFonts w:ascii="宋体" w:hAnsi="宋体"/>
          <w:sz w:val="24"/>
        </w:rPr>
        <w:t>与侧袋账户</w:t>
      </w:r>
      <w:proofErr w:type="gramEnd"/>
      <w:r>
        <w:rPr>
          <w:rFonts w:ascii="宋体" w:hAnsi="宋体"/>
          <w:sz w:val="24"/>
        </w:rPr>
        <w:t>有关的费用可</w:t>
      </w:r>
      <w:proofErr w:type="gramStart"/>
      <w:r>
        <w:rPr>
          <w:rFonts w:ascii="宋体" w:hAnsi="宋体"/>
          <w:sz w:val="24"/>
        </w:rPr>
        <w:t>从侧袋账户</w:t>
      </w:r>
      <w:proofErr w:type="gramEnd"/>
      <w:r>
        <w:rPr>
          <w:rFonts w:ascii="宋体" w:hAnsi="宋体"/>
          <w:sz w:val="24"/>
        </w:rPr>
        <w:t>中列支，但应</w:t>
      </w:r>
      <w:proofErr w:type="gramStart"/>
      <w:r>
        <w:rPr>
          <w:rFonts w:ascii="宋体" w:hAnsi="宋体"/>
          <w:sz w:val="24"/>
        </w:rPr>
        <w:t>待侧袋</w:t>
      </w:r>
      <w:proofErr w:type="gramEnd"/>
      <w:r>
        <w:rPr>
          <w:rFonts w:ascii="宋体" w:hAnsi="宋体"/>
          <w:sz w:val="24"/>
        </w:rPr>
        <w:t>账户资产变现后方可列支，有关费用可酌情收取或减免，但不得收取管理费。</w:t>
      </w:r>
    </w:p>
    <w:p w14:paraId="3AC0F20A"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w:t>
      </w:r>
      <w:proofErr w:type="gramStart"/>
      <w:r>
        <w:rPr>
          <w:rFonts w:ascii="宋体" w:hAnsi="宋体" w:hint="eastAsia"/>
          <w:b/>
          <w:kern w:val="0"/>
          <w:sz w:val="24"/>
        </w:rPr>
        <w:t>侧袋账户</w:t>
      </w:r>
      <w:proofErr w:type="gramEnd"/>
      <w:r>
        <w:rPr>
          <w:rFonts w:ascii="宋体" w:hAnsi="宋体" w:hint="eastAsia"/>
          <w:b/>
          <w:kern w:val="0"/>
          <w:sz w:val="24"/>
        </w:rPr>
        <w:t>中特定资产的处置变现和支付</w:t>
      </w:r>
    </w:p>
    <w:p w14:paraId="1712477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w:t>
      </w:r>
      <w:proofErr w:type="gramStart"/>
      <w:r>
        <w:rPr>
          <w:rFonts w:ascii="宋体" w:hAnsi="宋体"/>
          <w:sz w:val="24"/>
        </w:rPr>
        <w:t>向侧袋账户</w:t>
      </w:r>
      <w:proofErr w:type="gramEnd"/>
      <w:r>
        <w:rPr>
          <w:rFonts w:ascii="宋体" w:hAnsi="宋体"/>
          <w:sz w:val="24"/>
        </w:rPr>
        <w:t>份额持有人支付对应变现款项。</w:t>
      </w:r>
    </w:p>
    <w:p w14:paraId="334BA3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w:t>
      </w:r>
      <w:proofErr w:type="gramStart"/>
      <w:r>
        <w:rPr>
          <w:rFonts w:ascii="宋体" w:hAnsi="宋体"/>
          <w:sz w:val="24"/>
        </w:rPr>
        <w:t>无论侧袋账户</w:t>
      </w:r>
      <w:proofErr w:type="gramEnd"/>
      <w:r>
        <w:rPr>
          <w:rFonts w:ascii="宋体" w:hAnsi="宋体"/>
          <w:sz w:val="24"/>
        </w:rPr>
        <w:t>资产是否全部完成变现，基金管理人都应当及时</w:t>
      </w:r>
      <w:proofErr w:type="gramStart"/>
      <w:r>
        <w:rPr>
          <w:rFonts w:ascii="宋体" w:hAnsi="宋体"/>
          <w:sz w:val="24"/>
        </w:rPr>
        <w:t>向侧袋账户</w:t>
      </w:r>
      <w:proofErr w:type="gramEnd"/>
      <w:r>
        <w:rPr>
          <w:rFonts w:ascii="宋体" w:hAnsi="宋体"/>
          <w:sz w:val="24"/>
        </w:rPr>
        <w:t>全部份额持有人支付已变现部分对应的款项。</w:t>
      </w:r>
      <w:proofErr w:type="gramStart"/>
      <w:r>
        <w:rPr>
          <w:rFonts w:ascii="宋体" w:hAnsi="宋体"/>
          <w:sz w:val="24"/>
        </w:rPr>
        <w:t>若侧袋</w:t>
      </w:r>
      <w:proofErr w:type="gramEnd"/>
      <w:r>
        <w:rPr>
          <w:rFonts w:ascii="宋体" w:hAnsi="宋体"/>
          <w:sz w:val="24"/>
        </w:rPr>
        <w:t>账户资产无法一次性完成处置变现，基金管理人在每次处置变现后均应按照相关法律法规要求及时发布临时公告。</w:t>
      </w:r>
    </w:p>
    <w:p w14:paraId="77D6C8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侧袋账户</w:t>
      </w:r>
      <w:proofErr w:type="gramEnd"/>
      <w:r>
        <w:rPr>
          <w:rFonts w:ascii="宋体" w:hAnsi="宋体"/>
          <w:sz w:val="24"/>
        </w:rPr>
        <w:t>资产全部完成变现并终止</w:t>
      </w:r>
      <w:proofErr w:type="gramStart"/>
      <w:r>
        <w:rPr>
          <w:rFonts w:ascii="宋体" w:hAnsi="宋体"/>
          <w:sz w:val="24"/>
        </w:rPr>
        <w:t>侧袋机制</w:t>
      </w:r>
      <w:proofErr w:type="gramEnd"/>
      <w:r>
        <w:rPr>
          <w:rFonts w:ascii="宋体" w:hAnsi="宋体"/>
          <w:sz w:val="24"/>
        </w:rPr>
        <w:t>后，基金管理人应及时聘请符合《中华人民共和国证券法》规定的会计师事务所进行审计并披露专项审计意见。</w:t>
      </w:r>
    </w:p>
    <w:p w14:paraId="05C6AFB7"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w:t>
      </w:r>
      <w:proofErr w:type="gramStart"/>
      <w:r>
        <w:rPr>
          <w:rFonts w:ascii="宋体" w:hAnsi="宋体" w:hint="eastAsia"/>
          <w:b/>
          <w:kern w:val="0"/>
          <w:sz w:val="24"/>
        </w:rPr>
        <w:t>侧袋机制</w:t>
      </w:r>
      <w:proofErr w:type="gramEnd"/>
      <w:r>
        <w:rPr>
          <w:rFonts w:ascii="宋体" w:hAnsi="宋体" w:hint="eastAsia"/>
          <w:b/>
          <w:kern w:val="0"/>
          <w:sz w:val="24"/>
        </w:rPr>
        <w:t>的信息披露</w:t>
      </w:r>
    </w:p>
    <w:p w14:paraId="324FAA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1、临时公告</w:t>
      </w:r>
    </w:p>
    <w:p w14:paraId="353E01F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w:t>
      </w:r>
      <w:proofErr w:type="gramStart"/>
      <w:r>
        <w:rPr>
          <w:rFonts w:ascii="宋体" w:hAnsi="宋体"/>
          <w:sz w:val="24"/>
        </w:rPr>
        <w:t>启用侧袋机制</w:t>
      </w:r>
      <w:proofErr w:type="gramEnd"/>
      <w:r>
        <w:rPr>
          <w:rFonts w:ascii="宋体" w:hAnsi="宋体"/>
          <w:sz w:val="24"/>
        </w:rPr>
        <w:t>、处置特定资产、终止</w:t>
      </w:r>
      <w:proofErr w:type="gramStart"/>
      <w:r>
        <w:rPr>
          <w:rFonts w:ascii="宋体" w:hAnsi="宋体"/>
          <w:sz w:val="24"/>
        </w:rPr>
        <w:t>侧袋机制</w:t>
      </w:r>
      <w:proofErr w:type="gramEnd"/>
      <w:r>
        <w:rPr>
          <w:rFonts w:ascii="宋体" w:hAnsi="宋体"/>
          <w:sz w:val="24"/>
        </w:rPr>
        <w:t>以及发生其他可能对投资者利益产生重大影响的事项后基金管理人应及时发布临时公告。</w:t>
      </w:r>
    </w:p>
    <w:p w14:paraId="26DD212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2、基金净值信息</w:t>
      </w:r>
    </w:p>
    <w:p w14:paraId="0C4D2A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基金管理人应按照招募说明书“基金的信息披露”部分规定的基金净值信息披露方式和频率</w:t>
      </w:r>
      <w:proofErr w:type="gramStart"/>
      <w:r>
        <w:rPr>
          <w:rFonts w:ascii="宋体" w:hAnsi="宋体"/>
          <w:sz w:val="24"/>
        </w:rPr>
        <w:t>披露主袋账户</w:t>
      </w:r>
      <w:proofErr w:type="gramEnd"/>
      <w:r>
        <w:rPr>
          <w:rFonts w:ascii="宋体" w:hAnsi="宋体"/>
          <w:sz w:val="24"/>
        </w:rPr>
        <w:t>份额的基金净值信息。实施</w:t>
      </w:r>
      <w:proofErr w:type="gramStart"/>
      <w:r>
        <w:rPr>
          <w:rFonts w:ascii="宋体" w:hAnsi="宋体"/>
          <w:sz w:val="24"/>
        </w:rPr>
        <w:t>侧袋机制</w:t>
      </w:r>
      <w:proofErr w:type="gramEnd"/>
      <w:r>
        <w:rPr>
          <w:rFonts w:ascii="宋体" w:hAnsi="宋体"/>
          <w:sz w:val="24"/>
        </w:rPr>
        <w:t>期间本基金暂停</w:t>
      </w:r>
      <w:proofErr w:type="gramStart"/>
      <w:r>
        <w:rPr>
          <w:rFonts w:ascii="宋体" w:hAnsi="宋体"/>
          <w:sz w:val="24"/>
        </w:rPr>
        <w:t>披露侧袋账户</w:t>
      </w:r>
      <w:proofErr w:type="gramEnd"/>
      <w:r>
        <w:rPr>
          <w:rFonts w:ascii="宋体" w:hAnsi="宋体"/>
          <w:sz w:val="24"/>
        </w:rPr>
        <w:t>份额净值和累计净值。</w:t>
      </w:r>
    </w:p>
    <w:p w14:paraId="0762B62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3、定期报告</w:t>
      </w:r>
    </w:p>
    <w:p w14:paraId="70F3B6D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实施期间，基金管理人应当在基金定期报告中披露报告期</w:t>
      </w:r>
      <w:proofErr w:type="gramStart"/>
      <w:r>
        <w:rPr>
          <w:rFonts w:ascii="宋体" w:hAnsi="宋体"/>
          <w:sz w:val="24"/>
        </w:rPr>
        <w:t>内侧袋</w:t>
      </w:r>
      <w:proofErr w:type="gramEnd"/>
      <w:r>
        <w:rPr>
          <w:rFonts w:ascii="宋体" w:hAnsi="宋体"/>
          <w:sz w:val="24"/>
        </w:rPr>
        <w:t>账户相关信息，基金定期报告中的基金会计报表仅需</w:t>
      </w:r>
      <w:proofErr w:type="gramStart"/>
      <w:r>
        <w:rPr>
          <w:rFonts w:ascii="宋体" w:hAnsi="宋体"/>
          <w:sz w:val="24"/>
        </w:rPr>
        <w:t>针对主袋账户</w:t>
      </w:r>
      <w:proofErr w:type="gramEnd"/>
      <w:r>
        <w:rPr>
          <w:rFonts w:ascii="宋体" w:hAnsi="宋体"/>
          <w:sz w:val="24"/>
        </w:rPr>
        <w:t>进行编制。会计师事务所对基金年度报告进行审计时，应对报告期内基金</w:t>
      </w:r>
      <w:proofErr w:type="gramStart"/>
      <w:r>
        <w:rPr>
          <w:rFonts w:ascii="宋体" w:hAnsi="宋体"/>
          <w:sz w:val="24"/>
        </w:rPr>
        <w:t>侧袋机制</w:t>
      </w:r>
      <w:proofErr w:type="gramEnd"/>
      <w:r>
        <w:rPr>
          <w:rFonts w:ascii="宋体" w:hAnsi="宋体"/>
          <w:sz w:val="24"/>
        </w:rPr>
        <w:t>运行相关的会计核算和年度报告披露等发表审计意见。</w:t>
      </w:r>
    </w:p>
    <w:p w14:paraId="50BAFFF2"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14:paraId="30F9C1A7" w14:textId="77777777" w:rsidR="001D6314" w:rsidRDefault="00130266">
      <w:pPr>
        <w:pStyle w:val="1"/>
        <w:snapToGrid w:val="0"/>
        <w:spacing w:beforeLines="0" w:before="240" w:after="240"/>
        <w:rPr>
          <w:rFonts w:ascii="宋体" w:hAnsi="宋体"/>
          <w:szCs w:val="30"/>
        </w:rPr>
      </w:pPr>
      <w:bookmarkStart w:id="22" w:name="_Toc216872014"/>
      <w:r>
        <w:rPr>
          <w:rFonts w:ascii="Times New Roman" w:hAnsi="Times New Roman"/>
          <w:sz w:val="30"/>
        </w:rPr>
        <w:lastRenderedPageBreak/>
        <w:t>十九、风险揭示</w:t>
      </w:r>
      <w:bookmarkEnd w:id="22"/>
    </w:p>
    <w:p w14:paraId="7886FC3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6D87581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w:t>
      </w:r>
      <w:proofErr w:type="gramStart"/>
      <w:r>
        <w:rPr>
          <w:rFonts w:ascii="宋体" w:hAnsi="宋体"/>
          <w:sz w:val="24"/>
        </w:rPr>
        <w:t>规</w:t>
      </w:r>
      <w:proofErr w:type="gramEnd"/>
      <w:r>
        <w:rPr>
          <w:rFonts w:ascii="宋体" w:hAnsi="宋体"/>
          <w:sz w:val="24"/>
        </w:rPr>
        <w:t>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w:t>
      </w:r>
    </w:p>
    <w:p w14:paraId="7C4B89E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78F54BA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w:t>
      </w:r>
      <w:proofErr w:type="gramStart"/>
      <w:r>
        <w:rPr>
          <w:rFonts w:ascii="宋体" w:hAnsi="宋体"/>
          <w:sz w:val="24"/>
        </w:rPr>
        <w:t>等判断</w:t>
      </w:r>
      <w:proofErr w:type="gramEnd"/>
      <w:r>
        <w:rPr>
          <w:rFonts w:ascii="宋体" w:hAnsi="宋体"/>
          <w:sz w:val="24"/>
        </w:rPr>
        <w:t>基金是否和投资人的风险承受能力相适应。</w:t>
      </w:r>
    </w:p>
    <w:p w14:paraId="756390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07A746F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14:paraId="375B18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w:t>
      </w:r>
      <w:r>
        <w:rPr>
          <w:rFonts w:ascii="宋体" w:hAnsi="宋体"/>
          <w:sz w:val="24"/>
        </w:rPr>
        <w:lastRenderedPageBreak/>
        <w:t>自行负担。</w:t>
      </w:r>
    </w:p>
    <w:p w14:paraId="3CD04F9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14:paraId="1E8B3525"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（一）市场风险</w:t>
      </w:r>
    </w:p>
    <w:p w14:paraId="5D8290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14:paraId="74F32F3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14:paraId="3066B90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14:paraId="6FD4306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3A51E5D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72EB3DD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14:paraId="45B09861"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（二）管理风险</w:t>
      </w:r>
    </w:p>
    <w:p w14:paraId="22D2A67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06490C4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（三）流动性风险</w:t>
      </w:r>
    </w:p>
    <w:p w14:paraId="3B68F2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w:t>
      </w:r>
      <w:r>
        <w:rPr>
          <w:rFonts w:ascii="宋体" w:hAnsi="宋体"/>
          <w:sz w:val="24"/>
        </w:rPr>
        <w:lastRenderedPageBreak/>
        <w:t>资产变现能力差，可能会产生基金</w:t>
      </w:r>
      <w:proofErr w:type="gramStart"/>
      <w:r>
        <w:rPr>
          <w:rFonts w:ascii="宋体" w:hAnsi="宋体"/>
          <w:sz w:val="24"/>
        </w:rPr>
        <w:t>仓位</w:t>
      </w:r>
      <w:proofErr w:type="gramEnd"/>
      <w:r>
        <w:rPr>
          <w:rFonts w:ascii="宋体" w:hAnsi="宋体"/>
          <w:sz w:val="24"/>
        </w:rPr>
        <w:t>调整的困难，导致流动性风险，可能影响基金份额净值。</w:t>
      </w:r>
    </w:p>
    <w:p w14:paraId="443D81D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14:paraId="06A9D6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基金管理人可根据实际情况依法决定本基金开始办理申购的具体日期，具体业务办理时间在申购开始公告中规定。基金管理人自基金合同生效之日起不超过3个月开始办理赎回业务，具体业务办理时间在赎回开始公告中规定。</w:t>
      </w:r>
    </w:p>
    <w:p w14:paraId="3C87F04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14:paraId="461A84A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本基金的投资市场主要为证券交易所、全国银行间债券市场等流动性较好的规范型交易场所，主要投资对象为具有良好流动性的金融工具，同时本基金基于分散投资的原则在行业和个</w:t>
      </w:r>
      <w:proofErr w:type="gramStart"/>
      <w:r>
        <w:rPr>
          <w:rFonts w:ascii="宋体" w:hAnsi="宋体"/>
          <w:sz w:val="24"/>
        </w:rPr>
        <w:t>券</w:t>
      </w:r>
      <w:proofErr w:type="gramEnd"/>
      <w:r>
        <w:rPr>
          <w:rFonts w:ascii="宋体" w:hAnsi="宋体"/>
          <w:sz w:val="24"/>
        </w:rPr>
        <w:t>方面未有高集中度的特征，综合评估在正常市场环境下本基金的流动性风险适中。</w:t>
      </w:r>
    </w:p>
    <w:p w14:paraId="0260BE5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14:paraId="54739D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726555B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3495D1F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72A539C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w:t>
      </w:r>
      <w:r>
        <w:rPr>
          <w:rFonts w:ascii="宋体" w:hAnsi="宋体"/>
          <w:sz w:val="24"/>
        </w:rPr>
        <w:lastRenderedPageBreak/>
        <w:t>以下</w:t>
      </w:r>
      <w:proofErr w:type="gramEnd"/>
      <w:r>
        <w:rPr>
          <w:rFonts w:ascii="宋体" w:hAnsi="宋体"/>
          <w:sz w:val="24"/>
        </w:rPr>
        <w:t>一开放日该类基金份额的基金份额净值为基础计算赎回金额，以此类推，直到全部赎回为止。如投资人在提交赎回申请时未作明确选择，投资人未能赎回部分作自动延期赎回处理。</w:t>
      </w:r>
    </w:p>
    <w:p w14:paraId="47A5D4C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14:paraId="3FE139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一开放日该类基金份额的基金份额净值为基础计算赎回金额，以此类推，直到全部赎回为止。</w:t>
      </w:r>
    </w:p>
    <w:p w14:paraId="3E63ED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14:paraId="1A8BB94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7D4F2FB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14:paraId="61E7047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14:paraId="76A2C9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w:t>
      </w:r>
      <w:proofErr w:type="gramStart"/>
      <w:r>
        <w:rPr>
          <w:rFonts w:ascii="宋体" w:hAnsi="宋体"/>
          <w:sz w:val="24"/>
        </w:rPr>
        <w:t>侧袋机制</w:t>
      </w:r>
      <w:proofErr w:type="gramEnd"/>
      <w:r>
        <w:rPr>
          <w:rFonts w:ascii="宋体" w:hAnsi="宋体"/>
          <w:sz w:val="24"/>
        </w:rPr>
        <w:t>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14:paraId="5E0BD6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是一种流动性风险管理工具，是将特定资产分离</w:t>
      </w:r>
      <w:proofErr w:type="gramStart"/>
      <w:r>
        <w:rPr>
          <w:rFonts w:ascii="宋体" w:hAnsi="宋体"/>
          <w:sz w:val="24"/>
        </w:rPr>
        <w:t>至专门的侧袋</w:t>
      </w:r>
      <w:proofErr w:type="gramEnd"/>
      <w:r>
        <w:rPr>
          <w:rFonts w:ascii="宋体" w:hAnsi="宋体"/>
          <w:sz w:val="24"/>
        </w:rPr>
        <w:t>账户进行处置清算，并以处置变现后的款项向基金份额持有人进行支付，目的在于有效隔</w:t>
      </w:r>
      <w:r>
        <w:rPr>
          <w:rFonts w:ascii="宋体" w:hAnsi="宋体"/>
          <w:sz w:val="24"/>
        </w:rPr>
        <w:lastRenderedPageBreak/>
        <w:t>离并化解风险。但基金启用</w:t>
      </w:r>
      <w:proofErr w:type="gramStart"/>
      <w:r>
        <w:rPr>
          <w:rFonts w:ascii="宋体" w:hAnsi="宋体"/>
          <w:sz w:val="24"/>
        </w:rPr>
        <w:t>侧袋机制</w:t>
      </w:r>
      <w:proofErr w:type="gramEnd"/>
      <w:r>
        <w:rPr>
          <w:rFonts w:ascii="宋体" w:hAnsi="宋体"/>
          <w:sz w:val="24"/>
        </w:rPr>
        <w:t>后，</w:t>
      </w:r>
      <w:proofErr w:type="gramStart"/>
      <w:r>
        <w:rPr>
          <w:rFonts w:ascii="宋体" w:hAnsi="宋体"/>
          <w:sz w:val="24"/>
        </w:rPr>
        <w:t>侧袋账户</w:t>
      </w:r>
      <w:proofErr w:type="gramEnd"/>
      <w:r>
        <w:rPr>
          <w:rFonts w:ascii="宋体" w:hAnsi="宋体"/>
          <w:sz w:val="24"/>
        </w:rPr>
        <w:t>份额将停止披露基金份额净值，并不得办理申购、赎回和转换，因此启用</w:t>
      </w:r>
      <w:proofErr w:type="gramStart"/>
      <w:r>
        <w:rPr>
          <w:rFonts w:ascii="宋体" w:hAnsi="宋体"/>
          <w:sz w:val="24"/>
        </w:rPr>
        <w:t>侧袋机制</w:t>
      </w:r>
      <w:proofErr w:type="gramEnd"/>
      <w:r>
        <w:rPr>
          <w:rFonts w:ascii="宋体" w:hAnsi="宋体"/>
          <w:sz w:val="24"/>
        </w:rPr>
        <w:t>时持有基金份额的持有人将在启用</w:t>
      </w:r>
      <w:proofErr w:type="gramStart"/>
      <w:r>
        <w:rPr>
          <w:rFonts w:ascii="宋体" w:hAnsi="宋体"/>
          <w:sz w:val="24"/>
        </w:rPr>
        <w:t>侧袋机制</w:t>
      </w:r>
      <w:proofErr w:type="gramEnd"/>
      <w:r>
        <w:rPr>
          <w:rFonts w:ascii="宋体" w:hAnsi="宋体"/>
          <w:sz w:val="24"/>
        </w:rPr>
        <w:t>后同时</w:t>
      </w:r>
      <w:proofErr w:type="gramStart"/>
      <w:r>
        <w:rPr>
          <w:rFonts w:ascii="宋体" w:hAnsi="宋体"/>
          <w:sz w:val="24"/>
        </w:rPr>
        <w:t>持有主袋账户</w:t>
      </w:r>
      <w:proofErr w:type="gramEnd"/>
      <w:r>
        <w:rPr>
          <w:rFonts w:ascii="宋体" w:hAnsi="宋体"/>
          <w:sz w:val="24"/>
        </w:rPr>
        <w:t>份额和</w:t>
      </w:r>
      <w:proofErr w:type="gramStart"/>
      <w:r>
        <w:rPr>
          <w:rFonts w:ascii="宋体" w:hAnsi="宋体"/>
          <w:sz w:val="24"/>
        </w:rPr>
        <w:t>侧袋</w:t>
      </w:r>
      <w:proofErr w:type="gramEnd"/>
      <w:r>
        <w:rPr>
          <w:rFonts w:ascii="宋体" w:hAnsi="宋体"/>
          <w:sz w:val="24"/>
        </w:rPr>
        <w:t>账户份额，</w:t>
      </w:r>
      <w:proofErr w:type="gramStart"/>
      <w:r>
        <w:rPr>
          <w:rFonts w:ascii="宋体" w:hAnsi="宋体"/>
          <w:sz w:val="24"/>
        </w:rPr>
        <w:t>侧袋账户</w:t>
      </w:r>
      <w:proofErr w:type="gramEnd"/>
      <w:r>
        <w:rPr>
          <w:rFonts w:ascii="宋体" w:hAnsi="宋体"/>
          <w:sz w:val="24"/>
        </w:rPr>
        <w:t>份额不能赎回，其对应特定资产的变现时间具有不确定性，最终变现价格也具有不确定性并且有可能大幅低于启用</w:t>
      </w:r>
      <w:proofErr w:type="gramStart"/>
      <w:r>
        <w:rPr>
          <w:rFonts w:ascii="宋体" w:hAnsi="宋体"/>
          <w:sz w:val="24"/>
        </w:rPr>
        <w:t>侧袋机制</w:t>
      </w:r>
      <w:proofErr w:type="gramEnd"/>
      <w:r>
        <w:rPr>
          <w:rFonts w:ascii="宋体" w:hAnsi="宋体"/>
          <w:sz w:val="24"/>
        </w:rPr>
        <w:t>时的特定资产的估值，基金份额持有人可能因此面临损失。</w:t>
      </w:r>
    </w:p>
    <w:p w14:paraId="072D035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实施</w:t>
      </w:r>
      <w:proofErr w:type="gramStart"/>
      <w:r>
        <w:rPr>
          <w:rFonts w:ascii="宋体" w:hAnsi="宋体"/>
          <w:sz w:val="24"/>
        </w:rPr>
        <w:t>侧袋机制</w:t>
      </w:r>
      <w:proofErr w:type="gramEnd"/>
      <w:r>
        <w:rPr>
          <w:rFonts w:ascii="宋体" w:hAnsi="宋体"/>
          <w:sz w:val="24"/>
        </w:rPr>
        <w:t>期间，因本基金不</w:t>
      </w:r>
      <w:proofErr w:type="gramStart"/>
      <w:r>
        <w:rPr>
          <w:rFonts w:ascii="宋体" w:hAnsi="宋体"/>
          <w:sz w:val="24"/>
        </w:rPr>
        <w:t>披露侧袋账户</w:t>
      </w:r>
      <w:proofErr w:type="gramEnd"/>
      <w:r>
        <w:rPr>
          <w:rFonts w:ascii="宋体" w:hAnsi="宋体"/>
          <w:sz w:val="24"/>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64E6C75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w:t>
      </w:r>
      <w:proofErr w:type="gramStart"/>
      <w:r>
        <w:rPr>
          <w:rFonts w:ascii="宋体" w:hAnsi="宋体"/>
          <w:sz w:val="24"/>
        </w:rPr>
        <w:t>根据主袋账户</w:t>
      </w:r>
      <w:proofErr w:type="gramEnd"/>
      <w:r>
        <w:rPr>
          <w:rFonts w:ascii="宋体" w:hAnsi="宋体"/>
          <w:sz w:val="24"/>
        </w:rPr>
        <w:t>运作情况合理确定申购政策，因此实施</w:t>
      </w:r>
      <w:proofErr w:type="gramStart"/>
      <w:r>
        <w:rPr>
          <w:rFonts w:ascii="宋体" w:hAnsi="宋体"/>
          <w:sz w:val="24"/>
        </w:rPr>
        <w:t>侧袋机制</w:t>
      </w:r>
      <w:proofErr w:type="gramEnd"/>
      <w:r>
        <w:rPr>
          <w:rFonts w:ascii="宋体" w:hAnsi="宋体"/>
          <w:sz w:val="24"/>
        </w:rPr>
        <w:t>后主袋账户份额存在暂停申购的可能。</w:t>
      </w:r>
    </w:p>
    <w:p w14:paraId="047B776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w:t>
      </w:r>
      <w:proofErr w:type="gramStart"/>
      <w:r>
        <w:rPr>
          <w:rFonts w:ascii="宋体" w:hAnsi="宋体"/>
          <w:sz w:val="24"/>
        </w:rPr>
        <w:t>侧袋机制</w:t>
      </w:r>
      <w:proofErr w:type="gramEnd"/>
      <w:r>
        <w:rPr>
          <w:rFonts w:ascii="宋体" w:hAnsi="宋体"/>
          <w:sz w:val="24"/>
        </w:rPr>
        <w:t>后，基金管理人计算各项投资运作指标和基金业绩指标时仅需</w:t>
      </w:r>
      <w:proofErr w:type="gramStart"/>
      <w:r>
        <w:rPr>
          <w:rFonts w:ascii="宋体" w:hAnsi="宋体"/>
          <w:sz w:val="24"/>
        </w:rPr>
        <w:t>考虑主袋账户</w:t>
      </w:r>
      <w:proofErr w:type="gramEnd"/>
      <w:r>
        <w:rPr>
          <w:rFonts w:ascii="宋体" w:hAnsi="宋体"/>
          <w:sz w:val="24"/>
        </w:rPr>
        <w:t>资产，基金业绩指标应当</w:t>
      </w:r>
      <w:proofErr w:type="gramStart"/>
      <w:r>
        <w:rPr>
          <w:rFonts w:ascii="宋体" w:hAnsi="宋体"/>
          <w:sz w:val="24"/>
        </w:rPr>
        <w:t>以主袋账户</w:t>
      </w:r>
      <w:proofErr w:type="gramEnd"/>
      <w:r>
        <w:rPr>
          <w:rFonts w:ascii="宋体" w:hAnsi="宋体"/>
          <w:sz w:val="24"/>
        </w:rPr>
        <w:t>资产为基准，因此本基金披露的业绩指标不能反映特定资产的真实价值及变化情况。</w:t>
      </w:r>
    </w:p>
    <w:p w14:paraId="0F9FA55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（四）信用风险</w:t>
      </w:r>
    </w:p>
    <w:p w14:paraId="7A970A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基金在交易过程发生交收违约，或者基金所投资债券之发行人出现违约、拒绝支付到期本息，都可能导致基金资产损失和收益变化，从而产生风险。</w:t>
      </w:r>
    </w:p>
    <w:p w14:paraId="0F768DF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（五）本基金的特有风险</w:t>
      </w:r>
    </w:p>
    <w:p w14:paraId="523155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1、本基金为股票型基金，投资于中证红利低波动100指数成份股（</w:t>
      </w:r>
      <w:proofErr w:type="gramStart"/>
      <w:r>
        <w:rPr>
          <w:rFonts w:ascii="宋体" w:hAnsi="宋体"/>
          <w:sz w:val="24"/>
        </w:rPr>
        <w:t>含存托</w:t>
      </w:r>
      <w:proofErr w:type="gramEnd"/>
      <w:r>
        <w:rPr>
          <w:rFonts w:ascii="宋体" w:hAnsi="宋体"/>
          <w:sz w:val="24"/>
        </w:rPr>
        <w:t>凭证）及备选成份股（</w:t>
      </w:r>
      <w:proofErr w:type="gramStart"/>
      <w:r>
        <w:rPr>
          <w:rFonts w:ascii="宋体" w:hAnsi="宋体"/>
          <w:sz w:val="24"/>
        </w:rPr>
        <w:t>含存托</w:t>
      </w:r>
      <w:proofErr w:type="gramEnd"/>
      <w:r>
        <w:rPr>
          <w:rFonts w:ascii="宋体" w:hAnsi="宋体"/>
          <w:sz w:val="24"/>
        </w:rPr>
        <w:t>凭证）的比例不低于基金资产净值的90%，因投资权益类资产而面临权益类资产市场的系统性风险和个股风险；</w:t>
      </w:r>
    </w:p>
    <w:p w14:paraId="49B5C38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2、标的指数回报与股票市场平均回报偏离的风险</w:t>
      </w:r>
    </w:p>
    <w:p w14:paraId="5D1C2B3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标的指数并不能完全代表整个股票市场。标的指数成份股的平均回报率与整个股票市场的平均回报率可能存在偏离。</w:t>
      </w:r>
    </w:p>
    <w:p w14:paraId="1CB3279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3、标的指数波动的风险</w:t>
      </w:r>
    </w:p>
    <w:p w14:paraId="200285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标的指数成份股的价格可能受到政治因素、经济因素、上市公司经营状况、投资人心理和交易制度等各种因素的影响而波动，导致指数波动，从而使基金收益水平发生变化，产生风险。</w:t>
      </w:r>
    </w:p>
    <w:p w14:paraId="1BC1A73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4、基金投资组合回报与标的指数回报偏离的风险</w:t>
      </w:r>
    </w:p>
    <w:p w14:paraId="6F385ED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以下因素可能使基金投资组合的收益率与标的指数的收益率发生偏离：</w:t>
      </w:r>
    </w:p>
    <w:p w14:paraId="609C30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（1）由于标的指数调整成份股或变更编制方法，使本基金在相应的组合调整中产生跟踪偏离度与跟踪误差。</w:t>
      </w:r>
    </w:p>
    <w:p w14:paraId="62FCC39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（2）由于标的指数成份股发生配股、增发等行为导致成份股在标的指数中的权重发生变化，使本基金在相应的组合调整中产生跟踪偏离度和跟踪误差。</w:t>
      </w:r>
    </w:p>
    <w:p w14:paraId="15E92B3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（3）标的指数成份股派发现金红利、新股市值配售收益将导致基金收益率超过标的指数收益率，产生正的跟踪偏离度。</w:t>
      </w:r>
    </w:p>
    <w:p w14:paraId="2D2B93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（4）由于标的指数成份股停牌、摘牌或流动性差等原因使本基金无法及时调整投资组合或承担冲击成本而产生跟踪偏离度和跟踪误差。</w:t>
      </w:r>
    </w:p>
    <w:p w14:paraId="7BD5E43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（5）因法律法规的限制或其他限制，本基金可能不能投资于部分标的指数成分股。在使用替代方法，如投资同行业中相关性较高的股票以替代上述投资受限股票时，会产生一定的跟踪偏离度和跟踪误差。</w:t>
      </w:r>
    </w:p>
    <w:p w14:paraId="57A160B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（6）基金有投资成本、各种费用及税收，而指数编制不考虑费用和税收，这将导致基金收益率落后于标的指数收益率，产生负的跟踪偏离度。</w:t>
      </w:r>
    </w:p>
    <w:p w14:paraId="6507DF4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（7）在本基金指数</w:t>
      </w:r>
      <w:proofErr w:type="gramStart"/>
      <w:r>
        <w:rPr>
          <w:rFonts w:ascii="宋体" w:hAnsi="宋体"/>
          <w:sz w:val="24"/>
        </w:rPr>
        <w:t>化投资</w:t>
      </w:r>
      <w:proofErr w:type="gramEnd"/>
      <w:r>
        <w:rPr>
          <w:rFonts w:ascii="宋体" w:hAnsi="宋体"/>
          <w:sz w:val="24"/>
        </w:rPr>
        <w:t>过程中，基金管理人的管理能力，例如跟踪指数的水平、技术手段、买入卖出的时机选择等，都会对本基金的收益产生影响，从而影响本基金对标的指数的跟踪程度。</w:t>
      </w:r>
    </w:p>
    <w:p w14:paraId="7A0DE40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（8）其他因素产生的偏离。如因受到最低买入股数的限制，基金投资组合中个别股票的持有比例与标的指数中该股票的权重可能不完全相同；因缺乏卖空、对</w:t>
      </w:r>
      <w:proofErr w:type="gramStart"/>
      <w:r>
        <w:rPr>
          <w:rFonts w:ascii="宋体" w:hAnsi="宋体"/>
          <w:sz w:val="24"/>
        </w:rPr>
        <w:t>冲机制</w:t>
      </w:r>
      <w:proofErr w:type="gramEnd"/>
      <w:r>
        <w:rPr>
          <w:rFonts w:ascii="宋体" w:hAnsi="宋体"/>
          <w:sz w:val="24"/>
        </w:rPr>
        <w:t>及其他工具造成的指数跟踪成本较大；因基金申购与赎回带来的现金变动；因指数发布机构指数编制错误等，由此产生跟踪偏离度与跟踪误差。</w:t>
      </w:r>
    </w:p>
    <w:p w14:paraId="01F30C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5、标的指数变更的风险</w:t>
      </w:r>
    </w:p>
    <w:p w14:paraId="64430B0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尽管可能性很小，但根据基金合同规定，如出现变更标的指数的情形，本基金将变更标的指数。基于原标的指数的投资政策将会改变，投资组合将随之调整，基金的收益风险特征将与新的标的指数保持一致，投资人须承担此项调整带来的风险与成本。</w:t>
      </w:r>
    </w:p>
    <w:p w14:paraId="7B0BEBB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6、跟踪误差控制未达约定目标的风险</w:t>
      </w:r>
    </w:p>
    <w:p w14:paraId="135E648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本基金力争控制本基金日均跟踪偏离度的绝对值不超过0.35%，年跟踪误差不超过4%。但因标的指数编制规则调整或其他因素可能导致跟踪误差超过上述范围，本基金净值表现与指数价格走势可能发生较大偏离。</w:t>
      </w:r>
    </w:p>
    <w:p w14:paraId="27429C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7、指数编制机构停止服务的风险</w:t>
      </w:r>
    </w:p>
    <w:p w14:paraId="4179D89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本基金的标的指数</w:t>
      </w:r>
      <w:proofErr w:type="gramStart"/>
      <w:r>
        <w:rPr>
          <w:rFonts w:ascii="宋体" w:hAnsi="宋体"/>
          <w:sz w:val="24"/>
        </w:rPr>
        <w:t>由指数</w:t>
      </w:r>
      <w:proofErr w:type="gramEnd"/>
      <w:r>
        <w:rPr>
          <w:rFonts w:ascii="宋体" w:hAnsi="宋体"/>
          <w:sz w:val="24"/>
        </w:rPr>
        <w:t>编制机构发布并管理和维护，未来指数编制机构可能由于各种原因停止对标的指数的管理和维护，本基金将根据基金合同的约定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投资人将面临更换基金标的指数、转换运作方式，与其他基金合并或者终止基金合同等风险。</w:t>
      </w:r>
    </w:p>
    <w:p w14:paraId="7A765A9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自指数</w:t>
      </w:r>
      <w:proofErr w:type="gramEnd"/>
      <w:r>
        <w:rPr>
          <w:rFonts w:ascii="宋体" w:hAnsi="宋体"/>
          <w:sz w:val="24"/>
        </w:rPr>
        <w:t>编制机构停止标的指数的编制及发布</w:t>
      </w:r>
      <w:proofErr w:type="gramStart"/>
      <w:r>
        <w:rPr>
          <w:rFonts w:ascii="宋体" w:hAnsi="宋体"/>
          <w:sz w:val="24"/>
        </w:rPr>
        <w:t>至解决</w:t>
      </w:r>
      <w:proofErr w:type="gramEnd"/>
      <w:r>
        <w:rPr>
          <w:rFonts w:ascii="宋体" w:hAnsi="宋体"/>
          <w:sz w:val="24"/>
        </w:rPr>
        <w:t>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297E2ED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8、成份股停牌的风险</w:t>
      </w:r>
    </w:p>
    <w:p w14:paraId="68D8D69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标的指数成份股可能因各种原因临时或长期停牌，发生成份股停牌时可能面临如下风险：</w:t>
      </w:r>
    </w:p>
    <w:p w14:paraId="61AD0D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（1）基金可能因无法及时调整投资组合而导致跟踪偏离度和跟踪误差扩大。</w:t>
      </w:r>
    </w:p>
    <w:p w14:paraId="46EA40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（2）若成份股停牌时间较长，在约定时间内仍未能及时买入或卖出的，由此可能影响投资者的投资损益并使基金产生跟踪偏离度和跟踪误差。</w:t>
      </w:r>
    </w:p>
    <w:p w14:paraId="23CACF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极端情况下，标的指数成份股可能大面积停牌，基金可能无法及时卖出成份股以获取足额的符合要求的赎回款项，由此基金管理人可能采取暂停赎回的措施，投资者将面临无法赎回全部或部分基金份额的风险。</w:t>
      </w:r>
    </w:p>
    <w:p w14:paraId="368FA21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本基金运作过程中，当标的指数成份股发生明显负面事件面临退市风险，且指数编制机构暂未</w:t>
      </w:r>
      <w:proofErr w:type="gramStart"/>
      <w:r>
        <w:rPr>
          <w:rFonts w:ascii="宋体" w:hAnsi="宋体"/>
          <w:sz w:val="24"/>
        </w:rPr>
        <w:t>作出</w:t>
      </w:r>
      <w:proofErr w:type="gramEnd"/>
      <w:r>
        <w:rPr>
          <w:rFonts w:ascii="宋体" w:hAnsi="宋体"/>
          <w:sz w:val="24"/>
        </w:rPr>
        <w:t>调整的，基金管理人应当按照持有人利益优先的原则，履行内部决策程序后及时对相关成份股进行调整，可能影响投资者的投资损益并使基金产生跟踪偏离度和跟踪误差。</w:t>
      </w:r>
    </w:p>
    <w:p w14:paraId="3F49CA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9、基金合同提前终止风险</w:t>
      </w:r>
    </w:p>
    <w:p w14:paraId="0CDB5CC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《基金合同》生效后，连续50个工作日出现基金份额持有人数量不满200人或者基金资产净值低于5000万元情形的，基金合同终止，不需召开基金份额持有人大会。因此，投资者可能面临基金合同提前终止的风险。</w:t>
      </w:r>
    </w:p>
    <w:p w14:paraId="568318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10、本基金可投资创业板股票，创业板个股上市后的前五个交易日不设价格涨跌幅限制，第六个交易日开始涨跌幅限制比例为20%。</w:t>
      </w:r>
    </w:p>
    <w:p w14:paraId="7E500160"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lastRenderedPageBreak/>
        <w:t>（六）投资股指期货的特定风险</w:t>
      </w:r>
    </w:p>
    <w:p w14:paraId="5E51AB0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w:t>
      </w:r>
      <w:proofErr w:type="gramStart"/>
      <w:r>
        <w:rPr>
          <w:rFonts w:ascii="宋体" w:hAnsi="宋体"/>
          <w:sz w:val="24"/>
        </w:rPr>
        <w:t>基差风险</w:t>
      </w:r>
      <w:proofErr w:type="gramEnd"/>
      <w:r>
        <w:rPr>
          <w:rFonts w:ascii="宋体" w:hAnsi="宋体"/>
          <w:sz w:val="24"/>
        </w:rPr>
        <w:t>、保证金风险、信用风险和操作风险。具体为：</w:t>
      </w:r>
    </w:p>
    <w:p w14:paraId="7E1AD56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（1）市场风险是指由于股指期货价格变动而给投资者带来的风险。市场风险是股指期货投资中最主要的风险。</w:t>
      </w:r>
    </w:p>
    <w:p w14:paraId="667AA50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（2）流动性风险是指由于股指期货合约无法及时变现所带来的风险。</w:t>
      </w:r>
    </w:p>
    <w:p w14:paraId="0A1A66F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proofErr w:type="gramStart"/>
      <w:r>
        <w:rPr>
          <w:rFonts w:ascii="宋体" w:hAnsi="宋体"/>
          <w:sz w:val="24"/>
        </w:rPr>
        <w:t>基差风险</w:t>
      </w:r>
      <w:proofErr w:type="gramEnd"/>
      <w:r>
        <w:rPr>
          <w:rFonts w:ascii="宋体" w:hAnsi="宋体"/>
          <w:sz w:val="24"/>
        </w:rPr>
        <w:t>是指股指期货合约价格和指数价格之间的价格差的波动所造成的风险，以及不同股指期货合约价格之间价格差的波动所造成的期现价差风险。</w:t>
      </w:r>
    </w:p>
    <w:p w14:paraId="31EC247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（4）保证金风险是指由于无法及时筹措资金满足建立或者维持股指期货合约头寸所要求的保证金而带来的风险。</w:t>
      </w:r>
    </w:p>
    <w:p w14:paraId="4B4089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（5）信用风险是指期货经纪公司违约而产生损失的风险。</w:t>
      </w:r>
    </w:p>
    <w:p w14:paraId="05E1450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（6）操作风险是指由于内部流程的不完善，业务人员出现差错或者疏漏，或者系统出现故障等原因造成损失的风险。</w:t>
      </w:r>
    </w:p>
    <w:p w14:paraId="2E217AB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此外，由于衍生品通常具有杠杆效应，价格波动比标的工具更为剧烈，并且其定价相当复杂，不适当的估值也有可能使基金资产面临损失风险。</w:t>
      </w:r>
    </w:p>
    <w:p w14:paraId="556D1378"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（七）投资资产支持证券的特定风险</w:t>
      </w:r>
    </w:p>
    <w:p w14:paraId="5490D8C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本基金可投资资产支持证券，资产支持证券具有一定的价格波动风险、流动性风险、信用风险等风险，基金管理人将本着谨慎和控制风险的原则进行资产支持证券投资，</w:t>
      </w:r>
      <w:proofErr w:type="gramStart"/>
      <w:r>
        <w:rPr>
          <w:rFonts w:ascii="宋体" w:hAnsi="宋体"/>
          <w:sz w:val="24"/>
        </w:rPr>
        <w:t>请基金</w:t>
      </w:r>
      <w:proofErr w:type="gramEnd"/>
      <w:r>
        <w:rPr>
          <w:rFonts w:ascii="宋体" w:hAnsi="宋体"/>
          <w:sz w:val="24"/>
        </w:rPr>
        <w:t>份额持有人关注包括投资资产支持证券可能导致的基金净值波动在内的各项风险。</w:t>
      </w:r>
    </w:p>
    <w:p w14:paraId="53D84F1C"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（八）投资流通受限证券的特定风险</w:t>
      </w:r>
    </w:p>
    <w:p w14:paraId="2C5FCDB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w:t>
      </w:r>
      <w:proofErr w:type="gramStart"/>
      <w:r>
        <w:rPr>
          <w:rFonts w:ascii="宋体" w:hAnsi="宋体"/>
          <w:sz w:val="24"/>
        </w:rPr>
        <w:t>券</w:t>
      </w:r>
      <w:proofErr w:type="gramEnd"/>
      <w:r>
        <w:rPr>
          <w:rFonts w:ascii="宋体" w:hAnsi="宋体"/>
          <w:sz w:val="24"/>
        </w:rPr>
        <w:t>和个股的流动性风险等。</w:t>
      </w:r>
    </w:p>
    <w:p w14:paraId="72630E6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（九）投资存托凭证的特定风险</w:t>
      </w:r>
    </w:p>
    <w:p w14:paraId="5D2CCFC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w:t>
      </w:r>
      <w:r>
        <w:rPr>
          <w:rFonts w:ascii="宋体" w:hAnsi="宋体"/>
          <w:sz w:val="24"/>
        </w:rPr>
        <w:lastRenderedPageBreak/>
        <w:t>境内外交易机制相关的风险可能直接或间接成为本基金风险。</w:t>
      </w:r>
    </w:p>
    <w:p w14:paraId="1B2CB6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w:t>
      </w:r>
      <w:proofErr w:type="gramStart"/>
      <w:r>
        <w:rPr>
          <w:rFonts w:ascii="宋体" w:hAnsi="宋体"/>
          <w:sz w:val="24"/>
        </w:rPr>
        <w:t>托协议</w:t>
      </w:r>
      <w:proofErr w:type="gramEnd"/>
      <w:r>
        <w:rPr>
          <w:rFonts w:ascii="宋体" w:hAnsi="宋体"/>
          <w:sz w:val="24"/>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1D61395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14:paraId="35E1A256"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（十）投资</w:t>
      </w:r>
      <w:proofErr w:type="gramStart"/>
      <w:r>
        <w:rPr>
          <w:rFonts w:ascii="宋体" w:hAnsi="宋体" w:hint="eastAsia"/>
          <w:b/>
          <w:kern w:val="0"/>
          <w:sz w:val="24"/>
        </w:rPr>
        <w:t>科创板股票</w:t>
      </w:r>
      <w:proofErr w:type="gramEnd"/>
      <w:r>
        <w:rPr>
          <w:rFonts w:ascii="宋体" w:hAnsi="宋体" w:hint="eastAsia"/>
          <w:b/>
          <w:kern w:val="0"/>
          <w:sz w:val="24"/>
        </w:rPr>
        <w:t>的特定风险</w:t>
      </w:r>
    </w:p>
    <w:p w14:paraId="2C1D8E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w:t>
      </w:r>
      <w:proofErr w:type="gramStart"/>
      <w:r>
        <w:rPr>
          <w:rFonts w:ascii="宋体" w:hAnsi="宋体"/>
          <w:sz w:val="24"/>
        </w:rPr>
        <w:t>科创板股票</w:t>
      </w:r>
      <w:proofErr w:type="gramEnd"/>
      <w:r>
        <w:rPr>
          <w:rFonts w:ascii="宋体" w:hAnsi="宋体"/>
          <w:sz w:val="24"/>
        </w:rPr>
        <w:t>或选择不将基金资产投资于</w:t>
      </w:r>
      <w:proofErr w:type="gramStart"/>
      <w:r>
        <w:rPr>
          <w:rFonts w:ascii="宋体" w:hAnsi="宋体"/>
          <w:sz w:val="24"/>
        </w:rPr>
        <w:t>科创板</w:t>
      </w:r>
      <w:proofErr w:type="gramEnd"/>
      <w:r>
        <w:rPr>
          <w:rFonts w:ascii="宋体" w:hAnsi="宋体"/>
          <w:sz w:val="24"/>
        </w:rPr>
        <w:t>股票，基金资产并非必然投资于</w:t>
      </w:r>
      <w:proofErr w:type="gramStart"/>
      <w:r>
        <w:rPr>
          <w:rFonts w:ascii="宋体" w:hAnsi="宋体"/>
          <w:sz w:val="24"/>
        </w:rPr>
        <w:t>科创板</w:t>
      </w:r>
      <w:proofErr w:type="gramEnd"/>
      <w:r>
        <w:rPr>
          <w:rFonts w:ascii="宋体" w:hAnsi="宋体"/>
          <w:sz w:val="24"/>
        </w:rPr>
        <w:t>股票。基金资产投资于</w:t>
      </w:r>
      <w:proofErr w:type="gramStart"/>
      <w:r>
        <w:rPr>
          <w:rFonts w:ascii="宋体" w:hAnsi="宋体"/>
          <w:sz w:val="24"/>
        </w:rPr>
        <w:t>科创板</w:t>
      </w:r>
      <w:proofErr w:type="gramEnd"/>
      <w:r>
        <w:rPr>
          <w:rFonts w:ascii="宋体" w:hAnsi="宋体"/>
          <w:sz w:val="24"/>
        </w:rPr>
        <w:t>股票，会</w:t>
      </w:r>
      <w:proofErr w:type="gramStart"/>
      <w:r>
        <w:rPr>
          <w:rFonts w:ascii="宋体" w:hAnsi="宋体"/>
          <w:sz w:val="24"/>
        </w:rPr>
        <w:t>面临科创板机制</w:t>
      </w:r>
      <w:proofErr w:type="gramEnd"/>
      <w:r>
        <w:rPr>
          <w:rFonts w:ascii="宋体" w:hAnsi="宋体"/>
          <w:sz w:val="24"/>
        </w:rPr>
        <w:t>下因投资标的、市场制度以及交易规则等差异带来的特有风险，包括但不限于市场风险、流动性风险、退市风险、系统性风险、政策风险等。</w:t>
      </w:r>
    </w:p>
    <w:p w14:paraId="04DE01F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w:t>
      </w:r>
    </w:p>
    <w:p w14:paraId="53FDA09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科创板</w:t>
      </w:r>
      <w:proofErr w:type="gramEnd"/>
      <w:r>
        <w:rPr>
          <w:rFonts w:ascii="宋体" w:hAnsi="宋体"/>
          <w:sz w:val="24"/>
        </w:rPr>
        <w:t>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w:t>
      </w:r>
      <w:proofErr w:type="gramStart"/>
      <w:r>
        <w:rPr>
          <w:rFonts w:ascii="宋体" w:hAnsi="宋体"/>
          <w:sz w:val="24"/>
        </w:rPr>
        <w:t>个</w:t>
      </w:r>
      <w:proofErr w:type="gramEnd"/>
      <w:r>
        <w:rPr>
          <w:rFonts w:ascii="宋体" w:hAnsi="宋体"/>
          <w:sz w:val="24"/>
        </w:rPr>
        <w:t>股市</w:t>
      </w:r>
      <w:proofErr w:type="gramStart"/>
      <w:r>
        <w:rPr>
          <w:rFonts w:ascii="宋体" w:hAnsi="宋体"/>
          <w:sz w:val="24"/>
        </w:rPr>
        <w:t>场风险</w:t>
      </w:r>
      <w:proofErr w:type="gramEnd"/>
      <w:r>
        <w:rPr>
          <w:rFonts w:ascii="宋体" w:hAnsi="宋体"/>
          <w:sz w:val="24"/>
        </w:rPr>
        <w:t>加大。</w:t>
      </w:r>
    </w:p>
    <w:p w14:paraId="4406AE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科创板</w:t>
      </w:r>
      <w:proofErr w:type="gramEnd"/>
      <w:r>
        <w:rPr>
          <w:rFonts w:ascii="宋体" w:hAnsi="宋体"/>
          <w:sz w:val="24"/>
        </w:rPr>
        <w:t>个股上市后的前五个交易日无涨跌停限制，其后涨跌幅限制为20%，</w:t>
      </w:r>
      <w:proofErr w:type="gramStart"/>
      <w:r>
        <w:rPr>
          <w:rFonts w:ascii="宋体" w:hAnsi="宋体"/>
          <w:sz w:val="24"/>
        </w:rPr>
        <w:t>科创板股票</w:t>
      </w:r>
      <w:proofErr w:type="gramEnd"/>
      <w:r>
        <w:rPr>
          <w:rFonts w:ascii="宋体" w:hAnsi="宋体"/>
          <w:sz w:val="24"/>
        </w:rPr>
        <w:t>上市首日即可作为融资融券标的，可能导致较大的股票价格波动。</w:t>
      </w:r>
    </w:p>
    <w:p w14:paraId="4F604E3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w:t>
      </w:r>
    </w:p>
    <w:p w14:paraId="3CA49FC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科创板整体</w:t>
      </w:r>
      <w:proofErr w:type="gramEnd"/>
      <w:r>
        <w:rPr>
          <w:rFonts w:ascii="宋体" w:hAnsi="宋体"/>
          <w:sz w:val="24"/>
        </w:rPr>
        <w:t>投资门槛较高，二级市场上个人投资者参与度相对较低，机构持有个股大量流通盘导致个股流动性较差，基金组合存在无法及时变</w:t>
      </w:r>
      <w:proofErr w:type="gramStart"/>
      <w:r>
        <w:rPr>
          <w:rFonts w:ascii="宋体" w:hAnsi="宋体"/>
          <w:sz w:val="24"/>
        </w:rPr>
        <w:t>现及其</w:t>
      </w:r>
      <w:proofErr w:type="gramEnd"/>
      <w:r>
        <w:rPr>
          <w:rFonts w:ascii="宋体" w:hAnsi="宋体"/>
          <w:sz w:val="24"/>
        </w:rPr>
        <w:t>他相关流动性风险。</w:t>
      </w:r>
    </w:p>
    <w:p w14:paraId="1292069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3、退市风险</w:t>
      </w:r>
    </w:p>
    <w:p w14:paraId="0714517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科创板退</w:t>
      </w:r>
      <w:proofErr w:type="gramEnd"/>
      <w:r>
        <w:rPr>
          <w:rFonts w:ascii="宋体" w:hAnsi="宋体"/>
          <w:sz w:val="24"/>
        </w:rPr>
        <w:t>市制度较主板更为严格，且不再设置暂停上市、恢复上市和重新上市环节，上市公司退</w:t>
      </w:r>
      <w:proofErr w:type="gramStart"/>
      <w:r>
        <w:rPr>
          <w:rFonts w:ascii="宋体" w:hAnsi="宋体"/>
          <w:sz w:val="24"/>
        </w:rPr>
        <w:t>市风险</w:t>
      </w:r>
      <w:proofErr w:type="gramEnd"/>
      <w:r>
        <w:rPr>
          <w:rFonts w:ascii="宋体" w:hAnsi="宋体"/>
          <w:sz w:val="24"/>
        </w:rPr>
        <w:t>更大。</w:t>
      </w:r>
    </w:p>
    <w:p w14:paraId="3184E31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4、系统性风险</w:t>
      </w:r>
    </w:p>
    <w:p w14:paraId="5208EC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科创板企业</w:t>
      </w:r>
      <w:proofErr w:type="gramEnd"/>
      <w:r>
        <w:rPr>
          <w:rFonts w:ascii="宋体" w:hAnsi="宋体"/>
          <w:sz w:val="24"/>
        </w:rPr>
        <w:t>均为市场认可度较高的科技创新企业，在企业经营及盈利模式上存在趋同，所以</w:t>
      </w:r>
      <w:proofErr w:type="gramStart"/>
      <w:r>
        <w:rPr>
          <w:rFonts w:ascii="宋体" w:hAnsi="宋体"/>
          <w:sz w:val="24"/>
        </w:rPr>
        <w:t>科创板</w:t>
      </w:r>
      <w:proofErr w:type="gramEnd"/>
      <w:r>
        <w:rPr>
          <w:rFonts w:ascii="宋体" w:hAnsi="宋体"/>
          <w:sz w:val="24"/>
        </w:rPr>
        <w:t>个股相关性较高，市场表现不佳时，系统性风险将更为显著。</w:t>
      </w:r>
    </w:p>
    <w:p w14:paraId="3B621FB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5、政策风险</w:t>
      </w:r>
    </w:p>
    <w:p w14:paraId="3E6738F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国家对高新技术产业扶持力度及重视程度的变化会对</w:t>
      </w:r>
      <w:proofErr w:type="gramStart"/>
      <w:r>
        <w:rPr>
          <w:rFonts w:ascii="宋体" w:hAnsi="宋体"/>
          <w:sz w:val="24"/>
        </w:rPr>
        <w:t>科创板企业</w:t>
      </w:r>
      <w:proofErr w:type="gramEnd"/>
      <w:r>
        <w:rPr>
          <w:rFonts w:ascii="宋体" w:hAnsi="宋体"/>
          <w:sz w:val="24"/>
        </w:rPr>
        <w:t>带来较大影响，国际经济形势变化对战略新兴产业及</w:t>
      </w:r>
      <w:proofErr w:type="gramStart"/>
      <w:r>
        <w:rPr>
          <w:rFonts w:ascii="宋体" w:hAnsi="宋体"/>
          <w:sz w:val="24"/>
        </w:rPr>
        <w:t>科创板</w:t>
      </w:r>
      <w:proofErr w:type="gramEnd"/>
      <w:r>
        <w:rPr>
          <w:rFonts w:ascii="宋体" w:hAnsi="宋体"/>
          <w:sz w:val="24"/>
        </w:rPr>
        <w:t>个股也会带来政策影响。</w:t>
      </w:r>
    </w:p>
    <w:p w14:paraId="19026B1A"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（十一）本基金法律文件风险收益特征表述与销售机构基金风险评价可能不一致的风险</w:t>
      </w:r>
    </w:p>
    <w:p w14:paraId="0CD37D7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288120D6"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（十二）其他风险</w:t>
      </w:r>
    </w:p>
    <w:p w14:paraId="7CD58D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14:paraId="2792223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14:paraId="2C376BD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14:paraId="653061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14:paraId="0C11DD8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14:paraId="246B74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14:paraId="49606B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14:paraId="130DA3E8"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D55B966" w14:textId="77777777" w:rsidR="001D6314" w:rsidRDefault="00130266">
      <w:pPr>
        <w:pStyle w:val="1"/>
        <w:snapToGrid w:val="0"/>
        <w:spacing w:beforeLines="0" w:before="240" w:after="240"/>
        <w:rPr>
          <w:rFonts w:ascii="宋体" w:hAnsi="宋体"/>
          <w:szCs w:val="30"/>
        </w:rPr>
      </w:pPr>
      <w:bookmarkStart w:id="23" w:name="_Toc216872015"/>
      <w:r>
        <w:rPr>
          <w:rFonts w:ascii="Times New Roman" w:hAnsi="Times New Roman"/>
          <w:sz w:val="30"/>
        </w:rPr>
        <w:lastRenderedPageBreak/>
        <w:t>二十、基金合同的变更、终止与基金财产的清算</w:t>
      </w:r>
      <w:bookmarkEnd w:id="23"/>
    </w:p>
    <w:p w14:paraId="2CB647C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（一）《基金合同》的变更</w:t>
      </w:r>
    </w:p>
    <w:p w14:paraId="67ECB9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w:t>
      </w:r>
      <w:proofErr w:type="gramStart"/>
      <w:r>
        <w:rPr>
          <w:rFonts w:ascii="宋体" w:hAnsi="宋体"/>
          <w:sz w:val="24"/>
        </w:rPr>
        <w:t>开基金</w:t>
      </w:r>
      <w:proofErr w:type="gramEnd"/>
      <w:r>
        <w:rPr>
          <w:rFonts w:ascii="宋体" w:hAnsi="宋体"/>
          <w:sz w:val="24"/>
        </w:rPr>
        <w:t>份额持有人大会决议通过。对于法律法规规定和基金合同约定可不经基金份额持有人大会决议通过的事项，由基金管理人和基金托管人同意后变更并公告，并报中国证监会备案。</w:t>
      </w:r>
    </w:p>
    <w:p w14:paraId="7F9BB22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w:t>
      </w:r>
      <w:proofErr w:type="gramStart"/>
      <w:r>
        <w:rPr>
          <w:rFonts w:ascii="宋体" w:hAnsi="宋体"/>
          <w:sz w:val="24"/>
        </w:rPr>
        <w:t>自决议</w:t>
      </w:r>
      <w:proofErr w:type="gramEnd"/>
      <w:r>
        <w:rPr>
          <w:rFonts w:ascii="宋体" w:hAnsi="宋体"/>
          <w:sz w:val="24"/>
        </w:rPr>
        <w:t>生效后依照《信息披露办法》的规定在规定媒介公告。</w:t>
      </w:r>
    </w:p>
    <w:p w14:paraId="130F7F7B"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（二）《基金合同》的终止事由</w:t>
      </w:r>
    </w:p>
    <w:p w14:paraId="549A536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14:paraId="3F7E2EF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66DDB64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62A723E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14:paraId="411A1C4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4、连续50个工作日出现基金份额持有人数量不满200人或者基金资产净值低于5000万元情形的，基金合同终止，不需召开基金份额持有人大会；</w:t>
      </w:r>
    </w:p>
    <w:p w14:paraId="21BBC03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5、《基金合同》约定的其他情形；</w:t>
      </w:r>
    </w:p>
    <w:p w14:paraId="3AC8B69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6、相关法律法规和中国证监会规定的其他情况。</w:t>
      </w:r>
    </w:p>
    <w:p w14:paraId="4111D82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（三）基金财产的清算</w:t>
      </w:r>
    </w:p>
    <w:p w14:paraId="649E68C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2C27340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703A2D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w:t>
      </w:r>
      <w:r>
        <w:rPr>
          <w:rFonts w:ascii="宋体" w:hAnsi="宋体"/>
          <w:sz w:val="24"/>
        </w:rPr>
        <w:lastRenderedPageBreak/>
        <w:t>估价、变现和分配。基金财产清算小组可以依法进行必要的民事活动。</w:t>
      </w:r>
    </w:p>
    <w:p w14:paraId="618A278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0C1C67B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14:paraId="38C3143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2EEA97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78C8EB8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4F00C90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6C2BE3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6AD426F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67E85F6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14:paraId="58A09B67"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（四）清算费用</w:t>
      </w:r>
    </w:p>
    <w:p w14:paraId="2476A5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76C9F5FB"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（五）基金财产清算剩余资产的分配</w:t>
      </w:r>
    </w:p>
    <w:p w14:paraId="3CEE84B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256519FF"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（六）基金财产清算的公告</w:t>
      </w:r>
    </w:p>
    <w:p w14:paraId="32A31F1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w:t>
      </w:r>
      <w:proofErr w:type="gramStart"/>
      <w:r>
        <w:rPr>
          <w:rFonts w:ascii="宋体" w:hAnsi="宋体"/>
          <w:sz w:val="24"/>
        </w:rPr>
        <w:t>经符合</w:t>
      </w:r>
      <w:proofErr w:type="gramEnd"/>
      <w:r>
        <w:rPr>
          <w:rFonts w:ascii="宋体" w:hAnsi="宋体"/>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6ED35FC"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（七）基金财产清算账册及文件的保存</w:t>
      </w:r>
    </w:p>
    <w:p w14:paraId="453CE2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基金财产清算账册及有关文件由基金托管人保存不低于法律法规规定的最低期限。</w:t>
      </w:r>
    </w:p>
    <w:p w14:paraId="4BDBA5BF"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4727AEF" w14:textId="77777777" w:rsidR="001D6314" w:rsidRDefault="00130266">
      <w:pPr>
        <w:pStyle w:val="1"/>
        <w:snapToGrid w:val="0"/>
        <w:spacing w:beforeLines="0" w:before="240" w:after="240"/>
        <w:rPr>
          <w:rFonts w:ascii="宋体" w:hAnsi="宋体"/>
          <w:szCs w:val="30"/>
        </w:rPr>
      </w:pPr>
      <w:bookmarkStart w:id="24" w:name="_Toc216872016"/>
      <w:r>
        <w:rPr>
          <w:rFonts w:ascii="Times New Roman" w:hAnsi="Times New Roman"/>
          <w:sz w:val="30"/>
        </w:rPr>
        <w:lastRenderedPageBreak/>
        <w:t>二十一、基金合同内容摘要</w:t>
      </w:r>
      <w:bookmarkEnd w:id="24"/>
    </w:p>
    <w:p w14:paraId="76E307E6"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（一）基金份额持有人、基金管理人和基金托管人的权利与义务</w:t>
      </w:r>
    </w:p>
    <w:p w14:paraId="7EB3040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14:paraId="34AE7BF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（1）根据《基金法》、《运作办法》及其他有关规定，基金管理人的权利包括但不限于：</w:t>
      </w:r>
    </w:p>
    <w:p w14:paraId="24D5F96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14:paraId="3FCE0CB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14:paraId="5ECA543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14:paraId="130EBC3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14:paraId="3757873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14:paraId="33EA03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14:paraId="33A533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14:paraId="63A81E6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14:paraId="43A361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14:paraId="6DD8F2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14:paraId="36D2B0A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11）在《基金合同》约定的范围内，拒绝或暂停受理申购与赎回申请；</w:t>
      </w:r>
    </w:p>
    <w:p w14:paraId="4BCFFF6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14:paraId="05864BF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14:paraId="0C1C2C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14:paraId="2FE3FD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15）选择、更换律师事务所、会计师事务所、证券经纪商、期货经纪机构或其他为基金提供服务的外部机构；</w:t>
      </w:r>
    </w:p>
    <w:p w14:paraId="58707BD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16）在符合有关法律、法规的前提下，制定和调整有关基金认购、申购、赎</w:t>
      </w:r>
      <w:r>
        <w:rPr>
          <w:rFonts w:ascii="宋体" w:hAnsi="宋体"/>
          <w:sz w:val="24"/>
        </w:rPr>
        <w:lastRenderedPageBreak/>
        <w:t>回、转换等的业务规则；</w:t>
      </w:r>
    </w:p>
    <w:p w14:paraId="6E4B10C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14:paraId="50CFE5A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（2）根据《基金法》、《运作办法》及其他有关规定，基金管理人的义务包括但不限于：</w:t>
      </w:r>
    </w:p>
    <w:p w14:paraId="52A9400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4209637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7D3ABFA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14:paraId="51D72C3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14:paraId="46C7AC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14:paraId="7522E3F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14:paraId="568FAE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14:paraId="6116162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14:paraId="275C845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14:paraId="234D39C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14:paraId="64AF123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14:paraId="2B59956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14:paraId="26C6563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14:paraId="21E600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14）按规定受理申购与赎回申请，及时、足额支付赎回款项；</w:t>
      </w:r>
    </w:p>
    <w:p w14:paraId="0FAA3E6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14:paraId="11286D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16）按规定保存基金财产管理业务活动的会计账册、报表、记录和其他相关资料不低于法律法规规定的最低期限；</w:t>
      </w:r>
    </w:p>
    <w:p w14:paraId="56F9D18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8E8CC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14:paraId="25F9AF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14:paraId="76BE59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14:paraId="7F82F94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14:paraId="5EA29BF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14:paraId="1F465E5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14:paraId="699D58D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5465FC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14:paraId="67A4311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14:paraId="20FC0C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14:paraId="0087FA0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14:paraId="7B90690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（1）根据《基金法》、《运作办法》及其他有关规定，基金托管人的权利包括但不限于：</w:t>
      </w:r>
    </w:p>
    <w:p w14:paraId="6E1B685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1）自《基金合同》生效之日起，依法</w:t>
      </w:r>
      <w:proofErr w:type="gramStart"/>
      <w:r>
        <w:rPr>
          <w:rFonts w:ascii="宋体" w:hAnsi="宋体"/>
          <w:sz w:val="24"/>
        </w:rPr>
        <w:t>律法规</w:t>
      </w:r>
      <w:proofErr w:type="gramEnd"/>
      <w:r>
        <w:rPr>
          <w:rFonts w:ascii="宋体" w:hAnsi="宋体"/>
          <w:sz w:val="24"/>
        </w:rPr>
        <w:t>和《基金合同》的规定安全保管基金财产；</w:t>
      </w:r>
    </w:p>
    <w:p w14:paraId="2C7E118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14:paraId="7B73CFC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4F797D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4）根据相关市场规则，为基金开设资金账户、证券账户等投资所需账户，为基金办理证券交易资金清算；</w:t>
      </w:r>
    </w:p>
    <w:p w14:paraId="49888E3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14:paraId="16C5750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14:paraId="30286B1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14:paraId="19A0EC0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（2）根据《基金法》、《运作办法》及其他有关规定，基金托管人的义务包括但不限于：</w:t>
      </w:r>
    </w:p>
    <w:p w14:paraId="4D8BBBD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14:paraId="04B2AF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14:paraId="55FC08A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0E47C7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14:paraId="1887582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14:paraId="1B4E1D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6）按规定开设基金财产的资金账户、证券账户等投资所需账户，按照《基金合同》的约定，根据基金管理人的投资指令，及时办理清算、交割事宜；</w:t>
      </w:r>
    </w:p>
    <w:p w14:paraId="1EDEB85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14:paraId="6152674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8）复核、审查基金管理人计算的基金资产净值、基金份额净值、基金份额申购、赎回价格；</w:t>
      </w:r>
    </w:p>
    <w:p w14:paraId="3151C75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14:paraId="2958602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E6E211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11）保存基金托管业务活动的记录、账册、报表和其他相关资料不低于法律法规规定的最低期限；</w:t>
      </w:r>
    </w:p>
    <w:p w14:paraId="21F9716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12）保存基金份额持有人名册；</w:t>
      </w:r>
    </w:p>
    <w:p w14:paraId="797FB59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14:paraId="336708E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14:paraId="12CE2B4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14:paraId="0A5E87E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14:paraId="6790653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14:paraId="298891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14:paraId="773378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14:paraId="0C99E9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14:paraId="079FA5D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14:paraId="12AA413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14:paraId="289484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14:paraId="649D420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w:t>
      </w:r>
      <w:proofErr w:type="gramStart"/>
      <w:r>
        <w:rPr>
          <w:rFonts w:ascii="宋体" w:hAnsi="宋体"/>
          <w:sz w:val="24"/>
        </w:rPr>
        <w:t>基金基金</w:t>
      </w:r>
      <w:proofErr w:type="gramEnd"/>
      <w:r>
        <w:rPr>
          <w:rFonts w:ascii="宋体" w:hAnsi="宋体"/>
          <w:sz w:val="24"/>
        </w:rPr>
        <w:t>份额的行为即视为对《基金合同》的承认和接受，基金投资者</w:t>
      </w:r>
      <w:proofErr w:type="gramStart"/>
      <w:r>
        <w:rPr>
          <w:rFonts w:ascii="宋体" w:hAnsi="宋体"/>
          <w:sz w:val="24"/>
        </w:rPr>
        <w:t>自依据</w:t>
      </w:r>
      <w:proofErr w:type="gramEnd"/>
      <w:r>
        <w:rPr>
          <w:rFonts w:ascii="宋体" w:hAnsi="宋体"/>
          <w:sz w:val="24"/>
        </w:rPr>
        <w:t>《基金合同》取得本</w:t>
      </w:r>
      <w:proofErr w:type="gramStart"/>
      <w:r>
        <w:rPr>
          <w:rFonts w:ascii="宋体" w:hAnsi="宋体"/>
          <w:sz w:val="24"/>
        </w:rPr>
        <w:t>基金基金</w:t>
      </w:r>
      <w:proofErr w:type="gramEnd"/>
      <w:r>
        <w:rPr>
          <w:rFonts w:ascii="宋体" w:hAnsi="宋体"/>
          <w:sz w:val="24"/>
        </w:rPr>
        <w:t>份额，即成为本</w:t>
      </w:r>
      <w:proofErr w:type="gramStart"/>
      <w:r>
        <w:rPr>
          <w:rFonts w:ascii="宋体" w:hAnsi="宋体"/>
          <w:sz w:val="24"/>
        </w:rPr>
        <w:t>基金基金</w:t>
      </w:r>
      <w:proofErr w:type="gramEnd"/>
      <w:r>
        <w:rPr>
          <w:rFonts w:ascii="宋体" w:hAnsi="宋体"/>
          <w:sz w:val="24"/>
        </w:rPr>
        <w:t>份额持有</w:t>
      </w:r>
      <w:r>
        <w:rPr>
          <w:rFonts w:ascii="宋体" w:hAnsi="宋体"/>
          <w:sz w:val="24"/>
        </w:rPr>
        <w:lastRenderedPageBreak/>
        <w:t>人和《基金合同》的当事人，直至其不再持有本基金的基金份额。基金份额持有人作为《基金合同》当事人并不以在《基金合同》上书面签章或签字为必要条件。</w:t>
      </w:r>
    </w:p>
    <w:p w14:paraId="7FFAB2D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同一类别每份基金份额具有同等的合法权益。</w:t>
      </w:r>
    </w:p>
    <w:p w14:paraId="4FAB2FE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（1）根据《基金法》、《运作办法》及其他有关规定，基金份额持有人的权利包括但不限于：</w:t>
      </w:r>
    </w:p>
    <w:p w14:paraId="7559967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14:paraId="08ED71F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14:paraId="183A404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3）依法并按照基金合同和招募说明书的规定转让或者申请赎回其持有的基金份额；</w:t>
      </w:r>
    </w:p>
    <w:p w14:paraId="0DC120C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14:paraId="4512B66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14:paraId="79ED486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14:paraId="1EFFFC0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14:paraId="5D74533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14:paraId="52A9211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14:paraId="3D66A3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（2）根据《基金法》、《运作办法》及其他有关规定，基金份额持有人的义务包括但不限于：</w:t>
      </w:r>
    </w:p>
    <w:p w14:paraId="2593B32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14:paraId="2E4D253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14:paraId="609918A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14:paraId="6C53938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4）交纳基金认购、申购款项及法律法规和《基金合同》所规定的费用；</w:t>
      </w:r>
    </w:p>
    <w:p w14:paraId="5D50CD6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14:paraId="7FE5F82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14:paraId="346E18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14:paraId="7EB898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14:paraId="0AC41D4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9）遵守基金管理人、基金托管人、销售机构和登记机构的相关交易及业务规</w:t>
      </w:r>
      <w:r>
        <w:rPr>
          <w:rFonts w:ascii="宋体" w:hAnsi="宋体"/>
          <w:sz w:val="24"/>
        </w:rPr>
        <w:lastRenderedPageBreak/>
        <w:t>则；</w:t>
      </w:r>
    </w:p>
    <w:p w14:paraId="20A3D6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10）提供基金管理人和监管机构依法要求提供的信息，以及不时的更新和补充，并保证其真实性；</w:t>
      </w:r>
    </w:p>
    <w:p w14:paraId="486F994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14:paraId="7C58A20B"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（二）基金份额持有人大会召集、议事及表决的程序和规则</w:t>
      </w:r>
    </w:p>
    <w:p w14:paraId="6F4D6AF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14:paraId="080E7AC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14:paraId="2E89CC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14:paraId="7787CB1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（1）当出现或需要决定下列事由之一的，应当召开基金份额持有人大会，法律法规、中国证监会另有规定的除外：</w:t>
      </w:r>
    </w:p>
    <w:p w14:paraId="2F86D1C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1）终止《基金合同》，基金合同另有规定的除外；</w:t>
      </w:r>
    </w:p>
    <w:p w14:paraId="622B71F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14:paraId="37C048C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14:paraId="66B3F22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14:paraId="205D74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5）调整基金管理人、基金托管人的报酬标准或提高销售服务费率；</w:t>
      </w:r>
    </w:p>
    <w:p w14:paraId="3C3AAF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14:paraId="32650C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14:paraId="69A5DB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8）变更基金投资目标、范围或策略，基金合同另有规定的除外；</w:t>
      </w:r>
    </w:p>
    <w:p w14:paraId="1AE512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9）变更基金份额持有人大会程序，基金合同另有规定的除外；</w:t>
      </w:r>
    </w:p>
    <w:p w14:paraId="61098D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14:paraId="468ED21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14:paraId="701F8F8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14:paraId="05D31F7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14:paraId="0F69F86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（2）在法律法规规定和《基金合同》约定的范围内且对基金份额持有人利益无实质性不利影响的前提下，以下情况可由基金管理人和基金托管人协商后修改，</w:t>
      </w:r>
      <w:r>
        <w:rPr>
          <w:rFonts w:ascii="宋体" w:hAnsi="宋体"/>
          <w:sz w:val="24"/>
        </w:rPr>
        <w:lastRenderedPageBreak/>
        <w:t>不需召开基金份额持有人大会：</w:t>
      </w:r>
    </w:p>
    <w:p w14:paraId="6F6B9D1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1）调低基金销售服务费率；</w:t>
      </w:r>
    </w:p>
    <w:p w14:paraId="0E77AB5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2）法律法规要求增加的基金费用的收取；</w:t>
      </w:r>
    </w:p>
    <w:p w14:paraId="1FF4226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3）在法律法规和《基金合同》规定的范围内调整本基金的申购费率、在对现有基金份额持有人利益无实质性不利影响的前提下变更收费方式；</w:t>
      </w:r>
    </w:p>
    <w:p w14:paraId="73D8E3C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proofErr w:type="gramStart"/>
      <w:r>
        <w:rPr>
          <w:rFonts w:ascii="宋体" w:hAnsi="宋体"/>
          <w:sz w:val="24"/>
        </w:rPr>
        <w:t>因相应</w:t>
      </w:r>
      <w:proofErr w:type="gramEnd"/>
      <w:r>
        <w:rPr>
          <w:rFonts w:ascii="宋体" w:hAnsi="宋体"/>
          <w:sz w:val="24"/>
        </w:rPr>
        <w:t>的法律法规、登记机构的相关业务规则发生变动而应当对《基金合同》进行修改；</w:t>
      </w:r>
    </w:p>
    <w:p w14:paraId="62A6DD4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5）对《基金合同》的修改对基金份额持有人利益无实质性不利影响或修改不涉及《基金合同》当事人权利义务关系发生重大变化；</w:t>
      </w:r>
    </w:p>
    <w:p w14:paraId="368499A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6）在法律法规允许的情况下，且在对现有基金份额持有人利益无实质性不利影响的前提下，基金管理人履行适当程序后，推出新业务或服务；</w:t>
      </w:r>
    </w:p>
    <w:p w14:paraId="18069A5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7）在符合法律法规及本基金合同规定、并且对基金份额持有人利益无实质性不利影响的前提下，增加或调整本基金份额类别的设置、对基金份额分类办法及规则进行调整；</w:t>
      </w:r>
    </w:p>
    <w:p w14:paraId="505BE82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8）若将来本基金管理人注册并成立追踪同一标的指数的交易型开放式指数基金（ETF），</w:t>
      </w:r>
      <w:proofErr w:type="gramStart"/>
      <w:r>
        <w:rPr>
          <w:rFonts w:ascii="宋体" w:hAnsi="宋体"/>
          <w:sz w:val="24"/>
        </w:rPr>
        <w:t>则基金</w:t>
      </w:r>
      <w:proofErr w:type="gramEnd"/>
      <w:r>
        <w:rPr>
          <w:rFonts w:ascii="宋体" w:hAnsi="宋体"/>
          <w:sz w:val="24"/>
        </w:rPr>
        <w:t>管理人在履行适当程序后有权决定将本基金转换为该基金的联接基金，并相应修改《基金合同》；</w:t>
      </w:r>
    </w:p>
    <w:p w14:paraId="70E6E7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9）在不违反法律法规及对基金份额持有人利益无实质性不利影响的前提下，基金管理人、登记机构、销售机构调整有关基金认购、申购、赎回、转换、收益分配、</w:t>
      </w:r>
      <w:proofErr w:type="gramStart"/>
      <w:r>
        <w:rPr>
          <w:rFonts w:ascii="宋体" w:hAnsi="宋体"/>
          <w:sz w:val="24"/>
        </w:rPr>
        <w:t>非交易</w:t>
      </w:r>
      <w:proofErr w:type="gramEnd"/>
      <w:r>
        <w:rPr>
          <w:rFonts w:ascii="宋体" w:hAnsi="宋体"/>
          <w:sz w:val="24"/>
        </w:rPr>
        <w:t>过户、转托管等业务的规则；</w:t>
      </w:r>
    </w:p>
    <w:p w14:paraId="6555B6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10）按照法律法规和《基金合同》规定不需召开基金份额持有人大会的其他情形。</w:t>
      </w:r>
    </w:p>
    <w:p w14:paraId="2435C9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14:paraId="3E83A0E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14:paraId="5AC0080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14:paraId="1401773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w:t>
      </w:r>
      <w:r>
        <w:rPr>
          <w:rFonts w:ascii="宋体" w:hAnsi="宋体"/>
          <w:sz w:val="24"/>
        </w:rPr>
        <w:lastRenderedPageBreak/>
        <w:t>自行召集，并自出具书面决定之日起60日内召开并告知基金管理人，基金管理人应当配合；</w:t>
      </w:r>
    </w:p>
    <w:p w14:paraId="174693E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9A4DD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4D1AC5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14:paraId="4ACDA50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14:paraId="4E41D1F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（1）召开基金份额持有人大会，召集人应于会议召开前30日，在规定媒介公告。基金份额持有人大会通知应至少载明以下内容：</w:t>
      </w:r>
    </w:p>
    <w:p w14:paraId="4E1FEB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14:paraId="39A6353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w:t>
      </w:r>
      <w:proofErr w:type="gramStart"/>
      <w:r>
        <w:rPr>
          <w:rFonts w:ascii="宋体" w:hAnsi="宋体"/>
          <w:sz w:val="24"/>
        </w:rPr>
        <w:t>拟审议</w:t>
      </w:r>
      <w:proofErr w:type="gramEnd"/>
      <w:r>
        <w:rPr>
          <w:rFonts w:ascii="宋体" w:hAnsi="宋体"/>
          <w:sz w:val="24"/>
        </w:rPr>
        <w:t>的事项、议事程序和表决方式；</w:t>
      </w:r>
    </w:p>
    <w:p w14:paraId="3853A69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14:paraId="7C29D5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14:paraId="6BF549D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14:paraId="3C1FB5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14:paraId="2781A51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14:paraId="33A858A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w:t>
      </w:r>
      <w:r>
        <w:rPr>
          <w:rFonts w:ascii="宋体" w:hAnsi="宋体"/>
          <w:sz w:val="24"/>
        </w:rPr>
        <w:lastRenderedPageBreak/>
        <w:t>中说明本次基金份额持有人大会所采取的具体通讯方式、委托的公证机关及其联系方式和联系人、表决意见寄交的截止时间和收取方式。</w:t>
      </w:r>
    </w:p>
    <w:p w14:paraId="5C5DAF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sz w:val="24"/>
        </w:rPr>
        <w:t>拒不派</w:t>
      </w:r>
      <w:proofErr w:type="gramEnd"/>
      <w:r>
        <w:rPr>
          <w:rFonts w:ascii="宋体" w:hAnsi="宋体"/>
          <w:sz w:val="24"/>
        </w:rPr>
        <w:t>代表对表决意见的计票进行监督的，不影响表决意见的计票效力。</w:t>
      </w:r>
    </w:p>
    <w:p w14:paraId="11264B8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14:paraId="052BACA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基金份额持有人大会可通过现场开会方式、通讯开会方式或法律法规、监管机构允许的其他方式召开，会议的召开方式由会议召集人确定。</w:t>
      </w:r>
    </w:p>
    <w:p w14:paraId="778AF76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943075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B7E2A8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231D87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（2）通讯开会。通讯开会系指基金份额持有人将其对表决事项的投票以会议通知载明的形式或基金合同约定的其他方式在表决截止日以前送达至召集人指定的地址或系统。</w:t>
      </w:r>
    </w:p>
    <w:p w14:paraId="4D4AA7F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14:paraId="4419D0C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w:t>
      </w:r>
      <w:r>
        <w:rPr>
          <w:rFonts w:ascii="宋体" w:hAnsi="宋体"/>
          <w:sz w:val="24"/>
        </w:rPr>
        <w:lastRenderedPageBreak/>
        <w:t>相关提示性公告；</w:t>
      </w:r>
    </w:p>
    <w:p w14:paraId="2D6B0EF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F29640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71EE717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3850E2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027C88C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14:paraId="7E97B38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14:paraId="1CCFF4B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70EC5F8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w:t>
      </w:r>
      <w:r>
        <w:rPr>
          <w:rFonts w:ascii="宋体" w:hAnsi="宋体"/>
          <w:sz w:val="24"/>
        </w:rPr>
        <w:lastRenderedPageBreak/>
        <w:t>在基金份额持有人大会召开前及时公告。</w:t>
      </w:r>
    </w:p>
    <w:p w14:paraId="3718D33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14:paraId="4E6AFE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14:paraId="79AE9C1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3AA6328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w:t>
      </w:r>
      <w:proofErr w:type="gramStart"/>
      <w:r>
        <w:rPr>
          <w:rFonts w:ascii="宋体" w:hAnsi="宋体"/>
          <w:sz w:val="24"/>
        </w:rPr>
        <w:t>作出</w:t>
      </w:r>
      <w:proofErr w:type="gramEnd"/>
      <w:r>
        <w:rPr>
          <w:rFonts w:ascii="宋体" w:hAnsi="宋体"/>
          <w:sz w:val="24"/>
        </w:rPr>
        <w:t>的决议的效力。</w:t>
      </w:r>
    </w:p>
    <w:p w14:paraId="14ED7D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w:t>
      </w:r>
      <w:proofErr w:type="gramStart"/>
      <w:r>
        <w:rPr>
          <w:rFonts w:ascii="宋体" w:hAnsi="宋体"/>
          <w:sz w:val="24"/>
        </w:rPr>
        <w:t>册</w:t>
      </w:r>
      <w:proofErr w:type="gramEnd"/>
      <w:r>
        <w:rPr>
          <w:rFonts w:ascii="宋体" w:hAnsi="宋体"/>
          <w:sz w:val="24"/>
        </w:rPr>
        <w:t>载明参加会议人员姓名（或单位名称）、身份证明文件号码、持有或代表有表决权的基金份额、委托人姓名（或单位名称）和联系方式等事项。</w:t>
      </w:r>
    </w:p>
    <w:p w14:paraId="75E40A6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4871179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14:paraId="35A20E6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14:paraId="250EB75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14:paraId="409C7A7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14:paraId="4E131CB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E41917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44774F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14:paraId="3037EBC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C5CDB8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14:paraId="415F9B2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14:paraId="0BCFBC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3B6EF26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sz w:val="24"/>
        </w:rPr>
        <w:t>或大会</w:t>
      </w:r>
      <w:proofErr w:type="gramEnd"/>
      <w:r>
        <w:rPr>
          <w:rFonts w:ascii="宋体" w:hAnsi="宋体"/>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2A55460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14:paraId="246C96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w:t>
      </w:r>
      <w:proofErr w:type="gramStart"/>
      <w:r>
        <w:rPr>
          <w:rFonts w:ascii="宋体" w:hAnsi="宋体"/>
          <w:sz w:val="24"/>
        </w:rPr>
        <w:t>数要求</w:t>
      </w:r>
      <w:proofErr w:type="gramEnd"/>
      <w:r>
        <w:rPr>
          <w:rFonts w:ascii="宋体" w:hAnsi="宋体"/>
          <w:sz w:val="24"/>
        </w:rPr>
        <w:t>进行重新清点。监票人应当进行重新清点，重新清点以一次为限。重新清点后，大会主持人应当当场公布重新清点结果。</w:t>
      </w:r>
    </w:p>
    <w:p w14:paraId="74C6F3D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14:paraId="0F85E9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1F6C337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sz w:val="24"/>
        </w:rPr>
        <w:t>人拒派</w:t>
      </w:r>
      <w:proofErr w:type="gramEnd"/>
      <w:r>
        <w:rPr>
          <w:rFonts w:ascii="宋体" w:hAnsi="宋体"/>
          <w:sz w:val="24"/>
        </w:rPr>
        <w:t>代表对表决意见的计票进行监督的，不影响计票和表决结果。</w:t>
      </w:r>
    </w:p>
    <w:p w14:paraId="15002F0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14:paraId="431A147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基金份额持有人大会的决议，召集人应当自通过之日起5日内报中国证监会备案。基金份额持有人大会的决议自表决通过之日起生效。法律法规另有规定的，从</w:t>
      </w:r>
      <w:r>
        <w:rPr>
          <w:rFonts w:ascii="宋体" w:hAnsi="宋体"/>
          <w:sz w:val="24"/>
        </w:rPr>
        <w:lastRenderedPageBreak/>
        <w:t>其规定。</w:t>
      </w:r>
    </w:p>
    <w:p w14:paraId="5A8FCD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59D26BB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14:paraId="787C48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9、实施</w:t>
      </w:r>
      <w:proofErr w:type="gramStart"/>
      <w:r>
        <w:rPr>
          <w:rFonts w:ascii="宋体" w:hAnsi="宋体"/>
          <w:sz w:val="24"/>
        </w:rPr>
        <w:t>侧袋机制</w:t>
      </w:r>
      <w:proofErr w:type="gramEnd"/>
      <w:r>
        <w:rPr>
          <w:rFonts w:ascii="宋体" w:hAnsi="宋体"/>
          <w:sz w:val="24"/>
        </w:rPr>
        <w:t>期间基金份额持有人大会的特殊约定</w:t>
      </w:r>
    </w:p>
    <w:p w14:paraId="52F8B5C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w:t>
      </w:r>
      <w:proofErr w:type="gramStart"/>
      <w:r>
        <w:rPr>
          <w:rFonts w:ascii="宋体" w:hAnsi="宋体"/>
          <w:sz w:val="24"/>
        </w:rPr>
        <w:t>实施侧袋机制</w:t>
      </w:r>
      <w:proofErr w:type="gramEnd"/>
      <w:r>
        <w:rPr>
          <w:rFonts w:ascii="宋体" w:hAnsi="宋体"/>
          <w:sz w:val="24"/>
        </w:rPr>
        <w:t>，</w:t>
      </w:r>
      <w:proofErr w:type="gramStart"/>
      <w:r>
        <w:rPr>
          <w:rFonts w:ascii="宋体" w:hAnsi="宋体"/>
          <w:sz w:val="24"/>
        </w:rPr>
        <w:t>则相关</w:t>
      </w:r>
      <w:proofErr w:type="gramEnd"/>
      <w:r>
        <w:rPr>
          <w:rFonts w:ascii="宋体" w:hAnsi="宋体"/>
          <w:sz w:val="24"/>
        </w:rPr>
        <w:t>基金份额或表决权的比例</w:t>
      </w:r>
      <w:proofErr w:type="gramStart"/>
      <w:r>
        <w:rPr>
          <w:rFonts w:ascii="宋体" w:hAnsi="宋体"/>
          <w:sz w:val="24"/>
        </w:rPr>
        <w:t>指主袋份额</w:t>
      </w:r>
      <w:proofErr w:type="gramEnd"/>
      <w:r>
        <w:rPr>
          <w:rFonts w:ascii="宋体" w:hAnsi="宋体"/>
          <w:sz w:val="24"/>
        </w:rPr>
        <w:t>持有</w:t>
      </w:r>
      <w:proofErr w:type="gramStart"/>
      <w:r>
        <w:rPr>
          <w:rFonts w:ascii="宋体" w:hAnsi="宋体"/>
          <w:sz w:val="24"/>
        </w:rPr>
        <w:t>人和侧袋份额</w:t>
      </w:r>
      <w:proofErr w:type="gramEnd"/>
      <w:r>
        <w:rPr>
          <w:rFonts w:ascii="宋体" w:hAnsi="宋体"/>
          <w:sz w:val="24"/>
        </w:rPr>
        <w:t>持有人分别持有或代表的基金份额或表决权符合该等比例，但</w:t>
      </w:r>
      <w:proofErr w:type="gramStart"/>
      <w:r>
        <w:rPr>
          <w:rFonts w:ascii="宋体" w:hAnsi="宋体"/>
          <w:sz w:val="24"/>
        </w:rPr>
        <w:t>若相关</w:t>
      </w:r>
      <w:proofErr w:type="gramEnd"/>
      <w:r>
        <w:rPr>
          <w:rFonts w:ascii="宋体" w:hAnsi="宋体"/>
          <w:sz w:val="24"/>
        </w:rPr>
        <w:t>基金份额持有人大会召集和审议事项不</w:t>
      </w:r>
      <w:proofErr w:type="gramStart"/>
      <w:r>
        <w:rPr>
          <w:rFonts w:ascii="宋体" w:hAnsi="宋体"/>
          <w:sz w:val="24"/>
        </w:rPr>
        <w:t>涉及侧袋账户</w:t>
      </w:r>
      <w:proofErr w:type="gramEnd"/>
      <w:r>
        <w:rPr>
          <w:rFonts w:ascii="宋体" w:hAnsi="宋体"/>
          <w:sz w:val="24"/>
        </w:rPr>
        <w:t>的，则仅</w:t>
      </w:r>
      <w:proofErr w:type="gramStart"/>
      <w:r>
        <w:rPr>
          <w:rFonts w:ascii="宋体" w:hAnsi="宋体"/>
          <w:sz w:val="24"/>
        </w:rPr>
        <w:t>指主袋份额</w:t>
      </w:r>
      <w:proofErr w:type="gramEnd"/>
      <w:r>
        <w:rPr>
          <w:rFonts w:ascii="宋体" w:hAnsi="宋体"/>
          <w:sz w:val="24"/>
        </w:rPr>
        <w:t>持有人持有或代表的基金份额或表决权符合该等比例：</w:t>
      </w:r>
    </w:p>
    <w:p w14:paraId="2A62315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（1）基金份额持有人行使提议权、召集权、提名权所需单独或合计代表相关基金份额10%以上（含10%）；</w:t>
      </w:r>
    </w:p>
    <w:p w14:paraId="140BAA3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（2）现场开会的到会者在权益登记日代表的基金份额不少于本基金在权益登记</w:t>
      </w:r>
      <w:proofErr w:type="gramStart"/>
      <w:r>
        <w:rPr>
          <w:rFonts w:ascii="宋体" w:hAnsi="宋体"/>
          <w:sz w:val="24"/>
        </w:rPr>
        <w:t>日相关</w:t>
      </w:r>
      <w:proofErr w:type="gramEnd"/>
      <w:r>
        <w:rPr>
          <w:rFonts w:ascii="宋体" w:hAnsi="宋体"/>
          <w:sz w:val="24"/>
        </w:rPr>
        <w:t>基金份额的二分之一（含二分之一）；</w:t>
      </w:r>
    </w:p>
    <w:p w14:paraId="1E8E41D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w:t>
      </w:r>
      <w:proofErr w:type="gramStart"/>
      <w:r>
        <w:rPr>
          <w:rFonts w:ascii="宋体" w:hAnsi="宋体"/>
          <w:sz w:val="24"/>
        </w:rPr>
        <w:t>日相关</w:t>
      </w:r>
      <w:proofErr w:type="gramEnd"/>
      <w:r>
        <w:rPr>
          <w:rFonts w:ascii="宋体" w:hAnsi="宋体"/>
          <w:sz w:val="24"/>
        </w:rPr>
        <w:t>基金份额的二分之一（含二分之一）；</w:t>
      </w:r>
    </w:p>
    <w:p w14:paraId="527FEB7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（4）在参与基金份额持有人大会投票的基金份额持有人所持有的基金份额小于在权益登记</w:t>
      </w:r>
      <w:proofErr w:type="gramStart"/>
      <w:r>
        <w:rPr>
          <w:rFonts w:ascii="宋体" w:hAnsi="宋体"/>
          <w:sz w:val="24"/>
        </w:rPr>
        <w:t>日相关</w:t>
      </w:r>
      <w:proofErr w:type="gramEnd"/>
      <w:r>
        <w:rPr>
          <w:rFonts w:ascii="宋体" w:hAnsi="宋体"/>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078BD0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14:paraId="02F7662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（6）一般决议须经参加大会的基金份额持有人或其代理人所持表决权的二分之一以上（含二分之一）通过；</w:t>
      </w:r>
    </w:p>
    <w:p w14:paraId="6816554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（7）特别决议应当经参加大会的基金份额持有人或其代理人所持表决权的三</w:t>
      </w:r>
      <w:r>
        <w:rPr>
          <w:rFonts w:ascii="宋体" w:hAnsi="宋体"/>
          <w:sz w:val="24"/>
        </w:rPr>
        <w:lastRenderedPageBreak/>
        <w:t>分之二以上（含三分之二）通过。</w:t>
      </w:r>
    </w:p>
    <w:p w14:paraId="3BD3969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w:t>
      </w:r>
      <w:proofErr w:type="gramStart"/>
      <w:r>
        <w:rPr>
          <w:rFonts w:ascii="宋体" w:hAnsi="宋体"/>
          <w:sz w:val="24"/>
        </w:rPr>
        <w:t>一主侧袋账户</w:t>
      </w:r>
      <w:proofErr w:type="gramEnd"/>
      <w:r>
        <w:rPr>
          <w:rFonts w:ascii="宋体" w:hAnsi="宋体"/>
          <w:sz w:val="24"/>
        </w:rPr>
        <w:t>内的每份基金份额具有平等的表决权。</w:t>
      </w:r>
    </w:p>
    <w:p w14:paraId="3F43DB2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proofErr w:type="gramStart"/>
      <w:r>
        <w:rPr>
          <w:rFonts w:ascii="宋体" w:hAnsi="宋体"/>
          <w:sz w:val="24"/>
        </w:rPr>
        <w:t>本部分对基金</w:t>
      </w:r>
      <w:proofErr w:type="gramEnd"/>
      <w:r>
        <w:rPr>
          <w:rFonts w:ascii="宋体" w:hAnsi="宋体"/>
          <w:sz w:val="24"/>
        </w:rPr>
        <w:t>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293AE333"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（三）基金合同解除和终止的事由、程序</w:t>
      </w:r>
    </w:p>
    <w:p w14:paraId="532ADD5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14:paraId="2E79325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w:t>
      </w:r>
      <w:proofErr w:type="gramStart"/>
      <w:r>
        <w:rPr>
          <w:rFonts w:ascii="宋体" w:hAnsi="宋体"/>
          <w:sz w:val="24"/>
        </w:rPr>
        <w:t>开基金</w:t>
      </w:r>
      <w:proofErr w:type="gramEnd"/>
      <w:r>
        <w:rPr>
          <w:rFonts w:ascii="宋体" w:hAnsi="宋体"/>
          <w:sz w:val="24"/>
        </w:rPr>
        <w:t>份额持有人大会决议通过。对于法律法规规定和基金合同约定可不经基金份额持有人大会决议通过的事项，由基金管理人和基金托管人同意后变更并公告，并报中国证监会备案。</w:t>
      </w:r>
    </w:p>
    <w:p w14:paraId="7A8CD2C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w:t>
      </w:r>
      <w:proofErr w:type="gramStart"/>
      <w:r>
        <w:rPr>
          <w:rFonts w:ascii="宋体" w:hAnsi="宋体"/>
          <w:sz w:val="24"/>
        </w:rPr>
        <w:t>自决议</w:t>
      </w:r>
      <w:proofErr w:type="gramEnd"/>
      <w:r>
        <w:rPr>
          <w:rFonts w:ascii="宋体" w:hAnsi="宋体"/>
          <w:sz w:val="24"/>
        </w:rPr>
        <w:t>生效后依照《信息披露办法》的规定在规定媒介公告。</w:t>
      </w:r>
    </w:p>
    <w:p w14:paraId="077EE55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14:paraId="2A31651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14:paraId="43FF1FE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2D78D6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0FD2CC0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14:paraId="24E916C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（4）连续50个工作日出现基金份额持有人数量不满200人或者基金资产净值低于5000万元情形的，基金合同终止，不需召开基金份额持有人大会；</w:t>
      </w:r>
    </w:p>
    <w:p w14:paraId="1D1CD1E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（5）《基金合同》约定的其他情形；</w:t>
      </w:r>
    </w:p>
    <w:p w14:paraId="75AC4D9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（6）相关法律法规和中国证监会规定的其他情况。</w:t>
      </w:r>
    </w:p>
    <w:p w14:paraId="6E28DA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14:paraId="3040AE9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w:t>
      </w:r>
      <w:r>
        <w:rPr>
          <w:rFonts w:ascii="宋体" w:hAnsi="宋体"/>
          <w:sz w:val="24"/>
        </w:rPr>
        <w:lastRenderedPageBreak/>
        <w:t>金清算。</w:t>
      </w:r>
    </w:p>
    <w:p w14:paraId="3C766F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6B1DE1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10A1511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17B10FE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14:paraId="7EBB4F3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72DA72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416C64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7651BC4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38B036B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5B2F3B4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3E02133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14:paraId="70A831E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14:paraId="7F8FF7C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5120C33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14:paraId="70ECF01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4CC277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14:paraId="5B75BDA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w:t>
      </w:r>
      <w:proofErr w:type="gramStart"/>
      <w:r>
        <w:rPr>
          <w:rFonts w:ascii="宋体" w:hAnsi="宋体"/>
          <w:sz w:val="24"/>
        </w:rPr>
        <w:t>经符合</w:t>
      </w:r>
      <w:proofErr w:type="gramEnd"/>
      <w:r>
        <w:rPr>
          <w:rFonts w:ascii="宋体" w:hAnsi="宋体"/>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EF9840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7、基金财产清算账册及文件的保存</w:t>
      </w:r>
    </w:p>
    <w:p w14:paraId="554B3B5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基金财产清算账册及有关文件由基金托管人保存不低于法律法规规定的最低期限。</w:t>
      </w:r>
    </w:p>
    <w:p w14:paraId="42304BED"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（四）争议解决方式</w:t>
      </w:r>
    </w:p>
    <w:p w14:paraId="51DD9C56"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sidRPr="00522431">
        <w:rPr>
          <w:rFonts w:ascii="宋体" w:hAnsi="宋体"/>
          <w:b/>
          <w:bCs/>
          <w:sz w:val="24"/>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各方当事人均有约束力，除非仲裁裁决另有规定，仲裁费由败诉方承担。</w:t>
      </w:r>
    </w:p>
    <w:p w14:paraId="3DC375E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14:paraId="0E8EA63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《基金合同》受中国法律（不含港澳台地区法律）管辖并从其解释。</w:t>
      </w:r>
    </w:p>
    <w:p w14:paraId="118A4AAB"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（五）基金合同存放及投资者取得基金合同的方式</w:t>
      </w:r>
    </w:p>
    <w:p w14:paraId="015F43B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《基金合同》正本一式三份，除上报有关监管机构一份外，基金管理人、基金托管人各持有一份，每份具有同等的法律效力。</w:t>
      </w:r>
    </w:p>
    <w:p w14:paraId="3EB467F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14:paraId="2A045A73"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40EC12D" w14:textId="77777777" w:rsidR="001D6314" w:rsidRDefault="00130266">
      <w:pPr>
        <w:pStyle w:val="1"/>
        <w:snapToGrid w:val="0"/>
        <w:spacing w:beforeLines="0" w:before="240" w:after="240"/>
        <w:rPr>
          <w:rFonts w:ascii="宋体" w:hAnsi="宋体"/>
          <w:szCs w:val="30"/>
        </w:rPr>
      </w:pPr>
      <w:bookmarkStart w:id="25" w:name="_Toc216872017"/>
      <w:r>
        <w:rPr>
          <w:rFonts w:ascii="Times New Roman" w:hAnsi="Times New Roman"/>
          <w:sz w:val="30"/>
        </w:rPr>
        <w:lastRenderedPageBreak/>
        <w:t>二十二、托管协议的内容摘要</w:t>
      </w:r>
      <w:bookmarkEnd w:id="25"/>
    </w:p>
    <w:p w14:paraId="45159531"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（一）托管协议当事人</w:t>
      </w:r>
    </w:p>
    <w:p w14:paraId="68095B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14:paraId="4A01A03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3B6D7E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注册地址：中国（上海）自由贸易试验区银城中路188号交通银行大楼二层（裙）</w:t>
      </w:r>
    </w:p>
    <w:p w14:paraId="72AC505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14:paraId="5792596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247C380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14:paraId="4C7F4C0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 2005年8月4日</w:t>
      </w:r>
    </w:p>
    <w:p w14:paraId="4A9555D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批准设立机关及批准设立文号：中国证监会证</w:t>
      </w:r>
      <w:proofErr w:type="gramStart"/>
      <w:r>
        <w:rPr>
          <w:rFonts w:ascii="宋体" w:hAnsi="宋体"/>
          <w:sz w:val="24"/>
        </w:rPr>
        <w:t>监基金字</w:t>
      </w:r>
      <w:proofErr w:type="gramEnd"/>
      <w:r>
        <w:rPr>
          <w:rFonts w:ascii="宋体" w:hAnsi="宋体"/>
          <w:sz w:val="24"/>
        </w:rPr>
        <w:t>[2005]128号</w:t>
      </w:r>
    </w:p>
    <w:p w14:paraId="5E0A8E5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14:paraId="56028D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 2亿元人民币</w:t>
      </w:r>
    </w:p>
    <w:p w14:paraId="3AF273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024E4A0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14:paraId="107A2BB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14:paraId="39EB97B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名称：中国农业银行股份有限公司</w:t>
      </w:r>
    </w:p>
    <w:p w14:paraId="1E27697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注册地址：北京市东城区建国门内大街69号</w:t>
      </w:r>
    </w:p>
    <w:p w14:paraId="690515D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办公地址：北京市西城区复兴门内大街28号</w:t>
      </w:r>
      <w:proofErr w:type="gramStart"/>
      <w:r>
        <w:rPr>
          <w:rFonts w:ascii="宋体" w:hAnsi="宋体"/>
          <w:sz w:val="24"/>
        </w:rPr>
        <w:t>凯</w:t>
      </w:r>
      <w:proofErr w:type="gramEnd"/>
      <w:r>
        <w:rPr>
          <w:rFonts w:ascii="宋体" w:hAnsi="宋体"/>
          <w:sz w:val="24"/>
        </w:rPr>
        <w:t>晨世贸中心东座九层</w:t>
      </w:r>
    </w:p>
    <w:p w14:paraId="0323309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邮政编码：100031</w:t>
      </w:r>
    </w:p>
    <w:p w14:paraId="780B209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法定代表人：谷澍</w:t>
      </w:r>
    </w:p>
    <w:p w14:paraId="5DEEFD2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成立时间：2009年1月15日</w:t>
      </w:r>
    </w:p>
    <w:p w14:paraId="3471C08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基金托管资格批文及文号：中国证监会</w:t>
      </w:r>
      <w:proofErr w:type="gramStart"/>
      <w:r>
        <w:rPr>
          <w:rFonts w:ascii="宋体" w:hAnsi="宋体"/>
          <w:sz w:val="24"/>
        </w:rPr>
        <w:t>证监基字</w:t>
      </w:r>
      <w:proofErr w:type="gramEnd"/>
      <w:r>
        <w:rPr>
          <w:rFonts w:ascii="宋体" w:hAnsi="宋体"/>
          <w:sz w:val="24"/>
        </w:rPr>
        <w:t>[1998]23号</w:t>
      </w:r>
    </w:p>
    <w:p w14:paraId="0AF3668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批准设立机关和批准设立文号：中国银监</w:t>
      </w:r>
      <w:proofErr w:type="gramStart"/>
      <w:r>
        <w:rPr>
          <w:rFonts w:ascii="宋体" w:hAnsi="宋体"/>
          <w:sz w:val="24"/>
        </w:rPr>
        <w:t>会银监复</w:t>
      </w:r>
      <w:proofErr w:type="gramEnd"/>
      <w:r>
        <w:rPr>
          <w:rFonts w:ascii="宋体" w:hAnsi="宋体"/>
          <w:sz w:val="24"/>
        </w:rPr>
        <w:t>[2009]13号</w:t>
      </w:r>
    </w:p>
    <w:p w14:paraId="36B0924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14:paraId="2EE8436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注册资本：34,998,303.4万元人民币</w:t>
      </w:r>
    </w:p>
    <w:p w14:paraId="1F6D795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45D4D2A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经营范围：吸收公众存款；发放短期、中期、长期贷款；办理国内外结算；办理票据承兑与贴现；发行金融债券；代理发行、代理兑付、承销政府债券；买卖政</w:t>
      </w:r>
      <w:r>
        <w:rPr>
          <w:rFonts w:ascii="宋体" w:hAnsi="宋体"/>
          <w:sz w:val="24"/>
        </w:rPr>
        <w:lastRenderedPageBreak/>
        <w:t>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14:paraId="10A3090C"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（二）基金托管人对基金管理人的业务监督和核查</w:t>
      </w:r>
    </w:p>
    <w:p w14:paraId="599ECEC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3C70663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本基金的投资范围为具有良好流动性的金融工具，包括中证红利低波动100指数的成份股（</w:t>
      </w:r>
      <w:proofErr w:type="gramStart"/>
      <w:r>
        <w:rPr>
          <w:rFonts w:ascii="宋体" w:hAnsi="宋体"/>
          <w:sz w:val="24"/>
        </w:rPr>
        <w:t>含存托</w:t>
      </w:r>
      <w:proofErr w:type="gramEnd"/>
      <w:r>
        <w:rPr>
          <w:rFonts w:ascii="宋体" w:hAnsi="宋体"/>
          <w:sz w:val="24"/>
        </w:rPr>
        <w:t>凭证）及备选成份股（</w:t>
      </w:r>
      <w:proofErr w:type="gramStart"/>
      <w:r>
        <w:rPr>
          <w:rFonts w:ascii="宋体" w:hAnsi="宋体"/>
          <w:sz w:val="24"/>
        </w:rPr>
        <w:t>含存托</w:t>
      </w:r>
      <w:proofErr w:type="gramEnd"/>
      <w:r>
        <w:rPr>
          <w:rFonts w:ascii="宋体" w:hAnsi="宋体"/>
          <w:sz w:val="24"/>
        </w:rPr>
        <w:t>凭证）、其他股票（</w:t>
      </w:r>
      <w:proofErr w:type="gramStart"/>
      <w:r>
        <w:rPr>
          <w:rFonts w:ascii="宋体" w:hAnsi="宋体"/>
          <w:sz w:val="24"/>
        </w:rPr>
        <w:t>含创业</w:t>
      </w:r>
      <w:proofErr w:type="gramEnd"/>
      <w:r>
        <w:rPr>
          <w:rFonts w:ascii="宋体" w:hAnsi="宋体"/>
          <w:sz w:val="24"/>
        </w:rPr>
        <w:t>板、</w:t>
      </w:r>
      <w:proofErr w:type="gramStart"/>
      <w:r>
        <w:rPr>
          <w:rFonts w:ascii="宋体" w:hAnsi="宋体"/>
          <w:sz w:val="24"/>
        </w:rPr>
        <w:t>科创板</w:t>
      </w:r>
      <w:proofErr w:type="gramEnd"/>
      <w:r>
        <w:rPr>
          <w:rFonts w:ascii="宋体" w:hAnsi="宋体"/>
          <w:sz w:val="24"/>
        </w:rPr>
        <w:t>及其他经中国证监会核准或注册上市的股票、存托凭证）、债券（含国债、央行票据、金融债券、政府支持债券、政府支持机构债券、地方政府债券、企业债券、公司债券、可转换债券（</w:t>
      </w:r>
      <w:proofErr w:type="gramStart"/>
      <w:r>
        <w:rPr>
          <w:rFonts w:ascii="宋体" w:hAnsi="宋体"/>
          <w:sz w:val="24"/>
        </w:rPr>
        <w:t>含可分离</w:t>
      </w:r>
      <w:proofErr w:type="gramEnd"/>
      <w:r>
        <w:rPr>
          <w:rFonts w:ascii="宋体" w:hAnsi="宋体"/>
          <w:sz w:val="24"/>
        </w:rPr>
        <w:t>交易可转换债券）、可交换公司债券、次级债券、中期票据、短期融资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等）、资产支持证券、货币市场工具、债券回购、同业存单、银行存款（</w:t>
      </w:r>
      <w:proofErr w:type="gramStart"/>
      <w:r>
        <w:rPr>
          <w:rFonts w:ascii="宋体" w:hAnsi="宋体"/>
          <w:sz w:val="24"/>
        </w:rPr>
        <w:t>含协议</w:t>
      </w:r>
      <w:proofErr w:type="gramEnd"/>
      <w:r>
        <w:rPr>
          <w:rFonts w:ascii="宋体" w:hAnsi="宋体"/>
          <w:sz w:val="24"/>
        </w:rPr>
        <w:t>存款、定期存款及其他银行存款）、股指期货以及法律法规或中国证监会允许基金投资的其他金融工具（但须符合中国证监会相关规定）。</w:t>
      </w:r>
    </w:p>
    <w:p w14:paraId="3F0E1A5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1B15EEC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基金的投资组合比例为：本基金投资于中证红利低波动100指数成份股（</w:t>
      </w:r>
      <w:proofErr w:type="gramStart"/>
      <w:r>
        <w:rPr>
          <w:rFonts w:ascii="宋体" w:hAnsi="宋体"/>
          <w:sz w:val="24"/>
        </w:rPr>
        <w:t>含存托</w:t>
      </w:r>
      <w:proofErr w:type="gramEnd"/>
      <w:r>
        <w:rPr>
          <w:rFonts w:ascii="宋体" w:hAnsi="宋体"/>
          <w:sz w:val="24"/>
        </w:rPr>
        <w:t>凭证）及备选成份股（</w:t>
      </w:r>
      <w:proofErr w:type="gramStart"/>
      <w:r>
        <w:rPr>
          <w:rFonts w:ascii="宋体" w:hAnsi="宋体"/>
          <w:sz w:val="24"/>
        </w:rPr>
        <w:t>含存托</w:t>
      </w:r>
      <w:proofErr w:type="gramEnd"/>
      <w:r>
        <w:rPr>
          <w:rFonts w:ascii="宋体" w:hAnsi="宋体"/>
          <w:sz w:val="24"/>
        </w:rPr>
        <w:t>凭证）的比例不低于基金资产净值的90%；每个交</w:t>
      </w:r>
      <w:r>
        <w:rPr>
          <w:rFonts w:ascii="宋体" w:hAnsi="宋体"/>
          <w:sz w:val="24"/>
        </w:rPr>
        <w:lastRenderedPageBreak/>
        <w:t>易日日终在扣除股指期货合约需缴纳的交易保证金后，本基金持有的现金或者到期日在一年以内的政府债券的比例合计不低于基金资产净值的5%，其中现金不包括结算备付金、存出保证金、应收申购款等。</w:t>
      </w:r>
    </w:p>
    <w:p w14:paraId="3374FF7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2A7A19A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2、基金托管人根据有关法律法规的规定及基金合同的约定，对基金投资、融资比例进行监督。基金托管人按下述比例和调整期限进行监督：</w:t>
      </w:r>
    </w:p>
    <w:p w14:paraId="2937F5B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（1）本基金投资于中证红利低波动100指数成份股（</w:t>
      </w:r>
      <w:proofErr w:type="gramStart"/>
      <w:r>
        <w:rPr>
          <w:rFonts w:ascii="宋体" w:hAnsi="宋体"/>
          <w:sz w:val="24"/>
        </w:rPr>
        <w:t>含存托</w:t>
      </w:r>
      <w:proofErr w:type="gramEnd"/>
      <w:r>
        <w:rPr>
          <w:rFonts w:ascii="宋体" w:hAnsi="宋体"/>
          <w:sz w:val="24"/>
        </w:rPr>
        <w:t>凭证）及备选成份股（</w:t>
      </w:r>
      <w:proofErr w:type="gramStart"/>
      <w:r>
        <w:rPr>
          <w:rFonts w:ascii="宋体" w:hAnsi="宋体"/>
          <w:sz w:val="24"/>
        </w:rPr>
        <w:t>含存托</w:t>
      </w:r>
      <w:proofErr w:type="gramEnd"/>
      <w:r>
        <w:rPr>
          <w:rFonts w:ascii="宋体" w:hAnsi="宋体"/>
          <w:sz w:val="24"/>
        </w:rPr>
        <w:t>凭证）的比例不低于基金资产净值的90%；</w:t>
      </w:r>
    </w:p>
    <w:p w14:paraId="62D933B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41A2821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（3）本基金投资于同一原始权益人的各类资产支持证券的比例，不得超过基金资产净值的10％；</w:t>
      </w:r>
    </w:p>
    <w:p w14:paraId="1266BC6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（4）本基金持有的全部资产支持证券，其市值不得超过基金资产净值的20％；</w:t>
      </w:r>
    </w:p>
    <w:p w14:paraId="0A56666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（5）本基金持有的同一(指同一信用级别)资产支持证券的比例，不得超过该资产支持证券规模的10％；</w:t>
      </w:r>
    </w:p>
    <w:p w14:paraId="2FA447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（6）本基金管理人管理的、且由本基金托管人托管的全部基金投资于同一原始权益人的各类资产支持证券，不得超过其各类资产支持证券合计规模的10％；</w:t>
      </w:r>
    </w:p>
    <w:p w14:paraId="4C56F20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（7）本基金应投资于信用级别评级为BBB以上(含BBB)的资产支持证券。基金持有资产支持证券期间，如果其信用等级下降、不再符合投资标准，应在评级报告发布之日起3个月内予以全部卖出；</w:t>
      </w:r>
    </w:p>
    <w:p w14:paraId="3E8FE72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（8）基金财产参与股票发行申购，本基金所申报的金额不超过本基金的总资产，本基金所申报的股票数量不超过拟发行股票公司本次发行股票的总量；</w:t>
      </w:r>
    </w:p>
    <w:p w14:paraId="31A3E9F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853429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（10）本基金与私募类</w:t>
      </w:r>
      <w:proofErr w:type="gramStart"/>
      <w:r>
        <w:rPr>
          <w:rFonts w:ascii="宋体" w:hAnsi="宋体"/>
          <w:sz w:val="24"/>
        </w:rPr>
        <w:t>证券资管产品</w:t>
      </w:r>
      <w:proofErr w:type="gramEnd"/>
      <w:r>
        <w:rPr>
          <w:rFonts w:ascii="宋体" w:hAnsi="宋体"/>
          <w:sz w:val="24"/>
        </w:rPr>
        <w:t>及中国证监会认定的其他主体为交易对手</w:t>
      </w:r>
      <w:r>
        <w:rPr>
          <w:rFonts w:ascii="宋体" w:hAnsi="宋体"/>
          <w:sz w:val="24"/>
        </w:rPr>
        <w:lastRenderedPageBreak/>
        <w:t>开展逆回购交易的，可接受质押品的资质要求应当与基金合同约定的投资范围保持一致；</w:t>
      </w:r>
    </w:p>
    <w:p w14:paraId="2D2E1B2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（11）本基金资产总值不超过基金资产净值的140%；</w:t>
      </w:r>
    </w:p>
    <w:p w14:paraId="5CD49CE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（12）本基金参与股指期货交易，则：</w:t>
      </w:r>
    </w:p>
    <w:p w14:paraId="63934B4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14:paraId="24BC30C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62A7DC1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3）本基金在任何交易日日终，持有的卖出股指期货合约价值不得超过基金持有的股票总市值的20%；</w:t>
      </w:r>
    </w:p>
    <w:p w14:paraId="5CB2649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14:paraId="42CA150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14:paraId="5D967AE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（13）本基金投资存托凭证的比例限制依照境内上市交易的股票执行；</w:t>
      </w:r>
    </w:p>
    <w:p w14:paraId="70F5A7F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（14）法律法规及中国证监会规定的和《基金合同》约定的其他投资限制。</w:t>
      </w:r>
    </w:p>
    <w:p w14:paraId="1B39837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2）、（7）、（9）、（10）项以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14:paraId="0875A39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41150D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法律法规或监管部门取消或变更上述限制，如适用于本基金，基金管理人在履行适当程序后，则本基金投资不再受相关限制或以变更后的规定为准。</w:t>
      </w:r>
    </w:p>
    <w:p w14:paraId="4756128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3、基金托管人根据有关法律法规的规定及基金合同的约定，对本协议第十五条第（十一）项基金投资禁止行为进行监督。</w:t>
      </w:r>
    </w:p>
    <w:p w14:paraId="4C12A70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14:paraId="029DADE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62536E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对银行间债券市场交易对手名单进行更新，如基金管理人根据市场情况需要临时调整银行间债券市场交易对手名单，应向基金托管人说明理由，在与交易对手发生交易前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相应损失和责任。</w:t>
      </w:r>
    </w:p>
    <w:p w14:paraId="0CB840C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5、基金托管人根据有关法律法规的规定及基金合同的约定，对基金管理人投资银行存款进行监督。</w:t>
      </w:r>
    </w:p>
    <w:p w14:paraId="139991E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基金投资银行存款的，基金管理人应根据法律法规的规定及基金合同的约定，建立投资制度、审慎选择存款银行，做好风险控制；并按照基金托管人的要求配合基金托管人完成相关业务办理。</w:t>
      </w:r>
    </w:p>
    <w:p w14:paraId="057FC1B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14:paraId="1138093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如果基金管理人未经基金托管人的审核擅自将不实的业绩表现数据印制在宣传推介材料上，</w:t>
      </w:r>
      <w:proofErr w:type="gramStart"/>
      <w:r>
        <w:rPr>
          <w:rFonts w:ascii="宋体" w:hAnsi="宋体"/>
          <w:sz w:val="24"/>
        </w:rPr>
        <w:t>则基金</w:t>
      </w:r>
      <w:proofErr w:type="gramEnd"/>
      <w:r>
        <w:rPr>
          <w:rFonts w:ascii="宋体" w:hAnsi="宋体"/>
          <w:sz w:val="24"/>
        </w:rPr>
        <w:t>托管人对此不承担相应责任，并将在发现后立即报告中国证监会。</w:t>
      </w:r>
    </w:p>
    <w:p w14:paraId="2DC6342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7、基金托管人根据有关法律法规的规定及基金合同的约定，对基金投资流通受限证券进行监督。</w:t>
      </w:r>
    </w:p>
    <w:p w14:paraId="27CADC3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（1）基金投资流通受限证券，应遵守《关于基金投资非公开发行股票等流通受限证券有关问题的通知》等有关法律法规规定。</w:t>
      </w:r>
    </w:p>
    <w:p w14:paraId="2C6DDD2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14:paraId="0DC8FD9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72B5C2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（4）在投资流通受限证券之前，基金管理人应至少提前一个交易日向基金托管人提供有关流通受限证券的相关信息，具体应当包括但不限于如下文件（如有）：</w:t>
      </w:r>
    </w:p>
    <w:p w14:paraId="41FE313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4FB324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相应责任，并有权报告中国证监会。</w:t>
      </w:r>
    </w:p>
    <w:p w14:paraId="269DAF4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（6）基金管理人应保证基金投资的流通受限证券登记存管在本基金名下，并保证基金托管人能够正常查询。因基金管理</w:t>
      </w:r>
      <w:proofErr w:type="gramStart"/>
      <w:r>
        <w:rPr>
          <w:rFonts w:ascii="宋体" w:hAnsi="宋体"/>
          <w:sz w:val="24"/>
        </w:rPr>
        <w:t>人原因</w:t>
      </w:r>
      <w:proofErr w:type="gramEnd"/>
      <w:r>
        <w:rPr>
          <w:rFonts w:ascii="宋体" w:hAnsi="宋体"/>
          <w:sz w:val="24"/>
        </w:rPr>
        <w:t>产生的流通受限证券登记存管问题，造成基金财产的损失或基金托管人无法安全保管基金财产的责任与损失，由基金管理人承担。</w:t>
      </w:r>
    </w:p>
    <w:p w14:paraId="0A59522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1FB1F14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0881C00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规要求需向中国证监会报送基金监督报告的事项，基金管理人应积极配合提供相关数据资料和制度等。</w:t>
      </w:r>
    </w:p>
    <w:p w14:paraId="74AFBB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14B284F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（三）基金管理人对基金托管人的业务核查</w:t>
      </w:r>
    </w:p>
    <w:p w14:paraId="1FA3F6E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对基金托管人履行托管职责情况进行核查，核查事项包括基金托管人安全保管基金财产、开设基金财产的资金账户、证券账户等投资所需账户、复核基金管理人计算的基金资产净值和各类基金份额的基金份额净值、根据基金管理人指令办理清算交收、相关信息披露和监督基金投资运作等行为。</w:t>
      </w:r>
    </w:p>
    <w:p w14:paraId="70431F4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宋体" w:hAnsi="宋体"/>
          <w:sz w:val="24"/>
        </w:rPr>
        <w:t>供基金</w:t>
      </w:r>
      <w:proofErr w:type="gramEnd"/>
      <w:r>
        <w:rPr>
          <w:rFonts w:ascii="宋体" w:hAnsi="宋体"/>
          <w:sz w:val="24"/>
        </w:rPr>
        <w:t>管理人核查托管财产的完整性和真实性，在规定时间内答复基金管理人并改正。</w:t>
      </w:r>
    </w:p>
    <w:p w14:paraId="5A14E00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DE46880"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（四）基金财产的保管</w:t>
      </w:r>
    </w:p>
    <w:p w14:paraId="6E89FA8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14:paraId="3E5CC29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（1）基金财产应独立于基金管理人、基金托管人、证券经纪机构的固有财产。</w:t>
      </w:r>
    </w:p>
    <w:p w14:paraId="07A2FC7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（2）基金托管人应安全保管基金财产。未经基金管理人依据合法程序</w:t>
      </w:r>
      <w:proofErr w:type="gramStart"/>
      <w:r>
        <w:rPr>
          <w:rFonts w:ascii="宋体" w:hAnsi="宋体"/>
          <w:sz w:val="24"/>
        </w:rPr>
        <w:t>作出</w:t>
      </w:r>
      <w:proofErr w:type="gramEnd"/>
      <w:r>
        <w:rPr>
          <w:rFonts w:ascii="宋体" w:hAnsi="宋体"/>
          <w:sz w:val="24"/>
        </w:rPr>
        <w:t>的合法合</w:t>
      </w:r>
      <w:proofErr w:type="gramStart"/>
      <w:r>
        <w:rPr>
          <w:rFonts w:ascii="宋体" w:hAnsi="宋体"/>
          <w:sz w:val="24"/>
        </w:rPr>
        <w:t>规</w:t>
      </w:r>
      <w:proofErr w:type="gramEnd"/>
      <w:r>
        <w:rPr>
          <w:rFonts w:ascii="宋体" w:hAnsi="宋体"/>
          <w:sz w:val="24"/>
        </w:rPr>
        <w:t>指令，基金托管人不得自行运用、处分、分配基金的任何财产。</w:t>
      </w:r>
    </w:p>
    <w:p w14:paraId="12BB5B1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（3）基金托管人按照规定开设基金财产的资金账户、证券账户等投资所需账户。</w:t>
      </w:r>
    </w:p>
    <w:p w14:paraId="38A315C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14:paraId="6386DCD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14:paraId="47D204E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相应责任。</w:t>
      </w:r>
    </w:p>
    <w:p w14:paraId="5F122C7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（7）除依据法律法规和基金合同的规定外，基金托管人不得委托第三人托管基金财产。</w:t>
      </w:r>
    </w:p>
    <w:p w14:paraId="5740AD5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2、基金募集期间及募集资金的验资</w:t>
      </w:r>
    </w:p>
    <w:p w14:paraId="6745DF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（1）基金募集期间的认购款项应存于专用账户。该账户由基金管理人或基金管理人委托的登记机构开立并管理。</w:t>
      </w:r>
    </w:p>
    <w:p w14:paraId="7E9590B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托管资金账户，同时在规定时间内，聘请符合《中华人民共和国证券法》规定的会计师事务所进行验资，出具验资报告。出具的验资报告由参加验资的2名或2名以上中国注册会计师签字方为有效。</w:t>
      </w:r>
    </w:p>
    <w:p w14:paraId="4ADE090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募集期限届满，未能达到基金备案的条件，由基金管理人按规定办理退款等事宜，基金托管人应提供充分协助。</w:t>
      </w:r>
    </w:p>
    <w:p w14:paraId="430D739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3、基金托管资金账户的开立和管理</w:t>
      </w:r>
    </w:p>
    <w:p w14:paraId="7619239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（1）基金托管人应负责本基金的基金托管资金账户的开设和管理。</w:t>
      </w:r>
    </w:p>
    <w:p w14:paraId="3D77B56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（2）基金托管人应以本基金的名义在其营业机构开设本基金的资金账户，并根据基金管理人合法合</w:t>
      </w:r>
      <w:proofErr w:type="gramStart"/>
      <w:r>
        <w:rPr>
          <w:rFonts w:ascii="宋体" w:hAnsi="宋体"/>
          <w:sz w:val="24"/>
        </w:rPr>
        <w:t>规</w:t>
      </w:r>
      <w:proofErr w:type="gramEnd"/>
      <w:r>
        <w:rPr>
          <w:rFonts w:ascii="宋体" w:hAnsi="宋体"/>
          <w:sz w:val="24"/>
        </w:rPr>
        <w:t>的指令办理资金收付。本基金的银行预留印鉴由基金托管人保管和使用。本基金的一切货币收支活动，包括但不限于投资、支付赎回金额、支付基金收益、收取申购款，均需通过本基金的基金托管资金账户进行。</w:t>
      </w:r>
    </w:p>
    <w:p w14:paraId="3477A80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（3）基金托管资金账户的开立和使用，限于满足开展本基金业务的需要。基</w:t>
      </w:r>
      <w:r>
        <w:rPr>
          <w:rFonts w:ascii="宋体" w:hAnsi="宋体"/>
          <w:sz w:val="24"/>
        </w:rPr>
        <w:lastRenderedPageBreak/>
        <w:t>金托管人和基金管理人不得假借本基金的名义开立任何其他银行账户；亦不得使用基金的任何账户进行本基金业务以外的活动。</w:t>
      </w:r>
    </w:p>
    <w:p w14:paraId="6D77074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（4）基金托管资金账户的开立和管理应符合相关法律法规的有关规定。</w:t>
      </w:r>
    </w:p>
    <w:p w14:paraId="0A5F726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（5）在符合法律法规规定的条件下，基金托管人可以通过基金托管人专用账户办理基金资产的支付。</w:t>
      </w:r>
    </w:p>
    <w:p w14:paraId="0AB5C9F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4、基金证券账户的开立和管理</w:t>
      </w:r>
    </w:p>
    <w:p w14:paraId="7B12DB8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（1）基金托管人在中国证券登记结算有限责任公司上海分公司、深圳分公司为本基金开立基金托管人与基金联名的证券账户。</w:t>
      </w:r>
    </w:p>
    <w:p w14:paraId="1D7DBEF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14:paraId="7C13BE4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（3）基金证券账户的开立和开户回执的保管由基金托管人负责，账户资产的管理和运用由基金管理人负责。</w:t>
      </w:r>
    </w:p>
    <w:p w14:paraId="1C76AA1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（4）在本托管协议生效日之后，本基金被允许从事其他投资品种的投资业务，涉及相关账户的开设、使用的，按有关规定开设、使用并管理；若无相关规定，</w:t>
      </w:r>
      <w:proofErr w:type="gramStart"/>
      <w:r>
        <w:rPr>
          <w:rFonts w:ascii="宋体" w:hAnsi="宋体"/>
          <w:sz w:val="24"/>
        </w:rPr>
        <w:t>则基金</w:t>
      </w:r>
      <w:proofErr w:type="gramEnd"/>
      <w:r>
        <w:rPr>
          <w:rFonts w:ascii="宋体" w:hAnsi="宋体"/>
          <w:sz w:val="24"/>
        </w:rPr>
        <w:t>托管人应当比照并遵守上述关于账户开设、使用的规定。</w:t>
      </w:r>
    </w:p>
    <w:p w14:paraId="0F6906F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5、债券托管专户的开设和管理</w:t>
      </w:r>
    </w:p>
    <w:p w14:paraId="4B3CB87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托管人根据中国人民银行、中央国债登记结算有限责任公司、银行间市场清算所股份有限公司的有关规定，以本基金的名义在中央国债登记结算有限责任公司、银行间市场清算所股份有限公司开立债券托管与结算账户，并代表基金进行银行间市场债券的结算。基金管理人代表基金签订全国银行间债券市场债券回购主协议。</w:t>
      </w:r>
    </w:p>
    <w:p w14:paraId="737DE12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6、证券交易资金账户的开立和管理</w:t>
      </w:r>
    </w:p>
    <w:p w14:paraId="3F32B3C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（1）基金管理人以本基金的名义在代理证券买卖的证券经纪商处开立证券交易资金账户，用于办理基金托管人所托管的本基金在证券交易所进行证券投资所涉及的资金结算业务。</w:t>
      </w:r>
    </w:p>
    <w:p w14:paraId="1727149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（2）证券交易资金账户与基金托管资金账户建立三方存管关系。证券交易资金账户内的资金，只能通过证银转账方式将资金划转至基金托管资金账户，不得将资金划转至其他任何银行账户。</w:t>
      </w:r>
    </w:p>
    <w:p w14:paraId="514D82A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（3）如因基金管理人、证券经纪商原因致使对应关系无法建立，基金托管人</w:t>
      </w:r>
      <w:r>
        <w:rPr>
          <w:rFonts w:ascii="宋体" w:hAnsi="宋体"/>
          <w:sz w:val="24"/>
        </w:rPr>
        <w:lastRenderedPageBreak/>
        <w:t>不承担相应责任。基金托管人不负责办理场内的证券交易资金清算，也不负责保管证券交易资金账户内存放的资金。</w:t>
      </w:r>
    </w:p>
    <w:p w14:paraId="259B0BE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7、其他账户的开立和管理</w:t>
      </w:r>
    </w:p>
    <w:p w14:paraId="48255E3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（1）因业务发展需要而开立的其他账户，可以根据法律法规和基金合同的规定，在基金管理人和基金托管人商议后开立。新账户按有关规则使用并管理。</w:t>
      </w:r>
    </w:p>
    <w:p w14:paraId="5C9C12A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（2）法律法规等有关规定对相关账户的开立和管理另有规定的，从其规定办理。</w:t>
      </w:r>
    </w:p>
    <w:p w14:paraId="6A84BD7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8、基金财产投资的有关有价凭证等的保管</w:t>
      </w:r>
    </w:p>
    <w:p w14:paraId="0164DF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等有价凭证在基金托管人保管期间的损坏、灭失，由此产生的责任应由基金托管人承担。基金托管人对基金托管人以外机构实际有效控制的证券不承担保管责任。</w:t>
      </w:r>
    </w:p>
    <w:p w14:paraId="15E80BE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9、与基金财产有关的重大合同的保管</w:t>
      </w:r>
    </w:p>
    <w:p w14:paraId="021DB09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不低于法律法规规定的最低期限。</w:t>
      </w:r>
    </w:p>
    <w:p w14:paraId="480CE9CF"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（五）基金资产净值的计算及复核程序</w:t>
      </w:r>
    </w:p>
    <w:p w14:paraId="327294F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w:t>
      </w:r>
    </w:p>
    <w:p w14:paraId="70C88F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5926E96E"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类基金份额的基金份额净值是按照每个工作日闭市后，该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14:paraId="44D60D1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基金管理人于每个工作日计算各类基金份额的基金资产净值及基金份额净值，并按规定公告，如遇特殊情况，经履行适当程序，可以适当延迟计算或公告。</w:t>
      </w:r>
    </w:p>
    <w:p w14:paraId="62C0BC9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2、复核程序</w:t>
      </w:r>
    </w:p>
    <w:p w14:paraId="170FBE28"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w:t>
      </w:r>
      <w:proofErr w:type="gramStart"/>
      <w:r>
        <w:rPr>
          <w:rFonts w:ascii="宋体" w:hAnsi="宋体"/>
          <w:sz w:val="24"/>
        </w:rPr>
        <w:t>应每个</w:t>
      </w:r>
      <w:proofErr w:type="gramEnd"/>
      <w:r>
        <w:rPr>
          <w:rFonts w:ascii="宋体" w:hAnsi="宋体"/>
          <w:sz w:val="24"/>
        </w:rPr>
        <w:t>工作日对基金资产估值。但基金管理人根据法律法规或基金</w:t>
      </w:r>
      <w:r>
        <w:rPr>
          <w:rFonts w:ascii="宋体" w:hAnsi="宋体"/>
          <w:sz w:val="24"/>
        </w:rPr>
        <w:lastRenderedPageBreak/>
        <w:t>合同的规定暂停估值时除外。基金管理人每个工作日对基金资产进行估值后，将基金资产净值、各类基金份额净值结果发送基金托管人，经基金托管人复核无误后，由基金管理人依据基金合同和相关法律法规的规定对外公布。月末、年中和年末估值复核与基金会计账目的核对同时进行。</w:t>
      </w:r>
    </w:p>
    <w:p w14:paraId="51FEBB14"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（六）基金份额持有人名册的保管</w:t>
      </w:r>
    </w:p>
    <w:p w14:paraId="345BD119"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基金份额持有人的名称和持有的基金份额。</w:t>
      </w:r>
    </w:p>
    <w:p w14:paraId="417175F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38C73BF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及时向基金托管人提交基金份额持有人名册。每年6月30日和12月31日的基金份额持有人名册应于下月前十个工作日内提交；基金合同生效日、基金合同终止日、基金份额持有人大会权益登记日等涉及到基金重要事项日期的基金份额持有人名册应于发生日后十个工作日内提交。</w:t>
      </w:r>
    </w:p>
    <w:p w14:paraId="4E53D47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基金管理人和基金托管人应妥善保管基金份额持有人名册，保存期限不低于法律法规规定的最低期限。基金托管人不得将所保管的基金份额持有人名册用于基金托管业务以外的其他用途，并应遵守保密义务。</w:t>
      </w:r>
      <w:proofErr w:type="gramStart"/>
      <w:r>
        <w:rPr>
          <w:rFonts w:ascii="宋体" w:hAnsi="宋体"/>
          <w:sz w:val="24"/>
        </w:rPr>
        <w:t>若基金</w:t>
      </w:r>
      <w:proofErr w:type="gramEnd"/>
      <w:r>
        <w:rPr>
          <w:rFonts w:ascii="宋体" w:hAnsi="宋体"/>
          <w:sz w:val="24"/>
        </w:rPr>
        <w:t>管理人或基金托管人由于自身原因无法妥善保管基金份额持有人名册，应按有关法规规定各自承担相应的责任。</w:t>
      </w:r>
    </w:p>
    <w:p w14:paraId="010A7E06"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（七）争议解决方式</w:t>
      </w:r>
    </w:p>
    <w:p w14:paraId="0A9166C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双方当事人均有约束力，除非仲裁裁决另有规定，仲裁费由败诉方承担。</w:t>
      </w:r>
    </w:p>
    <w:p w14:paraId="0720956C"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14:paraId="081106E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本协议适用中华人民共和国法律（不含港澳台地区法律）并从其解释。</w:t>
      </w:r>
    </w:p>
    <w:p w14:paraId="1042594C"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（八）托管协议的变更与终止</w:t>
      </w:r>
    </w:p>
    <w:p w14:paraId="5C68692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14:paraId="2C95CEC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本协议双方当事人经协商一致，可以对协议进行修改。修改后的新协议，其内容不得与基金合同的规定有任何冲突。基金托管协议的变更应报中国证监会备案。</w:t>
      </w:r>
    </w:p>
    <w:p w14:paraId="0A2A5182"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2、基金托管协议终止的情形</w:t>
      </w:r>
    </w:p>
    <w:p w14:paraId="148597F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14:paraId="6423608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（2）基金托管人解散、依法被撤销、破产或由其他基金托管人接管基金资产；</w:t>
      </w:r>
    </w:p>
    <w:p w14:paraId="3C3B02A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（3）基金管理人解散、依法被撤销、破产或由其他基金管理人接管基金管理权；</w:t>
      </w:r>
    </w:p>
    <w:p w14:paraId="3EE23BF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（4）发生法律法规、中国证监会或基金合同规定的其他终止事项。</w:t>
      </w:r>
    </w:p>
    <w:p w14:paraId="0823C834"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FC43952" w14:textId="77777777" w:rsidR="001D6314" w:rsidRDefault="00130266">
      <w:pPr>
        <w:pStyle w:val="1"/>
        <w:snapToGrid w:val="0"/>
        <w:spacing w:beforeLines="0" w:before="240" w:after="240"/>
        <w:rPr>
          <w:rFonts w:ascii="宋体" w:hAnsi="宋体"/>
          <w:szCs w:val="30"/>
        </w:rPr>
      </w:pPr>
      <w:bookmarkStart w:id="26" w:name="_Toc216872018"/>
      <w:r>
        <w:rPr>
          <w:rFonts w:ascii="Times New Roman" w:hAnsi="Times New Roman"/>
          <w:sz w:val="30"/>
        </w:rPr>
        <w:lastRenderedPageBreak/>
        <w:t>二十三、对基金份额持有人的服务</w:t>
      </w:r>
      <w:bookmarkEnd w:id="26"/>
    </w:p>
    <w:p w14:paraId="05D7F51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14:paraId="48E2B904"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（一）持有人交易资料的寄送服务</w:t>
      </w:r>
    </w:p>
    <w:p w14:paraId="3CE0AEB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每次交易结束后，可在T+2个工作日后通过销售机构的网点查询和打印确认单。</w:t>
      </w:r>
    </w:p>
    <w:p w14:paraId="129C4BC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本基金管理人将向持有人提供电子或纸质对账单，需要订阅或取消的客户可与本基金管理</w:t>
      </w:r>
      <w:proofErr w:type="gramStart"/>
      <w:r>
        <w:rPr>
          <w:rFonts w:ascii="宋体" w:hAnsi="宋体"/>
          <w:sz w:val="24"/>
        </w:rPr>
        <w:t>人客户</w:t>
      </w:r>
      <w:proofErr w:type="gramEnd"/>
      <w:r>
        <w:rPr>
          <w:rFonts w:ascii="宋体" w:hAnsi="宋体"/>
          <w:sz w:val="24"/>
        </w:rPr>
        <w:t>服务中心（400-700-5000，021-61055000）联系。</w:t>
      </w:r>
    </w:p>
    <w:p w14:paraId="1114A15C"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（二）网上直销服务</w:t>
      </w:r>
    </w:p>
    <w:p w14:paraId="5F7F0E8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服务，个人投资者可以直接通过本基金管理人的网上直销交易平台办理开户和本基金的申购、赎回、定期定额投资、转换等业务。通过网上直销交易平台办理本基金申购和定期定额投资业务的个人投资者将享受申购费率的优惠，其他费率标准不变。具体优惠费率请参见公司网站列示的网上直销交易平台申购、定期定额投资费率表或相关公告。基金网上直销交易平台已开通的银行卡及各银行卡交易金额限额请参阅本基金管理人网站。</w:t>
      </w:r>
    </w:p>
    <w:p w14:paraId="285C3AAA"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在条件成熟的时候，本基金管理人将根据基金网上直销业务的发展状况，适时调整可用于网上直销交易平台的银行卡种类，敬请投资人留意相关公告。</w:t>
      </w:r>
    </w:p>
    <w:p w14:paraId="75435064"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（三）信息咨询、查询服务</w:t>
      </w:r>
    </w:p>
    <w:p w14:paraId="326FF4D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投资人如果想查询申购和赎回等交易情况、分红方式状态、基金账户余额、基金产品与服务等信息，请拨打本基金管理</w:t>
      </w:r>
      <w:proofErr w:type="gramStart"/>
      <w:r>
        <w:rPr>
          <w:rFonts w:ascii="宋体" w:hAnsi="宋体"/>
          <w:sz w:val="24"/>
        </w:rPr>
        <w:t>人客户</w:t>
      </w:r>
      <w:proofErr w:type="gramEnd"/>
      <w:r>
        <w:rPr>
          <w:rFonts w:ascii="宋体" w:hAnsi="宋体"/>
          <w:sz w:val="24"/>
        </w:rPr>
        <w:t>服务电话（400-700-5000，021-61055000）或登录本基金管理人网站（www.fund001.com）进行咨询、查询。</w:t>
      </w:r>
    </w:p>
    <w:p w14:paraId="0C11380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w:t>
      </w:r>
      <w:proofErr w:type="gramStart"/>
      <w:r>
        <w:rPr>
          <w:rFonts w:ascii="宋体" w:hAnsi="宋体"/>
          <w:sz w:val="24"/>
        </w:rPr>
        <w:t>人客户</w:t>
      </w:r>
      <w:proofErr w:type="gramEnd"/>
      <w:r>
        <w:rPr>
          <w:rFonts w:ascii="宋体" w:hAnsi="宋体"/>
          <w:sz w:val="24"/>
        </w:rPr>
        <w:t>服务电话修改基金查询密码。</w:t>
      </w:r>
    </w:p>
    <w:p w14:paraId="0B9EF61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w:t>
      </w:r>
      <w:proofErr w:type="gramStart"/>
      <w:r>
        <w:rPr>
          <w:rFonts w:ascii="宋体" w:hAnsi="宋体"/>
          <w:sz w:val="24"/>
        </w:rPr>
        <w:t>人客户</w:t>
      </w:r>
      <w:proofErr w:type="gramEnd"/>
      <w:r>
        <w:rPr>
          <w:rFonts w:ascii="宋体" w:hAnsi="宋体"/>
          <w:sz w:val="24"/>
        </w:rPr>
        <w:t>服务电话投诉直销机构的人员和服务。</w:t>
      </w:r>
    </w:p>
    <w:p w14:paraId="6C532412"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（四）基金红利再投资</w:t>
      </w:r>
    </w:p>
    <w:p w14:paraId="4C9BB95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本基金收益分配时，基金份额持有人持有的基金份额可选择现金红利或选择红利再投将现金红利自动转为基金份额进行再投资，若投资人不选择，本基金默认的</w:t>
      </w:r>
      <w:r>
        <w:rPr>
          <w:rFonts w:ascii="宋体" w:hAnsi="宋体"/>
          <w:sz w:val="24"/>
        </w:rPr>
        <w:lastRenderedPageBreak/>
        <w:t>收益分配方式是现金分红。再投资红利按红利再投日（即除息日）除息后的基金份额净值自动转为基金份额，并免收申购费用。</w:t>
      </w:r>
    </w:p>
    <w:p w14:paraId="0D21AFD9"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（五）定期定额投资计划</w:t>
      </w:r>
    </w:p>
    <w:p w14:paraId="6063D3A0"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14:paraId="70BA790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14:paraId="3CC16AC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14:paraId="6329B2A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51B7752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14:paraId="061633C3"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14:paraId="1CCC641C" w14:textId="77777777" w:rsidR="001D6314" w:rsidRDefault="00130266">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（六）如本招募说明书存在任何您/</w:t>
      </w:r>
      <w:proofErr w:type="gramStart"/>
      <w:r>
        <w:rPr>
          <w:rFonts w:ascii="宋体" w:hAnsi="宋体" w:hint="eastAsia"/>
          <w:b/>
          <w:kern w:val="0"/>
          <w:sz w:val="24"/>
        </w:rPr>
        <w:t>贵机构</w:t>
      </w:r>
      <w:proofErr w:type="gramEnd"/>
      <w:r>
        <w:rPr>
          <w:rFonts w:ascii="宋体" w:hAnsi="宋体" w:hint="eastAsia"/>
          <w:b/>
          <w:kern w:val="0"/>
          <w:sz w:val="24"/>
        </w:rPr>
        <w:t>无法理解的内容，请通过上述方式联系基金管理人。</w:t>
      </w:r>
      <w:proofErr w:type="gramStart"/>
      <w:r>
        <w:rPr>
          <w:rFonts w:ascii="宋体" w:hAnsi="宋体" w:hint="eastAsia"/>
          <w:b/>
          <w:kern w:val="0"/>
          <w:sz w:val="24"/>
        </w:rPr>
        <w:t>请确保</w:t>
      </w:r>
      <w:proofErr w:type="gramEnd"/>
      <w:r>
        <w:rPr>
          <w:rFonts w:ascii="宋体" w:hAnsi="宋体" w:hint="eastAsia"/>
          <w:b/>
          <w:kern w:val="0"/>
          <w:sz w:val="24"/>
        </w:rPr>
        <w:t>投资前，您/</w:t>
      </w:r>
      <w:proofErr w:type="gramStart"/>
      <w:r>
        <w:rPr>
          <w:rFonts w:ascii="宋体" w:hAnsi="宋体" w:hint="eastAsia"/>
          <w:b/>
          <w:kern w:val="0"/>
          <w:sz w:val="24"/>
        </w:rPr>
        <w:t>贵机构</w:t>
      </w:r>
      <w:proofErr w:type="gramEnd"/>
      <w:r>
        <w:rPr>
          <w:rFonts w:ascii="宋体" w:hAnsi="宋体" w:hint="eastAsia"/>
          <w:b/>
          <w:kern w:val="0"/>
          <w:sz w:val="24"/>
        </w:rPr>
        <w:t>已经全面理解了本招募说明书。</w:t>
      </w:r>
    </w:p>
    <w:p w14:paraId="68293659"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016ECAC" w14:textId="77777777" w:rsidR="001D6314" w:rsidRDefault="00130266">
      <w:pPr>
        <w:pStyle w:val="1"/>
        <w:snapToGrid w:val="0"/>
        <w:spacing w:beforeLines="0" w:before="240" w:after="240"/>
        <w:rPr>
          <w:rFonts w:ascii="宋体" w:hAnsi="宋体"/>
          <w:szCs w:val="30"/>
        </w:rPr>
      </w:pPr>
      <w:bookmarkStart w:id="27" w:name="_Toc216872019"/>
      <w:r>
        <w:rPr>
          <w:rFonts w:ascii="Times New Roman" w:hAnsi="Times New Roman"/>
          <w:sz w:val="30"/>
        </w:rPr>
        <w:lastRenderedPageBreak/>
        <w:t>二十四、其他应披露事项</w:t>
      </w:r>
      <w:bookmarkEnd w:id="27"/>
    </w:p>
    <w:p w14:paraId="5A822B0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tbl>
      <w:tblPr>
        <w:tblW w:w="5000" w:type="pct"/>
        <w:tblCellMar>
          <w:left w:w="0" w:type="dxa"/>
          <w:right w:w="0" w:type="dxa"/>
        </w:tblCellMar>
        <w:tblLook w:val="04A0" w:firstRow="1" w:lastRow="0" w:firstColumn="1" w:lastColumn="0" w:noHBand="0" w:noVBand="1"/>
      </w:tblPr>
      <w:tblGrid>
        <w:gridCol w:w="1006"/>
        <w:gridCol w:w="3018"/>
        <w:gridCol w:w="3017"/>
        <w:gridCol w:w="1609"/>
      </w:tblGrid>
      <w:tr w:rsidR="001D6314" w14:paraId="206A697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EB942E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14:paraId="344924F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14:paraId="751CBBC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14:paraId="6A5D82A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1D6314" w14:paraId="66772E7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D5D769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759B4FB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交银施罗德基金管理有限公司关于旗下基金改聘会计师事务所的公告</w:t>
            </w:r>
          </w:p>
        </w:tc>
        <w:tc>
          <w:tcPr>
            <w:tcW w:w="750" w:type="pct"/>
            <w:tcBorders>
              <w:top w:val="single" w:sz="4" w:space="0" w:color="auto"/>
              <w:left w:val="single" w:sz="4" w:space="0" w:color="auto"/>
              <w:bottom w:val="single" w:sz="4" w:space="0" w:color="auto"/>
              <w:right w:val="single" w:sz="4" w:space="0" w:color="auto"/>
            </w:tcBorders>
            <w:vAlign w:val="center"/>
          </w:tcPr>
          <w:p w14:paraId="624D85DA"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314F7E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2024-12-03</w:t>
            </w:r>
          </w:p>
        </w:tc>
      </w:tr>
      <w:tr w:rsidR="001D6314" w14:paraId="661384F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53F358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64F50D6D"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w:t>
            </w:r>
            <w:proofErr w:type="gramStart"/>
            <w:r>
              <w:rPr>
                <w:rFonts w:ascii="Times New Roman" w:hAnsi="Times New Roman"/>
                <w:color w:val="000000"/>
                <w:kern w:val="0"/>
                <w:sz w:val="25"/>
                <w:szCs w:val="24"/>
              </w:rPr>
              <w:t>基金基金</w:t>
            </w:r>
            <w:proofErr w:type="gramEnd"/>
            <w:r>
              <w:rPr>
                <w:rFonts w:ascii="Times New Roman" w:hAnsi="Times New Roman"/>
                <w:color w:val="000000"/>
                <w:kern w:val="0"/>
                <w:sz w:val="25"/>
                <w:szCs w:val="24"/>
              </w:rPr>
              <w:t>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14:paraId="2810EDD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C80D90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2024-12-27</w:t>
            </w:r>
          </w:p>
        </w:tc>
      </w:tr>
      <w:tr w:rsidR="001D6314" w14:paraId="1F76710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5DFD46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46E3B4B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指数型证券投资基金招募说明书更新</w:t>
            </w:r>
          </w:p>
        </w:tc>
        <w:tc>
          <w:tcPr>
            <w:tcW w:w="750" w:type="pct"/>
            <w:tcBorders>
              <w:top w:val="single" w:sz="4" w:space="0" w:color="auto"/>
              <w:left w:val="single" w:sz="4" w:space="0" w:color="auto"/>
              <w:bottom w:val="single" w:sz="4" w:space="0" w:color="auto"/>
              <w:right w:val="single" w:sz="4" w:space="0" w:color="auto"/>
            </w:tcBorders>
            <w:vAlign w:val="center"/>
          </w:tcPr>
          <w:p w14:paraId="289835F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25AC64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2024-12-27</w:t>
            </w:r>
          </w:p>
        </w:tc>
      </w:tr>
      <w:tr w:rsidR="001D6314" w14:paraId="3BED6E8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DDC144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1F03D59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14:paraId="7125F93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8D69A61"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2024-12-27</w:t>
            </w:r>
          </w:p>
        </w:tc>
      </w:tr>
      <w:tr w:rsidR="001D6314" w14:paraId="31F744B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EB705F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6E6CC06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5D1E09EE"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46FD97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2025-01-21</w:t>
            </w:r>
          </w:p>
        </w:tc>
      </w:tr>
      <w:tr w:rsidR="001D6314" w14:paraId="18D2420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613CBB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707AFDE6"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14:paraId="396B594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64C512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2025-01-21</w:t>
            </w:r>
          </w:p>
        </w:tc>
      </w:tr>
      <w:tr w:rsidR="001D6314" w14:paraId="4E902F2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53AC50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4AA48A62"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交银施罗德基金管理有限公司关于增加中信银行股份有限公司为旗下基金的销售机构的公告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255DB55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7024EA8"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2025-02-17</w:t>
            </w:r>
          </w:p>
        </w:tc>
      </w:tr>
      <w:tr w:rsidR="001D6314" w14:paraId="5822064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C6E379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7B56C9A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w:t>
            </w:r>
            <w:proofErr w:type="gramStart"/>
            <w:r>
              <w:rPr>
                <w:rFonts w:ascii="Times New Roman" w:hAnsi="Times New Roman"/>
                <w:color w:val="000000"/>
                <w:kern w:val="0"/>
                <w:sz w:val="25"/>
                <w:szCs w:val="24"/>
              </w:rPr>
              <w:t>攀赢基金</w:t>
            </w:r>
            <w:proofErr w:type="gramEnd"/>
            <w:r>
              <w:rPr>
                <w:rFonts w:ascii="Times New Roman" w:hAnsi="Times New Roman"/>
                <w:color w:val="000000"/>
                <w:kern w:val="0"/>
                <w:sz w:val="25"/>
                <w:szCs w:val="24"/>
              </w:rPr>
              <w:t>销售有限公司为旗下基金的销售机构的公告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4B83284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1ACAAD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2025-02-24</w:t>
            </w:r>
          </w:p>
        </w:tc>
      </w:tr>
      <w:tr w:rsidR="001D6314" w14:paraId="2DBCA83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C573F9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2A2F490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w:t>
            </w:r>
            <w:proofErr w:type="gramStart"/>
            <w:r>
              <w:rPr>
                <w:rFonts w:ascii="Times New Roman" w:hAnsi="Times New Roman"/>
                <w:color w:val="000000"/>
                <w:kern w:val="0"/>
                <w:sz w:val="25"/>
                <w:szCs w:val="24"/>
              </w:rPr>
              <w:t>基金基金</w:t>
            </w:r>
            <w:proofErr w:type="gramEnd"/>
            <w:r>
              <w:rPr>
                <w:rFonts w:ascii="Times New Roman" w:hAnsi="Times New Roman"/>
                <w:color w:val="000000"/>
                <w:kern w:val="0"/>
                <w:sz w:val="25"/>
                <w:szCs w:val="24"/>
              </w:rPr>
              <w:t>经理变更公告</w:t>
            </w:r>
          </w:p>
        </w:tc>
        <w:tc>
          <w:tcPr>
            <w:tcW w:w="750" w:type="pct"/>
            <w:tcBorders>
              <w:top w:val="single" w:sz="4" w:space="0" w:color="auto"/>
              <w:left w:val="single" w:sz="4" w:space="0" w:color="auto"/>
              <w:bottom w:val="single" w:sz="4" w:space="0" w:color="auto"/>
              <w:right w:val="single" w:sz="4" w:space="0" w:color="auto"/>
            </w:tcBorders>
            <w:vAlign w:val="center"/>
          </w:tcPr>
          <w:p w14:paraId="7310EB0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B155DC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2025-02-27</w:t>
            </w:r>
          </w:p>
        </w:tc>
      </w:tr>
      <w:tr w:rsidR="001D6314" w14:paraId="18A71B5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98D191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7509926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指数型证券投资基金招募说明书更新</w:t>
            </w:r>
          </w:p>
        </w:tc>
        <w:tc>
          <w:tcPr>
            <w:tcW w:w="750" w:type="pct"/>
            <w:tcBorders>
              <w:top w:val="single" w:sz="4" w:space="0" w:color="auto"/>
              <w:left w:val="single" w:sz="4" w:space="0" w:color="auto"/>
              <w:bottom w:val="single" w:sz="4" w:space="0" w:color="auto"/>
              <w:right w:val="single" w:sz="4" w:space="0" w:color="auto"/>
            </w:tcBorders>
            <w:vAlign w:val="center"/>
          </w:tcPr>
          <w:p w14:paraId="0B415E1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5C383E0"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2025-03-04</w:t>
            </w:r>
          </w:p>
        </w:tc>
      </w:tr>
      <w:tr w:rsidR="001D6314" w14:paraId="0BCCF39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DCFBE5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11</w:t>
            </w:r>
          </w:p>
        </w:tc>
        <w:tc>
          <w:tcPr>
            <w:tcW w:w="750" w:type="pct"/>
            <w:tcBorders>
              <w:top w:val="single" w:sz="4" w:space="0" w:color="auto"/>
              <w:left w:val="single" w:sz="4" w:space="0" w:color="auto"/>
              <w:bottom w:val="single" w:sz="4" w:space="0" w:color="auto"/>
              <w:right w:val="single" w:sz="4" w:space="0" w:color="auto"/>
            </w:tcBorders>
            <w:vAlign w:val="center"/>
          </w:tcPr>
          <w:p w14:paraId="05C5766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14:paraId="035D329B"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96B133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2025-03-04</w:t>
            </w:r>
          </w:p>
        </w:tc>
      </w:tr>
      <w:tr w:rsidR="001D6314" w14:paraId="6E16E17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A9635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14:paraId="0D559E2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14:paraId="28A1474A"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E38A4CB"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2025-03-04</w:t>
            </w:r>
          </w:p>
        </w:tc>
      </w:tr>
      <w:tr w:rsidR="001D6314" w14:paraId="2DC5B82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ED3F39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14:paraId="2434903E"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交银施罗德基金管理有限公司关于增加宁波银行股份有限公司为旗下基金的销售机构的公告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0F8E70C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688EBA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2025-03-13</w:t>
            </w:r>
          </w:p>
        </w:tc>
      </w:tr>
      <w:tr w:rsidR="001D6314" w14:paraId="1717FFB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5361FB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14:paraId="586A57E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14:paraId="02BB6F9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BB4EDE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2025-03-28</w:t>
            </w:r>
          </w:p>
        </w:tc>
      </w:tr>
      <w:tr w:rsidR="001D6314" w14:paraId="03739EB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EBA6BB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14:paraId="20C25F7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交银施罗德基金管理有限公司旗下公</w:t>
            </w:r>
            <w:proofErr w:type="gramStart"/>
            <w:r>
              <w:rPr>
                <w:rFonts w:ascii="Times New Roman" w:hAnsi="Times New Roman"/>
                <w:color w:val="000000"/>
                <w:kern w:val="0"/>
                <w:sz w:val="25"/>
                <w:szCs w:val="24"/>
              </w:rPr>
              <w:t>募基金</w:t>
            </w:r>
            <w:proofErr w:type="gramEnd"/>
            <w:r>
              <w:rPr>
                <w:rFonts w:ascii="Times New Roman" w:hAnsi="Times New Roman"/>
                <w:color w:val="000000"/>
                <w:kern w:val="0"/>
                <w:sz w:val="25"/>
                <w:szCs w:val="24"/>
              </w:rPr>
              <w:t>通过证券公司交易及佣金支付情况公告</w:t>
            </w:r>
          </w:p>
        </w:tc>
        <w:tc>
          <w:tcPr>
            <w:tcW w:w="750" w:type="pct"/>
            <w:tcBorders>
              <w:top w:val="single" w:sz="4" w:space="0" w:color="auto"/>
              <w:left w:val="single" w:sz="4" w:space="0" w:color="auto"/>
              <w:bottom w:val="single" w:sz="4" w:space="0" w:color="auto"/>
              <w:right w:val="single" w:sz="4" w:space="0" w:color="auto"/>
            </w:tcBorders>
            <w:vAlign w:val="center"/>
          </w:tcPr>
          <w:p w14:paraId="5BD40202"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F5DFB0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2025-03-31</w:t>
            </w:r>
          </w:p>
        </w:tc>
      </w:tr>
      <w:tr w:rsidR="001D6314" w14:paraId="4806944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59BEF3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14:paraId="4A345DE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2025</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56025F3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40BE96C"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2025-04-21</w:t>
            </w:r>
          </w:p>
        </w:tc>
      </w:tr>
      <w:tr w:rsidR="001D6314" w14:paraId="4DE128C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F740D1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14:paraId="6225F66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交银施罗德基金管理有限公司关于增加中国邮政储蓄银行股份有限公司为旗下基金的销售机构的公告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656AB43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990AA46"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2025-04-29</w:t>
            </w:r>
          </w:p>
        </w:tc>
      </w:tr>
      <w:tr w:rsidR="001D6314" w14:paraId="01E51FA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1E642F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14:paraId="09A3F46C"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14:paraId="71E47BEB"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572D869"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2025-06-07</w:t>
            </w:r>
          </w:p>
        </w:tc>
      </w:tr>
      <w:tr w:rsidR="001D6314" w14:paraId="4EB0818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DFCAFB3"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14:paraId="71ED31EE"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交银施罗德基金管理有限公司关于增加华</w:t>
            </w:r>
            <w:proofErr w:type="gramStart"/>
            <w:r>
              <w:rPr>
                <w:rFonts w:ascii="Times New Roman" w:hAnsi="Times New Roman"/>
                <w:color w:val="000000"/>
                <w:kern w:val="0"/>
                <w:sz w:val="25"/>
                <w:szCs w:val="24"/>
              </w:rPr>
              <w:t>宝证券</w:t>
            </w:r>
            <w:proofErr w:type="gramEnd"/>
            <w:r>
              <w:rPr>
                <w:rFonts w:ascii="Times New Roman" w:hAnsi="Times New Roman"/>
                <w:color w:val="000000"/>
                <w:kern w:val="0"/>
                <w:sz w:val="25"/>
                <w:szCs w:val="24"/>
              </w:rPr>
              <w:t>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3A1686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22E20E3"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2025-07-10</w:t>
            </w:r>
          </w:p>
        </w:tc>
      </w:tr>
      <w:tr w:rsidR="001D6314" w14:paraId="23B3683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465E272"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14:paraId="33AD176A"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2025</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12681BD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F00FB3F"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2025-07-18</w:t>
            </w:r>
          </w:p>
        </w:tc>
      </w:tr>
      <w:tr w:rsidR="001D6314" w14:paraId="00DB161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4B1048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21</w:t>
            </w:r>
          </w:p>
        </w:tc>
        <w:tc>
          <w:tcPr>
            <w:tcW w:w="750" w:type="pct"/>
            <w:tcBorders>
              <w:top w:val="single" w:sz="4" w:space="0" w:color="auto"/>
              <w:left w:val="single" w:sz="4" w:space="0" w:color="auto"/>
              <w:bottom w:val="single" w:sz="4" w:space="0" w:color="auto"/>
              <w:right w:val="single" w:sz="4" w:space="0" w:color="auto"/>
            </w:tcBorders>
            <w:vAlign w:val="center"/>
          </w:tcPr>
          <w:p w14:paraId="0606A780"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交银施罗德基金管理有限公司关于增加中国人寿保险股份有限公司为旗下基金的销售机构的公告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48549CC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10FA934"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2025-08-08</w:t>
            </w:r>
          </w:p>
        </w:tc>
      </w:tr>
      <w:tr w:rsidR="001D6314" w14:paraId="1BA81DD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FEB674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sz="4" w:space="0" w:color="auto"/>
              <w:left w:val="single" w:sz="4" w:space="0" w:color="auto"/>
              <w:bottom w:val="single" w:sz="4" w:space="0" w:color="auto"/>
              <w:right w:val="single" w:sz="4" w:space="0" w:color="auto"/>
            </w:tcBorders>
            <w:vAlign w:val="center"/>
          </w:tcPr>
          <w:p w14:paraId="34E57FA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2025</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14:paraId="635F413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856F955"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2025-08-29</w:t>
            </w:r>
          </w:p>
        </w:tc>
      </w:tr>
      <w:tr w:rsidR="001D6314" w14:paraId="00452DB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B8E043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23</w:t>
            </w:r>
          </w:p>
        </w:tc>
        <w:tc>
          <w:tcPr>
            <w:tcW w:w="750" w:type="pct"/>
            <w:tcBorders>
              <w:top w:val="single" w:sz="4" w:space="0" w:color="auto"/>
              <w:left w:val="single" w:sz="4" w:space="0" w:color="auto"/>
              <w:bottom w:val="single" w:sz="4" w:space="0" w:color="auto"/>
              <w:right w:val="single" w:sz="4" w:space="0" w:color="auto"/>
            </w:tcBorders>
            <w:vAlign w:val="center"/>
          </w:tcPr>
          <w:p w14:paraId="3244B1E2"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指数型证券投资基金暂停及恢复大额申购（转换转入、定期定额投资）业务的公告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1069074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8487F37"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2025-10-14</w:t>
            </w:r>
          </w:p>
        </w:tc>
      </w:tr>
      <w:tr w:rsidR="001D6314" w14:paraId="78494FC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8F75297"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24</w:t>
            </w:r>
          </w:p>
        </w:tc>
        <w:tc>
          <w:tcPr>
            <w:tcW w:w="750" w:type="pct"/>
            <w:tcBorders>
              <w:top w:val="single" w:sz="4" w:space="0" w:color="auto"/>
              <w:left w:val="single" w:sz="4" w:space="0" w:color="auto"/>
              <w:bottom w:val="single" w:sz="4" w:space="0" w:color="auto"/>
              <w:right w:val="single" w:sz="4" w:space="0" w:color="auto"/>
            </w:tcBorders>
            <w:vAlign w:val="center"/>
          </w:tcPr>
          <w:p w14:paraId="432862E4"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14:paraId="7F66AC9A"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0F87FBE"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2025-10-17</w:t>
            </w:r>
          </w:p>
        </w:tc>
      </w:tr>
      <w:tr w:rsidR="001D6314" w14:paraId="40D3FA4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F8732A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25</w:t>
            </w:r>
          </w:p>
        </w:tc>
        <w:tc>
          <w:tcPr>
            <w:tcW w:w="750" w:type="pct"/>
            <w:tcBorders>
              <w:top w:val="single" w:sz="4" w:space="0" w:color="auto"/>
              <w:left w:val="single" w:sz="4" w:space="0" w:color="auto"/>
              <w:bottom w:val="single" w:sz="4" w:space="0" w:color="auto"/>
              <w:right w:val="single" w:sz="4" w:space="0" w:color="auto"/>
            </w:tcBorders>
            <w:vAlign w:val="center"/>
          </w:tcPr>
          <w:p w14:paraId="70AF201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2025</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096EC9A8"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A3AE79A"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2025-10-28</w:t>
            </w:r>
          </w:p>
        </w:tc>
      </w:tr>
      <w:tr w:rsidR="001D6314" w14:paraId="4E1DC50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F354F09"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26</w:t>
            </w:r>
          </w:p>
        </w:tc>
        <w:tc>
          <w:tcPr>
            <w:tcW w:w="750" w:type="pct"/>
            <w:tcBorders>
              <w:top w:val="single" w:sz="4" w:space="0" w:color="auto"/>
              <w:left w:val="single" w:sz="4" w:space="0" w:color="auto"/>
              <w:bottom w:val="single" w:sz="4" w:space="0" w:color="auto"/>
              <w:right w:val="single" w:sz="4" w:space="0" w:color="auto"/>
            </w:tcBorders>
            <w:vAlign w:val="center"/>
          </w:tcPr>
          <w:p w14:paraId="5B25CC8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指数型证券投资基金暂停及恢复大额申购（转换转入、定期定额投资）业务的公告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54255DF1"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891D825"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2025-11-06</w:t>
            </w:r>
          </w:p>
        </w:tc>
      </w:tr>
      <w:tr w:rsidR="001D6314" w14:paraId="2B0602F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71B8EBA"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27</w:t>
            </w:r>
          </w:p>
        </w:tc>
        <w:tc>
          <w:tcPr>
            <w:tcW w:w="750" w:type="pct"/>
            <w:tcBorders>
              <w:top w:val="single" w:sz="4" w:space="0" w:color="auto"/>
              <w:left w:val="single" w:sz="4" w:space="0" w:color="auto"/>
              <w:bottom w:val="single" w:sz="4" w:space="0" w:color="auto"/>
              <w:right w:val="single" w:sz="4" w:space="0" w:color="auto"/>
            </w:tcBorders>
            <w:vAlign w:val="center"/>
          </w:tcPr>
          <w:p w14:paraId="273F6DD5"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交银施罗德基金管理有限公司关于交银施罗德中证红利低波动</w:t>
            </w:r>
            <w:r>
              <w:rPr>
                <w:rFonts w:ascii="Times New Roman" w:hAnsi="Times New Roman"/>
                <w:color w:val="000000"/>
                <w:kern w:val="0"/>
                <w:sz w:val="25"/>
                <w:szCs w:val="24"/>
              </w:rPr>
              <w:t>100</w:t>
            </w:r>
            <w:r>
              <w:rPr>
                <w:rFonts w:ascii="Times New Roman" w:hAnsi="Times New Roman"/>
                <w:color w:val="000000"/>
                <w:kern w:val="0"/>
                <w:sz w:val="25"/>
                <w:szCs w:val="24"/>
              </w:rPr>
              <w:t>指数型证券投资基金分红公告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14:paraId="47654C4F" w14:textId="77777777" w:rsidR="001D6314" w:rsidRDefault="00130266">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42D5AED" w14:textId="77777777" w:rsidR="001D6314" w:rsidRDefault="00130266">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2025-11-11</w:t>
            </w:r>
          </w:p>
        </w:tc>
      </w:tr>
    </w:tbl>
    <w:p w14:paraId="20ACF23C"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5D5B13B" w14:textId="77777777" w:rsidR="001D6314" w:rsidRDefault="00130266">
      <w:pPr>
        <w:pStyle w:val="1"/>
        <w:snapToGrid w:val="0"/>
        <w:spacing w:beforeLines="0" w:before="240" w:after="240"/>
        <w:rPr>
          <w:rFonts w:ascii="宋体" w:hAnsi="宋体"/>
          <w:szCs w:val="30"/>
        </w:rPr>
      </w:pPr>
      <w:bookmarkStart w:id="28" w:name="_Toc216872020"/>
      <w:r>
        <w:rPr>
          <w:rFonts w:ascii="Times New Roman" w:hAnsi="Times New Roman"/>
          <w:sz w:val="30"/>
        </w:rPr>
        <w:lastRenderedPageBreak/>
        <w:t>二十五、招募说明书的存放及查阅方式</w:t>
      </w:r>
      <w:bookmarkEnd w:id="28"/>
    </w:p>
    <w:p w14:paraId="11FCD836"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14:paraId="2BFF56CD"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14:paraId="7DB1BF60" w14:textId="77777777" w:rsidR="001D6314" w:rsidRDefault="00130266">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707BBF7" w14:textId="77777777" w:rsidR="001D6314" w:rsidRDefault="00130266">
      <w:pPr>
        <w:pStyle w:val="1"/>
        <w:snapToGrid w:val="0"/>
        <w:spacing w:beforeLines="0" w:before="240" w:after="240"/>
        <w:rPr>
          <w:rFonts w:ascii="宋体" w:hAnsi="宋体"/>
          <w:szCs w:val="30"/>
        </w:rPr>
      </w:pPr>
      <w:bookmarkStart w:id="29" w:name="_Toc216872021"/>
      <w:r>
        <w:rPr>
          <w:rFonts w:ascii="Times New Roman" w:hAnsi="Times New Roman"/>
          <w:sz w:val="30"/>
        </w:rPr>
        <w:lastRenderedPageBreak/>
        <w:t>二十六、备查文件</w:t>
      </w:r>
      <w:bookmarkEnd w:id="29"/>
    </w:p>
    <w:p w14:paraId="6EC2B06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14:paraId="3DF5FF57"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（一）中国证监会准予交银施罗德中证红利低波动100指数型证券投资基金募集注册的文件</w:t>
      </w:r>
    </w:p>
    <w:p w14:paraId="21516EC5"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（二）《交银施罗德中证红利低波动100指数型证券投资基金基金合同》</w:t>
      </w:r>
    </w:p>
    <w:p w14:paraId="4C133DF4"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（三）《交银施罗德中证红利低波动100指数型证券投资基金托管协议》</w:t>
      </w:r>
    </w:p>
    <w:p w14:paraId="193C90EF"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14:paraId="4390EBC1"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14:paraId="29B1172B" w14:textId="77777777" w:rsidR="001D6314" w:rsidRDefault="0013026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（六）关于申请募集注册交银施罗德中证红利低波动100指数型证券投资基金的法律意见书</w:t>
      </w:r>
    </w:p>
    <w:sectPr w:rsidR="001D6314">
      <w:footerReference w:type="default" r:id="rId17"/>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59D49" w14:textId="77777777" w:rsidR="005132A2" w:rsidRDefault="005132A2">
      <w:r>
        <w:separator/>
      </w:r>
    </w:p>
  </w:endnote>
  <w:endnote w:type="continuationSeparator" w:id="0">
    <w:p w14:paraId="1622889F" w14:textId="77777777" w:rsidR="005132A2" w:rsidRDefault="0051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A0D2A" w14:textId="168C2112" w:rsidR="001D6314" w:rsidRDefault="005643F0">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14:anchorId="15A53095" wp14:editId="517F2A7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D91F5" w14:textId="5E4863C6" w:rsidR="001D6314" w:rsidRDefault="00130266">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DA76B1">
                            <w:rPr>
                              <w:rFonts w:ascii="Times New Roman" w:hAnsi="Times New Roman"/>
                              <w:noProof/>
                              <w:kern w:val="0"/>
                              <w:sz w:val="18"/>
                              <w:szCs w:val="18"/>
                            </w:rPr>
                            <w:t>5</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53095"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14:paraId="1A0D91F5" w14:textId="5E4863C6" w:rsidR="001D6314" w:rsidRDefault="00130266">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DA76B1">
                      <w:rPr>
                        <w:rFonts w:ascii="Times New Roman" w:hAnsi="Times New Roman"/>
                        <w:noProof/>
                        <w:kern w:val="0"/>
                        <w:sz w:val="18"/>
                        <w:szCs w:val="18"/>
                      </w:rPr>
                      <w:t>5</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9891" w14:textId="24AFB409" w:rsidR="001D6314" w:rsidRDefault="005643F0">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14:anchorId="7FAFB713" wp14:editId="11AC93D3">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3793" w14:textId="601F7E11" w:rsidR="001D6314" w:rsidRDefault="00130266">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DA76B1">
                            <w:rPr>
                              <w:rFonts w:ascii="Times New Roman" w:hAnsi="Times New Roman"/>
                              <w:noProof/>
                              <w:kern w:val="0"/>
                              <w:sz w:val="18"/>
                              <w:szCs w:val="18"/>
                            </w:rPr>
                            <w:t>155</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FB713"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14:paraId="0A9B3793" w14:textId="601F7E11" w:rsidR="001D6314" w:rsidRDefault="00130266">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DA76B1">
                      <w:rPr>
                        <w:rFonts w:ascii="Times New Roman" w:hAnsi="Times New Roman"/>
                        <w:noProof/>
                        <w:kern w:val="0"/>
                        <w:sz w:val="18"/>
                        <w:szCs w:val="18"/>
                      </w:rPr>
                      <w:t>155</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0FA4A" w14:textId="77777777" w:rsidR="005132A2" w:rsidRDefault="005132A2">
      <w:r>
        <w:separator/>
      </w:r>
    </w:p>
  </w:footnote>
  <w:footnote w:type="continuationSeparator" w:id="0">
    <w:p w14:paraId="15BE1035" w14:textId="77777777" w:rsidR="005132A2" w:rsidRDefault="0051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4D90" w14:textId="1636D664" w:rsidR="001D6314" w:rsidRDefault="005643F0">
    <w:pPr>
      <w:pStyle w:val="aa"/>
      <w:jc w:val="right"/>
    </w:pPr>
    <w:r>
      <w:rPr>
        <w:noProof/>
      </w:rPr>
      <w:drawing>
        <wp:anchor distT="0" distB="0" distL="114300" distR="114300" simplePos="0" relativeHeight="251656704" behindDoc="0" locked="0" layoutInCell="1" allowOverlap="1" wp14:anchorId="2CFF5911" wp14:editId="3983F410">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7920C" w14:textId="77777777" w:rsidR="001D6314" w:rsidRDefault="00130266">
    <w:pPr>
      <w:pStyle w:val="aa"/>
      <w:jc w:val="right"/>
      <w:rPr>
        <w:rFonts w:ascii="宋体" w:hAnsi="宋体"/>
      </w:rPr>
    </w:pPr>
    <w:r>
      <w:rPr>
        <w:rFonts w:ascii="宋体" w:hAnsi="宋体" w:hint="eastAsia"/>
      </w:rPr>
      <w:t>交银施罗德中证红利低波动100指数型证券投资基金招募说明书更新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C33E" w14:textId="77777777" w:rsidR="001D6314" w:rsidRDefault="001D6314">
    <w:pPr>
      <w:pStyle w:val="11"/>
      <w:jc w:val="right"/>
    </w:pPr>
  </w:p>
  <w:p w14:paraId="5B02D6DF" w14:textId="77777777" w:rsidR="001D6314" w:rsidRDefault="001D6314">
    <w:pPr>
      <w:pStyle w:val="11"/>
      <w:jc w:val="right"/>
    </w:pPr>
  </w:p>
  <w:p w14:paraId="16FA0F71" w14:textId="77777777" w:rsidR="001D6314" w:rsidRDefault="001D6314">
    <w:pPr>
      <w:pStyle w:val="aa"/>
      <w:jc w:val="right"/>
    </w:pPr>
  </w:p>
  <w:p w14:paraId="122F2125" w14:textId="4E67C7D3" w:rsidR="001D6314" w:rsidRDefault="005643F0">
    <w:pPr>
      <w:pStyle w:val="aa"/>
      <w:jc w:val="right"/>
    </w:pPr>
    <w:r>
      <w:rPr>
        <w:noProof/>
      </w:rPr>
      <w:drawing>
        <wp:anchor distT="0" distB="0" distL="114300" distR="114300" simplePos="0" relativeHeight="251655680" behindDoc="0" locked="0" layoutInCell="1" allowOverlap="1" wp14:anchorId="351739AC" wp14:editId="0DA0018A">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3AEAB" w14:textId="77777777" w:rsidR="001D6314" w:rsidRDefault="00130266">
    <w:pPr>
      <w:pStyle w:val="aa"/>
      <w:jc w:val="right"/>
      <w:rPr>
        <w:rFonts w:ascii="宋体" w:hAnsi="宋体"/>
      </w:rPr>
    </w:pPr>
    <w:r>
      <w:rPr>
        <w:rFonts w:ascii="宋体" w:hAnsi="宋体" w:hint="eastAsia"/>
      </w:rPr>
      <w:t>交银施罗德中证红利低波动100指数型证券投资基金招募说明书更新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DB8E" w14:textId="77777777" w:rsidR="001D6314" w:rsidRDefault="001D6314">
    <w:pPr>
      <w:pStyle w:val="aa"/>
      <w:jc w:val="right"/>
    </w:pPr>
  </w:p>
  <w:p w14:paraId="59BAC448" w14:textId="77777777" w:rsidR="001D6314" w:rsidRDefault="001D6314">
    <w:pPr>
      <w:pStyle w:val="aa"/>
      <w:jc w:val="right"/>
    </w:pPr>
  </w:p>
  <w:p w14:paraId="6D08E362" w14:textId="77777777" w:rsidR="001D6314" w:rsidRDefault="001D6314">
    <w:pPr>
      <w:pStyle w:val="aa"/>
      <w:jc w:val="right"/>
    </w:pPr>
  </w:p>
  <w:p w14:paraId="09080FA8" w14:textId="5A42CEEB" w:rsidR="001D6314" w:rsidRDefault="005643F0">
    <w:pPr>
      <w:pStyle w:val="aa"/>
      <w:jc w:val="right"/>
    </w:pPr>
    <w:r>
      <w:rPr>
        <w:noProof/>
      </w:rPr>
      <w:drawing>
        <wp:anchor distT="0" distB="0" distL="114300" distR="114300" simplePos="0" relativeHeight="251657728" behindDoc="0" locked="0" layoutInCell="1" allowOverlap="1" wp14:anchorId="154D469F" wp14:editId="512D848C">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0F2BF" w14:textId="77777777" w:rsidR="001D6314" w:rsidRDefault="00130266">
    <w:pPr>
      <w:pStyle w:val="aa"/>
      <w:jc w:val="right"/>
      <w:rPr>
        <w:rFonts w:ascii="宋体" w:hAnsi="宋体"/>
      </w:rPr>
    </w:pPr>
    <w:r>
      <w:rPr>
        <w:rFonts w:ascii="宋体" w:hAnsi="宋体" w:hint="eastAsia"/>
      </w:rPr>
      <w:t>交银施罗德中证红利低波动100指数型证券投资基金招募说明书更新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1478"/>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A5243"/>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086A"/>
    <w:rsid w:val="001240EB"/>
    <w:rsid w:val="0012443D"/>
    <w:rsid w:val="00127053"/>
    <w:rsid w:val="00130266"/>
    <w:rsid w:val="0013182D"/>
    <w:rsid w:val="00131CEE"/>
    <w:rsid w:val="0013315B"/>
    <w:rsid w:val="00134FCF"/>
    <w:rsid w:val="00135AD8"/>
    <w:rsid w:val="0013630D"/>
    <w:rsid w:val="001367F2"/>
    <w:rsid w:val="001412E8"/>
    <w:rsid w:val="0014250F"/>
    <w:rsid w:val="00144B52"/>
    <w:rsid w:val="00153D66"/>
    <w:rsid w:val="0015725E"/>
    <w:rsid w:val="00157476"/>
    <w:rsid w:val="00162F69"/>
    <w:rsid w:val="00164946"/>
    <w:rsid w:val="00165756"/>
    <w:rsid w:val="0017362C"/>
    <w:rsid w:val="0017392F"/>
    <w:rsid w:val="00177A64"/>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14"/>
    <w:rsid w:val="001D6377"/>
    <w:rsid w:val="001D68A8"/>
    <w:rsid w:val="001D6B88"/>
    <w:rsid w:val="001D6C5F"/>
    <w:rsid w:val="001D7ECC"/>
    <w:rsid w:val="001E144C"/>
    <w:rsid w:val="001E25FD"/>
    <w:rsid w:val="001E2A4F"/>
    <w:rsid w:val="001E3F8F"/>
    <w:rsid w:val="001E5250"/>
    <w:rsid w:val="001F33EB"/>
    <w:rsid w:val="001F4DEA"/>
    <w:rsid w:val="001F4ECB"/>
    <w:rsid w:val="001F7353"/>
    <w:rsid w:val="001F7E31"/>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18A0"/>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5996"/>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25B5"/>
    <w:rsid w:val="00323F65"/>
    <w:rsid w:val="00326147"/>
    <w:rsid w:val="0033051E"/>
    <w:rsid w:val="0033401D"/>
    <w:rsid w:val="003341E6"/>
    <w:rsid w:val="00334456"/>
    <w:rsid w:val="00336150"/>
    <w:rsid w:val="00336E99"/>
    <w:rsid w:val="00342417"/>
    <w:rsid w:val="003454EC"/>
    <w:rsid w:val="00346537"/>
    <w:rsid w:val="00347B94"/>
    <w:rsid w:val="00351381"/>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47363"/>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32A2"/>
    <w:rsid w:val="00514C6B"/>
    <w:rsid w:val="005161EC"/>
    <w:rsid w:val="0051709F"/>
    <w:rsid w:val="005175EB"/>
    <w:rsid w:val="00521A18"/>
    <w:rsid w:val="00522079"/>
    <w:rsid w:val="00522431"/>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3F0"/>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2369"/>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1A6E"/>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871"/>
    <w:rsid w:val="00664B64"/>
    <w:rsid w:val="006678E3"/>
    <w:rsid w:val="00667A9C"/>
    <w:rsid w:val="006712E8"/>
    <w:rsid w:val="0067789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729"/>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CE3"/>
    <w:rsid w:val="00760D77"/>
    <w:rsid w:val="007617E5"/>
    <w:rsid w:val="007642DA"/>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3AA5"/>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16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3D73"/>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47C"/>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5F5D"/>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560AB"/>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1B3E"/>
    <w:rsid w:val="00BD200B"/>
    <w:rsid w:val="00BD63DF"/>
    <w:rsid w:val="00BD64D4"/>
    <w:rsid w:val="00BD6A32"/>
    <w:rsid w:val="00BD7C4B"/>
    <w:rsid w:val="00BE33E8"/>
    <w:rsid w:val="00BF2BEB"/>
    <w:rsid w:val="00BF3197"/>
    <w:rsid w:val="00BF5E23"/>
    <w:rsid w:val="00BF6AD1"/>
    <w:rsid w:val="00C01DB8"/>
    <w:rsid w:val="00C0300F"/>
    <w:rsid w:val="00C04C13"/>
    <w:rsid w:val="00C0523E"/>
    <w:rsid w:val="00C060F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B7F33"/>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0EC1"/>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A76B1"/>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07EC"/>
    <w:rsid w:val="00E42265"/>
    <w:rsid w:val="00E42FFD"/>
    <w:rsid w:val="00E45DAA"/>
    <w:rsid w:val="00E46560"/>
    <w:rsid w:val="00E47307"/>
    <w:rsid w:val="00E47601"/>
    <w:rsid w:val="00E50DB1"/>
    <w:rsid w:val="00E51053"/>
    <w:rsid w:val="00E51A6B"/>
    <w:rsid w:val="00E51A9F"/>
    <w:rsid w:val="00E52CA8"/>
    <w:rsid w:val="00E550CE"/>
    <w:rsid w:val="00E60B86"/>
    <w:rsid w:val="00E62E45"/>
    <w:rsid w:val="00E62F7D"/>
    <w:rsid w:val="00E63E1E"/>
    <w:rsid w:val="00E664E0"/>
    <w:rsid w:val="00E700B8"/>
    <w:rsid w:val="00E702B9"/>
    <w:rsid w:val="00E70588"/>
    <w:rsid w:val="00E75FA1"/>
    <w:rsid w:val="00E76419"/>
    <w:rsid w:val="00E77787"/>
    <w:rsid w:val="00E77CD7"/>
    <w:rsid w:val="00E82017"/>
    <w:rsid w:val="00E8201F"/>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569F"/>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1A113708"/>
    <w:rsid w:val="1C0C2B91"/>
    <w:rsid w:val="4D8212ED"/>
    <w:rsid w:val="5EB7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0DEA9"/>
  <w15:docId w15:val="{45D18E21-7B99-4D55-AA61-6C5603B6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nhideWhenUsed/>
    <w:qFormat/>
    <w:pPr>
      <w:jc w:val="left"/>
    </w:pPr>
  </w:style>
  <w:style w:type="paragraph" w:styleId="a7">
    <w:name w:val="Balloon Text"/>
    <w:basedOn w:val="a"/>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kern w:val="0"/>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style>
  <w:style w:type="paragraph" w:styleId="ac">
    <w:name w:val="Subtitle"/>
    <w:basedOn w:val="a"/>
    <w:next w:val="a"/>
    <w:link w:val="ad"/>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qFormat/>
    <w:pPr>
      <w:ind w:leftChars="200" w:left="480"/>
    </w:pPr>
  </w:style>
  <w:style w:type="paragraph" w:styleId="ae">
    <w:name w:val="annotation subject"/>
    <w:basedOn w:val="a5"/>
    <w:next w:val="a5"/>
    <w:link w:val="af"/>
    <w:uiPriority w:val="99"/>
    <w:unhideWhenUsed/>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af1">
    <w:name w:val="Hyperlink"/>
    <w:uiPriority w:val="99"/>
    <w:unhideWhenUsed/>
    <w:qFormat/>
    <w:rPr>
      <w:color w:val="0000FF"/>
      <w:u w:val="single"/>
    </w:rPr>
  </w:style>
  <w:style w:type="character" w:styleId="af2">
    <w:name w:val="annotation reference"/>
    <w:unhideWhenUsed/>
    <w:qFormat/>
    <w:rPr>
      <w:sz w:val="21"/>
      <w:szCs w:val="21"/>
    </w:rPr>
  </w:style>
  <w:style w:type="paragraph" w:customStyle="1" w:styleId="Style19">
    <w:name w:val="_Style 19"/>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c"/>
    <w:next w:val="4"/>
    <w:qFormat/>
    <w:pPr>
      <w:keepNext/>
      <w:keepLines/>
      <w:numPr>
        <w:ilvl w:val="5"/>
        <w:numId w:val="1"/>
      </w:numPr>
      <w:ind w:left="0" w:firstLine="0"/>
      <w:jc w:val="left"/>
    </w:pPr>
    <w:rPr>
      <w:bCs w:val="0"/>
      <w:sz w:val="24"/>
    </w:rPr>
  </w:style>
  <w:style w:type="paragraph" w:customStyle="1" w:styleId="Style21">
    <w:name w:val="_Style 21"/>
    <w:uiPriority w:val="99"/>
    <w:semiHidden/>
    <w:rPr>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c"/>
    <w:next w:val="4"/>
    <w:qFormat/>
    <w:pPr>
      <w:keepNext/>
      <w:keepLines/>
      <w:numPr>
        <w:ilvl w:val="1"/>
        <w:numId w:val="1"/>
      </w:numPr>
      <w:jc w:val="left"/>
    </w:pPr>
    <w:rPr>
      <w:bCs w:val="0"/>
      <w:sz w:val="24"/>
    </w:rPr>
  </w:style>
  <w:style w:type="paragraph" w:customStyle="1" w:styleId="XBRLTitle3">
    <w:name w:val="XBRLTitle3"/>
    <w:basedOn w:val="ac"/>
    <w:next w:val="4"/>
    <w:qFormat/>
    <w:pPr>
      <w:keepNext/>
      <w:keepLines/>
      <w:numPr>
        <w:ilvl w:val="2"/>
        <w:numId w:val="1"/>
      </w:numPr>
      <w:ind w:left="0" w:firstLine="0"/>
      <w:jc w:val="left"/>
    </w:pPr>
    <w:rPr>
      <w:bCs w:val="0"/>
      <w:sz w:val="24"/>
    </w:rPr>
  </w:style>
  <w:style w:type="paragraph" w:customStyle="1" w:styleId="XBRLTitle5">
    <w:name w:val="XBRLTitle5"/>
    <w:basedOn w:val="ac"/>
    <w:next w:val="4"/>
    <w:qFormat/>
    <w:pPr>
      <w:keepNext/>
      <w:keepLines/>
      <w:numPr>
        <w:ilvl w:val="4"/>
        <w:numId w:val="1"/>
      </w:numPr>
      <w:ind w:left="0" w:firstLine="0"/>
      <w:jc w:val="left"/>
    </w:pPr>
    <w:rPr>
      <w:bCs w:val="0"/>
      <w:sz w:val="24"/>
    </w:rPr>
  </w:style>
  <w:style w:type="paragraph" w:customStyle="1" w:styleId="XBRLTitle4">
    <w:name w:val="XBRLTitle4"/>
    <w:basedOn w:val="ac"/>
    <w:next w:val="4"/>
    <w:qFormat/>
    <w:pPr>
      <w:keepNext/>
      <w:keepLines/>
      <w:numPr>
        <w:ilvl w:val="3"/>
        <w:numId w:val="1"/>
      </w:numPr>
      <w:ind w:left="0" w:firstLine="0"/>
      <w:jc w:val="left"/>
    </w:pPr>
    <w:rPr>
      <w:bCs w:val="0"/>
      <w:sz w:val="24"/>
    </w:rPr>
  </w:style>
  <w:style w:type="character" w:customStyle="1" w:styleId="Char1">
    <w:name w:val="副标题 Char1"/>
    <w:qFormat/>
    <w:rPr>
      <w:rFonts w:ascii="Cambria" w:hAnsi="Cambria"/>
      <w:b/>
      <w:kern w:val="28"/>
      <w:sz w:val="24"/>
      <w:szCs w:val="32"/>
    </w:rPr>
  </w:style>
  <w:style w:type="character" w:customStyle="1" w:styleId="txtcontent11">
    <w:name w:val="txtcontent11"/>
    <w:qFormat/>
    <w:rPr>
      <w:rFonts w:ascii="ˎ̥" w:hAnsi="ˎ̥" w:hint="default"/>
      <w:color w:val="000000"/>
      <w:sz w:val="21"/>
      <w:szCs w:val="21"/>
    </w:rPr>
  </w:style>
  <w:style w:type="character" w:customStyle="1" w:styleId="a6">
    <w:name w:val="批注文字 字符"/>
    <w:link w:val="a5"/>
    <w:qFormat/>
    <w:rPr>
      <w:kern w:val="2"/>
      <w:sz w:val="21"/>
      <w:szCs w:val="22"/>
    </w:rPr>
  </w:style>
  <w:style w:type="character" w:customStyle="1" w:styleId="af">
    <w:name w:val="批注主题 字符"/>
    <w:link w:val="ae"/>
    <w:uiPriority w:val="99"/>
    <w:semiHidden/>
    <w:qFormat/>
    <w:rPr>
      <w:b/>
      <w:bCs/>
      <w:kern w:val="2"/>
      <w:sz w:val="21"/>
      <w:szCs w:val="22"/>
    </w:rPr>
  </w:style>
  <w:style w:type="character" w:customStyle="1" w:styleId="ab">
    <w:name w:val="页眉 字符"/>
    <w:link w:val="aa"/>
    <w:uiPriority w:val="99"/>
    <w:qFormat/>
    <w:rPr>
      <w:sz w:val="18"/>
      <w:szCs w:val="18"/>
    </w:rPr>
  </w:style>
  <w:style w:type="character" w:customStyle="1" w:styleId="ad">
    <w:name w:val="副标题 字符"/>
    <w:link w:val="ac"/>
    <w:qFormat/>
    <w:rPr>
      <w:rFonts w:ascii="Cambria" w:hAnsi="Cambria" w:cs="Times New Roman"/>
      <w:b/>
      <w:bCs/>
      <w:kern w:val="28"/>
      <w:sz w:val="32"/>
      <w:szCs w:val="32"/>
    </w:rPr>
  </w:style>
  <w:style w:type="character" w:customStyle="1" w:styleId="a4">
    <w:name w:val="文档结构图 字符"/>
    <w:link w:val="a3"/>
    <w:uiPriority w:val="99"/>
    <w:semiHidden/>
    <w:qFormat/>
    <w:rPr>
      <w:rFonts w:ascii="宋体"/>
      <w:kern w:val="2"/>
      <w:sz w:val="18"/>
      <w:szCs w:val="18"/>
    </w:rPr>
  </w:style>
  <w:style w:type="character" w:customStyle="1" w:styleId="a9">
    <w:name w:val="页脚 字符"/>
    <w:link w:val="a8"/>
    <w:uiPriority w:val="99"/>
    <w:qFormat/>
    <w:rPr>
      <w:sz w:val="18"/>
      <w:szCs w:val="18"/>
    </w:rPr>
  </w:style>
  <w:style w:type="character" w:customStyle="1" w:styleId="20">
    <w:name w:val="标题 2 字符"/>
    <w:link w:val="2"/>
    <w:uiPriority w:val="9"/>
    <w:semiHidden/>
    <w:qFormat/>
    <w:rPr>
      <w:rFonts w:ascii="Cambria" w:eastAsia="宋体" w:hAnsi="Cambria" w:cs="Times New Roman"/>
      <w:b/>
      <w:bCs/>
      <w:kern w:val="2"/>
      <w:sz w:val="32"/>
      <w:szCs w:val="32"/>
    </w:rPr>
  </w:style>
  <w:style w:type="character" w:customStyle="1" w:styleId="40">
    <w:name w:val="标题 4 字符"/>
    <w:link w:val="4"/>
    <w:uiPriority w:val="9"/>
    <w:semiHidden/>
    <w:qFormat/>
    <w:rPr>
      <w:rFonts w:ascii="Cambria" w:eastAsia="宋体" w:hAnsi="Cambria" w:cs="Times New Roman"/>
      <w:b/>
      <w:bCs/>
      <w:kern w:val="2"/>
      <w:sz w:val="28"/>
      <w:szCs w:val="28"/>
    </w:rPr>
  </w:style>
  <w:style w:type="character" w:customStyle="1" w:styleId="10">
    <w:name w:val="标题 1 字符"/>
    <w:link w:val="1"/>
    <w:uiPriority w:val="9"/>
    <w:qFormat/>
    <w:rPr>
      <w:b/>
      <w:bCs/>
      <w:kern w:val="44"/>
      <w:sz w:val="28"/>
      <w:szCs w:val="44"/>
    </w:rPr>
  </w:style>
  <w:style w:type="paragraph" w:customStyle="1" w:styleId="12">
    <w:name w:val="修订1"/>
    <w:hidden/>
    <w:uiPriority w:val="99"/>
    <w:semiHidden/>
    <w:rPr>
      <w:kern w:val="2"/>
      <w:sz w:val="21"/>
      <w:szCs w:val="22"/>
    </w:rPr>
  </w:style>
  <w:style w:type="paragraph" w:styleId="af3">
    <w:name w:val="Revision"/>
    <w:hidden/>
    <w:uiPriority w:val="99"/>
    <w:semiHidden/>
    <w:rsid w:val="005643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71"/>
    <customShpInfo spid="_x0000_s2070"/>
    <customShpInfo spid="_x0000_s2049"/>
    <customShpInfo spid="_x0000_s206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156</Pages>
  <Words>16379</Words>
  <Characters>93366</Characters>
  <Application>Microsoft Office Word</Application>
  <DocSecurity>0</DocSecurity>
  <Lines>778</Lines>
  <Paragraphs>219</Paragraphs>
  <ScaleCrop>false</ScaleCrop>
  <Company>Microsoft</Company>
  <LinksUpToDate>false</LinksUpToDate>
  <CharactersWithSpaces>109526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张婕茹</cp:lastModifiedBy>
  <cp:revision>9</cp:revision>
  <cp:lastPrinted>2013-02-18T03:10:00Z</cp:lastPrinted>
  <dcterms:created xsi:type="dcterms:W3CDTF">2026-02-25T06:54:00Z</dcterms:created>
  <dcterms:modified xsi:type="dcterms:W3CDTF">2026-02-26T02:10:00Z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60EC2887D2254CD3B9A2878F5BDCC914</vt:lpwstr>
  </property>
</Properties>
</file>