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rPr>
      </w:pPr>
    </w:p>
    <w:p>
      <w:pPr>
        <w:rPr>
          <w:rFonts w:ascii="Times New Roman" w:hAnsi="Times New Roman"/>
          <w:sz w:val="32"/>
        </w:rPr>
      </w:pPr>
    </w:p>
    <w:p>
      <w:pPr>
        <w:rPr>
          <w:rFonts w:ascii="Times New Roman" w:hAnsi="Times New Roman"/>
          <w:sz w:val="32"/>
        </w:rPr>
      </w:pPr>
    </w:p>
    <w:p>
      <w:pPr>
        <w:jc w:val="center"/>
        <w:rPr>
          <w:rFonts w:ascii="Times New Roman" w:hAnsi="Times New Roman"/>
          <w:sz w:val="32"/>
        </w:rPr>
      </w:pPr>
      <w:r>
        <w:rPr>
          <w:rFonts w:ascii="Times New Roman" w:hAnsi="Times New Roman"/>
        </w:rPr>
        <w:drawing>
          <wp:inline distT="0" distB="0" distL="0" distR="0">
            <wp:extent cx="4343400" cy="577850"/>
            <wp:effectExtent l="0" t="0" r="0" b="0"/>
            <wp:docPr id="8"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43400" cy="577850"/>
                    </a:xfrm>
                    <a:prstGeom prst="rect">
                      <a:avLst/>
                    </a:prstGeom>
                    <a:noFill/>
                    <a:ln>
                      <a:noFill/>
                    </a:ln>
                  </pic:spPr>
                </pic:pic>
              </a:graphicData>
            </a:graphic>
          </wp:inline>
        </w:drawing>
      </w:r>
    </w:p>
    <w:p>
      <w:pPr>
        <w:autoSpaceDE w:val="0"/>
        <w:autoSpaceDN w:val="0"/>
        <w:adjustRightInd w:val="0"/>
        <w:snapToGrid w:val="0"/>
        <w:spacing w:before="63" w:line="360" w:lineRule="auto"/>
        <w:ind w:right="13" w:rightChars="6"/>
        <w:jc w:val="center"/>
        <w:rPr>
          <w:rFonts w:ascii="Times New Roman" w:hAnsi="Times New Roman"/>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Times New Roman" w:hAnsi="Times New Roman"/>
          <w:b/>
          <w:spacing w:val="2"/>
          <w:w w:val="99"/>
          <w:kern w:val="0"/>
          <w:position w:val="-4"/>
          <w:sz w:val="44"/>
          <w:szCs w:val="44"/>
        </w:rPr>
      </w:pPr>
    </w:p>
    <w:p>
      <w:pPr>
        <w:snapToGrid w:val="0"/>
        <w:spacing w:line="360" w:lineRule="auto"/>
        <w:jc w:val="center"/>
        <w:rPr>
          <w:rFonts w:ascii="Times New Roman" w:hAnsi="Times New Roman"/>
          <w:b/>
          <w:spacing w:val="2"/>
          <w:w w:val="99"/>
          <w:kern w:val="0"/>
          <w:position w:val="-4"/>
          <w:sz w:val="44"/>
          <w:szCs w:val="44"/>
        </w:rPr>
      </w:pPr>
      <w:r>
        <w:rPr>
          <w:rFonts w:ascii="Times New Roman" w:hAnsi="Times New Roman"/>
          <w:b/>
          <w:spacing w:val="2"/>
          <w:w w:val="99"/>
          <w:kern w:val="0"/>
          <w:position w:val="-4"/>
          <w:sz w:val="44"/>
          <w:szCs w:val="44"/>
        </w:rPr>
        <w:t>交银施罗德中证A500指数增强型发起式证券投资基金</w:t>
      </w:r>
      <w:r>
        <w:rPr>
          <w:rFonts w:hint="eastAsia" w:ascii="Times New Roman" w:hAnsi="Times New Roman"/>
          <w:b/>
          <w:spacing w:val="2"/>
          <w:w w:val="99"/>
          <w:kern w:val="0"/>
          <w:position w:val="-4"/>
          <w:sz w:val="44"/>
          <w:szCs w:val="44"/>
        </w:rPr>
        <w:t>招募说明书</w:t>
      </w: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firstLine="1410" w:firstLineChars="500"/>
        <w:rPr>
          <w:rFonts w:ascii="Times New Roman" w:hAnsi="Times New Roman"/>
          <w:b/>
          <w:w w:val="99"/>
          <w:kern w:val="0"/>
          <w:sz w:val="28"/>
          <w:szCs w:val="32"/>
        </w:rPr>
      </w:pPr>
      <w:r>
        <w:rPr>
          <w:rFonts w:hint="eastAsia" w:ascii="Times New Roman" w:hAnsi="Times New Roman"/>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Times New Roman" w:hAnsi="Times New Roman"/>
          <w:b/>
          <w:w w:val="99"/>
          <w:kern w:val="0"/>
          <w:sz w:val="28"/>
          <w:szCs w:val="32"/>
        </w:rPr>
      </w:pPr>
      <w:r>
        <w:rPr>
          <w:rFonts w:hint="eastAsia" w:ascii="Times New Roman" w:hAnsi="Times New Roman"/>
          <w:b/>
          <w:spacing w:val="2"/>
          <w:w w:val="99"/>
          <w:kern w:val="0"/>
          <w:sz w:val="28"/>
          <w:szCs w:val="32"/>
        </w:rPr>
        <w:t>基金托管人：中国工商银行股份有限公司</w:t>
      </w: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b/>
          <w:kern w:val="0"/>
          <w:sz w:val="28"/>
          <w:szCs w:val="32"/>
        </w:rPr>
      </w:pPr>
      <w:r>
        <w:rPr>
          <w:rFonts w:hint="eastAsia" w:ascii="Times New Roman" w:hAnsi="Times New Roman"/>
          <w:b/>
          <w:spacing w:val="2"/>
          <w:w w:val="99"/>
          <w:kern w:val="0"/>
          <w:sz w:val="28"/>
          <w:szCs w:val="32"/>
        </w:rPr>
        <w:t>二〇二</w:t>
      </w:r>
      <w:r>
        <w:rPr>
          <w:rFonts w:hint="eastAsia" w:ascii="Times New Roman" w:hAnsi="Times New Roman"/>
          <w:b/>
          <w:spacing w:val="2"/>
          <w:w w:val="99"/>
          <w:kern w:val="0"/>
          <w:sz w:val="28"/>
          <w:szCs w:val="32"/>
          <w:lang w:val="en-US" w:eastAsia="zh-CN"/>
        </w:rPr>
        <w:t>六</w:t>
      </w:r>
      <w:r>
        <w:rPr>
          <w:rFonts w:hint="eastAsia" w:ascii="Times New Roman" w:hAnsi="Times New Roman"/>
          <w:b/>
          <w:spacing w:val="2"/>
          <w:w w:val="99"/>
          <w:kern w:val="0"/>
          <w:sz w:val="28"/>
          <w:szCs w:val="32"/>
        </w:rPr>
        <w:t>年</w:t>
      </w:r>
      <w:r>
        <w:rPr>
          <w:rFonts w:hint="eastAsia" w:ascii="Times New Roman" w:hAnsi="Times New Roman"/>
          <w:b/>
          <w:spacing w:val="2"/>
          <w:w w:val="99"/>
          <w:kern w:val="0"/>
          <w:sz w:val="28"/>
          <w:szCs w:val="32"/>
          <w:lang w:val="en-US" w:eastAsia="zh-CN"/>
        </w:rPr>
        <w:t>一</w:t>
      </w:r>
      <w:r>
        <w:rPr>
          <w:rFonts w:hint="eastAsia"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Times New Roman" w:hAnsi="Times New Roman"/>
          <w:kern w:val="0"/>
          <w:sz w:val="32"/>
          <w:szCs w:val="32"/>
        </w:rPr>
        <w:sectPr>
          <w:headerReference r:id="rId4" w:type="first"/>
          <w:headerReference r:id="rId3" w:type="default"/>
          <w:footerReference r:id="rId5" w:type="default"/>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Times New Roman" w:hAnsi="Times New Roman"/>
          <w:kern w:val="0"/>
        </w:rPr>
      </w:pPr>
      <w:bookmarkStart w:id="0" w:name="_Toc324920538"/>
      <w:bookmarkStart w:id="1" w:name="_Toc496884613"/>
      <w:bookmarkStart w:id="2" w:name="_Toc15010"/>
      <w:bookmarkStart w:id="3" w:name="_Toc147840618"/>
      <w:r>
        <w:rPr>
          <w:rFonts w:hint="eastAsia" w:ascii="Times New Roman" w:hAnsi="Times New Roman"/>
          <w:kern w:val="0"/>
        </w:rPr>
        <w:t>重要提示</w:t>
      </w:r>
      <w:bookmarkEnd w:id="0"/>
      <w:bookmarkEnd w:id="1"/>
      <w:bookmarkEnd w:id="2"/>
      <w:bookmarkEnd w:id="3"/>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交银施罗德中证A500指数增强型发起式证券投资基金（以下简称</w:t>
      </w:r>
      <w:r>
        <w:rPr>
          <w:rFonts w:ascii="Times New Roman" w:hAnsi="Times New Roman"/>
          <w:kern w:val="0"/>
          <w:sz w:val="24"/>
        </w:rPr>
        <w:t>“</w:t>
      </w:r>
      <w:r>
        <w:rPr>
          <w:rFonts w:hint="eastAsia" w:ascii="Times New Roman" w:hAnsi="Times New Roman"/>
          <w:kern w:val="0"/>
          <w:sz w:val="24"/>
        </w:rPr>
        <w:t>本基金</w:t>
      </w:r>
      <w:r>
        <w:rPr>
          <w:rFonts w:ascii="Times New Roman" w:hAnsi="Times New Roman"/>
          <w:kern w:val="0"/>
          <w:sz w:val="24"/>
        </w:rPr>
        <w:t>”</w:t>
      </w:r>
      <w:r>
        <w:rPr>
          <w:rFonts w:hint="eastAsia" w:ascii="Times New Roman" w:hAnsi="Times New Roman"/>
          <w:kern w:val="0"/>
          <w:sz w:val="24"/>
        </w:rPr>
        <w:t>）经</w:t>
      </w:r>
      <w:r>
        <w:rPr>
          <w:rFonts w:ascii="Times New Roman" w:hAnsi="Times New Roman"/>
          <w:kern w:val="0"/>
          <w:sz w:val="24"/>
        </w:rPr>
        <w:t>202</w:t>
      </w:r>
      <w:r>
        <w:rPr>
          <w:rFonts w:hint="eastAsia" w:ascii="Times New Roman" w:hAnsi="Times New Roman"/>
          <w:kern w:val="0"/>
          <w:sz w:val="24"/>
          <w:lang w:val="en-US" w:eastAsia="zh-CN"/>
        </w:rPr>
        <w:t>5</w:t>
      </w:r>
      <w:r>
        <w:rPr>
          <w:rFonts w:hint="eastAsia" w:ascii="Times New Roman" w:hAnsi="Times New Roman"/>
          <w:kern w:val="0"/>
          <w:sz w:val="24"/>
        </w:rPr>
        <w:t>年</w:t>
      </w:r>
      <w:r>
        <w:rPr>
          <w:rFonts w:hint="eastAsia" w:ascii="Times New Roman" w:hAnsi="Times New Roman"/>
          <w:kern w:val="0"/>
          <w:sz w:val="24"/>
          <w:lang w:val="en-US" w:eastAsia="zh-CN"/>
        </w:rPr>
        <w:t>12</w:t>
      </w:r>
      <w:r>
        <w:rPr>
          <w:rFonts w:hint="eastAsia" w:ascii="Times New Roman" w:hAnsi="Times New Roman"/>
          <w:kern w:val="0"/>
          <w:sz w:val="24"/>
        </w:rPr>
        <w:t>月</w:t>
      </w:r>
      <w:r>
        <w:rPr>
          <w:rFonts w:hint="eastAsia" w:ascii="Times New Roman" w:hAnsi="Times New Roman"/>
          <w:kern w:val="0"/>
          <w:sz w:val="24"/>
          <w:lang w:val="en-US" w:eastAsia="zh-CN"/>
        </w:rPr>
        <w:t>30</w:t>
      </w:r>
      <w:r>
        <w:rPr>
          <w:rFonts w:hint="eastAsia" w:ascii="Times New Roman" w:hAnsi="Times New Roman"/>
          <w:kern w:val="0"/>
          <w:sz w:val="24"/>
        </w:rPr>
        <w:t>日中国证券监督管理委员会（以下简称</w:t>
      </w:r>
      <w:r>
        <w:rPr>
          <w:rFonts w:ascii="Times New Roman" w:hAnsi="Times New Roman"/>
          <w:kern w:val="0"/>
          <w:sz w:val="24"/>
        </w:rPr>
        <w:t>“</w:t>
      </w:r>
      <w:r>
        <w:rPr>
          <w:rFonts w:hint="eastAsia" w:ascii="Times New Roman" w:hAnsi="Times New Roman"/>
          <w:kern w:val="0"/>
          <w:sz w:val="24"/>
        </w:rPr>
        <w:t>中国证监会</w:t>
      </w:r>
      <w:r>
        <w:rPr>
          <w:rFonts w:ascii="Times New Roman" w:hAnsi="Times New Roman"/>
          <w:kern w:val="0"/>
          <w:sz w:val="24"/>
        </w:rPr>
        <w:t>”</w:t>
      </w:r>
      <w:r>
        <w:rPr>
          <w:rFonts w:hint="eastAsia" w:ascii="Times New Roman" w:hAnsi="Times New Roman"/>
          <w:kern w:val="0"/>
          <w:sz w:val="24"/>
        </w:rPr>
        <w:t>）证监许可【</w:t>
      </w:r>
      <w:r>
        <w:rPr>
          <w:rFonts w:ascii="Times New Roman" w:hAnsi="Times New Roman"/>
          <w:kern w:val="0"/>
          <w:sz w:val="24"/>
        </w:rPr>
        <w:t>202</w:t>
      </w:r>
      <w:r>
        <w:rPr>
          <w:rFonts w:hint="eastAsia" w:ascii="Times New Roman" w:hAnsi="Times New Roman"/>
          <w:kern w:val="0"/>
          <w:sz w:val="24"/>
          <w:lang w:val="en-US" w:eastAsia="zh-CN"/>
        </w:rPr>
        <w:t>5</w:t>
      </w:r>
      <w:r>
        <w:rPr>
          <w:rFonts w:hint="eastAsia" w:ascii="Times New Roman" w:hAnsi="Times New Roman"/>
          <w:kern w:val="0"/>
          <w:sz w:val="24"/>
        </w:rPr>
        <w:t>】</w:t>
      </w:r>
      <w:r>
        <w:rPr>
          <w:rFonts w:hint="eastAsia" w:ascii="Times New Roman" w:hAnsi="Times New Roman"/>
          <w:kern w:val="0"/>
          <w:sz w:val="24"/>
          <w:lang w:val="en-US" w:eastAsia="zh-CN"/>
        </w:rPr>
        <w:t>3002</w:t>
      </w:r>
      <w:r>
        <w:rPr>
          <w:rFonts w:hint="eastAsia" w:ascii="Times New Roman" w:hAnsi="Times New Roman"/>
          <w:kern w:val="0"/>
          <w:sz w:val="24"/>
        </w:rPr>
        <w:t>号文准予募集注册。</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基金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包括实施侧袋机制时的特定风险）；信用风险；本基金的特有风险；本基金法律文件风险收益特征表述与销售机构基金风险评价可能不一致的风险；投资本基金的其他风险等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本基金是一只股票型基金，其预期风险和预期收益理论上高于混合型基金、债券型基金和货币市场基金。</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本基金为股票指数增强型基金，主要投资于标的指数成份股及备选成份股，具有与标的指数相似的风险收益特征。</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本基金可投资港股通标的股票，会面临港股通机制下因投资环境、投资标的、市场制度以及交易规则等差异带来的特有风险。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本基金为指数增强型基金，投资者投资于本基金面临跟踪误差控制未达约定目标、指数编制机构停止服务、成份股停牌等潜在风险。此外，本基金存在</w:t>
      </w:r>
      <w:r>
        <w:rPr>
          <w:rFonts w:hint="eastAsia" w:ascii="Times New Roman" w:hAnsi="Times New Roman"/>
          <w:sz w:val="24"/>
        </w:rPr>
        <w:t>指数增强投资策略面临的风险，</w:t>
      </w:r>
      <w:r>
        <w:rPr>
          <w:rFonts w:hint="eastAsia" w:ascii="Times New Roman" w:hAnsi="Times New Roman"/>
          <w:kern w:val="0"/>
          <w:sz w:val="24"/>
        </w:rPr>
        <w:t>增强投资的结果既可能超越业绩比较基准，也可能落后业绩比较基准。</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本基金标的指数为中证</w:t>
      </w:r>
      <w:r>
        <w:rPr>
          <w:rFonts w:ascii="Times New Roman" w:hAnsi="Times New Roman"/>
          <w:kern w:val="0"/>
          <w:sz w:val="24"/>
        </w:rPr>
        <w:t>A500</w:t>
      </w:r>
      <w:r>
        <w:rPr>
          <w:rFonts w:hint="eastAsia" w:ascii="Times New Roman" w:hAnsi="Times New Roman"/>
          <w:kern w:val="0"/>
          <w:sz w:val="24"/>
        </w:rPr>
        <w:t>指数。</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样本空间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同中证全指指数的样本空间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、可投资性筛选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过去一年日均成交金额排名位于样本空间前</w:t>
      </w:r>
      <w:r>
        <w:rPr>
          <w:rFonts w:ascii="Times New Roman" w:hAnsi="Times New Roman"/>
          <w:kern w:val="0"/>
          <w:sz w:val="24"/>
        </w:rPr>
        <w:t>90%</w:t>
      </w:r>
      <w:r>
        <w:rPr>
          <w:rFonts w:hint="eastAsia" w:ascii="Times New Roman" w:hAnsi="Times New Roman"/>
          <w:kern w:val="0"/>
          <w:sz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、选样方法</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1</w:t>
      </w:r>
      <w:r>
        <w:rPr>
          <w:rFonts w:hint="eastAsia" w:ascii="Times New Roman" w:hAnsi="Times New Roman"/>
          <w:kern w:val="0"/>
          <w:sz w:val="24"/>
        </w:rPr>
        <w:t>）对于样本空间内符合可投资性筛选条件的证券，剔除中证</w:t>
      </w:r>
      <w:r>
        <w:rPr>
          <w:rFonts w:ascii="Times New Roman" w:hAnsi="Times New Roman"/>
          <w:kern w:val="0"/>
          <w:sz w:val="24"/>
        </w:rPr>
        <w:t>ESG</w:t>
      </w:r>
      <w:r>
        <w:rPr>
          <w:rFonts w:hint="eastAsia" w:ascii="Times New Roman" w:hAnsi="Times New Roman"/>
          <w:kern w:val="0"/>
          <w:sz w:val="24"/>
        </w:rPr>
        <w:t>评价结果在</w:t>
      </w:r>
      <w:r>
        <w:rPr>
          <w:rFonts w:ascii="Times New Roman" w:hAnsi="Times New Roman"/>
          <w:kern w:val="0"/>
          <w:sz w:val="24"/>
        </w:rPr>
        <w:t>C</w:t>
      </w:r>
      <w:r>
        <w:rPr>
          <w:rFonts w:hint="eastAsia" w:ascii="Times New Roman" w:hAnsi="Times New Roman"/>
          <w:kern w:val="0"/>
          <w:sz w:val="24"/>
        </w:rPr>
        <w:t>及以下的上市公司证券；</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w:t>
      </w:r>
      <w:r>
        <w:rPr>
          <w:rFonts w:hint="eastAsia" w:ascii="Times New Roman" w:hAnsi="Times New Roman"/>
          <w:kern w:val="0"/>
          <w:sz w:val="24"/>
        </w:rPr>
        <w:t>）选取同时满足以下条件的证券作为待选样本：</w:t>
      </w:r>
    </w:p>
    <w:p>
      <w:pPr>
        <w:pStyle w:val="44"/>
        <w:numPr>
          <w:ilvl w:val="0"/>
          <w:numId w:val="2"/>
        </w:numPr>
        <w:autoSpaceDE w:val="0"/>
        <w:autoSpaceDN w:val="0"/>
        <w:adjustRightInd w:val="0"/>
        <w:snapToGrid w:val="0"/>
        <w:spacing w:line="360" w:lineRule="auto"/>
        <w:ind w:firstLineChars="0"/>
        <w:rPr>
          <w:rFonts w:ascii="Times New Roman" w:hAnsi="Times New Roman"/>
          <w:kern w:val="0"/>
          <w:sz w:val="24"/>
        </w:rPr>
      </w:pPr>
      <w:r>
        <w:rPr>
          <w:rFonts w:hint="eastAsia" w:ascii="Times New Roman" w:hAnsi="Times New Roman"/>
          <w:kern w:val="0"/>
          <w:sz w:val="24"/>
        </w:rPr>
        <w:t>样本空间内总市值排名前</w:t>
      </w:r>
      <w:r>
        <w:rPr>
          <w:rFonts w:ascii="Times New Roman" w:hAnsi="Times New Roman"/>
          <w:kern w:val="0"/>
          <w:sz w:val="24"/>
        </w:rPr>
        <w:t>1500</w:t>
      </w:r>
      <w:r>
        <w:rPr>
          <w:rFonts w:hint="eastAsia" w:ascii="Times New Roman" w:hAnsi="Times New Roman"/>
          <w:kern w:val="0"/>
          <w:sz w:val="24"/>
        </w:rPr>
        <w:t>；</w:t>
      </w:r>
    </w:p>
    <w:p>
      <w:pPr>
        <w:pStyle w:val="44"/>
        <w:numPr>
          <w:ilvl w:val="0"/>
          <w:numId w:val="2"/>
        </w:numPr>
        <w:autoSpaceDE w:val="0"/>
        <w:autoSpaceDN w:val="0"/>
        <w:adjustRightInd w:val="0"/>
        <w:snapToGrid w:val="0"/>
        <w:spacing w:line="360" w:lineRule="auto"/>
        <w:ind w:firstLineChars="0"/>
        <w:rPr>
          <w:rFonts w:ascii="Times New Roman" w:hAnsi="Times New Roman"/>
          <w:kern w:val="0"/>
          <w:sz w:val="24"/>
        </w:rPr>
      </w:pPr>
      <w:r>
        <w:rPr>
          <w:rFonts w:hint="eastAsia" w:ascii="Times New Roman" w:hAnsi="Times New Roman"/>
          <w:kern w:val="0"/>
          <w:sz w:val="24"/>
        </w:rPr>
        <w:t>属于沪股通或深股通证券范围；</w:t>
      </w:r>
    </w:p>
    <w:p>
      <w:pPr>
        <w:pStyle w:val="44"/>
        <w:numPr>
          <w:ilvl w:val="0"/>
          <w:numId w:val="2"/>
        </w:numPr>
        <w:autoSpaceDE w:val="0"/>
        <w:autoSpaceDN w:val="0"/>
        <w:adjustRightInd w:val="0"/>
        <w:snapToGrid w:val="0"/>
        <w:spacing w:line="360" w:lineRule="auto"/>
        <w:ind w:firstLineChars="0"/>
        <w:rPr>
          <w:rFonts w:ascii="Times New Roman" w:hAnsi="Times New Roman"/>
          <w:kern w:val="0"/>
          <w:sz w:val="24"/>
        </w:rPr>
      </w:pPr>
      <w:r>
        <w:rPr>
          <w:rFonts w:hint="eastAsia" w:ascii="Times New Roman" w:hAnsi="Times New Roman"/>
          <w:kern w:val="0"/>
          <w:sz w:val="24"/>
        </w:rPr>
        <w:t>对主板证券，在所属中证三级行业内自由流通市值占比不低于</w:t>
      </w:r>
      <w:r>
        <w:rPr>
          <w:rFonts w:ascii="Times New Roman" w:hAnsi="Times New Roman"/>
          <w:kern w:val="0"/>
          <w:sz w:val="24"/>
        </w:rPr>
        <w:t>2%</w:t>
      </w:r>
      <w:r>
        <w:rPr>
          <w:rFonts w:hint="eastAsia" w:ascii="Times New Roman" w:hAnsi="Times New Roman"/>
          <w:kern w:val="0"/>
          <w:sz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3</w:t>
      </w:r>
      <w:r>
        <w:rPr>
          <w:rFonts w:hint="eastAsia" w:ascii="Times New Roman" w:hAnsi="Times New Roman"/>
          <w:kern w:val="0"/>
          <w:sz w:val="24"/>
        </w:rPr>
        <w:t>）在待选样本中，优先选取三级行业自由流通市值最大或总市值在样本空间内排名前</w:t>
      </w:r>
      <w:r>
        <w:rPr>
          <w:rFonts w:ascii="Times New Roman" w:hAnsi="Times New Roman"/>
          <w:kern w:val="0"/>
          <w:sz w:val="24"/>
        </w:rPr>
        <w:t>1%</w:t>
      </w:r>
      <w:r>
        <w:rPr>
          <w:rFonts w:hint="eastAsia" w:ascii="Times New Roman" w:hAnsi="Times New Roman"/>
          <w:kern w:val="0"/>
          <w:sz w:val="24"/>
        </w:rPr>
        <w:t>的证券作为指数样本。</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4</w:t>
      </w:r>
      <w:r>
        <w:rPr>
          <w:rFonts w:hint="eastAsia" w:ascii="Times New Roman" w:hAnsi="Times New Roman"/>
          <w:kern w:val="0"/>
          <w:sz w:val="24"/>
        </w:rPr>
        <w:t>）在剩余待选样本中，从各中证一级行业按照自由流通市值选取一定数量证券，使样本数量达到</w:t>
      </w:r>
      <w:r>
        <w:rPr>
          <w:rFonts w:ascii="Times New Roman" w:hAnsi="Times New Roman"/>
          <w:kern w:val="0"/>
          <w:sz w:val="24"/>
        </w:rPr>
        <w:t>500</w:t>
      </w:r>
      <w:r>
        <w:rPr>
          <w:rFonts w:hint="eastAsia" w:ascii="Times New Roman" w:hAnsi="Times New Roman"/>
          <w:kern w:val="0"/>
          <w:sz w:val="24"/>
        </w:rPr>
        <w:t>只，且各一级行业自由流通市值分布与样本空间尽可能一致。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、指数计算</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指数计算公式为：</w:t>
      </w:r>
    </w:p>
    <w:p>
      <w:pPr>
        <w:autoSpaceDE w:val="0"/>
        <w:autoSpaceDN w:val="0"/>
        <w:adjustRightInd w:val="0"/>
        <w:snapToGrid w:val="0"/>
        <w:spacing w:line="360" w:lineRule="auto"/>
        <w:ind w:left="105" w:leftChars="50" w:firstLine="480" w:firstLineChars="200"/>
        <w:rPr>
          <w:rFonts w:ascii="Times New Roman" w:hAnsi="Times New Roman"/>
          <w:kern w:val="0"/>
          <w:sz w:val="24"/>
        </w:rPr>
      </w:pPr>
      <m:oMathPara>
        <m:oMath>
          <m:r>
            <m:rPr>
              <m:sty m:val="p"/>
            </m:rPr>
            <w:rPr>
              <w:rFonts w:hint="eastAsia" w:ascii="Cambria Math" w:hAnsi="Cambria Math"/>
              <w:kern w:val="0"/>
              <w:sz w:val="24"/>
              <w:szCs w:val="24"/>
            </w:rPr>
            <m:t>报告期指数</m:t>
          </m:r>
          <m:r>
            <m:rPr>
              <m:sty m:val="p"/>
            </m:rPr>
            <w:rPr>
              <w:rFonts w:ascii="Cambria Math" w:hAnsi="Cambria Math"/>
              <w:kern w:val="0"/>
              <w:sz w:val="24"/>
              <w:szCs w:val="24"/>
            </w:rPr>
            <m:t>=</m:t>
          </m:r>
          <m:f>
            <m:fPr>
              <m:ctrlPr>
                <w:rPr>
                  <w:rFonts w:ascii="Cambria Math" w:hAnsi="Cambria Math"/>
                  <w:kern w:val="0"/>
                  <w:sz w:val="24"/>
                  <w:szCs w:val="24"/>
                </w:rPr>
              </m:ctrlPr>
            </m:fPr>
            <m:num>
              <m:r>
                <m:rPr>
                  <m:sty m:val="p"/>
                </m:rPr>
                <w:rPr>
                  <w:rFonts w:hint="eastAsia" w:ascii="Cambria Math" w:hAnsi="Cambria Math"/>
                  <w:kern w:val="0"/>
                  <w:sz w:val="24"/>
                  <w:szCs w:val="24"/>
                </w:rPr>
                <m:t>报告期样本的调整市值</m:t>
              </m:r>
              <m:ctrlPr>
                <w:rPr>
                  <w:rFonts w:ascii="Cambria Math" w:hAnsi="Cambria Math"/>
                  <w:kern w:val="0"/>
                  <w:sz w:val="24"/>
                  <w:szCs w:val="24"/>
                </w:rPr>
              </m:ctrlPr>
            </m:num>
            <m:den>
              <m:r>
                <m:rPr>
                  <m:sty m:val="p"/>
                </m:rPr>
                <w:rPr>
                  <w:rFonts w:hint="eastAsia" w:ascii="Cambria Math" w:hAnsi="Cambria Math"/>
                  <w:kern w:val="0"/>
                  <w:sz w:val="24"/>
                  <w:szCs w:val="24"/>
                </w:rPr>
                <m:t>除数</m:t>
              </m:r>
              <m:ctrlPr>
                <w:rPr>
                  <w:rFonts w:ascii="Cambria Math" w:hAnsi="Cambria Math"/>
                  <w:kern w:val="0"/>
                  <w:sz w:val="24"/>
                  <w:szCs w:val="24"/>
                </w:rPr>
              </m:ctrlPr>
            </m:den>
          </m:f>
          <m:r>
            <m:rPr>
              <m:sty m:val="p"/>
            </m:rPr>
            <w:rPr>
              <w:rFonts w:ascii="Cambria Math" w:hAnsi="Cambria Math"/>
              <w:kern w:val="0"/>
              <w:sz w:val="24"/>
              <w:szCs w:val="24"/>
            </w:rPr>
            <m:t>×1000</m:t>
          </m:r>
        </m:oMath>
      </m:oMathPara>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其中，调整市值＝∑</w:t>
      </w:r>
      <w:r>
        <w:rPr>
          <w:rFonts w:ascii="Times New Roman" w:hAnsi="Times New Roman"/>
          <w:kern w:val="0"/>
          <w:sz w:val="24"/>
        </w:rPr>
        <w:t>(</w:t>
      </w:r>
      <w:r>
        <w:rPr>
          <w:rFonts w:hint="eastAsia" w:ascii="Times New Roman" w:hAnsi="Times New Roman"/>
          <w:kern w:val="0"/>
          <w:sz w:val="24"/>
        </w:rPr>
        <w:t>证券价格×调整股本数×权重因子</w:t>
      </w:r>
      <w:r>
        <w:rPr>
          <w:rFonts w:ascii="Times New Roman" w:hAnsi="Times New Roman"/>
          <w:kern w:val="0"/>
          <w:sz w:val="24"/>
        </w:rPr>
        <w:t>)</w:t>
      </w:r>
      <w:r>
        <w:rPr>
          <w:rFonts w:hint="eastAsia" w:ascii="Times New Roman" w:hAnsi="Times New Roman"/>
          <w:kern w:val="0"/>
          <w:sz w:val="24"/>
        </w:rPr>
        <w:t>。调整股本数的计算方法、除数修正方法参见计算与维护细则。权重因子介于</w:t>
      </w:r>
      <w:r>
        <w:rPr>
          <w:rFonts w:ascii="Times New Roman" w:hAnsi="Times New Roman"/>
          <w:kern w:val="0"/>
          <w:sz w:val="24"/>
        </w:rPr>
        <w:t>0</w:t>
      </w:r>
      <w:r>
        <w:rPr>
          <w:rFonts w:hint="eastAsia" w:ascii="Times New Roman" w:hAnsi="Times New Roman"/>
          <w:kern w:val="0"/>
          <w:sz w:val="24"/>
        </w:rPr>
        <w:t>和</w:t>
      </w:r>
      <w:r>
        <w:rPr>
          <w:rFonts w:ascii="Times New Roman" w:hAnsi="Times New Roman"/>
          <w:kern w:val="0"/>
          <w:sz w:val="24"/>
        </w:rPr>
        <w:t>1</w:t>
      </w:r>
      <w:r>
        <w:rPr>
          <w:rFonts w:hint="eastAsia" w:ascii="Times New Roman" w:hAnsi="Times New Roman"/>
          <w:kern w:val="0"/>
          <w:sz w:val="24"/>
        </w:rPr>
        <w:t>之间，以使单个样本权重不超过</w:t>
      </w:r>
      <w:r>
        <w:rPr>
          <w:rFonts w:ascii="Times New Roman" w:hAnsi="Times New Roman"/>
          <w:kern w:val="0"/>
          <w:sz w:val="24"/>
        </w:rPr>
        <w:t>10%</w:t>
      </w:r>
      <w:r>
        <w:rPr>
          <w:rFonts w:hint="eastAsia" w:ascii="Times New Roman" w:hAnsi="Times New Roman"/>
          <w:kern w:val="0"/>
          <w:sz w:val="24"/>
        </w:rPr>
        <w:t>，前五大样本权重合计不超过</w:t>
      </w:r>
      <w:r>
        <w:rPr>
          <w:rFonts w:ascii="Times New Roman" w:hAnsi="Times New Roman"/>
          <w:kern w:val="0"/>
          <w:sz w:val="24"/>
        </w:rPr>
        <w:t>40%</w:t>
      </w:r>
      <w:r>
        <w:rPr>
          <w:rFonts w:hint="eastAsia" w:ascii="Times New Roman" w:hAnsi="Times New Roman"/>
          <w:kern w:val="0"/>
          <w:sz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5</w:t>
      </w:r>
      <w:r>
        <w:rPr>
          <w:rFonts w:hint="eastAsia" w:ascii="Times New Roman" w:hAnsi="Times New Roman"/>
          <w:kern w:val="0"/>
          <w:sz w:val="24"/>
        </w:rPr>
        <w:t>、指数样本和权重调整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1</w:t>
      </w:r>
      <w:r>
        <w:rPr>
          <w:rFonts w:hint="eastAsia" w:ascii="Times New Roman" w:hAnsi="Times New Roman"/>
          <w:kern w:val="0"/>
          <w:sz w:val="24"/>
        </w:rPr>
        <w:t>）定期调整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指数样本每半年调整一次，样本调整实施时间分别为每年</w:t>
      </w:r>
      <w:r>
        <w:rPr>
          <w:rFonts w:ascii="Times New Roman" w:hAnsi="Times New Roman"/>
          <w:kern w:val="0"/>
          <w:sz w:val="24"/>
        </w:rPr>
        <w:t>6</w:t>
      </w:r>
      <w:r>
        <w:rPr>
          <w:rFonts w:hint="eastAsia" w:ascii="Times New Roman" w:hAnsi="Times New Roman"/>
          <w:kern w:val="0"/>
          <w:sz w:val="24"/>
        </w:rPr>
        <w:t>月和</w:t>
      </w:r>
      <w:r>
        <w:rPr>
          <w:rFonts w:ascii="Times New Roman" w:hAnsi="Times New Roman"/>
          <w:kern w:val="0"/>
          <w:sz w:val="24"/>
        </w:rPr>
        <w:t>12</w:t>
      </w:r>
      <w:r>
        <w:rPr>
          <w:rFonts w:hint="eastAsia" w:ascii="Times New Roman" w:hAnsi="Times New Roman"/>
          <w:kern w:val="0"/>
          <w:sz w:val="24"/>
        </w:rPr>
        <w:t>月的第二个星期五的下一交易日。</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权重因子随样本定期调整而调整，调整时间与指数样本定期调整实施时间相同。在下一个定期调整日前，权重因子一般固定不变。每次调整的样本比例一般不超过</w:t>
      </w:r>
      <w:r>
        <w:rPr>
          <w:rFonts w:ascii="Times New Roman" w:hAnsi="Times New Roman"/>
          <w:kern w:val="0"/>
          <w:sz w:val="24"/>
        </w:rPr>
        <w:t>10%</w:t>
      </w:r>
      <w:r>
        <w:rPr>
          <w:rFonts w:hint="eastAsia" w:ascii="Times New Roman" w:hAnsi="Times New Roman"/>
          <w:kern w:val="0"/>
          <w:sz w:val="24"/>
        </w:rPr>
        <w:t>。定期调整设置缓冲区，若主板老样本在所属中证三级行业内自由流通市值占比不低于</w:t>
      </w:r>
      <w:r>
        <w:rPr>
          <w:rFonts w:ascii="Times New Roman" w:hAnsi="Times New Roman"/>
          <w:kern w:val="0"/>
          <w:sz w:val="24"/>
        </w:rPr>
        <w:t>1%</w:t>
      </w:r>
      <w:r>
        <w:rPr>
          <w:rFonts w:hint="eastAsia" w:ascii="Times New Roman" w:hAnsi="Times New Roman"/>
          <w:kern w:val="0"/>
          <w:sz w:val="24"/>
        </w:rPr>
        <w:t>，仍作为待选样本；选样方法（</w:t>
      </w:r>
      <w:r>
        <w:rPr>
          <w:rFonts w:ascii="Times New Roman" w:hAnsi="Times New Roman"/>
          <w:kern w:val="0"/>
          <w:sz w:val="24"/>
        </w:rPr>
        <w:t>4</w:t>
      </w:r>
      <w:r>
        <w:rPr>
          <w:rFonts w:hint="eastAsia" w:ascii="Times New Roman" w:hAnsi="Times New Roman"/>
          <w:kern w:val="0"/>
          <w:sz w:val="24"/>
        </w:rPr>
        <w:t>）中的入选顺序在前</w:t>
      </w:r>
      <w:r>
        <w:rPr>
          <w:rFonts w:ascii="Times New Roman" w:hAnsi="Times New Roman"/>
          <w:kern w:val="0"/>
          <w:sz w:val="24"/>
        </w:rPr>
        <w:t>400</w:t>
      </w:r>
      <w:r>
        <w:rPr>
          <w:rFonts w:hint="eastAsia" w:ascii="Times New Roman" w:hAnsi="Times New Roman"/>
          <w:kern w:val="0"/>
          <w:sz w:val="24"/>
        </w:rPr>
        <w:t>名的新样本优先进入，在前</w:t>
      </w:r>
      <w:r>
        <w:rPr>
          <w:rFonts w:ascii="Times New Roman" w:hAnsi="Times New Roman"/>
          <w:kern w:val="0"/>
          <w:sz w:val="24"/>
        </w:rPr>
        <w:t>600</w:t>
      </w:r>
      <w:r>
        <w:rPr>
          <w:rFonts w:hint="eastAsia" w:ascii="Times New Roman" w:hAnsi="Times New Roman"/>
          <w:kern w:val="0"/>
          <w:sz w:val="24"/>
        </w:rPr>
        <w:t>名的老样本优先保留。</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w:t>
      </w:r>
      <w:r>
        <w:rPr>
          <w:rFonts w:hint="eastAsia" w:ascii="Times New Roman" w:hAnsi="Times New Roman"/>
          <w:kern w:val="0"/>
          <w:sz w:val="24"/>
        </w:rPr>
        <w:t>）临时调整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特殊情况下将对指数进行临时调整。当样本退市时，将其从指数样本中剔除。样本公司发生收购、合并、分拆等情形的处理，参照计算与维护细则处理。当沪股通或深股通证券范围发生变动导致样本不再满足互联互通资格时，指数将相应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有关标的指数具体编制方案及成份股信息详见中证指数有限公司网站，网址：</w:t>
      </w:r>
      <w:r>
        <w:fldChar w:fldCharType="begin"/>
      </w:r>
      <w:r>
        <w:instrText xml:space="preserve"> HYPERLINK "http://www.csindex.com.cn" </w:instrText>
      </w:r>
      <w:r>
        <w:fldChar w:fldCharType="separate"/>
      </w:r>
      <w:r>
        <w:rPr>
          <w:rStyle w:val="20"/>
          <w:rFonts w:ascii="Times New Roman" w:hAnsi="Times New Roman"/>
          <w:kern w:val="0"/>
          <w:sz w:val="24"/>
          <w:szCs w:val="24"/>
        </w:rPr>
        <w:t>www.csindex.com.cn</w:t>
      </w:r>
      <w:r>
        <w:rPr>
          <w:rStyle w:val="20"/>
          <w:rFonts w:ascii="Times New Roman" w:hAnsi="Times New Roman"/>
          <w:kern w:val="0"/>
          <w:sz w:val="24"/>
          <w:szCs w:val="24"/>
        </w:rPr>
        <w:fldChar w:fldCharType="end"/>
      </w:r>
      <w:r>
        <w:rPr>
          <w:rFonts w:hint="eastAsia" w:ascii="Times New Roman" w:hAnsi="Times New Roman"/>
          <w:kern w:val="0"/>
          <w:sz w:val="24"/>
          <w:szCs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以及不适当的估值使基金资产面临损失的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本基金可根据投资策略需要或不同配置地市场环境的变化，选择将部分基金资产投资于港股通标的股票或选择不将基金资产投资于港股通标的股票，基金资产并非必然投资港股通标的股票。</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hint="eastAsia" w:ascii="Times New Roman" w:hAnsi="Times New Roman"/>
          <w:kern w:val="0"/>
          <w:sz w:val="24"/>
        </w:rPr>
        <w:t>风险揭示</w:t>
      </w:r>
      <w:r>
        <w:rPr>
          <w:rFonts w:ascii="Times New Roman" w:hAnsi="Times New Roman"/>
          <w:kern w:val="0"/>
          <w:sz w:val="24"/>
        </w:rPr>
        <w:t>”</w:t>
      </w:r>
      <w:r>
        <w:rPr>
          <w:rFonts w:hint="eastAsia" w:ascii="Times New Roman" w:hAnsi="Times New Roman"/>
          <w:kern w:val="0"/>
          <w:sz w:val="24"/>
        </w:rPr>
        <w:t>章节内容。</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bCs/>
          <w:sz w:val="24"/>
        </w:rPr>
        <w:t>本基金可根据投资策略需要或市场环境的变化，选择将部分基金资产投资于科创板股票或选择不将基金资产投资于科创板股票，基金资产并非必然投资于科创板股票。</w:t>
      </w:r>
    </w:p>
    <w:p>
      <w:pPr>
        <w:autoSpaceDE w:val="0"/>
        <w:autoSpaceDN w:val="0"/>
        <w:adjustRightInd w:val="0"/>
        <w:snapToGrid w:val="0"/>
        <w:spacing w:line="360" w:lineRule="auto"/>
        <w:ind w:left="105" w:leftChars="50" w:firstLine="480" w:firstLineChars="200"/>
        <w:rPr>
          <w:rFonts w:ascii="Times New Roman" w:hAnsi="Times New Roman"/>
          <w:bCs/>
          <w:kern w:val="0"/>
          <w:sz w:val="24"/>
        </w:rPr>
      </w:pPr>
      <w:r>
        <w:rPr>
          <w:rFonts w:hint="eastAsia" w:ascii="Times New Roman" w:hAnsi="Times New Roman"/>
          <w:bCs/>
          <w:kern w:val="0"/>
          <w:sz w:val="24"/>
        </w:rPr>
        <w:t>本基金可参与融资业务，面临的风险包括但不限于市场风险、流动性风险、信用风险等。</w:t>
      </w:r>
    </w:p>
    <w:p>
      <w:pPr>
        <w:autoSpaceDE w:val="0"/>
        <w:autoSpaceDN w:val="0"/>
        <w:adjustRightInd w:val="0"/>
        <w:snapToGrid w:val="0"/>
        <w:spacing w:line="360" w:lineRule="auto"/>
        <w:ind w:left="105" w:leftChars="50" w:firstLine="480" w:firstLineChars="200"/>
        <w:rPr>
          <w:rFonts w:ascii="Times New Roman" w:hAnsi="Times New Roman"/>
          <w:bCs/>
          <w:kern w:val="0"/>
          <w:sz w:val="24"/>
        </w:rPr>
      </w:pPr>
      <w:r>
        <w:rPr>
          <w:rFonts w:hint="eastAsia" w:ascii="Times New Roman" w:hAnsi="Times New Roman"/>
          <w:bCs/>
          <w:kern w:val="0"/>
          <w:sz w:val="24"/>
        </w:rPr>
        <w:t>本基金可参与转融通证券出借业务，面临的风险包括但不限于流动性风险、信用风险、市场风险、其他风险等。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bCs/>
          <w:kern w:val="0"/>
          <w:sz w:val="24"/>
        </w:rPr>
        <w:t>本基金为发起式基金，《基金合同》生效之日起三年后的对应日，若基金资产净值低于2亿元，基金合同自动终止，且不得通过召开基金份额持有人大会的方式延续《基金合同》期限。因此，投资人可能面临基金合同提前终止的不确定性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因此，本基金存在自动转型的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投资有风险，投资人在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hint="eastAsia" w:ascii="Times New Roman" w:hAnsi="Times New Roman"/>
          <w:kern w:val="0"/>
          <w:sz w:val="24"/>
        </w:rPr>
        <w:t>买者自负</w:t>
      </w:r>
      <w:r>
        <w:rPr>
          <w:rFonts w:ascii="Times New Roman" w:hAnsi="Times New Roman"/>
          <w:kern w:val="0"/>
          <w:sz w:val="24"/>
        </w:rPr>
        <w:t>”</w:t>
      </w:r>
      <w:r>
        <w:rPr>
          <w:rFonts w:hint="eastAsia" w:ascii="Times New Roman" w:hAnsi="Times New Roman"/>
          <w:kern w:val="0"/>
          <w:sz w:val="24"/>
        </w:rPr>
        <w:t>原则，在投资者作出投资决策后，基金运营状况与基金净值变化引致的投资风险，由投资者自行负责。</w:t>
      </w:r>
    </w:p>
    <w:p>
      <w:pPr>
        <w:autoSpaceDE w:val="0"/>
        <w:autoSpaceDN w:val="0"/>
        <w:adjustRightInd w:val="0"/>
        <w:snapToGrid w:val="0"/>
        <w:spacing w:line="360" w:lineRule="auto"/>
        <w:ind w:left="105" w:leftChars="50" w:firstLine="480" w:firstLineChars="200"/>
        <w:rPr>
          <w:rFonts w:ascii="Times New Roman" w:hAnsi="Times New Roman"/>
          <w:kern w:val="0"/>
          <w:szCs w:val="24"/>
        </w:rPr>
      </w:pPr>
      <w:r>
        <w:rPr>
          <w:rFonts w:hint="eastAsia" w:ascii="Times New Roman" w:hAnsi="Times New Roman"/>
          <w:kern w:val="0"/>
          <w:sz w:val="24"/>
        </w:rPr>
        <w:t>本基金单一投资者</w:t>
      </w:r>
      <w:r>
        <w:rPr>
          <w:rFonts w:hint="eastAsia"/>
          <w:bCs/>
          <w:sz w:val="24"/>
        </w:rPr>
        <w:t>（基金管理人、基金管理人高级管理人员或基金经理等人员作为发起资金提供方除外）</w:t>
      </w:r>
      <w:r>
        <w:rPr>
          <w:rFonts w:hint="eastAsia" w:ascii="Times New Roman" w:hAnsi="Times New Roman"/>
          <w:kern w:val="0"/>
          <w:sz w:val="24"/>
        </w:rPr>
        <w:t>持有基金份额数不得超过基金份额总数的</w:t>
      </w:r>
      <w:r>
        <w:rPr>
          <w:rFonts w:ascii="Times New Roman" w:hAnsi="Times New Roman"/>
          <w:kern w:val="0"/>
          <w:sz w:val="24"/>
        </w:rPr>
        <w:t>50%</w:t>
      </w:r>
      <w:r>
        <w:rPr>
          <w:rFonts w:hint="eastAsia" w:ascii="Times New Roman" w:hAnsi="Times New Roman"/>
          <w:kern w:val="0"/>
          <w:sz w:val="24"/>
        </w:rPr>
        <w:t>，但在基金运作过程中因基金份额赎回等情形导致被动超过前述</w:t>
      </w:r>
      <w:r>
        <w:rPr>
          <w:rFonts w:ascii="Times New Roman" w:hAnsi="Times New Roman"/>
          <w:kern w:val="0"/>
          <w:sz w:val="24"/>
        </w:rPr>
        <w:t>50%</w:t>
      </w:r>
      <w:r>
        <w:rPr>
          <w:rFonts w:hint="eastAsia" w:ascii="Times New Roman" w:hAnsi="Times New Roman"/>
          <w:kern w:val="0"/>
          <w:sz w:val="24"/>
        </w:rPr>
        <w:t>比例的除外。</w:t>
      </w:r>
    </w:p>
    <w:p>
      <w:pPr>
        <w:autoSpaceDE w:val="0"/>
        <w:autoSpaceDN w:val="0"/>
        <w:adjustRightInd w:val="0"/>
        <w:snapToGrid w:val="0"/>
        <w:spacing w:before="51" w:line="360" w:lineRule="auto"/>
        <w:ind w:left="120" w:right="13" w:rightChars="6" w:firstLine="480"/>
        <w:rPr>
          <w:rFonts w:ascii="Times New Roman" w:hAnsi="Times New Roman"/>
          <w:kern w:val="0"/>
          <w:szCs w:val="24"/>
        </w:rPr>
        <w:sectPr>
          <w:headerReference r:id="rId6" w:type="default"/>
          <w:pgSz w:w="11920" w:h="16840"/>
          <w:pgMar w:top="1440" w:right="1680" w:bottom="280" w:left="1680" w:header="0" w:footer="1073" w:gutter="0"/>
          <w:pgNumType w:start="1"/>
          <w:cols w:space="720" w:num="1"/>
        </w:sectPr>
      </w:pPr>
      <w:r>
        <w:rPr>
          <w:rFonts w:hint="eastAsia" w:ascii="Times New Roman" w:hAnsi="Times New Roman"/>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keepNext/>
        <w:keepLines/>
        <w:widowControl/>
        <w:snapToGrid w:val="0"/>
        <w:spacing w:before="480" w:after="240" w:afterLines="100" w:line="360" w:lineRule="auto"/>
        <w:jc w:val="center"/>
        <w:rPr>
          <w:rFonts w:ascii="Times New Roman" w:hAnsi="Times New Roman"/>
          <w:b/>
          <w:bCs/>
          <w:color w:val="000000"/>
          <w:kern w:val="0"/>
          <w:position w:val="-4"/>
          <w:sz w:val="24"/>
          <w:szCs w:val="30"/>
        </w:rPr>
      </w:pPr>
      <w:r>
        <w:rPr>
          <w:rFonts w:hint="eastAsia" w:ascii="Times New Roman" w:hAnsi="Times New Roman"/>
          <w:b/>
          <w:bCs/>
          <w:color w:val="000000"/>
          <w:kern w:val="0"/>
          <w:position w:val="-4"/>
          <w:sz w:val="24"/>
          <w:szCs w:val="30"/>
        </w:rPr>
        <w:t>目</w:t>
      </w:r>
      <w:r>
        <w:rPr>
          <w:rFonts w:ascii="Times New Roman" w:hAnsi="Times New Roman"/>
          <w:b/>
          <w:bCs/>
          <w:color w:val="000000"/>
          <w:kern w:val="0"/>
          <w:position w:val="-4"/>
          <w:sz w:val="24"/>
          <w:szCs w:val="30"/>
        </w:rPr>
        <w:tab/>
      </w:r>
      <w:r>
        <w:rPr>
          <w:rFonts w:hint="eastAsia" w:ascii="Times New Roman" w:hAnsi="Times New Roman"/>
          <w:b/>
          <w:bCs/>
          <w:color w:val="000000"/>
          <w:kern w:val="0"/>
          <w:position w:val="-4"/>
          <w:sz w:val="24"/>
          <w:szCs w:val="30"/>
        </w:rPr>
        <w:t>录</w:t>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 w:val="21"/>
          <w:szCs w:val="20"/>
        </w:rPr>
        <w:fldChar w:fldCharType="begin"/>
      </w:r>
      <w:r>
        <w:rPr>
          <w:rFonts w:ascii="Times New Roman" w:hAnsi="Times New Roman" w:cs="Times New Roman"/>
          <w:sz w:val="21"/>
          <w:szCs w:val="20"/>
        </w:rPr>
        <w:instrText xml:space="preserve"> TOC \o "1-3" \f - \h \t "-1" </w:instrText>
      </w:r>
      <w:r>
        <w:rPr>
          <w:rFonts w:ascii="Times New Roman" w:hAnsi="Times New Roman" w:cs="Times New Roman"/>
          <w:sz w:val="21"/>
          <w:szCs w:val="20"/>
        </w:rPr>
        <w:fldChar w:fldCharType="separate"/>
      </w:r>
      <w:r>
        <w:rPr>
          <w:rFonts w:ascii="Times New Roman" w:hAnsi="Times New Roman" w:cs="Times New Roman"/>
          <w:szCs w:val="20"/>
        </w:rPr>
        <w:fldChar w:fldCharType="begin"/>
      </w:r>
      <w:r>
        <w:rPr>
          <w:rFonts w:ascii="Times New Roman" w:hAnsi="Times New Roman" w:cs="Times New Roman"/>
          <w:szCs w:val="20"/>
        </w:rPr>
        <w:instrText xml:space="preserve"> HYPERLINK \l _Toc15010 </w:instrText>
      </w:r>
      <w:r>
        <w:rPr>
          <w:rFonts w:ascii="Times New Roman" w:hAnsi="Times New Roman" w:cs="Times New Roman"/>
          <w:szCs w:val="20"/>
        </w:rPr>
        <w:fldChar w:fldCharType="separate"/>
      </w:r>
      <w:r>
        <w:rPr>
          <w:rFonts w:hint="default" w:ascii="Times New Roman" w:hAnsi="Times New Roman" w:cs="Times New Roman"/>
          <w:kern w:val="2"/>
          <w:szCs w:val="20"/>
        </w:rPr>
        <w:t>重要提示</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_Toc15010 \h </w:instrText>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_Toc6575 </w:instrText>
      </w:r>
      <w:r>
        <w:rPr>
          <w:rFonts w:ascii="Times New Roman" w:hAnsi="Times New Roman" w:cs="Times New Roman"/>
          <w:szCs w:val="20"/>
        </w:rPr>
        <w:fldChar w:fldCharType="separate"/>
      </w:r>
      <w:r>
        <w:rPr>
          <w:rFonts w:ascii="Times New Roman" w:hAnsi="Times New Roman" w:cs="Times New Roman"/>
          <w:szCs w:val="20"/>
        </w:rPr>
        <w:t>一、绪言</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_Toc6575 \h </w:instrText>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_Toc8297 </w:instrText>
      </w:r>
      <w:r>
        <w:rPr>
          <w:rFonts w:ascii="Times New Roman" w:hAnsi="Times New Roman" w:cs="Times New Roman"/>
          <w:szCs w:val="20"/>
        </w:rPr>
        <w:fldChar w:fldCharType="separate"/>
      </w:r>
      <w:r>
        <w:rPr>
          <w:rFonts w:hint="default" w:ascii="Times New Roman" w:hAnsi="Times New Roman" w:cs="Times New Roman"/>
          <w:szCs w:val="20"/>
        </w:rPr>
        <w:t>二、释义</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_Toc8297 \h </w:instrText>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_Toc7689 </w:instrText>
      </w:r>
      <w:r>
        <w:rPr>
          <w:rFonts w:ascii="Times New Roman" w:hAnsi="Times New Roman" w:cs="Times New Roman"/>
          <w:szCs w:val="20"/>
        </w:rPr>
        <w:fldChar w:fldCharType="separate"/>
      </w:r>
      <w:r>
        <w:rPr>
          <w:rFonts w:hint="default" w:ascii="Times New Roman" w:hAnsi="Times New Roman" w:cs="Times New Roman"/>
          <w:szCs w:val="20"/>
        </w:rPr>
        <w:t>三、基金管理人</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_Toc7689 \h </w:instrText>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_Toc14190 </w:instrText>
      </w:r>
      <w:r>
        <w:rPr>
          <w:rFonts w:ascii="Times New Roman" w:hAnsi="Times New Roman" w:cs="Times New Roman"/>
          <w:szCs w:val="20"/>
        </w:rPr>
        <w:fldChar w:fldCharType="separate"/>
      </w:r>
      <w:r>
        <w:rPr>
          <w:rFonts w:hint="default" w:ascii="Times New Roman" w:hAnsi="Times New Roman" w:cs="Times New Roman"/>
          <w:szCs w:val="20"/>
        </w:rPr>
        <w:t>四、基金托管人</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_Toc14190 \h </w:instrText>
      </w:r>
      <w:r>
        <w:rPr>
          <w:rFonts w:ascii="Times New Roman" w:hAnsi="Times New Roman" w:cs="Times New Roman"/>
          <w:szCs w:val="20"/>
        </w:rPr>
        <w:fldChar w:fldCharType="separate"/>
      </w:r>
      <w:r>
        <w:rPr>
          <w:rFonts w:ascii="Times New Roman" w:hAnsi="Times New Roman" w:cs="Times New Roman"/>
          <w:szCs w:val="20"/>
        </w:rPr>
        <w:t>21</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_Toc7521 </w:instrText>
      </w:r>
      <w:r>
        <w:rPr>
          <w:rFonts w:ascii="Times New Roman" w:hAnsi="Times New Roman" w:cs="Times New Roman"/>
          <w:szCs w:val="20"/>
        </w:rPr>
        <w:fldChar w:fldCharType="separate"/>
      </w:r>
      <w:r>
        <w:rPr>
          <w:rFonts w:ascii="Times New Roman" w:hAnsi="Times New Roman" w:cs="Times New Roman"/>
          <w:szCs w:val="20"/>
        </w:rPr>
        <w:t>五、相关服务机构</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_Toc7521 \h </w:instrText>
      </w:r>
      <w:r>
        <w:rPr>
          <w:rFonts w:ascii="Times New Roman" w:hAnsi="Times New Roman" w:cs="Times New Roman"/>
          <w:szCs w:val="20"/>
        </w:rPr>
        <w:fldChar w:fldCharType="separate"/>
      </w:r>
      <w:r>
        <w:rPr>
          <w:rFonts w:ascii="Times New Roman" w:hAnsi="Times New Roman" w:cs="Times New Roman"/>
          <w:szCs w:val="20"/>
        </w:rPr>
        <w:t>25</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_Toc23128 </w:instrText>
      </w:r>
      <w:r>
        <w:rPr>
          <w:rFonts w:ascii="Times New Roman" w:hAnsi="Times New Roman" w:cs="Times New Roman"/>
          <w:szCs w:val="20"/>
        </w:rPr>
        <w:fldChar w:fldCharType="separate"/>
      </w:r>
      <w:r>
        <w:rPr>
          <w:rFonts w:hint="default" w:ascii="Times New Roman" w:hAnsi="Times New Roman" w:cs="Times New Roman"/>
          <w:szCs w:val="20"/>
        </w:rPr>
        <w:t>六、基金的募集</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_Toc23128 \h </w:instrText>
      </w:r>
      <w:r>
        <w:rPr>
          <w:rFonts w:ascii="Times New Roman" w:hAnsi="Times New Roman" w:cs="Times New Roman"/>
          <w:szCs w:val="20"/>
        </w:rPr>
        <w:fldChar w:fldCharType="separate"/>
      </w:r>
      <w:r>
        <w:rPr>
          <w:rFonts w:ascii="Times New Roman" w:hAnsi="Times New Roman" w:cs="Times New Roman"/>
          <w:szCs w:val="20"/>
        </w:rPr>
        <w:t>27</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_Toc1903 </w:instrText>
      </w:r>
      <w:r>
        <w:rPr>
          <w:rFonts w:ascii="Times New Roman" w:hAnsi="Times New Roman" w:cs="Times New Roman"/>
          <w:szCs w:val="20"/>
        </w:rPr>
        <w:fldChar w:fldCharType="separate"/>
      </w:r>
      <w:r>
        <w:rPr>
          <w:rFonts w:hint="default" w:ascii="Times New Roman" w:hAnsi="Times New Roman" w:cs="Times New Roman"/>
          <w:szCs w:val="20"/>
        </w:rPr>
        <w:t>七、基金合同的生效</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_Toc1903 \h </w:instrText>
      </w:r>
      <w:r>
        <w:rPr>
          <w:rFonts w:ascii="Times New Roman" w:hAnsi="Times New Roman" w:cs="Times New Roman"/>
          <w:szCs w:val="20"/>
        </w:rPr>
        <w:fldChar w:fldCharType="separate"/>
      </w:r>
      <w:r>
        <w:rPr>
          <w:rFonts w:ascii="Times New Roman" w:hAnsi="Times New Roman" w:cs="Times New Roman"/>
          <w:szCs w:val="20"/>
        </w:rPr>
        <w:t>33</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_Toc743 </w:instrText>
      </w:r>
      <w:r>
        <w:rPr>
          <w:rFonts w:ascii="Times New Roman" w:hAnsi="Times New Roman" w:cs="Times New Roman"/>
          <w:szCs w:val="20"/>
        </w:rPr>
        <w:fldChar w:fldCharType="separate"/>
      </w:r>
      <w:r>
        <w:rPr>
          <w:rFonts w:hint="default" w:ascii="Times New Roman" w:hAnsi="Times New Roman" w:cs="Times New Roman"/>
          <w:szCs w:val="20"/>
        </w:rPr>
        <w:t>八、基金份额的申购与赎回</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_Toc743 \h </w:instrText>
      </w:r>
      <w:r>
        <w:rPr>
          <w:rFonts w:ascii="Times New Roman" w:hAnsi="Times New Roman" w:cs="Times New Roman"/>
          <w:szCs w:val="20"/>
        </w:rPr>
        <w:fldChar w:fldCharType="separate"/>
      </w:r>
      <w:r>
        <w:rPr>
          <w:rFonts w:ascii="Times New Roman" w:hAnsi="Times New Roman" w:cs="Times New Roman"/>
          <w:szCs w:val="20"/>
        </w:rPr>
        <w:t>35</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_Toc15417 </w:instrText>
      </w:r>
      <w:r>
        <w:rPr>
          <w:rFonts w:ascii="Times New Roman" w:hAnsi="Times New Roman" w:cs="Times New Roman"/>
          <w:szCs w:val="20"/>
        </w:rPr>
        <w:fldChar w:fldCharType="separate"/>
      </w:r>
      <w:r>
        <w:rPr>
          <w:rFonts w:hint="default" w:ascii="Times New Roman" w:hAnsi="Times New Roman" w:cs="Times New Roman"/>
          <w:szCs w:val="20"/>
        </w:rPr>
        <w:t>九、基金的投资</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_Toc15417 \h </w:instrText>
      </w:r>
      <w:r>
        <w:rPr>
          <w:rFonts w:ascii="Times New Roman" w:hAnsi="Times New Roman" w:cs="Times New Roman"/>
          <w:szCs w:val="20"/>
        </w:rPr>
        <w:fldChar w:fldCharType="separate"/>
      </w:r>
      <w:r>
        <w:rPr>
          <w:rFonts w:ascii="Times New Roman" w:hAnsi="Times New Roman" w:cs="Times New Roman"/>
          <w:szCs w:val="20"/>
        </w:rPr>
        <w:t>49</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_Toc12608 </w:instrText>
      </w:r>
      <w:r>
        <w:rPr>
          <w:rFonts w:ascii="Times New Roman" w:hAnsi="Times New Roman" w:cs="Times New Roman"/>
          <w:szCs w:val="20"/>
        </w:rPr>
        <w:fldChar w:fldCharType="separate"/>
      </w:r>
      <w:r>
        <w:rPr>
          <w:rFonts w:hint="default" w:ascii="Times New Roman" w:hAnsi="Times New Roman" w:cs="Times New Roman"/>
          <w:szCs w:val="20"/>
        </w:rPr>
        <w:t>十、基金的财产</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_Toc12608 \h </w:instrText>
      </w:r>
      <w:r>
        <w:rPr>
          <w:rFonts w:ascii="Times New Roman" w:hAnsi="Times New Roman" w:cs="Times New Roman"/>
          <w:szCs w:val="20"/>
        </w:rPr>
        <w:fldChar w:fldCharType="separate"/>
      </w:r>
      <w:r>
        <w:rPr>
          <w:rFonts w:ascii="Times New Roman" w:hAnsi="Times New Roman" w:cs="Times New Roman"/>
          <w:szCs w:val="20"/>
        </w:rPr>
        <w:t>57</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_Toc17058 </w:instrText>
      </w:r>
      <w:r>
        <w:rPr>
          <w:rFonts w:ascii="Times New Roman" w:hAnsi="Times New Roman" w:cs="Times New Roman"/>
          <w:szCs w:val="20"/>
        </w:rPr>
        <w:fldChar w:fldCharType="separate"/>
      </w:r>
      <w:r>
        <w:rPr>
          <w:rFonts w:hint="default" w:ascii="Times New Roman" w:hAnsi="Times New Roman" w:cs="Times New Roman"/>
          <w:szCs w:val="20"/>
        </w:rPr>
        <w:t>十一、基金资产的估值</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_Toc17058 \h </w:instrText>
      </w:r>
      <w:r>
        <w:rPr>
          <w:rFonts w:ascii="Times New Roman" w:hAnsi="Times New Roman" w:cs="Times New Roman"/>
          <w:szCs w:val="20"/>
        </w:rPr>
        <w:fldChar w:fldCharType="separate"/>
      </w:r>
      <w:r>
        <w:rPr>
          <w:rFonts w:ascii="Times New Roman" w:hAnsi="Times New Roman" w:cs="Times New Roman"/>
          <w:szCs w:val="20"/>
        </w:rPr>
        <w:t>58</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_Toc714 </w:instrText>
      </w:r>
      <w:r>
        <w:rPr>
          <w:rFonts w:ascii="Times New Roman" w:hAnsi="Times New Roman" w:cs="Times New Roman"/>
          <w:szCs w:val="20"/>
        </w:rPr>
        <w:fldChar w:fldCharType="separate"/>
      </w:r>
      <w:r>
        <w:rPr>
          <w:rFonts w:hint="default" w:ascii="Times New Roman" w:hAnsi="Times New Roman" w:cs="Times New Roman"/>
          <w:szCs w:val="20"/>
        </w:rPr>
        <w:t>十二、基金收益与分配</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_Toc714 \h </w:instrText>
      </w:r>
      <w:r>
        <w:rPr>
          <w:rFonts w:ascii="Times New Roman" w:hAnsi="Times New Roman" w:cs="Times New Roman"/>
          <w:szCs w:val="20"/>
        </w:rPr>
        <w:fldChar w:fldCharType="separate"/>
      </w:r>
      <w:r>
        <w:rPr>
          <w:rFonts w:ascii="Times New Roman" w:hAnsi="Times New Roman" w:cs="Times New Roman"/>
          <w:szCs w:val="20"/>
        </w:rPr>
        <w:t>64</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_Toc21590 </w:instrText>
      </w:r>
      <w:r>
        <w:rPr>
          <w:rFonts w:ascii="Times New Roman" w:hAnsi="Times New Roman" w:cs="Times New Roman"/>
          <w:szCs w:val="20"/>
        </w:rPr>
        <w:fldChar w:fldCharType="separate"/>
      </w:r>
      <w:r>
        <w:rPr>
          <w:rFonts w:hint="default" w:ascii="Times New Roman" w:hAnsi="Times New Roman" w:cs="Times New Roman"/>
          <w:szCs w:val="20"/>
        </w:rPr>
        <w:t>十三、基金的费用与税收</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_Toc21590 \h </w:instrText>
      </w:r>
      <w:r>
        <w:rPr>
          <w:rFonts w:ascii="Times New Roman" w:hAnsi="Times New Roman" w:cs="Times New Roman"/>
          <w:szCs w:val="20"/>
        </w:rPr>
        <w:fldChar w:fldCharType="separate"/>
      </w:r>
      <w:r>
        <w:rPr>
          <w:rFonts w:ascii="Times New Roman" w:hAnsi="Times New Roman" w:cs="Times New Roman"/>
          <w:szCs w:val="20"/>
        </w:rPr>
        <w:t>66</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_Toc7385 </w:instrText>
      </w:r>
      <w:r>
        <w:rPr>
          <w:rFonts w:ascii="Times New Roman" w:hAnsi="Times New Roman" w:cs="Times New Roman"/>
          <w:szCs w:val="20"/>
        </w:rPr>
        <w:fldChar w:fldCharType="separate"/>
      </w:r>
      <w:r>
        <w:rPr>
          <w:rFonts w:hint="default" w:ascii="Times New Roman" w:hAnsi="Times New Roman" w:cs="Times New Roman"/>
          <w:szCs w:val="20"/>
        </w:rPr>
        <w:t>十四、基金的会计与审计</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_Toc7385 \h </w:instrText>
      </w:r>
      <w:r>
        <w:rPr>
          <w:rFonts w:ascii="Times New Roman" w:hAnsi="Times New Roman" w:cs="Times New Roman"/>
          <w:szCs w:val="20"/>
        </w:rPr>
        <w:fldChar w:fldCharType="separate"/>
      </w:r>
      <w:r>
        <w:rPr>
          <w:rFonts w:ascii="Times New Roman" w:hAnsi="Times New Roman" w:cs="Times New Roman"/>
          <w:szCs w:val="20"/>
        </w:rPr>
        <w:t>69</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_Toc29260 </w:instrText>
      </w:r>
      <w:r>
        <w:rPr>
          <w:rFonts w:ascii="Times New Roman" w:hAnsi="Times New Roman" w:cs="Times New Roman"/>
          <w:szCs w:val="20"/>
        </w:rPr>
        <w:fldChar w:fldCharType="separate"/>
      </w:r>
      <w:r>
        <w:rPr>
          <w:rFonts w:hint="default" w:ascii="Times New Roman" w:hAnsi="Times New Roman" w:cs="Times New Roman"/>
          <w:szCs w:val="20"/>
        </w:rPr>
        <w:t>十五、基金的信息披露</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_Toc29260 \h </w:instrText>
      </w:r>
      <w:r>
        <w:rPr>
          <w:rFonts w:ascii="Times New Roman" w:hAnsi="Times New Roman" w:cs="Times New Roman"/>
          <w:szCs w:val="20"/>
        </w:rPr>
        <w:fldChar w:fldCharType="separate"/>
      </w:r>
      <w:r>
        <w:rPr>
          <w:rFonts w:ascii="Times New Roman" w:hAnsi="Times New Roman" w:cs="Times New Roman"/>
          <w:szCs w:val="20"/>
        </w:rPr>
        <w:t>70</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_Toc29105 </w:instrText>
      </w:r>
      <w:r>
        <w:rPr>
          <w:rFonts w:ascii="Times New Roman" w:hAnsi="Times New Roman" w:cs="Times New Roman"/>
          <w:szCs w:val="20"/>
        </w:rPr>
        <w:fldChar w:fldCharType="separate"/>
      </w:r>
      <w:r>
        <w:rPr>
          <w:rFonts w:hint="default" w:ascii="Times New Roman" w:hAnsi="Times New Roman" w:cs="Times New Roman"/>
          <w:szCs w:val="20"/>
        </w:rPr>
        <w:t>十六、侧袋机制</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_Toc29105 \h </w:instrText>
      </w:r>
      <w:r>
        <w:rPr>
          <w:rFonts w:ascii="Times New Roman" w:hAnsi="Times New Roman" w:cs="Times New Roman"/>
          <w:szCs w:val="20"/>
        </w:rPr>
        <w:fldChar w:fldCharType="separate"/>
      </w:r>
      <w:r>
        <w:rPr>
          <w:rFonts w:ascii="Times New Roman" w:hAnsi="Times New Roman" w:cs="Times New Roman"/>
          <w:szCs w:val="20"/>
        </w:rPr>
        <w:t>77</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_Toc3641 </w:instrText>
      </w:r>
      <w:r>
        <w:rPr>
          <w:rFonts w:ascii="Times New Roman" w:hAnsi="Times New Roman" w:cs="Times New Roman"/>
          <w:szCs w:val="20"/>
        </w:rPr>
        <w:fldChar w:fldCharType="separate"/>
      </w:r>
      <w:r>
        <w:rPr>
          <w:rFonts w:hint="default" w:ascii="Times New Roman" w:hAnsi="Times New Roman" w:cs="Times New Roman"/>
          <w:szCs w:val="20"/>
        </w:rPr>
        <w:t>十七、风险揭示</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_Toc3641 \h </w:instrText>
      </w:r>
      <w:r>
        <w:rPr>
          <w:rFonts w:ascii="Times New Roman" w:hAnsi="Times New Roman" w:cs="Times New Roman"/>
          <w:szCs w:val="20"/>
        </w:rPr>
        <w:fldChar w:fldCharType="separate"/>
      </w:r>
      <w:r>
        <w:rPr>
          <w:rFonts w:ascii="Times New Roman" w:hAnsi="Times New Roman" w:cs="Times New Roman"/>
          <w:szCs w:val="20"/>
        </w:rPr>
        <w:t>79</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_Toc23211 </w:instrText>
      </w:r>
      <w:r>
        <w:rPr>
          <w:rFonts w:ascii="Times New Roman" w:hAnsi="Times New Roman" w:cs="Times New Roman"/>
          <w:szCs w:val="20"/>
        </w:rPr>
        <w:fldChar w:fldCharType="separate"/>
      </w:r>
      <w:r>
        <w:rPr>
          <w:rFonts w:hint="default" w:ascii="Times New Roman" w:hAnsi="Times New Roman" w:cs="Times New Roman"/>
          <w:szCs w:val="20"/>
        </w:rPr>
        <w:t>十八、基金合同的变更、终止与基金财产的清算</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_Toc23211 \h </w:instrText>
      </w:r>
      <w:r>
        <w:rPr>
          <w:rFonts w:ascii="Times New Roman" w:hAnsi="Times New Roman" w:cs="Times New Roman"/>
          <w:szCs w:val="20"/>
        </w:rPr>
        <w:fldChar w:fldCharType="separate"/>
      </w:r>
      <w:r>
        <w:rPr>
          <w:rFonts w:ascii="Times New Roman" w:hAnsi="Times New Roman" w:cs="Times New Roman"/>
          <w:szCs w:val="20"/>
        </w:rPr>
        <w:t>93</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_Toc30882 </w:instrText>
      </w:r>
      <w:r>
        <w:rPr>
          <w:rFonts w:ascii="Times New Roman" w:hAnsi="Times New Roman" w:cs="Times New Roman"/>
          <w:szCs w:val="20"/>
        </w:rPr>
        <w:fldChar w:fldCharType="separate"/>
      </w:r>
      <w:r>
        <w:rPr>
          <w:rFonts w:hint="default" w:ascii="Times New Roman" w:hAnsi="Times New Roman" w:cs="Times New Roman"/>
          <w:szCs w:val="20"/>
        </w:rPr>
        <w:t>十九、基金合同内容摘要</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_Toc30882 \h </w:instrText>
      </w:r>
      <w:r>
        <w:rPr>
          <w:rFonts w:ascii="Times New Roman" w:hAnsi="Times New Roman" w:cs="Times New Roman"/>
          <w:szCs w:val="20"/>
        </w:rPr>
        <w:fldChar w:fldCharType="separate"/>
      </w:r>
      <w:r>
        <w:rPr>
          <w:rFonts w:ascii="Times New Roman" w:hAnsi="Times New Roman" w:cs="Times New Roman"/>
          <w:szCs w:val="20"/>
        </w:rPr>
        <w:t>96</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_Toc6279 </w:instrText>
      </w:r>
      <w:r>
        <w:rPr>
          <w:rFonts w:ascii="Times New Roman" w:hAnsi="Times New Roman" w:cs="Times New Roman"/>
          <w:szCs w:val="20"/>
        </w:rPr>
        <w:fldChar w:fldCharType="separate"/>
      </w:r>
      <w:r>
        <w:rPr>
          <w:rFonts w:hint="default" w:ascii="Times New Roman" w:hAnsi="Times New Roman" w:cs="Times New Roman"/>
          <w:szCs w:val="20"/>
        </w:rPr>
        <w:t>二十、托管协议的内容摘要</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_Toc6279 \h </w:instrText>
      </w:r>
      <w:r>
        <w:rPr>
          <w:rFonts w:ascii="Times New Roman" w:hAnsi="Times New Roman" w:cs="Times New Roman"/>
          <w:szCs w:val="20"/>
        </w:rPr>
        <w:fldChar w:fldCharType="separate"/>
      </w:r>
      <w:r>
        <w:rPr>
          <w:rFonts w:ascii="Times New Roman" w:hAnsi="Times New Roman" w:cs="Times New Roman"/>
          <w:szCs w:val="20"/>
        </w:rPr>
        <w:t>113</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_Toc110 </w:instrText>
      </w:r>
      <w:r>
        <w:rPr>
          <w:rFonts w:ascii="Times New Roman" w:hAnsi="Times New Roman" w:cs="Times New Roman"/>
          <w:szCs w:val="20"/>
        </w:rPr>
        <w:fldChar w:fldCharType="separate"/>
      </w:r>
      <w:r>
        <w:rPr>
          <w:rFonts w:hint="default" w:ascii="Times New Roman" w:hAnsi="Times New Roman" w:cs="Times New Roman"/>
          <w:szCs w:val="20"/>
        </w:rPr>
        <w:t>二十一、对基金份额持有人的服务</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_Toc110 \h </w:instrText>
      </w:r>
      <w:r>
        <w:rPr>
          <w:rFonts w:ascii="Times New Roman" w:hAnsi="Times New Roman" w:cs="Times New Roman"/>
          <w:szCs w:val="20"/>
        </w:rPr>
        <w:fldChar w:fldCharType="separate"/>
      </w:r>
      <w:r>
        <w:rPr>
          <w:rFonts w:ascii="Times New Roman" w:hAnsi="Times New Roman" w:cs="Times New Roman"/>
          <w:szCs w:val="20"/>
        </w:rPr>
        <w:t>133</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_Toc4900 </w:instrText>
      </w:r>
      <w:r>
        <w:rPr>
          <w:rFonts w:ascii="Times New Roman" w:hAnsi="Times New Roman" w:cs="Times New Roman"/>
          <w:szCs w:val="20"/>
        </w:rPr>
        <w:fldChar w:fldCharType="separate"/>
      </w:r>
      <w:r>
        <w:rPr>
          <w:rFonts w:hint="default" w:ascii="Times New Roman" w:hAnsi="Times New Roman" w:cs="Times New Roman"/>
          <w:szCs w:val="20"/>
        </w:rPr>
        <w:t>二十二、其他应披露事项</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_Toc4900 \h </w:instrText>
      </w:r>
      <w:r>
        <w:rPr>
          <w:rFonts w:ascii="Times New Roman" w:hAnsi="Times New Roman" w:cs="Times New Roman"/>
          <w:szCs w:val="20"/>
        </w:rPr>
        <w:fldChar w:fldCharType="separate"/>
      </w:r>
      <w:r>
        <w:rPr>
          <w:rFonts w:ascii="Times New Roman" w:hAnsi="Times New Roman" w:cs="Times New Roman"/>
          <w:szCs w:val="20"/>
        </w:rPr>
        <w:t>135</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_Toc22574 </w:instrText>
      </w:r>
      <w:r>
        <w:rPr>
          <w:rFonts w:ascii="Times New Roman" w:hAnsi="Times New Roman" w:cs="Times New Roman"/>
          <w:szCs w:val="20"/>
        </w:rPr>
        <w:fldChar w:fldCharType="separate"/>
      </w:r>
      <w:r>
        <w:rPr>
          <w:rFonts w:hint="default" w:ascii="Times New Roman" w:hAnsi="Times New Roman" w:cs="Times New Roman"/>
          <w:szCs w:val="20"/>
        </w:rPr>
        <w:t>二十三、招募说明书的存放及查阅方式</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_Toc22574 \h </w:instrText>
      </w:r>
      <w:r>
        <w:rPr>
          <w:rFonts w:ascii="Times New Roman" w:hAnsi="Times New Roman" w:cs="Times New Roman"/>
          <w:szCs w:val="20"/>
        </w:rPr>
        <w:fldChar w:fldCharType="separate"/>
      </w:r>
      <w:r>
        <w:rPr>
          <w:rFonts w:ascii="Times New Roman" w:hAnsi="Times New Roman" w:cs="Times New Roman"/>
          <w:szCs w:val="20"/>
        </w:rPr>
        <w:t>136</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Fonts w:ascii="Times New Roman" w:hAnsi="Times New Roman" w:cs="Times New Roman"/>
          <w:szCs w:val="20"/>
        </w:rPr>
      </w:pPr>
      <w:r>
        <w:rPr>
          <w:rFonts w:ascii="Times New Roman" w:hAnsi="Times New Roman" w:cs="Times New Roman"/>
          <w:szCs w:val="20"/>
        </w:rPr>
        <w:fldChar w:fldCharType="begin"/>
      </w:r>
      <w:r>
        <w:rPr>
          <w:rFonts w:ascii="Times New Roman" w:hAnsi="Times New Roman" w:cs="Times New Roman"/>
          <w:szCs w:val="20"/>
        </w:rPr>
        <w:instrText xml:space="preserve"> HYPERLINK \l _Toc15423 </w:instrText>
      </w:r>
      <w:r>
        <w:rPr>
          <w:rFonts w:ascii="Times New Roman" w:hAnsi="Times New Roman" w:cs="Times New Roman"/>
          <w:szCs w:val="20"/>
        </w:rPr>
        <w:fldChar w:fldCharType="separate"/>
      </w:r>
      <w:r>
        <w:rPr>
          <w:rFonts w:hint="default" w:ascii="Times New Roman" w:hAnsi="Times New Roman" w:cs="Times New Roman"/>
          <w:szCs w:val="20"/>
        </w:rPr>
        <w:t>二十四、备查文件</w:t>
      </w:r>
      <w:r>
        <w:rPr>
          <w:rFonts w:ascii="Times New Roman" w:hAnsi="Times New Roman" w:cs="Times New Roman"/>
          <w:szCs w:val="20"/>
        </w:rPr>
        <w:tab/>
      </w:r>
      <w:r>
        <w:rPr>
          <w:rFonts w:ascii="Times New Roman" w:hAnsi="Times New Roman" w:cs="Times New Roman"/>
          <w:szCs w:val="20"/>
        </w:rPr>
        <w:fldChar w:fldCharType="begin"/>
      </w:r>
      <w:r>
        <w:rPr>
          <w:rFonts w:ascii="Times New Roman" w:hAnsi="Times New Roman" w:cs="Times New Roman"/>
          <w:szCs w:val="20"/>
        </w:rPr>
        <w:instrText xml:space="preserve"> PAGEREF _Toc15423 \h </w:instrText>
      </w:r>
      <w:r>
        <w:rPr>
          <w:rFonts w:ascii="Times New Roman" w:hAnsi="Times New Roman" w:cs="Times New Roman"/>
          <w:szCs w:val="20"/>
        </w:rPr>
        <w:fldChar w:fldCharType="separate"/>
      </w:r>
      <w:r>
        <w:rPr>
          <w:rFonts w:ascii="Times New Roman" w:hAnsi="Times New Roman" w:cs="Times New Roman"/>
          <w:szCs w:val="20"/>
        </w:rPr>
        <w:t>137</w:t>
      </w:r>
      <w:r>
        <w:rPr>
          <w:rFonts w:ascii="Times New Roman" w:hAnsi="Times New Roman" w:cs="Times New Roman"/>
          <w:szCs w:val="20"/>
        </w:rPr>
        <w:fldChar w:fldCharType="end"/>
      </w:r>
      <w:r>
        <w:rPr>
          <w:rFonts w:ascii="Times New Roman" w:hAnsi="Times New Roman" w:cs="Times New Roman"/>
          <w:szCs w:val="20"/>
        </w:rPr>
        <w:fldChar w:fldCharType="end"/>
      </w:r>
    </w:p>
    <w:p>
      <w:pPr>
        <w:pStyle w:val="11"/>
        <w:tabs>
          <w:tab w:val="right" w:leader="dot" w:pos="8296"/>
        </w:tabs>
        <w:spacing w:line="360" w:lineRule="auto"/>
        <w:rPr>
          <w:rStyle w:val="20"/>
          <w:rFonts w:ascii="Times New Roman" w:hAnsi="Times New Roman"/>
          <w:sz w:val="24"/>
        </w:rPr>
        <w:sectPr>
          <w:headerReference r:id="rId7" w:type="default"/>
          <w:pgSz w:w="11920" w:h="16840"/>
          <w:pgMar w:top="1480" w:right="1680" w:bottom="280" w:left="1680" w:header="0" w:footer="1073" w:gutter="0"/>
          <w:cols w:space="720" w:num="1"/>
        </w:sectPr>
      </w:pPr>
      <w:r>
        <w:rPr>
          <w:rFonts w:ascii="Times New Roman" w:hAnsi="Times New Roman" w:cs="Times New Roman"/>
          <w:szCs w:val="20"/>
        </w:rPr>
        <w:fldChar w:fldCharType="end"/>
      </w:r>
    </w:p>
    <w:p>
      <w:pPr>
        <w:pStyle w:val="2"/>
        <w:snapToGrid w:val="0"/>
        <w:spacing w:before="240" w:beforeLines="0" w:after="240"/>
        <w:rPr>
          <w:rFonts w:ascii="Times New Roman" w:hAnsi="Times New Roman"/>
          <w:szCs w:val="30"/>
        </w:rPr>
      </w:pPr>
      <w:bookmarkStart w:id="4" w:name="_Toc147840619"/>
      <w:bookmarkStart w:id="5" w:name="_Toc6575"/>
      <w:r>
        <w:rPr>
          <w:rFonts w:ascii="Times New Roman" w:hAnsi="Times New Roman"/>
          <w:sz w:val="30"/>
        </w:rPr>
        <w:t>一、绪言</w:t>
      </w:r>
      <w:bookmarkEnd w:id="4"/>
      <w:bookmarkEnd w:id="5"/>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《交银施罗德中证A500指数增强型发起式证券投资基金招募说明书》（以下简称</w:t>
      </w:r>
      <w:r>
        <w:rPr>
          <w:rFonts w:ascii="Times New Roman" w:hAnsi="Times New Roman"/>
          <w:sz w:val="24"/>
        </w:rPr>
        <w:t>“</w:t>
      </w:r>
      <w:r>
        <w:rPr>
          <w:rFonts w:hint="eastAsia" w:ascii="Times New Roman" w:hAnsi="Times New Roman"/>
          <w:sz w:val="24"/>
        </w:rPr>
        <w:t>本招募说明书</w:t>
      </w:r>
      <w:r>
        <w:rPr>
          <w:rFonts w:ascii="Times New Roman" w:hAnsi="Times New Roman"/>
          <w:sz w:val="24"/>
        </w:rPr>
        <w:t>”</w:t>
      </w:r>
      <w:r>
        <w:rPr>
          <w:rFonts w:hint="eastAsia" w:ascii="Times New Roman" w:hAnsi="Times New Roman"/>
          <w:sz w:val="24"/>
        </w:rPr>
        <w:t>）依据《中华人民共和国证券投资基金法》（以下简称</w:t>
      </w:r>
      <w:r>
        <w:rPr>
          <w:rFonts w:ascii="Times New Roman" w:hAnsi="Times New Roman"/>
          <w:sz w:val="24"/>
        </w:rPr>
        <w:t>“</w:t>
      </w:r>
      <w:r>
        <w:rPr>
          <w:rFonts w:hint="eastAsia" w:ascii="Times New Roman" w:hAnsi="Times New Roman"/>
          <w:sz w:val="24"/>
        </w:rPr>
        <w:t>《基金法》</w:t>
      </w:r>
      <w:r>
        <w:rPr>
          <w:rFonts w:ascii="Times New Roman" w:hAnsi="Times New Roman"/>
          <w:sz w:val="24"/>
        </w:rPr>
        <w:t>”</w:t>
      </w:r>
      <w:r>
        <w:rPr>
          <w:rFonts w:hint="eastAsia" w:ascii="Times New Roman" w:hAnsi="Times New Roman"/>
          <w:sz w:val="24"/>
        </w:rPr>
        <w:t>）、《公开募集证券投资基金运作管理办法》（以下简称</w:t>
      </w:r>
      <w:r>
        <w:rPr>
          <w:rFonts w:ascii="Times New Roman" w:hAnsi="Times New Roman"/>
          <w:sz w:val="24"/>
        </w:rPr>
        <w:t>“</w:t>
      </w:r>
      <w:r>
        <w:rPr>
          <w:rFonts w:hint="eastAsia" w:ascii="Times New Roman" w:hAnsi="Times New Roman"/>
          <w:sz w:val="24"/>
        </w:rPr>
        <w:t>《运作办法》</w:t>
      </w:r>
      <w:r>
        <w:rPr>
          <w:rFonts w:ascii="Times New Roman" w:hAnsi="Times New Roman"/>
          <w:sz w:val="24"/>
        </w:rPr>
        <w:t>”</w:t>
      </w:r>
      <w:r>
        <w:rPr>
          <w:rFonts w:hint="eastAsia" w:ascii="Times New Roman" w:hAnsi="Times New Roman"/>
          <w:sz w:val="24"/>
        </w:rPr>
        <w:t>）、《</w:t>
      </w:r>
      <w:r>
        <w:rPr>
          <w:rFonts w:hint="eastAsia" w:ascii="Times New Roman" w:hAnsi="Times New Roman"/>
          <w:kern w:val="0"/>
          <w:sz w:val="24"/>
        </w:rPr>
        <w:t>公开募集证券投资基金销售机构监督管理办法</w:t>
      </w:r>
      <w:r>
        <w:rPr>
          <w:rFonts w:hint="eastAsia" w:ascii="Times New Roman" w:hAnsi="Times New Roman"/>
          <w:sz w:val="24"/>
        </w:rPr>
        <w:t>》（以下简称</w:t>
      </w:r>
      <w:r>
        <w:rPr>
          <w:rFonts w:ascii="Times New Roman" w:hAnsi="Times New Roman"/>
          <w:sz w:val="24"/>
        </w:rPr>
        <w:t>“</w:t>
      </w:r>
      <w:r>
        <w:rPr>
          <w:rFonts w:hint="eastAsia" w:ascii="Times New Roman" w:hAnsi="Times New Roman"/>
          <w:sz w:val="24"/>
        </w:rPr>
        <w:t>《销售办法》</w:t>
      </w:r>
      <w:r>
        <w:rPr>
          <w:rFonts w:ascii="Times New Roman" w:hAnsi="Times New Roman"/>
          <w:sz w:val="24"/>
        </w:rPr>
        <w:t>”</w:t>
      </w:r>
      <w:r>
        <w:rPr>
          <w:rFonts w:hint="eastAsia" w:ascii="Times New Roman" w:hAnsi="Times New Roman"/>
          <w:sz w:val="24"/>
        </w:rPr>
        <w:t>）、《公开募集证券投资基金信息披露管理办法》（以下简称</w:t>
      </w:r>
      <w:r>
        <w:rPr>
          <w:rFonts w:ascii="Times New Roman" w:hAnsi="Times New Roman"/>
          <w:sz w:val="24"/>
        </w:rPr>
        <w:t>“</w:t>
      </w:r>
      <w:r>
        <w:rPr>
          <w:rFonts w:hint="eastAsia" w:ascii="Times New Roman" w:hAnsi="Times New Roman"/>
          <w:sz w:val="24"/>
        </w:rPr>
        <w:t>《信息披露办法》</w:t>
      </w:r>
      <w:r>
        <w:rPr>
          <w:rFonts w:ascii="Times New Roman" w:hAnsi="Times New Roman"/>
          <w:sz w:val="24"/>
        </w:rPr>
        <w:t>”</w:t>
      </w:r>
      <w:r>
        <w:rPr>
          <w:rFonts w:hint="eastAsia" w:ascii="Times New Roman" w:hAnsi="Times New Roman"/>
          <w:sz w:val="24"/>
        </w:rPr>
        <w:t>）、《公开募集开放式证券投资基金流动性风险管理规定》（以下简称</w:t>
      </w:r>
      <w:r>
        <w:rPr>
          <w:rFonts w:ascii="Times New Roman" w:hAnsi="Times New Roman"/>
          <w:sz w:val="24"/>
        </w:rPr>
        <w:t>“</w:t>
      </w:r>
      <w:r>
        <w:rPr>
          <w:rFonts w:hint="eastAsia" w:ascii="Times New Roman" w:hAnsi="Times New Roman"/>
          <w:sz w:val="24"/>
        </w:rPr>
        <w:t>《流动性风险管理规定》</w:t>
      </w:r>
      <w:r>
        <w:rPr>
          <w:rFonts w:ascii="Times New Roman" w:hAnsi="Times New Roman"/>
          <w:sz w:val="24"/>
        </w:rPr>
        <w:t>”</w:t>
      </w:r>
      <w:r>
        <w:rPr>
          <w:rFonts w:hint="eastAsia" w:ascii="Times New Roman" w:hAnsi="Times New Roman"/>
          <w:sz w:val="24"/>
        </w:rPr>
        <w:t>）、《公开募集证券投资基金运作指引第</w:t>
      </w:r>
      <w:r>
        <w:rPr>
          <w:rFonts w:ascii="Times New Roman" w:hAnsi="Times New Roman"/>
          <w:sz w:val="24"/>
        </w:rPr>
        <w:t>3</w:t>
      </w:r>
      <w:r>
        <w:rPr>
          <w:rFonts w:hint="eastAsia" w:ascii="Times New Roman" w:hAnsi="Times New Roman"/>
          <w:sz w:val="24"/>
        </w:rPr>
        <w:t>号</w:t>
      </w:r>
      <w:r>
        <w:rPr>
          <w:rFonts w:ascii="Times New Roman" w:hAnsi="Times New Roman"/>
          <w:sz w:val="24"/>
        </w:rPr>
        <w:t>——</w:t>
      </w:r>
      <w:r>
        <w:rPr>
          <w:rFonts w:hint="eastAsia" w:ascii="Times New Roman" w:hAnsi="Times New Roman"/>
          <w:sz w:val="24"/>
        </w:rPr>
        <w:t>指数基金指引》和其他相关法律法规的规定以及《交银施罗德中证A500指数增强型发起式证券投资基金基金合同》（以下简称</w:t>
      </w:r>
      <w:r>
        <w:rPr>
          <w:rFonts w:ascii="Times New Roman" w:hAnsi="Times New Roman"/>
          <w:sz w:val="24"/>
        </w:rPr>
        <w:t>“</w:t>
      </w:r>
      <w:r>
        <w:rPr>
          <w:rFonts w:hint="eastAsia" w:ascii="Times New Roman" w:hAnsi="Times New Roman"/>
          <w:sz w:val="24"/>
        </w:rPr>
        <w:t>基金合同</w:t>
      </w:r>
      <w:r>
        <w:rPr>
          <w:rFonts w:ascii="Times New Roman" w:hAnsi="Times New Roman"/>
          <w:sz w:val="24"/>
        </w:rPr>
        <w:t>”</w:t>
      </w:r>
      <w:r>
        <w:rPr>
          <w:rFonts w:hint="eastAsia" w:ascii="Times New Roman" w:hAnsi="Times New Roman"/>
          <w:sz w:val="24"/>
        </w:rPr>
        <w:t>）编写。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6" w:name="_Toc8297"/>
      <w:bookmarkStart w:id="7" w:name="_Toc147840620"/>
      <w:r>
        <w:rPr>
          <w:rFonts w:hint="eastAsia" w:ascii="Times New Roman" w:hAnsi="Times New Roman"/>
          <w:sz w:val="30"/>
        </w:rPr>
        <w:t>二、释义</w:t>
      </w:r>
      <w:bookmarkEnd w:id="6"/>
      <w:bookmarkEnd w:id="7"/>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在本招募说明书中，除非文意另有所指，下列词语或简称具有如下含义：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、基金或本基金：指交银施罗德中证A500指数增强型发起式证券投资基金</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、基金管理人：指交银施罗德基金管理有限公司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、基金托管人：指中国工商银行股份有限公司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、基金合同或《基金合同》：指《交银施罗德中证A500指数增强型发起式证券投资基金基金合同》及对基金合同的任何有效修订和补充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、托管协议：指基金管理人与基金托管人就本基金签订之《交银施罗德中证A500指数增强型发起式证券投资基金托管协议》及对该托管协议的任何有效修订和补充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、招募说明书、《招募说明书》或本招募说明书：指《交银施罗德中证A500指数增强型发起式证券投资基金招募说明书》及其更新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、基金份额发售公告：指《交银施罗德中证A500指数增强型发起式证券投资基金基金份额发售公告》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、基金产品资料概要：指《交银施罗德中证A500指数增强型发起式证券投资基金基金产品资料概要》及其更新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、法律法规：指中国现行有效并公布实施的法律、行政法规、规范性文件、司法解释、行政规章以及其他对基金合同当事人有约束力的决定、决议、通知等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10</w:t>
      </w:r>
      <w:r>
        <w:rPr>
          <w:rFonts w:hint="eastAsia" w:ascii="Times New Roman" w:hAnsi="Times New Roman"/>
          <w:sz w:val="24"/>
        </w:rPr>
        <w:t>、《基金法》：指《中华人民共和国证券投资基金法》及颁布机关对其不时做出的修订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、《销售办法》：指《公开募集证券投资基金销售机构监督管理办法》及颁布机关对其不时做出的修订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12</w:t>
      </w:r>
      <w:r>
        <w:rPr>
          <w:rFonts w:hint="eastAsia" w:ascii="Times New Roman" w:hAnsi="Times New Roman"/>
          <w:sz w:val="24"/>
        </w:rPr>
        <w:t>、《信息披露办法》：指《公开募集证券投资基金信息披露管理办法》及颁布机关对其不时做出的修订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、《运作办法》：指《公开募集证券投资基金运作管理办法》及颁布机关对其不时做出的修订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、《流动性风险管理规定》：指《公开募集开放式证券投资基金流动性风险管理规定》及颁布机关对其不时做出的修订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、《指数基金指引》：指《公开募集证券投资基金运作指引第</w:t>
      </w:r>
      <w:r>
        <w:rPr>
          <w:rFonts w:ascii="Times New Roman" w:hAnsi="Times New Roman"/>
          <w:sz w:val="24"/>
        </w:rPr>
        <w:t>3</w:t>
      </w:r>
      <w:r>
        <w:rPr>
          <w:rFonts w:hint="eastAsia" w:ascii="Times New Roman" w:hAnsi="Times New Roman"/>
          <w:sz w:val="24"/>
        </w:rPr>
        <w:t>号</w:t>
      </w:r>
      <w:r>
        <w:rPr>
          <w:rFonts w:ascii="Times New Roman" w:hAnsi="Times New Roman"/>
          <w:sz w:val="24"/>
        </w:rPr>
        <w:t>——</w:t>
      </w:r>
      <w:r>
        <w:rPr>
          <w:rFonts w:hint="eastAsia" w:ascii="Times New Roman" w:hAnsi="Times New Roman"/>
          <w:sz w:val="24"/>
        </w:rPr>
        <w:t>指数基金指引》及颁布机关对其不时做出的修订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、中国证监会：指中国证券监督管理委员会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17</w:t>
      </w:r>
      <w:r>
        <w:rPr>
          <w:rFonts w:hint="eastAsia" w:ascii="Times New Roman" w:hAnsi="Times New Roman"/>
          <w:sz w:val="24"/>
        </w:rPr>
        <w:t>、银行业监督管理机构：指中国人民银行和</w:t>
      </w:r>
      <w:r>
        <w:rPr>
          <w:rFonts w:ascii="Times New Roman" w:hAnsi="Times New Roman"/>
          <w:sz w:val="24"/>
        </w:rPr>
        <w:t>/</w:t>
      </w:r>
      <w:r>
        <w:rPr>
          <w:rFonts w:hint="eastAsia" w:ascii="Times New Roman" w:hAnsi="Times New Roman"/>
          <w:sz w:val="24"/>
        </w:rPr>
        <w:t>或国家金融监督管理总局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w:t>
      </w:r>
      <w:r>
        <w:rPr>
          <w:rFonts w:hint="eastAsia" w:ascii="Times New Roman" w:hAnsi="Times New Roman"/>
          <w:sz w:val="24"/>
        </w:rPr>
        <w:t>、基金合同当事人：指受基金合同约束，根据基金合同享有权利并承担义务的法律主体，包括基金管理人、基金托管人和基金份额持有人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w:t>
      </w:r>
      <w:r>
        <w:rPr>
          <w:rFonts w:hint="eastAsia" w:ascii="Times New Roman" w:hAnsi="Times New Roman"/>
          <w:sz w:val="24"/>
        </w:rPr>
        <w:t>、个人投资者：指依据有关法律法规规定可投资于证券投资基金的自然人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w:t>
      </w:r>
      <w:r>
        <w:rPr>
          <w:rFonts w:hint="eastAsia" w:ascii="Times New Roman" w:hAnsi="Times New Roman"/>
          <w:sz w:val="24"/>
        </w:rPr>
        <w:t>、机构投资者：指依法可以投资证券投资基金的、在中华人民共和国境内合法登记并存续或经有关政府部门批准设立并存续的企业法人、事业法人、社会团体或其他组织</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21</w:t>
      </w:r>
      <w:r>
        <w:rPr>
          <w:rFonts w:hint="eastAsia" w:ascii="Times New Roman" w:hAnsi="Times New Roman"/>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w:t>
      </w:r>
      <w:r>
        <w:rPr>
          <w:rFonts w:hint="eastAsia" w:ascii="Times New Roman" w:hAnsi="Times New Roman"/>
          <w:sz w:val="24"/>
        </w:rPr>
        <w:t>、投资人、投资者：指个人投资者、机构投资者、合格境外投资者</w:t>
      </w:r>
      <w:r>
        <w:rPr>
          <w:rFonts w:hint="eastAsia"/>
          <w:bCs/>
          <w:sz w:val="24"/>
        </w:rPr>
        <w:t>、发起资金提供方</w:t>
      </w:r>
      <w:r>
        <w:rPr>
          <w:rFonts w:hint="eastAsia" w:ascii="Times New Roman" w:hAnsi="Times New Roman"/>
          <w:sz w:val="24"/>
        </w:rPr>
        <w:t>以及法律法规或中国证监会允许购买证券投资基金的其他投资人的合称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23</w:t>
      </w:r>
      <w:r>
        <w:rPr>
          <w:rFonts w:hint="eastAsia" w:ascii="Times New Roman" w:hAnsi="Times New Roman"/>
          <w:sz w:val="24"/>
        </w:rPr>
        <w:t>、基金份额持有人：指依基金合同和招募说明书合法取得基金份额的投资人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24</w:t>
      </w:r>
      <w:r>
        <w:rPr>
          <w:rFonts w:hint="eastAsia" w:ascii="Times New Roman" w:hAnsi="Times New Roman"/>
          <w:sz w:val="24"/>
        </w:rPr>
        <w:t>、基金销售业务：指基金管理人或销售机构宣传推介基金，发售基金份额，办理基金份额的申购、赎回、转换、转托管及定期定额投资等业务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25</w:t>
      </w:r>
      <w:r>
        <w:rPr>
          <w:rFonts w:hint="eastAsia" w:ascii="Times New Roman" w:hAnsi="Times New Roman"/>
          <w:sz w:val="24"/>
        </w:rPr>
        <w:t>、销售机构：指交银施罗德基金管理有限公司以及符合《销售办法》和中国证监会规定的其他条件，取得基金销售业务资格并与基金管理人签订了基金销售服务协议，办理基金销售业务的机构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26</w:t>
      </w:r>
      <w:r>
        <w:rPr>
          <w:rFonts w:hint="eastAsia" w:ascii="Times New Roman" w:hAnsi="Times New Roman"/>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27</w:t>
      </w:r>
      <w:r>
        <w:rPr>
          <w:rFonts w:hint="eastAsia" w:ascii="Times New Roman" w:hAnsi="Times New Roman"/>
          <w:sz w:val="24"/>
        </w:rPr>
        <w:t>、登记机构：指办理登记业务的机构。基金的登记机构为交银施罗德基金管理有限公司或接受交银施罗德基金管理有限公司委托代为办理登记业务的机构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28</w:t>
      </w:r>
      <w:r>
        <w:rPr>
          <w:rFonts w:hint="eastAsia" w:ascii="Times New Roman" w:hAnsi="Times New Roman"/>
          <w:sz w:val="24"/>
        </w:rPr>
        <w:t>、基金账户：指登记机构为投资人开立的、记录其持有的、基金管理人所管理的基金份额余额及其变动情况的账户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29</w:t>
      </w:r>
      <w:r>
        <w:rPr>
          <w:rFonts w:hint="eastAsia" w:ascii="Times New Roman" w:hAnsi="Times New Roman"/>
          <w:sz w:val="24"/>
        </w:rPr>
        <w:t>、基金交易账户：指销售机构为投资人开立的、记录投资人通过该销售机构办理认购、申购、赎回、转换及转托管等业务而引起的基金份额变动及结余情况的账户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30</w:t>
      </w:r>
      <w:r>
        <w:rPr>
          <w:rFonts w:hint="eastAsia" w:ascii="Times New Roman" w:hAnsi="Times New Roman"/>
          <w:sz w:val="24"/>
        </w:rPr>
        <w:t>、基金合同生效日：指基金募集达到法律法规规定及基金合同规定的条件，基金管理人向中国证监会办理基金备案手续完毕，并获得中国证监会书面确认的日期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31</w:t>
      </w:r>
      <w:r>
        <w:rPr>
          <w:rFonts w:hint="eastAsia" w:ascii="Times New Roman" w:hAnsi="Times New Roman"/>
          <w:sz w:val="24"/>
        </w:rPr>
        <w:t>、基金合同终止日：指基金合同规定的基金合同终止事由出现后，基金财产清算完毕，清算结果报中国证监会备案并予以公告的日期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32</w:t>
      </w:r>
      <w:r>
        <w:rPr>
          <w:rFonts w:hint="eastAsia" w:ascii="Times New Roman" w:hAnsi="Times New Roman"/>
          <w:sz w:val="24"/>
        </w:rPr>
        <w:t>、基金募集期：指自基金份额发售之日起至发售结束之日止的期间，最长不得超过</w:t>
      </w:r>
      <w:r>
        <w:rPr>
          <w:rFonts w:ascii="Times New Roman" w:hAnsi="Times New Roman"/>
          <w:sz w:val="24"/>
        </w:rPr>
        <w:t>3</w:t>
      </w:r>
      <w:r>
        <w:rPr>
          <w:rFonts w:hint="eastAsia" w:ascii="Times New Roman" w:hAnsi="Times New Roman"/>
          <w:sz w:val="24"/>
        </w:rPr>
        <w:t>个月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33</w:t>
      </w:r>
      <w:r>
        <w:rPr>
          <w:rFonts w:hint="eastAsia" w:ascii="Times New Roman" w:hAnsi="Times New Roman"/>
          <w:sz w:val="24"/>
        </w:rPr>
        <w:t>、存续期：指基金合同生效至终止之间的不定期期限</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34</w:t>
      </w:r>
      <w:r>
        <w:rPr>
          <w:rFonts w:hint="eastAsia" w:ascii="Times New Roman" w:hAnsi="Times New Roman"/>
          <w:sz w:val="24"/>
        </w:rPr>
        <w:t>、工作日：指上海证券交易所、深圳证券交易所的正常交易日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35</w:t>
      </w:r>
      <w:r>
        <w:rPr>
          <w:rFonts w:hint="eastAsia" w:ascii="Times New Roman" w:hAnsi="Times New Roman"/>
          <w:sz w:val="24"/>
        </w:rPr>
        <w:t>、</w:t>
      </w:r>
      <w:r>
        <w:rPr>
          <w:rFonts w:ascii="Times New Roman" w:hAnsi="Times New Roman"/>
          <w:sz w:val="24"/>
        </w:rPr>
        <w:t>T</w:t>
      </w:r>
      <w:r>
        <w:rPr>
          <w:rFonts w:hint="eastAsia" w:ascii="Times New Roman" w:hAnsi="Times New Roman"/>
          <w:sz w:val="24"/>
        </w:rPr>
        <w:t>日：指销售机构在规定时间受理投资人申购、赎回或其他业务申请的开放日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36</w:t>
      </w:r>
      <w:r>
        <w:rPr>
          <w:rFonts w:hint="eastAsia" w:ascii="Times New Roman" w:hAnsi="Times New Roman"/>
          <w:sz w:val="24"/>
        </w:rPr>
        <w:t>、</w:t>
      </w:r>
      <w:r>
        <w:rPr>
          <w:rFonts w:ascii="Times New Roman" w:hAnsi="Times New Roman"/>
          <w:sz w:val="24"/>
        </w:rPr>
        <w:t>T+n</w:t>
      </w:r>
      <w:r>
        <w:rPr>
          <w:rFonts w:hint="eastAsia" w:ascii="Times New Roman" w:hAnsi="Times New Roman"/>
          <w:sz w:val="24"/>
        </w:rPr>
        <w:t>日：指自</w:t>
      </w:r>
      <w:r>
        <w:rPr>
          <w:rFonts w:ascii="Times New Roman" w:hAnsi="Times New Roman"/>
          <w:sz w:val="24"/>
        </w:rPr>
        <w:t>T</w:t>
      </w:r>
      <w:r>
        <w:rPr>
          <w:rFonts w:hint="eastAsia" w:ascii="Times New Roman" w:hAnsi="Times New Roman"/>
          <w:sz w:val="24"/>
        </w:rPr>
        <w:t>日起第</w:t>
      </w:r>
      <w:r>
        <w:rPr>
          <w:rFonts w:ascii="Times New Roman" w:hAnsi="Times New Roman"/>
          <w:sz w:val="24"/>
        </w:rPr>
        <w:t>n</w:t>
      </w:r>
      <w:r>
        <w:rPr>
          <w:rFonts w:hint="eastAsia" w:ascii="Times New Roman" w:hAnsi="Times New Roman"/>
          <w:sz w:val="24"/>
        </w:rPr>
        <w:t>个工作日（不包含</w:t>
      </w:r>
      <w:r>
        <w:rPr>
          <w:rFonts w:ascii="Times New Roman" w:hAnsi="Times New Roman"/>
          <w:sz w:val="24"/>
        </w:rPr>
        <w:t>T</w:t>
      </w:r>
      <w:r>
        <w:rPr>
          <w:rFonts w:hint="eastAsia" w:ascii="Times New Roman" w:hAnsi="Times New Roman"/>
          <w:sz w:val="24"/>
        </w:rPr>
        <w:t>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37</w:t>
      </w:r>
      <w:r>
        <w:rPr>
          <w:rFonts w:hint="eastAsia" w:ascii="Times New Roman" w:hAnsi="Times New Roman"/>
          <w:sz w:val="24"/>
        </w:rPr>
        <w:t>、开放日：指为投资人办理基金份额申购、赎回或其他业务的工作日</w:t>
      </w:r>
      <w:r>
        <w:rPr>
          <w:rFonts w:hint="eastAsia"/>
          <w:bCs/>
          <w:sz w:val="24"/>
        </w:rPr>
        <w:t>（若该工作日为非港股通交易日，则本基金可不开放）</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38</w:t>
      </w:r>
      <w:r>
        <w:rPr>
          <w:rFonts w:hint="eastAsia" w:ascii="Times New Roman" w:hAnsi="Times New Roman"/>
          <w:sz w:val="24"/>
        </w:rPr>
        <w:t>、开放时间：指开放日基金接受申购、赎回或其他交易的时间段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39</w:t>
      </w:r>
      <w:r>
        <w:rPr>
          <w:rFonts w:hint="eastAsia" w:ascii="Times New Roman" w:hAnsi="Times New Roman"/>
          <w:sz w:val="24"/>
        </w:rPr>
        <w:t>、《业务规则》：指</w:t>
      </w:r>
      <w:r>
        <w:rPr>
          <w:rFonts w:hint="eastAsia"/>
          <w:bCs/>
          <w:sz w:val="24"/>
        </w:rPr>
        <w:t>《交银施罗德基金管理有限公司开放式基金业务规则》，是规范基金管理人所管理的开放式证券投资基金登记方面的业务规则，由基金管理人和投资人共同遵守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40</w:t>
      </w:r>
      <w:r>
        <w:rPr>
          <w:rFonts w:hint="eastAsia" w:ascii="Times New Roman" w:hAnsi="Times New Roman"/>
          <w:sz w:val="24"/>
        </w:rPr>
        <w:t>、认购：指在基金募集期内，投资人根据基金合同和招募说明书的规定申请购买基金份额的行为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41</w:t>
      </w:r>
      <w:r>
        <w:rPr>
          <w:rFonts w:hint="eastAsia" w:ascii="Times New Roman" w:hAnsi="Times New Roman"/>
          <w:sz w:val="24"/>
        </w:rPr>
        <w:t>、申购：指基金合同生效后，投资人根据基金合同和招募说明书的规定申请购买基金份额的行为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42</w:t>
      </w:r>
      <w:r>
        <w:rPr>
          <w:rFonts w:hint="eastAsia" w:ascii="Times New Roman" w:hAnsi="Times New Roman"/>
          <w:sz w:val="24"/>
        </w:rPr>
        <w:t>、赎回：指基金合同生效后，基金份额持有人按基金合同和招募说明书规定的条件要求将基金份额兑换为现金的行为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43</w:t>
      </w:r>
      <w:r>
        <w:rPr>
          <w:rFonts w:hint="eastAsia" w:ascii="Times New Roman" w:hAnsi="Times New Roman"/>
          <w:sz w:val="24"/>
        </w:rPr>
        <w:t>、基金转换：指基金份额持有人按照基金合同和基金管理人届时有效公告规定的条件，申请将其持有基金管理人管理的、某一基金的基金份额转换为</w:t>
      </w:r>
      <w:r>
        <w:rPr>
          <w:rFonts w:hint="eastAsia"/>
          <w:bCs/>
          <w:sz w:val="24"/>
        </w:rPr>
        <w:t>该基金其他份额（如有）或</w:t>
      </w:r>
      <w:r>
        <w:rPr>
          <w:rFonts w:hint="eastAsia" w:ascii="Times New Roman" w:hAnsi="Times New Roman"/>
          <w:sz w:val="24"/>
        </w:rPr>
        <w:t>基金管理人管理的其他基金基金份额的行为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44</w:t>
      </w:r>
      <w:r>
        <w:rPr>
          <w:rFonts w:hint="eastAsia" w:ascii="Times New Roman" w:hAnsi="Times New Roman"/>
          <w:sz w:val="24"/>
        </w:rPr>
        <w:t>、转托管：指基金份额持有人在本基金的不同销售机构之间实施的变更所持基金份额销售机构的操作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45</w:t>
      </w:r>
      <w:r>
        <w:rPr>
          <w:rFonts w:hint="eastAsia" w:ascii="Times New Roman" w:hAnsi="Times New Roman"/>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46</w:t>
      </w:r>
      <w:r>
        <w:rPr>
          <w:rFonts w:hint="eastAsia" w:ascii="Times New Roman" w:hAnsi="Times New Roman"/>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imes New Roman" w:hAnsi="Times New Roman"/>
          <w:sz w:val="24"/>
        </w:rPr>
        <w:t>10%</w:t>
      </w:r>
      <w:r>
        <w:rPr>
          <w:rFonts w:hint="eastAsia" w:ascii="Times New Roman" w:hAnsi="Times New Roman"/>
          <w:sz w:val="24"/>
        </w:rPr>
        <w:t>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47</w:t>
      </w:r>
      <w:r>
        <w:rPr>
          <w:rFonts w:hint="eastAsia" w:ascii="Times New Roman" w:hAnsi="Times New Roman"/>
          <w:sz w:val="24"/>
        </w:rPr>
        <w:t>、元：指人民币元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48</w:t>
      </w:r>
      <w:r>
        <w:rPr>
          <w:rFonts w:hint="eastAsia" w:ascii="Times New Roman" w:hAnsi="Times New Roman"/>
          <w:sz w:val="24"/>
        </w:rPr>
        <w:t>、基金收益：指基金投资所得红利、股息、债券利息、买卖证券价差、银行存款利息、已实现的其他合法收入及因运用基金财产带来的成本和费用的节约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49</w:t>
      </w:r>
      <w:r>
        <w:rPr>
          <w:rFonts w:hint="eastAsia" w:ascii="Times New Roman" w:hAnsi="Times New Roman"/>
          <w:sz w:val="24"/>
        </w:rPr>
        <w:t>、基金资产总值：指基金拥有的各类有价证券、股指期货合约、银行存款本息、基金应收款项及其他资产的价值总和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50</w:t>
      </w:r>
      <w:r>
        <w:rPr>
          <w:rFonts w:hint="eastAsia" w:ascii="Times New Roman" w:hAnsi="Times New Roman"/>
          <w:sz w:val="24"/>
        </w:rPr>
        <w:t>、基金资产净值：指基金资产总值减去基金负债后的价值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51</w:t>
      </w:r>
      <w:r>
        <w:rPr>
          <w:rFonts w:hint="eastAsia" w:ascii="Times New Roman" w:hAnsi="Times New Roman"/>
          <w:sz w:val="24"/>
        </w:rPr>
        <w:t>、基金份额净值：指计算日基金资产净值除以计算日基金份额总数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52</w:t>
      </w:r>
      <w:r>
        <w:rPr>
          <w:rFonts w:hint="eastAsia" w:ascii="Times New Roman" w:hAnsi="Times New Roman"/>
          <w:sz w:val="24"/>
        </w:rPr>
        <w:t>、基金资产估值：指计算评估基金资产和负债的价值，以确定基金资产净值和基金份额净值的过程</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53</w:t>
      </w:r>
      <w:r>
        <w:rPr>
          <w:rFonts w:hint="eastAsia" w:ascii="Times New Roman" w:hAnsi="Times New Roman"/>
          <w:sz w:val="24"/>
        </w:rPr>
        <w:t>、港股通标的股票：指内地投资者委托内地证券公司，经由内地证券交易所在香港设立的证券交易服务公司，向香港联合交易所进行申报，买卖规定范围内的香港联合交易所上市的股票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w:t>
      </w:r>
      <w:r>
        <w:rPr>
          <w:rFonts w:ascii="Times New Roman" w:hAnsi="Times New Roman"/>
          <w:sz w:val="24"/>
        </w:rPr>
        <w:t>4</w:t>
      </w:r>
      <w:r>
        <w:rPr>
          <w:rFonts w:hint="eastAsia" w:ascii="Times New Roman" w:hAnsi="Times New Roman"/>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w:t>
      </w:r>
      <w:r>
        <w:rPr>
          <w:rFonts w:ascii="Times New Roman" w:hAnsi="Times New Roman"/>
          <w:sz w:val="24"/>
        </w:rPr>
        <w:t>5</w:t>
      </w:r>
      <w:r>
        <w:rPr>
          <w:rFonts w:hint="eastAsia" w:ascii="Times New Roman" w:hAnsi="Times New Roman"/>
          <w:sz w:val="24"/>
        </w:rPr>
        <w:t>、发起资金：指基金管理人的股东资金、基金管理人固有资金、基金管理人高级管理人员或基金经理等人员参与认购的资金。发起资金认购本基金的金额不低于1000万元人民币，且发起资金认购的基金份额持有期限自基金合同生效日起不低于三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w:t>
      </w:r>
      <w:r>
        <w:rPr>
          <w:rFonts w:ascii="Times New Roman" w:hAnsi="Times New Roman"/>
          <w:sz w:val="24"/>
        </w:rPr>
        <w:t>6</w:t>
      </w:r>
      <w:r>
        <w:rPr>
          <w:rFonts w:hint="eastAsia" w:ascii="Times New Roman" w:hAnsi="Times New Roman"/>
          <w:sz w:val="24"/>
        </w:rPr>
        <w:t>、发起资金提供方：指以发起资金认购本基金且承诺以发起资金认购的基金份额持有期限自基金合同生效之日起不少于三年的基金管理人股东、基金管理人、基金管理人高级管理人员或基金经理等人员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57</w:t>
      </w:r>
      <w:r>
        <w:rPr>
          <w:rFonts w:hint="eastAsia" w:ascii="Times New Roman" w:hAnsi="Times New Roman"/>
          <w:sz w:val="24"/>
        </w:rPr>
        <w:t>、规定媒介：指符合中国证监会规定条件的用以进行信息披露的全国性报刊及《信息披露办法》规定的互联网网站（包括基金管理人网站、基金托管人网站、中国证监会基金电子披露网站）等媒介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58</w:t>
      </w:r>
      <w:r>
        <w:rPr>
          <w:rFonts w:hint="eastAsia" w:ascii="Times New Roman" w:hAnsi="Times New Roman"/>
          <w:sz w:val="24"/>
        </w:rPr>
        <w:t>、销售服务费：指从基金财产中计提的，用于本基金市场推广、销售以及基金份额持有人服务的费用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59</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类基金份额：指在投资人认购</w:t>
      </w:r>
      <w:r>
        <w:rPr>
          <w:rFonts w:ascii="Times New Roman" w:hAnsi="Times New Roman"/>
          <w:sz w:val="24"/>
        </w:rPr>
        <w:t>/</w:t>
      </w:r>
      <w:r>
        <w:rPr>
          <w:rFonts w:hint="eastAsia" w:ascii="Times New Roman" w:hAnsi="Times New Roman"/>
          <w:sz w:val="24"/>
        </w:rPr>
        <w:t>申购时收取认购</w:t>
      </w:r>
      <w:r>
        <w:rPr>
          <w:rFonts w:ascii="Times New Roman" w:hAnsi="Times New Roman"/>
          <w:sz w:val="24"/>
        </w:rPr>
        <w:t>/</w:t>
      </w:r>
      <w:r>
        <w:rPr>
          <w:rFonts w:hint="eastAsia" w:ascii="Times New Roman" w:hAnsi="Times New Roman"/>
          <w:sz w:val="24"/>
        </w:rPr>
        <w:t>申购费用、不从本类别基金资产中计提销售服务费的基金份额</w:t>
      </w:r>
      <w:r>
        <w:rPr>
          <w:rFonts w:hint="eastAsia"/>
          <w:bCs/>
          <w:sz w:val="24"/>
          <w:lang w:eastAsia="zh-CN"/>
        </w:rPr>
        <w:t>（</w:t>
      </w:r>
      <w:r>
        <w:rPr>
          <w:rFonts w:hint="eastAsia"/>
          <w:bCs/>
          <w:sz w:val="24"/>
        </w:rPr>
        <w:t>其中，对于投资人通过直销机构认购/申购的</w:t>
      </w:r>
      <w:r>
        <w:rPr>
          <w:rFonts w:ascii="Times New Roman" w:hAnsi="Times New Roman"/>
          <w:sz w:val="24"/>
        </w:rPr>
        <w:t>A</w:t>
      </w:r>
      <w:r>
        <w:rPr>
          <w:rFonts w:hint="eastAsia" w:ascii="Times New Roman" w:hAnsi="Times New Roman"/>
          <w:sz w:val="24"/>
        </w:rPr>
        <w:t>类</w:t>
      </w:r>
      <w:r>
        <w:rPr>
          <w:rFonts w:hint="eastAsia"/>
          <w:bCs/>
          <w:sz w:val="24"/>
        </w:rPr>
        <w:t>基金份额，不收取认购/申购费用）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60</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类基金份额：指在投资人认购</w:t>
      </w:r>
      <w:r>
        <w:rPr>
          <w:rFonts w:ascii="Times New Roman" w:hAnsi="Times New Roman"/>
          <w:sz w:val="24"/>
        </w:rPr>
        <w:t>/</w:t>
      </w:r>
      <w:r>
        <w:rPr>
          <w:rFonts w:hint="eastAsia" w:ascii="Times New Roman" w:hAnsi="Times New Roman"/>
          <w:sz w:val="24"/>
        </w:rPr>
        <w:t>申购时不收取认购</w:t>
      </w:r>
      <w:r>
        <w:rPr>
          <w:rFonts w:ascii="Times New Roman" w:hAnsi="Times New Roman"/>
          <w:sz w:val="24"/>
        </w:rPr>
        <w:t>/</w:t>
      </w:r>
      <w:r>
        <w:rPr>
          <w:rFonts w:hint="eastAsia" w:ascii="Times New Roman" w:hAnsi="Times New Roman"/>
          <w:sz w:val="24"/>
        </w:rPr>
        <w:t>申购费用、从本类别基金资产中计提销售服务费的基金份额</w:t>
      </w:r>
      <w:r>
        <w:rPr>
          <w:rFonts w:hint="eastAsia"/>
          <w:bCs/>
          <w:sz w:val="24"/>
          <w:lang w:eastAsia="zh-CN"/>
        </w:rPr>
        <w:t>（</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基金份额，持续持有超过一年（即</w:t>
      </w:r>
      <w:r>
        <w:rPr>
          <w:rFonts w:hint="default" w:ascii="Times New Roman" w:hAnsi="Times New Roman"/>
          <w:bCs w:val="0"/>
          <w:sz w:val="24"/>
        </w:rPr>
        <w:t>365</w:t>
      </w:r>
      <w:r>
        <w:rPr>
          <w:rFonts w:hint="eastAsia"/>
          <w:bCs/>
          <w:sz w:val="24"/>
        </w:rPr>
        <w:t>天，下同）</w:t>
      </w:r>
      <w:r>
        <w:rPr>
          <w:rFonts w:hint="eastAsia"/>
          <w:bCs/>
          <w:sz w:val="24"/>
          <w:lang w:val="en-US" w:eastAsia="zh-CN"/>
        </w:rPr>
        <w:t>后</w:t>
      </w:r>
      <w:r>
        <w:rPr>
          <w:rFonts w:hint="eastAsia"/>
          <w:bCs/>
          <w:sz w:val="24"/>
        </w:rPr>
        <w:t>计提的销售服务费将在投资人赎回相应基金份额或基金合同终止时随赎回款或清算款一并返还给投资人</w:t>
      </w:r>
      <w:r>
        <w:rPr>
          <w:rStyle w:val="21"/>
          <w:rFonts w:hint="eastAsia"/>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61</w:t>
      </w:r>
      <w:r>
        <w:rPr>
          <w:rFonts w:hint="eastAsia" w:ascii="Times New Roman" w:hAnsi="Times New Roman"/>
          <w:sz w:val="24"/>
        </w:rPr>
        <w:t>、标的指数：指</w:t>
      </w:r>
      <w:r>
        <w:rPr>
          <w:rFonts w:hint="eastAsia" w:ascii="Times New Roman" w:hAnsi="Times New Roman"/>
          <w:bCs/>
          <w:sz w:val="24"/>
        </w:rPr>
        <w:t>中证</w:t>
      </w:r>
      <w:r>
        <w:rPr>
          <w:rFonts w:ascii="Times New Roman" w:hAnsi="Times New Roman"/>
          <w:bCs/>
          <w:sz w:val="24"/>
        </w:rPr>
        <w:t>A500</w:t>
      </w:r>
      <w:r>
        <w:rPr>
          <w:rFonts w:hint="eastAsia" w:ascii="Times New Roman" w:hAnsi="Times New Roman"/>
          <w:bCs/>
          <w:sz w:val="24"/>
        </w:rPr>
        <w:t>指数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62</w:t>
      </w:r>
      <w:r>
        <w:rPr>
          <w:rFonts w:hint="eastAsia" w:ascii="Times New Roman" w:hAnsi="Times New Roman"/>
          <w:sz w:val="24"/>
        </w:rPr>
        <w:t>、流动性受限资产：指由于法律法规、监管、合同或操作障碍等原因无法以合理价格予以变现的资产，包括但不限于到期日在</w:t>
      </w:r>
      <w:r>
        <w:rPr>
          <w:rFonts w:ascii="Times New Roman" w:hAnsi="Times New Roman"/>
          <w:sz w:val="24"/>
        </w:rPr>
        <w:t>10</w:t>
      </w:r>
      <w:r>
        <w:rPr>
          <w:rFonts w:hint="eastAsia" w:ascii="Times New Roman" w:hAnsi="Times New Roman"/>
          <w:sz w:val="24"/>
        </w:rPr>
        <w:t>个交易日以上的逆回购与银行定期存款（含协议约定有条件提前支取的银行存款）、停牌股票、流通受限的新股及非公开发行股票、资产支持证券、因发行人债务违约无法进行转让或交易的债券等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63</w:t>
      </w:r>
      <w:r>
        <w:rPr>
          <w:rFonts w:hint="eastAsia" w:ascii="Times New Roman" w:hAnsi="Times New Roman"/>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64</w:t>
      </w:r>
      <w:r>
        <w:rPr>
          <w:rFonts w:hint="eastAsia" w:ascii="Times New Roman" w:hAnsi="Times New Roman"/>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65</w:t>
      </w:r>
      <w:r>
        <w:rPr>
          <w:rFonts w:hint="eastAsia" w:ascii="Times New Roman" w:hAnsi="Times New Roman"/>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66</w:t>
      </w:r>
      <w:r>
        <w:rPr>
          <w:rFonts w:hint="eastAsia" w:ascii="Times New Roman" w:hAnsi="Times New Roman"/>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67</w:t>
      </w:r>
      <w:r>
        <w:rPr>
          <w:rFonts w:hint="eastAsia" w:ascii="Times New Roman" w:hAnsi="Times New Roman"/>
          <w:sz w:val="24"/>
        </w:rPr>
        <w:t>、不可抗力：指基金合同当事人不能预见、不能避免且不能克服的客观事件</w:t>
      </w: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8" w:name="_Toc7689"/>
      <w:bookmarkStart w:id="9" w:name="_Toc147840621"/>
      <w:r>
        <w:rPr>
          <w:rFonts w:hint="eastAsia" w:ascii="Times New Roman" w:hAnsi="Times New Roman"/>
          <w:sz w:val="30"/>
        </w:rPr>
        <w:t>三、基金管理人</w:t>
      </w:r>
      <w:bookmarkEnd w:id="8"/>
      <w:bookmarkEnd w:id="9"/>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（一）基金管理人概况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住所：中国</w:t>
      </w:r>
      <w:r>
        <w:rPr>
          <w:rFonts w:ascii="Times New Roman" w:hAnsi="Times New Roman"/>
          <w:sz w:val="24"/>
        </w:rPr>
        <w:t>(</w:t>
      </w:r>
      <w:r>
        <w:rPr>
          <w:rFonts w:hint="eastAsia" w:ascii="Times New Roman" w:hAnsi="Times New Roman"/>
          <w:sz w:val="24"/>
        </w:rPr>
        <w:t>上海</w:t>
      </w:r>
      <w:r>
        <w:rPr>
          <w:rFonts w:ascii="Times New Roman" w:hAnsi="Times New Roman"/>
          <w:sz w:val="24"/>
        </w:rPr>
        <w:t>)</w:t>
      </w:r>
      <w:r>
        <w:rPr>
          <w:rFonts w:hint="eastAsia" w:ascii="Times New Roman" w:hAnsi="Times New Roman"/>
          <w:sz w:val="24"/>
        </w:rPr>
        <w:t>自由贸易试验区银城中路</w:t>
      </w:r>
      <w:r>
        <w:rPr>
          <w:rFonts w:ascii="Times New Roman" w:hAnsi="Times New Roman"/>
          <w:sz w:val="24"/>
        </w:rPr>
        <w:t>188</w:t>
      </w:r>
      <w:r>
        <w:rPr>
          <w:rFonts w:hint="eastAsia" w:ascii="Times New Roman" w:hAnsi="Times New Roman"/>
          <w:sz w:val="24"/>
        </w:rPr>
        <w:t>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办公地址：上海市浦东新区世纪大道</w:t>
      </w:r>
      <w:r>
        <w:rPr>
          <w:rFonts w:ascii="Times New Roman" w:hAnsi="Times New Roman"/>
          <w:sz w:val="24"/>
        </w:rPr>
        <w:t>8</w:t>
      </w:r>
      <w:r>
        <w:rPr>
          <w:rFonts w:hint="eastAsia" w:ascii="Times New Roman" w:hAnsi="Times New Roman"/>
          <w:sz w:val="24"/>
        </w:rPr>
        <w:t>号国金中心二期</w:t>
      </w:r>
      <w:r>
        <w:rPr>
          <w:rFonts w:ascii="Times New Roman" w:hAnsi="Times New Roman"/>
          <w:sz w:val="24"/>
        </w:rPr>
        <w:t>21-22</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邮政编码：</w:t>
      </w:r>
      <w:r>
        <w:rPr>
          <w:rFonts w:ascii="Times New Roman" w:hAnsi="Times New Roman"/>
          <w:sz w:val="24"/>
        </w:rPr>
        <w:t>200120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法定代表人：张宏良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成立时间：</w:t>
      </w:r>
      <w:r>
        <w:rPr>
          <w:rFonts w:ascii="Times New Roman" w:hAnsi="Times New Roman"/>
          <w:sz w:val="24"/>
        </w:rPr>
        <w:t>2005</w:t>
      </w:r>
      <w:r>
        <w:rPr>
          <w:rFonts w:hint="eastAsia" w:ascii="Times New Roman" w:hAnsi="Times New Roman"/>
          <w:sz w:val="24"/>
        </w:rPr>
        <w:t>年</w:t>
      </w:r>
      <w:r>
        <w:rPr>
          <w:rFonts w:ascii="Times New Roman" w:hAnsi="Times New Roman"/>
          <w:sz w:val="24"/>
        </w:rPr>
        <w:t>8</w:t>
      </w:r>
      <w:r>
        <w:rPr>
          <w:rFonts w:hint="eastAsia" w:ascii="Times New Roman" w:hAnsi="Times New Roman"/>
          <w:sz w:val="24"/>
        </w:rPr>
        <w:t>月</w:t>
      </w:r>
      <w:r>
        <w:rPr>
          <w:rFonts w:ascii="Times New Roman" w:hAnsi="Times New Roman"/>
          <w:sz w:val="24"/>
        </w:rPr>
        <w:t>4</w:t>
      </w:r>
      <w:r>
        <w:rPr>
          <w:rFonts w:hint="eastAsia" w:ascii="Times New Roman" w:hAnsi="Times New Roman"/>
          <w:sz w:val="24"/>
        </w:rPr>
        <w:t>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注册资本：</w:t>
      </w:r>
      <w:r>
        <w:rPr>
          <w:rFonts w:ascii="Times New Roman" w:hAnsi="Times New Roman"/>
          <w:sz w:val="24"/>
        </w:rPr>
        <w:t>2</w:t>
      </w:r>
      <w:r>
        <w:rPr>
          <w:rFonts w:hint="eastAsia" w:ascii="Times New Roman" w:hAnsi="Times New Roman"/>
          <w:sz w:val="24"/>
        </w:rPr>
        <w:t>亿元人民币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存续期间：持续经营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联系人：何佳妮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61055050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61055034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交银施罗德基金管理有限公司（以下简称</w:t>
      </w:r>
      <w:r>
        <w:rPr>
          <w:rFonts w:ascii="Times New Roman" w:hAnsi="Times New Roman"/>
          <w:sz w:val="24"/>
        </w:rPr>
        <w:t>“</w:t>
      </w:r>
      <w:r>
        <w:rPr>
          <w:rFonts w:hint="eastAsia" w:ascii="Times New Roman" w:hAnsi="Times New Roman"/>
          <w:sz w:val="24"/>
        </w:rPr>
        <w:t>公司</w:t>
      </w:r>
      <w:r>
        <w:rPr>
          <w:rFonts w:ascii="Times New Roman" w:hAnsi="Times New Roman"/>
          <w:sz w:val="24"/>
        </w:rPr>
        <w:t>”</w:t>
      </w:r>
      <w:r>
        <w:rPr>
          <w:rFonts w:hint="eastAsia" w:ascii="Times New Roman" w:hAnsi="Times New Roman"/>
          <w:sz w:val="24"/>
        </w:rPr>
        <w:t>）经中国证监会证监基金字</w:t>
      </w:r>
      <w:r>
        <w:rPr>
          <w:rFonts w:ascii="Times New Roman" w:hAnsi="Times New Roman"/>
          <w:sz w:val="24"/>
        </w:rPr>
        <w:t>[2005]128</w:t>
      </w:r>
      <w:r>
        <w:rPr>
          <w:rFonts w:hint="eastAsia" w:ascii="Times New Roman" w:hAnsi="Times New Roman"/>
          <w:sz w:val="24"/>
        </w:rPr>
        <w:t>号文批准设立。公司股权结构如下：</w:t>
      </w:r>
    </w:p>
    <w:tbl>
      <w:tblPr>
        <w:tblStyle w:val="15"/>
        <w:tblW w:w="5000" w:type="pct"/>
        <w:tblInd w:w="0" w:type="dxa"/>
        <w:tblLayout w:type="autofit"/>
        <w:tblCellMar>
          <w:top w:w="0" w:type="dxa"/>
          <w:left w:w="0" w:type="dxa"/>
          <w:bottom w:w="0" w:type="dxa"/>
          <w:right w:w="0" w:type="dxa"/>
        </w:tblCellMar>
      </w:tblPr>
      <w:tblGrid>
        <w:gridCol w:w="4335"/>
        <w:gridCol w:w="4335"/>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5%</w:t>
            </w:r>
          </w:p>
        </w:tc>
      </w:tr>
    </w:tbl>
    <w:p>
      <w:pPr>
        <w:autoSpaceDE w:val="0"/>
        <w:autoSpaceDN w:val="0"/>
        <w:adjustRightInd w:val="0"/>
        <w:snapToGrid w:val="0"/>
        <w:spacing w:line="360" w:lineRule="auto"/>
        <w:ind w:firstLine="482" w:firstLineChars="200"/>
        <w:jc w:val="left"/>
        <w:rPr>
          <w:rFonts w:ascii="Times New Roman" w:hAnsi="Times New Roman"/>
          <w:b/>
          <w:sz w:val="24"/>
        </w:rPr>
      </w:pPr>
      <w:r>
        <w:rPr>
          <w:rFonts w:ascii="Times New Roman" w:hAnsi="Times New Roman"/>
          <w:b/>
          <w:sz w:val="24"/>
        </w:rPr>
        <w:t>（二）主要成员情况</w:t>
      </w:r>
    </w:p>
    <w:p>
      <w:pPr>
        <w:widowControl/>
        <w:adjustRightInd w:val="0"/>
        <w:snapToGrid w:val="0"/>
        <w:spacing w:line="360" w:lineRule="auto"/>
        <w:ind w:firstLine="480" w:firstLineChars="200"/>
        <w:rPr>
          <w:sz w:val="24"/>
          <w:szCs w:val="24"/>
        </w:rPr>
      </w:pPr>
      <w:r>
        <w:rPr>
          <w:sz w:val="24"/>
          <w:szCs w:val="24"/>
        </w:rPr>
        <w:t>1、基金管理人董事会成员</w:t>
      </w:r>
    </w:p>
    <w:p>
      <w:pPr>
        <w:widowControl/>
        <w:adjustRightInd w:val="0"/>
        <w:snapToGrid w:val="0"/>
        <w:spacing w:line="360" w:lineRule="auto"/>
        <w:ind w:firstLine="480" w:firstLineChars="200"/>
        <w:rPr>
          <w:kern w:val="0"/>
          <w:sz w:val="24"/>
        </w:rPr>
      </w:pPr>
      <w:r>
        <w:rPr>
          <w:rFonts w:hint="eastAsia"/>
          <w:kern w:val="0"/>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widowControl/>
        <w:adjustRightInd w:val="0"/>
        <w:snapToGrid w:val="0"/>
        <w:spacing w:line="360" w:lineRule="auto"/>
        <w:ind w:firstLine="480" w:firstLineChars="200"/>
        <w:rPr>
          <w:kern w:val="0"/>
          <w:sz w:val="24"/>
        </w:rPr>
      </w:pPr>
      <w:r>
        <w:rPr>
          <w:rFonts w:hint="eastAsia"/>
          <w:kern w:val="0"/>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widowControl/>
        <w:adjustRightInd w:val="0"/>
        <w:snapToGrid w:val="0"/>
        <w:spacing w:line="360" w:lineRule="auto"/>
        <w:ind w:firstLine="480" w:firstLineChars="200"/>
        <w:rPr>
          <w:kern w:val="0"/>
          <w:sz w:val="24"/>
        </w:rPr>
      </w:pPr>
      <w:r>
        <w:rPr>
          <w:rFonts w:hint="eastAsia"/>
          <w:kern w:val="0"/>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widowControl/>
        <w:adjustRightInd w:val="0"/>
        <w:snapToGrid w:val="0"/>
        <w:spacing w:line="360" w:lineRule="auto"/>
        <w:ind w:firstLine="480" w:firstLineChars="200"/>
        <w:rPr>
          <w:kern w:val="0"/>
          <w:sz w:val="24"/>
        </w:rPr>
      </w:pPr>
      <w:r>
        <w:rPr>
          <w:rFonts w:hint="eastAsia"/>
          <w:kern w:val="0"/>
          <w:sz w:val="24"/>
        </w:rPr>
        <w:t>Karine Szenberg女士，董事，硕士。现任施罗德投资集团执行副主席、集团执行委员会成员和施罗德投资管理（瑞士）股份有限公司董事会主席。历任施罗德投资法国主管、欧洲主管、全球产品和营销主管等。</w:t>
      </w:r>
    </w:p>
    <w:p>
      <w:pPr>
        <w:widowControl/>
        <w:adjustRightInd w:val="0"/>
        <w:snapToGrid w:val="0"/>
        <w:spacing w:line="360" w:lineRule="auto"/>
        <w:ind w:firstLine="480" w:firstLineChars="200"/>
        <w:rPr>
          <w:kern w:val="0"/>
          <w:sz w:val="24"/>
        </w:rPr>
      </w:pPr>
      <w:r>
        <w:rPr>
          <w:rFonts w:hint="eastAsia"/>
          <w:kern w:val="0"/>
          <w:sz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pPr>
        <w:widowControl/>
        <w:adjustRightInd w:val="0"/>
        <w:snapToGrid w:val="0"/>
        <w:spacing w:line="360" w:lineRule="auto"/>
        <w:ind w:firstLine="480" w:firstLineChars="200"/>
        <w:rPr>
          <w:kern w:val="0"/>
          <w:sz w:val="24"/>
        </w:rPr>
      </w:pPr>
      <w:r>
        <w:rPr>
          <w:rFonts w:hint="eastAsia"/>
          <w:kern w:val="0"/>
          <w:sz w:val="24"/>
        </w:rPr>
        <w:t>单锋先生，独立董事，博士。现任南京大学法学教授职务。历任南京大学法学院助教、讲师、副教授。</w:t>
      </w:r>
    </w:p>
    <w:p>
      <w:pPr>
        <w:widowControl/>
        <w:adjustRightInd w:val="0"/>
        <w:snapToGrid w:val="0"/>
        <w:spacing w:line="360" w:lineRule="auto"/>
        <w:ind w:firstLine="480" w:firstLineChars="200"/>
        <w:rPr>
          <w:kern w:val="0"/>
          <w:sz w:val="24"/>
        </w:rPr>
      </w:pPr>
      <w:r>
        <w:rPr>
          <w:rFonts w:hint="eastAsia"/>
          <w:kern w:val="0"/>
          <w:sz w:val="24"/>
        </w:rPr>
        <w:t>刘凤元先生，独立董事，博士。现任华东政法大学国际金融法律学院教授，资本市场研究中心主任，兼任多家香港和大陆上市公司（非证券基金经营机构）独立董事。</w:t>
      </w:r>
    </w:p>
    <w:p>
      <w:pPr>
        <w:widowControl/>
        <w:adjustRightInd w:val="0"/>
        <w:snapToGrid w:val="0"/>
        <w:spacing w:line="360" w:lineRule="auto"/>
        <w:ind w:firstLine="480" w:firstLineChars="200"/>
        <w:rPr>
          <w:kern w:val="0"/>
          <w:sz w:val="24"/>
        </w:rPr>
      </w:pPr>
      <w:r>
        <w:rPr>
          <w:rFonts w:hint="eastAsia"/>
          <w:kern w:val="0"/>
          <w:sz w:val="24"/>
        </w:rPr>
        <w:t>宋若坤女士，独立董事，学士。英格兰及威尔士特许会计师协会和香港会计师公会特许会计师、注册金融分析师。历任毕马威会计师事务所香港分所审计部主管副经理，摩根资产管理（香港）亚太区资产管理合规主管、董事总经理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2、基金管理人高级管理人员</w:t>
      </w:r>
    </w:p>
    <w:p>
      <w:pPr>
        <w:widowControl/>
        <w:adjustRightInd w:val="0"/>
        <w:snapToGrid w:val="0"/>
        <w:spacing w:line="360" w:lineRule="auto"/>
        <w:ind w:firstLine="480" w:firstLineChars="200"/>
        <w:rPr>
          <w:sz w:val="24"/>
          <w:szCs w:val="24"/>
        </w:rPr>
      </w:pPr>
      <w:r>
        <w:rPr>
          <w:rFonts w:hint="eastAsia"/>
          <w:sz w:val="24"/>
          <w:szCs w:val="24"/>
        </w:rPr>
        <w:t>袁庆伟女士，总经理。简历同上。</w:t>
      </w:r>
    </w:p>
    <w:p>
      <w:pPr>
        <w:widowControl/>
        <w:adjustRightInd w:val="0"/>
        <w:snapToGrid w:val="0"/>
        <w:spacing w:line="360" w:lineRule="auto"/>
        <w:ind w:firstLine="480" w:firstLineChars="200"/>
        <w:rPr>
          <w:sz w:val="24"/>
          <w:szCs w:val="24"/>
        </w:rPr>
      </w:pPr>
      <w:r>
        <w:rPr>
          <w:rFonts w:hint="eastAsia"/>
          <w:sz w:val="24"/>
          <w:szCs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widowControl/>
        <w:adjustRightInd w:val="0"/>
        <w:snapToGrid w:val="0"/>
        <w:spacing w:line="360" w:lineRule="auto"/>
        <w:ind w:firstLine="480" w:firstLineChars="200"/>
        <w:rPr>
          <w:sz w:val="24"/>
          <w:szCs w:val="24"/>
        </w:rPr>
      </w:pPr>
      <w:r>
        <w:rPr>
          <w:rFonts w:hint="eastAsia"/>
          <w:sz w:val="24"/>
          <w:szCs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rPr>
          <w:sz w:val="24"/>
          <w:szCs w:val="24"/>
        </w:rPr>
      </w:pPr>
      <w:r>
        <w:rPr>
          <w:rFonts w:hint="eastAsia"/>
          <w:sz w:val="24"/>
          <w:szCs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3、本基金基金经理</w:t>
      </w:r>
    </w:p>
    <w:p>
      <w:pPr>
        <w:widowControl/>
        <w:adjustRightInd w:val="0"/>
        <w:snapToGrid w:val="0"/>
        <w:spacing w:line="360" w:lineRule="auto"/>
        <w:ind w:firstLine="480" w:firstLineChars="200"/>
        <w:rPr>
          <w:sz w:val="24"/>
          <w:szCs w:val="24"/>
        </w:rPr>
      </w:pPr>
      <w:r>
        <w:rPr>
          <w:rFonts w:ascii="Times New Roman" w:hAnsi="Times New Roman"/>
          <w:sz w:val="24"/>
        </w:rPr>
        <w:t>邵文婷女士:基金经理。英国诺丁汉大学金融与投资硕士、西南财经大学数学与经济学双学士。</w:t>
      </w:r>
      <w:r>
        <w:rPr>
          <w:rFonts w:hint="eastAsia" w:ascii="Times New Roman" w:hAnsi="Times New Roman"/>
          <w:sz w:val="24"/>
          <w:lang w:val="en-US" w:eastAsia="zh-CN"/>
        </w:rPr>
        <w:t>10</w:t>
      </w:r>
      <w:r>
        <w:rPr>
          <w:rFonts w:ascii="Times New Roman" w:hAnsi="Times New Roman"/>
          <w:sz w:val="24"/>
        </w:rPr>
        <w:t>年证券投资行业从业经验。2016年加入交银施罗德基金管理有限公司，曾任量化投资部研究员、投资经理，现任量化投资部基金经理。</w:t>
      </w:r>
      <w:r>
        <w:rPr>
          <w:rFonts w:hint="eastAsia" w:ascii="Times New Roman" w:hAnsi="Times New Roman"/>
          <w:sz w:val="24"/>
        </w:rPr>
        <w:t>曾任交银施罗德定期支付月月丰债券型证券投资基金(2022年11月30日至2024年12月27日)的基金经理。</w:t>
      </w:r>
      <w:r>
        <w:rPr>
          <w:rFonts w:ascii="Times New Roman" w:hAnsi="Times New Roman"/>
          <w:sz w:val="24"/>
        </w:rPr>
        <w:t>现任交银施罗德深证300价值交易型开放式指数证券投资基金联接基金(2021年04月30日至今)、交银施罗德上证180公司治理交易型开放式指数证券投资基金联接基金(2021年04月30日至今)、深证300价值交易型开放式指数证券投资基金(2021年04月30日至今)、交银施罗德中证海外中国互联网指数型证券投资基金(LOF)(2021年04月30日至今)、交银施罗德国证新能源指数证券投资基金（LOF）(2021年04月30日至今)、上证180公司治理交易型开放式指数证券投资基金(2021年04月30日至今)、交银施罗德创业板50指数型证券投资基金(2021年04月30日至今)、交银施罗德中证环境治理指数型证券投资基金(LOF)(2021年04月30日至今)</w:t>
      </w:r>
      <w:r>
        <w:rPr>
          <w:rFonts w:hint="eastAsia" w:ascii="Times New Roman" w:hAnsi="Times New Roman"/>
          <w:sz w:val="24"/>
        </w:rPr>
        <w:t>、交银施罗德中证红利低波动</w:t>
      </w:r>
      <w:r>
        <w:rPr>
          <w:rFonts w:ascii="Times New Roman" w:hAnsi="Times New Roman"/>
          <w:sz w:val="24"/>
        </w:rPr>
        <w:t>100</w:t>
      </w:r>
      <w:r>
        <w:rPr>
          <w:rFonts w:hint="eastAsia" w:ascii="Times New Roman" w:hAnsi="Times New Roman"/>
          <w:sz w:val="24"/>
        </w:rPr>
        <w:t>指数型证券投资基金</w:t>
      </w:r>
      <w:r>
        <w:rPr>
          <w:rFonts w:ascii="Times New Roman" w:hAnsi="Times New Roman"/>
          <w:sz w:val="24"/>
        </w:rPr>
        <w:t>(2024</w:t>
      </w:r>
      <w:r>
        <w:rPr>
          <w:rFonts w:hint="eastAsia" w:ascii="Times New Roman" w:hAnsi="Times New Roman"/>
          <w:sz w:val="24"/>
        </w:rPr>
        <w:t>年0</w:t>
      </w:r>
      <w:r>
        <w:rPr>
          <w:rFonts w:ascii="Times New Roman" w:hAnsi="Times New Roman"/>
          <w:sz w:val="24"/>
        </w:rPr>
        <w:t>3</w:t>
      </w:r>
      <w:r>
        <w:rPr>
          <w:rFonts w:hint="eastAsia" w:ascii="Times New Roman" w:hAnsi="Times New Roman"/>
          <w:sz w:val="24"/>
        </w:rPr>
        <w:t>月</w:t>
      </w:r>
      <w:r>
        <w:rPr>
          <w:rFonts w:ascii="Times New Roman" w:hAnsi="Times New Roman"/>
          <w:sz w:val="24"/>
        </w:rPr>
        <w:t>15</w:t>
      </w:r>
      <w:r>
        <w:rPr>
          <w:rFonts w:hint="eastAsia" w:ascii="Times New Roman" w:hAnsi="Times New Roman"/>
          <w:sz w:val="24"/>
        </w:rPr>
        <w:t>日至今</w:t>
      </w:r>
      <w:r>
        <w:rPr>
          <w:rFonts w:ascii="Times New Roman" w:hAnsi="Times New Roman"/>
          <w:sz w:val="24"/>
        </w:rPr>
        <w:t>)</w:t>
      </w:r>
      <w:r>
        <w:rPr>
          <w:rFonts w:hint="eastAsia" w:ascii="Times New Roman" w:hAnsi="Times New Roman"/>
          <w:sz w:val="24"/>
        </w:rPr>
        <w:t>、交银施罗德中证A500指数型证券投资基金(2025年01月22日至今)、交银施罗德上证科创板100指数型证券投资基金(2025年02月26日至今)、交银施罗德中证A50指数型证券投资基金(2025年04月02日至今)、交银施罗德恒生港股通创新药精选指数型证券投资基金(2025年08月20日至今)、交银施罗德中证港股通央企红利指数型证券投资基金(2025年</w:t>
      </w:r>
      <w:r>
        <w:rPr>
          <w:rFonts w:ascii="Times New Roman" w:hAnsi="Times New Roman"/>
          <w:sz w:val="24"/>
        </w:rPr>
        <w:t>10</w:t>
      </w:r>
      <w:r>
        <w:rPr>
          <w:rFonts w:hint="eastAsia" w:ascii="Times New Roman" w:hAnsi="Times New Roman"/>
          <w:sz w:val="24"/>
        </w:rPr>
        <w:t>月2</w:t>
      </w:r>
      <w:r>
        <w:rPr>
          <w:rFonts w:ascii="Times New Roman" w:hAnsi="Times New Roman"/>
          <w:sz w:val="24"/>
        </w:rPr>
        <w:t>8</w:t>
      </w:r>
      <w:r>
        <w:rPr>
          <w:rFonts w:hint="eastAsia" w:ascii="Times New Roman" w:hAnsi="Times New Roman"/>
          <w:sz w:val="24"/>
        </w:rPr>
        <w:t>日至今)、交银施罗德中证智选沪深港科技50交易型开放式指数证券投资基金(2025年</w:t>
      </w:r>
      <w:r>
        <w:rPr>
          <w:rFonts w:ascii="Times New Roman" w:hAnsi="Times New Roman"/>
          <w:sz w:val="24"/>
        </w:rPr>
        <w:t>12</w:t>
      </w:r>
      <w:r>
        <w:rPr>
          <w:rFonts w:hint="eastAsia" w:ascii="Times New Roman" w:hAnsi="Times New Roman"/>
          <w:sz w:val="24"/>
        </w:rPr>
        <w:t>月</w:t>
      </w:r>
      <w:r>
        <w:rPr>
          <w:rFonts w:ascii="Times New Roman" w:hAnsi="Times New Roman"/>
          <w:sz w:val="24"/>
        </w:rPr>
        <w:t>10</w:t>
      </w:r>
      <w:r>
        <w:rPr>
          <w:rFonts w:hint="eastAsia" w:ascii="Times New Roman" w:hAnsi="Times New Roman"/>
          <w:sz w:val="24"/>
        </w:rPr>
        <w:t>日至今)</w:t>
      </w:r>
      <w:r>
        <w:rPr>
          <w:rFonts w:ascii="Times New Roman" w:hAnsi="Times New Roman"/>
          <w:sz w:val="24"/>
        </w:rPr>
        <w:t>的基金经理。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4、投资决策委员会成员</w:t>
      </w:r>
    </w:p>
    <w:p>
      <w:pPr>
        <w:adjustRightInd w:val="0"/>
        <w:snapToGrid w:val="0"/>
        <w:spacing w:line="360" w:lineRule="auto"/>
        <w:ind w:firstLine="480" w:firstLineChars="200"/>
        <w:jc w:val="left"/>
        <w:rPr>
          <w:sz w:val="24"/>
          <w:szCs w:val="24"/>
        </w:rPr>
      </w:pPr>
      <w:r>
        <w:rPr>
          <w:rFonts w:hint="eastAsia"/>
          <w:sz w:val="24"/>
          <w:szCs w:val="24"/>
        </w:rPr>
        <w:t>委员：袁庆伟（总经理）</w:t>
      </w:r>
    </w:p>
    <w:p>
      <w:pPr>
        <w:adjustRightInd w:val="0"/>
        <w:snapToGrid w:val="0"/>
        <w:spacing w:line="360" w:lineRule="auto"/>
        <w:ind w:firstLine="1200" w:firstLineChars="500"/>
        <w:jc w:val="left"/>
        <w:rPr>
          <w:sz w:val="24"/>
          <w:szCs w:val="24"/>
        </w:rPr>
      </w:pPr>
      <w:r>
        <w:rPr>
          <w:rFonts w:hint="eastAsia"/>
          <w:sz w:val="24"/>
          <w:szCs w:val="24"/>
        </w:rPr>
        <w:t>马俊（副总经理）</w:t>
      </w:r>
    </w:p>
    <w:p>
      <w:pPr>
        <w:adjustRightInd w:val="0"/>
        <w:snapToGrid w:val="0"/>
        <w:spacing w:line="360" w:lineRule="auto"/>
        <w:ind w:firstLine="1200" w:firstLineChars="500"/>
        <w:jc w:val="left"/>
        <w:rPr>
          <w:sz w:val="24"/>
          <w:szCs w:val="24"/>
        </w:rPr>
      </w:pPr>
      <w:r>
        <w:rPr>
          <w:rFonts w:hint="eastAsia"/>
          <w:sz w:val="24"/>
          <w:szCs w:val="24"/>
        </w:rPr>
        <w:t>于海颖（混合资产投资总监、基金经理）</w:t>
      </w:r>
    </w:p>
    <w:p>
      <w:pPr>
        <w:adjustRightInd w:val="0"/>
        <w:snapToGrid w:val="0"/>
        <w:spacing w:line="360" w:lineRule="auto"/>
        <w:ind w:firstLine="1200" w:firstLineChars="500"/>
        <w:jc w:val="left"/>
        <w:rPr>
          <w:sz w:val="24"/>
          <w:szCs w:val="24"/>
        </w:rPr>
      </w:pPr>
      <w:r>
        <w:rPr>
          <w:rFonts w:hint="eastAsia"/>
          <w:sz w:val="24"/>
          <w:szCs w:val="24"/>
        </w:rPr>
        <w:t>王崇（权益投资副总监、权益部一级专家、基金经理）</w:t>
      </w:r>
    </w:p>
    <w:p>
      <w:pPr>
        <w:adjustRightInd w:val="0"/>
        <w:snapToGrid w:val="0"/>
        <w:spacing w:line="360" w:lineRule="auto"/>
        <w:ind w:firstLine="1200" w:firstLineChars="500"/>
        <w:rPr>
          <w:sz w:val="24"/>
          <w:szCs w:val="24"/>
        </w:rPr>
      </w:pPr>
      <w:r>
        <w:rPr>
          <w:rFonts w:hint="eastAsia"/>
          <w:sz w:val="24"/>
          <w:szCs w:val="24"/>
        </w:rPr>
        <w:t>马韬（研究总监）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宋体" w:hAnsi="宋体"/>
          <w:kern w:val="0"/>
          <w:sz w:val="24"/>
        </w:rPr>
        <w:t>5、</w:t>
      </w:r>
      <w:r>
        <w:rPr>
          <w:rFonts w:ascii="宋体" w:hAnsi="宋体"/>
          <w:kern w:val="0"/>
          <w:sz w:val="24"/>
        </w:rPr>
        <w:t>上述人员之间</w:t>
      </w:r>
      <w:r>
        <w:rPr>
          <w:rFonts w:hint="eastAsia" w:ascii="宋体" w:hAnsi="宋体"/>
          <w:kern w:val="0"/>
          <w:sz w:val="24"/>
        </w:rPr>
        <w:t>不存在</w:t>
      </w:r>
      <w:r>
        <w:rPr>
          <w:rFonts w:ascii="宋体" w:hAnsi="宋体"/>
          <w:kern w:val="0"/>
          <w:sz w:val="24"/>
        </w:rPr>
        <w:t>近亲属关系。</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（三）基金管理人的职责</w:t>
      </w:r>
    </w:p>
    <w:p>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pPr>
        <w:adjustRightInd w:val="0"/>
        <w:snapToGrid w:val="0"/>
        <w:spacing w:line="360" w:lineRule="auto"/>
        <w:ind w:firstLine="480" w:firstLineChars="200"/>
        <w:rPr>
          <w:sz w:val="24"/>
          <w:szCs w:val="24"/>
        </w:rPr>
      </w:pPr>
      <w:r>
        <w:rPr>
          <w:sz w:val="24"/>
          <w:szCs w:val="24"/>
        </w:rPr>
        <w:t>2、办理基金备案手续；</w:t>
      </w:r>
    </w:p>
    <w:p>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pPr>
        <w:adjustRightInd w:val="0"/>
        <w:snapToGrid w:val="0"/>
        <w:spacing w:line="360" w:lineRule="auto"/>
        <w:ind w:firstLine="480" w:firstLineChars="200"/>
        <w:rPr>
          <w:sz w:val="24"/>
          <w:szCs w:val="24"/>
        </w:rPr>
      </w:pPr>
      <w:r>
        <w:rPr>
          <w:sz w:val="24"/>
          <w:szCs w:val="24"/>
        </w:rPr>
        <w:t>5、进行基金会计核算并编制基金财务会计报告；</w:t>
      </w:r>
    </w:p>
    <w:p>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pPr>
        <w:adjustRightInd w:val="0"/>
        <w:snapToGrid w:val="0"/>
        <w:spacing w:line="360" w:lineRule="auto"/>
        <w:ind w:firstLine="480" w:firstLineChars="200"/>
        <w:rPr>
          <w:sz w:val="24"/>
          <w:szCs w:val="24"/>
        </w:rPr>
      </w:pPr>
      <w:r>
        <w:rPr>
          <w:sz w:val="24"/>
          <w:szCs w:val="24"/>
        </w:rPr>
        <w:t>8、办理与基金财产管理业务活动有关的信息披露事项；</w:t>
      </w:r>
    </w:p>
    <w:p>
      <w:pPr>
        <w:adjustRightInd w:val="0"/>
        <w:snapToGrid w:val="0"/>
        <w:spacing w:line="360" w:lineRule="auto"/>
        <w:ind w:firstLine="480" w:firstLineChars="200"/>
        <w:rPr>
          <w:sz w:val="24"/>
          <w:szCs w:val="24"/>
        </w:rPr>
      </w:pPr>
      <w:r>
        <w:rPr>
          <w:sz w:val="24"/>
          <w:szCs w:val="24"/>
        </w:rPr>
        <w:t>9、按照规定召集基金份额持有人大会；</w:t>
      </w:r>
    </w:p>
    <w:p>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sz w:val="24"/>
          <w:szCs w:val="24"/>
        </w:rPr>
        <w:t>12、有关法律法规和中国证监会规定的其他职责。</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（四）基金管理人的承诺</w:t>
      </w:r>
    </w:p>
    <w:p>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pPr>
        <w:adjustRightInd w:val="0"/>
        <w:snapToGrid w:val="0"/>
        <w:spacing w:line="360" w:lineRule="auto"/>
        <w:ind w:firstLine="480" w:firstLineChars="200"/>
        <w:rPr>
          <w:sz w:val="24"/>
          <w:szCs w:val="24"/>
        </w:rPr>
      </w:pPr>
      <w:r>
        <w:rPr>
          <w:sz w:val="24"/>
          <w:szCs w:val="24"/>
        </w:rPr>
        <w:t>（2）不公平地对待管理的不同基金财产；</w:t>
      </w:r>
    </w:p>
    <w:p>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pPr>
        <w:adjustRightInd w:val="0"/>
        <w:snapToGrid w:val="0"/>
        <w:spacing w:line="360" w:lineRule="auto"/>
        <w:ind w:firstLine="480" w:firstLineChars="200"/>
        <w:rPr>
          <w:sz w:val="24"/>
          <w:szCs w:val="24"/>
        </w:rPr>
      </w:pPr>
      <w:r>
        <w:rPr>
          <w:sz w:val="24"/>
          <w:szCs w:val="24"/>
        </w:rPr>
        <w:t>（4）向基金份额持有人违规承诺收益或者承担损失；</w:t>
      </w:r>
    </w:p>
    <w:p>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Times New Roman" w:hAnsi="Times New Roman"/>
          <w:szCs w:val="24"/>
        </w:rPr>
      </w:pPr>
      <w:r>
        <w:rPr>
          <w:sz w:val="24"/>
          <w:szCs w:val="24"/>
        </w:rPr>
        <w:t>5、基金管理人承诺不从事其他法规规定禁止从事的行为。</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（五）基金经理承诺</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3、不泄露在任职期间知悉的有关证券、基金的商业秘密，尚未依法公开的基金投资内容、基金投资计划等信息，或利用该信息从事或者明示、暗示他人从事相关的交易活动；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4、不以任何形式为其他组织或个人进行证券交易。</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（六）基金管理人的内部控制制度</w:t>
      </w:r>
    </w:p>
    <w:p>
      <w:pPr>
        <w:widowControl/>
        <w:adjustRightInd w:val="0"/>
        <w:snapToGrid w:val="0"/>
        <w:spacing w:line="360" w:lineRule="auto"/>
        <w:ind w:firstLine="480" w:firstLineChars="200"/>
        <w:rPr>
          <w:kern w:val="0"/>
          <w:sz w:val="24"/>
          <w:szCs w:val="24"/>
        </w:rPr>
      </w:pPr>
      <w:r>
        <w:rPr>
          <w:rFonts w:hint="eastAsia"/>
          <w:kern w:val="0"/>
          <w:sz w:val="24"/>
          <w:szCs w:val="24"/>
        </w:rPr>
        <w:t>1、内部控制的原则</w:t>
      </w:r>
    </w:p>
    <w:p>
      <w:pPr>
        <w:widowControl/>
        <w:adjustRightInd w:val="0"/>
        <w:snapToGrid w:val="0"/>
        <w:spacing w:line="360" w:lineRule="auto"/>
        <w:ind w:firstLine="480" w:firstLineChars="200"/>
        <w:rPr>
          <w:kern w:val="0"/>
          <w:sz w:val="24"/>
          <w:szCs w:val="24"/>
        </w:rPr>
      </w:pPr>
      <w:r>
        <w:rPr>
          <w:rFonts w:hint="eastAsia"/>
          <w:kern w:val="0"/>
          <w:sz w:val="24"/>
          <w:szCs w:val="24"/>
        </w:rPr>
        <w:t>（1）健全性原则</w:t>
      </w:r>
    </w:p>
    <w:p>
      <w:pPr>
        <w:widowControl/>
        <w:adjustRightInd w:val="0"/>
        <w:snapToGrid w:val="0"/>
        <w:spacing w:line="360" w:lineRule="auto"/>
        <w:ind w:firstLine="480" w:firstLineChars="200"/>
        <w:rPr>
          <w:kern w:val="0"/>
          <w:sz w:val="24"/>
          <w:szCs w:val="24"/>
        </w:rPr>
      </w:pPr>
      <w:r>
        <w:rPr>
          <w:rFonts w:hint="eastAsia"/>
          <w:kern w:val="0"/>
          <w:sz w:val="24"/>
          <w:szCs w:val="24"/>
        </w:rPr>
        <w:t>内部控制应当包括公司的各项业务、各个部门或机构和各级人员，并涵盖到决策、执行、监督、反馈等各个环节。</w:t>
      </w:r>
    </w:p>
    <w:p>
      <w:pPr>
        <w:widowControl/>
        <w:adjustRightInd w:val="0"/>
        <w:snapToGrid w:val="0"/>
        <w:spacing w:line="360" w:lineRule="auto"/>
        <w:ind w:firstLine="480" w:firstLineChars="200"/>
        <w:rPr>
          <w:kern w:val="0"/>
          <w:sz w:val="24"/>
          <w:szCs w:val="24"/>
        </w:rPr>
      </w:pPr>
      <w:r>
        <w:rPr>
          <w:rFonts w:hint="eastAsia"/>
          <w:kern w:val="0"/>
          <w:sz w:val="24"/>
          <w:szCs w:val="24"/>
        </w:rPr>
        <w:t>（2）有效性原则</w:t>
      </w:r>
    </w:p>
    <w:p>
      <w:pPr>
        <w:widowControl/>
        <w:adjustRightInd w:val="0"/>
        <w:snapToGrid w:val="0"/>
        <w:spacing w:line="360" w:lineRule="auto"/>
        <w:ind w:firstLine="480" w:firstLineChars="200"/>
        <w:rPr>
          <w:kern w:val="0"/>
          <w:sz w:val="24"/>
          <w:szCs w:val="24"/>
        </w:rPr>
      </w:pPr>
      <w:r>
        <w:rPr>
          <w:rFonts w:hint="eastAsia"/>
          <w:kern w:val="0"/>
          <w:sz w:val="24"/>
          <w:szCs w:val="24"/>
        </w:rPr>
        <w:t>通过科学的内控手段和方法，建立合理的内控程序，维护内控制度的有效执行。</w:t>
      </w:r>
    </w:p>
    <w:p>
      <w:pPr>
        <w:widowControl/>
        <w:adjustRightInd w:val="0"/>
        <w:snapToGrid w:val="0"/>
        <w:spacing w:line="360" w:lineRule="auto"/>
        <w:ind w:firstLine="480" w:firstLineChars="200"/>
        <w:rPr>
          <w:kern w:val="0"/>
          <w:sz w:val="24"/>
          <w:szCs w:val="24"/>
        </w:rPr>
      </w:pPr>
      <w:r>
        <w:rPr>
          <w:rFonts w:hint="eastAsia"/>
          <w:kern w:val="0"/>
          <w:sz w:val="24"/>
          <w:szCs w:val="24"/>
        </w:rPr>
        <w:t>（3）独立性原则</w:t>
      </w:r>
    </w:p>
    <w:p>
      <w:pPr>
        <w:widowControl/>
        <w:adjustRightInd w:val="0"/>
        <w:snapToGrid w:val="0"/>
        <w:spacing w:line="360" w:lineRule="auto"/>
        <w:ind w:firstLine="480" w:firstLineChars="200"/>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pPr>
        <w:widowControl/>
        <w:adjustRightInd w:val="0"/>
        <w:snapToGrid w:val="0"/>
        <w:spacing w:line="360" w:lineRule="auto"/>
        <w:ind w:firstLine="480" w:firstLineChars="200"/>
        <w:rPr>
          <w:kern w:val="0"/>
          <w:sz w:val="24"/>
          <w:szCs w:val="24"/>
        </w:rPr>
      </w:pPr>
      <w:r>
        <w:rPr>
          <w:rFonts w:hint="eastAsia"/>
          <w:kern w:val="0"/>
          <w:sz w:val="24"/>
          <w:szCs w:val="24"/>
        </w:rPr>
        <w:t>（4）相互制约原则</w:t>
      </w:r>
    </w:p>
    <w:p>
      <w:pPr>
        <w:widowControl/>
        <w:adjustRightInd w:val="0"/>
        <w:snapToGrid w:val="0"/>
        <w:spacing w:line="360" w:lineRule="auto"/>
        <w:ind w:firstLine="480" w:firstLineChars="200"/>
        <w:rPr>
          <w:kern w:val="0"/>
          <w:sz w:val="24"/>
          <w:szCs w:val="24"/>
        </w:rPr>
      </w:pPr>
      <w:r>
        <w:rPr>
          <w:rFonts w:hint="eastAsia"/>
          <w:kern w:val="0"/>
          <w:sz w:val="24"/>
          <w:szCs w:val="24"/>
        </w:rPr>
        <w:t>公司内部部门和岗位的设置应当体现权责分明、相互制衡。</w:t>
      </w:r>
    </w:p>
    <w:p>
      <w:pPr>
        <w:widowControl/>
        <w:adjustRightInd w:val="0"/>
        <w:snapToGrid w:val="0"/>
        <w:spacing w:line="360" w:lineRule="auto"/>
        <w:ind w:firstLine="480" w:firstLineChars="200"/>
        <w:rPr>
          <w:kern w:val="0"/>
          <w:sz w:val="24"/>
          <w:szCs w:val="24"/>
        </w:rPr>
      </w:pPr>
      <w:r>
        <w:rPr>
          <w:rFonts w:hint="eastAsia"/>
          <w:kern w:val="0"/>
          <w:sz w:val="24"/>
          <w:szCs w:val="24"/>
        </w:rPr>
        <w:t>（5）成本效益原则</w:t>
      </w:r>
    </w:p>
    <w:p>
      <w:pPr>
        <w:widowControl/>
        <w:adjustRightInd w:val="0"/>
        <w:snapToGrid w:val="0"/>
        <w:spacing w:line="360" w:lineRule="auto"/>
        <w:ind w:firstLine="480" w:firstLineChars="200"/>
        <w:rPr>
          <w:kern w:val="0"/>
          <w:sz w:val="24"/>
          <w:szCs w:val="24"/>
        </w:rPr>
      </w:pPr>
      <w:r>
        <w:rPr>
          <w:rFonts w:hint="eastAsia"/>
          <w:kern w:val="0"/>
          <w:sz w:val="24"/>
          <w:szCs w:val="24"/>
        </w:rPr>
        <w:t>公司运用科学化的经营管理方法降低运作成本，提高经济效益，力争以合理的控制成本达到最佳的内部控制效果。</w:t>
      </w:r>
    </w:p>
    <w:p>
      <w:pPr>
        <w:widowControl/>
        <w:adjustRightInd w:val="0"/>
        <w:snapToGrid w:val="0"/>
        <w:spacing w:line="360" w:lineRule="auto"/>
        <w:ind w:firstLine="480" w:firstLineChars="200"/>
        <w:rPr>
          <w:kern w:val="0"/>
          <w:sz w:val="24"/>
          <w:szCs w:val="24"/>
        </w:rPr>
      </w:pPr>
      <w:r>
        <w:rPr>
          <w:rFonts w:hint="eastAsia"/>
          <w:kern w:val="0"/>
          <w:sz w:val="24"/>
          <w:szCs w:val="24"/>
        </w:rPr>
        <w:t>2、风险管理和内部风险控制体系结构</w:t>
      </w:r>
    </w:p>
    <w:p>
      <w:pPr>
        <w:widowControl/>
        <w:adjustRightInd w:val="0"/>
        <w:snapToGrid w:val="0"/>
        <w:spacing w:line="360" w:lineRule="auto"/>
        <w:ind w:firstLine="480" w:firstLineChars="200"/>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widowControl/>
        <w:adjustRightInd w:val="0"/>
        <w:snapToGrid w:val="0"/>
        <w:spacing w:line="360" w:lineRule="auto"/>
        <w:ind w:firstLine="480" w:firstLineChars="200"/>
        <w:rPr>
          <w:kern w:val="0"/>
          <w:sz w:val="24"/>
          <w:szCs w:val="24"/>
        </w:rPr>
      </w:pPr>
      <w:r>
        <w:rPr>
          <w:rFonts w:hint="eastAsia"/>
          <w:kern w:val="0"/>
          <w:sz w:val="24"/>
          <w:szCs w:val="24"/>
        </w:rPr>
        <w:t>（1）董事会</w:t>
      </w:r>
    </w:p>
    <w:p>
      <w:pPr>
        <w:widowControl/>
        <w:adjustRightInd w:val="0"/>
        <w:snapToGrid w:val="0"/>
        <w:spacing w:line="360" w:lineRule="auto"/>
        <w:ind w:firstLine="480" w:firstLineChars="200"/>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pPr>
        <w:widowControl/>
        <w:adjustRightInd w:val="0"/>
        <w:snapToGrid w:val="0"/>
        <w:spacing w:line="360" w:lineRule="auto"/>
        <w:ind w:firstLine="480" w:firstLineChars="200"/>
        <w:rPr>
          <w:kern w:val="0"/>
          <w:sz w:val="24"/>
          <w:szCs w:val="24"/>
        </w:rPr>
      </w:pPr>
      <w:r>
        <w:rPr>
          <w:rFonts w:hint="eastAsia"/>
          <w:kern w:val="0"/>
          <w:sz w:val="24"/>
          <w:szCs w:val="24"/>
        </w:rPr>
        <w:t>（2）合规风险及审计委员会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widowControl/>
        <w:adjustRightInd w:val="0"/>
        <w:snapToGrid w:val="0"/>
        <w:spacing w:line="360" w:lineRule="auto"/>
        <w:ind w:firstLine="480" w:firstLineChars="200"/>
        <w:rPr>
          <w:kern w:val="0"/>
          <w:sz w:val="24"/>
          <w:szCs w:val="24"/>
        </w:rPr>
      </w:pPr>
      <w:r>
        <w:rPr>
          <w:rFonts w:hint="eastAsia"/>
          <w:kern w:val="0"/>
          <w:sz w:val="24"/>
          <w:szCs w:val="24"/>
        </w:rPr>
        <w:t>（3）风险控制委员会</w:t>
      </w:r>
    </w:p>
    <w:p>
      <w:pPr>
        <w:widowControl/>
        <w:adjustRightInd w:val="0"/>
        <w:snapToGrid w:val="0"/>
        <w:spacing w:line="360" w:lineRule="auto"/>
        <w:ind w:firstLine="480" w:firstLineChars="200"/>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widowControl/>
        <w:adjustRightInd w:val="0"/>
        <w:snapToGrid w:val="0"/>
        <w:spacing w:line="360" w:lineRule="auto"/>
        <w:ind w:firstLine="480" w:firstLineChars="200"/>
        <w:rPr>
          <w:kern w:val="0"/>
          <w:sz w:val="24"/>
          <w:szCs w:val="24"/>
        </w:rPr>
      </w:pPr>
      <w:r>
        <w:rPr>
          <w:rFonts w:hint="eastAsia"/>
          <w:kern w:val="0"/>
          <w:sz w:val="24"/>
          <w:szCs w:val="24"/>
        </w:rPr>
        <w:t>（4）督察长</w:t>
      </w:r>
    </w:p>
    <w:p>
      <w:pPr>
        <w:widowControl/>
        <w:adjustRightInd w:val="0"/>
        <w:snapToGrid w:val="0"/>
        <w:spacing w:line="360" w:lineRule="auto"/>
        <w:ind w:firstLine="480" w:firstLineChars="200"/>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pPr>
        <w:widowControl/>
        <w:adjustRightInd w:val="0"/>
        <w:snapToGrid w:val="0"/>
        <w:spacing w:line="360" w:lineRule="auto"/>
        <w:ind w:firstLine="480" w:firstLineChars="200"/>
        <w:rPr>
          <w:kern w:val="0"/>
          <w:sz w:val="24"/>
          <w:szCs w:val="24"/>
        </w:rPr>
      </w:pPr>
      <w:r>
        <w:rPr>
          <w:rFonts w:hint="eastAsia"/>
          <w:kern w:val="0"/>
          <w:sz w:val="24"/>
          <w:szCs w:val="24"/>
        </w:rPr>
        <w:t>（5）风险管理部</w:t>
      </w:r>
    </w:p>
    <w:p>
      <w:pPr>
        <w:widowControl/>
        <w:adjustRightInd w:val="0"/>
        <w:snapToGrid w:val="0"/>
        <w:spacing w:line="360" w:lineRule="auto"/>
        <w:ind w:firstLine="480" w:firstLineChars="200"/>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pPr>
        <w:widowControl/>
        <w:adjustRightInd w:val="0"/>
        <w:snapToGrid w:val="0"/>
        <w:spacing w:line="360" w:lineRule="auto"/>
        <w:ind w:firstLine="480" w:firstLineChars="200"/>
        <w:rPr>
          <w:kern w:val="0"/>
          <w:sz w:val="24"/>
          <w:szCs w:val="24"/>
        </w:rPr>
      </w:pPr>
      <w:r>
        <w:rPr>
          <w:rFonts w:hint="eastAsia"/>
          <w:kern w:val="0"/>
          <w:sz w:val="24"/>
          <w:szCs w:val="24"/>
        </w:rPr>
        <w:t>（6）审计部</w:t>
      </w:r>
    </w:p>
    <w:p>
      <w:pPr>
        <w:widowControl/>
        <w:adjustRightInd w:val="0"/>
        <w:snapToGrid w:val="0"/>
        <w:spacing w:line="360" w:lineRule="auto"/>
        <w:ind w:firstLine="480" w:firstLineChars="200"/>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widowControl/>
        <w:adjustRightInd w:val="0"/>
        <w:snapToGrid w:val="0"/>
        <w:spacing w:line="360" w:lineRule="auto"/>
        <w:ind w:firstLine="480" w:firstLineChars="200"/>
        <w:rPr>
          <w:kern w:val="0"/>
          <w:sz w:val="24"/>
          <w:szCs w:val="24"/>
        </w:rPr>
      </w:pPr>
      <w:r>
        <w:rPr>
          <w:rFonts w:hint="eastAsia"/>
          <w:kern w:val="0"/>
          <w:sz w:val="24"/>
          <w:szCs w:val="24"/>
        </w:rPr>
        <w:t>（7）内控合规及法律事务部</w:t>
      </w:r>
    </w:p>
    <w:p>
      <w:pPr>
        <w:widowControl/>
        <w:adjustRightInd w:val="0"/>
        <w:snapToGrid w:val="0"/>
        <w:spacing w:line="360" w:lineRule="auto"/>
        <w:ind w:firstLine="480" w:firstLineChars="200"/>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widowControl/>
        <w:adjustRightInd w:val="0"/>
        <w:snapToGrid w:val="0"/>
        <w:spacing w:line="360" w:lineRule="auto"/>
        <w:ind w:firstLine="480" w:firstLineChars="200"/>
        <w:rPr>
          <w:kern w:val="0"/>
          <w:sz w:val="24"/>
          <w:szCs w:val="24"/>
        </w:rPr>
      </w:pPr>
      <w:r>
        <w:rPr>
          <w:rFonts w:hint="eastAsia"/>
          <w:kern w:val="0"/>
          <w:sz w:val="24"/>
          <w:szCs w:val="24"/>
        </w:rPr>
        <w:t>（8）业务部门</w:t>
      </w:r>
    </w:p>
    <w:p>
      <w:pPr>
        <w:widowControl/>
        <w:adjustRightInd w:val="0"/>
        <w:snapToGrid w:val="0"/>
        <w:spacing w:line="360" w:lineRule="auto"/>
        <w:ind w:firstLine="480" w:firstLineChars="200"/>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pPr>
        <w:widowControl/>
        <w:adjustRightInd w:val="0"/>
        <w:snapToGrid w:val="0"/>
        <w:spacing w:line="360" w:lineRule="auto"/>
        <w:ind w:firstLine="480" w:firstLineChars="200"/>
        <w:rPr>
          <w:kern w:val="0"/>
          <w:sz w:val="24"/>
          <w:szCs w:val="24"/>
        </w:rPr>
      </w:pPr>
      <w:r>
        <w:rPr>
          <w:rFonts w:hint="eastAsia"/>
          <w:kern w:val="0"/>
          <w:sz w:val="24"/>
          <w:szCs w:val="24"/>
        </w:rPr>
        <w:t>3、风险管理和内部风险控制的措施</w:t>
      </w:r>
    </w:p>
    <w:p>
      <w:pPr>
        <w:widowControl/>
        <w:adjustRightInd w:val="0"/>
        <w:snapToGrid w:val="0"/>
        <w:spacing w:line="360" w:lineRule="auto"/>
        <w:ind w:firstLine="480" w:firstLineChars="200"/>
        <w:rPr>
          <w:kern w:val="0"/>
          <w:sz w:val="24"/>
          <w:szCs w:val="24"/>
        </w:rPr>
      </w:pPr>
      <w:r>
        <w:rPr>
          <w:rFonts w:hint="eastAsia"/>
          <w:kern w:val="0"/>
          <w:sz w:val="24"/>
          <w:szCs w:val="24"/>
        </w:rPr>
        <w:t>（1）建立内控体系，完善内控制度</w:t>
      </w:r>
    </w:p>
    <w:p>
      <w:pPr>
        <w:widowControl/>
        <w:adjustRightInd w:val="0"/>
        <w:snapToGrid w:val="0"/>
        <w:spacing w:line="360" w:lineRule="auto"/>
        <w:ind w:firstLine="480" w:firstLineChars="200"/>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pPr>
        <w:widowControl/>
        <w:adjustRightInd w:val="0"/>
        <w:snapToGrid w:val="0"/>
        <w:spacing w:line="360" w:lineRule="auto"/>
        <w:ind w:firstLine="480" w:firstLineChars="200"/>
        <w:rPr>
          <w:kern w:val="0"/>
          <w:sz w:val="24"/>
          <w:szCs w:val="24"/>
        </w:rPr>
      </w:pPr>
      <w:r>
        <w:rPr>
          <w:rFonts w:hint="eastAsia"/>
          <w:kern w:val="0"/>
          <w:sz w:val="24"/>
          <w:szCs w:val="24"/>
        </w:rPr>
        <w:t>（2）建立相互分离、相互制衡的内控机制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pPr>
        <w:widowControl/>
        <w:adjustRightInd w:val="0"/>
        <w:snapToGrid w:val="0"/>
        <w:spacing w:line="360" w:lineRule="auto"/>
        <w:ind w:firstLine="480" w:firstLineChars="200"/>
        <w:rPr>
          <w:kern w:val="0"/>
          <w:sz w:val="24"/>
          <w:szCs w:val="24"/>
        </w:rPr>
      </w:pPr>
      <w:r>
        <w:rPr>
          <w:rFonts w:hint="eastAsia"/>
          <w:kern w:val="0"/>
          <w:sz w:val="24"/>
          <w:szCs w:val="24"/>
        </w:rPr>
        <w:t>（3）建立、健全岗位责任制</w:t>
      </w:r>
    </w:p>
    <w:p>
      <w:pPr>
        <w:widowControl/>
        <w:adjustRightInd w:val="0"/>
        <w:snapToGrid w:val="0"/>
        <w:spacing w:line="360" w:lineRule="auto"/>
        <w:ind w:firstLine="480" w:firstLineChars="200"/>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pPr>
        <w:widowControl/>
        <w:adjustRightInd w:val="0"/>
        <w:snapToGrid w:val="0"/>
        <w:spacing w:line="360" w:lineRule="auto"/>
        <w:ind w:firstLine="480" w:firstLineChars="200"/>
        <w:rPr>
          <w:kern w:val="0"/>
          <w:sz w:val="24"/>
          <w:szCs w:val="24"/>
        </w:rPr>
      </w:pPr>
      <w:r>
        <w:rPr>
          <w:rFonts w:hint="eastAsia"/>
          <w:kern w:val="0"/>
          <w:sz w:val="24"/>
          <w:szCs w:val="24"/>
        </w:rPr>
        <w:t>（4）建立风险分类、识别、评估、报告、提示程序</w:t>
      </w:r>
    </w:p>
    <w:p>
      <w:pPr>
        <w:widowControl/>
        <w:adjustRightInd w:val="0"/>
        <w:snapToGrid w:val="0"/>
        <w:spacing w:line="360" w:lineRule="auto"/>
        <w:ind w:firstLine="480" w:firstLineChars="200"/>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widowControl/>
        <w:adjustRightInd w:val="0"/>
        <w:snapToGrid w:val="0"/>
        <w:spacing w:line="360" w:lineRule="auto"/>
        <w:ind w:firstLine="480" w:firstLineChars="200"/>
        <w:rPr>
          <w:kern w:val="0"/>
          <w:sz w:val="24"/>
          <w:szCs w:val="24"/>
        </w:rPr>
      </w:pPr>
      <w:r>
        <w:rPr>
          <w:rFonts w:hint="eastAsia"/>
          <w:kern w:val="0"/>
          <w:sz w:val="24"/>
          <w:szCs w:val="24"/>
        </w:rPr>
        <w:t>（5）建立有效的内部监控系统</w:t>
      </w:r>
    </w:p>
    <w:p>
      <w:pPr>
        <w:widowControl/>
        <w:adjustRightInd w:val="0"/>
        <w:snapToGrid w:val="0"/>
        <w:spacing w:line="360" w:lineRule="auto"/>
        <w:ind w:firstLine="480" w:firstLineChars="200"/>
        <w:rPr>
          <w:kern w:val="0"/>
          <w:sz w:val="24"/>
          <w:szCs w:val="24"/>
        </w:rPr>
      </w:pPr>
      <w:r>
        <w:rPr>
          <w:rFonts w:hint="eastAsia"/>
          <w:kern w:val="0"/>
          <w:sz w:val="24"/>
          <w:szCs w:val="24"/>
        </w:rPr>
        <w:t>建立了足够、有效的内部监控系统，对可能出现的各种风险进行全面和实时的监控。</w:t>
      </w:r>
    </w:p>
    <w:p>
      <w:pPr>
        <w:widowControl/>
        <w:adjustRightInd w:val="0"/>
        <w:snapToGrid w:val="0"/>
        <w:spacing w:line="360" w:lineRule="auto"/>
        <w:ind w:firstLine="480" w:firstLineChars="200"/>
        <w:rPr>
          <w:kern w:val="0"/>
          <w:sz w:val="24"/>
          <w:szCs w:val="24"/>
        </w:rPr>
      </w:pPr>
      <w:r>
        <w:rPr>
          <w:rFonts w:hint="eastAsia"/>
          <w:kern w:val="0"/>
          <w:sz w:val="24"/>
          <w:szCs w:val="24"/>
        </w:rPr>
        <w:t>（6）使用数量化的风险管理手段</w:t>
      </w:r>
    </w:p>
    <w:p>
      <w:pPr>
        <w:widowControl/>
        <w:adjustRightInd w:val="0"/>
        <w:snapToGrid w:val="0"/>
        <w:spacing w:line="360" w:lineRule="auto"/>
        <w:ind w:firstLine="480" w:firstLineChars="200"/>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pPr>
        <w:widowControl/>
        <w:adjustRightInd w:val="0"/>
        <w:snapToGrid w:val="0"/>
        <w:spacing w:line="360" w:lineRule="auto"/>
        <w:ind w:firstLine="480" w:firstLineChars="200"/>
        <w:rPr>
          <w:kern w:val="0"/>
          <w:sz w:val="24"/>
          <w:szCs w:val="24"/>
        </w:rPr>
      </w:pPr>
      <w:r>
        <w:rPr>
          <w:rFonts w:hint="eastAsia"/>
          <w:kern w:val="0"/>
          <w:sz w:val="24"/>
          <w:szCs w:val="24"/>
        </w:rPr>
        <w:t>（7）提供足够的培训</w:t>
      </w:r>
    </w:p>
    <w:p>
      <w:pPr>
        <w:widowControl/>
        <w:adjustRightInd w:val="0"/>
        <w:snapToGrid w:val="0"/>
        <w:spacing w:line="360" w:lineRule="auto"/>
        <w:ind w:firstLine="480" w:firstLineChars="200"/>
        <w:rPr>
          <w:kern w:val="0"/>
          <w:sz w:val="24"/>
          <w:szCs w:val="24"/>
        </w:rPr>
      </w:pPr>
      <w:r>
        <w:rPr>
          <w:rFonts w:hint="eastAsia"/>
          <w:kern w:val="0"/>
          <w:sz w:val="24"/>
          <w:szCs w:val="24"/>
        </w:rPr>
        <w:t>制定了完整的培训计划，为所有员工提供足够和适当的培训，使员工明确其职责所在，控制风险。</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10" w:name="_Toc14190"/>
      <w:bookmarkStart w:id="11" w:name="_Toc147840622"/>
      <w:r>
        <w:rPr>
          <w:rFonts w:hint="eastAsia" w:ascii="Times New Roman" w:hAnsi="Times New Roman"/>
          <w:sz w:val="30"/>
        </w:rPr>
        <w:t>四、基金托管人</w:t>
      </w:r>
      <w:bookmarkEnd w:id="10"/>
      <w:bookmarkEnd w:id="11"/>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（一）基金托管人基本情况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名称：中国工商银行股份有限公司</w:t>
      </w:r>
      <w:r>
        <w:rPr>
          <w:rFonts w:hint="eastAsia" w:ascii="宋体" w:hAnsi="宋体"/>
          <w:sz w:val="24"/>
        </w:rPr>
        <w:t>（以下简称“中国工商银行”）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注册地址：北京市西城区复兴门内大街55号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成立时间：1984年1月1日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w:t>
      </w:r>
      <w:r>
        <w:rPr>
          <w:rFonts w:hint="eastAsia"/>
          <w:bCs/>
          <w:sz w:val="24"/>
        </w:rPr>
        <w:t>廖林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注册资本：人民币35,640,625.71万元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联系电话：010-66105799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联系人：郭明</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（二）主要人员情况</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截至2024年12月，中国工商银行资产托管部共有员工208人，平均年龄38岁，</w:t>
      </w:r>
      <w:r>
        <w:rPr>
          <w:rFonts w:ascii="宋体" w:hAnsi="宋体"/>
          <w:sz w:val="24"/>
        </w:rPr>
        <w:t>99%以上员工拥有大学本科以上学历，高管人员均拥有研究生以上学历或高级技术职称。</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2024年12月，中国工商银行共托管证券投资基金1442只。自2003年以来，</w:t>
      </w:r>
      <w:r>
        <w:rPr>
          <w:rFonts w:hint="eastAsia" w:ascii="宋体" w:hAnsi="宋体"/>
          <w:sz w:val="24"/>
        </w:rPr>
        <w:t>中国工商银行</w:t>
      </w:r>
      <w:r>
        <w:rPr>
          <w:rFonts w:ascii="宋体" w:hAnsi="宋体"/>
          <w:sz w:val="24"/>
        </w:rPr>
        <w:t>连续二十一年获得香港《亚洲货币》、英国《全球托管人》、香港《财资》、美国《环球金融》、内地《证券时报》、《上海证券报》等境内外权威财经媒体评选的105项最佳托管银行大奖；是获得奖项最多的国内托管银行，优良的服务品质获得国内外金融领域的持续认可和广泛好评。</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（四）基金托管人的内部控制情况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工商银行资产托管部在风险管理的实操过程中根据国际公认的内部控制COSO准则从内部环境、风险评估、控制活动、信息与沟通、监督与评价五个方面构建起了托管业务内部风险控制体系，并纳入统一的风险管理体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2005年至今，中国工商银行资产托管部共十七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w:t>
      </w:r>
      <w:r>
        <w:rPr>
          <w:rFonts w:hint="eastAsia" w:ascii="宋体" w:hAnsi="宋体"/>
          <w:sz w:val="24"/>
        </w:rPr>
        <w:t>、</w:t>
      </w:r>
      <w:r>
        <w:rPr>
          <w:rFonts w:ascii="宋体" w:hAnsi="宋体"/>
          <w:sz w:val="24"/>
        </w:rPr>
        <w:t>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（1）资产托管业务经营管理合法合规；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（2）促进实现资产托管业务发展战略和经营目标；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（3）资产托管业务风险管理的有效性和资产安全；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（4）提高资产托管经营效率和效果；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（5）业务记录、会计信息和其他经营管理相关信息的真实、准确、完整、及时。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w:t>
      </w:r>
      <w:r>
        <w:rPr>
          <w:rFonts w:hint="eastAsia" w:ascii="宋体" w:hAnsi="宋体"/>
          <w:sz w:val="24"/>
        </w:rPr>
        <w:t>、</w:t>
      </w:r>
      <w:r>
        <w:rPr>
          <w:rFonts w:ascii="宋体" w:hAnsi="宋体"/>
          <w:sz w:val="24"/>
        </w:rPr>
        <w:t>内部控制的原则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（1）全面性原则。资产托管业务内部控制应贯穿决策、执行和监督全过程，覆盖资产托管业务各项业务流程和管理活动，覆盖所有机构、部门和从业人员。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（2）重要性原则。资产托管业务内部控制应在全面控制基础上，关注重要业务事项、重点业务环节和高风险领域。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（3）制衡性原则。资产托管业务内部控制应在机构设置、权责分配及业务流程等方面形成相互制约、相互监督的机制，同时兼顾运营效率。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（4）适应性原则。资产托管业务内部控制应当与经营规模、业务范围和风险特点相适应，并进行动态调整，以合理成本实现内部控制目标。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（5）审慎性原则。资产托管业务内部控制应坚持风险为本、审慎经营的理念，设立机构或开展各项经营管理活动均应坚持内控优先。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（6）成本效益原则。资产托管业务内部控制应权衡实施成本与预期效益，以合理成本实现有效控制。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w:t>
      </w:r>
      <w:r>
        <w:rPr>
          <w:rFonts w:hint="eastAsia" w:ascii="宋体" w:hAnsi="宋体"/>
          <w:sz w:val="24"/>
        </w:rPr>
        <w:t>、</w:t>
      </w:r>
      <w:r>
        <w:rPr>
          <w:rFonts w:ascii="宋体" w:hAnsi="宋体"/>
          <w:sz w:val="24"/>
        </w:rPr>
        <w:t>内部控制组织结构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资产托管业务内部控制纳入全行统一的内部控制体系。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总行内控合规部负责指导托管业务的内控管理工作，根据年度工作重点，定期或不定期在全行开展相关业务监督检查，将托管业务检查项目整合到全行业务监督检查工作中，将全行托管业务纳入内控评价体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（3）总行内部审计局负责对资产托管业务的审计与评价工作。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（4）一级（直属）分行资产托管业务部门作为内部控制的执行机构，负责组织开展本机构内部控制的日常运行及自查工作，及时整改、纠正、处理存在的问题。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w:t>
      </w:r>
      <w:r>
        <w:rPr>
          <w:rFonts w:hint="eastAsia" w:ascii="宋体" w:hAnsi="宋体"/>
          <w:sz w:val="24"/>
        </w:rPr>
        <w:t>、</w:t>
      </w:r>
      <w:r>
        <w:rPr>
          <w:rFonts w:ascii="宋体" w:hAnsi="宋体"/>
          <w:sz w:val="24"/>
        </w:rPr>
        <w:t>内部控制措施</w:t>
      </w:r>
    </w:p>
    <w:p>
      <w:pPr>
        <w:autoSpaceDE w:val="0"/>
        <w:autoSpaceDN w:val="0"/>
        <w:adjustRightInd w:val="0"/>
        <w:snapToGrid w:val="0"/>
        <w:spacing w:line="360" w:lineRule="auto"/>
        <w:ind w:firstLine="480" w:firstLineChars="200"/>
        <w:jc w:val="left"/>
        <w:rPr>
          <w:rFonts w:ascii="宋体" w:hAnsi="宋体"/>
          <w:szCs w:val="24"/>
        </w:rPr>
      </w:pPr>
      <w:r>
        <w:rPr>
          <w:rFonts w:hint="eastAsia" w:ascii="宋体" w:hAnsi="宋体"/>
          <w:sz w:val="24"/>
        </w:rPr>
        <w:t>中国</w:t>
      </w:r>
      <w:r>
        <w:rPr>
          <w:rFonts w:ascii="宋体" w:hAnsi="宋体"/>
          <w:sz w:val="24"/>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环境、制度、流程、岗位职责、人员、授权、创新、合同、印章、服务质量、收费、反洗钱、防止利益冲突、业务连续性、考核、信息系统等全方面执行内部控制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w:t>
      </w:r>
      <w:r>
        <w:rPr>
          <w:rFonts w:hint="eastAsia" w:ascii="宋体" w:hAnsi="宋体"/>
          <w:sz w:val="24"/>
        </w:rPr>
        <w:t>、</w:t>
      </w:r>
      <w:r>
        <w:rPr>
          <w:rFonts w:ascii="宋体" w:hAnsi="宋体"/>
          <w:sz w:val="24"/>
        </w:rPr>
        <w:t>风险控制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加强人员管理等措施，有效控制操作风险、合规风险、声誉风险、信息科技风险和次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w:t>
      </w:r>
      <w:r>
        <w:rPr>
          <w:rFonts w:hint="eastAsia" w:ascii="宋体" w:hAnsi="宋体"/>
          <w:sz w:val="24"/>
        </w:rPr>
        <w:t>、</w:t>
      </w:r>
      <w:r>
        <w:rPr>
          <w:rFonts w:ascii="宋体" w:hAnsi="宋体"/>
          <w:sz w:val="24"/>
        </w:rPr>
        <w:t>业务连续性保障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工商银行制订了完善的资产托管业务连续性工作计划和应急预案，具备行之有效的灾备恢复方案、充足的移动办公设备、同城异城相结合的备份办公场所、必要的工作人员、科学清晰的AB岗位设置及定期演练机制。在重大突发事件发生后，可根据突发事件的对托管业务连续性营运影响程度的评估，适时选择或依次启动“原场所现场+居家”、“部分同城异地+居家”、“部分异城异地+居家”、“异地全部切换”四种方案，由“总部+总行级营运中心+托管分部+境外营运机构”形成全球、全天候营运网络，向客户提供连续性服务，确保托管产品日常交易的及时清算和交割。</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基金托管人发现基金管理人有重大违规行为，应立即报告中国证监会，同时通知基金管理人限期纠正。</w:t>
      </w:r>
    </w:p>
    <w:p>
      <w:pPr>
        <w:pStyle w:val="2"/>
        <w:snapToGrid w:val="0"/>
        <w:spacing w:before="240" w:beforeLines="0" w:after="240"/>
        <w:rPr>
          <w:rFonts w:ascii="Times New Roman" w:hAnsi="Times New Roman"/>
          <w:sz w:val="30"/>
        </w:rPr>
      </w:pPr>
      <w:bookmarkStart w:id="12" w:name="_Toc147840623"/>
      <w:bookmarkStart w:id="13" w:name="_Toc7521"/>
      <w:r>
        <w:rPr>
          <w:rFonts w:ascii="Times New Roman" w:hAnsi="Times New Roman"/>
          <w:sz w:val="30"/>
        </w:rPr>
        <w:t>五、相关服务机构</w:t>
      </w:r>
      <w:bookmarkEnd w:id="12"/>
      <w:bookmarkEnd w:id="13"/>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（一）基金份额销售机构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、直销机构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本基金直销机构为基金管理人直销柜台以及基金管理人的网上直销交易平台（网站及手机</w:t>
      </w:r>
      <w:r>
        <w:rPr>
          <w:rFonts w:ascii="Times New Roman" w:hAnsi="Times New Roman"/>
          <w:sz w:val="24"/>
        </w:rPr>
        <w:t>APP</w:t>
      </w:r>
      <w:r>
        <w:rPr>
          <w:rFonts w:hint="eastAsia" w:ascii="Times New Roman" w:hAnsi="Times New Roman"/>
          <w:sz w:val="24"/>
        </w:rPr>
        <w:t>，下同）。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机构名称：交银施罗德基金管理有限公司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住所：中国</w:t>
      </w:r>
      <w:r>
        <w:rPr>
          <w:rFonts w:ascii="Times New Roman" w:hAnsi="Times New Roman"/>
          <w:sz w:val="24"/>
        </w:rPr>
        <w:t>(</w:t>
      </w:r>
      <w:r>
        <w:rPr>
          <w:rFonts w:hint="eastAsia" w:ascii="Times New Roman" w:hAnsi="Times New Roman"/>
          <w:sz w:val="24"/>
        </w:rPr>
        <w:t>上海</w:t>
      </w:r>
      <w:r>
        <w:rPr>
          <w:rFonts w:ascii="Times New Roman" w:hAnsi="Times New Roman"/>
          <w:sz w:val="24"/>
        </w:rPr>
        <w:t>)</w:t>
      </w:r>
      <w:r>
        <w:rPr>
          <w:rFonts w:hint="eastAsia" w:ascii="Times New Roman" w:hAnsi="Times New Roman"/>
          <w:sz w:val="24"/>
        </w:rPr>
        <w:t>自由贸易试验区银城中路</w:t>
      </w:r>
      <w:r>
        <w:rPr>
          <w:rFonts w:ascii="Times New Roman" w:hAnsi="Times New Roman"/>
          <w:sz w:val="24"/>
        </w:rPr>
        <w:t>188</w:t>
      </w:r>
      <w:r>
        <w:rPr>
          <w:rFonts w:hint="eastAsia" w:ascii="Times New Roman" w:hAnsi="Times New Roman"/>
          <w:sz w:val="24"/>
        </w:rPr>
        <w:t>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办公地址：上海市浦东新区世纪大道</w:t>
      </w:r>
      <w:r>
        <w:rPr>
          <w:rFonts w:ascii="Times New Roman" w:hAnsi="Times New Roman"/>
          <w:sz w:val="24"/>
        </w:rPr>
        <w:t>8</w:t>
      </w:r>
      <w:r>
        <w:rPr>
          <w:rFonts w:hint="eastAsia" w:ascii="Times New Roman" w:hAnsi="Times New Roman"/>
          <w:sz w:val="24"/>
        </w:rPr>
        <w:t>号国金中心二期</w:t>
      </w:r>
      <w:r>
        <w:rPr>
          <w:rFonts w:ascii="Times New Roman" w:hAnsi="Times New Roman"/>
          <w:sz w:val="24"/>
        </w:rPr>
        <w:t>21-22</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法定代表人：张宏良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成立时间：</w:t>
      </w:r>
      <w:r>
        <w:rPr>
          <w:rFonts w:ascii="Times New Roman" w:hAnsi="Times New Roman"/>
          <w:sz w:val="24"/>
        </w:rPr>
        <w:t>2005</w:t>
      </w:r>
      <w:r>
        <w:rPr>
          <w:rFonts w:hint="eastAsia" w:ascii="Times New Roman" w:hAnsi="Times New Roman"/>
          <w:sz w:val="24"/>
        </w:rPr>
        <w:t>年</w:t>
      </w:r>
      <w:r>
        <w:rPr>
          <w:rFonts w:ascii="Times New Roman" w:hAnsi="Times New Roman"/>
          <w:sz w:val="24"/>
        </w:rPr>
        <w:t>8</w:t>
      </w:r>
      <w:r>
        <w:rPr>
          <w:rFonts w:hint="eastAsia" w:ascii="Times New Roman" w:hAnsi="Times New Roman"/>
          <w:sz w:val="24"/>
        </w:rPr>
        <w:t>月</w:t>
      </w:r>
      <w:r>
        <w:rPr>
          <w:rFonts w:ascii="Times New Roman" w:hAnsi="Times New Roman"/>
          <w:sz w:val="24"/>
        </w:rPr>
        <w:t>4</w:t>
      </w:r>
      <w:r>
        <w:rPr>
          <w:rFonts w:hint="eastAsia" w:ascii="Times New Roman" w:hAnsi="Times New Roman"/>
          <w:sz w:val="24"/>
        </w:rPr>
        <w:t>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61055724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61055054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联系人：傅鲸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客户服务电话：</w:t>
      </w:r>
      <w:r>
        <w:rPr>
          <w:rFonts w:ascii="Times New Roman" w:hAnsi="Times New Roman"/>
          <w:sz w:val="24"/>
        </w:rPr>
        <w:t>400-700-5000</w:t>
      </w:r>
      <w:r>
        <w:rPr>
          <w:rFonts w:hint="eastAsia" w:ascii="Times New Roman" w:hAnsi="Times New Roman"/>
          <w:sz w:val="24"/>
        </w:rPr>
        <w:t>（免长途话费），（</w:t>
      </w:r>
      <w:r>
        <w:rPr>
          <w:rFonts w:ascii="Times New Roman" w:hAnsi="Times New Roman"/>
          <w:sz w:val="24"/>
        </w:rPr>
        <w:t>021</w:t>
      </w:r>
      <w:r>
        <w:rPr>
          <w:rFonts w:hint="eastAsia" w:ascii="Times New Roman" w:hAnsi="Times New Roman"/>
          <w:sz w:val="24"/>
        </w:rPr>
        <w:t>）</w:t>
      </w:r>
      <w:r>
        <w:rPr>
          <w:rFonts w:ascii="Times New Roman" w:hAnsi="Times New Roman"/>
          <w:sz w:val="24"/>
        </w:rPr>
        <w:t>61055000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个人投资者可以通过基金管理人网上直销交易平台办理开户、本基金的认购、申购、赎回等业务，具体交易细则请参阅基金管理人网站。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网上直销交易平台网址：</w:t>
      </w:r>
      <w:r>
        <w:rPr>
          <w:rFonts w:ascii="Times New Roman" w:hAnsi="Times New Roman"/>
          <w:sz w:val="24"/>
        </w:rPr>
        <w:t>www.fund001.com</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、除基金管理人之外的其他销售机构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kern w:val="0"/>
          <w:sz w:val="24"/>
        </w:rPr>
        <w:t>（</w:t>
      </w:r>
      <w:r>
        <w:rPr>
          <w:rFonts w:ascii="Times New Roman" w:hAnsi="Times New Roman"/>
          <w:kern w:val="0"/>
          <w:sz w:val="24"/>
        </w:rPr>
        <w:t>1</w:t>
      </w:r>
      <w:r>
        <w:rPr>
          <w:rFonts w:hint="eastAsia" w:ascii="Times New Roman" w:hAnsi="Times New Roman"/>
          <w:kern w:val="0"/>
          <w:sz w:val="24"/>
        </w:rPr>
        <w:t>）</w:t>
      </w:r>
      <w:r>
        <w:rPr>
          <w:rFonts w:hint="eastAsia" w:ascii="Times New Roman" w:hAnsi="Times New Roman"/>
          <w:sz w:val="24"/>
        </w:rPr>
        <w:t>名称：交通银行股份有限公司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住所：上海市浦东新区银城中路</w:t>
      </w:r>
      <w:r>
        <w:rPr>
          <w:rFonts w:ascii="Times New Roman" w:hAnsi="Times New Roman"/>
          <w:sz w:val="24"/>
        </w:rPr>
        <w:t>188</w:t>
      </w:r>
      <w:r>
        <w:rPr>
          <w:rFonts w:hint="eastAsia" w:ascii="Times New Roman" w:hAnsi="Times New Roman"/>
          <w:sz w:val="24"/>
        </w:rPr>
        <w:t>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办公地址：上海市浦东新区银城中路</w:t>
      </w:r>
      <w:r>
        <w:rPr>
          <w:rFonts w:ascii="Times New Roman" w:hAnsi="Times New Roman"/>
          <w:sz w:val="24"/>
        </w:rPr>
        <w:t>188</w:t>
      </w:r>
      <w:r>
        <w:rPr>
          <w:rFonts w:hint="eastAsia" w:ascii="Times New Roman" w:hAnsi="Times New Roman"/>
          <w:sz w:val="24"/>
        </w:rPr>
        <w:t>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法定代表人：任德奇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58781234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58408483</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联系人：范瑞波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客户服务电话：</w:t>
      </w:r>
      <w:r>
        <w:rPr>
          <w:rFonts w:ascii="Times New Roman" w:hAnsi="Times New Roman"/>
          <w:sz w:val="24"/>
        </w:rPr>
        <w:t>95559</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www.bankcomm.com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基金管理人可根据有关法律法规的要求，选择其它符合要求的机构销售本基金，并在基金管理人网站公示。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（二）登记机构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法定代表人：张宏良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电话：（021）61055461</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传真：（021）61055064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联系人：陈方强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（三）出具法律意见书的律师事务所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名称：上海市通力律师事务所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住所：上海市银城中路</w:t>
      </w:r>
      <w:r>
        <w:rPr>
          <w:rFonts w:ascii="Times New Roman" w:hAnsi="Times New Roman"/>
          <w:sz w:val="24"/>
        </w:rPr>
        <w:t>68</w:t>
      </w:r>
      <w:r>
        <w:rPr>
          <w:rFonts w:hint="eastAsia" w:ascii="Times New Roman" w:hAnsi="Times New Roman"/>
          <w:sz w:val="24"/>
        </w:rPr>
        <w:t>号时代金融中心</w:t>
      </w:r>
      <w:r>
        <w:rPr>
          <w:rFonts w:ascii="Times New Roman" w:hAnsi="Times New Roman"/>
          <w:sz w:val="24"/>
        </w:rPr>
        <w:t>19</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办公地址：上海市银城中路</w:t>
      </w:r>
      <w:r>
        <w:rPr>
          <w:rFonts w:ascii="Times New Roman" w:hAnsi="Times New Roman"/>
          <w:sz w:val="24"/>
        </w:rPr>
        <w:t>68</w:t>
      </w:r>
      <w:r>
        <w:rPr>
          <w:rFonts w:hint="eastAsia" w:ascii="Times New Roman" w:hAnsi="Times New Roman"/>
          <w:sz w:val="24"/>
        </w:rPr>
        <w:t>号时代金融中心</w:t>
      </w:r>
      <w:r>
        <w:rPr>
          <w:rFonts w:ascii="Times New Roman" w:hAnsi="Times New Roman"/>
          <w:sz w:val="24"/>
        </w:rPr>
        <w:t>18-20</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负责人：韩炯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31358666</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31358600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联系人：丁媛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经办律师：</w:t>
      </w:r>
      <w:r>
        <w:rPr>
          <w:rFonts w:ascii="Times New Roman" w:hAnsi="Times New Roman"/>
          <w:sz w:val="24"/>
        </w:rPr>
        <w:t>丁媛</w:t>
      </w:r>
      <w:r>
        <w:rPr>
          <w:rFonts w:hint="eastAsia" w:ascii="Times New Roman" w:hAnsi="Times New Roman"/>
          <w:sz w:val="24"/>
        </w:rPr>
        <w:t>、李晓露</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（四）审计基金财产的会计师事务所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名称：毕马威华振会计师事务所（特殊普通合伙）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住所：北京市东城区东长安街1号东方广场2座办公楼8层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办公地址：中国上海南京西路1266号恒隆广场2期25楼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执行事务合伙人：邹俊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电话：+86 (21) 2212 2888</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传真：+86 (21) 6288 1889</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联系人：侯雯</w:t>
      </w:r>
    </w:p>
    <w:p>
      <w:pPr>
        <w:autoSpaceDE w:val="0"/>
        <w:autoSpaceDN w:val="0"/>
        <w:adjustRightInd w:val="0"/>
        <w:spacing w:line="360" w:lineRule="auto"/>
        <w:ind w:firstLine="480" w:firstLineChars="200"/>
        <w:rPr>
          <w:rFonts w:ascii="Times New Roman" w:hAnsi="Times New Roman"/>
          <w:szCs w:val="24"/>
        </w:rPr>
      </w:pPr>
      <w:r>
        <w:rPr>
          <w:rFonts w:hint="eastAsia" w:ascii="Times New Roman" w:hAnsi="Times New Roman"/>
          <w:sz w:val="24"/>
        </w:rPr>
        <w:t>经办注册会计师：王国蓓、侯雯</w:t>
      </w:r>
    </w:p>
    <w:p>
      <w:pPr>
        <w:rPr>
          <w:rFonts w:hint="eastAsia" w:ascii="Times New Roman" w:hAnsi="Times New Roman"/>
          <w:sz w:val="30"/>
        </w:rPr>
      </w:pPr>
      <w:bookmarkStart w:id="14" w:name="_Toc147840624"/>
      <w:r>
        <w:rPr>
          <w:rFonts w:hint="eastAsia" w:ascii="Times New Roman" w:hAnsi="Times New Roman"/>
          <w:sz w:val="30"/>
        </w:rPr>
        <w:br w:type="page"/>
      </w:r>
    </w:p>
    <w:p>
      <w:pPr>
        <w:pStyle w:val="2"/>
        <w:snapToGrid w:val="0"/>
        <w:spacing w:before="240" w:beforeLines="0" w:after="240"/>
        <w:rPr>
          <w:rFonts w:ascii="Times New Roman" w:hAnsi="Times New Roman"/>
          <w:szCs w:val="30"/>
        </w:rPr>
      </w:pPr>
      <w:bookmarkStart w:id="15" w:name="_Toc23128"/>
      <w:r>
        <w:rPr>
          <w:rFonts w:hint="eastAsia" w:ascii="Times New Roman" w:hAnsi="Times New Roman"/>
          <w:sz w:val="30"/>
        </w:rPr>
        <w:t>六、基金的募集</w:t>
      </w:r>
      <w:bookmarkEnd w:id="14"/>
      <w:bookmarkEnd w:id="15"/>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（一）基金募集的依据</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本基金由基金管理人依照《基金法》、《运作办法》、《销售办法》、基金合同及其他有关规定，并经中国证监会</w:t>
      </w:r>
      <w:r>
        <w:rPr>
          <w:rFonts w:ascii="Times New Roman" w:hAnsi="Times New Roman"/>
          <w:kern w:val="0"/>
          <w:sz w:val="24"/>
        </w:rPr>
        <w:t>202</w:t>
      </w:r>
      <w:r>
        <w:rPr>
          <w:rFonts w:hint="eastAsia" w:ascii="Times New Roman" w:hAnsi="Times New Roman"/>
          <w:kern w:val="0"/>
          <w:sz w:val="24"/>
          <w:lang w:val="en-US" w:eastAsia="zh-CN"/>
        </w:rPr>
        <w:t>5</w:t>
      </w:r>
      <w:r>
        <w:rPr>
          <w:rFonts w:hint="eastAsia" w:ascii="Times New Roman" w:hAnsi="Times New Roman"/>
          <w:kern w:val="0"/>
          <w:sz w:val="24"/>
        </w:rPr>
        <w:t>年</w:t>
      </w:r>
      <w:r>
        <w:rPr>
          <w:rFonts w:hint="eastAsia" w:ascii="Times New Roman" w:hAnsi="Times New Roman"/>
          <w:kern w:val="0"/>
          <w:sz w:val="24"/>
          <w:lang w:val="en-US" w:eastAsia="zh-CN"/>
        </w:rPr>
        <w:t>12</w:t>
      </w:r>
      <w:r>
        <w:rPr>
          <w:rFonts w:hint="eastAsia" w:ascii="Times New Roman" w:hAnsi="Times New Roman"/>
          <w:kern w:val="0"/>
          <w:sz w:val="24"/>
        </w:rPr>
        <w:t>月</w:t>
      </w:r>
      <w:r>
        <w:rPr>
          <w:rFonts w:hint="eastAsia" w:ascii="Times New Roman" w:hAnsi="Times New Roman"/>
          <w:kern w:val="0"/>
          <w:sz w:val="24"/>
          <w:lang w:val="en-US" w:eastAsia="zh-CN"/>
        </w:rPr>
        <w:t>30</w:t>
      </w:r>
      <w:r>
        <w:rPr>
          <w:rFonts w:hint="eastAsia" w:ascii="Times New Roman" w:hAnsi="Times New Roman"/>
          <w:kern w:val="0"/>
          <w:sz w:val="24"/>
        </w:rPr>
        <w:t>日证监许可【</w:t>
      </w:r>
      <w:r>
        <w:rPr>
          <w:rFonts w:ascii="Times New Roman" w:hAnsi="Times New Roman"/>
          <w:kern w:val="0"/>
          <w:sz w:val="24"/>
        </w:rPr>
        <w:t>202</w:t>
      </w:r>
      <w:r>
        <w:rPr>
          <w:rFonts w:hint="eastAsia" w:ascii="Times New Roman" w:hAnsi="Times New Roman"/>
          <w:kern w:val="0"/>
          <w:sz w:val="24"/>
          <w:lang w:val="en-US" w:eastAsia="zh-CN"/>
        </w:rPr>
        <w:t>5</w:t>
      </w:r>
      <w:r>
        <w:rPr>
          <w:rFonts w:hint="eastAsia" w:ascii="Times New Roman" w:hAnsi="Times New Roman"/>
          <w:kern w:val="0"/>
          <w:sz w:val="24"/>
        </w:rPr>
        <w:t>】</w:t>
      </w:r>
      <w:r>
        <w:rPr>
          <w:rFonts w:hint="eastAsia" w:ascii="Times New Roman" w:hAnsi="Times New Roman"/>
          <w:kern w:val="0"/>
          <w:sz w:val="24"/>
          <w:lang w:val="en-US" w:eastAsia="zh-CN"/>
        </w:rPr>
        <w:t>3002</w:t>
      </w:r>
      <w:r>
        <w:rPr>
          <w:rFonts w:hint="eastAsia" w:ascii="Times New Roman" w:hAnsi="Times New Roman"/>
          <w:kern w:val="0"/>
          <w:sz w:val="24"/>
        </w:rPr>
        <w:t>号文准予募集注册。</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（二）基金类别</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股票型证券投资基金</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（三）基金运作方式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契约型开放式</w:t>
      </w:r>
    </w:p>
    <w:p>
      <w:pPr>
        <w:autoSpaceDE w:val="0"/>
        <w:autoSpaceDN w:val="0"/>
        <w:adjustRightInd w:val="0"/>
        <w:snapToGrid w:val="0"/>
        <w:spacing w:line="360" w:lineRule="auto"/>
        <w:ind w:firstLine="482" w:firstLineChars="200"/>
        <w:jc w:val="left"/>
        <w:rPr>
          <w:rFonts w:ascii="Times New Roman" w:hAnsi="Times New Roman"/>
          <w:b/>
          <w:sz w:val="24"/>
        </w:rPr>
      </w:pPr>
      <w:bookmarkStart w:id="16" w:name="_Hlk49341725"/>
      <w:r>
        <w:rPr>
          <w:rFonts w:hint="eastAsia" w:ascii="Times New Roman" w:hAnsi="Times New Roman"/>
          <w:b/>
          <w:sz w:val="24"/>
        </w:rPr>
        <w:t>（四）基金存续期限</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不定期</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（五）基金份额类别</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本基金根据认购</w:t>
      </w:r>
      <w:r>
        <w:rPr>
          <w:rFonts w:ascii="Times New Roman" w:hAnsi="Times New Roman"/>
          <w:sz w:val="24"/>
        </w:rPr>
        <w:t>/</w:t>
      </w:r>
      <w:r>
        <w:rPr>
          <w:rFonts w:hint="eastAsia" w:ascii="Times New Roman" w:hAnsi="Times New Roman"/>
          <w:sz w:val="24"/>
        </w:rPr>
        <w:t>申购费用、销售服务费收取方式的不同，将基金份额分为不同的类别。在投资人认购</w:t>
      </w:r>
      <w:r>
        <w:rPr>
          <w:rFonts w:ascii="Times New Roman" w:hAnsi="Times New Roman"/>
          <w:sz w:val="24"/>
        </w:rPr>
        <w:t>/</w:t>
      </w:r>
      <w:r>
        <w:rPr>
          <w:rFonts w:hint="eastAsia" w:ascii="Times New Roman" w:hAnsi="Times New Roman"/>
          <w:sz w:val="24"/>
        </w:rPr>
        <w:t>申购时收取认购</w:t>
      </w:r>
      <w:r>
        <w:rPr>
          <w:rFonts w:ascii="Times New Roman" w:hAnsi="Times New Roman"/>
          <w:sz w:val="24"/>
        </w:rPr>
        <w:t>/</w:t>
      </w:r>
      <w:r>
        <w:rPr>
          <w:rFonts w:hint="eastAsia" w:ascii="Times New Roman" w:hAnsi="Times New Roman"/>
          <w:sz w:val="24"/>
        </w:rPr>
        <w:t>申购费用</w:t>
      </w:r>
      <w:r>
        <w:rPr>
          <w:rFonts w:hint="eastAsia" w:ascii="Times New Roman" w:hAnsi="Times New Roman"/>
          <w:bCs/>
          <w:sz w:val="24"/>
        </w:rPr>
        <w:t>、</w:t>
      </w:r>
      <w:r>
        <w:rPr>
          <w:rFonts w:hint="eastAsia" w:ascii="Times New Roman" w:hAnsi="Times New Roman"/>
          <w:sz w:val="24"/>
        </w:rPr>
        <w:t>不从本类别基金资产中计提销售服务费的，称为</w:t>
      </w:r>
      <w:r>
        <w:rPr>
          <w:rFonts w:ascii="Times New Roman" w:hAnsi="Times New Roman"/>
          <w:sz w:val="24"/>
        </w:rPr>
        <w:t>A</w:t>
      </w:r>
      <w:r>
        <w:rPr>
          <w:rFonts w:hint="eastAsia" w:ascii="Times New Roman" w:hAnsi="Times New Roman"/>
          <w:sz w:val="24"/>
        </w:rPr>
        <w:t>类基金份额</w:t>
      </w:r>
      <w:r>
        <w:rPr>
          <w:rFonts w:hint="eastAsia" w:hAnsi="宋体"/>
          <w:bCs/>
          <w:sz w:val="24"/>
        </w:rPr>
        <w:t>（其中，对于投资人通过直销机构认购/申购的A类基金份额，不收取认购/申购费用）</w:t>
      </w:r>
      <w:r>
        <w:rPr>
          <w:rFonts w:hint="eastAsia" w:ascii="Times New Roman" w:hAnsi="Times New Roman"/>
          <w:sz w:val="24"/>
        </w:rPr>
        <w:t>；在投资人认购</w:t>
      </w:r>
      <w:r>
        <w:rPr>
          <w:rFonts w:ascii="Times New Roman" w:hAnsi="Times New Roman"/>
          <w:sz w:val="24"/>
        </w:rPr>
        <w:t>/</w:t>
      </w:r>
      <w:r>
        <w:rPr>
          <w:rFonts w:hint="eastAsia" w:ascii="Times New Roman" w:hAnsi="Times New Roman"/>
          <w:sz w:val="24"/>
        </w:rPr>
        <w:t>申购时不收取认购</w:t>
      </w:r>
      <w:r>
        <w:rPr>
          <w:rFonts w:ascii="Times New Roman" w:hAnsi="Times New Roman"/>
          <w:sz w:val="24"/>
        </w:rPr>
        <w:t>/</w:t>
      </w:r>
      <w:r>
        <w:rPr>
          <w:rFonts w:hint="eastAsia" w:ascii="Times New Roman" w:hAnsi="Times New Roman"/>
          <w:sz w:val="24"/>
        </w:rPr>
        <w:t>申购</w:t>
      </w:r>
      <w:r>
        <w:rPr>
          <w:rFonts w:hint="eastAsia" w:ascii="Times New Roman" w:hAnsi="Times New Roman"/>
          <w:bCs/>
          <w:sz w:val="24"/>
        </w:rPr>
        <w:t>费用、</w:t>
      </w:r>
      <w:r>
        <w:rPr>
          <w:rFonts w:hint="eastAsia" w:ascii="Times New Roman" w:hAnsi="Times New Roman"/>
          <w:sz w:val="24"/>
        </w:rPr>
        <w:t>从本类别基金资产中计提销售服务费的，称为</w:t>
      </w:r>
      <w:r>
        <w:rPr>
          <w:rFonts w:ascii="Times New Roman" w:hAnsi="Times New Roman"/>
          <w:sz w:val="24"/>
        </w:rPr>
        <w:t>C</w:t>
      </w:r>
      <w:r>
        <w:rPr>
          <w:rFonts w:hint="eastAsia" w:ascii="Times New Roman" w:hAnsi="Times New Roman"/>
          <w:sz w:val="24"/>
        </w:rPr>
        <w:t>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类基金份额分别设置基金代码。由于基金费用的不同，本基金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类基金份额将分别计算基金份额净值并单独公告。投资者可自行选择认购</w:t>
      </w:r>
      <w:r>
        <w:rPr>
          <w:rFonts w:ascii="Times New Roman" w:hAnsi="Times New Roman"/>
          <w:sz w:val="24"/>
        </w:rPr>
        <w:t>/</w:t>
      </w:r>
      <w:r>
        <w:rPr>
          <w:rFonts w:hint="eastAsia" w:ascii="Times New Roman" w:hAnsi="Times New Roman"/>
          <w:sz w:val="24"/>
        </w:rPr>
        <w:t>申购的基金份额类别。本基金不同基金份额类别之间</w:t>
      </w:r>
      <w:r>
        <w:rPr>
          <w:rFonts w:hint="eastAsia" w:ascii="Times New Roman" w:hAnsi="Times New Roman"/>
          <w:bCs/>
          <w:sz w:val="24"/>
        </w:rPr>
        <w:t>暂不开通互相转换业务。如后续开通此项业务的，无需召开基金份额持有人大会审议，但调整前基金管理人需及时公告</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募集期内，基金份额通过各销售机构向投资人公开发售。募集期间个人投资者可以通过基金管理人网上直销交易平台办理开户和本基金的认购业务。具体请见基金份额发售公告以及基金管理人网站。除法律法规或中国证监会另有规定外，任何与基金份额发售有关的当事人不得预留和提前发售基金份额。</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、基金份额的发售时间、方式和对象</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）募集期限：自基金份额发售之日起不超过</w:t>
      </w:r>
      <w:r>
        <w:rPr>
          <w:rFonts w:ascii="Times New Roman" w:hAnsi="Times New Roman"/>
          <w:sz w:val="24"/>
        </w:rPr>
        <w:t>3</w:t>
      </w:r>
      <w:r>
        <w:rPr>
          <w:rFonts w:hint="eastAsia" w:ascii="Times New Roman" w:hAnsi="Times New Roman"/>
          <w:sz w:val="24"/>
        </w:rPr>
        <w:t>个月。本基金自</w:t>
      </w:r>
      <w:r>
        <w:rPr>
          <w:rFonts w:ascii="Times New Roman" w:hAnsi="Times New Roman"/>
          <w:sz w:val="24"/>
        </w:rPr>
        <w:t>202</w:t>
      </w:r>
      <w:r>
        <w:rPr>
          <w:rFonts w:hint="eastAsia" w:ascii="Times New Roman" w:hAnsi="Times New Roman"/>
          <w:sz w:val="24"/>
          <w:lang w:val="en-US" w:eastAsia="zh-CN"/>
        </w:rPr>
        <w:t>6</w:t>
      </w:r>
      <w:r>
        <w:rPr>
          <w:rFonts w:ascii="Times New Roman" w:hAnsi="Times New Roman"/>
          <w:sz w:val="24"/>
        </w:rPr>
        <w:t>年</w:t>
      </w:r>
      <w:r>
        <w:rPr>
          <w:rFonts w:hint="eastAsia" w:ascii="Times New Roman" w:hAnsi="Times New Roman"/>
          <w:sz w:val="24"/>
          <w:lang w:val="en-US" w:eastAsia="zh-CN"/>
        </w:rPr>
        <w:t>1</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sz w:val="24"/>
        </w:rPr>
        <w:t>起至</w:t>
      </w:r>
      <w:r>
        <w:rPr>
          <w:rFonts w:ascii="Times New Roman" w:hAnsi="Times New Roman"/>
          <w:sz w:val="24"/>
        </w:rPr>
        <w:t>202</w:t>
      </w:r>
      <w:r>
        <w:rPr>
          <w:rFonts w:hint="eastAsia" w:ascii="Times New Roman" w:hAnsi="Times New Roman"/>
          <w:sz w:val="24"/>
          <w:lang w:val="en-US" w:eastAsia="zh-CN"/>
        </w:rPr>
        <w:t>6</w:t>
      </w:r>
      <w:r>
        <w:rPr>
          <w:rFonts w:ascii="Times New Roman" w:hAnsi="Times New Roman"/>
          <w:sz w:val="24"/>
        </w:rPr>
        <w:t>年</w:t>
      </w:r>
      <w:r>
        <w:rPr>
          <w:rFonts w:hint="eastAsia" w:ascii="Times New Roman" w:hAnsi="Times New Roman"/>
          <w:sz w:val="24"/>
          <w:lang w:val="en-US" w:eastAsia="zh-CN"/>
        </w:rPr>
        <w:t>2</w:t>
      </w:r>
      <w:r>
        <w:rPr>
          <w:rFonts w:ascii="Times New Roman" w:hAnsi="Times New Roman"/>
          <w:sz w:val="24"/>
        </w:rPr>
        <w:t>月</w:t>
      </w:r>
      <w:r>
        <w:rPr>
          <w:rFonts w:hint="eastAsia" w:ascii="Times New Roman" w:hAnsi="Times New Roman"/>
          <w:sz w:val="24"/>
          <w:lang w:val="en-US" w:eastAsia="zh-CN"/>
        </w:rPr>
        <w:t>6</w:t>
      </w:r>
      <w:r>
        <w:rPr>
          <w:rFonts w:ascii="Times New Roman" w:hAnsi="Times New Roman"/>
          <w:sz w:val="24"/>
        </w:rPr>
        <w:t>日</w:t>
      </w:r>
      <w:r>
        <w:rPr>
          <w:rFonts w:hint="eastAsia" w:ascii="Times New Roman" w:hAnsi="Times New Roman"/>
          <w:sz w:val="24"/>
        </w:rPr>
        <w:t>止通过销售机构公开发售（详见基金份额发售公告及销售机构相关公告）。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）销售渠道：销售机构具体名单见基金份额发售公告以及基金管理人网站。</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）销售对象：符合法律法规规定的可投资于证券投资基金的个人投资者、机构投资者、合格境外投资者</w:t>
      </w:r>
      <w:r>
        <w:rPr>
          <w:rFonts w:hint="eastAsia"/>
          <w:bCs/>
          <w:sz w:val="24"/>
        </w:rPr>
        <w:t>、发起资金提供方</w:t>
      </w:r>
      <w:r>
        <w:rPr>
          <w:rFonts w:hint="eastAsia" w:ascii="Times New Roman" w:hAnsi="Times New Roman"/>
          <w:sz w:val="24"/>
        </w:rPr>
        <w:t>以及法律法规或中国证监会允许购买证券投资基金的其他投资人。</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、基金份额的认购和持有限制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）基金份额的认购采用金额认购方式。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）投资人认购基金份额采用全额缴款的认购方式。投资人认购时，需按销售机构规定的方式备足认购的金额。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）投资人在募集期内可以多次认购基金份额，认购申请一经登记机构受理不得撤销。</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）直销机构接受首次认购申请的最低金额为单笔</w:t>
      </w:r>
      <w:r>
        <w:rPr>
          <w:rFonts w:ascii="Times New Roman" w:hAnsi="Times New Roman"/>
          <w:sz w:val="24"/>
        </w:rPr>
        <w:t>100</w:t>
      </w:r>
      <w:r>
        <w:rPr>
          <w:rFonts w:hint="eastAsia" w:ascii="Times New Roman" w:hAnsi="Times New Roman"/>
          <w:sz w:val="24"/>
        </w:rPr>
        <w:t>万元，追加认购的最低金额为单笔</w:t>
      </w:r>
      <w:r>
        <w:rPr>
          <w:rFonts w:ascii="Times New Roman" w:hAnsi="Times New Roman"/>
          <w:sz w:val="24"/>
        </w:rPr>
        <w:t>10</w:t>
      </w:r>
      <w:r>
        <w:rPr>
          <w:rFonts w:hint="eastAsia" w:ascii="Times New Roman" w:hAnsi="Times New Roman"/>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rFonts w:ascii="Times New Roman" w:hAnsi="Times New Roman"/>
          <w:sz w:val="24"/>
        </w:rPr>
        <w:t>1</w:t>
      </w:r>
      <w:r>
        <w:rPr>
          <w:rFonts w:hint="eastAsia" w:ascii="Times New Roman" w:hAnsi="Times New Roman"/>
          <w:sz w:val="24"/>
        </w:rPr>
        <w:t>元。本基金直销机构单笔认购最低金额可由基金管理人酌情调整。其他销售机构接受认购申请的最低金额为单笔</w:t>
      </w:r>
      <w:r>
        <w:rPr>
          <w:rFonts w:ascii="Times New Roman" w:hAnsi="Times New Roman"/>
          <w:sz w:val="24"/>
        </w:rPr>
        <w:t>1</w:t>
      </w:r>
      <w:r>
        <w:rPr>
          <w:rFonts w:hint="eastAsia" w:ascii="Times New Roman" w:hAnsi="Times New Roman"/>
          <w:sz w:val="24"/>
        </w:rPr>
        <w:t>元，如果销售机构业务规则规定的最低单笔认购金额高于</w:t>
      </w:r>
      <w:r>
        <w:rPr>
          <w:rFonts w:ascii="Times New Roman" w:hAnsi="Times New Roman"/>
          <w:sz w:val="24"/>
        </w:rPr>
        <w:t>1</w:t>
      </w:r>
      <w:r>
        <w:rPr>
          <w:rFonts w:hint="eastAsia" w:ascii="Times New Roman" w:hAnsi="Times New Roman"/>
          <w:sz w:val="24"/>
        </w:rPr>
        <w:t>元，以该销售机构的规定为准。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）发起资金提供方认购本基金的总金额不少于1000万元人民币，且持有期限自基金合同生效之日起不少于3年，法律法规和监管机构另有规定的除外。本基金发起资金的认购情况见基金管理人届时发布的公告。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（6）基金管理人可以对募集期间的单个投资人的累计认购金额进行限制，具体限制和处理方法请参看相关公告。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（7）如本基金单个投资人累计认购的基金份额数超过基金总份额的</w:t>
      </w:r>
      <w:r>
        <w:rPr>
          <w:rFonts w:ascii="Times New Roman" w:hAnsi="Times New Roman"/>
          <w:sz w:val="24"/>
        </w:rPr>
        <w:t>50%</w:t>
      </w:r>
      <w:r>
        <w:rPr>
          <w:rFonts w:hint="eastAsia" w:ascii="Times New Roman" w:hAnsi="Times New Roman"/>
          <w:sz w:val="24"/>
        </w:rPr>
        <w:t>，基金管理人可以采取比例确认等方式对该投资人的认购申请进行限制。基金管理人接受某笔或者某些认购申请有可能导致投资者变相规避前述</w:t>
      </w:r>
      <w:r>
        <w:rPr>
          <w:rFonts w:ascii="Times New Roman" w:hAnsi="Times New Roman"/>
          <w:sz w:val="24"/>
        </w:rPr>
        <w:t>50%</w:t>
      </w:r>
      <w:r>
        <w:rPr>
          <w:rFonts w:hint="eastAsia" w:ascii="Times New Roman" w:hAnsi="Times New Roman"/>
          <w:sz w:val="24"/>
        </w:rPr>
        <w:t>比例要求的，基金管理人有权拒绝该等全部或者部分认购申请。投资人认购的基金份额数以基金合同生效后登记机构的确认为准。</w:t>
      </w:r>
      <w:r>
        <w:rPr>
          <w:rFonts w:hint="eastAsia"/>
          <w:bCs/>
          <w:sz w:val="24"/>
        </w:rPr>
        <w:t>基金管理人、基金管理人高级管理人员或基金经理等人员作为发起资金提供方的认购申请不受上述比例限制。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（8）基金管理人可以对募集期间的本基金募集规模设置上限。募集期内超过募集规模上限时，基金管理人可以采用比例确认或其他方式进行确认，具体办法参见基金份额发售公告。</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、基金份额的面值、认购费用、认购价格及认购份额的计算公式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）面值、认购价格：本基金基金份额的初始面值、认购价格为</w:t>
      </w:r>
      <w:r>
        <w:rPr>
          <w:rFonts w:ascii="Times New Roman" w:hAnsi="Times New Roman"/>
          <w:sz w:val="24"/>
        </w:rPr>
        <w:t>1.00</w:t>
      </w:r>
      <w:r>
        <w:rPr>
          <w:rFonts w:hint="eastAsia" w:ascii="Times New Roman" w:hAnsi="Times New Roman"/>
          <w:sz w:val="24"/>
        </w:rPr>
        <w:t>元</w:t>
      </w:r>
      <w:r>
        <w:rPr>
          <w:rFonts w:ascii="Times New Roman" w:hAnsi="Times New Roman"/>
          <w:sz w:val="24"/>
        </w:rPr>
        <w:t>/</w:t>
      </w:r>
      <w:r>
        <w:rPr>
          <w:rFonts w:hint="eastAsia" w:ascii="Times New Roman" w:hAnsi="Times New Roman"/>
          <w:sz w:val="24"/>
        </w:rPr>
        <w:t>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）认购费率</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本基金基金份额分为</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类基金份额。基金投资者认购</w:t>
      </w:r>
      <w:r>
        <w:rPr>
          <w:rFonts w:ascii="Times New Roman" w:hAnsi="Times New Roman"/>
          <w:sz w:val="24"/>
        </w:rPr>
        <w:t>A</w:t>
      </w:r>
      <w:r>
        <w:rPr>
          <w:rFonts w:hint="eastAsia" w:ascii="Times New Roman" w:hAnsi="Times New Roman"/>
          <w:sz w:val="24"/>
        </w:rPr>
        <w:t>类基金份额在认购时支付认购费用</w:t>
      </w:r>
      <w:r>
        <w:rPr>
          <w:rFonts w:hint="eastAsia"/>
          <w:bCs/>
          <w:sz w:val="24"/>
          <w:lang w:eastAsia="zh-CN"/>
        </w:rPr>
        <w:t>（其中，通过直销机构认购</w:t>
      </w:r>
      <w:r>
        <w:rPr>
          <w:rFonts w:hint="eastAsia"/>
          <w:bCs/>
          <w:sz w:val="24"/>
          <w:lang w:val="en-US" w:eastAsia="zh-CN"/>
        </w:rPr>
        <w:t>时</w:t>
      </w:r>
      <w:r>
        <w:rPr>
          <w:rFonts w:hint="eastAsia"/>
          <w:bCs/>
          <w:sz w:val="24"/>
          <w:lang w:eastAsia="zh-CN"/>
        </w:rPr>
        <w:t>不</w:t>
      </w:r>
      <w:r>
        <w:rPr>
          <w:rFonts w:hint="eastAsia"/>
          <w:bCs/>
          <w:sz w:val="24"/>
          <w:lang w:val="en-US" w:eastAsia="zh-CN"/>
        </w:rPr>
        <w:t>支付</w:t>
      </w:r>
      <w:r>
        <w:rPr>
          <w:rFonts w:hint="eastAsia"/>
          <w:bCs/>
          <w:sz w:val="24"/>
          <w:lang w:eastAsia="zh-CN"/>
        </w:rPr>
        <w:t>认购费用）</w:t>
      </w:r>
      <w:r>
        <w:rPr>
          <w:rFonts w:hint="eastAsia" w:ascii="Times New Roman" w:hAnsi="Times New Roman"/>
          <w:sz w:val="24"/>
          <w:lang w:eastAsia="zh-CN"/>
        </w:rPr>
        <w:t>，</w:t>
      </w:r>
      <w:r>
        <w:rPr>
          <w:rFonts w:hint="eastAsia" w:ascii="Times New Roman" w:hAnsi="Times New Roman"/>
          <w:sz w:val="24"/>
        </w:rPr>
        <w:t>基金投资者认购</w:t>
      </w:r>
      <w:r>
        <w:rPr>
          <w:rFonts w:ascii="Times New Roman" w:hAnsi="Times New Roman"/>
          <w:sz w:val="24"/>
        </w:rPr>
        <w:t>C</w:t>
      </w:r>
      <w:r>
        <w:rPr>
          <w:rFonts w:hint="eastAsia" w:ascii="Times New Roman" w:hAnsi="Times New Roman"/>
          <w:sz w:val="24"/>
        </w:rPr>
        <w:t>类基金份额不</w:t>
      </w:r>
      <w:r>
        <w:rPr>
          <w:rFonts w:hint="eastAsia" w:ascii="Times New Roman" w:hAnsi="Times New Roman"/>
          <w:sz w:val="24"/>
          <w:lang w:val="en-US" w:eastAsia="zh-CN"/>
        </w:rPr>
        <w:t>支付</w:t>
      </w:r>
      <w:r>
        <w:rPr>
          <w:rFonts w:hint="eastAsia" w:ascii="Times New Roman" w:hAnsi="Times New Roman"/>
          <w:sz w:val="24"/>
        </w:rPr>
        <w:t>认购费用。</w:t>
      </w:r>
    </w:p>
    <w:p>
      <w:pPr>
        <w:adjustRightInd w:val="0"/>
        <w:snapToGrid w:val="0"/>
        <w:spacing w:line="360" w:lineRule="auto"/>
        <w:ind w:firstLine="480" w:firstLineChars="200"/>
        <w:rPr>
          <w:rFonts w:hint="eastAsia" w:ascii="Times New Roman" w:hAnsi="Times New Roman"/>
          <w:sz w:val="24"/>
        </w:rPr>
      </w:pPr>
      <w:r>
        <w:rPr>
          <w:rFonts w:hint="eastAsia"/>
          <w:sz w:val="24"/>
        </w:rPr>
        <w:t>通过直销机构</w:t>
      </w:r>
      <w:r>
        <w:rPr>
          <w:rFonts w:hint="eastAsia"/>
          <w:sz w:val="24"/>
          <w:lang w:val="en-US" w:eastAsia="zh-CN"/>
        </w:rPr>
        <w:t>认</w:t>
      </w:r>
      <w:r>
        <w:rPr>
          <w:rFonts w:hint="eastAsia"/>
          <w:sz w:val="24"/>
        </w:rPr>
        <w:t>购本基金</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rPr>
        <w:t>基金份额不收取</w:t>
      </w:r>
      <w:r>
        <w:rPr>
          <w:rFonts w:hint="eastAsia"/>
          <w:sz w:val="24"/>
          <w:lang w:val="en-US" w:eastAsia="zh-CN"/>
        </w:rPr>
        <w:t>认购</w:t>
      </w:r>
      <w:r>
        <w:rPr>
          <w:rFonts w:hint="eastAsia"/>
          <w:sz w:val="24"/>
        </w:rPr>
        <w:t>费</w:t>
      </w:r>
      <w:r>
        <w:rPr>
          <w:rFonts w:hint="eastAsia"/>
          <w:sz w:val="24"/>
          <w:lang w:eastAsia="zh-CN"/>
        </w:rPr>
        <w:t>；</w:t>
      </w:r>
      <w:r>
        <w:rPr>
          <w:rFonts w:hint="eastAsia"/>
          <w:sz w:val="24"/>
        </w:rPr>
        <w:t>通过其他销售机构</w:t>
      </w:r>
      <w:r>
        <w:rPr>
          <w:rFonts w:hint="eastAsia"/>
          <w:sz w:val="24"/>
          <w:lang w:val="en-US" w:eastAsia="zh-CN"/>
        </w:rPr>
        <w:t>认</w:t>
      </w:r>
      <w:r>
        <w:rPr>
          <w:rFonts w:hint="eastAsia"/>
          <w:sz w:val="24"/>
        </w:rPr>
        <w:t>购</w:t>
      </w:r>
      <w:r>
        <w:rPr>
          <w:rFonts w:hint="eastAsia" w:ascii="Times New Roman" w:hAnsi="Times New Roman"/>
          <w:sz w:val="24"/>
        </w:rPr>
        <w:t>本基金</w:t>
      </w:r>
      <w:r>
        <w:rPr>
          <w:rFonts w:ascii="Times New Roman" w:hAnsi="Times New Roman"/>
          <w:color w:val="000000"/>
          <w:kern w:val="0"/>
          <w:sz w:val="24"/>
        </w:rPr>
        <w:t>A</w:t>
      </w:r>
      <w:r>
        <w:rPr>
          <w:rFonts w:hint="eastAsia" w:ascii="Times New Roman" w:hAnsi="Times New Roman"/>
          <w:color w:val="000000"/>
          <w:kern w:val="0"/>
          <w:sz w:val="24"/>
        </w:rPr>
        <w:t>类基金份额的</w:t>
      </w:r>
      <w:r>
        <w:rPr>
          <w:rFonts w:hint="eastAsia" w:ascii="Times New Roman" w:hAnsi="Times New Roman"/>
          <w:color w:val="000000"/>
          <w:kern w:val="0"/>
          <w:sz w:val="24"/>
          <w:lang w:eastAsia="zh-CN"/>
        </w:rPr>
        <w:t>，</w:t>
      </w:r>
      <w:r>
        <w:rPr>
          <w:rFonts w:hint="eastAsia" w:ascii="Times New Roman" w:hAnsi="Times New Roman"/>
          <w:sz w:val="24"/>
        </w:rPr>
        <w:t>认购费用由认购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ascii="Times New Roman" w:hAnsi="Times New Roman"/>
          <w:sz w:val="24"/>
        </w:rPr>
        <w:t>基金份额的投资人承担</w:t>
      </w:r>
      <w:r>
        <w:rPr>
          <w:rFonts w:hint="eastAsia" w:ascii="Times New Roman" w:hAnsi="Times New Roman"/>
          <w:sz w:val="24"/>
          <w:lang w:eastAsia="zh-CN"/>
        </w:rPr>
        <w:t>，</w:t>
      </w:r>
      <w:r>
        <w:rPr>
          <w:rFonts w:hint="eastAsia" w:ascii="Times New Roman" w:hAnsi="Times New Roman"/>
          <w:sz w:val="24"/>
          <w:lang w:val="en-US" w:eastAsia="zh-CN"/>
        </w:rPr>
        <w:t>募集期内</w:t>
      </w:r>
      <w:r>
        <w:rPr>
          <w:rFonts w:hint="eastAsia" w:ascii="Times New Roman" w:hAnsi="Times New Roman"/>
          <w:sz w:val="24"/>
        </w:rPr>
        <w:t>投资人可以多次认购本基金，认购费用按</w:t>
      </w:r>
      <w:r>
        <w:rPr>
          <w:rFonts w:ascii="Times New Roman" w:hAnsi="Times New Roman"/>
          <w:sz w:val="24"/>
        </w:rPr>
        <w:t>A</w:t>
      </w:r>
      <w:r>
        <w:rPr>
          <w:rFonts w:hint="eastAsia" w:ascii="Times New Roman" w:hAnsi="Times New Roman"/>
          <w:sz w:val="24"/>
        </w:rPr>
        <w:t>类基金份额的每笔认购申请单独计算</w:t>
      </w:r>
      <w:r>
        <w:rPr>
          <w:rFonts w:hint="eastAsia" w:ascii="Times New Roman" w:hAnsi="Times New Roman"/>
          <w:sz w:val="24"/>
          <w:lang w:eastAsia="zh-CN"/>
        </w:rPr>
        <w:t>。</w:t>
      </w:r>
      <w:r>
        <w:rPr>
          <w:rFonts w:hint="eastAsia" w:ascii="Times New Roman" w:hAnsi="Times New Roman"/>
          <w:sz w:val="24"/>
        </w:rPr>
        <w:t>认购费用不列入基金财产，主要用于基金的市场推广、销售等募集期间发生的各项费用。</w:t>
      </w:r>
    </w:p>
    <w:p>
      <w:pPr>
        <w:adjustRightInd w:val="0"/>
        <w:snapToGrid w:val="0"/>
        <w:spacing w:line="360" w:lineRule="auto"/>
        <w:ind w:firstLine="480" w:firstLineChars="200"/>
        <w:rPr>
          <w:rFonts w:hint="eastAsia" w:ascii="Times New Roman" w:hAnsi="Times New Roman"/>
          <w:sz w:val="24"/>
        </w:rPr>
      </w:pPr>
      <w:r>
        <w:rPr>
          <w:rFonts w:hint="eastAsia"/>
          <w:kern w:val="0"/>
          <w:sz w:val="24"/>
        </w:rPr>
        <w:t>通过其他销售机构认购</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类基金份额的认购费率如下：</w:t>
      </w:r>
    </w:p>
    <w:tbl>
      <w:tblPr>
        <w:tblStyle w:val="15"/>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sz w:val="24"/>
              </w:rPr>
            </w:pPr>
            <w:r>
              <w:rPr>
                <w:rFonts w:hint="eastAsia" w:ascii="Times New Roman" w:hAnsi="Times New Roman"/>
                <w:b/>
                <w:sz w:val="24"/>
              </w:rPr>
              <w:t>认购金额（含认购费）</w:t>
            </w:r>
          </w:p>
        </w:tc>
        <w:tc>
          <w:tcPr>
            <w:tcW w:w="3598" w:type="dxa"/>
            <w:shd w:val="clear" w:color="auto" w:fill="FFFFFF"/>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b/>
                <w:sz w:val="24"/>
              </w:rPr>
            </w:pPr>
            <w:r>
              <w:rPr>
                <w:rFonts w:hint="eastAsia" w:ascii="Times New Roman" w:hAnsi="Times New Roman"/>
                <w:b/>
                <w:color w:val="000000"/>
                <w:kern w:val="0"/>
                <w:sz w:val="24"/>
              </w:rPr>
              <w:t>A类基金份额</w:t>
            </w:r>
            <w:r>
              <w:rPr>
                <w:rFonts w:hint="eastAsia" w:ascii="Times New Roman" w:hAnsi="Times New Roman"/>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keepNext w:val="0"/>
              <w:keepLines w:val="0"/>
              <w:suppressLineNumbers w:val="0"/>
              <w:adjustRightInd w:val="0"/>
              <w:snapToGrid w:val="0"/>
              <w:spacing w:before="0" w:beforeAutospacing="0" w:after="0" w:afterAutospacing="0"/>
              <w:ind w:left="0" w:right="0"/>
              <w:rPr>
                <w:rFonts w:hint="eastAsia" w:ascii="Times New Roman" w:hAnsi="Times New Roman"/>
                <w:sz w:val="24"/>
              </w:rPr>
            </w:pPr>
            <w:r>
              <w:rPr>
                <w:rFonts w:hint="eastAsia" w:ascii="Times New Roman" w:hAnsi="Times New Roman"/>
                <w:sz w:val="24"/>
              </w:rPr>
              <w:t>100</w:t>
            </w:r>
            <w:r>
              <w:rPr>
                <w:rFonts w:hint="eastAsia" w:ascii="Times New Roman" w:hAnsi="Times New Roman"/>
                <w:sz w:val="24"/>
                <w:lang w:val="en-US" w:eastAsia="zh-CN"/>
              </w:rPr>
              <w:t>0</w:t>
            </w:r>
            <w:r>
              <w:rPr>
                <w:rFonts w:hint="eastAsia" w:ascii="Times New Roman" w:hAnsi="Times New Roman"/>
                <w:sz w:val="24"/>
              </w:rPr>
              <w:t>万元以下</w:t>
            </w:r>
          </w:p>
        </w:tc>
        <w:tc>
          <w:tcPr>
            <w:tcW w:w="3598" w:type="dxa"/>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sz w:val="24"/>
              </w:rPr>
            </w:pPr>
            <w:r>
              <w:rPr>
                <w:rFonts w:hint="eastAsia" w:ascii="Times New Roman" w:hAnsi="Times New Roman"/>
                <w:sz w:val="24"/>
                <w:lang w:val="en-US" w:eastAsia="zh-CN"/>
              </w:rPr>
              <w:t>0.3</w:t>
            </w:r>
            <w:r>
              <w:rPr>
                <w:rFonts w:hint="eastAsia" w:ascii="Times New Roman" w:hAnsi="Times New Roman"/>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keepNext w:val="0"/>
              <w:keepLines w:val="0"/>
              <w:suppressLineNumbers w:val="0"/>
              <w:adjustRightInd w:val="0"/>
              <w:snapToGrid w:val="0"/>
              <w:spacing w:before="0" w:beforeAutospacing="0" w:after="0" w:afterAutospacing="0"/>
              <w:ind w:left="0" w:right="0"/>
              <w:rPr>
                <w:rFonts w:hint="eastAsia" w:ascii="Times New Roman" w:hAnsi="Times New Roman"/>
                <w:sz w:val="24"/>
              </w:rPr>
            </w:pPr>
            <w:r>
              <w:rPr>
                <w:rFonts w:hint="eastAsia" w:ascii="Times New Roman" w:hAnsi="Times New Roman"/>
                <w:sz w:val="24"/>
                <w:lang w:val="en-US" w:eastAsia="zh-CN"/>
              </w:rPr>
              <w:t>10</w:t>
            </w:r>
            <w:r>
              <w:rPr>
                <w:rFonts w:hint="eastAsia" w:ascii="Times New Roman" w:hAnsi="Times New Roman"/>
                <w:sz w:val="24"/>
              </w:rPr>
              <w:t>00万元以上（含</w:t>
            </w:r>
            <w:r>
              <w:rPr>
                <w:rFonts w:hint="eastAsia" w:ascii="Times New Roman" w:hAnsi="Times New Roman"/>
                <w:sz w:val="24"/>
                <w:lang w:val="en-US" w:eastAsia="zh-CN"/>
              </w:rPr>
              <w:t>10</w:t>
            </w:r>
            <w:r>
              <w:rPr>
                <w:rFonts w:hint="eastAsia" w:ascii="Times New Roman" w:hAnsi="Times New Roman"/>
                <w:sz w:val="24"/>
              </w:rPr>
              <w:t>00万元）</w:t>
            </w:r>
          </w:p>
        </w:tc>
        <w:tc>
          <w:tcPr>
            <w:tcW w:w="3598" w:type="dxa"/>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sz w:val="24"/>
              </w:rPr>
            </w:pPr>
            <w:r>
              <w:rPr>
                <w:rFonts w:hint="eastAsia" w:ascii="Times New Roman" w:hAnsi="Times New Roman"/>
                <w:sz w:val="24"/>
              </w:rPr>
              <w:t>每笔交易1000元</w:t>
            </w:r>
          </w:p>
        </w:tc>
      </w:tr>
    </w:tbl>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）认购份额的计算</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基金认购采用金额认购的方式。</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基金的认购金额包括认购费用和净认购金额。计算公式为：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申请总金额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净认购金额</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认购费率）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w:t>
      </w:r>
      <w:r>
        <w:rPr>
          <w:rFonts w:hint="eastAsia" w:ascii="宋体" w:hAnsi="宋体" w:eastAsia="宋体" w:cs="宋体"/>
          <w:sz w:val="24"/>
        </w:rPr>
        <w:t>①</w:t>
      </w:r>
      <w:r>
        <w:rPr>
          <w:rFonts w:hint="eastAsia" w:ascii="Times New Roman" w:hAnsi="Times New Roman"/>
          <w:sz w:val="24"/>
        </w:rPr>
        <w:t>对于适用固定金额认购费用的认购，净认购金额＝认购总金额－固定认购费用金额</w:t>
      </w:r>
      <w:r>
        <w:rPr>
          <w:rFonts w:hint="eastAsia"/>
          <w:sz w:val="24"/>
          <w:lang w:eastAsia="zh-CN"/>
        </w:rPr>
        <w:t>；</w:t>
      </w:r>
      <w:r>
        <w:rPr>
          <w:rFonts w:hint="eastAsia" w:ascii="宋体" w:hAnsi="宋体" w:eastAsia="宋体" w:cs="宋体"/>
          <w:sz w:val="24"/>
          <w:lang w:eastAsia="zh-CN"/>
        </w:rPr>
        <w:t>②</w:t>
      </w:r>
      <w:r>
        <w:rPr>
          <w:rFonts w:hint="eastAsia"/>
          <w:sz w:val="24"/>
          <w:lang w:val="en-US" w:eastAsia="zh-CN"/>
        </w:rPr>
        <w:t>对于通过直销机构认购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lang w:val="en-US" w:eastAsia="zh-CN"/>
        </w:rPr>
        <w:t>基金份额的，认购费率均</w:t>
      </w:r>
      <w:r>
        <w:rPr>
          <w:rFonts w:hint="eastAsia" w:ascii="Times New Roman" w:hAnsi="Times New Roman"/>
          <w:sz w:val="24"/>
          <w:lang w:val="en-US" w:eastAsia="zh-CN"/>
        </w:rPr>
        <w:t>为0</w:t>
      </w:r>
      <w:r>
        <w:rPr>
          <w:rFonts w:hint="eastAsia" w:ascii="Times New Roman" w:hAnsi="Times New Roman"/>
          <w:sz w:val="24"/>
        </w:rPr>
        <w:t>）</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认购费用</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净认购金额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（注：对于适用固定金额认购费用的认购，认购费用＝固定认购费用金额）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w:t>
      </w:r>
      <w:r>
        <w:rPr>
          <w:rFonts w:hint="eastAsia" w:ascii="Times New Roman" w:hAnsi="Times New Roman"/>
          <w:sz w:val="24"/>
        </w:rPr>
        <w:t>净认购金额</w:t>
      </w:r>
      <w:r>
        <w:rPr>
          <w:rFonts w:ascii="Times New Roman" w:hAnsi="Times New Roman"/>
          <w:sz w:val="24"/>
        </w:rPr>
        <w:t>/</w:t>
      </w:r>
      <w:r>
        <w:rPr>
          <w:rFonts w:hint="eastAsia" w:ascii="Times New Roman" w:hAnsi="Times New Roman"/>
          <w:sz w:val="24"/>
        </w:rPr>
        <w:t>基金份额初始面值</w:t>
      </w:r>
      <w:r>
        <w:rPr>
          <w:rFonts w:ascii="Times New Roman" w:hAnsi="Times New Roman"/>
          <w:sz w:val="24"/>
        </w:rPr>
        <w:t>+</w:t>
      </w:r>
      <w:r>
        <w:rPr>
          <w:rFonts w:hint="eastAsia" w:ascii="Times New Roman" w:hAnsi="Times New Roman"/>
          <w:sz w:val="24"/>
        </w:rPr>
        <w:t>认购</w:t>
      </w:r>
      <w:r>
        <w:rPr>
          <w:rFonts w:hint="eastAsia"/>
          <w:sz w:val="24"/>
        </w:rPr>
        <w:t>资金</w:t>
      </w:r>
      <w:r>
        <w:rPr>
          <w:rFonts w:hint="eastAsia" w:ascii="Times New Roman" w:hAnsi="Times New Roman"/>
          <w:sz w:val="24"/>
        </w:rPr>
        <w:t>利息</w:t>
      </w:r>
      <w:r>
        <w:rPr>
          <w:rFonts w:ascii="Times New Roman" w:hAnsi="Times New Roman"/>
          <w:sz w:val="24"/>
        </w:rPr>
        <w:t>/</w:t>
      </w:r>
      <w:r>
        <w:rPr>
          <w:rFonts w:hint="eastAsia" w:ascii="Times New Roman" w:hAnsi="Times New Roman"/>
          <w:sz w:val="24"/>
        </w:rPr>
        <w:t>基金份额初始面值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认购份额的计算保留到小数点后</w:t>
      </w:r>
      <w:r>
        <w:rPr>
          <w:rFonts w:ascii="Times New Roman" w:hAnsi="Times New Roman"/>
          <w:sz w:val="24"/>
        </w:rPr>
        <w:t>2</w:t>
      </w:r>
      <w:r>
        <w:rPr>
          <w:rFonts w:hint="eastAsia" w:ascii="Times New Roman" w:hAnsi="Times New Roman"/>
          <w:sz w:val="24"/>
        </w:rPr>
        <w:t>位，小数点</w:t>
      </w:r>
      <w:r>
        <w:rPr>
          <w:rFonts w:ascii="Times New Roman" w:hAnsi="Times New Roman"/>
          <w:sz w:val="24"/>
        </w:rPr>
        <w:t>2</w:t>
      </w:r>
      <w:r>
        <w:rPr>
          <w:rFonts w:hint="eastAsia" w:ascii="Times New Roman" w:hAnsi="Times New Roman"/>
          <w:sz w:val="24"/>
        </w:rPr>
        <w:t>位以后的部分四舍五入，由此误差产生的收益或损失由基金财产承担。</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例</w:t>
      </w:r>
      <w:r>
        <w:rPr>
          <w:rFonts w:hint="eastAsia" w:ascii="Times New Roman" w:hAnsi="Times New Roman"/>
          <w:sz w:val="24"/>
          <w:lang w:val="en-US" w:eastAsia="zh-CN"/>
        </w:rPr>
        <w:t>一</w:t>
      </w:r>
      <w:r>
        <w:rPr>
          <w:rFonts w:hint="eastAsia" w:ascii="Times New Roman" w:hAnsi="Times New Roman"/>
          <w:sz w:val="24"/>
        </w:rPr>
        <w:t>：某投资者通过</w:t>
      </w:r>
      <w:r>
        <w:rPr>
          <w:rFonts w:hint="eastAsia" w:ascii="Times New Roman" w:hAnsi="Times New Roman"/>
          <w:sz w:val="24"/>
          <w:lang w:val="en-US" w:eastAsia="zh-CN"/>
        </w:rPr>
        <w:t>直销</w:t>
      </w:r>
      <w:r>
        <w:rPr>
          <w:rFonts w:hint="eastAsia" w:ascii="Times New Roman" w:hAnsi="Times New Roman"/>
          <w:sz w:val="24"/>
        </w:rPr>
        <w:t>机构认购本基金A类基金份额100,000.00元，且该认购申请被全额确认，假定该笔认购金额产生的利息为10.00元，</w:t>
      </w:r>
      <w:r>
        <w:rPr>
          <w:rFonts w:hint="eastAsia"/>
          <w:sz w:val="24"/>
          <w:lang w:val="en-US" w:eastAsia="zh-CN"/>
        </w:rPr>
        <w:t>认购费率为0，</w:t>
      </w:r>
      <w:r>
        <w:rPr>
          <w:rFonts w:hint="eastAsia" w:ascii="Times New Roman" w:hAnsi="Times New Roman"/>
          <w:sz w:val="24"/>
        </w:rPr>
        <w:t>则可认购基金份额为：</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认购总金额=100,000.00元</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净认购金额＝100,000.00/（1＋</w:t>
      </w:r>
      <w:r>
        <w:rPr>
          <w:rFonts w:hint="eastAsia" w:ascii="Times New Roman" w:hAnsi="Times New Roman"/>
          <w:sz w:val="24"/>
          <w:lang w:val="en-US" w:eastAsia="zh-CN"/>
        </w:rPr>
        <w:t>0</w:t>
      </w:r>
      <w:r>
        <w:rPr>
          <w:rFonts w:hint="eastAsia" w:ascii="Times New Roman" w:hAnsi="Times New Roman"/>
          <w:sz w:val="24"/>
        </w:rPr>
        <w:t>）＝</w:t>
      </w:r>
      <w:r>
        <w:rPr>
          <w:rFonts w:hint="eastAsia" w:ascii="Times New Roman" w:hAnsi="Times New Roman"/>
          <w:sz w:val="24"/>
          <w:lang w:val="en-US" w:eastAsia="zh-CN"/>
        </w:rPr>
        <w:t>100</w:t>
      </w:r>
      <w:r>
        <w:rPr>
          <w:rFonts w:hint="eastAsia" w:ascii="Times New Roman" w:hAnsi="Times New Roman"/>
          <w:sz w:val="24"/>
        </w:rPr>
        <w:t>,</w:t>
      </w:r>
      <w:r>
        <w:rPr>
          <w:rFonts w:hint="eastAsia" w:ascii="Times New Roman" w:hAnsi="Times New Roman"/>
          <w:sz w:val="24"/>
          <w:lang w:val="en-US" w:eastAsia="zh-CN"/>
        </w:rPr>
        <w:t>000.00</w:t>
      </w:r>
      <w:r>
        <w:rPr>
          <w:rFonts w:hint="eastAsia" w:ascii="Times New Roman" w:hAnsi="Times New Roman"/>
          <w:sz w:val="24"/>
        </w:rPr>
        <w:t>元</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认购费用＝100,000.00</w:t>
      </w:r>
      <w:r>
        <w:rPr>
          <w:rFonts w:hint="eastAsia" w:ascii="Times New Roman" w:hAnsi="Times New Roman"/>
          <w:sz w:val="24"/>
          <w:lang w:val="en-US" w:eastAsia="zh-CN"/>
        </w:rPr>
        <w:t>-100,000.00=0.00</w:t>
      </w:r>
      <w:r>
        <w:rPr>
          <w:rFonts w:hint="eastAsia" w:ascii="Times New Roman" w:hAnsi="Times New Roman"/>
          <w:sz w:val="24"/>
        </w:rPr>
        <w:t>元</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认购份额＝100,000.00/1.00＋10.00/1.00＝100,0</w:t>
      </w:r>
      <w:r>
        <w:rPr>
          <w:rFonts w:hint="eastAsia" w:ascii="Times New Roman" w:hAnsi="Times New Roman"/>
          <w:sz w:val="24"/>
          <w:lang w:val="en-US" w:eastAsia="zh-CN"/>
        </w:rPr>
        <w:t>1</w:t>
      </w:r>
      <w:r>
        <w:rPr>
          <w:rFonts w:hint="eastAsia" w:ascii="Times New Roman" w:hAnsi="Times New Roman"/>
          <w:sz w:val="24"/>
        </w:rPr>
        <w:t>0.00份</w:t>
      </w:r>
    </w:p>
    <w:p>
      <w:pPr>
        <w:adjustRightInd w:val="0"/>
        <w:snapToGrid w:val="0"/>
        <w:spacing w:line="360" w:lineRule="auto"/>
        <w:ind w:firstLine="480" w:firstLineChars="200"/>
        <w:rPr>
          <w:rFonts w:hint="eastAsia"/>
          <w:sz w:val="24"/>
        </w:rPr>
      </w:pPr>
      <w:r>
        <w:rPr>
          <w:rFonts w:hint="eastAsia" w:ascii="Times New Roman" w:hAnsi="Times New Roman"/>
          <w:sz w:val="24"/>
        </w:rPr>
        <w:t>即：若该投资者通过直销机构认购本基金A类基金份额100,000.00元，且该认购申请被全额确认，假定该笔认购金额产生的利息为10.00元，则可得到100,010.00份A类基金份额。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w:t>
      </w:r>
      <w:r>
        <w:rPr>
          <w:rFonts w:hint="eastAsia" w:ascii="Times New Roman" w:hAnsi="Times New Roman"/>
          <w:sz w:val="24"/>
          <w:lang w:val="en-US" w:eastAsia="zh-CN"/>
        </w:rPr>
        <w:t>二</w:t>
      </w:r>
      <w:r>
        <w:rPr>
          <w:rFonts w:hint="eastAsia" w:ascii="Times New Roman" w:hAnsi="Times New Roman"/>
          <w:sz w:val="24"/>
        </w:rPr>
        <w:t>：某投资者</w:t>
      </w:r>
      <w:r>
        <w:rPr>
          <w:rFonts w:hint="eastAsia"/>
          <w:sz w:val="24"/>
          <w:lang w:val="en-US" w:eastAsia="zh-CN"/>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A</w:t>
      </w:r>
      <w:r>
        <w:rPr>
          <w:rFonts w:hint="eastAsia" w:ascii="Times New Roman" w:hAnsi="Times New Roman"/>
          <w:sz w:val="24"/>
        </w:rPr>
        <w:t>类基金份额，且该认购申请被全额确认，所对应的认购费率为</w:t>
      </w:r>
      <w:r>
        <w:rPr>
          <w:rFonts w:hint="eastAsia" w:ascii="Times New Roman" w:hAnsi="Times New Roman"/>
          <w:sz w:val="24"/>
          <w:lang w:val="en-US" w:eastAsia="zh-CN"/>
        </w:rPr>
        <w:t>0.3</w:t>
      </w:r>
      <w:r>
        <w:rPr>
          <w:rFonts w:ascii="Times New Roman" w:hAnsi="Times New Roman"/>
          <w:sz w:val="24"/>
        </w:rPr>
        <w:t>%</w:t>
      </w:r>
      <w:r>
        <w:rPr>
          <w:rFonts w:hint="eastAsia" w:ascii="Times New Roman" w:hAnsi="Times New Roman"/>
          <w:sz w:val="24"/>
        </w:rPr>
        <w:t>。假定该笔认购金额产生利息</w:t>
      </w:r>
      <w:r>
        <w:rPr>
          <w:rFonts w:ascii="Times New Roman" w:hAnsi="Times New Roman"/>
          <w:sz w:val="24"/>
        </w:rPr>
        <w:t>50.00</w:t>
      </w:r>
      <w:r>
        <w:rPr>
          <w:rFonts w:hint="eastAsia" w:ascii="Times New Roman" w:hAnsi="Times New Roman"/>
          <w:sz w:val="24"/>
        </w:rPr>
        <w:t>元。则认购份额为：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100,000.00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净认购金额＝</w:t>
      </w:r>
      <w:r>
        <w:rPr>
          <w:rFonts w:ascii="Times New Roman" w:hAnsi="Times New Roman"/>
          <w:sz w:val="24"/>
        </w:rPr>
        <w:t>100,000.00/</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hint="eastAsia" w:ascii="Times New Roman" w:hAnsi="Times New Roman"/>
          <w:sz w:val="24"/>
          <w:lang w:val="en-US" w:eastAsia="zh-CN"/>
        </w:rPr>
        <w:t>0.3</w:t>
      </w:r>
      <w:r>
        <w:rPr>
          <w:rFonts w:ascii="Times New Roman" w:hAnsi="Times New Roman"/>
          <w:sz w:val="24"/>
        </w:rPr>
        <w:t>%</w:t>
      </w:r>
      <w:r>
        <w:rPr>
          <w:rFonts w:hint="eastAsia" w:ascii="Times New Roman" w:hAnsi="Times New Roman"/>
          <w:sz w:val="24"/>
        </w:rPr>
        <w:t>）＝</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认购费用＝</w:t>
      </w:r>
      <w:r>
        <w:rPr>
          <w:rFonts w:ascii="Times New Roman" w:hAnsi="Times New Roman"/>
          <w:sz w:val="24"/>
        </w:rPr>
        <w:t>100,000.00</w:t>
      </w:r>
      <w:r>
        <w:rPr>
          <w:rFonts w:hint="eastAsia" w:ascii="Times New Roman" w:hAnsi="Times New Roman"/>
          <w:sz w:val="24"/>
        </w:rPr>
        <w:t>－</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w:t>
      </w:r>
      <w:r>
        <w:rPr>
          <w:rFonts w:hint="eastAsia" w:ascii="Times New Roman" w:hAnsi="Times New Roman"/>
          <w:sz w:val="24"/>
          <w:lang w:val="en-US" w:eastAsia="zh-CN"/>
        </w:rPr>
        <w:t>299</w:t>
      </w:r>
      <w:r>
        <w:rPr>
          <w:rFonts w:ascii="Times New Roman" w:hAnsi="Times New Roman"/>
          <w:sz w:val="24"/>
        </w:rPr>
        <w:t>.10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ascii="Times New Roman" w:hAnsi="Times New Roman"/>
          <w:sz w:val="24"/>
        </w:rPr>
        <w:t>/1.00</w:t>
      </w:r>
      <w:r>
        <w:rPr>
          <w:rFonts w:hint="eastAsia" w:ascii="Times New Roman" w:hAnsi="Times New Roman"/>
          <w:sz w:val="24"/>
        </w:rPr>
        <w:t>＋</w:t>
      </w:r>
      <w:r>
        <w:rPr>
          <w:rFonts w:ascii="Times New Roman" w:hAnsi="Times New Roman"/>
          <w:sz w:val="24"/>
        </w:rPr>
        <w:t>50.00/1.00</w:t>
      </w:r>
      <w:r>
        <w:rPr>
          <w:rFonts w:hint="eastAsia" w:ascii="Times New Roman" w:hAnsi="Times New Roman"/>
          <w:sz w:val="24"/>
        </w:rPr>
        <w:t>＝</w:t>
      </w:r>
      <w:r>
        <w:rPr>
          <w:rFonts w:ascii="Times New Roman" w:hAnsi="Times New Roman"/>
          <w:sz w:val="24"/>
        </w:rPr>
        <w:t>99,</w:t>
      </w:r>
      <w:r>
        <w:rPr>
          <w:rFonts w:hint="eastAsia" w:ascii="Times New Roman" w:hAnsi="Times New Roman"/>
          <w:sz w:val="24"/>
          <w:lang w:val="en-US" w:eastAsia="zh-CN"/>
        </w:rPr>
        <w:t>750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即：若该投资者</w:t>
      </w:r>
      <w:r>
        <w:rPr>
          <w:rFonts w:hint="eastAsia"/>
          <w:sz w:val="24"/>
          <w:lang w:val="en-US" w:eastAsia="zh-CN"/>
        </w:rPr>
        <w:t>通过其他销售机构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A</w:t>
      </w:r>
      <w:r>
        <w:rPr>
          <w:rFonts w:hint="eastAsia" w:ascii="Times New Roman" w:hAnsi="Times New Roman"/>
          <w:sz w:val="24"/>
        </w:rPr>
        <w:t>类基金份额，且该认购申请被全额确认，假定该笔认购金额产生利息</w:t>
      </w:r>
      <w:r>
        <w:rPr>
          <w:rFonts w:ascii="Times New Roman" w:hAnsi="Times New Roman"/>
          <w:sz w:val="24"/>
        </w:rPr>
        <w:t>50.00</w:t>
      </w:r>
      <w:r>
        <w:rPr>
          <w:rFonts w:hint="eastAsia" w:ascii="Times New Roman" w:hAnsi="Times New Roman"/>
          <w:sz w:val="24"/>
        </w:rPr>
        <w:t>元，可得到</w:t>
      </w:r>
      <w:r>
        <w:rPr>
          <w:rFonts w:ascii="Times New Roman" w:hAnsi="Times New Roman"/>
          <w:sz w:val="24"/>
        </w:rPr>
        <w:t>99,</w:t>
      </w:r>
      <w:r>
        <w:rPr>
          <w:rFonts w:hint="eastAsia" w:ascii="Times New Roman" w:hAnsi="Times New Roman"/>
          <w:sz w:val="24"/>
          <w:lang w:val="en-US" w:eastAsia="zh-CN"/>
        </w:rPr>
        <w:t>750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类基金份额的认购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如果投资者选择认购本基金的</w:t>
      </w:r>
      <w:r>
        <w:rPr>
          <w:rFonts w:ascii="Times New Roman" w:hAnsi="Times New Roman"/>
          <w:sz w:val="24"/>
        </w:rPr>
        <w:t>C</w:t>
      </w:r>
      <w:r>
        <w:rPr>
          <w:rFonts w:hint="eastAsia" w:ascii="Times New Roman" w:hAnsi="Times New Roman"/>
          <w:sz w:val="24"/>
        </w:rPr>
        <w:t>类基金份额，则认购份额的计算方式如下：</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申请总金额</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w:t>
      </w:r>
      <w:r>
        <w:rPr>
          <w:rFonts w:hint="eastAsia" w:ascii="Times New Roman" w:hAnsi="Times New Roman"/>
          <w:sz w:val="24"/>
        </w:rPr>
        <w:t>认购总金额</w:t>
      </w:r>
      <w:r>
        <w:rPr>
          <w:rFonts w:ascii="Times New Roman" w:hAnsi="Times New Roman"/>
          <w:sz w:val="24"/>
        </w:rPr>
        <w:t>/</w:t>
      </w:r>
      <w:r>
        <w:rPr>
          <w:rFonts w:hint="eastAsia" w:ascii="Times New Roman" w:hAnsi="Times New Roman"/>
          <w:sz w:val="24"/>
        </w:rPr>
        <w:t>基金份额初始面值＋认购利息</w:t>
      </w:r>
      <w:r>
        <w:rPr>
          <w:rFonts w:ascii="Times New Roman" w:hAnsi="Times New Roman"/>
          <w:sz w:val="24"/>
        </w:rPr>
        <w:t>/</w:t>
      </w:r>
      <w:r>
        <w:rPr>
          <w:rFonts w:hint="eastAsia" w:ascii="Times New Roman" w:hAnsi="Times New Roman"/>
          <w:sz w:val="24"/>
        </w:rPr>
        <w:t>基金份额初始面值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认购份额的计算保留到小数点后</w:t>
      </w:r>
      <w:r>
        <w:rPr>
          <w:rFonts w:ascii="Times New Roman" w:hAnsi="Times New Roman"/>
          <w:sz w:val="24"/>
        </w:rPr>
        <w:t>2</w:t>
      </w:r>
      <w:r>
        <w:rPr>
          <w:rFonts w:hint="eastAsia" w:ascii="Times New Roman" w:hAnsi="Times New Roman"/>
          <w:sz w:val="24"/>
        </w:rPr>
        <w:t>位，小数点</w:t>
      </w:r>
      <w:r>
        <w:rPr>
          <w:rFonts w:ascii="Times New Roman" w:hAnsi="Times New Roman"/>
          <w:sz w:val="24"/>
        </w:rPr>
        <w:t>2</w:t>
      </w:r>
      <w:r>
        <w:rPr>
          <w:rFonts w:hint="eastAsia" w:ascii="Times New Roman" w:hAnsi="Times New Roman"/>
          <w:sz w:val="24"/>
        </w:rPr>
        <w:t>位以后的部分四舍五入，由此误差产生的收益或损失由基金财产承担。</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例三：某投资者投资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C</w:t>
      </w:r>
      <w:r>
        <w:rPr>
          <w:rFonts w:hint="eastAsia" w:ascii="Times New Roman" w:hAnsi="Times New Roman"/>
          <w:sz w:val="24"/>
        </w:rPr>
        <w:t>类基金份额，</w:t>
      </w:r>
      <w:bookmarkStart w:id="17" w:name="_Hlk145583959"/>
      <w:r>
        <w:rPr>
          <w:rFonts w:hint="eastAsia" w:ascii="Times New Roman" w:hAnsi="Times New Roman"/>
          <w:sz w:val="24"/>
        </w:rPr>
        <w:t>且该认购申请被全额确认</w:t>
      </w:r>
      <w:bookmarkEnd w:id="17"/>
      <w:r>
        <w:rPr>
          <w:rFonts w:hint="eastAsia" w:ascii="Times New Roman" w:hAnsi="Times New Roman"/>
          <w:sz w:val="24"/>
        </w:rPr>
        <w:t>。假定该笔认购金额产生利息</w:t>
      </w:r>
      <w:r>
        <w:rPr>
          <w:rFonts w:ascii="Times New Roman" w:hAnsi="Times New Roman"/>
          <w:sz w:val="24"/>
        </w:rPr>
        <w:t>50.00</w:t>
      </w:r>
      <w:r>
        <w:rPr>
          <w:rFonts w:hint="eastAsia" w:ascii="Times New Roman" w:hAnsi="Times New Roman"/>
          <w:sz w:val="24"/>
        </w:rPr>
        <w:t>元。则认购份额为：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认购总金额</w:t>
      </w:r>
      <w:r>
        <w:rPr>
          <w:rFonts w:ascii="Times New Roman" w:hAnsi="Times New Roman"/>
          <w:sz w:val="24"/>
        </w:rPr>
        <w:t>=100,000.00</w:t>
      </w:r>
      <w:r>
        <w:rPr>
          <w:rFonts w:hint="eastAsia" w:ascii="Times New Roman" w:hAnsi="Times New Roman"/>
          <w:sz w:val="24"/>
        </w:rPr>
        <w:t>元</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认购份额＝</w:t>
      </w:r>
      <w:r>
        <w:rPr>
          <w:rFonts w:ascii="Times New Roman" w:hAnsi="Times New Roman"/>
          <w:sz w:val="24"/>
        </w:rPr>
        <w:t>100,000.00/1.00</w:t>
      </w:r>
      <w:r>
        <w:rPr>
          <w:rFonts w:hint="eastAsia" w:ascii="Times New Roman" w:hAnsi="Times New Roman"/>
          <w:sz w:val="24"/>
        </w:rPr>
        <w:t>＋</w:t>
      </w:r>
      <w:r>
        <w:rPr>
          <w:rFonts w:ascii="Times New Roman" w:hAnsi="Times New Roman"/>
          <w:sz w:val="24"/>
        </w:rPr>
        <w:t>50.00/1.00</w:t>
      </w:r>
      <w:r>
        <w:rPr>
          <w:rFonts w:hint="eastAsia" w:ascii="Times New Roman" w:hAnsi="Times New Roman"/>
          <w:sz w:val="24"/>
        </w:rPr>
        <w:t>＝</w:t>
      </w:r>
      <w:r>
        <w:rPr>
          <w:rFonts w:ascii="Times New Roman" w:hAnsi="Times New Roman"/>
          <w:sz w:val="24"/>
        </w:rPr>
        <w:t>100,050.00</w:t>
      </w:r>
      <w:r>
        <w:rPr>
          <w:rFonts w:hint="eastAsia" w:ascii="Times New Roman" w:hAnsi="Times New Roman"/>
          <w:sz w:val="24"/>
        </w:rPr>
        <w:t>份</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即：若该投资者投资</w:t>
      </w:r>
      <w:r>
        <w:rPr>
          <w:rFonts w:ascii="Times New Roman" w:hAnsi="Times New Roman"/>
          <w:sz w:val="24"/>
        </w:rPr>
        <w:t>100,000.00</w:t>
      </w:r>
      <w:r>
        <w:rPr>
          <w:rFonts w:hint="eastAsia" w:ascii="Times New Roman" w:hAnsi="Times New Roman"/>
          <w:sz w:val="24"/>
        </w:rPr>
        <w:t>元认购本基金</w:t>
      </w:r>
      <w:r>
        <w:rPr>
          <w:rFonts w:ascii="Times New Roman" w:hAnsi="Times New Roman"/>
          <w:sz w:val="24"/>
        </w:rPr>
        <w:t>C</w:t>
      </w:r>
      <w:r>
        <w:rPr>
          <w:rFonts w:hint="eastAsia" w:ascii="Times New Roman" w:hAnsi="Times New Roman"/>
          <w:sz w:val="24"/>
        </w:rPr>
        <w:t>类基金份额，且该认购申请被全额确认。假定该笔认购金额产生利息</w:t>
      </w:r>
      <w:r>
        <w:rPr>
          <w:rFonts w:ascii="Times New Roman" w:hAnsi="Times New Roman"/>
          <w:sz w:val="24"/>
        </w:rPr>
        <w:t>50.00</w:t>
      </w:r>
      <w:r>
        <w:rPr>
          <w:rFonts w:hint="eastAsia" w:ascii="Times New Roman" w:hAnsi="Times New Roman"/>
          <w:sz w:val="24"/>
        </w:rPr>
        <w:t>元，可得到</w:t>
      </w:r>
      <w:r>
        <w:rPr>
          <w:rFonts w:ascii="Times New Roman" w:hAnsi="Times New Roman"/>
          <w:sz w:val="24"/>
        </w:rPr>
        <w:t>100,050.00</w:t>
      </w:r>
      <w:r>
        <w:rPr>
          <w:rFonts w:hint="eastAsia" w:ascii="Times New Roman" w:hAnsi="Times New Roman"/>
          <w:sz w:val="24"/>
        </w:rPr>
        <w:t>份本基金</w:t>
      </w:r>
      <w:r>
        <w:rPr>
          <w:rFonts w:ascii="Times New Roman" w:hAnsi="Times New Roman"/>
          <w:sz w:val="24"/>
        </w:rPr>
        <w:t>C</w:t>
      </w:r>
      <w:r>
        <w:rPr>
          <w:rFonts w:hint="eastAsia" w:ascii="Times New Roman" w:hAnsi="Times New Roman"/>
          <w:sz w:val="24"/>
        </w:rPr>
        <w:t>类基金份额。</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、认购的程序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）申请方式：书面申请或基金管理人公告的其他方式。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）认购款项支付：投资人认购时，采用全额缴款方式。</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、认购的确认</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当日（</w:t>
      </w:r>
      <w:r>
        <w:rPr>
          <w:rFonts w:ascii="Times New Roman" w:hAnsi="Times New Roman"/>
          <w:sz w:val="24"/>
        </w:rPr>
        <w:t>T</w:t>
      </w:r>
      <w:r>
        <w:rPr>
          <w:rFonts w:hint="eastAsia" w:ascii="Times New Roman" w:hAnsi="Times New Roman"/>
          <w:sz w:val="24"/>
        </w:rPr>
        <w:t>日）在规定时间内提交的申请，投资人通常可在</w:t>
      </w:r>
      <w:r>
        <w:rPr>
          <w:rFonts w:ascii="Times New Roman" w:hAnsi="Times New Roman"/>
          <w:sz w:val="24"/>
        </w:rPr>
        <w:t>T+2</w:t>
      </w:r>
      <w:r>
        <w:rPr>
          <w:rFonts w:hint="eastAsia" w:ascii="Times New Roman" w:hAnsi="Times New Roman"/>
          <w:sz w:val="24"/>
        </w:rPr>
        <w:t>日后（包括该日）到销售网点查询交易情况。基金销售机构对认购申请的受理并不代表该申请一定成功，而仅代表销售机构确实接收到认购申请。申请的成功确认应以基金合同生效后登记机构的确认登记为准。对于认购申请及认购份额的确认情况，投资人应及时查询。投资人可以在基金合同生效后到原认购网点打印认购成交确认凭证。</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投资人开户和认购所需提交的文件和办理的具体程序，请参阅基金份额发售公告。</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6</w:t>
      </w:r>
      <w:r>
        <w:rPr>
          <w:rFonts w:hint="eastAsia" w:ascii="Times New Roman" w:hAnsi="Times New Roman"/>
          <w:sz w:val="24"/>
        </w:rPr>
        <w:t>、募集期利息的处理方式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本基金基金合同生效前，投资人的有效认购款项只能存入专门账户，任何人不得动用。有效认购款项在募集期间产生的利息将折算为相应类别的基金份额归基金份额持有人所有。</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认购利息折算的基金份额精确到小数点后两位，小数点两位以后的部分截位，由此误差产生的收益或损失由基金财产承担，其中有效认购资金的利息及利息折算的基金份额以登记机构的记录为准</w:t>
      </w:r>
      <w:bookmarkStart w:id="18" w:name="_Hlt90801570"/>
      <w:bookmarkEnd w:id="18"/>
      <w:bookmarkStart w:id="19" w:name="_Hlt90455312"/>
      <w:bookmarkEnd w:id="19"/>
      <w:bookmarkStart w:id="20" w:name="_Hlt91264078"/>
      <w:bookmarkEnd w:id="20"/>
      <w:bookmarkStart w:id="21" w:name="_Hlt91148053"/>
      <w:bookmarkEnd w:id="21"/>
      <w:bookmarkStart w:id="22" w:name="_Hlt91264042"/>
      <w:bookmarkEnd w:id="22"/>
      <w:r>
        <w:rPr>
          <w:rFonts w:hint="eastAsia" w:ascii="Times New Roman" w:hAnsi="Times New Roman"/>
          <w:sz w:val="24"/>
        </w:rPr>
        <w:t>。</w:t>
      </w:r>
      <w:bookmarkEnd w:id="16"/>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（七）未来条件许可情况下的模式转换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若基金管理人注册并成立追踪同一标的指数的</w:t>
      </w:r>
      <w:r>
        <w:rPr>
          <w:rFonts w:hint="eastAsia"/>
          <w:bCs/>
          <w:sz w:val="24"/>
        </w:rPr>
        <w:t>增强策略</w:t>
      </w:r>
      <w:r>
        <w:rPr>
          <w:rFonts w:hint="eastAsia" w:ascii="Times New Roman" w:hAnsi="Times New Roman"/>
          <w:sz w:val="24"/>
        </w:rPr>
        <w:t>交易型开放式指数基金（</w:t>
      </w:r>
      <w:r>
        <w:rPr>
          <w:rFonts w:ascii="Times New Roman" w:hAnsi="Times New Roman"/>
          <w:sz w:val="24"/>
        </w:rPr>
        <w:t>ETF</w:t>
      </w:r>
      <w:r>
        <w:rPr>
          <w:rFonts w:hint="eastAsia" w:ascii="Times New Roman" w:hAnsi="Times New Roman"/>
          <w:sz w:val="24"/>
        </w:rPr>
        <w:t>），本基金可变更为该</w:t>
      </w:r>
      <w:r>
        <w:rPr>
          <w:rFonts w:ascii="Times New Roman" w:hAnsi="Times New Roman"/>
          <w:sz w:val="24"/>
        </w:rPr>
        <w:t>ETF</w:t>
      </w:r>
      <w:r>
        <w:rPr>
          <w:rFonts w:hint="eastAsia" w:ascii="Times New Roman" w:hAnsi="Times New Roman"/>
          <w:sz w:val="24"/>
        </w:rPr>
        <w:t>的联接基金。该联接基金将其绝大部分基金财产投资于跟踪同一标的指数的</w:t>
      </w:r>
      <w:r>
        <w:rPr>
          <w:rFonts w:ascii="Times New Roman" w:hAnsi="Times New Roman"/>
          <w:sz w:val="24"/>
        </w:rPr>
        <w:t>ETF</w:t>
      </w:r>
      <w:r>
        <w:rPr>
          <w:rFonts w:hint="eastAsia" w:ascii="Times New Roman" w:hAnsi="Times New Roman"/>
          <w:sz w:val="24"/>
        </w:rPr>
        <w:t>。该联接基金具体投资范围及比例等将依据届时有效的法律法规或监管机构要求确定。以上变更需经基金管理人和基金托管人协商一致后修改基金合同，但不需召开基金份额持有人大会审议。</w:t>
      </w:r>
    </w:p>
    <w:p>
      <w:pPr>
        <w:autoSpaceDE w:val="0"/>
        <w:autoSpaceDN w:val="0"/>
        <w:adjustRightInd w:val="0"/>
        <w:spacing w:line="360" w:lineRule="auto"/>
        <w:rPr>
          <w:rFonts w:ascii="Times New Roman" w:hAnsi="Times New Roman"/>
          <w:szCs w:val="24"/>
        </w:rPr>
      </w:pPr>
      <w:r>
        <w:rPr>
          <w:rFonts w:ascii="Times New Roman" w:hAnsi="Times New Roman"/>
          <w:szCs w:val="24"/>
        </w:rPr>
        <w:br w:type="page"/>
      </w:r>
    </w:p>
    <w:p>
      <w:pPr>
        <w:pStyle w:val="2"/>
        <w:snapToGrid w:val="0"/>
        <w:spacing w:before="240" w:beforeLines="0" w:after="240"/>
        <w:rPr>
          <w:rFonts w:ascii="Times New Roman" w:hAnsi="Times New Roman"/>
          <w:sz w:val="30"/>
        </w:rPr>
      </w:pPr>
      <w:bookmarkStart w:id="23" w:name="_Toc1903"/>
      <w:bookmarkStart w:id="24" w:name="_Toc147840625"/>
      <w:r>
        <w:rPr>
          <w:rFonts w:hint="eastAsia" w:ascii="Times New Roman" w:hAnsi="Times New Roman"/>
          <w:sz w:val="30"/>
        </w:rPr>
        <w:t>七、基金合同的生效</w:t>
      </w:r>
      <w:bookmarkEnd w:id="23"/>
      <w:bookmarkEnd w:id="24"/>
    </w:p>
    <w:p>
      <w:pPr>
        <w:autoSpaceDE w:val="0"/>
        <w:autoSpaceDN w:val="0"/>
        <w:adjustRightInd w:val="0"/>
        <w:snapToGrid w:val="0"/>
        <w:spacing w:line="360" w:lineRule="auto"/>
        <w:ind w:firstLine="482" w:firstLineChars="200"/>
        <w:jc w:val="left"/>
        <w:rPr>
          <w:rFonts w:ascii="Times New Roman" w:hAnsi="Times New Roman"/>
          <w:b/>
          <w:sz w:val="24"/>
        </w:rPr>
      </w:pPr>
      <w:bookmarkStart w:id="25" w:name="_Toc57530272"/>
      <w:bookmarkStart w:id="26" w:name="_Toc79392603"/>
      <w:bookmarkStart w:id="27" w:name="_Toc15118260"/>
      <w:r>
        <w:rPr>
          <w:rFonts w:hint="eastAsia" w:ascii="Times New Roman" w:hAnsi="Times New Roman"/>
          <w:b/>
          <w:sz w:val="24"/>
        </w:rPr>
        <w:t>（一）基金备案的条件</w:t>
      </w:r>
    </w:p>
    <w:p>
      <w:pPr>
        <w:pStyle w:val="5"/>
        <w:autoSpaceDE w:val="0"/>
        <w:autoSpaceDN w:val="0"/>
        <w:adjustRightInd w:val="0"/>
        <w:snapToGrid w:val="0"/>
        <w:spacing w:line="360" w:lineRule="auto"/>
        <w:ind w:firstLine="480"/>
        <w:rPr>
          <w:sz w:val="24"/>
        </w:rPr>
      </w:pPr>
      <w:r>
        <w:rPr>
          <w:bCs/>
          <w:sz w:val="24"/>
        </w:rPr>
        <w:t>本基金自基金份额发售之日起</w:t>
      </w:r>
      <w:r>
        <w:rPr>
          <w:rFonts w:hint="eastAsia"/>
          <w:bCs/>
          <w:sz w:val="24"/>
        </w:rPr>
        <w:t>3</w:t>
      </w:r>
      <w:r>
        <w:rPr>
          <w:bCs/>
          <w:sz w:val="24"/>
        </w:rPr>
        <w:t>个月内，</w:t>
      </w:r>
      <w:r>
        <w:rPr>
          <w:rFonts w:hint="eastAsia"/>
          <w:bCs/>
          <w:sz w:val="24"/>
        </w:rPr>
        <w:t>在发起资金提供方使用发起资金认购本基金的金额不少于1000万元人民币且承诺其认购的基金份额持有期限自基金合同生效之日起不少于3年的条件下</w:t>
      </w:r>
      <w:r>
        <w:rPr>
          <w:rFonts w:hint="eastAsia"/>
          <w:sz w:val="24"/>
        </w:rPr>
        <w:t>，基金募集期届满或基金管理人依据法律法规及招募说明书可以决定停止基金发售，并在</w:t>
      </w:r>
      <w:r>
        <w:rPr>
          <w:sz w:val="24"/>
        </w:rPr>
        <w:t>10</w:t>
      </w:r>
      <w:r>
        <w:rPr>
          <w:rFonts w:hint="eastAsia"/>
          <w:sz w:val="24"/>
        </w:rPr>
        <w:t>日内聘请法定验资机构验资，验资报告需对发起资金提供方及其持有份额进行专门说明，基金管理人自收到验资报告之日起</w:t>
      </w:r>
      <w:r>
        <w:rPr>
          <w:sz w:val="24"/>
        </w:rPr>
        <w:t>10</w:t>
      </w:r>
      <w:r>
        <w:rPr>
          <w:rFonts w:hint="eastAsia"/>
          <w:sz w:val="24"/>
        </w:rPr>
        <w:t>日内，向中国证监会办理基金备案手续。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（二）基金合同不能生效时募集资金的处理方式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如果募集期限届满，未满足基金备案条件，基金管理人应当承担下列责任：</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、以其固有财产承担因募集行为而产生的债务和费用；</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、在基金募集期限届满后</w:t>
      </w:r>
      <w:r>
        <w:rPr>
          <w:rFonts w:ascii="Times New Roman" w:hAnsi="Times New Roman"/>
          <w:sz w:val="24"/>
        </w:rPr>
        <w:t>30</w:t>
      </w:r>
      <w:r>
        <w:rPr>
          <w:rFonts w:hint="eastAsia" w:ascii="Times New Roman" w:hAnsi="Times New Roman"/>
          <w:sz w:val="24"/>
        </w:rPr>
        <w:t>日内返还投资者已缴纳的款项，并加计银行同期活期存款利息；</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、如基金募集失败，基金管理人、基金托管人及销售机构不得请求报酬。基金管理人、基金托管人和销售机构为基金募集支付之一切费用应由各方各自承担。</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（三）基金存续期内的基金份额持有人数量和资产规模</w:t>
      </w:r>
    </w:p>
    <w:bookmarkEnd w:id="25"/>
    <w:bookmarkEnd w:id="26"/>
    <w:bookmarkEnd w:id="27"/>
    <w:p>
      <w:pPr>
        <w:spacing w:line="360" w:lineRule="auto"/>
        <w:ind w:firstLine="480" w:firstLineChars="200"/>
        <w:rPr>
          <w:bCs/>
          <w:sz w:val="24"/>
        </w:rPr>
      </w:pPr>
      <w:r>
        <w:rPr>
          <w:rFonts w:hint="eastAsia"/>
          <w:bCs/>
          <w:sz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djustRightInd w:val="0"/>
        <w:snapToGrid w:val="0"/>
        <w:spacing w:line="360" w:lineRule="auto"/>
        <w:ind w:firstLine="480" w:firstLineChars="200"/>
        <w:rPr>
          <w:rFonts w:ascii="Times New Roman" w:hAnsi="Times New Roman"/>
          <w:kern w:val="0"/>
          <w:sz w:val="24"/>
          <w:szCs w:val="24"/>
        </w:rPr>
      </w:pPr>
      <w:r>
        <w:rPr>
          <w:rFonts w:hint="eastAsia"/>
          <w:bCs/>
          <w:sz w:val="24"/>
        </w:rPr>
        <w:t>《基金合同》生效三年后继续存续的，基金存续期内</w:t>
      </w:r>
      <w:r>
        <w:rPr>
          <w:rFonts w:hint="eastAsia" w:ascii="Times New Roman" w:hAnsi="Times New Roman"/>
          <w:kern w:val="0"/>
          <w:sz w:val="24"/>
          <w:szCs w:val="24"/>
        </w:rPr>
        <w:t>，连续</w:t>
      </w:r>
      <w:r>
        <w:rPr>
          <w:rFonts w:ascii="Times New Roman" w:hAnsi="Times New Roman"/>
          <w:kern w:val="0"/>
          <w:sz w:val="24"/>
          <w:szCs w:val="24"/>
        </w:rPr>
        <w:t>20</w:t>
      </w:r>
      <w:r>
        <w:rPr>
          <w:rFonts w:hint="eastAsia" w:ascii="Times New Roman" w:hAnsi="Times New Roman"/>
          <w:kern w:val="0"/>
          <w:sz w:val="24"/>
          <w:szCs w:val="24"/>
        </w:rPr>
        <w:t>个工作日出现基金份额持有人数量不满</w:t>
      </w:r>
      <w:r>
        <w:rPr>
          <w:rFonts w:ascii="Times New Roman" w:hAnsi="Times New Roman"/>
          <w:kern w:val="0"/>
          <w:sz w:val="24"/>
          <w:szCs w:val="24"/>
        </w:rPr>
        <w:t>200</w:t>
      </w:r>
      <w:r>
        <w:rPr>
          <w:rFonts w:hint="eastAsia" w:ascii="Times New Roman" w:hAnsi="Times New Roman"/>
          <w:kern w:val="0"/>
          <w:sz w:val="24"/>
          <w:szCs w:val="24"/>
        </w:rPr>
        <w:t>人或者基金资产净值低于</w:t>
      </w:r>
      <w:r>
        <w:rPr>
          <w:rFonts w:ascii="Times New Roman" w:hAnsi="Times New Roman"/>
          <w:kern w:val="0"/>
          <w:sz w:val="24"/>
          <w:szCs w:val="24"/>
        </w:rPr>
        <w:t>5000</w:t>
      </w:r>
      <w:r>
        <w:rPr>
          <w:rFonts w:hint="eastAsia" w:ascii="Times New Roman" w:hAnsi="Times New Roman"/>
          <w:kern w:val="0"/>
          <w:sz w:val="24"/>
          <w:szCs w:val="24"/>
        </w:rPr>
        <w:t>万元情形的，基金管理人应当在定期报告中予以披露；</w:t>
      </w:r>
      <w:r>
        <w:rPr>
          <w:rFonts w:hint="eastAsia"/>
          <w:sz w:val="24"/>
        </w:rPr>
        <w:t>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rPr>
          <w:rFonts w:ascii="Times New Roman" w:hAnsi="Times New Roman"/>
        </w:rPr>
      </w:pPr>
      <w:r>
        <w:rPr>
          <w:rFonts w:hint="eastAsia" w:ascii="Times New Roman" w:hAnsi="Times New Roman"/>
          <w:kern w:val="0"/>
          <w:sz w:val="24"/>
          <w:szCs w:val="24"/>
        </w:rPr>
        <w:t>法律法规或中国证监会另有规定时，从其规定。</w:t>
      </w:r>
    </w:p>
    <w:p>
      <w:pPr>
        <w:autoSpaceDE w:val="0"/>
        <w:autoSpaceDN w:val="0"/>
        <w:adjustRightInd w:val="0"/>
        <w:snapToGrid w:val="0"/>
        <w:spacing w:line="360" w:lineRule="auto"/>
        <w:ind w:firstLine="420" w:firstLineChars="200"/>
        <w:jc w:val="left"/>
        <w:rPr>
          <w:rFonts w:ascii="Times New Roman" w:hAnsi="Times New Roman"/>
          <w:szCs w:val="24"/>
        </w:rPr>
      </w:pPr>
    </w:p>
    <w:p>
      <w:pPr>
        <w:widowControl/>
        <w:jc w:val="left"/>
        <w:rPr>
          <w:rFonts w:ascii="Times New Roman" w:hAnsi="Times New Roman"/>
          <w:b/>
          <w:bCs/>
          <w:kern w:val="44"/>
          <w:sz w:val="30"/>
          <w:szCs w:val="44"/>
        </w:rPr>
      </w:pPr>
      <w:r>
        <w:rPr>
          <w:rFonts w:ascii="Times New Roman" w:hAnsi="Times New Roman"/>
          <w:sz w:val="30"/>
        </w:rPr>
        <w:br w:type="page"/>
      </w:r>
    </w:p>
    <w:p>
      <w:pPr>
        <w:pStyle w:val="2"/>
        <w:snapToGrid w:val="0"/>
        <w:spacing w:before="240" w:beforeLines="0" w:after="240"/>
        <w:rPr>
          <w:rFonts w:ascii="Times New Roman" w:hAnsi="Times New Roman"/>
          <w:szCs w:val="30"/>
        </w:rPr>
      </w:pPr>
      <w:bookmarkStart w:id="28" w:name="_Toc743"/>
      <w:bookmarkStart w:id="29" w:name="_Toc147840626"/>
      <w:r>
        <w:rPr>
          <w:rFonts w:hint="eastAsia" w:ascii="Times New Roman" w:hAnsi="Times New Roman"/>
          <w:sz w:val="30"/>
        </w:rPr>
        <w:t>八、基金份额的申购与赎回</w:t>
      </w:r>
      <w:bookmarkEnd w:id="28"/>
      <w:bookmarkEnd w:id="29"/>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（一）申购和赎回的场所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投资人可通过下述场所按照规定的方式进行申购或赎回：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、本基金管理人的直销机构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本基金直销机构为基金管理人直销柜台以及基金管理人的网上直销交易平台。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住所：中国</w:t>
      </w:r>
      <w:r>
        <w:rPr>
          <w:rFonts w:ascii="Times New Roman" w:hAnsi="Times New Roman"/>
          <w:sz w:val="24"/>
        </w:rPr>
        <w:t>(</w:t>
      </w:r>
      <w:r>
        <w:rPr>
          <w:rFonts w:hint="eastAsia" w:ascii="Times New Roman" w:hAnsi="Times New Roman"/>
          <w:sz w:val="24"/>
        </w:rPr>
        <w:t>上海</w:t>
      </w:r>
      <w:r>
        <w:rPr>
          <w:rFonts w:ascii="Times New Roman" w:hAnsi="Times New Roman"/>
          <w:sz w:val="24"/>
        </w:rPr>
        <w:t>)</w:t>
      </w:r>
      <w:r>
        <w:rPr>
          <w:rFonts w:hint="eastAsia" w:ascii="Times New Roman" w:hAnsi="Times New Roman"/>
          <w:sz w:val="24"/>
        </w:rPr>
        <w:t>自由贸易试验区银城中路</w:t>
      </w:r>
      <w:r>
        <w:rPr>
          <w:rFonts w:ascii="Times New Roman" w:hAnsi="Times New Roman"/>
          <w:sz w:val="24"/>
        </w:rPr>
        <w:t>188</w:t>
      </w:r>
      <w:r>
        <w:rPr>
          <w:rFonts w:hint="eastAsia" w:ascii="Times New Roman" w:hAnsi="Times New Roman"/>
          <w:sz w:val="24"/>
        </w:rPr>
        <w:t>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办公地址：上海市浦东新区世纪大道</w:t>
      </w:r>
      <w:r>
        <w:rPr>
          <w:rFonts w:ascii="Times New Roman" w:hAnsi="Times New Roman"/>
          <w:sz w:val="24"/>
        </w:rPr>
        <w:t>8</w:t>
      </w:r>
      <w:r>
        <w:rPr>
          <w:rFonts w:hint="eastAsia" w:ascii="Times New Roman" w:hAnsi="Times New Roman"/>
          <w:sz w:val="24"/>
        </w:rPr>
        <w:t>号国金中心二期</w:t>
      </w:r>
      <w:r>
        <w:rPr>
          <w:rFonts w:ascii="Times New Roman" w:hAnsi="Times New Roman"/>
          <w:sz w:val="24"/>
        </w:rPr>
        <w:t>21-22</w:t>
      </w:r>
      <w:r>
        <w:rPr>
          <w:rFonts w:hint="eastAsia" w:ascii="Times New Roman" w:hAnsi="Times New Roman"/>
          <w:sz w:val="24"/>
        </w:rPr>
        <w:t>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电话：（</w:t>
      </w:r>
      <w:r>
        <w:rPr>
          <w:rFonts w:ascii="Times New Roman" w:hAnsi="Times New Roman"/>
          <w:sz w:val="24"/>
        </w:rPr>
        <w:t>021</w:t>
      </w:r>
      <w:r>
        <w:rPr>
          <w:rFonts w:hint="eastAsia" w:ascii="Times New Roman" w:hAnsi="Times New Roman"/>
          <w:sz w:val="24"/>
        </w:rPr>
        <w:t>）</w:t>
      </w:r>
      <w:r>
        <w:rPr>
          <w:rFonts w:ascii="Times New Roman" w:hAnsi="Times New Roman"/>
          <w:sz w:val="24"/>
        </w:rPr>
        <w:t>61055724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传真：（</w:t>
      </w:r>
      <w:r>
        <w:rPr>
          <w:rFonts w:ascii="Times New Roman" w:hAnsi="Times New Roman"/>
          <w:sz w:val="24"/>
        </w:rPr>
        <w:t>021</w:t>
      </w:r>
      <w:r>
        <w:rPr>
          <w:rFonts w:hint="eastAsia" w:ascii="Times New Roman" w:hAnsi="Times New Roman"/>
          <w:sz w:val="24"/>
        </w:rPr>
        <w:t>）</w:t>
      </w:r>
      <w:r>
        <w:rPr>
          <w:rFonts w:ascii="Times New Roman" w:hAnsi="Times New Roman"/>
          <w:sz w:val="24"/>
        </w:rPr>
        <w:t>61055054</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联系人：傅鲸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客户服务电话：</w:t>
      </w:r>
      <w:r>
        <w:rPr>
          <w:rFonts w:ascii="Times New Roman" w:hAnsi="Times New Roman"/>
          <w:sz w:val="24"/>
        </w:rPr>
        <w:t>400-700-5000</w:t>
      </w:r>
      <w:r>
        <w:rPr>
          <w:rFonts w:hint="eastAsia" w:ascii="Times New Roman" w:hAnsi="Times New Roman"/>
          <w:sz w:val="24"/>
        </w:rPr>
        <w:t>（免长途话费），（</w:t>
      </w:r>
      <w:r>
        <w:rPr>
          <w:rFonts w:ascii="Times New Roman" w:hAnsi="Times New Roman"/>
          <w:sz w:val="24"/>
        </w:rPr>
        <w:t>021</w:t>
      </w:r>
      <w:r>
        <w:rPr>
          <w:rFonts w:hint="eastAsia" w:ascii="Times New Roman" w:hAnsi="Times New Roman"/>
          <w:sz w:val="24"/>
        </w:rPr>
        <w:t>）</w:t>
      </w:r>
      <w:r>
        <w:rPr>
          <w:rFonts w:ascii="Times New Roman" w:hAnsi="Times New Roman"/>
          <w:sz w:val="24"/>
        </w:rPr>
        <w:t>61055000</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个人投资者可以通过基金管理人网上直销交易平台办理开户、本基金的申购、赎回等业务，具体交易细则请参阅基金管理人网站。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网上直销交易平台网址：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、除基金管理人之外的其他销售机构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本基金除基金管理人之外的其他销售机构参见本招募说明书</w:t>
      </w:r>
      <w:r>
        <w:rPr>
          <w:rFonts w:ascii="Times New Roman" w:hAnsi="Times New Roman"/>
          <w:sz w:val="24"/>
        </w:rPr>
        <w:t>“</w:t>
      </w:r>
      <w:r>
        <w:rPr>
          <w:rFonts w:hint="eastAsia" w:ascii="Times New Roman" w:hAnsi="Times New Roman"/>
          <w:sz w:val="24"/>
        </w:rPr>
        <w:t>五、相关服务机构</w:t>
      </w:r>
      <w:r>
        <w:rPr>
          <w:rFonts w:ascii="Times New Roman" w:hAnsi="Times New Roman"/>
          <w:sz w:val="24"/>
        </w:rPr>
        <w:t>”</w:t>
      </w:r>
      <w:r>
        <w:rPr>
          <w:rFonts w:hint="eastAsia" w:ascii="Times New Roman" w:hAnsi="Times New Roman"/>
          <w:sz w:val="24"/>
        </w:rPr>
        <w:t>章节或拨打基金管理人客户服务电话进行咨询。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投资人应当通过上述销售机构办理基金申购、赎回业务的营业场所或按上述销售机构提供的其他方式进行申购或赎回。本基金管理人可根据情况变更或增减基金销售机构，并在基金管理人网站公示。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若基金管理人或其指定的销售机构开通电话、传真或网上等交易方式，投资人可以通过上述方式进行申购与赎回。</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（二）申购和赎回的开放日及时间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、开放日及开放时间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投资人在开放日办理基金份额的申购和赎回，具体办理时间为上海证券交易所、深圳证券交易所的正常交易日的交易时间</w:t>
      </w:r>
      <w:r>
        <w:rPr>
          <w:rFonts w:hint="eastAsia"/>
          <w:bCs/>
          <w:sz w:val="24"/>
        </w:rPr>
        <w:t>（若该工作日为非港股通交易日，则本基金可不开放）</w:t>
      </w:r>
      <w:r>
        <w:rPr>
          <w:rFonts w:hint="eastAsia" w:ascii="Times New Roman" w:hAnsi="Times New Roman"/>
          <w:sz w:val="24"/>
        </w:rPr>
        <w:t>，但基金管理人根据法律法规、中国证监会的要求或基金合同的规定公告暂停申购、赎回时除外。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基金合同生效后，若出现新的证券</w:t>
      </w:r>
      <w:r>
        <w:rPr>
          <w:rFonts w:ascii="Times New Roman" w:hAnsi="Times New Roman"/>
          <w:sz w:val="24"/>
        </w:rPr>
        <w:t>/</w:t>
      </w:r>
      <w:r>
        <w:rPr>
          <w:rFonts w:hint="eastAsia" w:ascii="Times New Roman" w:hAnsi="Times New Roman"/>
          <w:sz w:val="24"/>
        </w:rPr>
        <w:t>期货交易市场、证券</w:t>
      </w:r>
      <w:r>
        <w:rPr>
          <w:rFonts w:ascii="Times New Roman" w:hAnsi="Times New Roman"/>
          <w:sz w:val="24"/>
        </w:rPr>
        <w:t>/</w:t>
      </w:r>
      <w:r>
        <w:rPr>
          <w:rFonts w:hint="eastAsia" w:ascii="Times New Roman" w:hAnsi="Times New Roman"/>
          <w:sz w:val="24"/>
        </w:rPr>
        <w:t>期货交易所交易时间变更或其他特殊情况，基金管理人将视情况对前述开放日及开放时间进行相应的调整，但应在实施日前依照《信息披露办法》的有关规定在规定媒介上公告。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、申购、赎回开始日及业务办理时间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基金管理人可根据实际情况依法决定本基金开始办理申购的具体日期，具体业务办理时间在申购开始公告中规定。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基金管理人自基金合同生效之日起不超过</w:t>
      </w:r>
      <w:r>
        <w:rPr>
          <w:rFonts w:ascii="Times New Roman" w:hAnsi="Times New Roman"/>
          <w:sz w:val="24"/>
        </w:rPr>
        <w:t>3</w:t>
      </w:r>
      <w:r>
        <w:rPr>
          <w:rFonts w:hint="eastAsia" w:ascii="Times New Roman" w:hAnsi="Times New Roman"/>
          <w:sz w:val="24"/>
        </w:rPr>
        <w:t>个月开始办理赎回，具体业务办理时间在赎回开始公告中规定。在确定申购开始与赎回开始时间后，基金管理人应在申购、赎回开放日前依照《信息披露办法》的有关规定在规定媒介上公告申购与赎回的开始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（三）申购与赎回的原则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未知价</w:t>
      </w:r>
      <w:r>
        <w:rPr>
          <w:rFonts w:ascii="Times New Roman" w:hAnsi="Times New Roman"/>
          <w:sz w:val="24"/>
        </w:rPr>
        <w:t>”</w:t>
      </w:r>
      <w:r>
        <w:rPr>
          <w:rFonts w:hint="eastAsia" w:ascii="Times New Roman" w:hAnsi="Times New Roman"/>
          <w:sz w:val="24"/>
        </w:rPr>
        <w:t>原则，即申购、赎回价格以申请当日收市后计算的基金份额净值为基准进行计算；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金额申购、份额赎回</w:t>
      </w:r>
      <w:r>
        <w:rPr>
          <w:rFonts w:ascii="Times New Roman" w:hAnsi="Times New Roman"/>
          <w:sz w:val="24"/>
        </w:rPr>
        <w:t>”</w:t>
      </w:r>
      <w:r>
        <w:rPr>
          <w:rFonts w:hint="eastAsia" w:ascii="Times New Roman" w:hAnsi="Times New Roman"/>
          <w:sz w:val="24"/>
        </w:rPr>
        <w:t>原则，即申购以金额申请，赎回以份额申请；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、当日的申购与赎回申请可以在基金管理人规定的时间以内撤销，但申请经登记机构受理的不得撤销；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、基金份额持有人赎回时，除指定赎回外，基金管理人按</w:t>
      </w:r>
      <w:r>
        <w:rPr>
          <w:rFonts w:ascii="Times New Roman" w:hAnsi="Times New Roman"/>
          <w:sz w:val="24"/>
        </w:rPr>
        <w:t>“</w:t>
      </w:r>
      <w:r>
        <w:rPr>
          <w:rFonts w:hint="eastAsia" w:ascii="Times New Roman" w:hAnsi="Times New Roman"/>
          <w:sz w:val="24"/>
        </w:rPr>
        <w:t>先进先出</w:t>
      </w:r>
      <w:r>
        <w:rPr>
          <w:rFonts w:ascii="Times New Roman" w:hAnsi="Times New Roman"/>
          <w:sz w:val="24"/>
        </w:rPr>
        <w:t>”</w:t>
      </w:r>
      <w:r>
        <w:rPr>
          <w:rFonts w:hint="eastAsia" w:ascii="Times New Roman" w:hAnsi="Times New Roman"/>
          <w:sz w:val="24"/>
        </w:rPr>
        <w:t>的原则，对该持有人账户在该销售机构托管的基金份额进行处理，即登记确认日期在先的基金份额先赎回，登记确认日期在后的基金份额后赎回，以确定被赎回基金份额的持有期限和所适用的赎回费率；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、办理申购、赎回业务时，应当遵循基金份额持有人利益优先原则，确保投资者的合法权益不受损害并得到公平对待。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基金管理人可在法律法规允许的情况下，对上述原则进行调整。基金管理人必须在新规则开始实施前依照《信息披露办法》的有关规定在规定媒介上公告。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（四）申购和赎回的数额限定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、申购金额的限制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直销机构首次申购的最低金额为单笔</w:t>
      </w:r>
      <w:r>
        <w:rPr>
          <w:rFonts w:ascii="Times New Roman" w:hAnsi="Times New Roman"/>
          <w:sz w:val="24"/>
        </w:rPr>
        <w:t>100</w:t>
      </w:r>
      <w:r>
        <w:rPr>
          <w:rFonts w:hint="eastAsia" w:ascii="Times New Roman" w:hAnsi="Times New Roman"/>
          <w:sz w:val="24"/>
        </w:rPr>
        <w:t>万元，追加申购的最低金额为单笔</w:t>
      </w:r>
      <w:r>
        <w:rPr>
          <w:rFonts w:ascii="Times New Roman" w:hAnsi="Times New Roman"/>
          <w:sz w:val="24"/>
        </w:rPr>
        <w:t>10</w:t>
      </w:r>
      <w:r>
        <w:rPr>
          <w:rFonts w:hint="eastAsia" w:ascii="Times New Roman" w:hAnsi="Times New Roman"/>
          <w:sz w:val="24"/>
        </w:rPr>
        <w:t>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rFonts w:ascii="Times New Roman" w:hAnsi="Times New Roman"/>
          <w:sz w:val="24"/>
        </w:rPr>
        <w:t>1</w:t>
      </w:r>
      <w:r>
        <w:rPr>
          <w:rFonts w:hint="eastAsia" w:ascii="Times New Roman" w:hAnsi="Times New Roman"/>
          <w:sz w:val="24"/>
        </w:rPr>
        <w:t>元。本基金直销机构单笔申购最低金额可由基金管理人酌情调整。其他销售机构接受申购申请的最低金额为单笔</w:t>
      </w:r>
      <w:r>
        <w:rPr>
          <w:rFonts w:ascii="Times New Roman" w:hAnsi="Times New Roman"/>
          <w:sz w:val="24"/>
        </w:rPr>
        <w:t>1</w:t>
      </w:r>
      <w:r>
        <w:rPr>
          <w:rFonts w:hint="eastAsia" w:ascii="Times New Roman" w:hAnsi="Times New Roman"/>
          <w:sz w:val="24"/>
        </w:rPr>
        <w:t>元，如果销售机构业务规则规定的最低单笔申购金额高于</w:t>
      </w:r>
      <w:r>
        <w:rPr>
          <w:rFonts w:ascii="Times New Roman" w:hAnsi="Times New Roman"/>
          <w:sz w:val="24"/>
        </w:rPr>
        <w:t>1</w:t>
      </w:r>
      <w:r>
        <w:rPr>
          <w:rFonts w:hint="eastAsia" w:ascii="Times New Roman" w:hAnsi="Times New Roman"/>
          <w:sz w:val="24"/>
        </w:rPr>
        <w:t>元，以该销售机构的规定为准。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、赎回份额的限制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赎回的最低份额为</w:t>
      </w:r>
      <w:r>
        <w:rPr>
          <w:rFonts w:ascii="Times New Roman" w:hAnsi="Times New Roman"/>
          <w:sz w:val="24"/>
        </w:rPr>
        <w:t>1</w:t>
      </w:r>
      <w:r>
        <w:rPr>
          <w:rFonts w:hint="eastAsia" w:ascii="Times New Roman" w:hAnsi="Times New Roman"/>
          <w:sz w:val="24"/>
        </w:rPr>
        <w:t>份基金份额，如果销售机构业务规则规定的最低单笔赎回份额高于</w:t>
      </w:r>
      <w:r>
        <w:rPr>
          <w:rFonts w:ascii="Times New Roman" w:hAnsi="Times New Roman"/>
          <w:sz w:val="24"/>
        </w:rPr>
        <w:t>1</w:t>
      </w:r>
      <w:r>
        <w:rPr>
          <w:rFonts w:hint="eastAsia" w:ascii="Times New Roman" w:hAnsi="Times New Roman"/>
          <w:sz w:val="24"/>
        </w:rPr>
        <w:t>份，以该销售机构的规定为准。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、最低基金份额余额的限制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每个工作日投资人在单个基金交易账户保留的本基金基金份额余额少于</w:t>
      </w:r>
      <w:r>
        <w:rPr>
          <w:rFonts w:ascii="Times New Roman" w:hAnsi="Times New Roman"/>
          <w:sz w:val="24"/>
        </w:rPr>
        <w:t>1</w:t>
      </w:r>
      <w:r>
        <w:rPr>
          <w:rFonts w:hint="eastAsia" w:ascii="Times New Roman" w:hAnsi="Times New Roman"/>
          <w:sz w:val="24"/>
        </w:rPr>
        <w:t>份时，若当日该账户同时有基金份额减少类业务（如赎回、转换出等）被确认，则基金管理人有权将投资人在该账户保留的本基金基金份额一次性全部赎回。</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、基金管理人可以规定本基金的总规模上限、单个投资人累计持有的基金份额上限，具体规定请参见相关公告。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、基金管理人可在法律法规允许的情况下，调整上述规定申购金额和赎回份额的数量限制。基金管理人必须在调整实施前依照《信息披露办法》的有关规定在规定媒介上公告。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（五）申购和赎回的程序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、申购和赎回的申请方式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、申购和赎回的款项支付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投资人申购基金份额时，必须全额交付申购款项，若申购资金在规定时间内未全额到账则申购不成立。投资人全额交付申购款项，申购成立；基金登记机构确认基金份额时，申购生效。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基金份额持有人递交赎回申请，赎回成立；基金登记机构确认赎回时，赎回生效。投资者赎回申请生效后，基金管理人将在</w:t>
      </w:r>
      <w:r>
        <w:rPr>
          <w:rFonts w:ascii="Times New Roman" w:hAnsi="Times New Roman"/>
          <w:sz w:val="24"/>
        </w:rPr>
        <w:t>T</w:t>
      </w:r>
      <w:r>
        <w:rPr>
          <w:rFonts w:hint="eastAsia" w:ascii="Times New Roman" w:hAnsi="Times New Roman"/>
          <w:sz w:val="24"/>
        </w:rPr>
        <w:t>＋</w:t>
      </w:r>
      <w:r>
        <w:rPr>
          <w:rFonts w:ascii="Times New Roman" w:hAnsi="Times New Roman"/>
          <w:sz w:val="24"/>
        </w:rPr>
        <w:t>7</w:t>
      </w:r>
      <w:r>
        <w:rPr>
          <w:rFonts w:hint="eastAsia" w:ascii="Times New Roman" w:hAnsi="Times New Roman"/>
          <w:sz w:val="24"/>
        </w:rPr>
        <w:t>日（包括该日）内支付赎回款项。在发生巨额赎回或基金合同载明的其他暂停赎回或延缓支付赎回款项的情形时，款项的支付办法参照基金合同有关条款处理。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、申购和赎回申请的确认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基金管理人或基金管理人委托的登记机构应以交易时间结束前受理有效申购和赎回申请的当天作为申购或赎回申请日（</w:t>
      </w:r>
      <w:r>
        <w:rPr>
          <w:rFonts w:ascii="Times New Roman" w:hAnsi="Times New Roman"/>
          <w:sz w:val="24"/>
        </w:rPr>
        <w:t>T</w:t>
      </w:r>
      <w:r>
        <w:rPr>
          <w:rFonts w:hint="eastAsia" w:ascii="Times New Roman" w:hAnsi="Times New Roman"/>
          <w:sz w:val="24"/>
        </w:rPr>
        <w:t>日），在正常情况下，本基金登记机构在</w:t>
      </w:r>
      <w:r>
        <w:rPr>
          <w:rFonts w:ascii="Times New Roman" w:hAnsi="Times New Roman"/>
          <w:sz w:val="24"/>
        </w:rPr>
        <w:t>T+1</w:t>
      </w:r>
      <w:r>
        <w:rPr>
          <w:rFonts w:hint="eastAsia" w:ascii="Times New Roman" w:hAnsi="Times New Roman"/>
          <w:sz w:val="24"/>
        </w:rPr>
        <w:t>日（包括该日）内对该交易的有效性进行确认。</w:t>
      </w:r>
      <w:r>
        <w:rPr>
          <w:rFonts w:ascii="Times New Roman" w:hAnsi="Times New Roman"/>
          <w:sz w:val="24"/>
        </w:rPr>
        <w:t>T</w:t>
      </w:r>
      <w:r>
        <w:rPr>
          <w:rFonts w:hint="eastAsia" w:ascii="Times New Roman" w:hAnsi="Times New Roman"/>
          <w:sz w:val="24"/>
        </w:rPr>
        <w:t>日提交的有效申请，投资人应在</w:t>
      </w:r>
      <w:r>
        <w:rPr>
          <w:rFonts w:ascii="Times New Roman" w:hAnsi="Times New Roman"/>
          <w:sz w:val="24"/>
        </w:rPr>
        <w:t>T+2</w:t>
      </w:r>
      <w:r>
        <w:rPr>
          <w:rFonts w:hint="eastAsia" w:ascii="Times New Roman" w:hAnsi="Times New Roman"/>
          <w:sz w:val="24"/>
        </w:rPr>
        <w:t>日后（包括该日）及时到销售网点柜台或以销售机构规定的其他方式查询申请的确认情况。若申购不成功，则申购款项退还给投资人。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基金管理人可在法律法规允许的范围内，依法对上述申购和赎回申请的确认时间进行调整，并必须在调整实施日前按照《信息披露办法》的有关规定在规定媒介上公告。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销售机构对申购、赎回申请的受理并不代表该申请一定成功，而仅代表销售机构确实接收到申购、赎回申请。申购、赎回申请的确认以登记机构的确认结果为准。对于申请的确认情况，投资者应及时查询。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、申购和赎回的登记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）投资人</w:t>
      </w:r>
      <w:r>
        <w:rPr>
          <w:rFonts w:ascii="Times New Roman" w:hAnsi="Times New Roman"/>
          <w:sz w:val="24"/>
        </w:rPr>
        <w:t>T</w:t>
      </w:r>
      <w:r>
        <w:rPr>
          <w:rFonts w:hint="eastAsia" w:ascii="Times New Roman" w:hAnsi="Times New Roman"/>
          <w:sz w:val="24"/>
        </w:rPr>
        <w:t>日申购基金成功后，正常情况下，登记机构在</w:t>
      </w:r>
      <w:r>
        <w:rPr>
          <w:rFonts w:ascii="Times New Roman" w:hAnsi="Times New Roman"/>
          <w:sz w:val="24"/>
        </w:rPr>
        <w:t>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日为投资人增加权益并办理登记手续，投资人自</w:t>
      </w:r>
      <w:r>
        <w:rPr>
          <w:rFonts w:ascii="Times New Roman" w:hAnsi="Times New Roman"/>
          <w:sz w:val="24"/>
        </w:rPr>
        <w:t>T</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日起（包括该日）有权赎回该部分基金份额。投资人应及时查询有关申请的确认情况。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）投资人</w:t>
      </w:r>
      <w:r>
        <w:rPr>
          <w:rFonts w:ascii="Times New Roman" w:hAnsi="Times New Roman"/>
          <w:sz w:val="24"/>
        </w:rPr>
        <w:t>T</w:t>
      </w:r>
      <w:r>
        <w:rPr>
          <w:rFonts w:hint="eastAsia" w:ascii="Times New Roman" w:hAnsi="Times New Roman"/>
          <w:sz w:val="24"/>
        </w:rPr>
        <w:t>日赎回基金成功后，正常情况下，登记机构在</w:t>
      </w:r>
      <w:r>
        <w:rPr>
          <w:rFonts w:ascii="Times New Roman" w:hAnsi="Times New Roman"/>
          <w:sz w:val="24"/>
        </w:rPr>
        <w:t>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日为投资人扣除权益并办理相应的登记手续。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）基金管理人可在法律法规允许的范围内，对上述登记办理时间进行调整，并于开始实施前按照《信息披露办法》的有关规定在规定媒介上公告。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（六）基金的申购费和赎回费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本基金基金份额分为</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类基金份额。投资人申购</w:t>
      </w:r>
      <w:r>
        <w:rPr>
          <w:rFonts w:ascii="Times New Roman" w:hAnsi="Times New Roman"/>
          <w:sz w:val="24"/>
        </w:rPr>
        <w:t>A</w:t>
      </w:r>
      <w:r>
        <w:rPr>
          <w:rFonts w:hint="eastAsia" w:ascii="Times New Roman" w:hAnsi="Times New Roman"/>
          <w:sz w:val="24"/>
        </w:rPr>
        <w:t>类基金份额在申购时支付申购费用</w:t>
      </w:r>
      <w:r>
        <w:rPr>
          <w:rFonts w:hint="eastAsia" w:hAnsi="宋体"/>
          <w:sz w:val="24"/>
          <w:szCs w:val="24"/>
        </w:rPr>
        <w:t>（其中，通过直销机构</w:t>
      </w:r>
      <w:r>
        <w:rPr>
          <w:rFonts w:hint="eastAsia" w:hAnsi="宋体"/>
          <w:sz w:val="24"/>
          <w:szCs w:val="24"/>
          <w:lang w:val="en-US" w:eastAsia="zh-CN"/>
        </w:rPr>
        <w:t>申购</w:t>
      </w:r>
      <w:r>
        <w:rPr>
          <w:rFonts w:hint="eastAsia" w:hAnsi="宋体"/>
          <w:sz w:val="24"/>
          <w:szCs w:val="24"/>
        </w:rPr>
        <w:t>时不支付</w:t>
      </w:r>
      <w:r>
        <w:rPr>
          <w:rFonts w:hint="eastAsia" w:hAnsi="宋体"/>
          <w:sz w:val="24"/>
          <w:szCs w:val="24"/>
          <w:lang w:val="en-US" w:eastAsia="zh-CN"/>
        </w:rPr>
        <w:t>申购</w:t>
      </w:r>
      <w:r>
        <w:rPr>
          <w:rFonts w:hint="eastAsia" w:hAnsi="宋体"/>
          <w:sz w:val="24"/>
          <w:szCs w:val="24"/>
        </w:rPr>
        <w:t>费用）</w:t>
      </w:r>
      <w:r>
        <w:rPr>
          <w:rFonts w:hint="eastAsia" w:hAnsi="宋体"/>
          <w:sz w:val="24"/>
          <w:szCs w:val="24"/>
          <w:lang w:eastAsia="zh-CN"/>
        </w:rPr>
        <w:t>，</w:t>
      </w:r>
      <w:r>
        <w:rPr>
          <w:rFonts w:hint="eastAsia" w:ascii="Times New Roman" w:hAnsi="Times New Roman"/>
          <w:sz w:val="24"/>
        </w:rPr>
        <w:t>申购</w:t>
      </w:r>
      <w:r>
        <w:rPr>
          <w:rFonts w:ascii="Times New Roman" w:hAnsi="Times New Roman"/>
          <w:sz w:val="24"/>
        </w:rPr>
        <w:t>C</w:t>
      </w:r>
      <w:r>
        <w:rPr>
          <w:rFonts w:hint="eastAsia" w:ascii="Times New Roman" w:hAnsi="Times New Roman"/>
          <w:sz w:val="24"/>
        </w:rPr>
        <w:t>类基金份额不支付申购费用。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hAnsi="宋体"/>
          <w:sz w:val="24"/>
          <w:szCs w:val="24"/>
        </w:rPr>
        <w:t>通过直销机构申购本基金</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hAnsi="宋体"/>
          <w:sz w:val="24"/>
          <w:szCs w:val="24"/>
        </w:rPr>
        <w:t>基金份额不收取申购费</w:t>
      </w:r>
      <w:r>
        <w:rPr>
          <w:rFonts w:hint="eastAsia" w:hAnsi="宋体"/>
          <w:sz w:val="24"/>
          <w:szCs w:val="24"/>
          <w:lang w:eastAsia="zh-CN"/>
        </w:rPr>
        <w:t>；</w:t>
      </w:r>
      <w:r>
        <w:rPr>
          <w:rFonts w:hint="eastAsia" w:hAnsi="宋体"/>
          <w:sz w:val="24"/>
          <w:szCs w:val="24"/>
        </w:rPr>
        <w:t>通过其他销售机构申购</w:t>
      </w:r>
      <w:r>
        <w:rPr>
          <w:rFonts w:ascii="Times New Roman" w:hAnsi="Times New Roman"/>
          <w:sz w:val="24"/>
        </w:rPr>
        <w:t>A</w:t>
      </w:r>
      <w:r>
        <w:rPr>
          <w:rFonts w:hint="eastAsia" w:ascii="Times New Roman" w:hAnsi="Times New Roman"/>
          <w:sz w:val="24"/>
        </w:rPr>
        <w:t>类基金份额的</w:t>
      </w:r>
      <w:r>
        <w:rPr>
          <w:rFonts w:hint="eastAsia" w:ascii="Times New Roman" w:hAnsi="Times New Roman"/>
          <w:sz w:val="24"/>
          <w:lang w:eastAsia="zh-CN"/>
        </w:rPr>
        <w:t>，</w:t>
      </w:r>
      <w:r>
        <w:rPr>
          <w:rFonts w:hint="eastAsia" w:ascii="Times New Roman" w:hAnsi="Times New Roman"/>
          <w:sz w:val="24"/>
        </w:rPr>
        <w:t>申购费用由</w:t>
      </w:r>
      <w:r>
        <w:rPr>
          <w:rFonts w:ascii="Times New Roman" w:hAnsi="Times New Roman"/>
          <w:sz w:val="24"/>
        </w:rPr>
        <w:t>A</w:t>
      </w:r>
      <w:r>
        <w:rPr>
          <w:rFonts w:hint="eastAsia" w:ascii="Times New Roman" w:hAnsi="Times New Roman"/>
          <w:sz w:val="24"/>
        </w:rPr>
        <w:t>类基金份额申购人承担</w:t>
      </w:r>
      <w:r>
        <w:rPr>
          <w:rFonts w:hint="eastAsia" w:ascii="Times New Roman" w:hAnsi="Times New Roman"/>
          <w:sz w:val="24"/>
          <w:lang w:eastAsia="zh-CN"/>
        </w:rPr>
        <w:t>，</w:t>
      </w:r>
      <w:r>
        <w:rPr>
          <w:rFonts w:hint="eastAsia" w:ascii="Times New Roman" w:hAnsi="Times New Roman"/>
          <w:sz w:val="24"/>
        </w:rPr>
        <w:t>投资人可以多次申购本基金，申购费用按</w:t>
      </w:r>
      <w:r>
        <w:rPr>
          <w:rFonts w:ascii="Times New Roman" w:hAnsi="Times New Roman"/>
          <w:sz w:val="24"/>
        </w:rPr>
        <w:t>A</w:t>
      </w:r>
      <w:r>
        <w:rPr>
          <w:rFonts w:hint="eastAsia" w:ascii="Times New Roman" w:hAnsi="Times New Roman"/>
          <w:sz w:val="24"/>
        </w:rPr>
        <w:t>类基金份额的每笔申购申请单独计算。</w:t>
      </w:r>
      <w:r>
        <w:rPr>
          <w:rFonts w:hint="eastAsia" w:ascii="Times New Roman" w:hAnsi="Times New Roman"/>
          <w:sz w:val="24"/>
          <w:lang w:val="en-US" w:eastAsia="zh-CN"/>
        </w:rPr>
        <w:t>申购费用</w:t>
      </w:r>
      <w:r>
        <w:rPr>
          <w:rFonts w:hint="eastAsia" w:ascii="Times New Roman" w:hAnsi="Times New Roman"/>
          <w:sz w:val="24"/>
        </w:rPr>
        <w:t>不列入基金财产，主要用于本基金的市场推广、销售等各项费用。</w:t>
      </w:r>
      <w:bookmarkStart w:id="77" w:name="_GoBack"/>
      <w:bookmarkEnd w:id="77"/>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hAnsi="宋体"/>
          <w:sz w:val="24"/>
          <w:szCs w:val="24"/>
        </w:rPr>
        <w:t>通过其他销售机构申购</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类基金份额的申购费率如下：</w:t>
      </w:r>
    </w:p>
    <w:tbl>
      <w:tblPr>
        <w:tblStyle w:val="15"/>
        <w:tblW w:w="4290" w:type="pct"/>
        <w:jc w:val="center"/>
        <w:tblLayout w:type="autofit"/>
        <w:tblCellMar>
          <w:top w:w="0" w:type="dxa"/>
          <w:left w:w="0" w:type="dxa"/>
          <w:bottom w:w="0" w:type="dxa"/>
          <w:right w:w="0" w:type="dxa"/>
        </w:tblCellMar>
      </w:tblPr>
      <w:tblGrid>
        <w:gridCol w:w="3719"/>
        <w:gridCol w:w="3720"/>
      </w:tblGrid>
      <w:tr>
        <w:tblPrEx>
          <w:tblCellMar>
            <w:top w:w="0" w:type="dxa"/>
            <w:left w:w="0" w:type="dxa"/>
            <w:bottom w:w="0" w:type="dxa"/>
            <w:right w:w="0" w:type="dxa"/>
          </w:tblCellMar>
        </w:tblPrEx>
        <w:trPr>
          <w:cantSplit/>
          <w:trHeight w:val="37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申购金额（含申购费）</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A类基金份额申购费率</w:t>
            </w:r>
          </w:p>
        </w:tc>
      </w:tr>
      <w:tr>
        <w:tblPrEx>
          <w:tblCellMar>
            <w:top w:w="0" w:type="dxa"/>
            <w:left w:w="0" w:type="dxa"/>
            <w:bottom w:w="0" w:type="dxa"/>
            <w:right w:w="0" w:type="dxa"/>
          </w:tblCellMar>
        </w:tblPrEx>
        <w:trPr>
          <w:cantSplit/>
          <w:trHeight w:val="37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rPr>
              <w:t>100</w:t>
            </w:r>
            <w:r>
              <w:rPr>
                <w:rFonts w:hint="eastAsia" w:ascii="Times New Roman" w:hAnsi="Times New Roman"/>
                <w:color w:val="000000"/>
                <w:kern w:val="0"/>
                <w:sz w:val="25"/>
                <w:szCs w:val="24"/>
                <w:lang w:val="en-US" w:eastAsia="zh-CN"/>
              </w:rPr>
              <w:t>0</w:t>
            </w:r>
            <w:r>
              <w:rPr>
                <w:rFonts w:hint="eastAsia" w:ascii="Times New Roman" w:hAnsi="Times New Roman"/>
                <w:color w:val="000000"/>
                <w:kern w:val="0"/>
                <w:sz w:val="25"/>
                <w:szCs w:val="24"/>
              </w:rPr>
              <w:t>万元以下</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0.3</w:t>
            </w: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10</w:t>
            </w:r>
            <w:r>
              <w:rPr>
                <w:rFonts w:hint="eastAsia" w:ascii="Times New Roman" w:hAnsi="Times New Roman"/>
                <w:color w:val="000000"/>
                <w:kern w:val="0"/>
                <w:sz w:val="25"/>
                <w:szCs w:val="24"/>
              </w:rPr>
              <w:t>00万元以上（含</w:t>
            </w:r>
            <w:r>
              <w:rPr>
                <w:rFonts w:hint="eastAsia" w:ascii="Times New Roman" w:hAnsi="Times New Roman"/>
                <w:color w:val="000000"/>
                <w:kern w:val="0"/>
                <w:sz w:val="25"/>
                <w:szCs w:val="24"/>
                <w:lang w:val="en-US" w:eastAsia="zh-CN"/>
              </w:rPr>
              <w:t>10</w:t>
            </w:r>
            <w:r>
              <w:rPr>
                <w:rFonts w:hint="eastAsia" w:ascii="Times New Roman" w:hAnsi="Times New Roman"/>
                <w:color w:val="000000"/>
                <w:kern w:val="0"/>
                <w:sz w:val="25"/>
                <w:szCs w:val="24"/>
              </w:rPr>
              <w:t>00万元）</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每笔交易1000元</w:t>
            </w:r>
          </w:p>
        </w:tc>
      </w:tr>
    </w:tbl>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持有A</w:t>
      </w:r>
      <w:r>
        <w:rPr>
          <w:rFonts w:hint="eastAsia" w:ascii="Times New Roman" w:hAnsi="Times New Roman"/>
          <w:sz w:val="24"/>
        </w:rPr>
        <w:t>类基金份额的投资人因红利自动再投资而产生的</w:t>
      </w:r>
      <w:r>
        <w:rPr>
          <w:rFonts w:ascii="Times New Roman" w:hAnsi="Times New Roman"/>
          <w:sz w:val="24"/>
        </w:rPr>
        <w:t>A</w:t>
      </w:r>
      <w:r>
        <w:rPr>
          <w:rFonts w:hint="eastAsia" w:ascii="Times New Roman" w:hAnsi="Times New Roman"/>
          <w:sz w:val="24"/>
        </w:rPr>
        <w:t>类基金份额，不收取相应的申购费用。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、赎回费用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投资者赎回</w:t>
      </w:r>
      <w:r>
        <w:rPr>
          <w:rFonts w:ascii="Times New Roman" w:hAnsi="Times New Roman"/>
          <w:sz w:val="24"/>
        </w:rPr>
        <w:t>A</w:t>
      </w:r>
      <w:r>
        <w:rPr>
          <w:rFonts w:hint="eastAsia" w:ascii="Times New Roman" w:hAnsi="Times New Roman"/>
          <w:sz w:val="24"/>
        </w:rPr>
        <w:t>类基金份额或</w:t>
      </w:r>
      <w:r>
        <w:rPr>
          <w:rFonts w:ascii="Times New Roman" w:hAnsi="Times New Roman"/>
          <w:sz w:val="24"/>
        </w:rPr>
        <w:t>C</w:t>
      </w:r>
      <w:r>
        <w:rPr>
          <w:rFonts w:hint="eastAsia" w:ascii="Times New Roman" w:hAnsi="Times New Roman"/>
          <w:sz w:val="24"/>
        </w:rPr>
        <w:t>类基金份额收取赎回费用，该费用随基金份额的持有时间增加而递减。本基金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类基金份额的赎回费用由赎回该类基金份额的基金份额持有人承担，在基金份额持有人赎回基金份额时收取</w:t>
      </w:r>
      <w:r>
        <w:rPr>
          <w:rFonts w:hint="eastAsia" w:ascii="Times New Roman" w:hAnsi="Times New Roman"/>
          <w:sz w:val="24"/>
          <w:lang w:eastAsia="zh-CN"/>
        </w:rPr>
        <w:t>，</w:t>
      </w:r>
      <w:r>
        <w:rPr>
          <w:rFonts w:hint="eastAsia" w:ascii="Times New Roman" w:hAnsi="Times New Roman"/>
          <w:sz w:val="24"/>
        </w:rPr>
        <w:t>赎回费用全额计入基金财产。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lang w:val="en-US" w:eastAsia="zh-CN"/>
        </w:rPr>
        <w:t>对个人投资者，</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类基金份额和C类基金份额的赎回费率如下：</w:t>
      </w:r>
    </w:p>
    <w:tbl>
      <w:tblPr>
        <w:tblStyle w:val="15"/>
        <w:tblW w:w="4286" w:type="pct"/>
        <w:tblInd w:w="0" w:type="dxa"/>
        <w:tblLayout w:type="autofit"/>
        <w:tblCellMar>
          <w:top w:w="0" w:type="dxa"/>
          <w:left w:w="0" w:type="dxa"/>
          <w:bottom w:w="0" w:type="dxa"/>
          <w:right w:w="0" w:type="dxa"/>
        </w:tblCellMar>
      </w:tblPr>
      <w:tblGrid>
        <w:gridCol w:w="3716"/>
        <w:gridCol w:w="3716"/>
      </w:tblGrid>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持有期限</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7日以内</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7日以上（含）</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lang w:val="en-US" w:eastAsia="zh-CN"/>
        </w:rPr>
        <w:t>对机构投资者，</w:t>
      </w:r>
      <w:r>
        <w:rPr>
          <w:rFonts w:hint="eastAsia" w:ascii="Times New Roman" w:hAnsi="Times New Roman"/>
          <w:sz w:val="24"/>
        </w:rPr>
        <w:t>本基金</w:t>
      </w:r>
      <w:r>
        <w:rPr>
          <w:rFonts w:ascii="Times New Roman" w:hAnsi="Times New Roman"/>
          <w:sz w:val="24"/>
        </w:rPr>
        <w:t>A</w:t>
      </w:r>
      <w:r>
        <w:rPr>
          <w:rFonts w:hint="eastAsia" w:ascii="Times New Roman" w:hAnsi="Times New Roman"/>
          <w:sz w:val="24"/>
        </w:rPr>
        <w:t>类基金份额和C类基金份额的赎回费率如下：</w:t>
      </w:r>
    </w:p>
    <w:tbl>
      <w:tblPr>
        <w:tblStyle w:val="15"/>
        <w:tblW w:w="4286" w:type="pct"/>
        <w:tblInd w:w="0" w:type="dxa"/>
        <w:tblLayout w:type="autofit"/>
        <w:tblCellMar>
          <w:top w:w="0" w:type="dxa"/>
          <w:left w:w="0" w:type="dxa"/>
          <w:bottom w:w="0" w:type="dxa"/>
          <w:right w:w="0" w:type="dxa"/>
        </w:tblCellMar>
      </w:tblPr>
      <w:tblGrid>
        <w:gridCol w:w="3716"/>
        <w:gridCol w:w="3716"/>
      </w:tblGrid>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持有期限</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赎回费率</w:t>
            </w:r>
          </w:p>
        </w:tc>
      </w:tr>
      <w:tr>
        <w:tblPrEx>
          <w:tblCellMar>
            <w:top w:w="0" w:type="dxa"/>
            <w:left w:w="0" w:type="dxa"/>
            <w:bottom w:w="0" w:type="dxa"/>
            <w:right w:w="0" w:type="dxa"/>
          </w:tblCellMar>
        </w:tblPrEx>
        <w:trPr>
          <w:cantSplit/>
          <w:trHeight w:val="375" w:hRule="atLeast"/>
        </w:trPr>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7日以内</w:t>
            </w:r>
          </w:p>
        </w:tc>
        <w:tc>
          <w:tcPr>
            <w:tcW w:w="25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3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7日（含）</w:t>
            </w:r>
            <w:r>
              <w:rPr>
                <w:rFonts w:hint="eastAsia"/>
                <w:sz w:val="24"/>
                <w:szCs w:val="24"/>
              </w:rPr>
              <w:t>—</w:t>
            </w:r>
            <w:r>
              <w:rPr>
                <w:rFonts w:hint="eastAsia" w:ascii="Times New Roman" w:hAnsi="Times New Roman"/>
                <w:color w:val="000000"/>
                <w:kern w:val="0"/>
                <w:sz w:val="25"/>
                <w:szCs w:val="24"/>
                <w:lang w:val="en-US" w:eastAsia="zh-CN"/>
              </w:rPr>
              <w:t>30日</w:t>
            </w:r>
          </w:p>
        </w:tc>
        <w:tc>
          <w:tcPr>
            <w:tcW w:w="371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1.0%</w:t>
            </w:r>
          </w:p>
        </w:tc>
      </w:tr>
      <w:tr>
        <w:tblPrEx>
          <w:tblCellMar>
            <w:top w:w="0" w:type="dxa"/>
            <w:left w:w="0" w:type="dxa"/>
            <w:bottom w:w="0" w:type="dxa"/>
            <w:right w:w="0" w:type="dxa"/>
          </w:tblCellMar>
        </w:tblPrEx>
        <w:trPr>
          <w:cantSplit/>
          <w:trHeight w:val="375" w:hRule="atLeast"/>
        </w:trPr>
        <w:tc>
          <w:tcPr>
            <w:tcW w:w="3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30日（含）</w:t>
            </w:r>
            <w:r>
              <w:rPr>
                <w:rFonts w:hint="eastAsia"/>
                <w:sz w:val="24"/>
                <w:szCs w:val="24"/>
              </w:rPr>
              <w:t>—</w:t>
            </w:r>
            <w:r>
              <w:rPr>
                <w:rFonts w:hint="eastAsia" w:ascii="Times New Roman" w:hAnsi="Times New Roman"/>
                <w:color w:val="000000"/>
                <w:kern w:val="0"/>
                <w:sz w:val="25"/>
                <w:szCs w:val="24"/>
                <w:lang w:val="en-US" w:eastAsia="zh-CN"/>
              </w:rPr>
              <w:t>180日</w:t>
            </w:r>
          </w:p>
        </w:tc>
        <w:tc>
          <w:tcPr>
            <w:tcW w:w="371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0.5%</w:t>
            </w:r>
          </w:p>
        </w:tc>
      </w:tr>
      <w:tr>
        <w:tblPrEx>
          <w:tblCellMar>
            <w:top w:w="0" w:type="dxa"/>
            <w:left w:w="0" w:type="dxa"/>
            <w:bottom w:w="0" w:type="dxa"/>
            <w:right w:w="0" w:type="dxa"/>
          </w:tblCellMar>
        </w:tblPrEx>
        <w:trPr>
          <w:cantSplit/>
          <w:trHeight w:val="375" w:hRule="atLeast"/>
        </w:trPr>
        <w:tc>
          <w:tcPr>
            <w:tcW w:w="37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180日以上（含）</w:t>
            </w:r>
          </w:p>
        </w:tc>
        <w:tc>
          <w:tcPr>
            <w:tcW w:w="371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napToGrid w:val="0"/>
              <w:spacing w:before="0" w:beforeAutospacing="0" w:after="0" w:afterAutospacing="0"/>
              <w:ind w:left="0" w:right="0"/>
              <w:jc w:val="center"/>
              <w:rPr>
                <w:rFonts w:hint="eastAsia" w:ascii="Times New Roman" w:hAnsi="Times New Roman"/>
                <w:color w:val="000000"/>
                <w:kern w:val="0"/>
                <w:sz w:val="25"/>
                <w:szCs w:val="24"/>
              </w:rPr>
            </w:pPr>
            <w:r>
              <w:rPr>
                <w:rFonts w:hint="eastAsia" w:ascii="Times New Roman" w:hAnsi="Times New Roman"/>
                <w:color w:val="000000"/>
                <w:kern w:val="0"/>
                <w:sz w:val="25"/>
                <w:szCs w:val="24"/>
                <w:lang w:val="en-US" w:eastAsia="zh-CN"/>
              </w:rPr>
              <w:t>0</w:t>
            </w:r>
          </w:p>
        </w:tc>
      </w:tr>
    </w:tbl>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、经与基金托管人协商一致，基金管理人可以在基金合同约定的范围内调整费率或收费方式，并最迟应于新的费率或收费方式实施日前依照《信息披露办法》的有关规定在规定媒介上公告。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、当本基金发生大额申购或赎回情形时，基金管理人可以采用摆动定价机制，以确保基金估值的公平性。具体处理原则与操作规范遵循相关法律法规以及监管部门、自律规则的规定。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Pr>
          <w:rFonts w:hint="eastAsia" w:hAnsi="宋体"/>
          <w:kern w:val="0"/>
          <w:sz w:val="24"/>
          <w:szCs w:val="24"/>
        </w:rPr>
        <w:t>申购费率、销售服务费率</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（七）申购和赎回的数额和价格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、申购和赎回数额、余额的处理方式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）申购</w:t>
      </w:r>
      <w:r>
        <w:rPr>
          <w:rFonts w:ascii="Times New Roman" w:hAnsi="Times New Roman"/>
          <w:sz w:val="24"/>
        </w:rPr>
        <w:t>A</w:t>
      </w:r>
      <w:r>
        <w:rPr>
          <w:rFonts w:hint="eastAsia" w:ascii="Times New Roman" w:hAnsi="Times New Roman"/>
          <w:sz w:val="24"/>
        </w:rPr>
        <w:t>类基金份额或</w:t>
      </w:r>
      <w:r>
        <w:rPr>
          <w:rFonts w:ascii="Times New Roman" w:hAnsi="Times New Roman"/>
          <w:sz w:val="24"/>
        </w:rPr>
        <w:t>C</w:t>
      </w:r>
      <w:r>
        <w:rPr>
          <w:rFonts w:hint="eastAsia" w:ascii="Times New Roman" w:hAnsi="Times New Roman"/>
          <w:sz w:val="24"/>
        </w:rPr>
        <w:t>类基金份额的有效份额为净申购金额除以当日该类基金份额的基金份额净值，有效份额单位为份，申购份额计算结果按四舍五入方法，保留到小数点后</w:t>
      </w:r>
      <w:r>
        <w:rPr>
          <w:rFonts w:ascii="Times New Roman" w:hAnsi="Times New Roman"/>
          <w:sz w:val="24"/>
        </w:rPr>
        <w:t>2</w:t>
      </w:r>
      <w:r>
        <w:rPr>
          <w:rFonts w:hint="eastAsia" w:ascii="Times New Roman" w:hAnsi="Times New Roman"/>
          <w:sz w:val="24"/>
        </w:rPr>
        <w:t>位，由此产生的收益或损失由基金财产承担。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类基金份额或</w:t>
      </w:r>
      <w:r>
        <w:rPr>
          <w:rFonts w:ascii="Times New Roman" w:hAnsi="Times New Roman"/>
          <w:sz w:val="24"/>
        </w:rPr>
        <w:t>C</w:t>
      </w:r>
      <w:r>
        <w:rPr>
          <w:rFonts w:hint="eastAsia" w:ascii="Times New Roman" w:hAnsi="Times New Roman"/>
          <w:sz w:val="24"/>
        </w:rPr>
        <w:t>类基金份额的赎回金额为按实际确认的A类基金份额或C类基金份额的有效赎回份额乘以当日该类基金份额的基金份额净值并扣除</w:t>
      </w:r>
      <w:r>
        <w:rPr>
          <w:rFonts w:hint="eastAsia"/>
          <w:bCs/>
          <w:sz w:val="24"/>
        </w:rPr>
        <w:t>或加上</w:t>
      </w:r>
      <w:r>
        <w:rPr>
          <w:rFonts w:hint="eastAsia" w:ascii="Times New Roman" w:hAnsi="Times New Roman"/>
          <w:sz w:val="24"/>
        </w:rPr>
        <w:t>相应的费用</w:t>
      </w:r>
      <w:r>
        <w:rPr>
          <w:rFonts w:hint="eastAsia"/>
          <w:bCs/>
          <w:sz w:val="24"/>
        </w:rPr>
        <w:t>（如有）</w:t>
      </w:r>
      <w:r>
        <w:rPr>
          <w:rFonts w:hint="eastAsia" w:ascii="Times New Roman" w:hAnsi="Times New Roman"/>
          <w:sz w:val="24"/>
        </w:rPr>
        <w:t>，赎回金额单位为元。赎回金额计算结果按四舍五入方法，保留到小数点后</w:t>
      </w:r>
      <w:r>
        <w:rPr>
          <w:rFonts w:ascii="Times New Roman" w:hAnsi="Times New Roman"/>
          <w:sz w:val="24"/>
        </w:rPr>
        <w:t>2</w:t>
      </w:r>
      <w:r>
        <w:rPr>
          <w:rFonts w:hint="eastAsia" w:ascii="Times New Roman" w:hAnsi="Times New Roman"/>
          <w:sz w:val="24"/>
        </w:rPr>
        <w:t>位，由此产生的收益或损失由基金财产承担。</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、申购份额的计算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本基金采用金额申购的方式。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类基金份额的申购</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申请总金额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净申购金额</w:t>
      </w:r>
      <w:r>
        <w:rPr>
          <w:rFonts w:ascii="Times New Roman" w:hAnsi="Times New Roman"/>
          <w:sz w:val="24"/>
        </w:rPr>
        <w:t>=</w:t>
      </w: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申购费率）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（注：</w:t>
      </w:r>
      <w:r>
        <w:rPr>
          <w:rFonts w:hint="eastAsia" w:ascii="Times New Roman" w:hAnsi="Times New Roman"/>
          <w:sz w:val="24"/>
          <w:lang w:val="en-US" w:eastAsia="zh-CN"/>
        </w:rPr>
        <w:t>①</w:t>
      </w:r>
      <w:r>
        <w:rPr>
          <w:rFonts w:hint="eastAsia" w:ascii="Times New Roman" w:hAnsi="Times New Roman"/>
          <w:sz w:val="24"/>
        </w:rPr>
        <w:t>对于适用固定金额申购费用的申购，净申购金额＝申购总金额－固定申购费用金额</w:t>
      </w:r>
      <w:r>
        <w:rPr>
          <w:rFonts w:hint="eastAsia" w:hAnsi="宋体"/>
          <w:kern w:val="0"/>
          <w:sz w:val="24"/>
          <w:szCs w:val="24"/>
          <w:lang w:eastAsia="zh-CN"/>
        </w:rPr>
        <w:t>；</w:t>
      </w:r>
      <w:r>
        <w:rPr>
          <w:rFonts w:hint="eastAsia" w:ascii="宋体" w:hAnsi="宋体" w:eastAsia="宋体" w:cs="宋体"/>
          <w:kern w:val="0"/>
          <w:sz w:val="24"/>
          <w:szCs w:val="24"/>
          <w:lang w:eastAsia="zh-CN"/>
        </w:rPr>
        <w:t>②对于通过直销机构</w:t>
      </w:r>
      <w:r>
        <w:rPr>
          <w:rFonts w:hint="eastAsia" w:ascii="宋体" w:hAnsi="宋体" w:cs="宋体"/>
          <w:kern w:val="0"/>
          <w:sz w:val="24"/>
          <w:szCs w:val="24"/>
          <w:lang w:val="en-US" w:eastAsia="zh-CN"/>
        </w:rPr>
        <w:t>申购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ascii="宋体" w:hAnsi="宋体" w:eastAsia="宋体" w:cs="宋体"/>
          <w:kern w:val="0"/>
          <w:sz w:val="24"/>
          <w:szCs w:val="24"/>
          <w:lang w:eastAsia="zh-CN"/>
        </w:rPr>
        <w:t>基金份额的，</w:t>
      </w:r>
      <w:r>
        <w:rPr>
          <w:rFonts w:hint="eastAsia" w:ascii="宋体" w:hAnsi="宋体" w:cs="宋体"/>
          <w:kern w:val="0"/>
          <w:sz w:val="24"/>
          <w:szCs w:val="24"/>
          <w:lang w:val="en-US" w:eastAsia="zh-CN"/>
        </w:rPr>
        <w:t>申购</w:t>
      </w:r>
      <w:r>
        <w:rPr>
          <w:rFonts w:hint="eastAsia" w:ascii="宋体" w:hAnsi="宋体" w:eastAsia="宋体" w:cs="宋体"/>
          <w:kern w:val="0"/>
          <w:sz w:val="24"/>
          <w:szCs w:val="24"/>
          <w:lang w:eastAsia="zh-CN"/>
        </w:rPr>
        <w:t>费率均为0</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申购费用</w:t>
      </w:r>
      <w:r>
        <w:rPr>
          <w:rFonts w:ascii="Times New Roman" w:hAnsi="Times New Roman"/>
          <w:sz w:val="24"/>
        </w:rPr>
        <w:t>=</w:t>
      </w: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净申购金额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（注：对于适用固定金额申购费用的申购，申购费用＝固定申购费用金额）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w:t>
      </w:r>
      <w:r>
        <w:rPr>
          <w:rFonts w:hint="eastAsia" w:ascii="Times New Roman" w:hAnsi="Times New Roman"/>
          <w:sz w:val="24"/>
        </w:rPr>
        <w:t>净申购金额</w:t>
      </w:r>
      <w:r>
        <w:rPr>
          <w:rFonts w:ascii="Times New Roman" w:hAnsi="Times New Roman"/>
          <w:sz w:val="24"/>
        </w:rPr>
        <w:t>/T</w:t>
      </w:r>
      <w:r>
        <w:rPr>
          <w:rFonts w:hint="eastAsia" w:ascii="Times New Roman" w:hAnsi="Times New Roman"/>
          <w:sz w:val="24"/>
        </w:rPr>
        <w:t>日</w:t>
      </w:r>
      <w:r>
        <w:rPr>
          <w:rFonts w:ascii="Times New Roman" w:hAnsi="Times New Roman"/>
          <w:sz w:val="24"/>
        </w:rPr>
        <w:t>A</w:t>
      </w:r>
      <w:r>
        <w:rPr>
          <w:rFonts w:hint="eastAsia" w:ascii="Times New Roman" w:hAnsi="Times New Roman"/>
          <w:sz w:val="24"/>
        </w:rPr>
        <w:t>类基金份额净值</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例</w:t>
      </w:r>
      <w:r>
        <w:rPr>
          <w:rFonts w:hint="eastAsia" w:ascii="Times New Roman" w:hAnsi="Times New Roman"/>
          <w:sz w:val="24"/>
          <w:lang w:val="en-US" w:eastAsia="zh-CN"/>
        </w:rPr>
        <w:t>四</w:t>
      </w:r>
      <w:r>
        <w:rPr>
          <w:rFonts w:hint="eastAsia" w:ascii="Times New Roman" w:hAnsi="Times New Roman"/>
          <w:sz w:val="24"/>
        </w:rPr>
        <w:t>：某投资者通过直销机构投资</w:t>
      </w:r>
      <w:r>
        <w:rPr>
          <w:rFonts w:hint="eastAsia" w:ascii="Times New Roman" w:hAnsi="Times New Roman"/>
          <w:sz w:val="24"/>
          <w:lang w:val="en-US" w:eastAsia="zh-CN"/>
        </w:rPr>
        <w:t>10</w:t>
      </w:r>
      <w:r>
        <w:rPr>
          <w:rFonts w:hint="eastAsia" w:ascii="Times New Roman" w:hAnsi="Times New Roman"/>
          <w:sz w:val="24"/>
        </w:rPr>
        <w:t>0,000.00元申购本基金A类基金份额，假设申购当日A类基金份额净值为1.0400元，</w:t>
      </w:r>
      <w:r>
        <w:rPr>
          <w:rFonts w:hint="eastAsia" w:hAnsi="宋体"/>
          <w:kern w:val="0"/>
          <w:sz w:val="24"/>
          <w:szCs w:val="24"/>
        </w:rPr>
        <w:t>申购费率</w:t>
      </w:r>
      <w:r>
        <w:rPr>
          <w:rFonts w:hint="eastAsia" w:hAnsi="宋体"/>
          <w:kern w:val="0"/>
          <w:sz w:val="24"/>
          <w:szCs w:val="24"/>
          <w:lang w:val="en-US" w:eastAsia="zh-CN"/>
        </w:rPr>
        <w:t>为</w:t>
      </w:r>
      <w:r>
        <w:rPr>
          <w:rFonts w:hint="eastAsia" w:ascii="Times New Roman" w:hAnsi="Times New Roman"/>
          <w:sz w:val="24"/>
        </w:rPr>
        <w:t>0</w:t>
      </w:r>
      <w:r>
        <w:rPr>
          <w:rFonts w:hint="eastAsia" w:hAnsi="宋体"/>
          <w:kern w:val="0"/>
          <w:sz w:val="24"/>
          <w:szCs w:val="24"/>
        </w:rPr>
        <w:t>，</w:t>
      </w:r>
      <w:r>
        <w:rPr>
          <w:rFonts w:hint="eastAsia" w:ascii="Times New Roman" w:hAnsi="Times New Roman"/>
          <w:sz w:val="24"/>
        </w:rPr>
        <w:t>则其可得到的申购份额为：</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申购总金额＝</w:t>
      </w:r>
      <w:r>
        <w:rPr>
          <w:rFonts w:hint="eastAsia" w:ascii="Times New Roman" w:hAnsi="Times New Roman"/>
          <w:sz w:val="24"/>
          <w:lang w:val="en-US" w:eastAsia="zh-CN"/>
        </w:rPr>
        <w:t>10</w:t>
      </w:r>
      <w:r>
        <w:rPr>
          <w:rFonts w:hint="eastAsia" w:ascii="Times New Roman" w:hAnsi="Times New Roman"/>
          <w:sz w:val="24"/>
        </w:rPr>
        <w:t>0,000.00元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净申购金额=</w:t>
      </w:r>
      <w:r>
        <w:rPr>
          <w:rFonts w:hint="eastAsia" w:ascii="Times New Roman" w:hAnsi="Times New Roman"/>
          <w:sz w:val="24"/>
          <w:lang w:val="en-US" w:eastAsia="zh-CN"/>
        </w:rPr>
        <w:t>10</w:t>
      </w:r>
      <w:r>
        <w:rPr>
          <w:rFonts w:hint="eastAsia" w:ascii="Times New Roman" w:hAnsi="Times New Roman"/>
          <w:sz w:val="24"/>
        </w:rPr>
        <w:t>0,000.00/（1+</w:t>
      </w:r>
      <w:r>
        <w:rPr>
          <w:rFonts w:hint="eastAsia" w:ascii="Times New Roman" w:hAnsi="Times New Roman"/>
          <w:sz w:val="24"/>
          <w:lang w:val="en-US" w:eastAsia="zh-CN"/>
        </w:rPr>
        <w:t>0</w:t>
      </w:r>
      <w:r>
        <w:rPr>
          <w:rFonts w:hint="eastAsia" w:ascii="Times New Roman" w:hAnsi="Times New Roman"/>
          <w:sz w:val="24"/>
        </w:rPr>
        <w:t>）=</w:t>
      </w:r>
      <w:r>
        <w:rPr>
          <w:rFonts w:hint="eastAsia" w:ascii="Times New Roman" w:hAnsi="Times New Roman"/>
          <w:sz w:val="24"/>
          <w:lang w:val="en-US" w:eastAsia="zh-CN"/>
        </w:rPr>
        <w:t>10</w:t>
      </w:r>
      <w:r>
        <w:rPr>
          <w:rFonts w:hint="eastAsia" w:ascii="Times New Roman" w:hAnsi="Times New Roman"/>
          <w:sz w:val="24"/>
        </w:rPr>
        <w:t>0,000.00元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申购费用=</w:t>
      </w:r>
      <w:r>
        <w:rPr>
          <w:rFonts w:hint="eastAsia" w:ascii="Times New Roman" w:hAnsi="Times New Roman"/>
          <w:sz w:val="24"/>
          <w:lang w:val="en-US" w:eastAsia="zh-CN"/>
        </w:rPr>
        <w:t>10</w:t>
      </w:r>
      <w:r>
        <w:rPr>
          <w:rFonts w:hint="eastAsia" w:ascii="Times New Roman" w:hAnsi="Times New Roman"/>
          <w:sz w:val="24"/>
        </w:rPr>
        <w:t>0,000.00-</w:t>
      </w:r>
      <w:r>
        <w:rPr>
          <w:rFonts w:hint="eastAsia" w:ascii="Times New Roman" w:hAnsi="Times New Roman"/>
          <w:sz w:val="24"/>
          <w:lang w:val="en-US" w:eastAsia="zh-CN"/>
        </w:rPr>
        <w:t>10</w:t>
      </w:r>
      <w:r>
        <w:rPr>
          <w:rFonts w:hint="eastAsia" w:ascii="Times New Roman" w:hAnsi="Times New Roman"/>
          <w:sz w:val="24"/>
        </w:rPr>
        <w:t>0,000.00=</w:t>
      </w:r>
      <w:r>
        <w:rPr>
          <w:rFonts w:hint="eastAsia" w:ascii="Times New Roman" w:hAnsi="Times New Roman"/>
          <w:sz w:val="24"/>
          <w:lang w:val="en-US" w:eastAsia="zh-CN"/>
        </w:rPr>
        <w:t>0.00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申购份额=</w:t>
      </w:r>
      <w:r>
        <w:rPr>
          <w:rFonts w:hint="eastAsia" w:ascii="Times New Roman" w:hAnsi="Times New Roman"/>
          <w:sz w:val="24"/>
          <w:lang w:val="en-US" w:eastAsia="zh-CN"/>
        </w:rPr>
        <w:t>10</w:t>
      </w:r>
      <w:r>
        <w:rPr>
          <w:rFonts w:hint="eastAsia" w:ascii="Times New Roman" w:hAnsi="Times New Roman"/>
          <w:sz w:val="24"/>
        </w:rPr>
        <w:t>0,000.00/1.0400=</w:t>
      </w:r>
      <w:r>
        <w:rPr>
          <w:rFonts w:hint="eastAsia" w:ascii="Times New Roman" w:hAnsi="Times New Roman"/>
          <w:sz w:val="24"/>
          <w:lang w:val="en-US" w:eastAsia="zh-CN"/>
        </w:rPr>
        <w:t>96,153.85</w:t>
      </w:r>
      <w:r>
        <w:rPr>
          <w:rFonts w:hint="eastAsia" w:ascii="Times New Roman" w:hAnsi="Times New Roman"/>
          <w:sz w:val="24"/>
        </w:rPr>
        <w:t>份</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即：该投资者通过直销机构投资</w:t>
      </w:r>
      <w:r>
        <w:rPr>
          <w:rFonts w:hint="eastAsia" w:ascii="Times New Roman" w:hAnsi="Times New Roman"/>
          <w:sz w:val="24"/>
          <w:lang w:val="en-US" w:eastAsia="zh-CN"/>
        </w:rPr>
        <w:t>10</w:t>
      </w:r>
      <w:r>
        <w:rPr>
          <w:rFonts w:hint="eastAsia" w:ascii="Times New Roman" w:hAnsi="Times New Roman"/>
          <w:sz w:val="24"/>
        </w:rPr>
        <w:t>0,000.00元申购本基金A类基金份额，假设申购当日A类基金份额净值为1.0400元，则其可得到</w:t>
      </w:r>
      <w:r>
        <w:rPr>
          <w:rFonts w:hint="eastAsia" w:ascii="Times New Roman" w:hAnsi="Times New Roman"/>
          <w:sz w:val="24"/>
          <w:lang w:val="en-US" w:eastAsia="zh-CN"/>
        </w:rPr>
        <w:t>96,153.85</w:t>
      </w:r>
      <w:r>
        <w:rPr>
          <w:rFonts w:hint="eastAsia" w:ascii="Times New Roman" w:hAnsi="Times New Roman"/>
          <w:sz w:val="24"/>
        </w:rPr>
        <w:t>份A类基金份额。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w:t>
      </w:r>
      <w:r>
        <w:rPr>
          <w:rFonts w:hint="eastAsia" w:ascii="Times New Roman" w:hAnsi="Times New Roman"/>
          <w:sz w:val="24"/>
          <w:lang w:val="en-US" w:eastAsia="zh-CN"/>
        </w:rPr>
        <w:t>五</w:t>
      </w:r>
      <w:r>
        <w:rPr>
          <w:rFonts w:hint="eastAsia" w:ascii="Times New Roman" w:hAnsi="Times New Roman"/>
          <w:sz w:val="24"/>
        </w:rPr>
        <w:t>：某投资者</w:t>
      </w:r>
      <w:r>
        <w:rPr>
          <w:rFonts w:hint="eastAsia" w:hAnsi="宋体"/>
          <w:kern w:val="0"/>
          <w:sz w:val="24"/>
          <w:szCs w:val="24"/>
        </w:rPr>
        <w:t>通过</w:t>
      </w:r>
      <w:r>
        <w:rPr>
          <w:rFonts w:hint="eastAsia" w:hAnsi="宋体"/>
          <w:kern w:val="0"/>
          <w:sz w:val="24"/>
          <w:szCs w:val="24"/>
          <w:lang w:val="en-US" w:eastAsia="zh-CN"/>
        </w:rPr>
        <w:t>其他销售</w:t>
      </w:r>
      <w:r>
        <w:rPr>
          <w:rFonts w:hint="eastAsia" w:hAnsi="宋体"/>
          <w:kern w:val="0"/>
          <w:sz w:val="24"/>
          <w:szCs w:val="24"/>
        </w:rPr>
        <w:t>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元申购本基金的</w:t>
      </w:r>
      <w:r>
        <w:rPr>
          <w:rFonts w:ascii="Times New Roman" w:hAnsi="Times New Roman"/>
          <w:sz w:val="24"/>
        </w:rPr>
        <w:t>A</w:t>
      </w:r>
      <w:r>
        <w:rPr>
          <w:rFonts w:hint="eastAsia" w:ascii="Times New Roman" w:hAnsi="Times New Roman"/>
          <w:sz w:val="24"/>
        </w:rPr>
        <w:t>类基金份额，假设申购当日</w:t>
      </w:r>
      <w:r>
        <w:rPr>
          <w:rFonts w:ascii="Times New Roman" w:hAnsi="Times New Roman"/>
          <w:sz w:val="24"/>
        </w:rPr>
        <w:t>A</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元，申购费率为</w:t>
      </w:r>
      <w:r>
        <w:rPr>
          <w:rFonts w:hint="eastAsia" w:ascii="Times New Roman" w:hAnsi="Times New Roman"/>
          <w:sz w:val="24"/>
          <w:lang w:val="en-US" w:eastAsia="zh-CN"/>
        </w:rPr>
        <w:t>0.3</w:t>
      </w:r>
      <w:r>
        <w:rPr>
          <w:rFonts w:ascii="Times New Roman" w:hAnsi="Times New Roman"/>
          <w:sz w:val="24"/>
        </w:rPr>
        <w:t>%</w:t>
      </w:r>
      <w:r>
        <w:rPr>
          <w:rFonts w:hint="eastAsia" w:ascii="Times New Roman" w:hAnsi="Times New Roman"/>
          <w:sz w:val="24"/>
        </w:rPr>
        <w:t>，则其可得到的申购份额为：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申购总金额＝</w:t>
      </w:r>
      <w:r>
        <w:rPr>
          <w:rFonts w:ascii="Times New Roman" w:hAnsi="Times New Roman"/>
          <w:sz w:val="24"/>
        </w:rPr>
        <w:t>100,000.00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净申购金额</w:t>
      </w:r>
      <w:r>
        <w:rPr>
          <w:rFonts w:ascii="Times New Roman" w:hAnsi="Times New Roman"/>
          <w:sz w:val="24"/>
        </w:rPr>
        <w:t>=100,000.00/</w:t>
      </w:r>
      <w:r>
        <w:rPr>
          <w:rFonts w:hint="eastAsia" w:ascii="Times New Roman" w:hAnsi="Times New Roman"/>
          <w:sz w:val="24"/>
        </w:rPr>
        <w:t>（</w:t>
      </w:r>
      <w:r>
        <w:rPr>
          <w:rFonts w:ascii="Times New Roman" w:hAnsi="Times New Roman"/>
          <w:sz w:val="24"/>
        </w:rPr>
        <w:t>1+</w:t>
      </w:r>
      <w:r>
        <w:rPr>
          <w:rFonts w:hint="eastAsia" w:ascii="Times New Roman" w:hAnsi="Times New Roman"/>
          <w:sz w:val="24"/>
          <w:lang w:val="en-US" w:eastAsia="zh-CN"/>
        </w:rPr>
        <w:t>0.3</w:t>
      </w:r>
      <w:r>
        <w:rPr>
          <w:rFonts w:ascii="Times New Roman" w:hAnsi="Times New Roman"/>
          <w:sz w:val="24"/>
        </w:rPr>
        <w:t>%</w:t>
      </w:r>
      <w:r>
        <w:rPr>
          <w:rFonts w:hint="eastAsia" w:ascii="Times New Roman" w:hAnsi="Times New Roman"/>
          <w:sz w:val="24"/>
        </w:rPr>
        <w:t>）</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申购费用</w:t>
      </w:r>
      <w:r>
        <w:rPr>
          <w:rFonts w:ascii="Times New Roman" w:hAnsi="Times New Roman"/>
          <w:sz w:val="24"/>
        </w:rPr>
        <w:t>=100,000.00-99,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ascii="Times New Roman" w:hAnsi="Times New Roman"/>
          <w:sz w:val="24"/>
        </w:rPr>
        <w:t>=</w:t>
      </w:r>
      <w:r>
        <w:rPr>
          <w:rFonts w:hint="eastAsia" w:ascii="Times New Roman" w:hAnsi="Times New Roman"/>
          <w:sz w:val="24"/>
          <w:lang w:val="en-US" w:eastAsia="zh-CN"/>
        </w:rPr>
        <w:t>299</w:t>
      </w:r>
      <w:r>
        <w:rPr>
          <w:rFonts w:ascii="Times New Roman" w:hAnsi="Times New Roman"/>
          <w:sz w:val="24"/>
        </w:rPr>
        <w:t>.</w:t>
      </w:r>
      <w:r>
        <w:rPr>
          <w:rFonts w:hint="eastAsia" w:ascii="Times New Roman" w:hAnsi="Times New Roman"/>
          <w:sz w:val="24"/>
          <w:lang w:val="en-US" w:eastAsia="zh-CN"/>
        </w:rPr>
        <w:t>10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=99,</w:t>
      </w:r>
      <w:r>
        <w:rPr>
          <w:rFonts w:hint="eastAsia" w:ascii="Times New Roman" w:hAnsi="Times New Roman"/>
          <w:sz w:val="24"/>
          <w:lang w:val="en-US" w:eastAsia="zh-CN"/>
        </w:rPr>
        <w:t>700</w:t>
      </w:r>
      <w:r>
        <w:rPr>
          <w:rFonts w:ascii="Times New Roman" w:hAnsi="Times New Roman"/>
          <w:sz w:val="24"/>
        </w:rPr>
        <w:t>.</w:t>
      </w:r>
      <w:r>
        <w:rPr>
          <w:rFonts w:hint="eastAsia" w:ascii="Times New Roman" w:hAnsi="Times New Roman"/>
          <w:sz w:val="24"/>
          <w:lang w:val="en-US" w:eastAsia="zh-CN"/>
        </w:rPr>
        <w:t>90</w:t>
      </w:r>
      <w:r>
        <w:rPr>
          <w:rFonts w:ascii="Times New Roman" w:hAnsi="Times New Roman"/>
          <w:sz w:val="24"/>
        </w:rPr>
        <w:t>/1.0400=95,</w:t>
      </w:r>
      <w:r>
        <w:rPr>
          <w:rFonts w:hint="eastAsia" w:ascii="Times New Roman" w:hAnsi="Times New Roman"/>
          <w:sz w:val="24"/>
          <w:lang w:val="en-US" w:eastAsia="zh-CN"/>
        </w:rPr>
        <w:t>866</w:t>
      </w:r>
      <w:r>
        <w:rPr>
          <w:rFonts w:ascii="Times New Roman" w:hAnsi="Times New Roman"/>
          <w:sz w:val="24"/>
        </w:rPr>
        <w:t>.</w:t>
      </w:r>
      <w:r>
        <w:rPr>
          <w:rFonts w:hint="eastAsia" w:ascii="Times New Roman" w:hAnsi="Times New Roman"/>
          <w:sz w:val="24"/>
          <w:lang w:val="en-US" w:eastAsia="zh-CN"/>
        </w:rPr>
        <w:t>25</w:t>
      </w:r>
      <w:r>
        <w:rPr>
          <w:rFonts w:hint="eastAsia" w:ascii="Times New Roman" w:hAnsi="Times New Roman"/>
          <w:sz w:val="24"/>
        </w:rPr>
        <w:t>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即：该投资者</w:t>
      </w:r>
      <w:r>
        <w:rPr>
          <w:rFonts w:hint="eastAsia" w:hAnsi="宋体"/>
          <w:kern w:val="0"/>
          <w:sz w:val="24"/>
          <w:szCs w:val="24"/>
        </w:rPr>
        <w:t>通过</w:t>
      </w:r>
      <w:r>
        <w:rPr>
          <w:rFonts w:hint="eastAsia" w:hAnsi="宋体"/>
          <w:kern w:val="0"/>
          <w:sz w:val="24"/>
          <w:szCs w:val="24"/>
          <w:lang w:val="en-US" w:eastAsia="zh-CN"/>
        </w:rPr>
        <w:t>其他销售</w:t>
      </w:r>
      <w:r>
        <w:rPr>
          <w:rFonts w:hint="eastAsia" w:hAnsi="宋体"/>
          <w:kern w:val="0"/>
          <w:sz w:val="24"/>
          <w:szCs w:val="24"/>
        </w:rPr>
        <w:t>机构</w:t>
      </w:r>
      <w:r>
        <w:rPr>
          <w:rFonts w:hint="eastAsia" w:ascii="Times New Roman" w:hAnsi="Times New Roman"/>
          <w:sz w:val="24"/>
        </w:rPr>
        <w:t>投资</w:t>
      </w:r>
      <w:r>
        <w:rPr>
          <w:rFonts w:ascii="Times New Roman" w:hAnsi="Times New Roman"/>
          <w:sz w:val="24"/>
        </w:rPr>
        <w:t>100,000.00</w:t>
      </w:r>
      <w:r>
        <w:rPr>
          <w:rFonts w:hint="eastAsia" w:ascii="Times New Roman" w:hAnsi="Times New Roman"/>
          <w:sz w:val="24"/>
        </w:rPr>
        <w:t>元申购本基金</w:t>
      </w:r>
      <w:r>
        <w:rPr>
          <w:rFonts w:ascii="Times New Roman" w:hAnsi="Times New Roman"/>
          <w:sz w:val="24"/>
        </w:rPr>
        <w:t>A</w:t>
      </w:r>
      <w:r>
        <w:rPr>
          <w:rFonts w:hint="eastAsia" w:ascii="Times New Roman" w:hAnsi="Times New Roman"/>
          <w:sz w:val="24"/>
        </w:rPr>
        <w:t>类基金份额，假设申购当日</w:t>
      </w:r>
      <w:r>
        <w:rPr>
          <w:rFonts w:ascii="Times New Roman" w:hAnsi="Times New Roman"/>
          <w:sz w:val="24"/>
        </w:rPr>
        <w:t>A</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元，则其可得到</w:t>
      </w:r>
      <w:r>
        <w:rPr>
          <w:rFonts w:ascii="Times New Roman" w:hAnsi="Times New Roman"/>
          <w:sz w:val="24"/>
        </w:rPr>
        <w:t>95,</w:t>
      </w:r>
      <w:r>
        <w:rPr>
          <w:rFonts w:hint="eastAsia" w:ascii="Times New Roman" w:hAnsi="Times New Roman"/>
          <w:sz w:val="24"/>
          <w:lang w:val="en-US" w:eastAsia="zh-CN"/>
        </w:rPr>
        <w:t>866</w:t>
      </w:r>
      <w:r>
        <w:rPr>
          <w:rFonts w:ascii="Times New Roman" w:hAnsi="Times New Roman"/>
          <w:sz w:val="24"/>
        </w:rPr>
        <w:t>.</w:t>
      </w:r>
      <w:r>
        <w:rPr>
          <w:rFonts w:hint="eastAsia" w:ascii="Times New Roman" w:hAnsi="Times New Roman"/>
          <w:sz w:val="24"/>
          <w:lang w:val="en-US" w:eastAsia="zh-CN"/>
        </w:rPr>
        <w:t>25</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类基金份额的申购</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如果投资者选择申购</w:t>
      </w:r>
      <w:r>
        <w:rPr>
          <w:rFonts w:ascii="Times New Roman" w:hAnsi="Times New Roman"/>
          <w:sz w:val="24"/>
        </w:rPr>
        <w:t>C</w:t>
      </w:r>
      <w:r>
        <w:rPr>
          <w:rFonts w:hint="eastAsia" w:ascii="Times New Roman" w:hAnsi="Times New Roman"/>
          <w:sz w:val="24"/>
        </w:rPr>
        <w:t>类基金份额，则申购份额的计算方法如下：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申购总金额</w:t>
      </w:r>
      <w:r>
        <w:rPr>
          <w:rFonts w:ascii="Times New Roman" w:hAnsi="Times New Roman"/>
          <w:sz w:val="24"/>
        </w:rPr>
        <w:t>=</w:t>
      </w:r>
      <w:r>
        <w:rPr>
          <w:rFonts w:hint="eastAsia" w:ascii="Times New Roman" w:hAnsi="Times New Roman"/>
          <w:sz w:val="24"/>
        </w:rPr>
        <w:t>申请总金额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w:t>
      </w:r>
      <w:r>
        <w:rPr>
          <w:rFonts w:hint="eastAsia" w:ascii="Times New Roman" w:hAnsi="Times New Roman"/>
          <w:sz w:val="24"/>
        </w:rPr>
        <w:t>申购总金额</w:t>
      </w:r>
      <w:r>
        <w:rPr>
          <w:rFonts w:ascii="Times New Roman" w:hAnsi="Times New Roman"/>
          <w:sz w:val="24"/>
        </w:rPr>
        <w:t>/T</w:t>
      </w:r>
      <w:r>
        <w:rPr>
          <w:rFonts w:hint="eastAsia" w:ascii="Times New Roman" w:hAnsi="Times New Roman"/>
          <w:sz w:val="24"/>
        </w:rPr>
        <w:t>日</w:t>
      </w:r>
      <w:r>
        <w:rPr>
          <w:rFonts w:ascii="Times New Roman" w:hAnsi="Times New Roman"/>
          <w:sz w:val="24"/>
        </w:rPr>
        <w:t>C</w:t>
      </w:r>
      <w:r>
        <w:rPr>
          <w:rFonts w:hint="eastAsia" w:ascii="Times New Roman" w:hAnsi="Times New Roman"/>
          <w:sz w:val="24"/>
        </w:rPr>
        <w:t>类基金份额净值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例六：某投资者投资</w:t>
      </w:r>
      <w:r>
        <w:rPr>
          <w:rFonts w:ascii="Times New Roman" w:hAnsi="Times New Roman"/>
          <w:sz w:val="24"/>
        </w:rPr>
        <w:t>100,000.00</w:t>
      </w:r>
      <w:r>
        <w:rPr>
          <w:rFonts w:hint="eastAsia" w:ascii="Times New Roman" w:hAnsi="Times New Roman"/>
          <w:sz w:val="24"/>
        </w:rPr>
        <w:t>元申购本基金的</w:t>
      </w:r>
      <w:r>
        <w:rPr>
          <w:rFonts w:ascii="Times New Roman" w:hAnsi="Times New Roman"/>
          <w:sz w:val="24"/>
        </w:rPr>
        <w:t>C</w:t>
      </w:r>
      <w:r>
        <w:rPr>
          <w:rFonts w:hint="eastAsia" w:ascii="Times New Roman" w:hAnsi="Times New Roman"/>
          <w:sz w:val="24"/>
        </w:rPr>
        <w:t>类基金份额，假设申购当日</w:t>
      </w:r>
      <w:r>
        <w:rPr>
          <w:rFonts w:ascii="Times New Roman" w:hAnsi="Times New Roman"/>
          <w:sz w:val="24"/>
        </w:rPr>
        <w:t>C</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元，则其可得到的申购份额为：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申购总金额</w:t>
      </w:r>
      <w:r>
        <w:rPr>
          <w:rFonts w:ascii="Times New Roman" w:hAnsi="Times New Roman"/>
          <w:sz w:val="24"/>
        </w:rPr>
        <w:t>=100,000.00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申购份额＝</w:t>
      </w:r>
      <w:r>
        <w:rPr>
          <w:rFonts w:ascii="Times New Roman" w:hAnsi="Times New Roman"/>
          <w:sz w:val="24"/>
        </w:rPr>
        <w:t>100,000.00/1.0400</w:t>
      </w:r>
      <w:r>
        <w:rPr>
          <w:rFonts w:hint="eastAsia" w:ascii="Times New Roman" w:hAnsi="Times New Roman"/>
          <w:sz w:val="24"/>
        </w:rPr>
        <w:t>＝</w:t>
      </w:r>
      <w:r>
        <w:rPr>
          <w:rFonts w:ascii="Times New Roman" w:hAnsi="Times New Roman"/>
          <w:sz w:val="24"/>
        </w:rPr>
        <w:t>96,153.85</w:t>
      </w:r>
      <w:r>
        <w:rPr>
          <w:rFonts w:hint="eastAsia" w:ascii="Times New Roman" w:hAnsi="Times New Roman"/>
          <w:sz w:val="24"/>
        </w:rPr>
        <w:t>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即：投资者投资</w:t>
      </w:r>
      <w:r>
        <w:rPr>
          <w:rFonts w:ascii="Times New Roman" w:hAnsi="Times New Roman"/>
          <w:sz w:val="24"/>
        </w:rPr>
        <w:t>100,000.00</w:t>
      </w:r>
      <w:r>
        <w:rPr>
          <w:rFonts w:hint="eastAsia" w:ascii="Times New Roman" w:hAnsi="Times New Roman"/>
          <w:sz w:val="24"/>
        </w:rPr>
        <w:t>元申购本基金的</w:t>
      </w:r>
      <w:r>
        <w:rPr>
          <w:rFonts w:ascii="Times New Roman" w:hAnsi="Times New Roman"/>
          <w:sz w:val="24"/>
        </w:rPr>
        <w:t>C</w:t>
      </w:r>
      <w:r>
        <w:rPr>
          <w:rFonts w:hint="eastAsia" w:ascii="Times New Roman" w:hAnsi="Times New Roman"/>
          <w:sz w:val="24"/>
        </w:rPr>
        <w:t>类基金份额，假设申购当日</w:t>
      </w:r>
      <w:r>
        <w:rPr>
          <w:rFonts w:ascii="Times New Roman" w:hAnsi="Times New Roman"/>
          <w:sz w:val="24"/>
        </w:rPr>
        <w:t>C</w:t>
      </w:r>
      <w:r>
        <w:rPr>
          <w:rFonts w:hint="eastAsia" w:ascii="Times New Roman" w:hAnsi="Times New Roman"/>
          <w:sz w:val="24"/>
        </w:rPr>
        <w:t>类基金份额净值为</w:t>
      </w:r>
      <w:r>
        <w:rPr>
          <w:rFonts w:ascii="Times New Roman" w:hAnsi="Times New Roman"/>
          <w:sz w:val="24"/>
        </w:rPr>
        <w:t>1.0400</w:t>
      </w:r>
      <w:r>
        <w:rPr>
          <w:rFonts w:hint="eastAsia" w:ascii="Times New Roman" w:hAnsi="Times New Roman"/>
          <w:sz w:val="24"/>
        </w:rPr>
        <w:t>元，则其可得到</w:t>
      </w:r>
      <w:r>
        <w:rPr>
          <w:rFonts w:ascii="Times New Roman" w:hAnsi="Times New Roman"/>
          <w:sz w:val="24"/>
        </w:rPr>
        <w:t>96,153.85</w:t>
      </w:r>
      <w:r>
        <w:rPr>
          <w:rFonts w:hint="eastAsia" w:ascii="Times New Roman" w:hAnsi="Times New Roman"/>
          <w:sz w:val="24"/>
        </w:rPr>
        <w:t>份</w:t>
      </w:r>
      <w:r>
        <w:rPr>
          <w:rFonts w:ascii="Times New Roman" w:hAnsi="Times New Roman"/>
          <w:sz w:val="24"/>
        </w:rPr>
        <w:t>C</w:t>
      </w:r>
      <w:r>
        <w:rPr>
          <w:rFonts w:hint="eastAsia" w:ascii="Times New Roman" w:hAnsi="Times New Roman"/>
          <w:sz w:val="24"/>
        </w:rPr>
        <w:t>类基金份额。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、赎回金额的计算</w:t>
      </w:r>
    </w:p>
    <w:p>
      <w:pPr>
        <w:autoSpaceDE w:val="0"/>
        <w:autoSpaceDN w:val="0"/>
        <w:adjustRightInd w:val="0"/>
        <w:snapToGrid w:val="0"/>
        <w:spacing w:line="360" w:lineRule="auto"/>
        <w:ind w:firstLine="480" w:firstLineChars="200"/>
        <w:jc w:val="left"/>
        <w:rPr>
          <w:rFonts w:ascii="Times New Roman" w:hAnsi="Times New Roman"/>
          <w:kern w:val="0"/>
          <w:sz w:val="24"/>
          <w:szCs w:val="24"/>
        </w:rPr>
      </w:pPr>
      <w:r>
        <w:rPr>
          <w:rFonts w:hint="eastAsia" w:ascii="Times New Roman" w:hAnsi="Times New Roman"/>
          <w:kern w:val="0"/>
          <w:sz w:val="24"/>
          <w:szCs w:val="24"/>
        </w:rPr>
        <w:t>本基金采用“份额赎回”的方式。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类基金份额的赎回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如果投资者赎回</w:t>
      </w:r>
      <w:r>
        <w:rPr>
          <w:rFonts w:ascii="Times New Roman" w:hAnsi="Times New Roman"/>
          <w:sz w:val="24"/>
        </w:rPr>
        <w:t>A</w:t>
      </w:r>
      <w:r>
        <w:rPr>
          <w:rFonts w:hint="eastAsia" w:ascii="Times New Roman" w:hAnsi="Times New Roman"/>
          <w:sz w:val="24"/>
        </w:rPr>
        <w:t>类基金份额，则赎回金额的计算方法如下：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A</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赎回金额</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A</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例七：某</w:t>
      </w:r>
      <w:r>
        <w:rPr>
          <w:rFonts w:hint="eastAsia" w:ascii="Times New Roman" w:hAnsi="Times New Roman"/>
          <w:sz w:val="24"/>
          <w:lang w:val="en-US" w:eastAsia="zh-CN"/>
        </w:rPr>
        <w:t>个人</w:t>
      </w:r>
      <w:r>
        <w:rPr>
          <w:rFonts w:hint="eastAsia" w:ascii="Times New Roman" w:hAnsi="Times New Roman"/>
          <w:sz w:val="24"/>
        </w:rPr>
        <w:t>投资者赎回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w:t>
      </w:r>
      <w:r>
        <w:rPr>
          <w:rFonts w:ascii="Times New Roman" w:hAnsi="Times New Roman"/>
          <w:sz w:val="24"/>
        </w:rPr>
        <w:t>6</w:t>
      </w:r>
      <w:r>
        <w:rPr>
          <w:rFonts w:hint="eastAsia" w:ascii="Times New Roman" w:hAnsi="Times New Roman"/>
          <w:sz w:val="24"/>
        </w:rPr>
        <w:t>日，对应的赎回费率为</w:t>
      </w:r>
      <w:r>
        <w:rPr>
          <w:rFonts w:ascii="Times New Roman" w:hAnsi="Times New Roman"/>
          <w:sz w:val="24"/>
        </w:rPr>
        <w:t>1.5%</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=100,000.00×1.0160×1.5%</w:t>
      </w:r>
      <w:r>
        <w:rPr>
          <w:rFonts w:hint="eastAsia" w:ascii="Times New Roman" w:hAnsi="Times New Roman"/>
          <w:sz w:val="24"/>
        </w:rPr>
        <w:t>＝</w:t>
      </w:r>
      <w:r>
        <w:rPr>
          <w:rFonts w:ascii="Times New Roman" w:hAnsi="Times New Roman"/>
          <w:sz w:val="24"/>
        </w:rPr>
        <w:t>1,524.00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赎回金额</w:t>
      </w:r>
      <w:r>
        <w:rPr>
          <w:rFonts w:ascii="Times New Roman" w:hAnsi="Times New Roman"/>
          <w:sz w:val="24"/>
        </w:rPr>
        <w:t>=100,000.00×1.0160-1,524.00</w:t>
      </w:r>
      <w:r>
        <w:rPr>
          <w:rFonts w:hint="eastAsia" w:ascii="Times New Roman" w:hAnsi="Times New Roman"/>
          <w:sz w:val="24"/>
        </w:rPr>
        <w:t>＝</w:t>
      </w:r>
      <w:r>
        <w:rPr>
          <w:rFonts w:ascii="Times New Roman" w:hAnsi="Times New Roman"/>
          <w:sz w:val="24"/>
        </w:rPr>
        <w:t>100,076.00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即：该</w:t>
      </w:r>
      <w:r>
        <w:rPr>
          <w:rFonts w:hint="eastAsia" w:ascii="Times New Roman" w:hAnsi="Times New Roman"/>
          <w:sz w:val="24"/>
          <w:lang w:val="en-US" w:eastAsia="zh-CN"/>
        </w:rPr>
        <w:t>个人</w:t>
      </w:r>
      <w:r>
        <w:rPr>
          <w:rFonts w:hint="eastAsia" w:ascii="Times New Roman" w:hAnsi="Times New Roman"/>
          <w:sz w:val="24"/>
        </w:rPr>
        <w:t>投资者赎回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w:t>
      </w:r>
      <w:r>
        <w:rPr>
          <w:rFonts w:ascii="Times New Roman" w:hAnsi="Times New Roman"/>
          <w:sz w:val="24"/>
        </w:rPr>
        <w:t>6</w:t>
      </w:r>
      <w:r>
        <w:rPr>
          <w:rFonts w:hint="eastAsia" w:ascii="Times New Roman" w:hAnsi="Times New Roman"/>
          <w:sz w:val="24"/>
        </w:rPr>
        <w:t>日，对应的赎回费率为</w:t>
      </w:r>
      <w:r>
        <w:rPr>
          <w:rFonts w:ascii="Times New Roman" w:hAnsi="Times New Roman"/>
          <w:sz w:val="24"/>
        </w:rPr>
        <w:t>1.5%</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r>
        <w:rPr>
          <w:rFonts w:ascii="Times New Roman" w:hAnsi="Times New Roman"/>
          <w:sz w:val="24"/>
        </w:rPr>
        <w:t>100,076.00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例</w:t>
      </w:r>
      <w:r>
        <w:rPr>
          <w:rFonts w:hint="eastAsia" w:ascii="Times New Roman" w:hAnsi="Times New Roman"/>
          <w:sz w:val="24"/>
          <w:lang w:val="en-US" w:eastAsia="zh-CN"/>
        </w:rPr>
        <w:t>八</w:t>
      </w:r>
      <w:r>
        <w:rPr>
          <w:rFonts w:hint="eastAsia" w:ascii="Times New Roman" w:hAnsi="Times New Roman"/>
          <w:sz w:val="24"/>
        </w:rPr>
        <w:t>：某</w:t>
      </w:r>
      <w:r>
        <w:rPr>
          <w:rFonts w:hint="eastAsia" w:ascii="Times New Roman" w:hAnsi="Times New Roman"/>
          <w:sz w:val="24"/>
          <w:lang w:val="en-US" w:eastAsia="zh-CN"/>
        </w:rPr>
        <w:t>机构投资者</w:t>
      </w:r>
      <w:r>
        <w:rPr>
          <w:rFonts w:hint="eastAsia" w:ascii="Times New Roman" w:hAnsi="Times New Roman"/>
          <w:sz w:val="24"/>
        </w:rPr>
        <w:t>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w:t>
      </w:r>
      <w:r>
        <w:rPr>
          <w:rFonts w:hint="eastAsia" w:ascii="Times New Roman" w:hAnsi="Times New Roman"/>
          <w:sz w:val="24"/>
          <w:lang w:val="en-US" w:eastAsia="zh-CN"/>
        </w:rPr>
        <w:t>20</w:t>
      </w:r>
      <w:r>
        <w:rPr>
          <w:rFonts w:hint="eastAsia" w:ascii="Times New Roman" w:hAnsi="Times New Roman"/>
          <w:sz w:val="24"/>
        </w:rPr>
        <w:t>日，对应的赎回费率为</w:t>
      </w:r>
      <w:r>
        <w:rPr>
          <w:rFonts w:ascii="Times New Roman" w:hAnsi="Times New Roman"/>
          <w:sz w:val="24"/>
        </w:rPr>
        <w:t>1.</w:t>
      </w:r>
      <w:r>
        <w:rPr>
          <w:rFonts w:hint="eastAsia" w:ascii="Times New Roman" w:hAnsi="Times New Roman"/>
          <w:sz w:val="24"/>
          <w:lang w:val="en-US" w:eastAsia="zh-CN"/>
        </w:rPr>
        <w:t>0</w:t>
      </w:r>
      <w:r>
        <w:rPr>
          <w:rFonts w:ascii="Times New Roman" w:hAnsi="Times New Roman"/>
          <w:sz w:val="24"/>
        </w:rPr>
        <w:t>%</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=100,000.00×1.0160×1.</w:t>
      </w:r>
      <w:r>
        <w:rPr>
          <w:rFonts w:hint="eastAsia" w:ascii="Times New Roman" w:hAnsi="Times New Roman"/>
          <w:sz w:val="24"/>
          <w:lang w:val="en-US" w:eastAsia="zh-CN"/>
        </w:rPr>
        <w:t>0</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lang w:val="en-US" w:eastAsia="zh-CN"/>
        </w:rPr>
        <w:t>016</w:t>
      </w:r>
      <w:r>
        <w:rPr>
          <w:rFonts w:ascii="Times New Roman" w:hAnsi="Times New Roman"/>
          <w:sz w:val="24"/>
        </w:rPr>
        <w:t>.00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赎回金额</w:t>
      </w:r>
      <w:r>
        <w:rPr>
          <w:rFonts w:ascii="Times New Roman" w:hAnsi="Times New Roman"/>
          <w:sz w:val="24"/>
        </w:rPr>
        <w:t>=100,000.00×1.0160-1,</w:t>
      </w:r>
      <w:r>
        <w:rPr>
          <w:rFonts w:hint="eastAsia" w:ascii="Times New Roman" w:hAnsi="Times New Roman"/>
          <w:sz w:val="24"/>
          <w:lang w:val="en-US" w:eastAsia="zh-CN"/>
        </w:rPr>
        <w:t>016</w:t>
      </w:r>
      <w:r>
        <w:rPr>
          <w:rFonts w:ascii="Times New Roman" w:hAnsi="Times New Roman"/>
          <w:sz w:val="24"/>
        </w:rPr>
        <w:t>.00</w:t>
      </w:r>
      <w:r>
        <w:rPr>
          <w:rFonts w:hint="eastAsia" w:ascii="Times New Roman" w:hAnsi="Times New Roman"/>
          <w:sz w:val="24"/>
        </w:rPr>
        <w:t>＝</w:t>
      </w:r>
      <w:r>
        <w:rPr>
          <w:rFonts w:ascii="Times New Roman" w:hAnsi="Times New Roman"/>
          <w:sz w:val="24"/>
        </w:rPr>
        <w:t>100,</w:t>
      </w:r>
      <w:r>
        <w:rPr>
          <w:rFonts w:hint="eastAsia" w:ascii="Times New Roman" w:hAnsi="Times New Roman"/>
          <w:sz w:val="24"/>
          <w:lang w:val="en-US" w:eastAsia="zh-CN"/>
        </w:rPr>
        <w:t>584</w:t>
      </w:r>
      <w:r>
        <w:rPr>
          <w:rFonts w:ascii="Times New Roman" w:hAnsi="Times New Roman"/>
          <w:sz w:val="24"/>
        </w:rPr>
        <w:t>.00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即：该</w:t>
      </w:r>
      <w:r>
        <w:rPr>
          <w:rFonts w:hint="eastAsia" w:ascii="Times New Roman" w:hAnsi="Times New Roman"/>
          <w:sz w:val="24"/>
          <w:lang w:val="en-US" w:eastAsia="zh-CN"/>
        </w:rPr>
        <w:t>机构投资者</w:t>
      </w:r>
      <w:r>
        <w:rPr>
          <w:rFonts w:hint="eastAsia" w:ascii="Times New Roman" w:hAnsi="Times New Roman"/>
          <w:sz w:val="24"/>
        </w:rPr>
        <w:t>赎回</w:t>
      </w:r>
      <w:r>
        <w:rPr>
          <w:rFonts w:ascii="Times New Roman" w:hAnsi="Times New Roman"/>
          <w:sz w:val="24"/>
        </w:rPr>
        <w:t>100,000.00</w:t>
      </w:r>
      <w:r>
        <w:rPr>
          <w:rFonts w:hint="eastAsia" w:ascii="Times New Roman" w:hAnsi="Times New Roman"/>
          <w:sz w:val="24"/>
        </w:rPr>
        <w:t>份</w:t>
      </w:r>
      <w:r>
        <w:rPr>
          <w:rFonts w:ascii="Times New Roman" w:hAnsi="Times New Roman"/>
          <w:sz w:val="24"/>
        </w:rPr>
        <w:t>A</w:t>
      </w:r>
      <w:r>
        <w:rPr>
          <w:rFonts w:hint="eastAsia" w:ascii="Times New Roman" w:hAnsi="Times New Roman"/>
          <w:sz w:val="24"/>
        </w:rPr>
        <w:t>类基金份额，持有期限为</w:t>
      </w:r>
      <w:r>
        <w:rPr>
          <w:rFonts w:hint="eastAsia" w:ascii="Times New Roman" w:hAnsi="Times New Roman"/>
          <w:sz w:val="24"/>
          <w:lang w:val="en-US" w:eastAsia="zh-CN"/>
        </w:rPr>
        <w:t>20</w:t>
      </w:r>
      <w:r>
        <w:rPr>
          <w:rFonts w:hint="eastAsia" w:ascii="Times New Roman" w:hAnsi="Times New Roman"/>
          <w:sz w:val="24"/>
        </w:rPr>
        <w:t>日，对应的赎回费率为</w:t>
      </w:r>
      <w:r>
        <w:rPr>
          <w:rFonts w:ascii="Times New Roman" w:hAnsi="Times New Roman"/>
          <w:sz w:val="24"/>
        </w:rPr>
        <w:t>1.</w:t>
      </w:r>
      <w:r>
        <w:rPr>
          <w:rFonts w:hint="eastAsia" w:ascii="Times New Roman" w:hAnsi="Times New Roman"/>
          <w:sz w:val="24"/>
          <w:lang w:val="en-US" w:eastAsia="zh-CN"/>
        </w:rPr>
        <w:t>0</w:t>
      </w:r>
      <w:r>
        <w:rPr>
          <w:rFonts w:ascii="Times New Roman" w:hAnsi="Times New Roman"/>
          <w:sz w:val="24"/>
        </w:rPr>
        <w:t>%</w:t>
      </w:r>
      <w:r>
        <w:rPr>
          <w:rFonts w:hint="eastAsia" w:ascii="Times New Roman" w:hAnsi="Times New Roman"/>
          <w:sz w:val="24"/>
        </w:rPr>
        <w:t>，假设赎回当日</w:t>
      </w:r>
      <w:r>
        <w:rPr>
          <w:rFonts w:ascii="Times New Roman" w:hAnsi="Times New Roman"/>
          <w:sz w:val="24"/>
        </w:rPr>
        <w:t>A</w:t>
      </w:r>
      <w:r>
        <w:rPr>
          <w:rFonts w:hint="eastAsia" w:ascii="Times New Roman" w:hAnsi="Times New Roman"/>
          <w:sz w:val="24"/>
        </w:rPr>
        <w:t>类基金份额净值是</w:t>
      </w:r>
      <w:r>
        <w:rPr>
          <w:rFonts w:ascii="Times New Roman" w:hAnsi="Times New Roman"/>
          <w:sz w:val="24"/>
        </w:rPr>
        <w:t>1.0160</w:t>
      </w:r>
      <w:r>
        <w:rPr>
          <w:rFonts w:hint="eastAsia" w:ascii="Times New Roman" w:hAnsi="Times New Roman"/>
          <w:sz w:val="24"/>
        </w:rPr>
        <w:t>元，则其可得到的赎回金额为</w:t>
      </w:r>
      <w:r>
        <w:rPr>
          <w:rFonts w:ascii="Times New Roman" w:hAnsi="Times New Roman"/>
          <w:sz w:val="24"/>
        </w:rPr>
        <w:t>100,</w:t>
      </w:r>
      <w:r>
        <w:rPr>
          <w:rFonts w:hint="eastAsia" w:ascii="Times New Roman" w:hAnsi="Times New Roman"/>
          <w:sz w:val="24"/>
          <w:lang w:val="en-US" w:eastAsia="zh-CN"/>
        </w:rPr>
        <w:t>584</w:t>
      </w:r>
      <w:r>
        <w:rPr>
          <w:rFonts w:ascii="Times New Roman" w:hAnsi="Times New Roman"/>
          <w:sz w:val="24"/>
        </w:rPr>
        <w:t>.00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如果投资者赎回</w:t>
      </w:r>
      <w:r>
        <w:rPr>
          <w:rFonts w:ascii="Times New Roman" w:hAnsi="Times New Roman"/>
          <w:sz w:val="24"/>
        </w:rPr>
        <w:t>C</w:t>
      </w:r>
      <w:r>
        <w:rPr>
          <w:rFonts w:hint="eastAsia" w:ascii="Times New Roman" w:hAnsi="Times New Roman"/>
          <w:sz w:val="24"/>
        </w:rPr>
        <w:t>类基金份额，赎回金额的计算方法如下：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赎回费用</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C</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赎回费率</w:t>
      </w:r>
    </w:p>
    <w:p>
      <w:pPr>
        <w:autoSpaceDE w:val="0"/>
        <w:autoSpaceDN w:val="0"/>
        <w:adjustRightInd w:val="0"/>
        <w:snapToGrid w:val="0"/>
        <w:spacing w:line="360" w:lineRule="auto"/>
        <w:ind w:firstLine="480" w:firstLineChars="200"/>
        <w:jc w:val="left"/>
        <w:rPr>
          <w:rFonts w:hint="eastAsia" w:hAnsi="宋体"/>
          <w:sz w:val="24"/>
          <w:szCs w:val="24"/>
        </w:rPr>
      </w:pPr>
      <w:r>
        <w:rPr>
          <w:rFonts w:hint="eastAsia" w:ascii="Times New Roman" w:hAnsi="Times New Roman"/>
          <w:sz w:val="24"/>
        </w:rPr>
        <w:t>赎回金额</w:t>
      </w:r>
      <w:r>
        <w:rPr>
          <w:rFonts w:ascii="Times New Roman" w:hAnsi="Times New Roman"/>
          <w:sz w:val="24"/>
        </w:rPr>
        <w:t>=</w:t>
      </w:r>
      <w:r>
        <w:rPr>
          <w:rFonts w:hint="eastAsia" w:ascii="Times New Roman" w:hAnsi="Times New Roman"/>
          <w:sz w:val="24"/>
        </w:rPr>
        <w:t>赎回份额</w:t>
      </w:r>
      <w:r>
        <w:rPr>
          <w:rFonts w:ascii="Times New Roman" w:hAnsi="Times New Roman"/>
          <w:sz w:val="24"/>
        </w:rPr>
        <w:t>×T</w:t>
      </w:r>
      <w:r>
        <w:rPr>
          <w:rFonts w:hint="eastAsia" w:ascii="Times New Roman" w:hAnsi="Times New Roman"/>
          <w:sz w:val="24"/>
        </w:rPr>
        <w:t>日</w:t>
      </w:r>
      <w:r>
        <w:rPr>
          <w:rFonts w:ascii="Times New Roman" w:hAnsi="Times New Roman"/>
          <w:sz w:val="24"/>
        </w:rPr>
        <w:t>C</w:t>
      </w:r>
      <w:r>
        <w:rPr>
          <w:rFonts w:hint="eastAsia" w:ascii="Times New Roman" w:hAnsi="Times New Roman"/>
          <w:sz w:val="24"/>
        </w:rPr>
        <w:t>类基金份额净值</w:t>
      </w:r>
      <w:r>
        <w:rPr>
          <w:rFonts w:ascii="Times New Roman" w:hAnsi="Times New Roman"/>
          <w:sz w:val="24"/>
        </w:rPr>
        <w:t>-</w:t>
      </w:r>
      <w:r>
        <w:rPr>
          <w:rFonts w:hint="eastAsia" w:ascii="Times New Roman" w:hAnsi="Times New Roman"/>
          <w:sz w:val="24"/>
        </w:rPr>
        <w:t>赎回费用</w:t>
      </w:r>
      <w:r>
        <w:rPr>
          <w:rFonts w:hint="eastAsia" w:hAnsi="宋体"/>
          <w:sz w:val="24"/>
          <w:szCs w:val="24"/>
        </w:rPr>
        <w:t>+该笔赎回确认应返还投资者的销售服务费（如有）</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对于投资者通过直销机构认购/申购的C类基金份额所计提的销售服务费，或者通过其他销售机构认购/申购的C类基金份额持续持有超过一年后所计提的销售服务费，将在投资者赎回相应基金份额时随赎回款一并返还给投资者。</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例</w:t>
      </w:r>
      <w:r>
        <w:rPr>
          <w:rFonts w:hint="eastAsia" w:ascii="Times New Roman" w:hAnsi="Times New Roman"/>
          <w:sz w:val="24"/>
          <w:lang w:val="en-US" w:eastAsia="zh-CN"/>
        </w:rPr>
        <w:t>九</w:t>
      </w:r>
      <w:r>
        <w:rPr>
          <w:rFonts w:hint="eastAsia" w:ascii="Times New Roman" w:hAnsi="Times New Roman"/>
          <w:sz w:val="24"/>
        </w:rPr>
        <w:t>：某</w:t>
      </w:r>
      <w:r>
        <w:rPr>
          <w:rFonts w:hint="eastAsia" w:ascii="Times New Roman" w:hAnsi="Times New Roman"/>
          <w:sz w:val="24"/>
          <w:lang w:val="en-US" w:eastAsia="zh-CN"/>
        </w:rPr>
        <w:t>个人</w:t>
      </w:r>
      <w:r>
        <w:rPr>
          <w:rFonts w:hint="eastAsia" w:ascii="Times New Roman" w:hAnsi="Times New Roman"/>
          <w:sz w:val="24"/>
        </w:rPr>
        <w:t>投资者赎回持有的1</w:t>
      </w:r>
      <w:r>
        <w:rPr>
          <w:rFonts w:hint="eastAsia" w:ascii="Times New Roman" w:hAnsi="Times New Roman"/>
          <w:sz w:val="24"/>
          <w:lang w:val="en-US" w:eastAsia="zh-CN"/>
        </w:rPr>
        <w:t>0</w:t>
      </w:r>
      <w:r>
        <w:rPr>
          <w:rFonts w:hint="eastAsia" w:ascii="Times New Roman" w:hAnsi="Times New Roman"/>
          <w:sz w:val="24"/>
        </w:rPr>
        <w:t>0,000.00份</w:t>
      </w:r>
      <w:r>
        <w:rPr>
          <w:rFonts w:hint="eastAsia" w:ascii="Times New Roman" w:hAnsi="Times New Roman"/>
          <w:sz w:val="24"/>
          <w:lang w:val="en-US" w:eastAsia="zh-CN"/>
        </w:rPr>
        <w:t>C</w:t>
      </w:r>
      <w:r>
        <w:rPr>
          <w:rFonts w:hint="eastAsia" w:ascii="Times New Roman" w:hAnsi="Times New Roman"/>
          <w:sz w:val="24"/>
        </w:rPr>
        <w:t>类基金份额</w:t>
      </w:r>
      <w:r>
        <w:rPr>
          <w:rFonts w:hint="eastAsia" w:hAnsi="宋体"/>
          <w:sz w:val="24"/>
          <w:szCs w:val="24"/>
        </w:rPr>
        <w:t>（通过</w:t>
      </w:r>
      <w:r>
        <w:rPr>
          <w:rFonts w:hint="eastAsia" w:hAnsi="宋体"/>
          <w:sz w:val="24"/>
          <w:szCs w:val="24"/>
          <w:lang w:val="en-US" w:eastAsia="zh-CN"/>
        </w:rPr>
        <w:t>其他销售</w:t>
      </w:r>
      <w:r>
        <w:rPr>
          <w:rFonts w:hint="eastAsia" w:hAnsi="宋体"/>
          <w:sz w:val="24"/>
          <w:szCs w:val="24"/>
        </w:rPr>
        <w:t>机构认购/申购获得）</w:t>
      </w:r>
      <w:r>
        <w:rPr>
          <w:rFonts w:hint="eastAsia" w:ascii="Times New Roman" w:hAnsi="Times New Roman"/>
          <w:sz w:val="24"/>
        </w:rPr>
        <w:t>，持有期限为</w:t>
      </w:r>
      <w:r>
        <w:rPr>
          <w:rFonts w:hint="eastAsia" w:ascii="Times New Roman" w:hAnsi="Times New Roman"/>
          <w:sz w:val="24"/>
          <w:lang w:val="en-US" w:eastAsia="zh-CN"/>
        </w:rPr>
        <w:t>450</w:t>
      </w:r>
      <w:r>
        <w:rPr>
          <w:rFonts w:hint="eastAsia" w:ascii="Times New Roman" w:hAnsi="Times New Roman"/>
          <w:sz w:val="24"/>
        </w:rPr>
        <w:t>日，对应的赎回费率为0，假设赎回当日</w:t>
      </w:r>
      <w:r>
        <w:rPr>
          <w:rFonts w:hint="eastAsia" w:ascii="Times New Roman" w:hAnsi="Times New Roman"/>
          <w:sz w:val="24"/>
          <w:lang w:val="en-US" w:eastAsia="zh-CN"/>
        </w:rPr>
        <w:t>C</w:t>
      </w:r>
      <w:r>
        <w:rPr>
          <w:rFonts w:hint="eastAsia" w:ascii="Times New Roman" w:hAnsi="Times New Roman"/>
          <w:sz w:val="24"/>
        </w:rPr>
        <w:t>类基金份额净值是1.0160元，且假设该笔赎回确认应返还的销售服务费为</w:t>
      </w:r>
      <w:r>
        <w:rPr>
          <w:rFonts w:hint="eastAsia" w:ascii="Times New Roman" w:hAnsi="Times New Roman"/>
          <w:sz w:val="24"/>
          <w:lang w:val="en-US" w:eastAsia="zh-CN"/>
        </w:rPr>
        <w:t>50</w:t>
      </w:r>
      <w:r>
        <w:rPr>
          <w:rFonts w:hint="eastAsia" w:ascii="Times New Roman" w:hAnsi="Times New Roman"/>
          <w:sz w:val="24"/>
        </w:rPr>
        <w:t>.00元</w:t>
      </w:r>
      <w:r>
        <w:rPr>
          <w:rFonts w:hint="eastAsia" w:hAnsi="宋体"/>
          <w:sz w:val="24"/>
          <w:szCs w:val="24"/>
        </w:rPr>
        <w:t>（即通过其他销售机构认购/申购的</w:t>
      </w:r>
      <w:r>
        <w:rPr>
          <w:rFonts w:hint="eastAsia" w:ascii="Times New Roman" w:hAnsi="Times New Roman"/>
          <w:sz w:val="24"/>
          <w:lang w:val="en-US" w:eastAsia="zh-CN"/>
        </w:rPr>
        <w:t>C</w:t>
      </w:r>
      <w:r>
        <w:rPr>
          <w:rFonts w:hint="eastAsia" w:hAnsi="宋体"/>
          <w:sz w:val="24"/>
          <w:szCs w:val="24"/>
        </w:rPr>
        <w:t>类基金份额持续持有超过一年后所计提的销售服务费，在投资者赎回相应基金份额时随赎回款一并返还）</w:t>
      </w:r>
      <w:r>
        <w:rPr>
          <w:rFonts w:hint="eastAsia" w:ascii="Times New Roman" w:hAnsi="Times New Roman"/>
          <w:sz w:val="24"/>
        </w:rPr>
        <w:t>则其可得到的赎回金额为：</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赎回费用=1</w:t>
      </w:r>
      <w:r>
        <w:rPr>
          <w:rFonts w:hint="eastAsia" w:ascii="Times New Roman" w:hAnsi="Times New Roman"/>
          <w:sz w:val="24"/>
          <w:lang w:val="en-US" w:eastAsia="zh-CN"/>
        </w:rPr>
        <w:t>0</w:t>
      </w:r>
      <w:r>
        <w:rPr>
          <w:rFonts w:hint="eastAsia" w:ascii="Times New Roman" w:hAnsi="Times New Roman"/>
          <w:sz w:val="24"/>
        </w:rPr>
        <w:t>0,000.00×1.0160×0＝</w:t>
      </w:r>
      <w:r>
        <w:rPr>
          <w:rFonts w:hint="eastAsia" w:ascii="Times New Roman" w:hAnsi="Times New Roman"/>
          <w:sz w:val="24"/>
          <w:lang w:val="en-US" w:eastAsia="zh-CN"/>
        </w:rPr>
        <w:t>0</w:t>
      </w:r>
      <w:r>
        <w:rPr>
          <w:rFonts w:hint="eastAsia" w:ascii="Times New Roman" w:hAnsi="Times New Roman"/>
          <w:sz w:val="24"/>
        </w:rPr>
        <w:t>.0</w:t>
      </w:r>
      <w:r>
        <w:rPr>
          <w:rFonts w:hint="eastAsia" w:ascii="Times New Roman" w:hAnsi="Times New Roman"/>
          <w:sz w:val="24"/>
          <w:lang w:val="en-US" w:eastAsia="zh-CN"/>
        </w:rPr>
        <w:t>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赎回金额=1</w:t>
      </w:r>
      <w:r>
        <w:rPr>
          <w:rFonts w:hint="eastAsia" w:ascii="Times New Roman" w:hAnsi="Times New Roman"/>
          <w:sz w:val="24"/>
          <w:lang w:val="en-US" w:eastAsia="zh-CN"/>
        </w:rPr>
        <w:t>0</w:t>
      </w:r>
      <w:r>
        <w:rPr>
          <w:rFonts w:hint="eastAsia" w:ascii="Times New Roman" w:hAnsi="Times New Roman"/>
          <w:sz w:val="24"/>
        </w:rPr>
        <w:t>0,000.00×1.0160-</w:t>
      </w:r>
      <w:r>
        <w:rPr>
          <w:rFonts w:hint="eastAsia" w:ascii="Times New Roman" w:hAnsi="Times New Roman"/>
          <w:sz w:val="24"/>
          <w:lang w:val="en-US" w:eastAsia="zh-CN"/>
        </w:rPr>
        <w:t>0</w:t>
      </w:r>
      <w:r>
        <w:rPr>
          <w:rFonts w:hint="eastAsia" w:ascii="Times New Roman" w:hAnsi="Times New Roman"/>
          <w:sz w:val="24"/>
        </w:rPr>
        <w:t>.</w:t>
      </w:r>
      <w:r>
        <w:rPr>
          <w:rFonts w:hint="eastAsia" w:ascii="Times New Roman" w:hAnsi="Times New Roman"/>
          <w:sz w:val="24"/>
          <w:lang w:val="en-US" w:eastAsia="zh-CN"/>
        </w:rPr>
        <w:t>0</w:t>
      </w:r>
      <w:r>
        <w:rPr>
          <w:rFonts w:hint="eastAsia" w:ascii="Times New Roman" w:hAnsi="Times New Roman"/>
          <w:sz w:val="24"/>
        </w:rPr>
        <w:t>0</w:t>
      </w:r>
      <w:r>
        <w:rPr>
          <w:rFonts w:hint="eastAsia" w:ascii="Times New Roman" w:hAnsi="Times New Roman"/>
          <w:sz w:val="24"/>
          <w:lang w:val="en-US" w:eastAsia="zh-CN"/>
        </w:rPr>
        <w:t>+50.00</w:t>
      </w:r>
      <w:r>
        <w:rPr>
          <w:rFonts w:hint="eastAsia" w:ascii="Times New Roman" w:hAnsi="Times New Roman"/>
          <w:sz w:val="24"/>
        </w:rPr>
        <w:t>＝101,</w:t>
      </w:r>
      <w:r>
        <w:rPr>
          <w:rFonts w:hint="eastAsia" w:ascii="Times New Roman" w:hAnsi="Times New Roman"/>
          <w:sz w:val="24"/>
          <w:lang w:val="en-US" w:eastAsia="zh-CN"/>
        </w:rPr>
        <w:t>650</w:t>
      </w:r>
      <w:r>
        <w:rPr>
          <w:rFonts w:hint="eastAsia" w:ascii="Times New Roman" w:hAnsi="Times New Roman"/>
          <w:sz w:val="24"/>
        </w:rPr>
        <w:t>.</w:t>
      </w:r>
      <w:r>
        <w:rPr>
          <w:rFonts w:hint="eastAsia" w:ascii="Times New Roman" w:hAnsi="Times New Roman"/>
          <w:sz w:val="24"/>
          <w:lang w:val="en-US" w:eastAsia="zh-CN"/>
        </w:rPr>
        <w:t>0</w:t>
      </w:r>
      <w:r>
        <w:rPr>
          <w:rFonts w:hint="eastAsia" w:ascii="Times New Roman" w:hAnsi="Times New Roman"/>
          <w:sz w:val="24"/>
        </w:rPr>
        <w:t>0元</w:t>
      </w:r>
    </w:p>
    <w:p>
      <w:pPr>
        <w:autoSpaceDE w:val="0"/>
        <w:autoSpaceDN w:val="0"/>
        <w:adjustRightInd w:val="0"/>
        <w:snapToGrid w:val="0"/>
        <w:spacing w:line="360" w:lineRule="auto"/>
        <w:ind w:firstLine="480" w:firstLineChars="200"/>
        <w:jc w:val="left"/>
        <w:rPr>
          <w:rFonts w:hint="eastAsia" w:hAnsi="宋体"/>
          <w:sz w:val="24"/>
          <w:szCs w:val="24"/>
        </w:rPr>
      </w:pPr>
      <w:r>
        <w:rPr>
          <w:rFonts w:hint="eastAsia" w:ascii="Times New Roman" w:hAnsi="Times New Roman"/>
          <w:sz w:val="24"/>
        </w:rPr>
        <w:t>即：该</w:t>
      </w:r>
      <w:r>
        <w:rPr>
          <w:rFonts w:hint="eastAsia" w:ascii="Times New Roman" w:hAnsi="Times New Roman"/>
          <w:sz w:val="24"/>
          <w:lang w:val="en-US" w:eastAsia="zh-CN"/>
        </w:rPr>
        <w:t>个人</w:t>
      </w:r>
      <w:r>
        <w:rPr>
          <w:rFonts w:hint="eastAsia" w:ascii="Times New Roman" w:hAnsi="Times New Roman"/>
          <w:sz w:val="24"/>
        </w:rPr>
        <w:t>投资者赎回本基金1</w:t>
      </w:r>
      <w:r>
        <w:rPr>
          <w:rFonts w:hint="eastAsia" w:ascii="Times New Roman" w:hAnsi="Times New Roman"/>
          <w:sz w:val="24"/>
          <w:lang w:val="en-US" w:eastAsia="zh-CN"/>
        </w:rPr>
        <w:t>0</w:t>
      </w:r>
      <w:r>
        <w:rPr>
          <w:rFonts w:hint="eastAsia" w:ascii="Times New Roman" w:hAnsi="Times New Roman"/>
          <w:sz w:val="24"/>
        </w:rPr>
        <w:t>0,000.00份</w:t>
      </w:r>
      <w:r>
        <w:rPr>
          <w:rFonts w:hint="eastAsia" w:ascii="Times New Roman" w:hAnsi="Times New Roman"/>
          <w:sz w:val="24"/>
          <w:lang w:val="en-US" w:eastAsia="zh-CN"/>
        </w:rPr>
        <w:t>C</w:t>
      </w:r>
      <w:r>
        <w:rPr>
          <w:rFonts w:hint="eastAsia" w:ascii="Times New Roman" w:hAnsi="Times New Roman"/>
          <w:sz w:val="24"/>
        </w:rPr>
        <w:t>类基金份额</w:t>
      </w:r>
      <w:r>
        <w:rPr>
          <w:rFonts w:hint="eastAsia" w:hAnsi="宋体"/>
          <w:sz w:val="24"/>
          <w:szCs w:val="24"/>
        </w:rPr>
        <w:t>（通过其他销售机构认购/申购获得）</w:t>
      </w:r>
      <w:r>
        <w:rPr>
          <w:rFonts w:hint="eastAsia" w:ascii="Times New Roman" w:hAnsi="Times New Roman"/>
          <w:sz w:val="24"/>
        </w:rPr>
        <w:t>，持有期限为</w:t>
      </w:r>
      <w:r>
        <w:rPr>
          <w:rFonts w:hint="eastAsia" w:ascii="Times New Roman" w:hAnsi="Times New Roman"/>
          <w:sz w:val="24"/>
          <w:lang w:val="en-US" w:eastAsia="zh-CN"/>
        </w:rPr>
        <w:t>450</w:t>
      </w:r>
      <w:r>
        <w:rPr>
          <w:rFonts w:hint="eastAsia" w:ascii="Times New Roman" w:hAnsi="Times New Roman"/>
          <w:sz w:val="24"/>
        </w:rPr>
        <w:t>日，对应的赎回费率为0，假设赎回当日</w:t>
      </w:r>
      <w:r>
        <w:rPr>
          <w:rFonts w:hint="eastAsia" w:ascii="Times New Roman" w:hAnsi="Times New Roman"/>
          <w:sz w:val="24"/>
          <w:lang w:val="en-US" w:eastAsia="zh-CN"/>
        </w:rPr>
        <w:t>C</w:t>
      </w:r>
      <w:r>
        <w:rPr>
          <w:rFonts w:hint="eastAsia" w:ascii="Times New Roman" w:hAnsi="Times New Roman"/>
          <w:sz w:val="24"/>
        </w:rPr>
        <w:t>类基金份额净值是1.0160元，</w:t>
      </w:r>
      <w:r>
        <w:rPr>
          <w:rFonts w:hint="eastAsia" w:ascii="Times New Roman" w:hAnsi="Times New Roman"/>
          <w:sz w:val="24"/>
          <w:lang w:val="en-US" w:eastAsia="zh-CN"/>
        </w:rPr>
        <w:t>且假设</w:t>
      </w:r>
      <w:r>
        <w:rPr>
          <w:rFonts w:hint="eastAsia" w:ascii="Times New Roman" w:hAnsi="Times New Roman"/>
          <w:sz w:val="24"/>
        </w:rPr>
        <w:t>该笔赎回确认应返还的销售服务费为5</w:t>
      </w:r>
      <w:r>
        <w:rPr>
          <w:rFonts w:hint="eastAsia" w:ascii="Times New Roman" w:hAnsi="Times New Roman"/>
          <w:sz w:val="24"/>
          <w:lang w:val="en-US" w:eastAsia="zh-CN"/>
        </w:rPr>
        <w:t>0</w:t>
      </w:r>
      <w:r>
        <w:rPr>
          <w:rFonts w:hint="eastAsia" w:ascii="Times New Roman" w:hAnsi="Times New Roman"/>
          <w:sz w:val="24"/>
        </w:rPr>
        <w:t>.00元</w:t>
      </w:r>
      <w:r>
        <w:rPr>
          <w:rFonts w:hint="eastAsia" w:ascii="Times New Roman" w:hAnsi="Times New Roman"/>
          <w:sz w:val="24"/>
          <w:lang w:eastAsia="zh-CN"/>
        </w:rPr>
        <w:t>，</w:t>
      </w:r>
      <w:r>
        <w:rPr>
          <w:rFonts w:hint="eastAsia" w:ascii="Times New Roman" w:hAnsi="Times New Roman"/>
          <w:sz w:val="24"/>
        </w:rPr>
        <w:t>则其可得到的赎回金额为101,</w:t>
      </w:r>
      <w:r>
        <w:rPr>
          <w:rFonts w:hint="eastAsia" w:ascii="Times New Roman" w:hAnsi="Times New Roman"/>
          <w:sz w:val="24"/>
          <w:lang w:val="en-US" w:eastAsia="zh-CN"/>
        </w:rPr>
        <w:t>650</w:t>
      </w:r>
      <w:r>
        <w:rPr>
          <w:rFonts w:hint="eastAsia" w:ascii="Times New Roman" w:hAnsi="Times New Roman"/>
          <w:sz w:val="24"/>
        </w:rPr>
        <w:t>.</w:t>
      </w:r>
      <w:r>
        <w:rPr>
          <w:rFonts w:hint="eastAsia" w:ascii="Times New Roman" w:hAnsi="Times New Roman"/>
          <w:sz w:val="24"/>
          <w:lang w:val="en-US" w:eastAsia="zh-CN"/>
        </w:rPr>
        <w:t>0</w:t>
      </w:r>
      <w:r>
        <w:rPr>
          <w:rFonts w:hint="eastAsia" w:ascii="Times New Roman" w:hAnsi="Times New Roman"/>
          <w:sz w:val="24"/>
        </w:rPr>
        <w:t>0元。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例</w:t>
      </w:r>
      <w:r>
        <w:rPr>
          <w:rFonts w:hint="eastAsia" w:ascii="Times New Roman" w:hAnsi="Times New Roman"/>
          <w:sz w:val="24"/>
          <w:lang w:val="en-US" w:eastAsia="zh-CN"/>
        </w:rPr>
        <w:t>十</w:t>
      </w:r>
      <w:r>
        <w:rPr>
          <w:rFonts w:hint="eastAsia" w:ascii="Times New Roman" w:hAnsi="Times New Roman"/>
          <w:sz w:val="24"/>
        </w:rPr>
        <w:t>：某</w:t>
      </w:r>
      <w:r>
        <w:rPr>
          <w:rFonts w:hint="eastAsia" w:ascii="Times New Roman" w:hAnsi="Times New Roman"/>
          <w:sz w:val="24"/>
          <w:lang w:val="en-US" w:eastAsia="zh-CN"/>
        </w:rPr>
        <w:t>机构投资者</w:t>
      </w:r>
      <w:r>
        <w:rPr>
          <w:rFonts w:hint="eastAsia" w:ascii="Times New Roman" w:hAnsi="Times New Roman"/>
          <w:sz w:val="24"/>
        </w:rPr>
        <w:t>赎回持有的1</w:t>
      </w:r>
      <w:r>
        <w:rPr>
          <w:rFonts w:hint="eastAsia" w:ascii="Times New Roman" w:hAnsi="Times New Roman"/>
          <w:sz w:val="24"/>
          <w:lang w:val="en-US" w:eastAsia="zh-CN"/>
        </w:rPr>
        <w:t>0</w:t>
      </w:r>
      <w:r>
        <w:rPr>
          <w:rFonts w:hint="eastAsia" w:ascii="Times New Roman" w:hAnsi="Times New Roman"/>
          <w:sz w:val="24"/>
        </w:rPr>
        <w:t>0,000.00份</w:t>
      </w:r>
      <w:r>
        <w:rPr>
          <w:rFonts w:hint="eastAsia" w:ascii="Times New Roman" w:hAnsi="Times New Roman"/>
          <w:sz w:val="24"/>
          <w:lang w:val="en-US" w:eastAsia="zh-CN"/>
        </w:rPr>
        <w:t>C</w:t>
      </w:r>
      <w:r>
        <w:rPr>
          <w:rFonts w:hint="eastAsia" w:ascii="Times New Roman" w:hAnsi="Times New Roman"/>
          <w:sz w:val="24"/>
        </w:rPr>
        <w:t>类基金份额（通过直销机构认购/申购获得），持有期限为</w:t>
      </w:r>
      <w:r>
        <w:rPr>
          <w:rFonts w:hint="eastAsia" w:ascii="Times New Roman" w:hAnsi="Times New Roman"/>
          <w:sz w:val="24"/>
          <w:lang w:val="en-US" w:eastAsia="zh-CN"/>
        </w:rPr>
        <w:t>9</w:t>
      </w:r>
      <w:r>
        <w:rPr>
          <w:rFonts w:hint="eastAsia" w:ascii="Times New Roman" w:hAnsi="Times New Roman"/>
          <w:sz w:val="24"/>
        </w:rPr>
        <w:t>0日，对应的赎回费率为0.5%，假设赎回当日</w:t>
      </w:r>
      <w:r>
        <w:rPr>
          <w:rFonts w:hint="eastAsia" w:ascii="Times New Roman" w:hAnsi="Times New Roman"/>
          <w:sz w:val="24"/>
          <w:lang w:val="en-US" w:eastAsia="zh-CN"/>
        </w:rPr>
        <w:t>C</w:t>
      </w:r>
      <w:r>
        <w:rPr>
          <w:rFonts w:hint="eastAsia" w:ascii="Times New Roman" w:hAnsi="Times New Roman"/>
          <w:sz w:val="24"/>
        </w:rPr>
        <w:t>类基金份额净值是1.0160元，且假设该笔赎回确认应返还的销售服务费为</w:t>
      </w:r>
      <w:r>
        <w:rPr>
          <w:rFonts w:hint="eastAsia" w:ascii="Times New Roman" w:hAnsi="Times New Roman"/>
          <w:sz w:val="24"/>
          <w:lang w:val="en-US" w:eastAsia="zh-CN"/>
        </w:rPr>
        <w:t>50</w:t>
      </w:r>
      <w:r>
        <w:rPr>
          <w:rFonts w:hint="eastAsia" w:ascii="Times New Roman" w:hAnsi="Times New Roman"/>
          <w:sz w:val="24"/>
        </w:rPr>
        <w:t>.00元（即通过直销机构认购</w:t>
      </w:r>
      <w:r>
        <w:rPr>
          <w:rFonts w:hint="eastAsia" w:ascii="Times New Roman" w:hAnsi="Times New Roman"/>
          <w:sz w:val="24"/>
          <w:lang w:val="en-US" w:eastAsia="zh-CN"/>
        </w:rPr>
        <w:t>/</w:t>
      </w:r>
      <w:r>
        <w:rPr>
          <w:rFonts w:hint="eastAsia" w:ascii="Times New Roman" w:hAnsi="Times New Roman"/>
          <w:sz w:val="24"/>
        </w:rPr>
        <w:t>申购的C类基金份额</w:t>
      </w:r>
      <w:r>
        <w:rPr>
          <w:rFonts w:hint="eastAsia" w:hAnsi="宋体"/>
          <w:sz w:val="24"/>
          <w:szCs w:val="24"/>
        </w:rPr>
        <w:t>所计提的销售服务费，在投资者赎回相应基金份额时随赎回款一并返还</w:t>
      </w:r>
      <w:r>
        <w:rPr>
          <w:rFonts w:hint="eastAsia" w:ascii="Times New Roman" w:hAnsi="Times New Roman"/>
          <w:sz w:val="24"/>
        </w:rPr>
        <w:t>）则其可得到的赎回金额为：</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赎回费用=1</w:t>
      </w:r>
      <w:r>
        <w:rPr>
          <w:rFonts w:hint="eastAsia" w:ascii="Times New Roman" w:hAnsi="Times New Roman"/>
          <w:sz w:val="24"/>
          <w:lang w:val="en-US" w:eastAsia="zh-CN"/>
        </w:rPr>
        <w:t>0</w:t>
      </w:r>
      <w:r>
        <w:rPr>
          <w:rFonts w:hint="eastAsia" w:ascii="Times New Roman" w:hAnsi="Times New Roman"/>
          <w:sz w:val="24"/>
        </w:rPr>
        <w:t>0,000.00×1.0160×0.5%＝508.0</w:t>
      </w:r>
      <w:r>
        <w:rPr>
          <w:rFonts w:hint="eastAsia" w:ascii="Times New Roman" w:hAnsi="Times New Roman"/>
          <w:sz w:val="24"/>
          <w:lang w:val="en-US" w:eastAsia="zh-CN"/>
        </w:rPr>
        <w:t>0</w:t>
      </w:r>
      <w:r>
        <w:rPr>
          <w:rFonts w:hint="eastAsia" w:ascii="Times New Roman" w:hAnsi="Times New Roman"/>
          <w:sz w:val="24"/>
        </w:rPr>
        <w:t>元</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赎回金额=1</w:t>
      </w:r>
      <w:r>
        <w:rPr>
          <w:rFonts w:hint="eastAsia" w:ascii="Times New Roman" w:hAnsi="Times New Roman"/>
          <w:sz w:val="24"/>
          <w:lang w:val="en-US" w:eastAsia="zh-CN"/>
        </w:rPr>
        <w:t>0</w:t>
      </w:r>
      <w:r>
        <w:rPr>
          <w:rFonts w:hint="eastAsia" w:ascii="Times New Roman" w:hAnsi="Times New Roman"/>
          <w:sz w:val="24"/>
        </w:rPr>
        <w:t>0,000.00×1.0160-508.</w:t>
      </w:r>
      <w:r>
        <w:rPr>
          <w:rFonts w:hint="eastAsia" w:ascii="Times New Roman" w:hAnsi="Times New Roman"/>
          <w:sz w:val="24"/>
          <w:lang w:val="en-US" w:eastAsia="zh-CN"/>
        </w:rPr>
        <w:t>0</w:t>
      </w:r>
      <w:r>
        <w:rPr>
          <w:rFonts w:hint="eastAsia" w:ascii="Times New Roman" w:hAnsi="Times New Roman"/>
          <w:sz w:val="24"/>
        </w:rPr>
        <w:t>0</w:t>
      </w:r>
      <w:r>
        <w:rPr>
          <w:rFonts w:hint="eastAsia" w:ascii="Times New Roman" w:hAnsi="Times New Roman"/>
          <w:sz w:val="24"/>
          <w:lang w:val="en-US" w:eastAsia="zh-CN"/>
        </w:rPr>
        <w:t>+50.00</w:t>
      </w:r>
      <w:r>
        <w:rPr>
          <w:rFonts w:hint="eastAsia" w:ascii="Times New Roman" w:hAnsi="Times New Roman"/>
          <w:sz w:val="24"/>
        </w:rPr>
        <w:t>＝101,</w:t>
      </w:r>
      <w:r>
        <w:rPr>
          <w:rFonts w:hint="eastAsia" w:ascii="Times New Roman" w:hAnsi="Times New Roman"/>
          <w:sz w:val="24"/>
          <w:lang w:val="en-US" w:eastAsia="zh-CN"/>
        </w:rPr>
        <w:t>14</w:t>
      </w:r>
      <w:r>
        <w:rPr>
          <w:rFonts w:hint="eastAsia" w:ascii="Times New Roman" w:hAnsi="Times New Roman"/>
          <w:sz w:val="24"/>
        </w:rPr>
        <w:t>2.</w:t>
      </w:r>
      <w:r>
        <w:rPr>
          <w:rFonts w:hint="eastAsia" w:ascii="Times New Roman" w:hAnsi="Times New Roman"/>
          <w:sz w:val="24"/>
          <w:lang w:val="en-US" w:eastAsia="zh-CN"/>
        </w:rPr>
        <w:t>0</w:t>
      </w:r>
      <w:r>
        <w:rPr>
          <w:rFonts w:hint="eastAsia" w:ascii="Times New Roman" w:hAnsi="Times New Roman"/>
          <w:sz w:val="24"/>
        </w:rPr>
        <w:t>0元</w:t>
      </w:r>
    </w:p>
    <w:p>
      <w:pPr>
        <w:autoSpaceDE w:val="0"/>
        <w:autoSpaceDN w:val="0"/>
        <w:adjustRightInd w:val="0"/>
        <w:snapToGrid w:val="0"/>
        <w:spacing w:line="360" w:lineRule="auto"/>
        <w:ind w:firstLine="480" w:firstLineChars="200"/>
        <w:jc w:val="left"/>
        <w:rPr>
          <w:rFonts w:hint="eastAsia" w:hAnsi="宋体"/>
          <w:sz w:val="24"/>
          <w:szCs w:val="24"/>
        </w:rPr>
      </w:pPr>
      <w:r>
        <w:rPr>
          <w:rFonts w:hint="eastAsia" w:ascii="Times New Roman" w:hAnsi="Times New Roman"/>
          <w:sz w:val="24"/>
        </w:rPr>
        <w:t>即：该</w:t>
      </w:r>
      <w:r>
        <w:rPr>
          <w:rFonts w:hint="eastAsia" w:ascii="Times New Roman" w:hAnsi="Times New Roman"/>
          <w:sz w:val="24"/>
          <w:lang w:val="en-US" w:eastAsia="zh-CN"/>
        </w:rPr>
        <w:t>机构投资者</w:t>
      </w:r>
      <w:r>
        <w:rPr>
          <w:rFonts w:hint="eastAsia" w:ascii="Times New Roman" w:hAnsi="Times New Roman"/>
          <w:sz w:val="24"/>
        </w:rPr>
        <w:t>赎回本基金1</w:t>
      </w:r>
      <w:r>
        <w:rPr>
          <w:rFonts w:hint="eastAsia" w:ascii="Times New Roman" w:hAnsi="Times New Roman"/>
          <w:sz w:val="24"/>
          <w:lang w:val="en-US" w:eastAsia="zh-CN"/>
        </w:rPr>
        <w:t>0</w:t>
      </w:r>
      <w:r>
        <w:rPr>
          <w:rFonts w:hint="eastAsia" w:ascii="Times New Roman" w:hAnsi="Times New Roman"/>
          <w:sz w:val="24"/>
        </w:rPr>
        <w:t>0,000.00份</w:t>
      </w:r>
      <w:r>
        <w:rPr>
          <w:rFonts w:hint="eastAsia" w:ascii="Times New Roman" w:hAnsi="Times New Roman"/>
          <w:sz w:val="24"/>
          <w:lang w:val="en-US" w:eastAsia="zh-CN"/>
        </w:rPr>
        <w:t>C</w:t>
      </w:r>
      <w:r>
        <w:rPr>
          <w:rFonts w:hint="eastAsia" w:ascii="Times New Roman" w:hAnsi="Times New Roman"/>
          <w:sz w:val="24"/>
        </w:rPr>
        <w:t>类基金份额（通过直销机构认购/申购获得），持有期限为</w:t>
      </w:r>
      <w:r>
        <w:rPr>
          <w:rFonts w:hint="eastAsia" w:ascii="Times New Roman" w:hAnsi="Times New Roman"/>
          <w:sz w:val="24"/>
          <w:lang w:val="en-US" w:eastAsia="zh-CN"/>
        </w:rPr>
        <w:t>9</w:t>
      </w:r>
      <w:r>
        <w:rPr>
          <w:rFonts w:hint="eastAsia" w:ascii="Times New Roman" w:hAnsi="Times New Roman"/>
          <w:sz w:val="24"/>
        </w:rPr>
        <w:t>0日，对应的赎回费率为0.5%，假设赎回当日</w:t>
      </w:r>
      <w:r>
        <w:rPr>
          <w:rFonts w:hint="eastAsia" w:ascii="Times New Roman" w:hAnsi="Times New Roman"/>
          <w:sz w:val="24"/>
          <w:lang w:val="en-US" w:eastAsia="zh-CN"/>
        </w:rPr>
        <w:t>C</w:t>
      </w:r>
      <w:r>
        <w:rPr>
          <w:rFonts w:hint="eastAsia" w:ascii="Times New Roman" w:hAnsi="Times New Roman"/>
          <w:sz w:val="24"/>
        </w:rPr>
        <w:t>类基金份额净值是1.0160元，</w:t>
      </w:r>
      <w:r>
        <w:rPr>
          <w:rFonts w:hint="eastAsia" w:ascii="Times New Roman" w:hAnsi="Times New Roman"/>
          <w:sz w:val="24"/>
          <w:lang w:val="en-US" w:eastAsia="zh-CN"/>
        </w:rPr>
        <w:t>且假设</w:t>
      </w:r>
      <w:r>
        <w:rPr>
          <w:rFonts w:hint="eastAsia" w:ascii="Times New Roman" w:hAnsi="Times New Roman"/>
          <w:sz w:val="24"/>
        </w:rPr>
        <w:t>该笔赎回确认应返还的销售服务费为5</w:t>
      </w:r>
      <w:r>
        <w:rPr>
          <w:rFonts w:hint="eastAsia" w:ascii="Times New Roman" w:hAnsi="Times New Roman"/>
          <w:sz w:val="24"/>
          <w:lang w:val="en-US" w:eastAsia="zh-CN"/>
        </w:rPr>
        <w:t>0</w:t>
      </w:r>
      <w:r>
        <w:rPr>
          <w:rFonts w:hint="eastAsia" w:ascii="Times New Roman" w:hAnsi="Times New Roman"/>
          <w:sz w:val="24"/>
        </w:rPr>
        <w:t>.00元</w:t>
      </w:r>
      <w:r>
        <w:rPr>
          <w:rFonts w:hint="eastAsia" w:ascii="Times New Roman" w:hAnsi="Times New Roman"/>
          <w:sz w:val="24"/>
          <w:lang w:eastAsia="zh-CN"/>
        </w:rPr>
        <w:t>，</w:t>
      </w:r>
      <w:r>
        <w:rPr>
          <w:rFonts w:hint="eastAsia" w:ascii="Times New Roman" w:hAnsi="Times New Roman"/>
          <w:sz w:val="24"/>
        </w:rPr>
        <w:t>则其可得到的赎回金额为101,</w:t>
      </w:r>
      <w:r>
        <w:rPr>
          <w:rFonts w:hint="eastAsia" w:ascii="Times New Roman" w:hAnsi="Times New Roman"/>
          <w:sz w:val="24"/>
          <w:lang w:val="en-US" w:eastAsia="zh-CN"/>
        </w:rPr>
        <w:t>14</w:t>
      </w:r>
      <w:r>
        <w:rPr>
          <w:rFonts w:hint="eastAsia" w:ascii="Times New Roman" w:hAnsi="Times New Roman"/>
          <w:sz w:val="24"/>
        </w:rPr>
        <w:t>2.</w:t>
      </w:r>
      <w:r>
        <w:rPr>
          <w:rFonts w:hint="eastAsia" w:ascii="Times New Roman" w:hAnsi="Times New Roman"/>
          <w:sz w:val="24"/>
          <w:lang w:val="en-US" w:eastAsia="zh-CN"/>
        </w:rPr>
        <w:t>0</w:t>
      </w:r>
      <w:r>
        <w:rPr>
          <w:rFonts w:hint="eastAsia" w:ascii="Times New Roman" w:hAnsi="Times New Roman"/>
          <w:sz w:val="24"/>
        </w:rPr>
        <w:t>0元。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、基金份额净值的计算公式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A</w:t>
      </w:r>
      <w:r>
        <w:rPr>
          <w:rFonts w:hint="eastAsia" w:ascii="Times New Roman" w:hAnsi="Times New Roman"/>
          <w:sz w:val="24"/>
        </w:rPr>
        <w:t>类基金份额净值＝</w:t>
      </w:r>
      <w:r>
        <w:rPr>
          <w:rFonts w:ascii="Times New Roman" w:hAnsi="Times New Roman"/>
          <w:sz w:val="24"/>
        </w:rPr>
        <w:t>A</w:t>
      </w:r>
      <w:r>
        <w:rPr>
          <w:rFonts w:hint="eastAsia" w:ascii="Times New Roman" w:hAnsi="Times New Roman"/>
          <w:sz w:val="24"/>
        </w:rPr>
        <w:t>类基金份额的基金资产净值总额</w:t>
      </w:r>
      <w:r>
        <w:rPr>
          <w:rFonts w:ascii="Times New Roman" w:hAnsi="Times New Roman"/>
          <w:sz w:val="24"/>
        </w:rPr>
        <w:t>/</w:t>
      </w:r>
      <w:r>
        <w:rPr>
          <w:rFonts w:hint="eastAsia" w:ascii="Times New Roman" w:hAnsi="Times New Roman"/>
          <w:sz w:val="24"/>
        </w:rPr>
        <w:t>发行在外的</w:t>
      </w:r>
      <w:r>
        <w:rPr>
          <w:rFonts w:ascii="Times New Roman" w:hAnsi="Times New Roman"/>
          <w:sz w:val="24"/>
        </w:rPr>
        <w:t>A</w:t>
      </w:r>
      <w:r>
        <w:rPr>
          <w:rFonts w:hint="eastAsia" w:ascii="Times New Roman" w:hAnsi="Times New Roman"/>
          <w:sz w:val="24"/>
        </w:rPr>
        <w:t>类基金份额总数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C</w:t>
      </w:r>
      <w:r>
        <w:rPr>
          <w:rFonts w:hint="eastAsia" w:ascii="Times New Roman" w:hAnsi="Times New Roman"/>
          <w:sz w:val="24"/>
        </w:rPr>
        <w:t>类基金份额净值＝</w:t>
      </w:r>
      <w:r>
        <w:rPr>
          <w:rFonts w:ascii="Times New Roman" w:hAnsi="Times New Roman"/>
          <w:sz w:val="24"/>
        </w:rPr>
        <w:t>C</w:t>
      </w:r>
      <w:r>
        <w:rPr>
          <w:rFonts w:hint="eastAsia" w:ascii="Times New Roman" w:hAnsi="Times New Roman"/>
          <w:sz w:val="24"/>
        </w:rPr>
        <w:t>类基金份额的基金资产净值总额</w:t>
      </w:r>
      <w:r>
        <w:rPr>
          <w:rFonts w:ascii="Times New Roman" w:hAnsi="Times New Roman"/>
          <w:sz w:val="24"/>
        </w:rPr>
        <w:t>/</w:t>
      </w:r>
      <w:r>
        <w:rPr>
          <w:rFonts w:hint="eastAsia" w:ascii="Times New Roman" w:hAnsi="Times New Roman"/>
          <w:sz w:val="24"/>
        </w:rPr>
        <w:t>发行在外的</w:t>
      </w:r>
      <w:r>
        <w:rPr>
          <w:rFonts w:ascii="Times New Roman" w:hAnsi="Times New Roman"/>
          <w:sz w:val="24"/>
        </w:rPr>
        <w:t>C</w:t>
      </w:r>
      <w:r>
        <w:rPr>
          <w:rFonts w:hint="eastAsia" w:ascii="Times New Roman" w:hAnsi="Times New Roman"/>
          <w:sz w:val="24"/>
        </w:rPr>
        <w:t>类基金份额总数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w:t>
      </w:r>
      <w:r>
        <w:rPr>
          <w:rFonts w:ascii="Times New Roman" w:hAnsi="Times New Roman"/>
          <w:sz w:val="24"/>
        </w:rPr>
        <w:t>T</w:t>
      </w:r>
      <w:r>
        <w:rPr>
          <w:rFonts w:hint="eastAsia" w:ascii="Times New Roman" w:hAnsi="Times New Roman"/>
          <w:sz w:val="24"/>
        </w:rPr>
        <w:t>日的基金份额净值在当天收市后计算，并在</w:t>
      </w:r>
      <w:r>
        <w:rPr>
          <w:rFonts w:ascii="Times New Roman" w:hAnsi="Times New Roman"/>
          <w:sz w:val="24"/>
        </w:rPr>
        <w:t>T+1</w:t>
      </w:r>
      <w:r>
        <w:rPr>
          <w:rFonts w:hint="eastAsia" w:ascii="Times New Roman" w:hAnsi="Times New Roman"/>
          <w:sz w:val="24"/>
        </w:rPr>
        <w:t>日（包括该日）内公告。遇特殊情况，经履行适当程序，可以适当延迟计算或公告。本基金</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类基金份额的基金份额净值的计算，均保留到小数点后</w:t>
      </w:r>
      <w:r>
        <w:rPr>
          <w:rFonts w:ascii="Times New Roman" w:hAnsi="Times New Roman"/>
          <w:sz w:val="24"/>
        </w:rPr>
        <w:t>4</w:t>
      </w:r>
      <w:r>
        <w:rPr>
          <w:rFonts w:hint="eastAsia" w:ascii="Times New Roman" w:hAnsi="Times New Roman"/>
          <w:sz w:val="24"/>
        </w:rPr>
        <w:t>位，小数点后第</w:t>
      </w:r>
      <w:r>
        <w:rPr>
          <w:rFonts w:ascii="Times New Roman" w:hAnsi="Times New Roman"/>
          <w:sz w:val="24"/>
        </w:rPr>
        <w:t>5</w:t>
      </w:r>
      <w:r>
        <w:rPr>
          <w:rFonts w:hint="eastAsia" w:ascii="Times New Roman" w:hAnsi="Times New Roman"/>
          <w:sz w:val="24"/>
        </w:rPr>
        <w:t>位四舍五入，由此产生的收益或损失由基金财产承担。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（八）拒绝或暂停申购的情形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发生下列情况时，基金管理人可拒绝或暂停接受投资人的申购申请：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、因不可抗力导致基金无法正常运作。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、发生基金合同规定的暂停基金资产估值情况时，基金管理人可暂停接受投资人的申购申请。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、证券</w:t>
      </w:r>
      <w:r>
        <w:rPr>
          <w:rFonts w:ascii="Times New Roman" w:hAnsi="Times New Roman"/>
          <w:sz w:val="24"/>
        </w:rPr>
        <w:t>/</w:t>
      </w:r>
      <w:r>
        <w:rPr>
          <w:rFonts w:hint="eastAsia" w:ascii="Times New Roman" w:hAnsi="Times New Roman"/>
          <w:sz w:val="24"/>
        </w:rPr>
        <w:t>期货交易所交易时间非正常停市</w:t>
      </w:r>
      <w:r>
        <w:rPr>
          <w:rFonts w:hint="eastAsia"/>
          <w:bCs/>
          <w:sz w:val="24"/>
        </w:rPr>
        <w:t>或港股通临时停市</w:t>
      </w:r>
      <w:r>
        <w:rPr>
          <w:rFonts w:hint="eastAsia" w:ascii="Times New Roman" w:hAnsi="Times New Roman"/>
          <w:sz w:val="24"/>
        </w:rPr>
        <w:t>，导致基金管理人无法计算当日基金资产净值。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、接受某笔或某些申购申请可能会影响或损害现有基金份额持有人利益时。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、基金资产规模过大，使基金管理人无法找到合适的投资品种，或其他可能对基金业绩产生负面影响，或发生其他损害现有基金份额持有人利益的情形。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、基金销售机构、基金销售支付结算机构或登记机构的异常情况导致基金销售系统、基金销售支付结算系统、基金注册登记系统或基金会计系统无法正常运行。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、当前一估值日基金资产净值</w:t>
      </w:r>
      <w:r>
        <w:rPr>
          <w:rFonts w:ascii="Times New Roman" w:hAnsi="Times New Roman"/>
          <w:sz w:val="24"/>
        </w:rPr>
        <w:t>50%</w:t>
      </w:r>
      <w:r>
        <w:rPr>
          <w:rFonts w:hint="eastAsia" w:ascii="Times New Roman" w:hAnsi="Times New Roman"/>
          <w:sz w:val="24"/>
        </w:rPr>
        <w:t>以上的资产出现无可参考的活跃市场价格且采用估值技术仍导致公允价值存在重大不确定性时，经与基金托管人协商确认后，基金管理人应当暂停接受基金申购申请。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9、基金管理人接受某笔或者某些申购申请有可能导致单一投资者</w:t>
      </w:r>
      <w:r>
        <w:rPr>
          <w:rFonts w:hint="eastAsia"/>
          <w:bCs/>
          <w:sz w:val="24"/>
        </w:rPr>
        <w:t>（基金管理人、基金管理人高级管理人员或基金经理等人员作为发起资金提供方除外）</w:t>
      </w:r>
      <w:r>
        <w:rPr>
          <w:rFonts w:hint="eastAsia" w:ascii="Times New Roman" w:hAnsi="Times New Roman"/>
          <w:sz w:val="24"/>
        </w:rPr>
        <w:t>持有基金份额的比例超过</w:t>
      </w:r>
      <w:r>
        <w:rPr>
          <w:rFonts w:ascii="Times New Roman" w:hAnsi="Times New Roman"/>
          <w:sz w:val="24"/>
        </w:rPr>
        <w:t>50%</w:t>
      </w:r>
      <w:r>
        <w:rPr>
          <w:rFonts w:hint="eastAsia" w:ascii="Times New Roman" w:hAnsi="Times New Roman"/>
          <w:sz w:val="24"/>
        </w:rPr>
        <w:t>，或者变相规避</w:t>
      </w:r>
      <w:r>
        <w:rPr>
          <w:rFonts w:ascii="Times New Roman" w:hAnsi="Times New Roman"/>
          <w:sz w:val="24"/>
        </w:rPr>
        <w:t>50%</w:t>
      </w:r>
      <w:r>
        <w:rPr>
          <w:rFonts w:hint="eastAsia" w:ascii="Times New Roman" w:hAnsi="Times New Roman"/>
          <w:sz w:val="24"/>
        </w:rPr>
        <w:t>集中度的。出现上述情形时，基金管理人有权将上述申购申请全部或部分确认失败。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、法律法规规定、中国证监会认定或基金合同约定的其他情形。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发生上述第</w:t>
      </w:r>
      <w:r>
        <w:rPr>
          <w:rFonts w:ascii="Times New Roman" w:hAnsi="Times New Roman"/>
          <w:sz w:val="24"/>
        </w:rPr>
        <w:t>1</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w:t>
      </w:r>
      <w:r>
        <w:rPr>
          <w:rFonts w:ascii="Times New Roman" w:hAnsi="Times New Roman"/>
          <w:sz w:val="24"/>
        </w:rPr>
        <w:t>3</w:t>
      </w:r>
      <w:r>
        <w:rPr>
          <w:rFonts w:hint="eastAsia" w:ascii="Times New Roman" w:hAnsi="Times New Roman"/>
          <w:sz w:val="24"/>
        </w:rPr>
        <w:t>、</w:t>
      </w:r>
      <w:r>
        <w:rPr>
          <w:rFonts w:ascii="Times New Roman" w:hAnsi="Times New Roman"/>
          <w:sz w:val="24"/>
        </w:rPr>
        <w:t>5</w:t>
      </w:r>
      <w:r>
        <w:rPr>
          <w:rFonts w:hint="eastAsia" w:ascii="Times New Roman" w:hAnsi="Times New Roman"/>
          <w:sz w:val="24"/>
        </w:rPr>
        <w:t>、</w:t>
      </w:r>
      <w:r>
        <w:rPr>
          <w:rFonts w:ascii="Times New Roman" w:hAnsi="Times New Roman"/>
          <w:sz w:val="24"/>
        </w:rPr>
        <w:t>6</w:t>
      </w:r>
      <w:r>
        <w:rPr>
          <w:rFonts w:hint="eastAsia" w:ascii="Times New Roman" w:hAnsi="Times New Roman"/>
          <w:sz w:val="24"/>
        </w:rPr>
        <w:t>、</w:t>
      </w:r>
      <w:r>
        <w:rPr>
          <w:rFonts w:ascii="Times New Roman" w:hAnsi="Times New Roman"/>
          <w:sz w:val="24"/>
        </w:rPr>
        <w:t>7</w:t>
      </w:r>
      <w:r>
        <w:rPr>
          <w:rFonts w:hint="eastAsia" w:ascii="Times New Roman" w:hAnsi="Times New Roman"/>
          <w:sz w:val="24"/>
        </w:rPr>
        <w:t>、8、10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（九）暂停赎回或延缓支付赎回款项的情形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发生下列情形时，基金管理人可暂停接受投资人的赎回申请或延缓支付赎回款项：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、因不可抗力导致基金管理人不能支付赎回款项。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、发生基金合同规定的暂停基金资产估值情况时，基金管理人可暂停接受投资人的赎回申请或延缓支付赎回款项。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、证券</w:t>
      </w:r>
      <w:r>
        <w:rPr>
          <w:rFonts w:ascii="Times New Roman" w:hAnsi="Times New Roman"/>
          <w:sz w:val="24"/>
        </w:rPr>
        <w:t>/</w:t>
      </w:r>
      <w:r>
        <w:rPr>
          <w:rFonts w:hint="eastAsia" w:ascii="Times New Roman" w:hAnsi="Times New Roman"/>
          <w:sz w:val="24"/>
        </w:rPr>
        <w:t>期货交易所交易时间非正常停市</w:t>
      </w:r>
      <w:r>
        <w:rPr>
          <w:rFonts w:hint="eastAsia"/>
          <w:bCs/>
          <w:sz w:val="24"/>
        </w:rPr>
        <w:t>或港股通临时停市</w:t>
      </w:r>
      <w:r>
        <w:rPr>
          <w:rFonts w:hint="eastAsia" w:ascii="Times New Roman" w:hAnsi="Times New Roman"/>
          <w:sz w:val="24"/>
        </w:rPr>
        <w:t>，导致基金管理人无法计算当日基金资产净值。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、连续两个或两个以上开放日发生巨额赎回。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、发生继续接受赎回申请将损害现有基金份额持有人利益的情形时，基金管理人可暂停接受基金份额持有人的赎回申请。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、指数编制单位或指数发布机构因异常情况使标的指数数据无法正常计算、计算错误或发布异常时。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、当前一估值日基金资产净值</w:t>
      </w:r>
      <w:r>
        <w:rPr>
          <w:rFonts w:ascii="Times New Roman" w:hAnsi="Times New Roman"/>
          <w:sz w:val="24"/>
        </w:rPr>
        <w:t>50%</w:t>
      </w:r>
      <w:r>
        <w:rPr>
          <w:rFonts w:hint="eastAsia" w:ascii="Times New Roman" w:hAnsi="Times New Roman"/>
          <w:sz w:val="24"/>
        </w:rPr>
        <w:t>以上的资产出现无可参考的活跃市场价格且采用估值技术仍导致公允价值存在重大不确定性时，经与基金托管人协商确认后，基金管理人应当延缓支付赎回款项或暂停接受基金赎回申请。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、法律法规规定、中国证监会认定或基金合同约定的其他情形。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发生上述情形之一且基金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hAnsi="Times New Roman"/>
          <w:sz w:val="24"/>
        </w:rPr>
        <w:t>4</w:t>
      </w:r>
      <w:r>
        <w:rPr>
          <w:rFonts w:hint="eastAsia" w:ascii="Times New Roman" w:hAnsi="Times New Roman"/>
          <w:sz w:val="24"/>
        </w:rPr>
        <w:t>项所述情形，按基金合同的相关条款处理。基金份额持有人在申请赎回时可事先选择将当日可能未获受理部分予以撤销。在暂停赎回的情况消除时，基金管理人应及时恢复赎回业务的办理并公告。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（十）巨额赎回的情形及处理方式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、巨额赎回的认定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imes New Roman" w:hAnsi="Times New Roman"/>
          <w:sz w:val="24"/>
        </w:rPr>
        <w:t>10%</w:t>
      </w:r>
      <w:r>
        <w:rPr>
          <w:rFonts w:hint="eastAsia" w:ascii="Times New Roman" w:hAnsi="Times New Roman"/>
          <w:sz w:val="24"/>
        </w:rPr>
        <w:t>，即认为是发生了巨额赎回。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、巨额赎回的处理方式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imes New Roman" w:hAnsi="Times New Roman"/>
          <w:sz w:val="24"/>
        </w:rPr>
        <w:t>10%</w:t>
      </w:r>
      <w:r>
        <w:rPr>
          <w:rFonts w:hint="eastAsia" w:ascii="Times New Roman" w:hAnsi="Times New Roman"/>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ascii="Times New Roman" w:hAnsi="Times New Roman"/>
          <w:bCs/>
          <w:sz w:val="24"/>
        </w:rPr>
        <w:t>该类基金份额</w:t>
      </w:r>
      <w:r>
        <w:rPr>
          <w:rFonts w:hint="eastAsia" w:ascii="Times New Roman" w:hAnsi="Times New Roman"/>
          <w:sz w:val="24"/>
        </w:rPr>
        <w:t>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）本基金如发生巨额赎回且单个开放日内单个基金份额持有人申请赎回的基金份额超过前一开放日的基金总份额的</w:t>
      </w:r>
      <w:r>
        <w:rPr>
          <w:rFonts w:ascii="Times New Roman" w:hAnsi="Times New Roman"/>
          <w:sz w:val="24"/>
        </w:rPr>
        <w:t>20%</w:t>
      </w:r>
      <w:r>
        <w:rPr>
          <w:rFonts w:hint="eastAsia" w:ascii="Times New Roman" w:hAnsi="Times New Roman"/>
          <w:sz w:val="24"/>
        </w:rPr>
        <w:t>时，本基金管理人有权采取如下措施：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对于基金份额持有人当日超过</w:t>
      </w:r>
      <w:r>
        <w:rPr>
          <w:rFonts w:ascii="Times New Roman" w:hAnsi="Times New Roman"/>
          <w:sz w:val="24"/>
        </w:rPr>
        <w:t>20%</w:t>
      </w:r>
      <w:r>
        <w:rPr>
          <w:rFonts w:hint="eastAsia" w:ascii="Times New Roman" w:hAnsi="Times New Roman"/>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ascii="Times New Roman" w:hAnsi="Times New Roman"/>
          <w:bCs/>
          <w:sz w:val="24"/>
        </w:rPr>
        <w:t>该类基金份额</w:t>
      </w:r>
      <w:r>
        <w:rPr>
          <w:rFonts w:hint="eastAsia" w:ascii="Times New Roman" w:hAnsi="Times New Roman"/>
          <w:sz w:val="24"/>
        </w:rPr>
        <w:t>的基金份额净值为基础计算赎回金额，以此类推，直到全部赎回为止。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对于基金份额持有人未超过上述比例的部分，基金管理人可以根据前述</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w:t>
      </w:r>
      <w:r>
        <w:rPr>
          <w:rFonts w:ascii="Times New Roman" w:hAnsi="Times New Roman"/>
          <w:sz w:val="24"/>
        </w:rPr>
        <w:t>”</w:t>
      </w:r>
      <w:r>
        <w:rPr>
          <w:rFonts w:hint="eastAsia" w:ascii="Times New Roman" w:hAnsi="Times New Roman"/>
          <w:sz w:val="24"/>
        </w:rPr>
        <w:t>或</w:t>
      </w:r>
      <w:r>
        <w:rPr>
          <w:rFonts w:ascii="Times New Roman" w:hAnsi="Times New Roman"/>
          <w:sz w:val="24"/>
        </w:rPr>
        <w:t>“</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w:t>
      </w:r>
      <w:r>
        <w:rPr>
          <w:rFonts w:ascii="Times New Roman" w:hAnsi="Times New Roman"/>
          <w:sz w:val="24"/>
        </w:rPr>
        <w:t>”</w:t>
      </w:r>
      <w:r>
        <w:rPr>
          <w:rFonts w:hint="eastAsia" w:ascii="Times New Roman" w:hAnsi="Times New Roman"/>
          <w:sz w:val="24"/>
        </w:rPr>
        <w:t>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）暂停赎回：连续</w:t>
      </w:r>
      <w:r>
        <w:rPr>
          <w:rFonts w:ascii="Times New Roman" w:hAnsi="Times New Roman"/>
          <w:sz w:val="24"/>
        </w:rPr>
        <w:t>2</w:t>
      </w:r>
      <w:r>
        <w:rPr>
          <w:rFonts w:hint="eastAsia" w:ascii="Times New Roman" w:hAnsi="Times New Roman"/>
          <w:sz w:val="24"/>
        </w:rPr>
        <w:t>个开放日以上（含本数）发生巨额赎回，如基金管理人认为有必要，可暂停接受基金的赎回申请；已经接受的赎回申请可以延缓支付赎回款项，但不得超过</w:t>
      </w:r>
      <w:r>
        <w:rPr>
          <w:rFonts w:ascii="Times New Roman" w:hAnsi="Times New Roman"/>
          <w:sz w:val="24"/>
        </w:rPr>
        <w:t>20</w:t>
      </w:r>
      <w:r>
        <w:rPr>
          <w:rFonts w:hint="eastAsia" w:ascii="Times New Roman" w:hAnsi="Times New Roman"/>
          <w:sz w:val="24"/>
        </w:rPr>
        <w:t>个工作日，并应当在规定媒介上进行公告。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、巨额赎回的公告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当发生上述巨额赎回并延期办理时，基金管理人应当通过邮寄、传真、刊登公告或者通知销售机构代为告知等方式在</w:t>
      </w:r>
      <w:r>
        <w:rPr>
          <w:rFonts w:ascii="Times New Roman" w:hAnsi="Times New Roman"/>
          <w:sz w:val="24"/>
        </w:rPr>
        <w:t>3</w:t>
      </w:r>
      <w:r>
        <w:rPr>
          <w:rFonts w:hint="eastAsia" w:ascii="Times New Roman" w:hAnsi="Times New Roman"/>
          <w:sz w:val="24"/>
        </w:rPr>
        <w:t>个交易日内通知基金份额持有人，说明有关处理方法，并在</w:t>
      </w:r>
      <w:r>
        <w:rPr>
          <w:rFonts w:ascii="Times New Roman" w:hAnsi="Times New Roman"/>
          <w:sz w:val="24"/>
        </w:rPr>
        <w:t>2</w:t>
      </w:r>
      <w:r>
        <w:rPr>
          <w:rFonts w:hint="eastAsia" w:ascii="Times New Roman" w:hAnsi="Times New Roman"/>
          <w:sz w:val="24"/>
        </w:rPr>
        <w:t>日内在规定媒介上刊登公告。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（十一）暂停申购或赎回的公告和重新开放申购或赎回的公告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、发生上述暂停申购或赎回情况的，基金管理人应在规定期限内在规定媒介上刊登暂停公告。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、如发生暂停的时间为</w:t>
      </w:r>
      <w:r>
        <w:rPr>
          <w:rFonts w:ascii="Times New Roman" w:hAnsi="Times New Roman"/>
          <w:sz w:val="24"/>
        </w:rPr>
        <w:t>1</w:t>
      </w:r>
      <w:r>
        <w:rPr>
          <w:rFonts w:hint="eastAsia" w:ascii="Times New Roman" w:hAnsi="Times New Roman"/>
          <w:sz w:val="24"/>
        </w:rPr>
        <w:t>日，基金管理人应于重新开放日，在规定媒介上刊登基金重新开放申购或赎回公告，并公布最近</w:t>
      </w:r>
      <w:r>
        <w:rPr>
          <w:rFonts w:ascii="Times New Roman" w:hAnsi="Times New Roman"/>
          <w:sz w:val="24"/>
        </w:rPr>
        <w:t>1</w:t>
      </w:r>
      <w:r>
        <w:rPr>
          <w:rFonts w:hint="eastAsia" w:ascii="Times New Roman" w:hAnsi="Times New Roman"/>
          <w:sz w:val="24"/>
        </w:rPr>
        <w:t>个开放日的各类基金份额</w:t>
      </w:r>
      <w:r>
        <w:rPr>
          <w:rFonts w:hint="eastAsia" w:ascii="Times New Roman" w:hAnsi="Times New Roman"/>
          <w:bCs/>
          <w:sz w:val="24"/>
        </w:rPr>
        <w:t>的基金份额</w:t>
      </w:r>
      <w:r>
        <w:rPr>
          <w:rFonts w:hint="eastAsia" w:ascii="Times New Roman" w:hAnsi="Times New Roman"/>
          <w:sz w:val="24"/>
        </w:rPr>
        <w:t>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、如发生暂停的时间超过</w:t>
      </w:r>
      <w:r>
        <w:rPr>
          <w:rFonts w:ascii="Times New Roman" w:hAnsi="Times New Roman"/>
          <w:sz w:val="24"/>
        </w:rPr>
        <w:t>1</w:t>
      </w:r>
      <w:r>
        <w:rPr>
          <w:rFonts w:hint="eastAsia" w:ascii="Times New Roman" w:hAnsi="Times New Roman"/>
          <w:sz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（十二）基金转换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（十三）基金的非交易过户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（十四）基金的转托管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基金份额持有人可办理已持有基金份额在不同销售机构之间的转托管，基金销售机构可以按照规定的标准收取转托管费。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（十五）定期定额投资计划</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（十六）基金份额的冻结和解冻</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基金登记机构只受理国家有权机关依法要求的基金份额的冻结与解冻，以及登记机构认可、符合法律法规的其他情况下的冻结与解冻。</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（十七）基金份额的转让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（十八）实施侧袋机制期间本基金的申购与赎回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本基金实施侧袋机制的，本基金的申购和赎回安排详见本招募说明书</w:t>
      </w:r>
      <w:r>
        <w:rPr>
          <w:rFonts w:ascii="Times New Roman" w:hAnsi="Times New Roman"/>
          <w:sz w:val="24"/>
        </w:rPr>
        <w:t>“</w:t>
      </w:r>
      <w:r>
        <w:rPr>
          <w:rFonts w:hint="eastAsia" w:ascii="Times New Roman" w:hAnsi="Times New Roman"/>
          <w:sz w:val="24"/>
        </w:rPr>
        <w:t>侧袋机制</w:t>
      </w:r>
      <w:r>
        <w:rPr>
          <w:rFonts w:ascii="Times New Roman" w:hAnsi="Times New Roman"/>
          <w:sz w:val="24"/>
        </w:rPr>
        <w:t>”</w:t>
      </w:r>
      <w:r>
        <w:rPr>
          <w:rFonts w:hint="eastAsia" w:ascii="Times New Roman" w:hAnsi="Times New Roman"/>
          <w:sz w:val="24"/>
        </w:rPr>
        <w:t>部分的规定或相关公告。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（十九）其他业务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30" w:name="_Toc147840627"/>
      <w:bookmarkStart w:id="31" w:name="_Toc15417"/>
      <w:bookmarkStart w:id="32" w:name="_Hlk215090992"/>
      <w:r>
        <w:rPr>
          <w:rFonts w:hint="eastAsia" w:ascii="Times New Roman" w:hAnsi="Times New Roman"/>
          <w:sz w:val="30"/>
        </w:rPr>
        <w:t>九、基金的投资</w:t>
      </w:r>
      <w:bookmarkEnd w:id="30"/>
      <w:bookmarkEnd w:id="31"/>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（一）投资目标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本基金为股票指数增强型基金，在力争对中证A500指数进行有效跟踪的基础上，对基金投资组合进行相对增强，追求超越业绩比较基准的投资回报，谋求基金资产的长期增值。</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（二）投资范围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本基金的投资范围为具有良好流动性的金融工具，包括中证</w:t>
      </w:r>
      <w:r>
        <w:rPr>
          <w:rFonts w:ascii="Times New Roman" w:hAnsi="Times New Roman"/>
          <w:sz w:val="24"/>
        </w:rPr>
        <w:t>A500</w:t>
      </w:r>
      <w:r>
        <w:rPr>
          <w:rFonts w:hint="eastAsia" w:ascii="Times New Roman" w:hAnsi="Times New Roman"/>
          <w:sz w:val="24"/>
        </w:rPr>
        <w:t>指数的成份股（含存托凭证）及备选成份股（含存托凭证）、其他股票（含</w:t>
      </w:r>
      <w:r>
        <w:rPr>
          <w:rFonts w:hint="eastAsia"/>
          <w:bCs/>
          <w:sz w:val="24"/>
        </w:rPr>
        <w:t>主板、</w:t>
      </w:r>
      <w:r>
        <w:rPr>
          <w:rFonts w:hint="eastAsia" w:ascii="Times New Roman" w:hAnsi="Times New Roman"/>
          <w:sz w:val="24"/>
        </w:rPr>
        <w:t>创业板、科创板及其他经中国证监会核准或注册上市的股票、存托凭证）、</w:t>
      </w:r>
      <w:r>
        <w:rPr>
          <w:rFonts w:hint="eastAsia"/>
          <w:bCs/>
          <w:sz w:val="24"/>
        </w:rPr>
        <w:t>港股通标的股票、</w:t>
      </w:r>
      <w:r>
        <w:rPr>
          <w:rFonts w:hint="eastAsia" w:ascii="Times New Roman" w:hAnsi="Times New Roman"/>
          <w:sz w:val="24"/>
        </w:rPr>
        <w:t>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line="360" w:lineRule="auto"/>
        <w:ind w:firstLine="480"/>
        <w:rPr>
          <w:rFonts w:ascii="Times New Roman" w:hAnsi="Times New Roman"/>
          <w:bCs/>
          <w:sz w:val="24"/>
        </w:rPr>
      </w:pPr>
      <w:r>
        <w:rPr>
          <w:rFonts w:hint="eastAsia" w:ascii="Times New Roman" w:hAnsi="Times New Roman"/>
          <w:bCs/>
          <w:sz w:val="24"/>
        </w:rPr>
        <w:t>本基金可根据法律法规的规定参与融资及转融通证券出借业务。未来在法律法规允许的前提下，本基金可根据相关法律法规规定参与融券业务。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基金的投资组合比例为：本基金投资于</w:t>
      </w:r>
      <w:r>
        <w:rPr>
          <w:rFonts w:hint="eastAsia"/>
          <w:sz w:val="24"/>
        </w:rPr>
        <w:t>股票（含存托凭证）占基金资产的比例不低于8</w:t>
      </w:r>
      <w:r>
        <w:rPr>
          <w:sz w:val="24"/>
        </w:rPr>
        <w:t>0%</w:t>
      </w:r>
      <w:r>
        <w:rPr>
          <w:rFonts w:hint="eastAsia"/>
          <w:sz w:val="24"/>
        </w:rPr>
        <w:t>，</w:t>
      </w:r>
      <w:r>
        <w:rPr>
          <w:rFonts w:hint="eastAsia" w:hAnsi="宋体"/>
          <w:bCs/>
          <w:sz w:val="24"/>
          <w:szCs w:val="24"/>
        </w:rPr>
        <w:t>其中投资于港股通标的股票的比例占股票资产的0%-50%；</w:t>
      </w:r>
      <w:r>
        <w:rPr>
          <w:rFonts w:hint="eastAsia"/>
          <w:sz w:val="24"/>
        </w:rPr>
        <w:t>投资于</w:t>
      </w:r>
      <w:r>
        <w:rPr>
          <w:rFonts w:hint="eastAsia" w:ascii="Times New Roman" w:hAnsi="Times New Roman"/>
          <w:sz w:val="24"/>
        </w:rPr>
        <w:t>中证</w:t>
      </w:r>
      <w:r>
        <w:rPr>
          <w:rFonts w:ascii="Times New Roman" w:hAnsi="Times New Roman"/>
          <w:sz w:val="24"/>
        </w:rPr>
        <w:t>A500</w:t>
      </w:r>
      <w:r>
        <w:rPr>
          <w:rFonts w:hint="eastAsia" w:ascii="Times New Roman" w:hAnsi="Times New Roman"/>
          <w:sz w:val="24"/>
        </w:rPr>
        <w:t>指数成份股（含存托凭证）及备选成份股（含存托凭证）的比例不低于非现金基金资产的</w:t>
      </w:r>
      <w:r>
        <w:rPr>
          <w:rFonts w:ascii="Times New Roman" w:hAnsi="Times New Roman"/>
          <w:sz w:val="24"/>
        </w:rPr>
        <w:t>80%</w:t>
      </w:r>
      <w:r>
        <w:rPr>
          <w:rFonts w:hint="eastAsia" w:ascii="Times New Roman" w:hAnsi="Times New Roman"/>
          <w:sz w:val="24"/>
        </w:rPr>
        <w:t>；每个交易日日终在扣除股指期货合约需缴纳的交易保证金后，本基金持有的现金或者到期日在一年以内的政府债券的比例合计不低于基金资产净值的</w:t>
      </w:r>
      <w:r>
        <w:rPr>
          <w:rFonts w:ascii="Times New Roman" w:hAnsi="Times New Roman"/>
          <w:sz w:val="24"/>
        </w:rPr>
        <w:t>5%</w:t>
      </w:r>
      <w:r>
        <w:rPr>
          <w:rFonts w:hint="eastAsia" w:ascii="Times New Roman" w:hAnsi="Times New Roman"/>
          <w:sz w:val="24"/>
        </w:rPr>
        <w:t>，其中现金不包括结算备付金、存出保证金、应收申购款等。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（三）投资策略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为股票指数增强型基金，在力争对中证A500指数进行有效跟踪的基础上，对基金投资组合进行相对增强，追求超越业绩比较基准的投资回报，谋求基金资产的长期增值。在正常市场情况下，力争控制本基金日均跟踪偏离度的绝对值不超过0.5%，年跟踪误差不超过8%。</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1、股票投资策略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（1）指数复制策略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本基金主要通过指数复制策略进行指数化投资，即按照标的指数成份股及其权重构建基金的股票投资组合，并根据标的指数成份股及其权重的变动对股票投资组合进行相应地调整。</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（2）指数增强策略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本基金在参考标的指数成份股在标的指数中的权重比例构建基本投资组合的同时，对投资组合进行优化，力求实现超越业绩比较基准的投资收益。</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在主动选股层面，本基金主要运用交银施罗德股票研究分析方法等投资分析工具，在把握宏观经济运行趋势和股票市场行业轮动的基础上，充分发挥</w:t>
      </w:r>
      <w:r>
        <w:rPr>
          <w:rFonts w:hint="eastAsia"/>
          <w:bCs/>
          <w:sz w:val="24"/>
        </w:rPr>
        <w:t>基金管理人</w:t>
      </w:r>
      <w:r>
        <w:rPr>
          <w:rFonts w:hint="eastAsia" w:ascii="Times New Roman" w:hAnsi="Times New Roman"/>
          <w:bCs/>
          <w:sz w:val="24"/>
        </w:rPr>
        <w:t>股票研究团队“自下而上”的主动选股能力，基于对个股深入的基本面研究和细致的实地调研，精选股票构建股票投资组合。</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w:t>
      </w:r>
      <w:r>
        <w:rPr>
          <w:rFonts w:hint="eastAsia"/>
          <w:bCs/>
          <w:sz w:val="24"/>
        </w:rPr>
        <w:t>投资</w:t>
      </w:r>
      <w:r>
        <w:rPr>
          <w:rFonts w:hint="eastAsia" w:ascii="Times New Roman" w:hAnsi="Times New Roman"/>
          <w:bCs/>
          <w:sz w:val="24"/>
        </w:rPr>
        <w:t>组合整体风险水平，并针对交易成本、流动性等因素对投资组合进行优化。</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基金管理人将根据市场变化趋势以及后续深入持续的研究，选择适合当前市场环境的投资策略，并根据实际情况动态调整，不断改善策略的有效性与稳定性，以使得本基金能够有效达成投资目标。</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（3）港股通标的股票投资策略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本基金可通过内地与香港股票市场交易互联互通机制投资于香港股票市场。本基金优先将基本面健康、业绩向上弹性较大、具有估值优势的港股通标的股票纳入本基金的股票投资组合。</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（4）存托凭证的投资策略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本基金投资存托凭证的策略依照境内上市交易的股票投资策略执行。</w:t>
      </w:r>
    </w:p>
    <w:p>
      <w:pPr>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、债券投资策略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本基金将以降低跟踪误差和流动性管理为目的，综合考虑流动性和收益性，适当参与债券投资。</w:t>
      </w:r>
    </w:p>
    <w:p>
      <w:pPr>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、股指期货投资策略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pPr>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、资产支持证券投资策略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pPr>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、融资、转融通证券出借业务投资策略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pPr>
        <w:spacing w:line="360" w:lineRule="auto"/>
        <w:ind w:firstLine="480" w:firstLineChars="200"/>
        <w:rPr>
          <w:rFonts w:ascii="Times New Roman" w:hAnsi="Times New Roman"/>
          <w:bCs/>
        </w:rPr>
      </w:pPr>
      <w:r>
        <w:rPr>
          <w:rFonts w:hint="eastAsia" w:ascii="Times New Roman" w:hAnsi="Times New Roman"/>
          <w:bCs/>
          <w:sz w:val="24"/>
        </w:rPr>
        <w:t>未来，随着投资工具的发展和丰富，基金管理人可以在不改变投资目标的前提下，在履行适当程序后相应调整和更新相关投资策略，并在招募说明书中更新，而无需召开基金份额持有人大会。</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（四）投资限制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、组合限制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基金的投资组合应遵循以下限制：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投资于股票（含存托凭证）占基金资产的比例不低于80%，其中投资于港股通标的股票的比例占股票资产的0%-50%；投资于中证A500指数成份股（含存托凭证）及备选成份股（含存托凭证）的比例不低于非现金基金资产的80%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持有一家公司发行的证券（同一家公司在内地和香港同时上市的A+H股合计计算），其市值不超过基金资产净值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（14）本基金资产总值不超过基金资产净值的140%；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（15）本基金参与股指期货交易，则：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2）本基金在任何交易日日终，持有的买入股指期货合约价值与有价证券市值之和，不得超过基金资产净值的</w:t>
      </w:r>
      <w:r>
        <w:rPr>
          <w:rFonts w:ascii="Times New Roman" w:hAnsi="Times New Roman"/>
          <w:sz w:val="24"/>
        </w:rPr>
        <w:t>95</w:t>
      </w:r>
      <w:r>
        <w:rPr>
          <w:rFonts w:hint="eastAsia" w:ascii="Times New Roman" w:hAnsi="Times New Roman"/>
          <w:sz w:val="24"/>
        </w:rPr>
        <w:t>%。其中，有价证券指股票、债券（不含到期日在一年以内的政府债券）、资产支持证券、买入返售金融资产（不含质押式回购）等；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5）本基金在任何交易日内交易（不包括平仓）的股指期货合约的成交金额不得超过上一交易日基金资产净值的20%；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（16）本基金参与融资业务后，每个交易日日终，本基金持有的融资买入股票与其他有价证券市值之和，不得超过基金资产净值的95%；</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（17）本基金参与转融通证券出借业务，需遵守下列投资限制：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1）出借证券资产不得超过基金资产净值的30%，出借期限在10个交易日以上的出借证券应纳入《流动性风险管理规定》所述流动性受限证券的范围；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2）参与出借业务的单只证券不得超过本基金持有该证券总量的50%；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3）最近6个月内日均基金资产净值不得低于2亿元；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4）证券出借的平均剩余期限不得超过30天，平均剩余期限按照市值加权平均计算；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因证券市场波动、上市公司合并、基金规模变动等基金管理人之外的因素致使基金投资不符合上述规定的，基金管理人不得新增出借业务；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（18）本基金投资存托凭证的比例限制依照境内上市交易的股票执行；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（19）法律法规及中国证监会规定的和《基金合同》约定的其他投资限制。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除上述（2）、（9）、（12）、（13）、（17）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基金管理人应当自基金合同生效之日起</w:t>
      </w:r>
      <w:r>
        <w:rPr>
          <w:rFonts w:ascii="Times New Roman" w:hAnsi="Times New Roman"/>
          <w:sz w:val="24"/>
        </w:rPr>
        <w:t>6</w:t>
      </w:r>
      <w:r>
        <w:rPr>
          <w:rFonts w:hint="eastAsia" w:ascii="Times New Roman" w:hAnsi="Times New Roman"/>
          <w:sz w:val="24"/>
        </w:rPr>
        <w:t>个月内使基金的投资组合比例符合基金合同的有关约定。在上述期间内，本基金的投资范围、投资策略应当符合基金合同的约定。基金托管人对基金的投资的监督与检查自基金合同生效之日起开始。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法律法规或监管部门取消或变更上述限制，如适用于本基金，基金管理人在履行适当程序后，则本基金投资不再受相关限制或以变更后的规定为准。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、禁止行为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为维护基金份额持有人的合法权益，基金财产不得用于下列投资或者活动：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）承销证券；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）违反规定向他人贷款或者提供担保；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）从事承担无限责任的投资；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）买卖其他基金份额，但是中国证监会另有规定的除外；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）向其基金管理人、基金托管人出资；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）从事内幕交易、操纵证券交易价格及其他不正当的证券交易活动；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）法律、行政法规和中国证监会规定禁止的其他活动。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如法律、行政法规或监管部门取消</w:t>
      </w:r>
      <w:r>
        <w:rPr>
          <w:rFonts w:hint="eastAsia" w:ascii="Times New Roman" w:hAnsi="Times New Roman"/>
          <w:bCs/>
          <w:sz w:val="24"/>
        </w:rPr>
        <w:t>或变更</w:t>
      </w:r>
      <w:r>
        <w:rPr>
          <w:rFonts w:hint="eastAsia" w:ascii="Times New Roman" w:hAnsi="Times New Roman"/>
          <w:sz w:val="24"/>
        </w:rPr>
        <w:t>上述规定，如适用于本基金，基金管理人在履行适当程序后，本基金可不受上述规定的限制</w:t>
      </w:r>
      <w:r>
        <w:rPr>
          <w:rFonts w:hint="eastAsia" w:ascii="Times New Roman" w:hAnsi="Times New Roman"/>
          <w:bCs/>
          <w:sz w:val="24"/>
        </w:rPr>
        <w:t>或以变更后的规定为准</w:t>
      </w:r>
      <w:r>
        <w:rPr>
          <w:rFonts w:hint="eastAsia" w:ascii="Times New Roman" w:hAnsi="Times New Roman"/>
          <w:sz w:val="24"/>
        </w:rPr>
        <w:t>。</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（五）业绩比较基准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本基金业绩比较基准：中证</w:t>
      </w:r>
      <w:r>
        <w:rPr>
          <w:rFonts w:ascii="Times New Roman" w:hAnsi="Times New Roman"/>
          <w:sz w:val="24"/>
        </w:rPr>
        <w:t>A500</w:t>
      </w:r>
      <w:r>
        <w:rPr>
          <w:rFonts w:hint="eastAsia" w:ascii="Times New Roman" w:hAnsi="Times New Roman"/>
          <w:sz w:val="24"/>
        </w:rPr>
        <w:t>指数收益率</w:t>
      </w:r>
      <w:r>
        <w:rPr>
          <w:rFonts w:ascii="Times New Roman" w:hAnsi="Times New Roman"/>
          <w:sz w:val="24"/>
        </w:rPr>
        <w:t>×95%</w:t>
      </w:r>
      <w:r>
        <w:rPr>
          <w:rFonts w:hint="eastAsia" w:ascii="Times New Roman" w:hAnsi="Times New Roman"/>
          <w:sz w:val="24"/>
        </w:rPr>
        <w:t>＋人民币银行活期存款利率（税后）</w:t>
      </w:r>
      <w:r>
        <w:rPr>
          <w:rFonts w:ascii="Times New Roman" w:hAnsi="Times New Roman"/>
          <w:sz w:val="24"/>
        </w:rPr>
        <w:t>×5%</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rFonts w:ascii="Times New Roman" w:hAnsi="Times New Roman"/>
          <w:sz w:val="24"/>
        </w:rPr>
        <w:t>6</w:t>
      </w:r>
      <w:r>
        <w:rPr>
          <w:rFonts w:hint="eastAsia" w:ascii="Times New Roman" w:hAnsi="Times New Roman"/>
          <w:sz w:val="24"/>
        </w:rPr>
        <w:t>个月内召集基金份额持有人大会进行表决，基金份额持有人大会未成功召开或就上述事项表决未通过的，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自指数编制机构停止标的指数的编制及发布至解决方案确定期间，基金管理人应按照指数编制机构提供的最近一个交易日的指数信息遵循基金份额持有人利益优先原则维持基金投资运作。</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本基金运作过程中，当标的指数成份股发生明显负面事件面临退市风险，且指数编制机构暂未作出调整的，基金管理人应当按照持有人利益优先的原则，履行内部决策程序后及时对相关成份</w:t>
      </w:r>
      <w:r>
        <w:rPr>
          <w:rFonts w:hint="eastAsia" w:ascii="Times New Roman" w:hAnsi="Times New Roman"/>
          <w:bCs/>
          <w:sz w:val="24"/>
        </w:rPr>
        <w:t>股</w:t>
      </w:r>
      <w:r>
        <w:rPr>
          <w:rFonts w:hint="eastAsia" w:ascii="Times New Roman" w:hAnsi="Times New Roman"/>
          <w:sz w:val="24"/>
        </w:rPr>
        <w:t>进行调整。</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（六）风险收益特征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本基金是一只股票型基金，其预期风险和预期收益理论上高于混合型基金、债券型基金和货币市场基金。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本基金为股票指数增强型基金，主要投资于标的指数成份股及备选成份股，具有与标的指数相似的风险收益特征。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本基金可投资港股通标的股票，会面临港股通机制下因投资环境、投资标的、市场制度以及交易规则等差异带来的特有风险。</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（七）基金管理人代表基金行使股东或债权人权利的处理原则及方法</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、基金管理人按照国家有关规定代表基金独立行使股东或债权人权利，保护基金份额持有人的利益；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、不谋求对上市公司的控股；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、有利于基金财产的安全与增值；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、不通过关联交易为自身、雇员、授权代理人或任何存在利害关系的第三人牟取任何不当利益。</w:t>
      </w:r>
    </w:p>
    <w:p>
      <w:pPr>
        <w:spacing w:line="360" w:lineRule="auto"/>
        <w:ind w:firstLine="482" w:firstLineChars="200"/>
        <w:rPr>
          <w:rFonts w:ascii="Times New Roman" w:hAnsi="Times New Roman"/>
          <w:b/>
          <w:kern w:val="0"/>
          <w:sz w:val="24"/>
        </w:rPr>
      </w:pPr>
      <w:r>
        <w:rPr>
          <w:rFonts w:hint="eastAsia" w:ascii="Times New Roman" w:hAnsi="Times New Roman"/>
          <w:b/>
          <w:kern w:val="0"/>
          <w:sz w:val="24"/>
        </w:rPr>
        <w:t>（八）侧袋机制的实施和投资运作安排</w:t>
      </w:r>
    </w:p>
    <w:p>
      <w:pPr>
        <w:spacing w:line="360" w:lineRule="auto"/>
        <w:ind w:firstLine="480" w:firstLineChars="200"/>
        <w:rPr>
          <w:rFonts w:ascii="Times New Roman" w:hAnsi="Times New Roman"/>
          <w:bCs/>
          <w:sz w:val="24"/>
        </w:rPr>
      </w:pPr>
      <w:r>
        <w:rPr>
          <w:rFonts w:hint="eastAsia" w:ascii="Times New Roman" w:hAnsi="Times New Roman"/>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ascii="Times New Roman" w:hAnsi="Times New Roman"/>
          <w:bCs/>
          <w:sz w:val="24"/>
        </w:rPr>
      </w:pPr>
      <w:r>
        <w:rPr>
          <w:rFonts w:hint="eastAsia" w:ascii="Times New Roman" w:hAnsi="Times New Roman"/>
          <w:bCs/>
          <w:sz w:val="24"/>
        </w:rPr>
        <w:t>侧袋机制实施期间，本部分约定的投资组合比例、投资策略、组合限制、业绩比较基准、风险收益特征等约定仅适用于主袋账户。</w:t>
      </w:r>
    </w:p>
    <w:p>
      <w:pPr>
        <w:spacing w:line="360" w:lineRule="auto"/>
        <w:ind w:firstLine="480" w:firstLineChars="200"/>
        <w:rPr>
          <w:rFonts w:ascii="Times New Roman" w:hAnsi="Times New Roman"/>
          <w:bCs/>
          <w:sz w:val="24"/>
        </w:rPr>
      </w:pPr>
      <w:r>
        <w:rPr>
          <w:rFonts w:hint="eastAsia" w:ascii="Times New Roman" w:hAnsi="Times New Roman"/>
          <w:bCs/>
          <w:sz w:val="24"/>
        </w:rPr>
        <w:t>侧袋账户的实施条件、实施程序、运作安排、投资安排、特定资产的处置变现和支付等对投资者权益有重大影响的事项详见本招募说明书“侧袋机制”部分的规定。</w:t>
      </w:r>
    </w:p>
    <w:bookmarkEnd w:id="32"/>
    <w:p>
      <w:pPr>
        <w:widowControl/>
        <w:jc w:val="left"/>
        <w:rPr>
          <w:rFonts w:ascii="Times New Roman" w:hAnsi="Times New Roman"/>
          <w:bCs/>
          <w:sz w:val="24"/>
        </w:rPr>
      </w:pPr>
    </w:p>
    <w:p>
      <w:pPr>
        <w:widowControl/>
        <w:jc w:val="left"/>
        <w:rPr>
          <w:rFonts w:ascii="Times New Roman" w:hAnsi="Times New Roman"/>
          <w:b/>
          <w:bCs/>
          <w:kern w:val="44"/>
          <w:sz w:val="30"/>
          <w:szCs w:val="44"/>
        </w:rPr>
      </w:pPr>
      <w:bookmarkStart w:id="33" w:name="_Toc147840628"/>
      <w:r>
        <w:rPr>
          <w:rFonts w:ascii="Times New Roman" w:hAnsi="Times New Roman"/>
          <w:sz w:val="30"/>
        </w:rPr>
        <w:br w:type="page"/>
      </w:r>
    </w:p>
    <w:p>
      <w:pPr>
        <w:pStyle w:val="2"/>
        <w:snapToGrid w:val="0"/>
        <w:spacing w:before="240" w:beforeLines="0" w:after="240"/>
        <w:rPr>
          <w:rFonts w:ascii="Times New Roman" w:hAnsi="Times New Roman"/>
          <w:szCs w:val="30"/>
        </w:rPr>
      </w:pPr>
      <w:bookmarkStart w:id="34" w:name="_Toc12608"/>
      <w:bookmarkStart w:id="35" w:name="_Hlk215091011"/>
      <w:r>
        <w:rPr>
          <w:rFonts w:hint="eastAsia" w:ascii="Times New Roman" w:hAnsi="Times New Roman"/>
          <w:sz w:val="30"/>
        </w:rPr>
        <w:t>十、基金的财产</w:t>
      </w:r>
      <w:bookmarkEnd w:id="33"/>
      <w:bookmarkEnd w:id="34"/>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（一）基金资产总值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基金资产总值是指基金拥有的各类有价证券、股指期货合约、银行存款本息、基金应收款项及其他资产的价值总和。</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（二）基金资产净值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基金资产净值是指基金资产总值减去基金负债后的价值。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（三）基金财产的账户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（四）基金财产的保管和处分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36" w:name="_Toc147840629"/>
      <w:bookmarkStart w:id="37" w:name="_Toc17058"/>
      <w:r>
        <w:rPr>
          <w:rFonts w:hint="eastAsia" w:ascii="Times New Roman" w:hAnsi="Times New Roman"/>
          <w:sz w:val="30"/>
        </w:rPr>
        <w:t>十一、基金资产的估值</w:t>
      </w:r>
      <w:bookmarkEnd w:id="36"/>
      <w:bookmarkEnd w:id="37"/>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（一）估值日</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本基金的估值日为本基金相关的证券交易场所的交易日以及国家法律法规规定需要对外披露基金净值的非交易日。</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（二）估值对象</w:t>
      </w:r>
    </w:p>
    <w:p>
      <w:pPr>
        <w:spacing w:line="360" w:lineRule="auto"/>
        <w:ind w:firstLine="480" w:firstLineChars="200"/>
        <w:rPr>
          <w:rFonts w:ascii="Times New Roman" w:hAnsi="Times New Roman"/>
          <w:bCs/>
          <w:sz w:val="24"/>
        </w:rPr>
      </w:pPr>
      <w:r>
        <w:rPr>
          <w:rFonts w:hint="eastAsia" w:ascii="Times New Roman" w:hAnsi="Times New Roman"/>
          <w:bCs/>
          <w:sz w:val="24"/>
        </w:rPr>
        <w:t>基金所拥有的股票、债券、资产支持证券、衍生工具和其他投资等持续以公允价值计量的金融资产及负债。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（三）估值原则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基金管理人在确定相关金融资产和金融负债的公允价值时，应符合《企业会计准则》、监管部门有关规定。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、如经济环境发生重大变化或证券发行人发生影响证券价格的重大事件，使潜在估值调整对前一估值日的基金资产净值的影响在</w:t>
      </w:r>
      <w:r>
        <w:rPr>
          <w:rFonts w:ascii="Times New Roman" w:hAnsi="Times New Roman"/>
          <w:sz w:val="24"/>
        </w:rPr>
        <w:t>0.25%</w:t>
      </w:r>
      <w:r>
        <w:rPr>
          <w:rFonts w:hint="eastAsia" w:ascii="Times New Roman" w:hAnsi="Times New Roman"/>
          <w:sz w:val="24"/>
        </w:rPr>
        <w:t>以上的，应对估值进行调整并确定公允价值。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（四）估值方法</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、处于未上市期间的有价证券应区分如下情况处理：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）送股、转增股、配股和公开增发的新股，按估值日在证券交易所挂牌的同一股票的估值方法估值；该日无交易的，以最近一日的市价（收盘价）估值；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）首次公开发行未上市的股票</w:t>
      </w:r>
      <w:r>
        <w:rPr>
          <w:rFonts w:hint="eastAsia"/>
          <w:bCs/>
          <w:sz w:val="24"/>
        </w:rPr>
        <w:t>和债券</w:t>
      </w:r>
      <w:r>
        <w:rPr>
          <w:rFonts w:hint="eastAsia" w:ascii="Times New Roman" w:hAnsi="Times New Roman"/>
          <w:sz w:val="24"/>
        </w:rPr>
        <w:t>，采用估值技术确定公允价值；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、对于已上市或已挂牌转让的不含权固定收益品种（另有规定的除外），选取第三方估值基准服务机构提供的相应品种当日的估值全价进行估值。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、对于已上市或已挂牌转让的含权固定收益品种（另有规定的除外），选取第三方估值基准服务机构提供的相应品种当日的唯一估值全价或推荐估值全价进行估值。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、对于未上市或未挂牌转让且不存在活跃市场的固定收益品种，采用在当前情况下适用并且有足够可利用数据和其他信息支持的估值技术确定其公允价值。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7</w:t>
      </w:r>
      <w:r>
        <w:rPr>
          <w:rFonts w:hint="eastAsia" w:ascii="Times New Roman" w:hAnsi="Times New Roman"/>
          <w:sz w:val="24"/>
        </w:rPr>
        <w:t>、本基金投资股指期货合约，一般以估值当日结算价进行估值，估值当日无结算价的，且最近交易日后经济环境未发生重大变化的，采用最近交易日结算价估值。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、同一证券同时在两个或两个以上市场交易的，按证券所处的市场分别估值。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、估值计算中涉及港币对人民币汇率的，将依据下列信息提供机构所提供的汇率为基准：当日中国人民银行或其授权机构公布的人民币与港币的中间价。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10、对于因税收规定调整或其他原因导致本基金实际交纳税金与估算的应交税金有差异的，本基金将在相关税金调整日或实际支付日进行相应的会计处理。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、本基金投资存托凭证的估值核算依照境内上市交易的股票执行。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12</w:t>
      </w:r>
      <w:r>
        <w:rPr>
          <w:rFonts w:hint="eastAsia" w:ascii="Times New Roman" w:hAnsi="Times New Roman"/>
          <w:sz w:val="24"/>
        </w:rPr>
        <w:t>、基金参与融资和转融通证券出借业务的，应参照相关法律法规和中国证券投资基金业协会发布的相关规定进行估值。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、当发生大额申购或赎回情形时，基金管理人可以采用摆动定价机制，以确保基金估值的公平性。</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15</w:t>
      </w:r>
      <w:r>
        <w:rPr>
          <w:rFonts w:hint="eastAsia" w:ascii="Times New Roman" w:hAnsi="Times New Roman"/>
          <w:sz w:val="24"/>
        </w:rPr>
        <w:t>、相关法律法规以及监管部门有强制规定的，从其规定。如有新增事项，按国家最新规定估值。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（五）估值程序</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、各类基金份额的基金份额净值是按照每个工作日闭市后，该类基金份额的基金资产净值除以当日该类基金份额的余额数量计算，精确到</w:t>
      </w:r>
      <w:r>
        <w:rPr>
          <w:rFonts w:ascii="Times New Roman" w:hAnsi="Times New Roman"/>
          <w:sz w:val="24"/>
        </w:rPr>
        <w:t>0.0001</w:t>
      </w:r>
      <w:r>
        <w:rPr>
          <w:rFonts w:hint="eastAsia" w:ascii="Times New Roman" w:hAnsi="Times New Roman"/>
          <w:sz w:val="24"/>
        </w:rPr>
        <w:t>元，小数点后第</w:t>
      </w:r>
      <w:r>
        <w:rPr>
          <w:rFonts w:ascii="Times New Roman" w:hAnsi="Times New Roman"/>
          <w:sz w:val="24"/>
        </w:rPr>
        <w:t>5</w:t>
      </w:r>
      <w:r>
        <w:rPr>
          <w:rFonts w:hint="eastAsia" w:ascii="Times New Roman" w:hAnsi="Times New Roman"/>
          <w:sz w:val="24"/>
        </w:rPr>
        <w:t>位四舍五入，由此产生的误差计入基金财产。基金管理人可以设立大额赎回情形下的净值精度应急调整机制，具体可参见相关公告。国家另有规定的，从其规定。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基金管理人于每个工作日计算各类基金份额的基金资产净值及基金份额净值，经基金托管人复核，并按规定公告。如遇特殊情况，经</w:t>
      </w:r>
      <w:r>
        <w:rPr>
          <w:rFonts w:hint="eastAsia" w:ascii="Times New Roman" w:hAnsi="Times New Roman"/>
          <w:bCs/>
          <w:sz w:val="24"/>
        </w:rPr>
        <w:t>履行适当程序</w:t>
      </w:r>
      <w:r>
        <w:rPr>
          <w:rFonts w:hint="eastAsia" w:ascii="Times New Roman" w:hAnsi="Times New Roman"/>
          <w:sz w:val="24"/>
        </w:rPr>
        <w:t>，可以适当延迟计算或公告。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、基金管理人应每个工作日对基金资产估值，但基金管理人根据法律法规或基金合同的规定暂停估值时除外。基金管理人每个工作日对基金资产估值后，将</w:t>
      </w:r>
      <w:r>
        <w:rPr>
          <w:rFonts w:hint="eastAsia" w:ascii="Times New Roman" w:hAnsi="Times New Roman"/>
          <w:bCs/>
          <w:sz w:val="24"/>
        </w:rPr>
        <w:t>基金资产净值、</w:t>
      </w:r>
      <w:r>
        <w:rPr>
          <w:rFonts w:hint="eastAsia" w:ascii="Times New Roman" w:hAnsi="Times New Roman"/>
          <w:sz w:val="24"/>
        </w:rPr>
        <w:t>各类基金份额净值结果发送基金托管人，经基金托管人复核无误后，由基金管理人依据基金合同和相关法律法规的规定对外公布。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（六）估值错误的处理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基金管理人和基金托管人将采取必要、适当、合理的措施确保基金资产估值的准确性、及时性。当基金份额净值小数点后</w:t>
      </w:r>
      <w:r>
        <w:rPr>
          <w:rFonts w:ascii="Times New Roman" w:hAnsi="Times New Roman"/>
          <w:sz w:val="24"/>
        </w:rPr>
        <w:t>4</w:t>
      </w:r>
      <w:r>
        <w:rPr>
          <w:rFonts w:hint="eastAsia" w:ascii="Times New Roman" w:hAnsi="Times New Roman"/>
          <w:sz w:val="24"/>
        </w:rPr>
        <w:t>位以内（含第</w:t>
      </w:r>
      <w:r>
        <w:rPr>
          <w:rFonts w:ascii="Times New Roman" w:hAnsi="Times New Roman"/>
          <w:sz w:val="24"/>
        </w:rPr>
        <w:t>4</w:t>
      </w:r>
      <w:r>
        <w:rPr>
          <w:rFonts w:hint="eastAsia" w:ascii="Times New Roman" w:hAnsi="Times New Roman"/>
          <w:sz w:val="24"/>
        </w:rPr>
        <w:t>位）发生估值错误时，视为基金份额净值错误。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基金合同的当事人应按照以下约定处理：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、估值错误类型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imes New Roman" w:hAnsi="Times New Roman"/>
          <w:sz w:val="24"/>
        </w:rPr>
        <w:t>“</w:t>
      </w:r>
      <w:r>
        <w:rPr>
          <w:rFonts w:hint="eastAsia" w:ascii="Times New Roman" w:hAnsi="Times New Roman"/>
          <w:sz w:val="24"/>
        </w:rPr>
        <w:t>受损方</w:t>
      </w:r>
      <w:r>
        <w:rPr>
          <w:rFonts w:ascii="Times New Roman" w:hAnsi="Times New Roman"/>
          <w:sz w:val="24"/>
        </w:rPr>
        <w:t>”</w:t>
      </w:r>
      <w:r>
        <w:rPr>
          <w:rFonts w:hint="eastAsia" w:ascii="Times New Roman" w:hAnsi="Times New Roman"/>
          <w:sz w:val="24"/>
        </w:rPr>
        <w:t>）的直接损失按下述</w:t>
      </w:r>
      <w:r>
        <w:rPr>
          <w:rFonts w:ascii="Times New Roman" w:hAnsi="Times New Roman"/>
          <w:sz w:val="24"/>
        </w:rPr>
        <w:t>“</w:t>
      </w:r>
      <w:r>
        <w:rPr>
          <w:rFonts w:hint="eastAsia" w:ascii="Times New Roman" w:hAnsi="Times New Roman"/>
          <w:sz w:val="24"/>
        </w:rPr>
        <w:t>估值错误处理原则</w:t>
      </w:r>
      <w:r>
        <w:rPr>
          <w:rFonts w:ascii="Times New Roman" w:hAnsi="Times New Roman"/>
          <w:sz w:val="24"/>
        </w:rPr>
        <w:t>”</w:t>
      </w:r>
      <w:r>
        <w:rPr>
          <w:rFonts w:hint="eastAsia" w:ascii="Times New Roman" w:hAnsi="Times New Roman"/>
          <w:sz w:val="24"/>
        </w:rPr>
        <w:t>给予赔偿，承担赔偿责任。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上述估值错误的主要类型包括但不限于：资料申报差错、数据传输差错、数据计算差错、系统故障差错、下达指令差错等。</w:t>
      </w:r>
    </w:p>
    <w:p>
      <w:pPr>
        <w:spacing w:line="360" w:lineRule="auto"/>
        <w:ind w:firstLine="480" w:firstLineChars="200"/>
        <w:rPr>
          <w:rFonts w:ascii="Times New Roman" w:hAnsi="Times New Roman"/>
          <w:bCs/>
          <w:sz w:val="24"/>
        </w:rPr>
      </w:pPr>
      <w:r>
        <w:rPr>
          <w:rFonts w:hint="eastAsia" w:ascii="Times New Roman" w:hAnsi="Times New Roman"/>
          <w:bCs/>
          <w:sz w:val="24"/>
        </w:rPr>
        <w:t>对于因技术原因引起的差错，若系同行业现有技术水平无法预见、无法避免、无法抗拒，则属不可抗力，按照下述规定执行。</w:t>
      </w:r>
    </w:p>
    <w:p>
      <w:pPr>
        <w:spacing w:line="360" w:lineRule="auto"/>
        <w:ind w:firstLine="480" w:firstLineChars="200"/>
        <w:rPr>
          <w:rFonts w:ascii="Times New Roman" w:hAnsi="Times New Roman"/>
          <w:bCs/>
          <w:sz w:val="24"/>
        </w:rPr>
      </w:pPr>
      <w:r>
        <w:rPr>
          <w:rFonts w:hint="eastAsia" w:ascii="Times New Roman" w:hAnsi="Times New Roman"/>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、估值错误处理原则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）估值错误的责任方对有关当事人的直接损失负责，不对间接损失负责，并且仅对估值错误的有关直接当事人负责，不对第三方负责。</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imes New Roman" w:hAnsi="Times New Roman"/>
          <w:sz w:val="24"/>
        </w:rPr>
        <w:t>“</w:t>
      </w:r>
      <w:r>
        <w:rPr>
          <w:rFonts w:hint="eastAsia" w:ascii="Times New Roman" w:hAnsi="Times New Roman"/>
          <w:sz w:val="24"/>
        </w:rPr>
        <w:t>受损方</w:t>
      </w:r>
      <w:r>
        <w:rPr>
          <w:rFonts w:ascii="Times New Roman" w:hAnsi="Times New Roman"/>
          <w:sz w:val="24"/>
        </w:rPr>
        <w:t>”</w:t>
      </w:r>
      <w:r>
        <w:rPr>
          <w:rFonts w:hint="eastAsia" w:ascii="Times New Roman" w:hAnsi="Times New Roman"/>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）估值错误调整采用尽量恢复至假设未发生估值错误的正确情形的方式。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）按法律法规规定的其他原则处理估值错误。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、估值错误处理程序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估值错误被发现后，有关的当事人应当及时进行处理，处理的程序如下：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）查明估值错误发生的原因，列明所有的当事人，并根据估值错误发生的原因确定估值错误的责任方；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）根据估值错误处理原则或当事人协商的方法对因估值错误造成的损失进行评估；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）根据估值错误处理原则或当事人协商的方法由估值错误的责任方进行更正和赔偿损失；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）根据估值错误处理的方法，需要修改基金登记机构交易数据的，由基金登记机构进行更正，并就估值错误的更正向有关当事人进行确认。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、基金份额净值估值错误处理的方法如下：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）基金份额净值计算出现错误时，基金管理人应当立即予以纠正，通报基金托管人，并采取合理的措施防止损失进一步扩大。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）错误偏差达到该类基金份额净值的</w:t>
      </w:r>
      <w:r>
        <w:rPr>
          <w:rFonts w:ascii="Times New Roman" w:hAnsi="Times New Roman"/>
          <w:sz w:val="24"/>
        </w:rPr>
        <w:t>0.25%</w:t>
      </w:r>
      <w:r>
        <w:rPr>
          <w:rFonts w:hint="eastAsia" w:ascii="Times New Roman" w:hAnsi="Times New Roman"/>
          <w:sz w:val="24"/>
        </w:rPr>
        <w:t>时，基金管理人应当通报基金托管人并报中国证监会备案；错误偏差达到该类基金份额净值的</w:t>
      </w:r>
      <w:r>
        <w:rPr>
          <w:rFonts w:ascii="Times New Roman" w:hAnsi="Times New Roman"/>
          <w:sz w:val="24"/>
        </w:rPr>
        <w:t>0.5%</w:t>
      </w:r>
      <w:r>
        <w:rPr>
          <w:rFonts w:hint="eastAsia" w:ascii="Times New Roman" w:hAnsi="Times New Roman"/>
          <w:sz w:val="24"/>
        </w:rPr>
        <w:t>时，基金管理人应当公告，并报中国证监会备案。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）前述内容如法律法规或者监管部门另有规定的，从其规定。如果行业另有通行做法，双方当事人应本着平等和保护基金份额持有人利益的原则进行协商。</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（七）暂停估值的情形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、基金投资所涉及的证券</w:t>
      </w:r>
      <w:r>
        <w:rPr>
          <w:rFonts w:ascii="Times New Roman" w:hAnsi="Times New Roman"/>
          <w:sz w:val="24"/>
        </w:rPr>
        <w:t>/</w:t>
      </w:r>
      <w:r>
        <w:rPr>
          <w:rFonts w:hint="eastAsia" w:ascii="Times New Roman" w:hAnsi="Times New Roman"/>
          <w:sz w:val="24"/>
        </w:rPr>
        <w:t>期货交易市场</w:t>
      </w:r>
      <w:r>
        <w:rPr>
          <w:rFonts w:hint="eastAsia"/>
          <w:bCs/>
          <w:sz w:val="24"/>
        </w:rPr>
        <w:t>或外汇市场</w:t>
      </w:r>
      <w:r>
        <w:rPr>
          <w:rFonts w:hint="eastAsia" w:ascii="Times New Roman" w:hAnsi="Times New Roman"/>
          <w:sz w:val="24"/>
        </w:rPr>
        <w:t>遇法定节假日或因其他原因暂停营业时；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、当特定资产占前一估值日基金资产净值</w:t>
      </w:r>
      <w:r>
        <w:rPr>
          <w:rFonts w:ascii="Times New Roman" w:hAnsi="Times New Roman"/>
          <w:sz w:val="24"/>
        </w:rPr>
        <w:t>50%</w:t>
      </w:r>
      <w:r>
        <w:rPr>
          <w:rFonts w:hint="eastAsia" w:ascii="Times New Roman" w:hAnsi="Times New Roman"/>
          <w:sz w:val="24"/>
        </w:rPr>
        <w:t>以上的，经与基金托管人协商确认后，基金管理人应当暂停估值；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、法律法规、中国证监会和基金合同认定的其它情形。</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（八）基金净值的确认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各类基金份额的基金资产净值和基金份额净值由基金管理人负责计算，基金托管人负责进行复核。基金管理人应于每个开放日交易结束后计算当日各类基金份额的基金资产净值和基金份额净值并发送给基金托管人。基金托管人对净值计算结果复核确认后发送给基金管理人，由基金管理人依据基金合同和相关法律法规的规定对基金净值予以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（九）特殊情形的处理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、基金管理人或基金托管人按估值方法的第</w:t>
      </w:r>
      <w:r>
        <w:rPr>
          <w:rFonts w:ascii="Times New Roman" w:hAnsi="Times New Roman"/>
          <w:sz w:val="24"/>
        </w:rPr>
        <w:t>13</w:t>
      </w:r>
      <w:r>
        <w:rPr>
          <w:rFonts w:hint="eastAsia" w:ascii="Times New Roman" w:hAnsi="Times New Roman"/>
          <w:sz w:val="24"/>
        </w:rPr>
        <w:t>项进行估值时，所造成的误差不作为基金资产估值错误处理。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、由于不可抗力原因，或由于证券</w:t>
      </w:r>
      <w:r>
        <w:rPr>
          <w:rFonts w:ascii="Times New Roman" w:hAnsi="Times New Roman"/>
          <w:sz w:val="24"/>
        </w:rPr>
        <w:t>/</w:t>
      </w:r>
      <w:r>
        <w:rPr>
          <w:rFonts w:hint="eastAsia" w:ascii="Times New Roman" w:hAnsi="Times New Roman"/>
          <w:sz w:val="24"/>
        </w:rPr>
        <w:t>期货交易所、证券</w:t>
      </w:r>
      <w:r>
        <w:rPr>
          <w:rFonts w:ascii="Times New Roman" w:hAnsi="Times New Roman"/>
          <w:sz w:val="24"/>
        </w:rPr>
        <w:t>/</w:t>
      </w:r>
      <w:r>
        <w:rPr>
          <w:rFonts w:hint="eastAsia" w:ascii="Times New Roman" w:hAnsi="Times New Roman"/>
          <w:sz w:val="24"/>
        </w:rPr>
        <w:t>期货经纪机构、登记结算公司、指数编制机构及存款银行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（十）实施侧袋机制期间的基金资产估值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本基金实施侧袋机制的，应根据本部分的约定对主袋账户资产进行估值并披露主袋账户的基金净值信息，暂停披露侧袋账户份额净值。</w:t>
      </w:r>
    </w:p>
    <w:bookmarkEnd w:id="35"/>
    <w:p>
      <w:pPr>
        <w:autoSpaceDE w:val="0"/>
        <w:autoSpaceDN w:val="0"/>
        <w:adjustRightInd w:val="0"/>
        <w:spacing w:line="360" w:lineRule="auto"/>
        <w:rPr>
          <w:rFonts w:ascii="Times New Roman" w:hAnsi="Times New Roman"/>
          <w:szCs w:val="24"/>
        </w:rPr>
      </w:pPr>
    </w:p>
    <w:p>
      <w:pPr>
        <w:widowControl/>
        <w:jc w:val="left"/>
        <w:rPr>
          <w:rFonts w:ascii="Times New Roman" w:hAnsi="Times New Roman"/>
          <w:b/>
          <w:bCs/>
          <w:kern w:val="44"/>
          <w:sz w:val="30"/>
          <w:szCs w:val="44"/>
        </w:rPr>
      </w:pPr>
      <w:bookmarkStart w:id="38" w:name="_Toc147840630"/>
      <w:r>
        <w:rPr>
          <w:rFonts w:ascii="Times New Roman" w:hAnsi="Times New Roman"/>
          <w:sz w:val="30"/>
        </w:rPr>
        <w:br w:type="page"/>
      </w:r>
    </w:p>
    <w:p>
      <w:pPr>
        <w:pStyle w:val="2"/>
        <w:snapToGrid w:val="0"/>
        <w:spacing w:before="240" w:beforeLines="0" w:after="240"/>
        <w:rPr>
          <w:rFonts w:ascii="Times New Roman" w:hAnsi="Times New Roman"/>
          <w:szCs w:val="30"/>
        </w:rPr>
      </w:pPr>
      <w:bookmarkStart w:id="39" w:name="_Toc714"/>
      <w:bookmarkStart w:id="40" w:name="_Hlk215091038"/>
      <w:r>
        <w:rPr>
          <w:rFonts w:hint="eastAsia" w:ascii="Times New Roman" w:hAnsi="Times New Roman"/>
          <w:sz w:val="30"/>
        </w:rPr>
        <w:t>十二、基金收益与分配</w:t>
      </w:r>
      <w:bookmarkEnd w:id="38"/>
      <w:bookmarkEnd w:id="39"/>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（一）基金利润的构成</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基金利润指基金利息收入、投资收益、公允价值变动收益和其他收入扣除相关费用后的余额，基金已实现收益指基金利润减去公允价值变动收益后的余额。</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（二）基金可供分配利润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基金可供分配利润指截至收益分配基准日基金未分配利润与未分配利润中已实现收益的孰低数。</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（三）基金收益分配原则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、由于本基金</w:t>
      </w:r>
      <w:r>
        <w:rPr>
          <w:rFonts w:ascii="Times New Roman" w:hAnsi="Times New Roman"/>
          <w:sz w:val="24"/>
        </w:rPr>
        <w:t>A</w:t>
      </w:r>
      <w:r>
        <w:rPr>
          <w:rFonts w:hint="eastAsia" w:ascii="Times New Roman" w:hAnsi="Times New Roman"/>
          <w:sz w:val="24"/>
        </w:rPr>
        <w:t>类基金份额不收取销售服务费，</w:t>
      </w:r>
      <w:r>
        <w:rPr>
          <w:rFonts w:ascii="Times New Roman" w:hAnsi="Times New Roman"/>
          <w:sz w:val="24"/>
        </w:rPr>
        <w:t>C</w:t>
      </w:r>
      <w:r>
        <w:rPr>
          <w:rFonts w:hint="eastAsia" w:ascii="Times New Roman" w:hAnsi="Times New Roman"/>
          <w:sz w:val="24"/>
        </w:rPr>
        <w:t>类基金份额收取销售服务费，各基金份额类别对应的可供分配利润将有所不同；</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、基金管理人可每季度对基金相对业绩比较基准的超额收益率以及基金的可供分配利润进行评价，在符合收益分配相关规定的前提下，基金管理人可进行收益分配；</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、在符合有关基金分红条件的前提下，本基金可每季度进行收益分配，基金管理人也可根据实际情况在其他日期对本基金进行收益分配，具体分配方案以公告为准；若《基金合同》生效不满</w:t>
      </w:r>
      <w:r>
        <w:rPr>
          <w:rFonts w:ascii="Times New Roman" w:hAnsi="Times New Roman"/>
          <w:sz w:val="24"/>
        </w:rPr>
        <w:t>3</w:t>
      </w:r>
      <w:r>
        <w:rPr>
          <w:rFonts w:hint="eastAsia" w:ascii="Times New Roman" w:hAnsi="Times New Roman"/>
          <w:sz w:val="24"/>
        </w:rPr>
        <w:t>个月可不进行收益分配；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其持有的</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类基金份额分别选择不同的收益分配方式；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、本基金同一基金份额类别的每一基金份额享有同等分配权；</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、法律法规或监管机关另有规定的，从其规定。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bCs/>
          <w:sz w:val="24"/>
        </w:rPr>
        <w:t>基金管理人可在不违反法律法规且对基金份额持有人利益无实质性不利影响的前提下，在履行适当程序后对上述原则进行修改或调整。</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（四）基金相对业绩比较基准的超额收益率计算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在评价日，基金管理人计算基金累计报酬率、业绩比较基准同期累计报酬率。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基金评价日本基金相对业绩比较基准的超额收益率＝基金累计报酬率－业绩比较基准同期累计报酬率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基金累计报酬率＝（评价日基金份额净值</w:t>
      </w:r>
      <w:r>
        <w:rPr>
          <w:rFonts w:ascii="Times New Roman" w:hAnsi="Times New Roman"/>
          <w:sz w:val="24"/>
        </w:rPr>
        <w:t>/</w:t>
      </w:r>
      <w:r>
        <w:rPr>
          <w:rFonts w:hint="eastAsia" w:ascii="Times New Roman" w:hAnsi="Times New Roman"/>
          <w:sz w:val="24"/>
        </w:rPr>
        <w:t>基金合同生效日所对应的</w:t>
      </w:r>
      <w:r>
        <w:rPr>
          <w:rFonts w:ascii="Times New Roman" w:hAnsi="Times New Roman"/>
          <w:sz w:val="24"/>
        </w:rPr>
        <w:t>3</w:t>
      </w:r>
      <w:r>
        <w:rPr>
          <w:rFonts w:hint="eastAsia" w:ascii="Times New Roman" w:hAnsi="Times New Roman"/>
          <w:sz w:val="24"/>
        </w:rPr>
        <w:t>个月月度对日的前一工作日基金份额净值－</w:t>
      </w:r>
      <w:r>
        <w:rPr>
          <w:rFonts w:ascii="Times New Roman" w:hAnsi="Times New Roman"/>
          <w:sz w:val="24"/>
        </w:rPr>
        <w:t>1</w:t>
      </w:r>
      <w:r>
        <w:rPr>
          <w:rFonts w:hint="eastAsia" w:ascii="Times New Roman" w:hAnsi="Times New Roman"/>
          <w:sz w:val="24"/>
        </w:rPr>
        <w:t>）×</w:t>
      </w:r>
      <w:r>
        <w:rPr>
          <w:rFonts w:ascii="Times New Roman" w:hAnsi="Times New Roman"/>
          <w:sz w:val="24"/>
        </w:rPr>
        <w:t>100%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业绩比较基准同期累计报酬率＝（评价日业绩比较基准数值</w:t>
      </w:r>
      <w:r>
        <w:rPr>
          <w:rFonts w:ascii="Times New Roman" w:hAnsi="Times New Roman"/>
          <w:sz w:val="24"/>
        </w:rPr>
        <w:t>/</w:t>
      </w:r>
      <w:r>
        <w:rPr>
          <w:rFonts w:hint="eastAsia" w:ascii="Times New Roman" w:hAnsi="Times New Roman"/>
          <w:sz w:val="24"/>
        </w:rPr>
        <w:t>基金合同生效日所对应的</w:t>
      </w:r>
      <w:r>
        <w:rPr>
          <w:rFonts w:ascii="Times New Roman" w:hAnsi="Times New Roman"/>
          <w:sz w:val="24"/>
        </w:rPr>
        <w:t>3</w:t>
      </w:r>
      <w:r>
        <w:rPr>
          <w:rFonts w:hint="eastAsia" w:ascii="Times New Roman" w:hAnsi="Times New Roman"/>
          <w:sz w:val="24"/>
        </w:rPr>
        <w:t>个月月度对日的前一工作日业绩比较基准数值－</w:t>
      </w:r>
      <w:r>
        <w:rPr>
          <w:rFonts w:ascii="Times New Roman" w:hAnsi="Times New Roman"/>
          <w:sz w:val="24"/>
        </w:rPr>
        <w:t>1</w:t>
      </w:r>
      <w:r>
        <w:rPr>
          <w:rFonts w:hint="eastAsia" w:ascii="Times New Roman" w:hAnsi="Times New Roman"/>
          <w:sz w:val="24"/>
        </w:rPr>
        <w:t>）×</w:t>
      </w:r>
      <w:r>
        <w:rPr>
          <w:rFonts w:ascii="Times New Roman" w:hAnsi="Times New Roman"/>
          <w:sz w:val="24"/>
        </w:rPr>
        <w:t>100%</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个月月度对日指某一特定日期在之后第</w:t>
      </w:r>
      <w:r>
        <w:rPr>
          <w:rFonts w:ascii="Times New Roman" w:hAnsi="Times New Roman"/>
          <w:sz w:val="24"/>
        </w:rPr>
        <w:t>3</w:t>
      </w:r>
      <w:r>
        <w:rPr>
          <w:rFonts w:hint="eastAsia" w:ascii="Times New Roman" w:hAnsi="Times New Roman"/>
          <w:sz w:val="24"/>
        </w:rPr>
        <w:t>个月月度中的对应日期，若该日历月度中不存在对应日期，则取该月度最后一日。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如基金份额发生折算，则采用剔除折算因素的基金份额净值，详见届时基金管理人发布的相关公告。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（五）收益分配方案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基金收益分配方案中应载明截止收益分配基准日的可供分配利润、基金收益分配对象、分配时间、分配数额及比例、分配方式等内容。</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（六）收益分配方案的确定、公告与实施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本基金收益分配方案由基金管理人拟定，并由基金托管人复核，依照《信息披露办法》的规定在规定媒介公告。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法律法规或监管机关另有规定的，从其规定。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（七）基金收益分配中发生的费用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（八）收益分配方式的修改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投资人可至销售机构办理收益分配方式的修改，投资人对本基金不同的基金交易账户可设置不同的收益分配方式。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投资人同一日多次申报收益分配方式变更的，按照《业务规则》执行，最终确认的收益分配方式以登记机构记录为准。</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（九）实施侧袋机制期间的收益分配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本基金实施侧袋机制的，侧袋账户不进行收益分配。</w:t>
      </w:r>
    </w:p>
    <w:bookmarkEnd w:id="40"/>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41" w:name="_Toc21590"/>
      <w:bookmarkStart w:id="42" w:name="_Toc147840631"/>
      <w:bookmarkStart w:id="43" w:name="_Hlk215091024"/>
      <w:r>
        <w:rPr>
          <w:rFonts w:hint="eastAsia" w:ascii="Times New Roman" w:hAnsi="Times New Roman"/>
          <w:sz w:val="30"/>
        </w:rPr>
        <w:t>十三、基金的费用与税收</w:t>
      </w:r>
      <w:bookmarkEnd w:id="41"/>
      <w:bookmarkEnd w:id="42"/>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（一）基金费用的种类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、基金管理人的管理费；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、基金托管人的托管费；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、《基金合同》生效后与基金相关的信息披露费用；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、《基金合同》生效后与基金相关的会计师费、律师费、仲裁费和诉讼费；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、基金份额持有人大会费用；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、基金的证券</w:t>
      </w:r>
      <w:r>
        <w:rPr>
          <w:rFonts w:ascii="Times New Roman" w:hAnsi="Times New Roman"/>
          <w:sz w:val="24"/>
        </w:rPr>
        <w:t>/</w:t>
      </w:r>
      <w:r>
        <w:rPr>
          <w:rFonts w:hint="eastAsia" w:ascii="Times New Roman" w:hAnsi="Times New Roman"/>
          <w:sz w:val="24"/>
        </w:rPr>
        <w:t>期货交易费用；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、基金的银行汇划费用；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、基金的开户费用、账户维护费用；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、因投资港股通标的股票而产生的各项合理费用；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10、本基金从</w:t>
      </w:r>
      <w:r>
        <w:rPr>
          <w:rFonts w:ascii="Times New Roman" w:hAnsi="Times New Roman"/>
          <w:sz w:val="24"/>
        </w:rPr>
        <w:t>C</w:t>
      </w:r>
      <w:r>
        <w:rPr>
          <w:rFonts w:hint="eastAsia" w:ascii="Times New Roman" w:hAnsi="Times New Roman"/>
          <w:sz w:val="24"/>
        </w:rPr>
        <w:t>类基金份额的基金财产中计提的销售服务费；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、按照国家有关规定和《基金合同》约定，可以在基金财产中列支的其他费用。</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（二）基金费用计提方法、计提标准和支付方式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、与基金运作有关的费用</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（1）基金管理人的管理费</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本基金的管理费按前一日基金资产净值的0.8%年费率计提。管理费的计算方法如下：</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H＝E×0.8%÷当年天数</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H为每日应计提的基金管理费</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E为前一日的基金资产净值</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基金管理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（2）基金托管人的托管费</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本基金的托管费按前一日基金资产净值的0.15%的年费率计提。托管费的计算方法如下：</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H＝E×0.15%÷当年天数</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H为每日应计提的基金托管费</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E为前一日的基金资产净值</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基金托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w:t>
      </w:r>
      <w:r>
        <w:rPr>
          <w:rFonts w:ascii="Times New Roman" w:hAnsi="Times New Roman"/>
          <w:sz w:val="24"/>
        </w:rPr>
        <w:t>C</w:t>
      </w:r>
      <w:r>
        <w:rPr>
          <w:rFonts w:hint="eastAsia" w:ascii="Times New Roman" w:hAnsi="Times New Roman"/>
          <w:sz w:val="24"/>
        </w:rPr>
        <w:t>类基金份额的销售服务费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本基金A类基金份额不收取销售服务费，C类基金份额的销售服务费按前一日C类基金份额的基金资产净值的0.</w:t>
      </w:r>
      <w:r>
        <w:rPr>
          <w:rFonts w:hint="eastAsia" w:ascii="Times New Roman" w:hAnsi="Times New Roman"/>
          <w:sz w:val="24"/>
          <w:lang w:val="en-US" w:eastAsia="zh-CN"/>
        </w:rPr>
        <w:t>2</w:t>
      </w:r>
      <w:r>
        <w:rPr>
          <w:rFonts w:hint="eastAsia" w:ascii="Times New Roman" w:hAnsi="Times New Roman"/>
          <w:sz w:val="24"/>
        </w:rPr>
        <w:t>%年费率计提。销售服务费的计算方法如下：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H＝E×0.</w:t>
      </w:r>
      <w:r>
        <w:rPr>
          <w:rFonts w:hint="eastAsia" w:ascii="Times New Roman" w:hAnsi="Times New Roman"/>
          <w:sz w:val="24"/>
          <w:lang w:val="en-US" w:eastAsia="zh-CN"/>
        </w:rPr>
        <w:t>2</w:t>
      </w:r>
      <w:r>
        <w:rPr>
          <w:rFonts w:hint="eastAsia" w:ascii="Times New Roman" w:hAnsi="Times New Roman"/>
          <w:sz w:val="24"/>
        </w:rPr>
        <w:t>%÷当年天数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H为C类基金份额每日应计提的销售服务费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E为C类基金份额前一日基金资产净值</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C类基金份额的销售服务费具体收取/返还方式：</w:t>
      </w:r>
    </w:p>
    <w:p>
      <w:pPr>
        <w:autoSpaceDE w:val="0"/>
        <w:autoSpaceDN w:val="0"/>
        <w:adjustRightInd w:val="0"/>
        <w:snapToGrid w:val="0"/>
        <w:spacing w:line="360" w:lineRule="auto"/>
        <w:ind w:firstLine="480" w:firstLineChars="200"/>
        <w:jc w:val="left"/>
        <w:rPr>
          <w:rFonts w:hint="eastAsia" w:ascii="Times New Roman" w:hAnsi="Times New Roman"/>
          <w:sz w:val="24"/>
          <w:lang w:val="en-US" w:eastAsia="zh-CN"/>
        </w:rPr>
      </w:pPr>
      <w:r>
        <w:rPr>
          <w:rFonts w:hint="eastAsia" w:ascii="Times New Roman" w:hAnsi="Times New Roman"/>
          <w:sz w:val="24"/>
          <w:lang w:val="en-US" w:eastAsia="zh-CN"/>
        </w:rPr>
        <w:t>1）通过直销机构认购/申购的C类基金份额</w:t>
      </w:r>
    </w:p>
    <w:p>
      <w:pPr>
        <w:autoSpaceDE w:val="0"/>
        <w:autoSpaceDN w:val="0"/>
        <w:adjustRightInd w:val="0"/>
        <w:snapToGrid w:val="0"/>
        <w:spacing w:line="360" w:lineRule="auto"/>
        <w:ind w:firstLine="480" w:firstLineChars="200"/>
        <w:jc w:val="left"/>
        <w:rPr>
          <w:rFonts w:hint="eastAsia" w:ascii="Times New Roman" w:hAnsi="Times New Roman"/>
          <w:sz w:val="24"/>
          <w:lang w:val="en-US" w:eastAsia="zh-CN"/>
        </w:rPr>
      </w:pPr>
      <w:r>
        <w:rPr>
          <w:rFonts w:hint="eastAsia" w:ascii="Times New Roman" w:hAnsi="Times New Roman"/>
          <w:sz w:val="24"/>
          <w:lang w:val="en-US" w:eastAsia="zh-CN"/>
        </w:rPr>
        <w:t>对于C类基金份额计提的销售服务费，在投资人赎回基金份额或基金合同终止时随赎回款或清算款一并返还给投资人。</w:t>
      </w:r>
    </w:p>
    <w:p>
      <w:pPr>
        <w:autoSpaceDE w:val="0"/>
        <w:autoSpaceDN w:val="0"/>
        <w:adjustRightInd w:val="0"/>
        <w:snapToGrid w:val="0"/>
        <w:spacing w:line="360" w:lineRule="auto"/>
        <w:ind w:firstLine="480" w:firstLineChars="200"/>
        <w:jc w:val="left"/>
        <w:rPr>
          <w:rFonts w:hint="default" w:ascii="Times New Roman" w:hAnsi="Times New Roman"/>
          <w:sz w:val="24"/>
          <w:lang w:val="en-US" w:eastAsia="zh-CN"/>
        </w:rPr>
      </w:pPr>
      <w:r>
        <w:rPr>
          <w:rFonts w:hint="eastAsia" w:ascii="Times New Roman" w:hAnsi="Times New Roman"/>
          <w:sz w:val="24"/>
          <w:lang w:val="en-US" w:eastAsia="zh-CN"/>
        </w:rPr>
        <w:t>2）通过其他销售机构认购/申购的C类基金份额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对于投资人持续持有期限未超过一年的C类基金份额</w:t>
      </w:r>
      <w:r>
        <w:rPr>
          <w:rFonts w:hint="eastAsia" w:ascii="Times New Roman" w:hAnsi="Times New Roman"/>
          <w:sz w:val="24"/>
          <w:lang w:eastAsia="zh-CN"/>
        </w:rPr>
        <w:t>，</w:t>
      </w:r>
      <w:r>
        <w:rPr>
          <w:rFonts w:hint="eastAsia" w:ascii="Times New Roman" w:hAnsi="Times New Roman"/>
          <w:sz w:val="24"/>
        </w:rPr>
        <w:t>销售服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autoSpaceDE w:val="0"/>
        <w:autoSpaceDN w:val="0"/>
        <w:adjustRightInd w:val="0"/>
        <w:snapToGrid w:val="0"/>
        <w:spacing w:line="360" w:lineRule="auto"/>
        <w:ind w:firstLine="480" w:firstLineChars="200"/>
        <w:jc w:val="left"/>
        <w:rPr>
          <w:rFonts w:hint="eastAsia" w:ascii="Times New Roman" w:hAnsi="Times New Roman"/>
          <w:sz w:val="24"/>
          <w:lang w:eastAsia="zh-CN"/>
        </w:rPr>
      </w:pPr>
      <w:r>
        <w:rPr>
          <w:rFonts w:hint="eastAsia" w:ascii="Times New Roman" w:hAnsi="Times New Roman"/>
          <w:sz w:val="24"/>
        </w:rPr>
        <w:t>对于投资人持续持有期限超过一年的C类基金份额，持续持有超过一年后计提的销售服务费将在投资人赎回相应基金份额或基金合同终止时随赎回款或清算款一并返还给投资人。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C类基金份额的销售服务费将专门用于本基金的推广、销售与基金份额持有人服务。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）上述</w:t>
      </w:r>
      <w:r>
        <w:rPr>
          <w:rFonts w:ascii="Times New Roman" w:hAnsi="Times New Roman"/>
          <w:sz w:val="24"/>
        </w:rPr>
        <w:t>“</w:t>
      </w:r>
      <w:r>
        <w:rPr>
          <w:rFonts w:hint="eastAsia" w:ascii="Times New Roman" w:hAnsi="Times New Roman"/>
          <w:sz w:val="24"/>
        </w:rPr>
        <w:t>（一）基金费用的种类</w:t>
      </w:r>
      <w:r>
        <w:rPr>
          <w:rFonts w:ascii="Times New Roman" w:hAnsi="Times New Roman"/>
          <w:sz w:val="24"/>
        </w:rPr>
        <w:t>”</w:t>
      </w:r>
      <w:r>
        <w:rPr>
          <w:rFonts w:hint="eastAsia" w:ascii="Times New Roman" w:hAnsi="Times New Roman"/>
          <w:sz w:val="24"/>
        </w:rPr>
        <w:t>中第</w:t>
      </w:r>
      <w:r>
        <w:rPr>
          <w:rFonts w:ascii="Times New Roman" w:hAnsi="Times New Roman"/>
          <w:sz w:val="24"/>
        </w:rPr>
        <w:t>3</w:t>
      </w:r>
      <w:r>
        <w:rPr>
          <w:rFonts w:hint="eastAsia" w:ascii="Times New Roman" w:hAnsi="Times New Roman"/>
          <w:sz w:val="24"/>
        </w:rPr>
        <w:t>－9项、第</w:t>
      </w:r>
      <w:r>
        <w:rPr>
          <w:rFonts w:ascii="Times New Roman" w:hAnsi="Times New Roman"/>
          <w:sz w:val="24"/>
        </w:rPr>
        <w:t>11</w:t>
      </w:r>
      <w:r>
        <w:rPr>
          <w:rFonts w:hint="eastAsia" w:ascii="Times New Roman" w:hAnsi="Times New Roman"/>
          <w:sz w:val="24"/>
        </w:rPr>
        <w:t>项费用，根据有关法规及相应协议规定，按费用实际支出金额列入当期费用，由基金托管人从基金财产中支付。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、与基金销售有关的费用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）申购费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本基金申购费的费率水平、计算公式和收取方式详见</w:t>
      </w:r>
      <w:r>
        <w:rPr>
          <w:rFonts w:ascii="Times New Roman" w:hAnsi="Times New Roman"/>
          <w:sz w:val="24"/>
        </w:rPr>
        <w:t>“</w:t>
      </w:r>
      <w:r>
        <w:rPr>
          <w:rFonts w:hint="eastAsia" w:ascii="Times New Roman" w:hAnsi="Times New Roman"/>
          <w:sz w:val="24"/>
        </w:rPr>
        <w:t>基金份额的申购与赎回</w:t>
      </w:r>
      <w:r>
        <w:rPr>
          <w:rFonts w:ascii="Times New Roman" w:hAnsi="Times New Roman"/>
          <w:sz w:val="24"/>
        </w:rPr>
        <w:t>”</w:t>
      </w:r>
      <w:r>
        <w:rPr>
          <w:rFonts w:hint="eastAsia" w:ascii="Times New Roman" w:hAnsi="Times New Roman"/>
          <w:sz w:val="24"/>
        </w:rPr>
        <w:t>一章。</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）赎回费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本基金赎回费的费率水平、计算公式和收取方式详见</w:t>
      </w:r>
      <w:r>
        <w:rPr>
          <w:rFonts w:ascii="Times New Roman" w:hAnsi="Times New Roman"/>
          <w:sz w:val="24"/>
        </w:rPr>
        <w:t>“</w:t>
      </w:r>
      <w:r>
        <w:rPr>
          <w:rFonts w:hint="eastAsia" w:ascii="Times New Roman" w:hAnsi="Times New Roman"/>
          <w:sz w:val="24"/>
        </w:rPr>
        <w:t>基金份额的申购与赎回</w:t>
      </w:r>
      <w:r>
        <w:rPr>
          <w:rFonts w:ascii="Times New Roman" w:hAnsi="Times New Roman"/>
          <w:sz w:val="24"/>
        </w:rPr>
        <w:t>”</w:t>
      </w:r>
      <w:r>
        <w:rPr>
          <w:rFonts w:hint="eastAsia" w:ascii="Times New Roman" w:hAnsi="Times New Roman"/>
          <w:sz w:val="24"/>
        </w:rPr>
        <w:t>一章。</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（三）不列入基金费用的项目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下列费用不列入基金费用：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、基金管理人和基金托管人因未履行或未完全履行义务导致的费用支出或基金财产的损失；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、基金管理人和基金托管人处理与基金运作无关的事项发生的费用；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、《基金合同》生效前的相关费用；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、标的指数许可使用费（由基金管理人承担）；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、其他根据相关法律法规及中国证监会的有关规定不得列入基金费用的项目。</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（四）实施侧袋机制期间的基金费用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（五）基金税收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43"/>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44" w:name="_Toc7385"/>
      <w:bookmarkStart w:id="45" w:name="_Toc147840632"/>
      <w:bookmarkStart w:id="46" w:name="_Hlk215091060"/>
      <w:r>
        <w:rPr>
          <w:rFonts w:hint="eastAsia" w:ascii="Times New Roman" w:hAnsi="Times New Roman"/>
          <w:sz w:val="30"/>
        </w:rPr>
        <w:t>十四、基金的会计与审计</w:t>
      </w:r>
      <w:bookmarkEnd w:id="44"/>
      <w:bookmarkEnd w:id="45"/>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（一）基金会计政策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、基金管理人为本基金的基金会计责任方；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、基金的会计年度为公历年度的</w:t>
      </w:r>
      <w:r>
        <w:rPr>
          <w:rFonts w:ascii="Times New Roman" w:hAnsi="Times New Roman"/>
          <w:sz w:val="24"/>
        </w:rPr>
        <w:t>1</w:t>
      </w:r>
      <w:r>
        <w:rPr>
          <w:rFonts w:hint="eastAsia" w:ascii="Times New Roman" w:hAnsi="Times New Roman"/>
          <w:sz w:val="24"/>
        </w:rPr>
        <w:t>月</w:t>
      </w:r>
      <w:r>
        <w:rPr>
          <w:rFonts w:ascii="Times New Roman" w:hAnsi="Times New Roman"/>
          <w:sz w:val="24"/>
        </w:rPr>
        <w:t>1</w:t>
      </w:r>
      <w:r>
        <w:rPr>
          <w:rFonts w:hint="eastAsia" w:ascii="Times New Roman" w:hAnsi="Times New Roman"/>
          <w:sz w:val="24"/>
        </w:rPr>
        <w:t>日至</w:t>
      </w:r>
      <w:r>
        <w:rPr>
          <w:rFonts w:ascii="Times New Roman" w:hAnsi="Times New Roman"/>
          <w:sz w:val="24"/>
        </w:rPr>
        <w:t>12</w:t>
      </w:r>
      <w:r>
        <w:rPr>
          <w:rFonts w:hint="eastAsia" w:ascii="Times New Roman" w:hAnsi="Times New Roman"/>
          <w:sz w:val="24"/>
        </w:rPr>
        <w:t>月</w:t>
      </w:r>
      <w:r>
        <w:rPr>
          <w:rFonts w:ascii="Times New Roman" w:hAnsi="Times New Roman"/>
          <w:sz w:val="24"/>
        </w:rPr>
        <w:t>31</w:t>
      </w:r>
      <w:r>
        <w:rPr>
          <w:rFonts w:hint="eastAsia" w:ascii="Times New Roman" w:hAnsi="Times New Roman"/>
          <w:sz w:val="24"/>
        </w:rPr>
        <w:t>日；基金首次募集的会计年度按如下原则：如果《基金合同》生效少于</w:t>
      </w:r>
      <w:r>
        <w:rPr>
          <w:rFonts w:ascii="Times New Roman" w:hAnsi="Times New Roman"/>
          <w:sz w:val="24"/>
        </w:rPr>
        <w:t>2</w:t>
      </w:r>
      <w:r>
        <w:rPr>
          <w:rFonts w:hint="eastAsia" w:ascii="Times New Roman" w:hAnsi="Times New Roman"/>
          <w:sz w:val="24"/>
        </w:rPr>
        <w:t>个月，可以并入下一个会计年度披露；</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、基金核算以人民币为记账本位币，以人民币元为记账单位；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、会计制度执行国家有关会计制度；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、本基金独立建账、独立核算；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、基金管理人及基金托管人各自保留完整的会计账目、凭证并进行日常的会计核算，按照有关规定编制基金会计报表；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、基金托管人每月与基金管理人就基金的会计核算、报表编制等进行核对并以双方认可的方式确认。</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（二）基金的年度审计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、基金管理人聘请与基金管理人、基金托管人相互独立的符合《中华人民共和国证券法》规定的会计师事务所及其注册会计师对本基金的年度财务报表进行审计。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、会计师事务所更换经办注册会计师，应事先征得基金管理人同意。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、基金管理人认为有充足理由更换会计师事务所，须通报基金托管人。更换会计师事务所需依照《信息披露办法》的规定在规定媒介公告。</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47" w:name="_Toc147840633"/>
      <w:bookmarkStart w:id="48" w:name="_Toc29260"/>
      <w:r>
        <w:rPr>
          <w:rFonts w:hint="eastAsia" w:ascii="Times New Roman" w:hAnsi="Times New Roman"/>
          <w:sz w:val="30"/>
        </w:rPr>
        <w:t>十五、基金的信息披露</w:t>
      </w:r>
      <w:bookmarkEnd w:id="47"/>
      <w:bookmarkEnd w:id="48"/>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（一）本基金的信息披露应符合《基金法》、《运作办法》、《信息披露办法》、《流动性风险管理规定》、《基金合同》及其他有关规定。相关法律法规关于信息披露的规定发生变化时，本基金从其最新规定。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（二）信息披露义务人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本基金信息披露义务人包括基金管理人、基金托管人、召集基金份额持有人大会的基金份额持有人等法律、行政法规和中国证监会规定的自然人、法人和非法人组织。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本基金信息披露义务人应当在中国证监会规定时间内，将应予披露的基金信息通过符合中国证监会规定条件的全国性报刊（以下简称</w:t>
      </w:r>
      <w:r>
        <w:rPr>
          <w:rFonts w:ascii="Times New Roman" w:hAnsi="Times New Roman"/>
          <w:sz w:val="24"/>
        </w:rPr>
        <w:t>“</w:t>
      </w:r>
      <w:r>
        <w:rPr>
          <w:rFonts w:hint="eastAsia" w:ascii="Times New Roman" w:hAnsi="Times New Roman"/>
          <w:sz w:val="24"/>
        </w:rPr>
        <w:t>规定报刊</w:t>
      </w:r>
      <w:r>
        <w:rPr>
          <w:rFonts w:ascii="Times New Roman" w:hAnsi="Times New Roman"/>
          <w:sz w:val="24"/>
        </w:rPr>
        <w:t>”</w:t>
      </w:r>
      <w:r>
        <w:rPr>
          <w:rFonts w:hint="eastAsia" w:ascii="Times New Roman" w:hAnsi="Times New Roman"/>
          <w:sz w:val="24"/>
        </w:rPr>
        <w:t>）及《信息披露办法》规定的互联网网站（以下简称</w:t>
      </w:r>
      <w:r>
        <w:rPr>
          <w:rFonts w:ascii="Times New Roman" w:hAnsi="Times New Roman"/>
          <w:sz w:val="24"/>
        </w:rPr>
        <w:t>“</w:t>
      </w:r>
      <w:r>
        <w:rPr>
          <w:rFonts w:hint="eastAsia" w:ascii="Times New Roman" w:hAnsi="Times New Roman"/>
          <w:sz w:val="24"/>
        </w:rPr>
        <w:t>规定网站</w:t>
      </w:r>
      <w:r>
        <w:rPr>
          <w:rFonts w:ascii="Times New Roman" w:hAnsi="Times New Roman"/>
          <w:sz w:val="24"/>
        </w:rPr>
        <w:t>”</w:t>
      </w:r>
      <w:r>
        <w:rPr>
          <w:rFonts w:hint="eastAsia" w:ascii="Times New Roman" w:hAnsi="Times New Roman"/>
          <w:sz w:val="24"/>
        </w:rPr>
        <w:t>）等媒介披露，并保证基金投资者能够按照《基金合同》约定的时间和方式查阅或者复制公开披露的信息资料。</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（三）本基金信息披露义务人承诺公开披露的基金信息，不得有下列行为：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、虚假记载、误导性陈述或者重大遗漏；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、对证券投资业绩进行预测；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、违规承诺收益或者承担损失；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、诋毁其他基金管理人、基金托管人或者基金销售机构；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、中国证监会禁止的其他行为。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本基金公开披露的信息采用阿拉伯数字；除特别说明外，货币单位为人民币元。</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（五）公开披露的基金信息</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公开披露的基金信息包括：</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、基金招募说明书、《基金合同》、基金托管协议、基金产品资料概要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rFonts w:ascii="Times New Roman" w:hAnsi="Times New Roman"/>
          <w:bCs/>
          <w:sz w:val="24"/>
        </w:rPr>
      </w:pPr>
      <w:r>
        <w:rPr>
          <w:rFonts w:hint="eastAsia" w:ascii="Times New Roman" w:hAnsi="Times New Roman"/>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、基金份额发售公告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基金管理人应当就基金份额发售的具体事宜编制基金份额发售公告，并在披露招募说明书的当日登载于规定媒介上。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、《基金合同》生效公告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基金管理人应当在收到中国证监会确认文件的次日在规定媒介上登载《基金合同》生效公告。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《基金合同》生效公告中将说明基金募集情况及基金管理人股东、基金管理人、基金管理人高级管理人员或基金经理等人员持有的基金份额、承诺持有的期限等情况。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、基金净值信息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《基金合同》生效后，在开始办理基金份额申购或者赎回前，基金管理人应当至少每周在规定网站分别披露一次</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类基金份额所对应的基金份额净值和基金份额累计净值。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在开始办理基金份额申购或者赎回后，基金管理人应当在不晚于每个开放日的次日，通过规定网站、基金销售机构网站或者营业网点分别披露开放日的</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类基金份额所对应的基金份额净值和基金份额累计净值。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基金管理人应当在不晚于半年度和年度最后一日的次日，在规定网站披露半年度和年度最后一日</w:t>
      </w:r>
      <w:r>
        <w:rPr>
          <w:rFonts w:ascii="Times New Roman" w:hAnsi="Times New Roman"/>
          <w:sz w:val="24"/>
        </w:rPr>
        <w:t>A</w:t>
      </w:r>
      <w:r>
        <w:rPr>
          <w:rFonts w:hint="eastAsia" w:ascii="Times New Roman" w:hAnsi="Times New Roman"/>
          <w:sz w:val="24"/>
        </w:rPr>
        <w:t>类基金份额和</w:t>
      </w:r>
      <w:r>
        <w:rPr>
          <w:rFonts w:ascii="Times New Roman" w:hAnsi="Times New Roman"/>
          <w:sz w:val="24"/>
        </w:rPr>
        <w:t>C</w:t>
      </w:r>
      <w:r>
        <w:rPr>
          <w:rFonts w:hint="eastAsia" w:ascii="Times New Roman" w:hAnsi="Times New Roman"/>
          <w:sz w:val="24"/>
        </w:rPr>
        <w:t>类基金份额所对应的基金份额净值和基金份额累计净值。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、基金份额申购、赎回价格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、基金定期报告，包括基金年度报告、基金中期报告和基金季度报告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基金管理人应当在上半年结束之日起两个月内，编制完成基金中期报告，将中期报告登载在规定网站上，并将中期报告提示性公告登载在规定报刊上。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基金管理人应当在季度结束之日起</w:t>
      </w:r>
      <w:r>
        <w:rPr>
          <w:rFonts w:ascii="Times New Roman" w:hAnsi="Times New Roman"/>
          <w:sz w:val="24"/>
        </w:rPr>
        <w:t>15</w:t>
      </w:r>
      <w:r>
        <w:rPr>
          <w:rFonts w:hint="eastAsia" w:ascii="Times New Roman" w:hAnsi="Times New Roman"/>
          <w:sz w:val="24"/>
        </w:rPr>
        <w:t>个工作日内，编制完成基金季度报告，将季度报告登载在规定网站上，并将季度报告提示性公告登载在规定报刊上。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《基金合同》生效不足</w:t>
      </w:r>
      <w:r>
        <w:rPr>
          <w:rFonts w:ascii="Times New Roman" w:hAnsi="Times New Roman"/>
          <w:sz w:val="24"/>
        </w:rPr>
        <w:t>2</w:t>
      </w:r>
      <w:r>
        <w:rPr>
          <w:rFonts w:hint="eastAsia" w:ascii="Times New Roman" w:hAnsi="Times New Roman"/>
          <w:sz w:val="24"/>
        </w:rPr>
        <w:t>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基金管理人应在年度报告、中期报告、季度报告中分别披露基金管理人股东、基金管理人、基金管理人高级管理人员或基金经理等人员持有基金的份额、期限及期间的变动情况。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如报告期内出现单一投资者持有基金份额达到或超过基金总份额</w:t>
      </w:r>
      <w:r>
        <w:rPr>
          <w:rFonts w:ascii="Times New Roman" w:hAnsi="Times New Roman"/>
          <w:sz w:val="24"/>
        </w:rPr>
        <w:t>20%</w:t>
      </w:r>
      <w:r>
        <w:rPr>
          <w:rFonts w:hint="eastAsia" w:ascii="Times New Roman" w:hAnsi="Times New Roman"/>
          <w:sz w:val="24"/>
        </w:rPr>
        <w:t>的情形，为保障其他投资者的权益，基金管理人至少应当在定期报告</w:t>
      </w:r>
      <w:r>
        <w:rPr>
          <w:rFonts w:ascii="Times New Roman" w:hAnsi="Times New Roman"/>
          <w:sz w:val="24"/>
        </w:rPr>
        <w:t>“</w:t>
      </w:r>
      <w:r>
        <w:rPr>
          <w:rFonts w:hint="eastAsia" w:ascii="Times New Roman" w:hAnsi="Times New Roman"/>
          <w:sz w:val="24"/>
        </w:rPr>
        <w:t>影响投资者决策的其他重要信息</w:t>
      </w:r>
      <w:r>
        <w:rPr>
          <w:rFonts w:ascii="Times New Roman" w:hAnsi="Times New Roman"/>
          <w:sz w:val="24"/>
        </w:rPr>
        <w:t>”</w:t>
      </w:r>
      <w:r>
        <w:rPr>
          <w:rFonts w:hint="eastAsia" w:ascii="Times New Roman" w:hAnsi="Times New Roman"/>
          <w:sz w:val="24"/>
        </w:rPr>
        <w:t>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、临时报告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本基金发生重大事件，有关信息披露义务人应当依照《信息披露办法》的规定编制临时报告书，并登载在规定报刊和规定网站上。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）基金份额持有人大会的召开及决定的事项；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）《基金合同》终止、基金清算；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）转换基金运作方式、基金合并；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）更换基金管理人、基金托管人、基金份额登记机构，基金改聘会计师事务所；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）基金管理人、基金托管人的法定名称、住所发生变更；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）基金募集期延长或提前结束募集；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9</w:t>
      </w:r>
      <w:r>
        <w:rPr>
          <w:rFonts w:hint="eastAsia" w:ascii="Times New Roman" w:hAnsi="Times New Roman"/>
          <w:sz w:val="24"/>
        </w:rPr>
        <w:t>）基金管理人的高级管理人员、基金经理和基金托管人专门基金托管部门负责人发生变动；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10</w:t>
      </w:r>
      <w:r>
        <w:rPr>
          <w:rFonts w:hint="eastAsia" w:ascii="Times New Roman" w:hAnsi="Times New Roman"/>
          <w:sz w:val="24"/>
        </w:rPr>
        <w:t>）基金管理人的董事在最近</w:t>
      </w:r>
      <w:r>
        <w:rPr>
          <w:rFonts w:ascii="Times New Roman" w:hAnsi="Times New Roman"/>
          <w:sz w:val="24"/>
        </w:rPr>
        <w:t>12</w:t>
      </w:r>
      <w:r>
        <w:rPr>
          <w:rFonts w:hint="eastAsia" w:ascii="Times New Roman" w:hAnsi="Times New Roman"/>
          <w:sz w:val="24"/>
        </w:rPr>
        <w:t>个月内变更超过百分之五十，基金管理人、基金托管人专门基金托管部门的主要业务人员在最近</w:t>
      </w:r>
      <w:r>
        <w:rPr>
          <w:rFonts w:ascii="Times New Roman" w:hAnsi="Times New Roman"/>
          <w:sz w:val="24"/>
        </w:rPr>
        <w:t>12</w:t>
      </w:r>
      <w:r>
        <w:rPr>
          <w:rFonts w:hint="eastAsia" w:ascii="Times New Roman" w:hAnsi="Times New Roman"/>
          <w:sz w:val="24"/>
        </w:rPr>
        <w:t>个月内变动超过百分之三十；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11</w:t>
      </w:r>
      <w:r>
        <w:rPr>
          <w:rFonts w:hint="eastAsia" w:ascii="Times New Roman" w:hAnsi="Times New Roman"/>
          <w:sz w:val="24"/>
        </w:rPr>
        <w:t>）涉及基金财产、基金管理业务、基金托管业务的诉讼或仲裁；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12</w:t>
      </w:r>
      <w:r>
        <w:rPr>
          <w:rFonts w:hint="eastAsia" w:ascii="Times New Roman" w:hAnsi="Times New Roman"/>
          <w:sz w:val="24"/>
        </w:rPr>
        <w:t>）基金管理人或其高级管理人员、基金经理因基金管理业务相关行为受到重大行政处罚、刑事处罚，基金托管人或其专门基金托管部门负责人因基金托管业务相关行为受到重大行政处罚、刑事处罚；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13</w:t>
      </w: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14</w:t>
      </w:r>
      <w:r>
        <w:rPr>
          <w:rFonts w:hint="eastAsia" w:ascii="Times New Roman" w:hAnsi="Times New Roman"/>
          <w:sz w:val="24"/>
        </w:rPr>
        <w:t>）基金收益分配事项；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15</w:t>
      </w:r>
      <w:r>
        <w:rPr>
          <w:rFonts w:hint="eastAsia" w:ascii="Times New Roman" w:hAnsi="Times New Roman"/>
          <w:sz w:val="24"/>
        </w:rPr>
        <w:t>）管理费、托管费、销售服务费、申购费、赎回费等费用计提标准、计提方式和费率发生变更；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16</w:t>
      </w:r>
      <w:r>
        <w:rPr>
          <w:rFonts w:hint="eastAsia" w:ascii="Times New Roman" w:hAnsi="Times New Roman"/>
          <w:sz w:val="24"/>
        </w:rPr>
        <w:t>）任一类基金份额净值计价错误达该类基金份额净值百分之零点五；</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17</w:t>
      </w:r>
      <w:r>
        <w:rPr>
          <w:rFonts w:hint="eastAsia" w:ascii="Times New Roman" w:hAnsi="Times New Roman"/>
          <w:sz w:val="24"/>
        </w:rPr>
        <w:t>）本基金开始办理申购、赎回；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18</w:t>
      </w:r>
      <w:r>
        <w:rPr>
          <w:rFonts w:hint="eastAsia" w:ascii="Times New Roman" w:hAnsi="Times New Roman"/>
          <w:sz w:val="24"/>
        </w:rPr>
        <w:t>）本基金发生巨额赎回并延期办理；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19</w:t>
      </w:r>
      <w:r>
        <w:rPr>
          <w:rFonts w:hint="eastAsia" w:ascii="Times New Roman" w:hAnsi="Times New Roman"/>
          <w:sz w:val="24"/>
        </w:rPr>
        <w:t>）本基金连续发生巨额赎回并暂停接受赎回申请或延缓支付赎回款项；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20</w:t>
      </w:r>
      <w:r>
        <w:rPr>
          <w:rFonts w:hint="eastAsia" w:ascii="Times New Roman" w:hAnsi="Times New Roman"/>
          <w:sz w:val="24"/>
        </w:rPr>
        <w:t>）本基金暂停接受申购、赎回申请或重新接受申购、赎回申请；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21</w:t>
      </w:r>
      <w:r>
        <w:rPr>
          <w:rFonts w:hint="eastAsia" w:ascii="Times New Roman" w:hAnsi="Times New Roman"/>
          <w:sz w:val="24"/>
        </w:rPr>
        <w:t>）发生涉及基金申购、赎回事项调整或潜在影响投资者赎回等重大事项时；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22</w:t>
      </w:r>
      <w:r>
        <w:rPr>
          <w:rFonts w:hint="eastAsia" w:ascii="Times New Roman" w:hAnsi="Times New Roman"/>
          <w:sz w:val="24"/>
        </w:rPr>
        <w:t>）基金管理人采用摆动定价机制进行估值；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23</w:t>
      </w:r>
      <w:r>
        <w:rPr>
          <w:rFonts w:hint="eastAsia" w:ascii="Times New Roman" w:hAnsi="Times New Roman"/>
          <w:sz w:val="24"/>
        </w:rPr>
        <w:t>）本基金增加或调整基金份额类别；</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24</w:t>
      </w:r>
      <w:r>
        <w:rPr>
          <w:rFonts w:hint="eastAsia" w:ascii="Times New Roman" w:hAnsi="Times New Roman"/>
          <w:sz w:val="24"/>
        </w:rPr>
        <w:t>）本基金推出新业务或服务；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25</w:t>
      </w:r>
      <w:r>
        <w:rPr>
          <w:rFonts w:hint="eastAsia" w:ascii="Times New Roman" w:hAnsi="Times New Roman"/>
          <w:sz w:val="24"/>
        </w:rPr>
        <w:t>）本基金变更标的指数；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26</w:t>
      </w:r>
      <w:r>
        <w:rPr>
          <w:rFonts w:hint="eastAsia" w:ascii="Times New Roman" w:hAnsi="Times New Roman"/>
          <w:sz w:val="24"/>
        </w:rPr>
        <w:t>）基金信息披露义务人认为可能对基金份额持有人权益或者基金份额的价格产生重大影响的其他事项或中国证监会规定</w:t>
      </w:r>
      <w:r>
        <w:rPr>
          <w:rFonts w:hint="eastAsia" w:ascii="Times New Roman" w:hAnsi="Times New Roman"/>
          <w:bCs/>
          <w:sz w:val="24"/>
        </w:rPr>
        <w:t>和基金合同约定</w:t>
      </w:r>
      <w:r>
        <w:rPr>
          <w:rFonts w:hint="eastAsia" w:ascii="Times New Roman" w:hAnsi="Times New Roman"/>
          <w:sz w:val="24"/>
        </w:rPr>
        <w:t>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、澄清公告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、基金份额持有人大会决议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基金份额持有人依法自行召集基金份额持有人大会，基金管理人、基金托管人对基金份额持有人大会决定的事项不依法履行信息披露义务的，召集人应当履行相关信息披露义务。</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10</w:t>
      </w:r>
      <w:r>
        <w:rPr>
          <w:rFonts w:hint="eastAsia" w:ascii="Times New Roman" w:hAnsi="Times New Roman"/>
          <w:sz w:val="24"/>
        </w:rPr>
        <w:t>、实施侧袋机制期间的信息披露</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本基金实施侧袋机制的，相关信息披露义务人应当根据法律法规、基金合同和招募说明书的规定进行信息披露，详见本招募说明书“侧袋机制”部分的规定。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、清算报告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、基金投资资产支持证券情况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ascii="Times New Roman" w:hAnsi="Times New Roman"/>
          <w:sz w:val="24"/>
        </w:rPr>
        <w:t>10</w:t>
      </w:r>
      <w:r>
        <w:rPr>
          <w:rFonts w:hint="eastAsia" w:ascii="Times New Roman" w:hAnsi="Times New Roman"/>
          <w:sz w:val="24"/>
        </w:rPr>
        <w:t>名资产支持证券明细。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、基金投资股指期货情况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、基金投资港股通标的股票情况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本基金可投资港股通标的股票，基金应当在季度报告、中期报告、年度报告等定期报告和招募说明书（更新）等文件中披露港股通标的股票的投资情况。法律法规或中国证监会另有规定的，从其规定。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5</w:t>
      </w:r>
      <w:r>
        <w:rPr>
          <w:rFonts w:hint="eastAsia" w:ascii="Times New Roman" w:hAnsi="Times New Roman"/>
          <w:sz w:val="24"/>
        </w:rPr>
        <w:t>、基金参与融资和转融通证券出借业务情况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本基金参与转融通证券出借业务的，基金管理人应当在基金定期报告等文件中就报告期内发生的重大关联交易事项做详细说明。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未来在法律法规允许的前提下，本基金可依据法律法规的相关规定参与融券业务，并相应履行信息披露义务。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、中国证监会规定的其他信息。</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（六）信息披露事务管理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基金信息披露义务人公开披露基金信息，应当符合中国证监会相关基金信息披露内容与格式准则等法律法规</w:t>
      </w:r>
      <w:r>
        <w:rPr>
          <w:rFonts w:hint="eastAsia" w:ascii="Times New Roman" w:hAnsi="Times New Roman"/>
          <w:bCs/>
          <w:sz w:val="24"/>
        </w:rPr>
        <w:t>的</w:t>
      </w:r>
      <w:r>
        <w:rPr>
          <w:rFonts w:hint="eastAsia" w:ascii="Times New Roman" w:hAnsi="Times New Roman"/>
          <w:sz w:val="24"/>
        </w:rPr>
        <w:t>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基金托管人应当按照相关法律法规、中国证监会的规定和《基金合同》的约定，对基金管理人编制的基金资产净值、</w:t>
      </w:r>
      <w:r>
        <w:rPr>
          <w:rFonts w:hint="eastAsia" w:ascii="Times New Roman" w:hAnsi="Times New Roman"/>
          <w:bCs/>
          <w:sz w:val="24"/>
        </w:rPr>
        <w:t>各类基金份额的</w:t>
      </w:r>
      <w:r>
        <w:rPr>
          <w:rFonts w:hint="eastAsia" w:ascii="Times New Roman" w:hAnsi="Times New Roman"/>
          <w:sz w:val="24"/>
        </w:rPr>
        <w:t>基金份额净值、基金份额申购赎回价格、基金定期报告、更新的招募说明书、基金产品资料概要、基金清算报告等相关基金信息进行复核、审查，并向基金管理人进行书面或电子确认。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基金管理人、基金托管人应当在规定报刊中选择一家披露信息</w:t>
      </w:r>
      <w:r>
        <w:rPr>
          <w:rFonts w:hint="eastAsia" w:ascii="Times New Roman" w:hAnsi="Times New Roman"/>
          <w:bCs/>
          <w:sz w:val="24"/>
        </w:rPr>
        <w:t>的报刊</w:t>
      </w:r>
      <w:r>
        <w:rPr>
          <w:rFonts w:hint="eastAsia" w:ascii="Times New Roman" w:hAnsi="Times New Roman"/>
          <w:sz w:val="24"/>
        </w:rPr>
        <w:t>。基金管理人、基金托管人应当向中国证监会基金电子披露网站报送拟披露的基金信息，并保证相关报送信息的真实、准确、完整、及时。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为基金信息披露义务人公开披露的基金信息出具审计报告、法律意见书的专业机构，应当制作工作底稿，并将相关档案至少保存到《基金合同》终止后</w:t>
      </w:r>
      <w:r>
        <w:rPr>
          <w:rFonts w:ascii="Times New Roman" w:hAnsi="Times New Roman"/>
          <w:sz w:val="24"/>
        </w:rPr>
        <w:t>10</w:t>
      </w:r>
      <w:r>
        <w:rPr>
          <w:rFonts w:hint="eastAsia" w:ascii="Times New Roman" w:hAnsi="Times New Roman"/>
          <w:sz w:val="24"/>
        </w:rPr>
        <w:t>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（七）信息披露文件的存放与查阅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依法必须披露的信息发布后，基金管理人、基金托管人应当按照相关法律法规规定将信息置备于各自</w:t>
      </w:r>
      <w:r>
        <w:rPr>
          <w:rFonts w:hint="eastAsia" w:ascii="Times New Roman" w:hAnsi="Times New Roman"/>
          <w:bCs/>
          <w:sz w:val="24"/>
        </w:rPr>
        <w:t>办公场所</w:t>
      </w:r>
      <w:r>
        <w:rPr>
          <w:rFonts w:hint="eastAsia" w:ascii="Times New Roman" w:hAnsi="Times New Roman"/>
          <w:sz w:val="24"/>
        </w:rPr>
        <w:t>，供社会公众查阅、复制。</w:t>
      </w:r>
    </w:p>
    <w:bookmarkEnd w:id="46"/>
    <w:p>
      <w:pPr>
        <w:pStyle w:val="2"/>
        <w:snapToGrid w:val="0"/>
        <w:spacing w:before="240" w:beforeLines="0" w:after="240"/>
        <w:rPr>
          <w:rFonts w:ascii="Times New Roman" w:hAnsi="Times New Roman"/>
          <w:b w:val="0"/>
          <w:kern w:val="0"/>
          <w:sz w:val="30"/>
        </w:rPr>
      </w:pPr>
      <w:r>
        <w:rPr>
          <w:rFonts w:ascii="Times New Roman" w:hAnsi="Times New Roman"/>
          <w:sz w:val="24"/>
        </w:rPr>
        <w:br w:type="page"/>
      </w:r>
      <w:bookmarkStart w:id="49" w:name="_Toc29105"/>
      <w:bookmarkStart w:id="50" w:name="_Toc147840634"/>
      <w:bookmarkStart w:id="51" w:name="_Toc48122017"/>
      <w:r>
        <w:rPr>
          <w:rFonts w:hint="eastAsia" w:ascii="Times New Roman" w:hAnsi="Times New Roman"/>
          <w:sz w:val="30"/>
        </w:rPr>
        <w:t>十六、侧袋机制</w:t>
      </w:r>
      <w:bookmarkEnd w:id="49"/>
      <w:bookmarkEnd w:id="50"/>
      <w:bookmarkEnd w:id="51"/>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（一）侧袋机制的实施条件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基金管理人应当在启用侧袋机制后及时发布临时公告，</w:t>
      </w:r>
      <w:bookmarkStart w:id="52" w:name="_Hlk45746268"/>
      <w:r>
        <w:rPr>
          <w:rFonts w:hint="eastAsia" w:ascii="Times New Roman" w:hAnsi="Times New Roman"/>
          <w:sz w:val="24"/>
        </w:rPr>
        <w:t>并在</w:t>
      </w:r>
      <w:bookmarkStart w:id="53" w:name="_Hlk45746204"/>
      <w:r>
        <w:rPr>
          <w:rFonts w:hint="eastAsia" w:ascii="Times New Roman" w:hAnsi="Times New Roman"/>
          <w:sz w:val="24"/>
        </w:rPr>
        <w:t>五个工作日内</w:t>
      </w:r>
      <w:bookmarkEnd w:id="52"/>
      <w:bookmarkEnd w:id="53"/>
      <w:r>
        <w:rPr>
          <w:rFonts w:hint="eastAsia" w:ascii="Times New Roman" w:hAnsi="Times New Roman"/>
          <w:sz w:val="24"/>
        </w:rPr>
        <w:t>聘请</w:t>
      </w:r>
      <w:bookmarkStart w:id="54" w:name="_Hlk45746277"/>
      <w:r>
        <w:rPr>
          <w:rFonts w:hint="eastAsia" w:ascii="Times New Roman" w:hAnsi="Times New Roman"/>
          <w:sz w:val="24"/>
        </w:rPr>
        <w:t>侧袋机制启用日发表意见且</w:t>
      </w:r>
      <w:bookmarkEnd w:id="54"/>
      <w:r>
        <w:rPr>
          <w:rFonts w:hint="eastAsia" w:ascii="Times New Roman" w:hAnsi="Times New Roman"/>
          <w:sz w:val="24"/>
        </w:rPr>
        <w:t>符合《中华人民共和国证券法》规定的会计师事务所</w:t>
      </w:r>
      <w:bookmarkStart w:id="55" w:name="_Hlk45746299"/>
      <w:r>
        <w:rPr>
          <w:rFonts w:hint="eastAsia" w:ascii="Times New Roman" w:hAnsi="Times New Roman"/>
          <w:sz w:val="24"/>
        </w:rPr>
        <w:t>进行审计并披露</w:t>
      </w:r>
      <w:bookmarkEnd w:id="55"/>
      <w:r>
        <w:rPr>
          <w:rFonts w:hint="eastAsia" w:ascii="Times New Roman" w:hAnsi="Times New Roman"/>
          <w:sz w:val="24"/>
        </w:rPr>
        <w:t>专项审计意见。</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（二）实施侧袋机制期间基金份额的申购与赎回</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、实施侧袋机制期间，基金管理人不办理侧袋账户份额的申购、赎回和转换；同时，基金管理人按照基金合同和招募说明书的约定办理主袋账户份额的赎回，并根据主袋账户运作情况确定是否暂停申购。</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ascii="Times New Roman" w:hAnsi="Times New Roman"/>
          <w:sz w:val="24"/>
        </w:rPr>
        <w:t>10%</w:t>
      </w:r>
      <w:r>
        <w:rPr>
          <w:rFonts w:hint="eastAsia" w:ascii="Times New Roman" w:hAnsi="Times New Roman"/>
          <w:sz w:val="24"/>
        </w:rPr>
        <w:t>认定。</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（三）实施侧袋机制期间的基金投资</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基金管理人原则上应当在侧袋机制启用后</w:t>
      </w:r>
      <w:r>
        <w:rPr>
          <w:rFonts w:ascii="Times New Roman" w:hAnsi="Times New Roman"/>
          <w:sz w:val="24"/>
        </w:rPr>
        <w:t>20</w:t>
      </w:r>
      <w:r>
        <w:rPr>
          <w:rFonts w:hint="eastAsia" w:ascii="Times New Roman" w:hAnsi="Times New Roman"/>
          <w:sz w:val="24"/>
        </w:rPr>
        <w:t>个交易日内完成对主袋账户投资组合的调整，因资产流动性受限等中国证监会规定的情形除外。</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基金管理人不得在侧袋账户中进行除特定资产处置变现以外的其他投资操作。</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（四）实施侧袋机制期间的基金估值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（五）实施侧袋账户期间的基金费用</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、本基金实施侧袋机制的，管理费和托管费等按主袋账户基金资产净值作为基数计提。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、与侧袋账户有关的费用可从侧袋账户中列支，但应待侧袋账户资产变现后方可列支，有关费用可酌情收取或减免，但不得收取管理费。</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（六）侧袋账户中特定资产的处置变现和支付</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侧袋账户资产全部完成变现并终止侧袋机制后，基金管理人应及时聘请符合《中华人民共和国证券法》规定的会计师事务所进行审计并披露专项审计意见。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（七）侧袋机制的信息披露</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、临时公告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在启用侧袋机制、处置特定资产、终止侧袋机制以及发生其他可能对投资者利益产生重大影响的事项后基金管理人应及时发布临时公告。</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、基金净值信息</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基金管理人应按照招募说明书“基金的信息披露”部分规定的基金净值信息披露方式和频率披露主袋账户份额的基金净值信息。实施侧袋机制期间本基金暂停披露侧袋账户份额净值和累计净值。</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、定期报告</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侧袋机制实施期间，基金管理人应当在基金定期报告中披露报告期内侧袋账户相关信息，基金定期报告中的基金会计报表仅需针对主袋账户进行编制。</w:t>
      </w:r>
      <w:bookmarkStart w:id="56" w:name="_Hlk45747214"/>
      <w:r>
        <w:rPr>
          <w:rFonts w:hint="eastAsia" w:ascii="Times New Roman" w:hAnsi="Times New Roman"/>
          <w:sz w:val="24"/>
        </w:rPr>
        <w:t>会计师事务所对基金年度报告进行审计时，应对报告期内基金侧袋机制运行相关的会计核算和年度报告披露等发表审计意见。</w:t>
      </w:r>
      <w:bookmarkEnd w:id="56"/>
    </w:p>
    <w:p>
      <w:pPr>
        <w:pStyle w:val="2"/>
        <w:snapToGrid w:val="0"/>
        <w:spacing w:before="240" w:beforeLines="0" w:after="240"/>
        <w:rPr>
          <w:rFonts w:ascii="Times New Roman" w:hAnsi="Times New Roman"/>
          <w:szCs w:val="30"/>
        </w:rPr>
      </w:pPr>
      <w:bookmarkStart w:id="57" w:name="_Toc3641"/>
      <w:bookmarkStart w:id="58" w:name="_Toc147840635"/>
      <w:r>
        <w:rPr>
          <w:rFonts w:hint="eastAsia" w:ascii="Times New Roman" w:hAnsi="Times New Roman"/>
          <w:sz w:val="30"/>
        </w:rPr>
        <w:t>十七、风险揭示</w:t>
      </w:r>
      <w:bookmarkEnd w:id="57"/>
      <w:bookmarkEnd w:id="58"/>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证券投资基金（以下简称</w:t>
      </w:r>
      <w:r>
        <w:rPr>
          <w:rFonts w:ascii="Times New Roman" w:hAnsi="Times New Roman"/>
          <w:sz w:val="24"/>
        </w:rPr>
        <w:t>“</w:t>
      </w:r>
      <w:r>
        <w:rPr>
          <w:rFonts w:hint="eastAsia" w:ascii="Times New Roman" w:hAnsi="Times New Roman"/>
          <w:sz w:val="24"/>
        </w:rPr>
        <w:t>基金</w:t>
      </w:r>
      <w:r>
        <w:rPr>
          <w:rFonts w:ascii="Times New Roman" w:hAnsi="Times New Roman"/>
          <w:sz w:val="24"/>
        </w:rPr>
        <w:t>”</w:t>
      </w:r>
      <w:r>
        <w:rPr>
          <w:rFonts w:hint="eastAsia" w:ascii="Times New Roman" w:hAnsi="Times New Roman"/>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因拆分、分红等行为导致基金份额净值变化，不会改变基金的风险收益特征，不会降低基金投资风险或提高基金投资收益。以</w:t>
      </w:r>
      <w:r>
        <w:rPr>
          <w:rFonts w:ascii="Times New Roman" w:hAnsi="Times New Roman"/>
          <w:sz w:val="24"/>
        </w:rPr>
        <w:t>1</w:t>
      </w:r>
      <w:r>
        <w:rPr>
          <w:rFonts w:hint="eastAsia" w:ascii="Times New Roman" w:hAnsi="Times New Roman"/>
          <w:sz w:val="24"/>
        </w:rPr>
        <w:t>元初始面值开展基金募集或因拆分、分红等行为导致基金份额净值调整至</w:t>
      </w:r>
      <w:r>
        <w:rPr>
          <w:rFonts w:ascii="Times New Roman" w:hAnsi="Times New Roman"/>
          <w:sz w:val="24"/>
        </w:rPr>
        <w:t>1</w:t>
      </w:r>
      <w:r>
        <w:rPr>
          <w:rFonts w:hint="eastAsia" w:ascii="Times New Roman" w:hAnsi="Times New Roman"/>
          <w:sz w:val="24"/>
        </w:rPr>
        <w:t>元初始面值或</w:t>
      </w:r>
      <w:r>
        <w:rPr>
          <w:rFonts w:ascii="Times New Roman" w:hAnsi="Times New Roman"/>
          <w:sz w:val="24"/>
        </w:rPr>
        <w:t>1</w:t>
      </w:r>
      <w:r>
        <w:rPr>
          <w:rFonts w:hint="eastAsia" w:ascii="Times New Roman" w:hAnsi="Times New Roman"/>
          <w:sz w:val="24"/>
        </w:rPr>
        <w:t>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ascii="Times New Roman" w:hAnsi="Times New Roman"/>
          <w:sz w:val="24"/>
        </w:rPr>
        <w:t>“</w:t>
      </w:r>
      <w:r>
        <w:rPr>
          <w:rFonts w:hint="eastAsia" w:ascii="Times New Roman" w:hAnsi="Times New Roman"/>
          <w:sz w:val="24"/>
        </w:rPr>
        <w:t>买者自负</w:t>
      </w:r>
      <w:r>
        <w:rPr>
          <w:rFonts w:ascii="Times New Roman" w:hAnsi="Times New Roman"/>
          <w:sz w:val="24"/>
        </w:rPr>
        <w:t>”</w:t>
      </w:r>
      <w:r>
        <w:rPr>
          <w:rFonts w:hint="eastAsia" w:ascii="Times New Roman" w:hAnsi="Times New Roman"/>
          <w:sz w:val="24"/>
        </w:rPr>
        <w:t>原则，在做出投资决策后，基金运营状况与基金净值变化引致的投资风险，由投资人自行负担。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基金份额持有人须了解并承受以下风险：</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（一）市场风险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证券市场价格因受到经济因素、政治因素、投资心理和交易制度等各种因素的影响而引起的波动，将对基金收益水平产生潜在风险，主要包括：</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、政策风险。因国家宏观政策（如货币政策、财政政策、行业政策、地区发展政策等）和证券市场监管政策发生变化，导致市场价格波动而产生风险。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、经济周期风险。证券市场受宏观经济运行的影响，而经济运行具有周期性的特点，宏观经济运行状况将对证券市场的收益水平产生影响，从而对基金收益造成影响。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、购买力风险。基金投资的目的是基金资产的保值增值，如果发生通货膨胀，基金投资于证券所获得的收益可能会被通货膨胀抵消，从而使基金的实际收益下降，影响基金资产的保值增值。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（二）管理风险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（三）流动性风险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、本基金的申购、赎回安排</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本基金采用开放方式运作，基金管理人在开放日办理基金份额的申购和赎回，具体办理时间为上海证券交易所、深圳证券交易所的正常交易日的交易时间</w:t>
      </w:r>
      <w:r>
        <w:rPr>
          <w:rFonts w:hint="eastAsia"/>
          <w:bCs/>
          <w:sz w:val="24"/>
        </w:rPr>
        <w:t>（若该工作日为非港股通交易日，则本基金可不开放）</w:t>
      </w:r>
      <w:r>
        <w:rPr>
          <w:rFonts w:hint="eastAsia" w:ascii="Times New Roman" w:hAnsi="Times New Roman"/>
          <w:sz w:val="24"/>
        </w:rPr>
        <w:t>，但基金管理人根据法律法规、中国证监会的要求或基金合同的规定公告暂停申购、赎回时除外。基金管理人</w:t>
      </w:r>
      <w:r>
        <w:rPr>
          <w:rFonts w:hint="eastAsia" w:ascii="Times New Roman" w:hAnsi="Times New Roman"/>
          <w:bCs/>
          <w:sz w:val="24"/>
        </w:rPr>
        <w:t>可根据实际情况依法决定本基金开始办理申购的具体日期，具体业务办理时间在申购开始公告中规定。基金管理人</w:t>
      </w:r>
      <w:r>
        <w:rPr>
          <w:rFonts w:hint="eastAsia" w:ascii="Times New Roman" w:hAnsi="Times New Roman"/>
          <w:sz w:val="24"/>
        </w:rPr>
        <w:t>自基金合同生效之日起不超过</w:t>
      </w:r>
      <w:r>
        <w:rPr>
          <w:rFonts w:ascii="Times New Roman" w:hAnsi="Times New Roman"/>
          <w:sz w:val="24"/>
        </w:rPr>
        <w:t>3</w:t>
      </w:r>
      <w:r>
        <w:rPr>
          <w:rFonts w:hint="eastAsia" w:ascii="Times New Roman" w:hAnsi="Times New Roman"/>
          <w:sz w:val="24"/>
        </w:rPr>
        <w:t>个月开始办理赎回业务，具体业务办理时间在赎回开始公告中规定。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、投资市场、行业及资产的流动性风险评估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本基金的投资市场主要为证券/期货交易所、全国银行间债券市场等流动性较好的规范型交易场所，投资范围为具有良好流动性的金融工具</w:t>
      </w:r>
      <w:r>
        <w:rPr>
          <w:rFonts w:ascii="宋体" w:hAnsi="宋体" w:cs="宋体"/>
          <w:sz w:val="24"/>
          <w:szCs w:val="24"/>
        </w:rPr>
        <w:t>（包括国内依法发行上市的股票</w:t>
      </w:r>
      <w:r>
        <w:rPr>
          <w:rFonts w:hint="eastAsia" w:ascii="宋体" w:hAnsi="宋体" w:cs="宋体"/>
          <w:sz w:val="24"/>
          <w:szCs w:val="24"/>
        </w:rPr>
        <w:t>和</w:t>
      </w:r>
      <w:r>
        <w:rPr>
          <w:rFonts w:ascii="宋体" w:hAnsi="宋体" w:cs="宋体"/>
          <w:sz w:val="24"/>
          <w:szCs w:val="24"/>
        </w:rPr>
        <w:t>存托凭证、</w:t>
      </w:r>
      <w:r>
        <w:rPr>
          <w:rFonts w:hint="eastAsia" w:ascii="宋体" w:hAnsi="宋体" w:cs="宋体"/>
          <w:sz w:val="24"/>
          <w:szCs w:val="24"/>
        </w:rPr>
        <w:t>港股通标的股票、</w:t>
      </w:r>
      <w:r>
        <w:rPr>
          <w:rFonts w:ascii="宋体" w:hAnsi="宋体" w:cs="宋体"/>
          <w:sz w:val="24"/>
          <w:szCs w:val="24"/>
        </w:rPr>
        <w:t>债券和货币市场工具等），并以</w:t>
      </w:r>
      <w:r>
        <w:rPr>
          <w:rFonts w:hint="eastAsia" w:ascii="宋体" w:hAnsi="宋体" w:cs="宋体"/>
          <w:sz w:val="24"/>
          <w:szCs w:val="24"/>
        </w:rPr>
        <w:t>中证A500指数</w:t>
      </w:r>
      <w:r>
        <w:rPr>
          <w:rFonts w:ascii="宋体" w:hAnsi="宋体" w:cs="宋体"/>
          <w:sz w:val="24"/>
          <w:szCs w:val="24"/>
        </w:rPr>
        <w:t>的成份股及备选成份股为主要投资对象，</w:t>
      </w:r>
      <w:r>
        <w:rPr>
          <w:rFonts w:hint="eastAsia" w:ascii="Times New Roman" w:hAnsi="Times New Roman"/>
          <w:sz w:val="24"/>
        </w:rPr>
        <w:t>标的指数成分股在行业和个券方面未有高集中度的特征，综合评估在正常市场环境下本基金的流动性风险适中。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、巨额赎回情形下的流动性风险管理措施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imes New Roman" w:hAnsi="Times New Roman"/>
          <w:sz w:val="24"/>
        </w:rPr>
        <w:t>10%</w:t>
      </w:r>
      <w:r>
        <w:rPr>
          <w:rFonts w:hint="eastAsia" w:ascii="Times New Roman" w:hAnsi="Times New Roman"/>
          <w:sz w:val="24"/>
        </w:rPr>
        <w:t>，即认为是发生了巨额赎回。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）全额赎回：当基金管理人认为有能力支付投资人的全部赎回申请时，按正常赎回程序执行。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imes New Roman" w:hAnsi="Times New Roman"/>
          <w:sz w:val="24"/>
        </w:rPr>
        <w:t>10%</w:t>
      </w:r>
      <w:r>
        <w:rPr>
          <w:rFonts w:hint="eastAsia" w:ascii="Times New Roman" w:hAnsi="Times New Roman"/>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）本基金如发生巨额赎回且单个开放日内单个基金份额持有人申请赎回的基金份额超过前一开放日的基金总份额的</w:t>
      </w:r>
      <w:r>
        <w:rPr>
          <w:rFonts w:ascii="Times New Roman" w:hAnsi="Times New Roman"/>
          <w:sz w:val="24"/>
        </w:rPr>
        <w:t>20%</w:t>
      </w:r>
      <w:r>
        <w:rPr>
          <w:rFonts w:hint="eastAsia" w:ascii="Times New Roman" w:hAnsi="Times New Roman"/>
          <w:sz w:val="24"/>
        </w:rPr>
        <w:t>时，本基金管理人有权采取如下措施：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对于基金份额持有人当日超过</w:t>
      </w:r>
      <w:r>
        <w:rPr>
          <w:rFonts w:ascii="Times New Roman" w:hAnsi="Times New Roman"/>
          <w:sz w:val="24"/>
        </w:rPr>
        <w:t>20%</w:t>
      </w:r>
      <w:r>
        <w:rPr>
          <w:rFonts w:hint="eastAsia" w:ascii="Times New Roman" w:hAnsi="Times New Roman"/>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ascii="Times New Roman" w:hAnsi="Times New Roman"/>
          <w:bCs/>
          <w:sz w:val="24"/>
        </w:rPr>
        <w:t>该类基金份额</w:t>
      </w:r>
      <w:r>
        <w:rPr>
          <w:rFonts w:hint="eastAsia" w:ascii="Times New Roman" w:hAnsi="Times New Roman"/>
          <w:sz w:val="24"/>
        </w:rPr>
        <w:t>的基金份额净值为基础计算赎回金额，以此类推，直到全部赎回为止。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对于基金份额持有人未超过上述比例的部分，基金管理人可以根据前述</w:t>
      </w:r>
      <w:r>
        <w:rPr>
          <w:rFonts w:ascii="Times New Roman" w:hAnsi="Times New Roman"/>
          <w:sz w:val="24"/>
        </w:rPr>
        <w:t>“</w:t>
      </w:r>
      <w:r>
        <w:rPr>
          <w:rFonts w:hint="eastAsia" w:ascii="Times New Roman" w:hAnsi="Times New Roman"/>
          <w:sz w:val="24"/>
        </w:rPr>
        <w:t>（</w:t>
      </w:r>
      <w:r>
        <w:rPr>
          <w:rFonts w:ascii="Times New Roman" w:hAnsi="Times New Roman"/>
          <w:sz w:val="24"/>
        </w:rPr>
        <w:t>1</w:t>
      </w:r>
      <w:r>
        <w:rPr>
          <w:rFonts w:hint="eastAsia" w:ascii="Times New Roman" w:hAnsi="Times New Roman"/>
          <w:sz w:val="24"/>
        </w:rPr>
        <w:t>）全额赎回</w:t>
      </w:r>
      <w:r>
        <w:rPr>
          <w:rFonts w:ascii="Times New Roman" w:hAnsi="Times New Roman"/>
          <w:sz w:val="24"/>
        </w:rPr>
        <w:t>”</w:t>
      </w:r>
      <w:r>
        <w:rPr>
          <w:rFonts w:hint="eastAsia" w:ascii="Times New Roman" w:hAnsi="Times New Roman"/>
          <w:sz w:val="24"/>
        </w:rPr>
        <w:t>或</w:t>
      </w:r>
      <w:r>
        <w:rPr>
          <w:rFonts w:ascii="Times New Roman" w:hAnsi="Times New Roman"/>
          <w:sz w:val="24"/>
        </w:rPr>
        <w:t>“</w:t>
      </w:r>
      <w:r>
        <w:rPr>
          <w:rFonts w:hint="eastAsia" w:ascii="Times New Roman" w:hAnsi="Times New Roman"/>
          <w:sz w:val="24"/>
        </w:rPr>
        <w:t>（</w:t>
      </w:r>
      <w:r>
        <w:rPr>
          <w:rFonts w:ascii="Times New Roman" w:hAnsi="Times New Roman"/>
          <w:sz w:val="24"/>
        </w:rPr>
        <w:t>2</w:t>
      </w:r>
      <w:r>
        <w:rPr>
          <w:rFonts w:hint="eastAsia" w:ascii="Times New Roman" w:hAnsi="Times New Roman"/>
          <w:sz w:val="24"/>
        </w:rPr>
        <w:t>）部分延期赎回</w:t>
      </w:r>
      <w:r>
        <w:rPr>
          <w:rFonts w:ascii="Times New Roman" w:hAnsi="Times New Roman"/>
          <w:sz w:val="24"/>
        </w:rPr>
        <w:t>”</w:t>
      </w:r>
      <w:r>
        <w:rPr>
          <w:rFonts w:hint="eastAsia" w:ascii="Times New Roman" w:hAnsi="Times New Roman"/>
          <w:sz w:val="24"/>
        </w:rPr>
        <w:t>的约定方式与其他基金份额持有人的赎回申请一并办理。但是，如基金份额持有人在当日选择取消赎回，则其当日未获受理的部分赎回申请将被撤销。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）暂停赎回：连续</w:t>
      </w:r>
      <w:r>
        <w:rPr>
          <w:rFonts w:ascii="Times New Roman" w:hAnsi="Times New Roman"/>
          <w:sz w:val="24"/>
        </w:rPr>
        <w:t>2</w:t>
      </w:r>
      <w:r>
        <w:rPr>
          <w:rFonts w:hint="eastAsia" w:ascii="Times New Roman" w:hAnsi="Times New Roman"/>
          <w:sz w:val="24"/>
        </w:rPr>
        <w:t>个开放日以上（含本数）发生巨额赎回，如基金管理人认为有必要，可暂停接受基金的赎回申请；已经接受的赎回申请可以延缓支付赎回款项，但不得超过</w:t>
      </w:r>
      <w:r>
        <w:rPr>
          <w:rFonts w:ascii="Times New Roman" w:hAnsi="Times New Roman"/>
          <w:sz w:val="24"/>
        </w:rPr>
        <w:t>20</w:t>
      </w:r>
      <w:r>
        <w:rPr>
          <w:rFonts w:hint="eastAsia" w:ascii="Times New Roman" w:hAnsi="Times New Roman"/>
          <w:sz w:val="24"/>
        </w:rPr>
        <w:t>个工作日，并应当在规定媒介上进行公告。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本基金在面临大规模赎回的情况下有可能因为无法变现造成流动性风险。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基金管理人将根据主袋账户运作情况合理确定申购政策，因此实施侧袋机制后主袋账户份额存在暂停申购的可能。</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（四）信用风险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基金在交易过程发生交收违约，或者基金所投资债券之发行人出现违约、拒绝支付到期本息，都可能导致基金资产损失和收益变化，从而产生风险。</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（五）本基金的特有风险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本基金为股票指数增强型基金，投资于股票（含存托凭证）占基金资产的比例不低于80%，其中投资于港股通标的股票的比例占股票资产的0%-50%；投资于中证A500指数成份股（含存托凭证）及备选成份股（含存托凭证）的比例不低于非现金基金资产的80%，因投资权益类资产而面临权益类资产市场的系统性风险和个股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、标的指数回报与股票市场平均回报偏离的风险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标的指数并不能代表整个股票市场。标的指数成份股的平均回报率与整个股票市场的平均回报率可能存在偏离。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、标的指数波动的风险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标的指数成份股的价格可能受到政治因素、经济因素、上市公司经营状况、投资人心理和交易制度等各种因素的影响而波动，导致指数波动，从而使基金收益水平发生变化，产生风险。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、基金投资组合回报与标的指数回报偏离及跟踪误差控制未达约定目标的风险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以下因素可能使基金投资组合的收益率与标的指数的收益率发生偏离，也可能使基金的跟踪误差控制未达约定目标：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）由于标的指数调整成份股或变更编制方法，使本基金在相应的组合调整中产生跟踪偏离度与跟踪误差。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）由于标的指数成份股发生配股、增发等行为导致成份股在标的指数中的权重发生变化，使本基金在相应的组合调整中产生跟踪偏离度和跟踪误差。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）标的指数成份股派发现金红利、新股市值配售收益将导致基金收益率超过标的指数收益率，产生正的跟踪偏离度。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）由于标的指数成份股停牌、摘牌或流动性差等原因使本基金无法及时调整投资组合或承担冲击成本而产生跟踪偏离度和跟踪误差。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）因法律法规的限制或其他限制，本基金可能不能投资于部分标的指数成份</w:t>
      </w:r>
      <w:r>
        <w:rPr>
          <w:rFonts w:ascii="Times New Roman" w:hAnsi="Times New Roman"/>
          <w:sz w:val="24"/>
        </w:rPr>
        <w:t>股。在使用替代方法，如投资同行业中相关性较高的股票以替代上述投资受限股票时，会产生一定的跟踪偏离度和跟踪误差。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）基金有投资成本、各种费用及税收，而指数编制不考虑费用和税收，这将导致基金收益率落后于标的指数收益率，产生负的跟踪偏离度。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）在本基金指数化投资过程中，基金管理人的管理能力，例如跟踪指数的水平、技术手段、买入卖出的时机选择等，都会对本基金的收益产生影响，从而影响本基金对标的指数的跟踪程度。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9</w:t>
      </w:r>
      <w:r>
        <w:rPr>
          <w:rFonts w:hint="eastAsia" w:ascii="Times New Roman" w:hAnsi="Times New Roman"/>
          <w:sz w:val="24"/>
        </w:rPr>
        <w:t>）在正常市场情况下，本基金力争控制本基金日均跟踪偏离度的绝对值不超过</w:t>
      </w:r>
      <w:r>
        <w:rPr>
          <w:rFonts w:ascii="Times New Roman" w:hAnsi="Times New Roman"/>
          <w:sz w:val="24"/>
        </w:rPr>
        <w:t>0.5%</w:t>
      </w:r>
      <w:r>
        <w:rPr>
          <w:rFonts w:hint="eastAsia" w:ascii="Times New Roman" w:hAnsi="Times New Roman"/>
          <w:sz w:val="24"/>
        </w:rPr>
        <w:t>，年跟踪误差不超过8</w:t>
      </w:r>
      <w:r>
        <w:rPr>
          <w:rFonts w:ascii="Times New Roman" w:hAnsi="Times New Roman"/>
          <w:sz w:val="24"/>
        </w:rPr>
        <w:t>%</w:t>
      </w:r>
      <w:r>
        <w:rPr>
          <w:rFonts w:hint="eastAsia" w:ascii="Times New Roman" w:hAnsi="Times New Roman"/>
          <w:sz w:val="24"/>
        </w:rPr>
        <w:t>。但因标的指数编制规则调整或其他因素可能导致跟踪偏离度和</w:t>
      </w:r>
      <w:r>
        <w:rPr>
          <w:rFonts w:ascii="Times New Roman" w:hAnsi="Times New Roman"/>
          <w:sz w:val="24"/>
        </w:rPr>
        <w:t>跟踪误差超过上述范围，本基金净值表现与指数价格走势可能发生较大偏离。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、指数编制机构停止服务的风险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的标的指数由指数编制机构发布并管理和维护，未来指数编制机构可能由于各种原因停止对标的指数的管理和维护，本基金将根据基金合同的约定自该情形发生之日起十个工作日内向中国证监会报告并提出解决方案，如转换运作方式，与其他基金合并或者终止基金合同等，并在</w:t>
      </w:r>
      <w:r>
        <w:rPr>
          <w:rFonts w:ascii="Times New Roman" w:hAnsi="Times New Roman"/>
          <w:sz w:val="24"/>
        </w:rPr>
        <w:t>6</w:t>
      </w:r>
      <w:r>
        <w:rPr>
          <w:rFonts w:hint="eastAsia" w:ascii="Times New Roman" w:hAnsi="Times New Roman"/>
          <w:sz w:val="24"/>
        </w:rPr>
        <w:t>个月内召集基金份额持有人大会进行表决，基金份额持有人大会未成功召开或就上述事项表决未通过的，基金合同终止。投资人将面临转换运作方式，与其他基金合并或者终止基金合同等风险。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、成份股停牌或退市的风险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标的指数成份股可能因各种原因临时或长期停牌，发生成份股停牌时可能面临如下风险：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）基金可能因无法及时调整投资组合而导致跟踪偏离度和跟踪误差扩大。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）若成份股停牌时间较长，在约定时间内仍未能及时买入或卖出的，由此可能影响投资者的投资损益并使基金产生跟踪偏离度和跟踪误差。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在极端情况下，标的指数成份股可能大面积停牌，基金可能无法及时卖出成份股以获取足额的符合要求的赎回款项，由此基金管理人可能采取暂停赎回的措施，投资者将面临无法赎回全部或部分基金份额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运作过程中，当标的指数成份股发生明显负面事件面临退市风险，且指数编制机构暂未作出调整的，基金管理人应当按照持有人利益优先的原则，履行内部决策程序后及时对相关成份股进行调整，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7</w:t>
      </w:r>
      <w:r>
        <w:rPr>
          <w:rFonts w:hint="eastAsia" w:ascii="Times New Roman" w:hAnsi="Times New Roman"/>
          <w:sz w:val="24"/>
        </w:rPr>
        <w:t>、本基金可投资创业板股票，创业板个股上市后的前五个交易日不设价格涨跌幅限制，第六个交易日开始涨跌幅限制比例为</w:t>
      </w:r>
      <w:r>
        <w:rPr>
          <w:rFonts w:ascii="Times New Roman" w:hAnsi="Times New Roman"/>
          <w:sz w:val="24"/>
        </w:rPr>
        <w:t>20%</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、投资港股通标的股票的特定风险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本基金可投资港股通标的股票，会面临港股通机制下因投资环境、投资标的、市场制度以及交易规则等差异带来的特有风险，具体如下：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（1）港股交易失败风险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（2）汇率风险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（3）境外市场的风险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2）香港市场交易规则有别于内地A股市场规则，此外，在“内地与香港股票市场交易互联互通机制”下参与香港股票投资还将面临包括但不限于如下特殊风险：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a）香港市场实行T+0回转交易机制（即当日买入的股票，在交收前可以于当日卖出），且证券交易价格并无涨跌幅上下限的规定，因此每日涨跌幅空间相对较大，可能表现出比A股更为剧烈的股价波动；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c）香港联合交易所出现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（4）本基金可根据投资策略需要或不同配置地市场环境的变化，选择将部分基金资产投资于港股通标的股票或选择不将基金资产投资于港股通标的股票，基金资产并非必然投资港股通标的股票。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以上所述因素可能会给本基金投资带来特殊交易风险。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、投资股指期货的特定风险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）市场风险是指由于股指期货价格变动而给投资者带来的风险。市场风险是股指期货投资中最主要的风险。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）流动性风险是指由于股指期货合约无法及时变现所带来的风险。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）基差风险是指股指期货合约价格和指数价格之间的价格差的波动所造成的风险，以及不同股指期货合约价格之间价格差的波动所造成的期现价差风险。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）保证金风险是指由于无法及时筹措资金满足建立或者维持股指期货合约头寸所要求的保证金而带来的风险。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）信用风险是指期货经纪公司违约而产生损失的风险。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）操作风险是指由于内部流程的不完善，业务人员出现差错或者疏漏，或者系统出现故障等原因造成损失的风险。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此外，由于衍生品通常具有杠杆效应，价格波动比标的工具更为剧烈，并且其定价相当复杂，不适当的估值也有可能使基金资产面临损失风险。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0</w:t>
      </w:r>
      <w:r>
        <w:rPr>
          <w:rFonts w:hint="eastAsia" w:ascii="Times New Roman" w:hAnsi="Times New Roman"/>
          <w:sz w:val="24"/>
        </w:rPr>
        <w:t>、投资资产支持证券的特定风险</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sz w:val="24"/>
        </w:rPr>
        <w:t>本基金可投资资产支持证券，资产支持证券具有一定的价格波动风险、流动性风险、信用风险等风险，基金管理人将本着谨慎和控制风险的原则进行资产支持证券投资，请基金份额持有人关注包括投资资</w:t>
      </w:r>
      <w:r>
        <w:rPr>
          <w:rFonts w:hint="eastAsia" w:ascii="Times New Roman" w:hAnsi="Times New Roman"/>
          <w:kern w:val="0"/>
          <w:sz w:val="24"/>
          <w:szCs w:val="24"/>
        </w:rPr>
        <w:t>产支持证券可能导致的基金净值波动在内的各项风险。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、投资流通受限证券的特定风险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12</w:t>
      </w:r>
      <w:r>
        <w:rPr>
          <w:rFonts w:hint="eastAsia" w:ascii="Times New Roman" w:hAnsi="Times New Roman"/>
          <w:sz w:val="24"/>
        </w:rPr>
        <w:t>、投资存托凭证的特定风险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、投资科创板股票的特定风险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）市场风险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科创板个股上市后的前五个交易日无涨跌停限制，其后涨跌幅限制为</w:t>
      </w:r>
      <w:r>
        <w:rPr>
          <w:rFonts w:ascii="Times New Roman" w:hAnsi="Times New Roman"/>
          <w:sz w:val="24"/>
        </w:rPr>
        <w:t>20%</w:t>
      </w:r>
      <w:r>
        <w:rPr>
          <w:rFonts w:hint="eastAsia" w:ascii="Times New Roman" w:hAnsi="Times New Roman"/>
          <w:sz w:val="24"/>
        </w:rPr>
        <w:t>，科创板股票上市首日即可作为融资融券标的，可能导致较大的股票价格波动。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科创板整体投资门槛较高，二级市场上个人投资者参与度相对较低，机构持有个股大量流通盘导致个股流动性较差，基金组合存在无法及时变现及其他相关流动性风险。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）退市风险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科创板退市制度较主板更为严格，且不再设置暂停上市、恢复上市和重新上市环节，上市公司退市风险更大。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）系统性风险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科创板企业均为市场认可度较高的科技创新企业，在企业经营及盈利模式上存在趋同，所以科创板个股相关性较高，市场表现不佳时，系统性风险将更为显著。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）政策风险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国家对高新技术产业扶持力度及重视程度的变化会对科创板企业带来较大影响，国际经济形势变化对战略新兴产业及科创板个股也会带来政策影响。</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、本基金参与融资业务的特定风险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本基金可根据法律法规的规定参与融资业务，面临的风险包括但不限于：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1）市场风险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可能放大投资损失的风险：融资业务具有杠杆效应，它在放大投资收益的同时也必然放大投资风险。将股票作为担保品进行融资交易时，既需要承担原有的股票价格下跌带来的风险，又得承担融资买入股票带来的风险，同时还须支付相应的利息和费用，由此承担的风险可能远远超过普通证券交易。</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2）利率变动带来的成本加大风险：在从事融资交易期间，如中国人民银行规定的同期贷款基准利率调高，证券公司将相应调高融资利率，投资成本也因为利率的上调而增加，将面临融资成本增加的风险。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强制平仓风险：融资交易中，投资组合与证券公司间除了普通交易的委托买卖关系外，还存在着较为复杂的债权债务关系，以及由于债权债务产生的信托关系和担保关系。证券公司为保护自身债权，对投资组合信用账户的资产负债情况实时监控，在一定条件下可以对投资组合担保资产执行强制平仓,且平仓的品种、数量、价格、时机将不受投资组合的控制，平仓的数额可能超过全部负债，由此给投资组合带来损失。</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外部监管风险：在融资交易出现异常或市场出现系统性风险时，监管部门、证券交易所和证券公司都将可能对融资交易采取相应措施，例如提高融资保证金比例、维持担保比例和强制平仓的条件等，以维护市场平稳运行。这些措施将可能给本金带来杠杆效应降低、甚至提前进入追加担保物或强制平仓状态等潜在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融资业务的流动性风险主要指当基金不能按照约定的期限清偿债务，或上市证券价格波动导致担保物价值与融资债务之间的比例低于平仓维持担保比例，且不能按照约定的时间追加担保物时面临强制平仓的风险。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3）信用风险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信用风险主要指交易对手违约产生的风险。一方面，如果证券公司没有按照融资合同的要求履行义务可能带来风险；另一方面，若在从事融资交易期间，证券公司融资业务资格、融资业务交易权限被取消或被暂停，证券公司可能无法履约，则投资组合可能会面临一定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15</w:t>
      </w:r>
      <w:r>
        <w:rPr>
          <w:rFonts w:hint="eastAsia" w:ascii="Times New Roman" w:hAnsi="Times New Roman"/>
          <w:sz w:val="24"/>
        </w:rPr>
        <w:t>、本基金参与转融通证券出借业务的特定风险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本基金可根据法律法规和基金合同的约定参与转融通证券出借业务，面临的风险包括但不限于：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面对大额赎回时，可能因证券出借原因发生无法及时变现、支付赎回款项的风险；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2）信用风险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证券出借对手方可能无法及时归还证券、无法支付相应权益补偿及借券费用的风险；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3）市场风险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证券出借后可能面临出借期间无法及时处置证券的风险；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）其他风险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如宏观政策变化、证券市场剧烈波动、个别证券出现重大事件、交易对手方违约、业务规则调整、信息技术不能正常运行等风险。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6</w:t>
      </w:r>
      <w:r>
        <w:rPr>
          <w:rFonts w:hint="eastAsia" w:ascii="Times New Roman" w:hAnsi="Times New Roman"/>
          <w:sz w:val="24"/>
        </w:rPr>
        <w:t>、基金合同提前终止风险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为发起式基金，《基金合同》生效之日起三年后的对应日，若基金资产净值低于2亿元，基金合同自动终止，且不得通过召开基金份额持有人大会的方式延续《基金合同》期限。因此，投资人可能面临基金合同提前终止的不确定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7</w:t>
      </w:r>
      <w:r>
        <w:rPr>
          <w:rFonts w:hint="eastAsia" w:ascii="Times New Roman" w:hAnsi="Times New Roman"/>
          <w:sz w:val="24"/>
        </w:rPr>
        <w:t>、指数增强投资策略面临的风险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本基金</w:t>
      </w:r>
      <w:r>
        <w:rPr>
          <w:rFonts w:hint="eastAsia" w:ascii="Times New Roman" w:hAnsi="Times New Roman"/>
          <w:sz w:val="24"/>
        </w:rPr>
        <w:t>为指数增强基金，</w:t>
      </w:r>
      <w:r>
        <w:rPr>
          <w:rFonts w:ascii="宋体" w:hAnsi="宋体" w:cs="宋体"/>
          <w:sz w:val="24"/>
          <w:szCs w:val="24"/>
        </w:rPr>
        <w:t>在一定的跟踪误差约束范围内</w:t>
      </w:r>
      <w:r>
        <w:rPr>
          <w:rFonts w:hint="eastAsia" w:ascii="宋体" w:hAnsi="宋体" w:cs="宋体"/>
          <w:sz w:val="24"/>
          <w:szCs w:val="24"/>
        </w:rPr>
        <w:t>，</w:t>
      </w:r>
      <w:r>
        <w:rPr>
          <w:rFonts w:ascii="Times New Roman" w:hAnsi="Times New Roman"/>
          <w:sz w:val="24"/>
        </w:rPr>
        <w:t>追求超越业绩比较基准的投资回报。</w:t>
      </w:r>
      <w:r>
        <w:rPr>
          <w:rFonts w:ascii="宋体" w:hAnsi="宋体" w:cs="宋体"/>
          <w:sz w:val="24"/>
          <w:szCs w:val="24"/>
        </w:rPr>
        <w:t>为此，本基金可能在一定幅度内减少或增加部分标的指数成份股的投资比例，甚至从投资组合中剔除个别标的指数成份股，或在标的指数成份股之外进行投资。</w:t>
      </w:r>
      <w:r>
        <w:rPr>
          <w:rFonts w:ascii="Times New Roman" w:hAnsi="Times New Roman"/>
          <w:sz w:val="24"/>
        </w:rPr>
        <w:t>由于</w:t>
      </w:r>
      <w:r>
        <w:rPr>
          <w:rFonts w:hint="eastAsia" w:ascii="Times New Roman" w:hAnsi="Times New Roman"/>
          <w:sz w:val="24"/>
        </w:rPr>
        <w:t>增强</w:t>
      </w:r>
      <w:r>
        <w:rPr>
          <w:rFonts w:ascii="Times New Roman" w:hAnsi="Times New Roman"/>
          <w:sz w:val="24"/>
        </w:rPr>
        <w:t>策略的表现存在不确定性，本基金进行增强投资的结果既可能超越业绩比较基准，也可能落后于业绩比较基准</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18、基金转型的风险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因此，本基金存在自动转型的风险。</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（六）本基金法律文件风险收益特征表述与销售机构基金风险评价可能不一致的风险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（七）其他风险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、因技术因素而产生的风险，如电脑系统不可靠产生的风险；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、因基金业务快速发展，在制度建设、人员配备、内控制度建立等方面的不完善产生的风险；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、因人为因素而产生的风险、如内幕交易、欺诈行为等产生的风险；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、对主要业务人员如基金经理的依赖而可能产生的风险；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、因业务竞争压力可能产生的风险；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、战争、自然灾害等不可抗力可能导致基金财产的损失，影响基金收益水平，从而带来风险；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、其他意外导致的风险。</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59" w:name="_Toc23211"/>
      <w:bookmarkStart w:id="60" w:name="_Toc147840636"/>
      <w:bookmarkStart w:id="61" w:name="_Hlk215091076"/>
      <w:r>
        <w:rPr>
          <w:rFonts w:hint="eastAsia" w:ascii="Times New Roman" w:hAnsi="Times New Roman"/>
          <w:sz w:val="30"/>
        </w:rPr>
        <w:t>十八、基金合同的变更、终止与基金财产的清算</w:t>
      </w:r>
      <w:bookmarkEnd w:id="59"/>
      <w:bookmarkEnd w:id="60"/>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（一）《基金合同》的变更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w:t>
      </w:r>
      <w:r>
        <w:rPr>
          <w:rFonts w:ascii="Times New Roman" w:hAnsi="Times New Roman"/>
          <w:sz w:val="24"/>
        </w:rPr>
        <w:t>报中国证监会备案。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（二）《基金合同》的终止事由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、基金份额持有人大会决定终止的；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、基金管理人、基金托管人职责终止，在</w:t>
      </w:r>
      <w:r>
        <w:rPr>
          <w:rFonts w:ascii="Times New Roman" w:hAnsi="Times New Roman"/>
          <w:sz w:val="24"/>
        </w:rPr>
        <w:t>6</w:t>
      </w:r>
      <w:r>
        <w:rPr>
          <w:rFonts w:hint="eastAsia" w:ascii="Times New Roman" w:hAnsi="Times New Roman"/>
          <w:sz w:val="24"/>
        </w:rPr>
        <w:t>个月内没有新基金管理人、新基金托管人承接的；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、相关法律法规和中国证监会规定的其他情况。</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（三）基金财产的清算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、基金财产清算小组：自出现《基金合同》终止事由之日起</w:t>
      </w:r>
      <w:r>
        <w:rPr>
          <w:rFonts w:ascii="Times New Roman" w:hAnsi="Times New Roman"/>
          <w:sz w:val="24"/>
        </w:rPr>
        <w:t>30</w:t>
      </w:r>
      <w:r>
        <w:rPr>
          <w:rFonts w:hint="eastAsia" w:ascii="Times New Roman" w:hAnsi="Times New Roman"/>
          <w:sz w:val="24"/>
        </w:rPr>
        <w:t>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、基金财产清算程序：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）《基金合同》终止情形出现时，由基金财产清算小组统一接管基金</w:t>
      </w:r>
      <w:r>
        <w:rPr>
          <w:rFonts w:hint="eastAsia" w:ascii="Times New Roman" w:hAnsi="Times New Roman"/>
          <w:bCs/>
          <w:sz w:val="24"/>
        </w:rPr>
        <w:t>财产</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）对基金财产进行估值和变现；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）制作清算报告；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）聘请</w:t>
      </w:r>
      <w:r>
        <w:rPr>
          <w:bCs/>
          <w:sz w:val="24"/>
        </w:rPr>
        <w:t>符合《中华人民共和国证券法》规定的</w:t>
      </w:r>
      <w:r>
        <w:rPr>
          <w:rFonts w:hint="eastAsia" w:ascii="Times New Roman" w:hAnsi="Times New Roman"/>
          <w:sz w:val="24"/>
        </w:rPr>
        <w:t>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）对基金剩余财产进行分配。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、基金财产清算的期限为</w:t>
      </w:r>
      <w:r>
        <w:rPr>
          <w:rFonts w:ascii="Times New Roman" w:hAnsi="Times New Roman"/>
          <w:sz w:val="24"/>
        </w:rPr>
        <w:t>6</w:t>
      </w:r>
      <w:r>
        <w:rPr>
          <w:rFonts w:hint="eastAsia" w:ascii="Times New Roman" w:hAnsi="Times New Roman"/>
          <w:sz w:val="24"/>
        </w:rPr>
        <w:t>个月，但因本基金所持证券的流动性受到限制而不能及时变现的，清算期限相应顺延。</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（四）清算费用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清算费用是指基金财产清算小组在进行基金财产</w:t>
      </w:r>
      <w:r>
        <w:rPr>
          <w:rFonts w:ascii="Times New Roman" w:hAnsi="Times New Roman"/>
          <w:sz w:val="24"/>
        </w:rPr>
        <w:t>清算过程中发生的所有合理费用，清算费用由基金财产清算小组优先从基金财产中支付。</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（五）基金财产清算剩余资产的分配</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pPr>
        <w:autoSpaceDE/>
        <w:autoSpaceDN/>
        <w:adjustRightInd/>
        <w:snapToGrid/>
        <w:spacing w:line="360" w:lineRule="auto"/>
        <w:ind w:firstLine="480" w:firstLineChars="200"/>
        <w:jc w:val="left"/>
        <w:rPr>
          <w:rFonts w:hint="eastAsia" w:ascii="Times New Roman" w:hAnsi="Times New Roman"/>
          <w:sz w:val="24"/>
        </w:rPr>
      </w:pP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基金份额所计提的销售服务费，或者通过其他销售机构认购/申购的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基金份额持续持有超过一年后所计提的销售服务费，将在基金合同终止时随剩余资产分配款项一并返还给投资人。</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（六）基金财产清算的公告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清算过程中的有关重大事项须及时公告；基金财产清算报告经</w:t>
      </w:r>
      <w:r>
        <w:rPr>
          <w:rFonts w:hint="eastAsia" w:ascii="Times New Roman" w:hAnsi="Times New Roman"/>
          <w:bCs/>
          <w:sz w:val="24"/>
        </w:rPr>
        <w:t>符合《中华人民共和国证券法》规定的</w:t>
      </w:r>
      <w:r>
        <w:rPr>
          <w:rFonts w:hint="eastAsia" w:ascii="Times New Roman" w:hAnsi="Times New Roman"/>
          <w:sz w:val="24"/>
        </w:rPr>
        <w:t>会计师事务所审计并由律师事务所出具法律意见书后报中国证监会备案并公告。基金财产清算公告于基金财产清算报告报中国证监会备案后</w:t>
      </w:r>
      <w:r>
        <w:rPr>
          <w:rFonts w:ascii="Times New Roman" w:hAnsi="Times New Roman"/>
          <w:sz w:val="24"/>
        </w:rPr>
        <w:t>5</w:t>
      </w:r>
      <w:r>
        <w:rPr>
          <w:rFonts w:hint="eastAsia" w:ascii="Times New Roman" w:hAnsi="Times New Roman"/>
          <w:sz w:val="24"/>
        </w:rPr>
        <w:t>个工作日内由基金财产清算小组进行公告，基金财产清算小组应当将清算报告登载在规定网站上，并将清算报告提示性公告登载在规定报刊上。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基金财产清算账册及有关文件由基金托管人保存</w:t>
      </w:r>
      <w:r>
        <w:rPr>
          <w:rFonts w:hint="eastAsia" w:ascii="Times New Roman" w:hAnsi="Times New Roman"/>
          <w:bCs/>
          <w:sz w:val="24"/>
        </w:rPr>
        <w:t>不低于法律法规规定的最低期限。</w:t>
      </w:r>
    </w:p>
    <w:bookmarkEnd w:id="61"/>
    <w:p>
      <w:pPr>
        <w:rPr>
          <w:rFonts w:hint="eastAsia" w:ascii="Times New Roman" w:hAnsi="Times New Roman"/>
          <w:sz w:val="30"/>
        </w:rPr>
      </w:pPr>
      <w:bookmarkStart w:id="62" w:name="_Toc147840637"/>
      <w:r>
        <w:rPr>
          <w:rFonts w:hint="eastAsia" w:ascii="Times New Roman" w:hAnsi="Times New Roman"/>
          <w:sz w:val="30"/>
        </w:rPr>
        <w:br w:type="page"/>
      </w:r>
    </w:p>
    <w:p>
      <w:pPr>
        <w:pStyle w:val="2"/>
        <w:snapToGrid w:val="0"/>
        <w:spacing w:before="240" w:beforeLines="0" w:after="240"/>
        <w:rPr>
          <w:rFonts w:ascii="Times New Roman" w:hAnsi="Times New Roman"/>
          <w:szCs w:val="30"/>
        </w:rPr>
      </w:pPr>
      <w:bookmarkStart w:id="63" w:name="_Toc30882"/>
      <w:r>
        <w:rPr>
          <w:rFonts w:hint="eastAsia" w:ascii="Times New Roman" w:hAnsi="Times New Roman"/>
          <w:sz w:val="30"/>
        </w:rPr>
        <w:t>十九、基金合同内容摘要</w:t>
      </w:r>
      <w:bookmarkEnd w:id="62"/>
      <w:bookmarkEnd w:id="63"/>
    </w:p>
    <w:p>
      <w:pPr>
        <w:autoSpaceDE w:val="0"/>
        <w:autoSpaceDN w:val="0"/>
        <w:adjustRightInd w:val="0"/>
        <w:snapToGrid w:val="0"/>
        <w:spacing w:line="360" w:lineRule="auto"/>
        <w:ind w:firstLine="482" w:firstLineChars="200"/>
        <w:jc w:val="left"/>
        <w:rPr>
          <w:rFonts w:ascii="Times New Roman" w:hAnsi="Times New Roman"/>
          <w:b/>
          <w:szCs w:val="24"/>
        </w:rPr>
      </w:pPr>
      <w:bookmarkStart w:id="64" w:name="_Hlk181459177"/>
      <w:r>
        <w:rPr>
          <w:rFonts w:hint="eastAsia" w:ascii="Times New Roman" w:hAnsi="Times New Roman"/>
          <w:b/>
          <w:sz w:val="24"/>
        </w:rPr>
        <w:t>（一）基金份额持有人、基金管理人和基金托管人的权利与义务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、基金管理人的权利与义务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）根据《基金法》、《运作办法》及其他有关规定，基金管理人的权利包括但不限于：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）依法募集资金；</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）自《基金合同》生效之日起，根据法律法规和《基金合同》独立运用并管理基金财产；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）依照《基金合同》收取基金管理费以及法律法规规定或中国证监会批准的其他费用；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）销售基金份额；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）按照规定召集基金份额持有人大会；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）依据《基金合同》及有关法律规定监督基金托管人，如认为基金托管人违反了《基金合同》及国家有关法律规定，应呈报中国证监会和其他监管部门，并采取必要措施保护基金投资者的利益；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）在基金托管人更换时，提名新的基金托管人；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）选择、更换基金销售机构，对基金销售机构的相关行为进行监督和处理；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）担任或委托其他符合条件的机构担任基金登记机构办理基金登记业务并获得《基金合同》规定的费用；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）依据《基金合同》及有关法律规定决定基金收益的分配方案；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）在《基金合同》约定的范围内，拒绝或暂停受理申购与赎回申请；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）依照法律法规为基金的利益对被投资公司行使股东权利，为基金的利益行使因基金财产投资于证券所产生的权利；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）在法律法规允许的前提下，为基金的利益依法为基金进行融资及转融通证券出借业务；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w:t>
      </w:r>
      <w:r>
        <w:rPr>
          <w:rFonts w:hint="eastAsia" w:ascii="Times New Roman" w:hAnsi="Times New Roman"/>
          <w:sz w:val="24"/>
        </w:rPr>
        <w:t>）以基金管理人的名义，代表基金份额持有人的利益行使诉讼权利或者实施其他法律行为；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）选择、更换律师事务所、会计师事务所、证券经纪商</w:t>
      </w:r>
      <w:r>
        <w:rPr>
          <w:rFonts w:hint="eastAsia" w:ascii="Times New Roman" w:hAnsi="Times New Roman"/>
          <w:bCs/>
          <w:sz w:val="24"/>
        </w:rPr>
        <w:t>、期货经纪机构</w:t>
      </w:r>
      <w:r>
        <w:rPr>
          <w:rFonts w:hint="eastAsia" w:ascii="Times New Roman" w:hAnsi="Times New Roman"/>
          <w:sz w:val="24"/>
        </w:rPr>
        <w:t>或其他为基金提供服务的外部机构；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）在符合有关法律、法规的前提下，制定和调整有关基金认购、申购、赎回、转换等的业务规则；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w:t>
      </w:r>
      <w:r>
        <w:rPr>
          <w:rFonts w:hint="eastAsia" w:ascii="Times New Roman" w:hAnsi="Times New Roman"/>
          <w:sz w:val="24"/>
        </w:rPr>
        <w:t>）法律法规及中国证监会规定的和《基金合同》约定的其他权利。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）根据《基金法》、《运作办法》及其他有关规定，基金管理人的义务包括但不限于：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）依法募集资金，办理或者委托经中国证监会认定的其他机构办理基金份额的发售、申购、赎回和登记事宜；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）办理基金备案手续；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）自《基金合同》生效之日起，以诚实信用、谨慎勤勉的原则管理和运用基金财产；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）建立健全内部风险控制、监察与稽核、财务管理及人事管理等制度，保证所管理的基金财产和基金管理人的财产相互独立，对所管理的不同基金分别管理，分别记账，进行证券投资；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）除依据《基金法》、《基金合同》及其他有关规定外，不得利用基金财产为自己及任何第三人谋取利益，不得委托第三人运作基金财产；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）依法接受基金托管人的监督；</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）采取适当合理的措施使计算基金份额认购、申购、赎回和注销价格的方法符合《基金合同》等法律文件的规定，按有关规定计算并公告基金净值信息，确定基金份额申购、赎回的价格；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）进行基金会计核算并编制基金财务会计报告；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）编制季度报告、中期报告和年度报告；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）按《基金合同》的约定确定基金收益分配方案，及时向基金份额持有人分配基金收益；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w:t>
      </w:r>
      <w:r>
        <w:rPr>
          <w:rFonts w:hint="eastAsia" w:ascii="Times New Roman" w:hAnsi="Times New Roman"/>
          <w:sz w:val="24"/>
        </w:rPr>
        <w:t>）按规定受理申购与赎回申请，及时、足额支付赎回款项；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）按规定保存基金财产管理业务活动的会计账册、报表、记录和其他相关资料</w:t>
      </w:r>
      <w:r>
        <w:rPr>
          <w:rFonts w:hint="eastAsia" w:ascii="Times New Roman" w:hAnsi="Times New Roman"/>
          <w:bCs/>
          <w:sz w:val="24"/>
        </w:rPr>
        <w:t>不低于法律法规规定的最低期限</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w:t>
      </w:r>
      <w:r>
        <w:rPr>
          <w:rFonts w:hint="eastAsia" w:ascii="Times New Roman" w:hAnsi="Times New Roman"/>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w:t>
      </w:r>
      <w:r>
        <w:rPr>
          <w:rFonts w:hint="eastAsia" w:ascii="Times New Roman" w:hAnsi="Times New Roman"/>
          <w:sz w:val="24"/>
        </w:rPr>
        <w:t>）组织并参加基金财产清算小组，参与基金财产的保管、清理、估价、变现和分配；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w:t>
      </w:r>
      <w:r>
        <w:rPr>
          <w:rFonts w:hint="eastAsia" w:ascii="Times New Roman" w:hAnsi="Times New Roman"/>
          <w:sz w:val="24"/>
        </w:rPr>
        <w:t>）面临解散、依法被撤销或者被依法宣告破产时，及时报告中国证监会并通知基金托管人；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w:t>
      </w:r>
      <w:r>
        <w:rPr>
          <w:rFonts w:hint="eastAsia" w:ascii="Times New Roman" w:hAnsi="Times New Roman"/>
          <w:sz w:val="24"/>
        </w:rPr>
        <w:t>）因违反《基金合同》导致基金财产的损失或损害基金份额持有人合法权益时，应当承担赔偿责任，其赔偿责任不因其退任而免除；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21</w:t>
      </w:r>
      <w:r>
        <w:rPr>
          <w:rFonts w:hint="eastAsia" w:ascii="Times New Roman" w:hAnsi="Times New Roman"/>
          <w:sz w:val="24"/>
        </w:rPr>
        <w:t>）监督基金托管人按法律法规和《基金合同》规定履行自己的义务，基金托管人违反《基金合同》造成基金财产损失时，基金管理人应为基金份额持有人利益向基金托管人追偿；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w:t>
      </w:r>
      <w:r>
        <w:rPr>
          <w:rFonts w:hint="eastAsia" w:ascii="Times New Roman" w:hAnsi="Times New Roman"/>
          <w:sz w:val="24"/>
        </w:rPr>
        <w:t>）当基金管理人将其义务委托第三方处理时，应当对第三方处理有关基金事务的行为承担责任；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23</w:t>
      </w:r>
      <w:r>
        <w:rPr>
          <w:rFonts w:hint="eastAsia" w:ascii="Times New Roman" w:hAnsi="Times New Roman"/>
          <w:sz w:val="24"/>
        </w:rPr>
        <w:t>）以基金管理人名义，代表基金份额持有人利益行使诉讼权利或实施其他法律行为；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24</w:t>
      </w:r>
      <w:r>
        <w:rPr>
          <w:rFonts w:hint="eastAsia" w:ascii="Times New Roman" w:hAnsi="Times New Roman"/>
          <w:sz w:val="24"/>
        </w:rPr>
        <w:t>）基金管理人在募集期间未能达到基金的备案条件，《基金合同》不能生效，基金管理人承担因募集行为而产生的债务和费用，将已募集资金并加计银行同期活期存款利息在基金募集期结束后</w:t>
      </w:r>
      <w:r>
        <w:rPr>
          <w:rFonts w:ascii="Times New Roman" w:hAnsi="Times New Roman"/>
          <w:sz w:val="24"/>
        </w:rPr>
        <w:t>30</w:t>
      </w:r>
      <w:r>
        <w:rPr>
          <w:rFonts w:hint="eastAsia" w:ascii="Times New Roman" w:hAnsi="Times New Roman"/>
          <w:sz w:val="24"/>
        </w:rPr>
        <w:t>日内退还基金认购人；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25</w:t>
      </w:r>
      <w:r>
        <w:rPr>
          <w:rFonts w:hint="eastAsia" w:ascii="Times New Roman" w:hAnsi="Times New Roman"/>
          <w:sz w:val="24"/>
        </w:rPr>
        <w:t>）执行生效的基金份额持有人大会的决议；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26</w:t>
      </w:r>
      <w:r>
        <w:rPr>
          <w:rFonts w:hint="eastAsia" w:ascii="Times New Roman" w:hAnsi="Times New Roman"/>
          <w:sz w:val="24"/>
        </w:rPr>
        <w:t>）建立并保存基金份额持有人名册；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27</w:t>
      </w:r>
      <w:r>
        <w:rPr>
          <w:rFonts w:hint="eastAsia" w:ascii="Times New Roman" w:hAnsi="Times New Roman"/>
          <w:sz w:val="24"/>
        </w:rPr>
        <w:t>）法律法规及中国证监会规定的和《基金合同》约定的其他义务。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、基金托管人的权利与义务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）根据《基金法》、《运作办法》及其他有关规定，基金托管人的权利包括但不限于：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）自《基金合同》生效之日起，依法律法规和《基金合同》的规定安全保管基金财产；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）依《基金合同》约定获得基金托管费以及法律法规规定或监管部门批准的其他费用；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）根据相关市场规则，为基金开设资金账户、证券账户等投资所需账户，为基金办理证券交易资金清算；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）提议召开或召集基金份额持有人大会；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）在基金管理人更换时，提名新的基金管理人；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）根据《基金法》、《运作办法》及其他有关规定，基金托管人的义务包括但不限于：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）以诚实信用、勤勉尽责的原则持有并安全保管基金财产；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）设立专门的基金托管部门，具有符合要求的营业场所，配备足够的、合格的熟悉基金托管业务的专职人员，负责基金财产托管事宜；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）除依据《基金法》、《基金合同》及其他有关规定外，不得利用基金财产为自己及任何第三人谋取利益，不得委托第三人托管基金财产；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）按规定开设基金财产的资金账户、证券账户等投资所需账户，按照《基金合同》的约定，根据基金管理人的投资指令，及时办理清算、交割事宜；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）保守基金商业秘密，除《基金法》、《基金合同》及其他有关规定另有规定外，在基金信息公开披露前予以保密，不得向他人泄露；</w:t>
      </w:r>
      <w:r>
        <w:rPr>
          <w:rFonts w:hint="eastAsia" w:ascii="Times New Roman" w:hAnsi="Times New Roman"/>
          <w:bCs/>
          <w:sz w:val="24"/>
        </w:rPr>
        <w:t>但根据监管机构、司法机关等有权机关的要求提供，或因审计、法律等外部专业顾问提供服务需要提供的情况除外；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）复核、审查基金管理人计算的基金资产净值、各类基金份额净值、基金份额申购、赎回价格；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）办理与基金托管业务活动有关的信息披露事项；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）保存基金托管业务活动的记录、账册、报表和其他相关资料</w:t>
      </w:r>
      <w:r>
        <w:rPr>
          <w:rFonts w:hint="eastAsia" w:ascii="Times New Roman" w:hAnsi="Times New Roman"/>
          <w:bCs/>
          <w:sz w:val="24"/>
        </w:rPr>
        <w:t>不低于法律法规规定的最低期限</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）建立并保存基金份额持有人名册；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）按规定制作相关账册并与基金管理人核对；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w:t>
      </w:r>
      <w:r>
        <w:rPr>
          <w:rFonts w:hint="eastAsia" w:ascii="Times New Roman" w:hAnsi="Times New Roman"/>
          <w:sz w:val="24"/>
        </w:rPr>
        <w:t>）依据基金管理人的指令或有关规定向基金份额持有人支付基金收益和赎回款项；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w:t>
      </w:r>
      <w:r>
        <w:rPr>
          <w:rFonts w:hint="eastAsia" w:ascii="Times New Roman" w:hAnsi="Times New Roman"/>
          <w:sz w:val="24"/>
        </w:rPr>
        <w:t>）依据《基金法》、《基金合同》及其他有关规定，召集基金份额持有人大会或配合基金管理人、基金份额持有人依法召集基金份额持有人大会；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w:t>
      </w:r>
      <w:r>
        <w:rPr>
          <w:rFonts w:hint="eastAsia" w:ascii="Times New Roman" w:hAnsi="Times New Roman"/>
          <w:sz w:val="24"/>
        </w:rPr>
        <w:t>）按照法律法规和《基金合同》的规定监督基金管理人的投资运作；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w:t>
      </w:r>
      <w:r>
        <w:rPr>
          <w:rFonts w:hint="eastAsia" w:ascii="Times New Roman" w:hAnsi="Times New Roman"/>
          <w:sz w:val="24"/>
        </w:rPr>
        <w:t>）参加基金财产清算小组，参与基金财产的保管、清理、估价、变现和分配；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w:t>
      </w:r>
      <w:r>
        <w:rPr>
          <w:rFonts w:hint="eastAsia" w:ascii="Times New Roman" w:hAnsi="Times New Roman"/>
          <w:sz w:val="24"/>
        </w:rPr>
        <w:t>）面临解散、依法被撤销或者被依法宣告破产时，及时报告中国证监会和银行业监督管理机构，并通知基金管理人；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w:t>
      </w:r>
      <w:r>
        <w:rPr>
          <w:rFonts w:hint="eastAsia" w:ascii="Times New Roman" w:hAnsi="Times New Roman"/>
          <w:sz w:val="24"/>
        </w:rPr>
        <w:t>）因违反《基金合同》导致基金财产损失时，应承担赔偿责任，其赔偿责任不因其退任而免除；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w:t>
      </w:r>
      <w:r>
        <w:rPr>
          <w:rFonts w:hint="eastAsia" w:ascii="Times New Roman" w:hAnsi="Times New Roman"/>
          <w:sz w:val="24"/>
        </w:rPr>
        <w:t>）按规定监督基金管理人按法律法规和《基金合同》规定履行自己的义务，基金管理人因违反《基金合同》造成基金财产损失时，应为基金份额持有人利益向基金管理人追偿；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21</w:t>
      </w:r>
      <w:r>
        <w:rPr>
          <w:rFonts w:hint="eastAsia" w:ascii="Times New Roman" w:hAnsi="Times New Roman"/>
          <w:sz w:val="24"/>
        </w:rPr>
        <w:t>）执行生效的基金份额持有人大会的决议；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w:t>
      </w:r>
      <w:r>
        <w:rPr>
          <w:rFonts w:hint="eastAsia" w:ascii="Times New Roman" w:hAnsi="Times New Roman"/>
          <w:sz w:val="24"/>
        </w:rPr>
        <w:t>）法律法规及中国证监会规定的和《基金合同》约定的其他义务。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、基金份额持有人的权利与义务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基金投资者持有本基金基金份额的行为即视为对《基金合同》的承认和接受，基金投资者自依据《基金合同》取得本基金基金份额，即成为本</w:t>
      </w:r>
      <w:r>
        <w:rPr>
          <w:rFonts w:hint="eastAsia" w:ascii="Times New Roman" w:hAnsi="Times New Roman"/>
          <w:bCs/>
          <w:sz w:val="24"/>
        </w:rPr>
        <w:t>基金</w:t>
      </w:r>
      <w:r>
        <w:rPr>
          <w:rFonts w:hint="eastAsia" w:ascii="Times New Roman" w:hAnsi="Times New Roman"/>
          <w:sz w:val="24"/>
        </w:rPr>
        <w:t>基金份额持有人和《基金合同》的当事人，直至其不再持有本基金的基金份额。基金份额持有人作为《基金合同》当事人并不以在《基金合同》上书面签章或签字为必要条件。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同一类别每份基金份额具有同等的合法权益。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）根据《基金法》、《运作办法》及其他有关规定，基金份额持有人的权利包括但不限于：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）分享基金财产收益；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）参与分配清算后的剩余基金财产；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）依法并按照基金合同和招募说明书的规定转让或者申请赎回其持有的基金份额；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）按照规定要求召开基金份额持有人大会或者召集基金份额持有人大会；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）查阅或者复制公开披露的基金信息资料；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）监督基金管理人的投资运作；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）对基金管理人、基金托管人、基金服务机构损害其合法权益的行为依法提起诉讼或仲裁；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）根据《基金法》、《运作办法》及其他有关规定，基金份额持有人的义务包括但不限于：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）认真阅读并遵守《基金合同》、招募说明书等信息披露文件；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）了解所投资基金产品，了解自身风险承受能力，自主判断基金的投资价值，自主做出投资决策，自行承担投资风险；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）关注基金信息披露，及时行使权利和履行义务；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）交纳基金认购、申购款项及法律法规和《基金合同》所规定的费用；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）在其持有的基金份额范围内，承担基金亏损或者《基金合同》终止的有限责任；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）不从事任何有损基金及其他《基金合同》当事人合法权益的活动；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）返还在基金交易过程中因任何原因获得的不当得利；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）遵守基金管理人、基金托管人、销售机构和登记机构的相关交易及业务规则；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）提供基金管理人和监管机构依法要求提供的信息，以及不时的更新和补充，并保证其真实性；</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）发起资金提供方持有认购的基金份额的期限自《基金合同》生效日起不少于3年；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12）法律法规及中国证监会规定的和《基金合同》约定的其他义务。</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（二）基金份额持有人大会召集、议事及表决的程序和规则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基金份额持有人大会由基金份额持有人组成，基金份额持有人的合法授权代表有权代表基金份额持有人出席会议并表决。基金份额持有人持有的每一基金份额拥有平等的投票权。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本基金份额持有人大会不设日常机构。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、召开事由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）当出现或需要决定下列事由之一的，应当召开基金份额持有人大会，法律法规、基金合同和中国证监会另有规定的除外：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）终止《基金合同》；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）更换基金管理人；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）更换基金托管人；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）转换基金运作方式；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）调整基金管理人、基金托管人的报酬标准</w:t>
      </w:r>
      <w:r>
        <w:rPr>
          <w:rFonts w:hint="eastAsia" w:ascii="Times New Roman" w:hAnsi="Times New Roman"/>
          <w:bCs/>
          <w:sz w:val="24"/>
        </w:rPr>
        <w:t>或</w:t>
      </w:r>
      <w:r>
        <w:rPr>
          <w:rFonts w:hint="eastAsia" w:ascii="Times New Roman" w:hAnsi="Times New Roman"/>
          <w:sz w:val="24"/>
        </w:rPr>
        <w:t>提高销售服务费率；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）变更基金类别；</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）本基金与其他基金的合并；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）变更基金投资目标、范围或策略；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）变更基金份额持有人大会程序；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）基金管理人或基金托管人要求召开基金份额持有人大会；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w:t>
      </w:r>
      <w:r>
        <w:rPr>
          <w:rFonts w:hint="eastAsia" w:ascii="Times New Roman" w:hAnsi="Times New Roman"/>
          <w:sz w:val="24"/>
        </w:rPr>
        <w:t>）单独或合计持有本基金总份额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）基金份额的基金份额持有人（以基金管理人收到提议当日的基金份额计算，下同）就同一事项书面要求召开基金份额持有人大会；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）对基金合同当事人权利和义务产生重大影响的其他事项；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w:t>
      </w:r>
      <w:r>
        <w:rPr>
          <w:rFonts w:hint="eastAsia" w:ascii="Times New Roman" w:hAnsi="Times New Roman"/>
          <w:sz w:val="24"/>
        </w:rPr>
        <w:t>）法律法规、《基金合同》或中国证监会规定的其他应当召开基金份额持有人大会的事项。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）在法律法规规定和《基金合同》约定的范围内且对基金份额持有人利益无实质性不利影响的前提下，以下情况可由基金管理人和基金托管人协商后修改，不需召开基金份额持有人大会：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）调低基金销售服务费</w:t>
      </w:r>
      <w:r>
        <w:rPr>
          <w:rFonts w:hint="eastAsia" w:ascii="Times New Roman" w:hAnsi="Times New Roman"/>
          <w:bCs/>
          <w:sz w:val="24"/>
        </w:rPr>
        <w:t>率</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）法律法规要求增加的基金费用的收取；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）在法律法规和《基金合同》规定的范围内调整本基金的申购费率、在对现有基金份额持有人利益无实质性不利影响的前提下变更收费方式；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）因相应的法律法规、登记机构的相关业务规则发生变动而应当对《基金合同》进行修改；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）对《基金合同》的修改对基金份额持有人利益无实质性不利影响或修改不涉及《基金合同》当事人权利义务关系发生重大变化；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）在法律法规允许的情况下，且在对现有基金份额持有人利益无实质性不利影响的前提下，基金</w:t>
      </w:r>
      <w:r>
        <w:rPr>
          <w:rFonts w:hint="eastAsia" w:ascii="Times New Roman" w:hAnsi="Times New Roman"/>
          <w:bCs/>
          <w:sz w:val="24"/>
        </w:rPr>
        <w:t>管理人履行适当程序后，</w:t>
      </w:r>
      <w:r>
        <w:rPr>
          <w:rFonts w:hint="eastAsia" w:ascii="Times New Roman" w:hAnsi="Times New Roman"/>
          <w:sz w:val="24"/>
        </w:rPr>
        <w:t>推出新业务或服务；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）在符合法律法规及本基金合同规定、并且对基金份额持有人利益无实质性不利影响的前提下，</w:t>
      </w:r>
      <w:r>
        <w:rPr>
          <w:rFonts w:hint="eastAsia" w:ascii="Times New Roman" w:hAnsi="Times New Roman"/>
          <w:bCs/>
          <w:sz w:val="24"/>
        </w:rPr>
        <w:t>增加或</w:t>
      </w:r>
      <w:r>
        <w:rPr>
          <w:rFonts w:hint="eastAsia" w:ascii="Times New Roman" w:hAnsi="Times New Roman"/>
          <w:sz w:val="24"/>
        </w:rPr>
        <w:t>调整本基金份额类别的设置</w:t>
      </w:r>
      <w:r>
        <w:rPr>
          <w:rFonts w:hint="eastAsia" w:ascii="Times New Roman" w:hAnsi="Times New Roman"/>
          <w:bCs/>
          <w:sz w:val="24"/>
        </w:rPr>
        <w:t>、对基金份额分类办法及规则进行调整</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）若将来本基金管理人注册并成立追踪同一标的指数的增强策略交易型开放式指数基金（</w:t>
      </w:r>
      <w:r>
        <w:rPr>
          <w:rFonts w:ascii="Times New Roman" w:hAnsi="Times New Roman"/>
          <w:sz w:val="24"/>
        </w:rPr>
        <w:t>ETF</w:t>
      </w:r>
      <w:r>
        <w:rPr>
          <w:rFonts w:hint="eastAsia" w:ascii="Times New Roman" w:hAnsi="Times New Roman"/>
          <w:sz w:val="24"/>
        </w:rPr>
        <w:t>），则基金管理人在履行适当程序后有权决定将本基金转换为该基金的联接基金，并相应修改《基金合同》；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w:t>
      </w:r>
      <w:r>
        <w:rPr>
          <w:rFonts w:hint="eastAsia" w:ascii="Times New Roman" w:hAnsi="Times New Roman"/>
          <w:sz w:val="24"/>
        </w:rPr>
        <w:t>）</w:t>
      </w:r>
      <w:r>
        <w:rPr>
          <w:rFonts w:hint="eastAsia" w:ascii="Times New Roman" w:hAnsi="Times New Roman"/>
          <w:bCs/>
          <w:sz w:val="24"/>
        </w:rPr>
        <w:t>在不违反法律法规及对基金份额持有人利益无实质性不利影响的前提下，</w:t>
      </w:r>
      <w:r>
        <w:rPr>
          <w:rFonts w:hint="eastAsia" w:ascii="Times New Roman" w:hAnsi="Times New Roman"/>
          <w:sz w:val="24"/>
        </w:rPr>
        <w:t>基金管理人、登记机构、销售机构调整有关基金认购、申购、赎回、转换、收益分配、非交易过户、转托管等业务的规则；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）按照法律法规和《基金合同》规定不需召开基金份额持有人大会的其他情形。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、会议召集人及召集方式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）除法律法规规定或《基金合同》另有约定外，基金份额持有人大会由基金管理人召集；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）基金管理人未按规定召集或不能召集时，由基金托管人召集；</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）基金托管人认为有必要召开基金份额持有人大会的，应当向基金管理人提出书面提议。基金管理人应当自收到书面提议之日起</w:t>
      </w:r>
      <w:r>
        <w:rPr>
          <w:rFonts w:ascii="Times New Roman" w:hAnsi="Times New Roman"/>
          <w:sz w:val="24"/>
        </w:rPr>
        <w:t>10</w:t>
      </w:r>
      <w:r>
        <w:rPr>
          <w:rFonts w:hint="eastAsia" w:ascii="Times New Roman" w:hAnsi="Times New Roman"/>
          <w:sz w:val="24"/>
        </w:rPr>
        <w:t>日内决定是否召集，并书面告知基金托管人。基金管理人决定召集的，应当自出具书面决定之日起</w:t>
      </w:r>
      <w:r>
        <w:rPr>
          <w:rFonts w:ascii="Times New Roman" w:hAnsi="Times New Roman"/>
          <w:sz w:val="24"/>
        </w:rPr>
        <w:t>60</w:t>
      </w:r>
      <w:r>
        <w:rPr>
          <w:rFonts w:hint="eastAsia" w:ascii="Times New Roman" w:hAnsi="Times New Roman"/>
          <w:sz w:val="24"/>
        </w:rPr>
        <w:t>日内召开；基金管理人决定不召集，基金托管人仍认为有必要召开的，应当由基金托管人自行召集，并自出具书面决定之日起</w:t>
      </w:r>
      <w:r>
        <w:rPr>
          <w:rFonts w:ascii="Times New Roman" w:hAnsi="Times New Roman"/>
          <w:sz w:val="24"/>
        </w:rPr>
        <w:t>60</w:t>
      </w:r>
      <w:r>
        <w:rPr>
          <w:rFonts w:hint="eastAsia" w:ascii="Times New Roman" w:hAnsi="Times New Roman"/>
          <w:sz w:val="24"/>
        </w:rPr>
        <w:t>日内召开并告知基金管理人，基金管理人应当配合；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）的基金份额持有人就同一事项书面要求召开基金份额持有人大会，应当向基金管理人提出书面提议。基金管理人应当自收到书面提议之日起</w:t>
      </w:r>
      <w:r>
        <w:rPr>
          <w:rFonts w:ascii="Times New Roman" w:hAnsi="Times New Roman"/>
          <w:sz w:val="24"/>
        </w:rPr>
        <w:t>10</w:t>
      </w:r>
      <w:r>
        <w:rPr>
          <w:rFonts w:hint="eastAsia" w:ascii="Times New Roman" w:hAnsi="Times New Roman"/>
          <w:sz w:val="24"/>
        </w:rPr>
        <w:t>日内决定是否召集，并书面告知提出提议的基金份额持有人代表和基金托管人。基金管理人决定召集的，应当自出具书面决定之日起</w:t>
      </w:r>
      <w:r>
        <w:rPr>
          <w:rFonts w:ascii="Times New Roman" w:hAnsi="Times New Roman"/>
          <w:sz w:val="24"/>
        </w:rPr>
        <w:t>60</w:t>
      </w:r>
      <w:r>
        <w:rPr>
          <w:rFonts w:hint="eastAsia" w:ascii="Times New Roman" w:hAnsi="Times New Roman"/>
          <w:sz w:val="24"/>
        </w:rPr>
        <w:t>日内召开；基金管理人决定不召集，代表基金份额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）的基金份额持有人仍认为有必要召开的，应当向基金托管人提出书面提议。基金托管人应当自收到书面提议之日起</w:t>
      </w:r>
      <w:r>
        <w:rPr>
          <w:rFonts w:ascii="Times New Roman" w:hAnsi="Times New Roman"/>
          <w:sz w:val="24"/>
        </w:rPr>
        <w:t>10</w:t>
      </w:r>
      <w:r>
        <w:rPr>
          <w:rFonts w:hint="eastAsia" w:ascii="Times New Roman" w:hAnsi="Times New Roman"/>
          <w:sz w:val="24"/>
        </w:rPr>
        <w:t>日内决定是否召集，并书面告知提出提议的基金份额持有人代表和基金管理人；基金托管人决定召集的，应当自出具书面决定之日起</w:t>
      </w:r>
      <w:r>
        <w:rPr>
          <w:rFonts w:ascii="Times New Roman" w:hAnsi="Times New Roman"/>
          <w:sz w:val="24"/>
        </w:rPr>
        <w:t>60</w:t>
      </w:r>
      <w:r>
        <w:rPr>
          <w:rFonts w:hint="eastAsia" w:ascii="Times New Roman" w:hAnsi="Times New Roman"/>
          <w:sz w:val="24"/>
        </w:rPr>
        <w:t>日内召开并告知基金管理人，基金管理人应当配合；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）的基金份额持有人就同一事项要求召开基金份额持有人大会，而基金管理人、基金托管人都不召集的，单独或合计代表基金份额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）的基金份额持有人有权自行召集，并至少提前</w:t>
      </w:r>
      <w:r>
        <w:rPr>
          <w:rFonts w:ascii="Times New Roman" w:hAnsi="Times New Roman"/>
          <w:sz w:val="24"/>
        </w:rPr>
        <w:t>30</w:t>
      </w:r>
      <w:r>
        <w:rPr>
          <w:rFonts w:hint="eastAsia" w:ascii="Times New Roman" w:hAnsi="Times New Roman"/>
          <w:sz w:val="24"/>
        </w:rPr>
        <w:t>日报中国证监会备案。基金份额持有人依法自行召集基金份额持有人大会的，基金管理人、基金托管人应当配合，不得阻碍、干扰；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）基金份额持有人会议的召集人负责选择确定开会时间、地点、方式和权益登记日。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、召开基金份额持有人大会的通知时间、通知内容、通知方式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）召开基金份额持有人大会，召集人应于会议召开前</w:t>
      </w:r>
      <w:r>
        <w:rPr>
          <w:rFonts w:ascii="Times New Roman" w:hAnsi="Times New Roman"/>
          <w:sz w:val="24"/>
        </w:rPr>
        <w:t>30</w:t>
      </w:r>
      <w:r>
        <w:rPr>
          <w:rFonts w:hint="eastAsia" w:ascii="Times New Roman" w:hAnsi="Times New Roman"/>
          <w:sz w:val="24"/>
        </w:rPr>
        <w:t>日，在规定媒介公告。基金份额持有人大会通知应至少载明以下内容：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）会议召开的时间、地点和会议形式；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）会议拟审议的事项、议事程序和表决方式；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）有权出席基金份额持有人大会的基金份额持有人的权益登记日；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）会务常设联系人姓名及联系电话；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）出席会议者必须准备的文件和必须履行的手续；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）召集人需要通知的其他事项。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、基金份额持有人出席会议的方式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基金份额持有人大会可通过现场开会方式、通讯开会方式或法律法规、监管机构允许的其他方式召开，会议的召开方式由会议召集人确定。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imes New Roman" w:hAnsi="Times New Roman"/>
          <w:sz w:val="24"/>
        </w:rPr>
        <w:t>3</w:t>
      </w:r>
      <w:r>
        <w:rPr>
          <w:rFonts w:hint="eastAsia" w:ascii="Times New Roman" w:hAnsi="Times New Roman"/>
          <w:sz w:val="24"/>
        </w:rPr>
        <w:t>个月以后、</w:t>
      </w:r>
      <w:r>
        <w:rPr>
          <w:rFonts w:ascii="Times New Roman" w:hAnsi="Times New Roman"/>
          <w:sz w:val="24"/>
        </w:rPr>
        <w:t>6</w:t>
      </w:r>
      <w:r>
        <w:rPr>
          <w:rFonts w:hint="eastAsia" w:ascii="Times New Roman" w:hAnsi="Times New Roman"/>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）通讯开会。通讯开会系指基金份额持有人将其对表决事项的投票以会议通知载明的形式或基金合同约定的其他方式在表决截止日以前送达至召集人指定的地址或系统。</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在同时符合以下条件时，通讯开会的方式视为有效：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）会议召集人按《基金合同》约定公布会议通知后，在</w:t>
      </w:r>
      <w:r>
        <w:rPr>
          <w:rFonts w:ascii="Times New Roman" w:hAnsi="Times New Roman"/>
          <w:sz w:val="24"/>
        </w:rPr>
        <w:t>2</w:t>
      </w:r>
      <w:r>
        <w:rPr>
          <w:rFonts w:hint="eastAsia" w:ascii="Times New Roman" w:hAnsi="Times New Roman"/>
          <w:sz w:val="24"/>
        </w:rPr>
        <w:t>个工作日内连续公布相关提示性公告；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w:t>
      </w:r>
      <w:r>
        <w:rPr>
          <w:rFonts w:hint="eastAsia" w:ascii="Times New Roman" w:hAnsi="Times New Roman"/>
          <w:bCs/>
          <w:sz w:val="24"/>
        </w:rPr>
        <w:t>的</w:t>
      </w:r>
      <w:r>
        <w:rPr>
          <w:rFonts w:hint="eastAsia" w:ascii="Times New Roman" w:hAnsi="Times New Roman"/>
          <w:sz w:val="24"/>
        </w:rPr>
        <w:t>基金份额持有人所持有的基金份额小于在权益登记日基金总份额的二分之一，召集人可以在原公告的基金份额持有人大会召开时间的</w:t>
      </w:r>
      <w:r>
        <w:rPr>
          <w:rFonts w:ascii="Times New Roman" w:hAnsi="Times New Roman"/>
          <w:sz w:val="24"/>
        </w:rPr>
        <w:t>3</w:t>
      </w:r>
      <w:r>
        <w:rPr>
          <w:rFonts w:hint="eastAsia" w:ascii="Times New Roman" w:hAnsi="Times New Roman"/>
          <w:sz w:val="24"/>
        </w:rPr>
        <w:t>个月以后、</w:t>
      </w:r>
      <w:r>
        <w:rPr>
          <w:rFonts w:ascii="Times New Roman" w:hAnsi="Times New Roman"/>
          <w:sz w:val="24"/>
        </w:rPr>
        <w:t>6</w:t>
      </w:r>
      <w:r>
        <w:rPr>
          <w:rFonts w:hint="eastAsia" w:ascii="Times New Roman" w:hAnsi="Times New Roman"/>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）上述第</w:t>
      </w:r>
      <w:r>
        <w:rPr>
          <w:rFonts w:ascii="Times New Roman" w:hAnsi="Times New Roman"/>
          <w:sz w:val="24"/>
        </w:rPr>
        <w:t>3</w:t>
      </w:r>
      <w:r>
        <w:rPr>
          <w:rFonts w:hint="eastAsia" w:ascii="Times New Roman" w:hAnsi="Times New Roman"/>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、议事内容与程序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）议事内容及提案权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基金份额持有人大会的召集人发出召集会议的通知后，对原有提案的修改应当在基金份额持有人大会召开前及时公告。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基金份额持有人大会不得对未事先公告的议事内容进行表决。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）议事程序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）现场开会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在现场开会的方式下，首先由大会主持人按照下列第</w:t>
      </w:r>
      <w:r>
        <w:rPr>
          <w:rFonts w:ascii="Times New Roman" w:hAnsi="Times New Roman"/>
          <w:sz w:val="24"/>
        </w:rPr>
        <w:t>7</w:t>
      </w:r>
      <w:r>
        <w:rPr>
          <w:rFonts w:hint="eastAsia" w:ascii="Times New Roman" w:hAnsi="Times New Roman"/>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Times New Roman" w:hAnsi="Times New Roman"/>
          <w:sz w:val="24"/>
        </w:rPr>
        <w:t>50%</w:t>
      </w:r>
      <w:r>
        <w:rPr>
          <w:rFonts w:hint="eastAsia" w:ascii="Times New Roman" w:hAnsi="Times New Roman"/>
          <w:sz w:val="24"/>
        </w:rPr>
        <w:t>以上（含</w:t>
      </w:r>
      <w:r>
        <w:rPr>
          <w:rFonts w:ascii="Times New Roman" w:hAnsi="Times New Roman"/>
          <w:sz w:val="24"/>
        </w:rPr>
        <w:t>50%</w:t>
      </w:r>
      <w:r>
        <w:rPr>
          <w:rFonts w:hint="eastAsia" w:ascii="Times New Roman" w:hAnsi="Times New Roman"/>
          <w:sz w:val="24"/>
        </w:rPr>
        <w:t>）选举产生一名基金份额持有人或代理人作为该次基金份额持有人大会的主持人。基金管理人和基金托管人拒不出席或主持基金份额持有人大会，不影响基金份额持有人大会作出的决议的效力。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会议召集人应当制作出席会议人员的签名册。签名册载明参加会议人员姓名（或单位名称）、身份证明文件号码、持有或代表有表决权的基金份额、委托人姓名（或单位名称）和联系方式等事项。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）通讯开会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在通讯开会的情况下，首先由召集人提前</w:t>
      </w:r>
      <w:r>
        <w:rPr>
          <w:rFonts w:ascii="Times New Roman" w:hAnsi="Times New Roman"/>
          <w:sz w:val="24"/>
        </w:rPr>
        <w:t>30</w:t>
      </w:r>
      <w:r>
        <w:rPr>
          <w:rFonts w:hint="eastAsia" w:ascii="Times New Roman" w:hAnsi="Times New Roman"/>
          <w:sz w:val="24"/>
        </w:rPr>
        <w:t>日公布提案，在所通知的表决截止日期后</w:t>
      </w:r>
      <w:r>
        <w:rPr>
          <w:rFonts w:ascii="Times New Roman" w:hAnsi="Times New Roman"/>
          <w:sz w:val="24"/>
        </w:rPr>
        <w:t>2</w:t>
      </w:r>
      <w:r>
        <w:rPr>
          <w:rFonts w:hint="eastAsia" w:ascii="Times New Roman" w:hAnsi="Times New Roman"/>
          <w:sz w:val="24"/>
        </w:rPr>
        <w:t>个工作日内在公证机关监督下由召集人统计全部有效表决，在公证机关监督下形成决议。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基金份额持有人所持每份基金份额有一票表决权。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基金份额持有人大会决议分为一般决议和特别决议：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）一般决议，一般决议须经参加大会的基金份额持有人或其代理人所持表决权的二分之一以上（含二分之一）通过方为有效；除下列第（</w:t>
      </w:r>
      <w:r>
        <w:rPr>
          <w:rFonts w:ascii="Times New Roman" w:hAnsi="Times New Roman"/>
          <w:sz w:val="24"/>
        </w:rPr>
        <w:t>2</w:t>
      </w:r>
      <w:r>
        <w:rPr>
          <w:rFonts w:hint="eastAsia" w:ascii="Times New Roman" w:hAnsi="Times New Roman"/>
          <w:sz w:val="24"/>
        </w:rPr>
        <w:t>）项所规定的须以特别决议通过事项以外的其他事项均以一般决议的方式通过。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基金份额持有人大会采取记名方式进行投票表决。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、计票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）现场开会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）监票人应当在基金份额持有人表决后立即进行清点并由大会主持人当场公布计票结果。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）计票过程应由公证机关予以公证，基金管理人或基金托管人拒不出席大会的，不影响计票的效力。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）通讯开会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w:t>
      </w:r>
      <w:r>
        <w:rPr>
          <w:rFonts w:hint="eastAsia" w:ascii="Times New Roman" w:hAnsi="Times New Roman"/>
          <w:sz w:val="24"/>
        </w:rPr>
        <w:t>、生效与公告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基金份额持有人大会的决议，召集人应当自通过之日起</w:t>
      </w:r>
      <w:r>
        <w:rPr>
          <w:rFonts w:ascii="Times New Roman" w:hAnsi="Times New Roman"/>
          <w:sz w:val="24"/>
        </w:rPr>
        <w:t>5</w:t>
      </w:r>
      <w:r>
        <w:rPr>
          <w:rFonts w:hint="eastAsia" w:ascii="Times New Roman" w:hAnsi="Times New Roman"/>
          <w:sz w:val="24"/>
        </w:rPr>
        <w:t>日内报中国证监会备案。基金份额持有人大会的决议自表决通过之日起生效。法律法规另有规定的，从其规定。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基金管理人、基金托管人和基金份额持有人应当执行生效的基金份额持有人大会的决议。生效的基金份额持有人大会决议对全体基金份额持有人、基金管理人、基金托管人均有约束力。</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、实施侧袋机制期间基金份额持有人大会的特殊约定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）基金份额持有人行使提议权、召集权、提名权所需单独或合计代表相关基金份额</w:t>
      </w:r>
      <w:r>
        <w:rPr>
          <w:rFonts w:ascii="Times New Roman" w:hAnsi="Times New Roman"/>
          <w:sz w:val="24"/>
        </w:rPr>
        <w:t>10%</w:t>
      </w:r>
      <w:r>
        <w:rPr>
          <w:rFonts w:hint="eastAsia" w:ascii="Times New Roman" w:hAnsi="Times New Roman"/>
          <w:sz w:val="24"/>
        </w:rPr>
        <w:t>以上（含</w:t>
      </w:r>
      <w:r>
        <w:rPr>
          <w:rFonts w:ascii="Times New Roman" w:hAnsi="Times New Roman"/>
          <w:sz w:val="24"/>
        </w:rPr>
        <w:t>10%</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）现场开会的到会者在权益登记日代表的基金份额不少于本基金在权益登记日相关基金份额的二分之一（含二分之一）；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）通讯开会的直接出具表决意见或授权他人代表出具表决意见的基金份额持有人所持有的基金份额不小于在权益登记日相关基金份额的二分之一（含二分之一）；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）在参与基金份额持有人大会投票的基金份额持有人所持有的基金份额小于在权益登记日相关基金份额的二分之一、召集人在原公告的基金份额持有人大会召开时间的</w:t>
      </w:r>
      <w:r>
        <w:rPr>
          <w:rFonts w:ascii="Times New Roman" w:hAnsi="Times New Roman"/>
          <w:sz w:val="24"/>
        </w:rPr>
        <w:t>3</w:t>
      </w:r>
      <w:r>
        <w:rPr>
          <w:rFonts w:hint="eastAsia" w:ascii="Times New Roman" w:hAnsi="Times New Roman"/>
          <w:sz w:val="24"/>
        </w:rPr>
        <w:t>个月以后、</w:t>
      </w:r>
      <w:r>
        <w:rPr>
          <w:rFonts w:ascii="Times New Roman" w:hAnsi="Times New Roman"/>
          <w:sz w:val="24"/>
        </w:rPr>
        <w:t>6</w:t>
      </w:r>
      <w:r>
        <w:rPr>
          <w:rFonts w:hint="eastAsia" w:ascii="Times New Roman" w:hAnsi="Times New Roman"/>
          <w:sz w:val="24"/>
        </w:rPr>
        <w:t>个月以内就原定审议事项重新召集的基金份额持有人大会应当有代表三分之一以上（含三分之一）相关基金份额的持有人参与或授权他人参与基金份额持有人大会投票；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）现场开会由出席大会的基金份额持有人和代理人所持表决权的</w:t>
      </w:r>
      <w:r>
        <w:rPr>
          <w:rFonts w:ascii="Times New Roman" w:hAnsi="Times New Roman"/>
          <w:sz w:val="24"/>
        </w:rPr>
        <w:t>50%</w:t>
      </w:r>
      <w:r>
        <w:rPr>
          <w:rFonts w:hint="eastAsia" w:ascii="Times New Roman" w:hAnsi="Times New Roman"/>
          <w:sz w:val="24"/>
        </w:rPr>
        <w:t>以上（含</w:t>
      </w:r>
      <w:r>
        <w:rPr>
          <w:rFonts w:ascii="Times New Roman" w:hAnsi="Times New Roman"/>
          <w:sz w:val="24"/>
        </w:rPr>
        <w:t>50%</w:t>
      </w:r>
      <w:r>
        <w:rPr>
          <w:rFonts w:hint="eastAsia" w:ascii="Times New Roman" w:hAnsi="Times New Roman"/>
          <w:sz w:val="24"/>
        </w:rPr>
        <w:t>）选举产生一名基金份额持有人或代理人作为该次基金份额持有人大会的主持人；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）一般决议须经参加大会的基金份额持有人或其代理人所持表决权的二分之一以上（含二分之一）通过；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）特别决议应当经参加大会的基金份额持有人或其代理人所持表决权的三分之二以上（含三分之二）通过。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同一主侧袋账户内的每份基金份额具有平等的表决权。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w:t>
      </w:r>
      <w:r>
        <w:rPr>
          <w:rFonts w:hint="eastAsia" w:ascii="Times New Roman" w:hAnsi="Times New Roman"/>
          <w:sz w:val="24"/>
        </w:rPr>
        <w:t>、本部分对基金份额持有人大会召开事由、召开条件、议事程序、表决条件等规定，凡是直接引用法律法规</w:t>
      </w:r>
      <w:r>
        <w:rPr>
          <w:rFonts w:hint="eastAsia" w:ascii="Times New Roman" w:hAnsi="Times New Roman"/>
          <w:bCs/>
          <w:sz w:val="24"/>
        </w:rPr>
        <w:t>或监管规则</w:t>
      </w:r>
      <w:r>
        <w:rPr>
          <w:rFonts w:hint="eastAsia" w:ascii="Times New Roman" w:hAnsi="Times New Roman"/>
          <w:sz w:val="24"/>
        </w:rPr>
        <w:t>的部分，如将来法律法规</w:t>
      </w:r>
      <w:r>
        <w:rPr>
          <w:rFonts w:hint="eastAsia" w:ascii="Times New Roman" w:hAnsi="Times New Roman"/>
          <w:bCs/>
          <w:sz w:val="24"/>
        </w:rPr>
        <w:t>或监管规则</w:t>
      </w:r>
      <w:r>
        <w:rPr>
          <w:rFonts w:hint="eastAsia" w:ascii="Times New Roman" w:hAnsi="Times New Roman"/>
          <w:sz w:val="24"/>
        </w:rPr>
        <w:t>修改导致相关内容被取消或变更的，基金管理人经与基金托管人协商一致并提前公告后，可直接对本部分内容进行修改和调整，无需召开基金份额持有人大会审议。</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（三）基金合同解除和终止的事由、程序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、《基金合同》的变更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、《基金合同》的终止事由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）基金份额持有人大会决定终止的；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）基金管理人、基金托管人职责终止，在</w:t>
      </w:r>
      <w:r>
        <w:rPr>
          <w:rFonts w:ascii="Times New Roman" w:hAnsi="Times New Roman"/>
          <w:sz w:val="24"/>
        </w:rPr>
        <w:t>6</w:t>
      </w:r>
      <w:r>
        <w:rPr>
          <w:rFonts w:hint="eastAsia" w:ascii="Times New Roman" w:hAnsi="Times New Roman"/>
          <w:sz w:val="24"/>
        </w:rPr>
        <w:t>个月内没有新基金管理人、新基金托管人承接的；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）相关法律法规和中国证监会规定的其他情况。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、基金财产的清算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）基金财产清算小组：自出现《基金合同》终止事由之日起</w:t>
      </w:r>
      <w:r>
        <w:rPr>
          <w:rFonts w:ascii="Times New Roman" w:hAnsi="Times New Roman"/>
          <w:sz w:val="24"/>
        </w:rPr>
        <w:t>30</w:t>
      </w:r>
      <w:r>
        <w:rPr>
          <w:rFonts w:hint="eastAsia" w:ascii="Times New Roman" w:hAnsi="Times New Roman"/>
          <w:sz w:val="24"/>
        </w:rPr>
        <w:t>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）基金财产清算小组组成：基金财产清算小组成员由基金管理人、基金托管人、</w:t>
      </w:r>
      <w:r>
        <w:rPr>
          <w:rFonts w:hint="eastAsia" w:ascii="Times New Roman" w:hAnsi="Times New Roman"/>
          <w:bCs/>
          <w:sz w:val="24"/>
        </w:rPr>
        <w:t>符合《中华人民共和国证券法》规定</w:t>
      </w:r>
      <w:r>
        <w:rPr>
          <w:rFonts w:hint="eastAsia" w:ascii="Times New Roman" w:hAnsi="Times New Roman"/>
          <w:sz w:val="24"/>
        </w:rPr>
        <w:t>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）基金财产清算程序：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w:t>
      </w:r>
      <w:r>
        <w:rPr>
          <w:rFonts w:hint="eastAsia" w:ascii="Times New Roman" w:hAnsi="Times New Roman"/>
          <w:sz w:val="24"/>
        </w:rPr>
        <w:t>）《基金合同》终止情形出现时，由基金财产清算小组统一接管基金财产；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）对基金财产进行估值和变现；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）制作清算报告；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）聘请符合《中华人民共和国证券法》规定的会计师事务所对清算报告进行外部审计，聘请律师事务所对清算报告出具法律意见书；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w:t>
      </w:r>
      <w:r>
        <w:rPr>
          <w:rFonts w:hint="eastAsia" w:ascii="Times New Roman" w:hAnsi="Times New Roman"/>
          <w:sz w:val="24"/>
        </w:rPr>
        <w:t>）将清算报告报中国证监会备案并公告；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）对基金剩余财产进行分配。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）基金财产清算的期限为</w:t>
      </w:r>
      <w:r>
        <w:rPr>
          <w:rFonts w:ascii="Times New Roman" w:hAnsi="Times New Roman"/>
          <w:sz w:val="24"/>
        </w:rPr>
        <w:t>6</w:t>
      </w:r>
      <w:r>
        <w:rPr>
          <w:rFonts w:hint="eastAsia" w:ascii="Times New Roman" w:hAnsi="Times New Roman"/>
          <w:sz w:val="24"/>
        </w:rPr>
        <w:t>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w:t>
      </w:r>
      <w:r>
        <w:rPr>
          <w:rFonts w:hint="eastAsia" w:ascii="Times New Roman" w:hAnsi="Times New Roman"/>
          <w:sz w:val="24"/>
        </w:rPr>
        <w:t>、清算费用</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清算费用是指基金财产清算小组在进行基金财产清算过程中发生的所有合理费用，清算费用由基金财产清算小组优先从基金财产中支付。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5、基金财产清算剩余资产的分配</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6、基金财产清算的公告</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w:t>
      </w:r>
      <w:r>
        <w:rPr>
          <w:rFonts w:hint="eastAsia" w:ascii="Times New Roman" w:hAnsi="Times New Roman"/>
          <w:sz w:val="24"/>
        </w:rPr>
        <w:t>、基金财产清算账册及文件的保存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基金财产清算账册及有关文件由基金托管人保存</w:t>
      </w:r>
      <w:r>
        <w:rPr>
          <w:rFonts w:hint="eastAsia" w:ascii="Times New Roman" w:hAnsi="Times New Roman"/>
          <w:bCs/>
          <w:sz w:val="24"/>
        </w:rPr>
        <w:t>不低于法律法规规定的最低期限</w:t>
      </w:r>
      <w:r>
        <w:rPr>
          <w:rFonts w:hint="eastAsia" w:ascii="Times New Roman" w:hAnsi="Times New Roman"/>
          <w:sz w:val="24"/>
        </w:rPr>
        <w:t>。</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（四）争议解决方式</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除非仲裁裁决另有规定，仲裁费由败诉方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《基金合同》受中国法律（为本基金合同之目的，不含港澳台地区法律）管辖并从其解释。</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（五）基金合同存放及投资者取得基金合同的方式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《基金合同》正本一式三份，除上报有关监管机构一份外，基金管理人、基金托管人各持有一份，每份具有同等的法律效力。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《基金合同》可印制成册，供投资者在基金管理人、基金托管人、销售机构的办公场所和营业场所查阅</w:t>
      </w:r>
      <w:r>
        <w:rPr>
          <w:rFonts w:hint="eastAsia" w:ascii="Times New Roman" w:hAnsi="Times New Roman"/>
          <w:bCs/>
          <w:sz w:val="24"/>
        </w:rPr>
        <w:t>，但应以《基金合同》正本为准</w:t>
      </w:r>
      <w:r>
        <w:rPr>
          <w:rFonts w:hint="eastAsia" w:ascii="Times New Roman" w:hAnsi="Times New Roman"/>
          <w:sz w:val="24"/>
        </w:rPr>
        <w:t>。</w:t>
      </w:r>
      <w:bookmarkEnd w:id="64"/>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65" w:name="_Toc6279"/>
      <w:bookmarkStart w:id="66" w:name="_Toc147840638"/>
      <w:r>
        <w:rPr>
          <w:rFonts w:hint="eastAsia" w:ascii="Times New Roman" w:hAnsi="Times New Roman"/>
          <w:sz w:val="30"/>
        </w:rPr>
        <w:t>二十、托管协议的内容摘要</w:t>
      </w:r>
      <w:bookmarkEnd w:id="65"/>
      <w:bookmarkEnd w:id="66"/>
    </w:p>
    <w:p>
      <w:pPr>
        <w:autoSpaceDE w:val="0"/>
        <w:autoSpaceDN w:val="0"/>
        <w:adjustRightInd w:val="0"/>
        <w:snapToGrid w:val="0"/>
        <w:spacing w:line="360" w:lineRule="auto"/>
        <w:ind w:firstLine="482" w:firstLineChars="200"/>
        <w:jc w:val="left"/>
        <w:rPr>
          <w:rFonts w:ascii="Times New Roman" w:hAnsi="Times New Roman"/>
          <w:b/>
          <w:szCs w:val="24"/>
        </w:rPr>
      </w:pPr>
      <w:bookmarkStart w:id="67" w:name="_Hlk181459377"/>
      <w:r>
        <w:rPr>
          <w:rFonts w:hint="eastAsia" w:ascii="Times New Roman" w:hAnsi="Times New Roman"/>
          <w:b/>
          <w:sz w:val="24"/>
        </w:rPr>
        <w:t>（一）托管协议当事人</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、基金管理人</w:t>
      </w:r>
    </w:p>
    <w:p>
      <w:pPr>
        <w:spacing w:line="360" w:lineRule="auto"/>
        <w:ind w:firstLine="480" w:firstLineChars="200"/>
        <w:rPr>
          <w:rFonts w:ascii="Times New Roman" w:hAnsi="Times New Roman"/>
          <w:sz w:val="24"/>
        </w:rPr>
      </w:pPr>
      <w:r>
        <w:rPr>
          <w:rFonts w:hint="eastAsia" w:ascii="Times New Roman" w:hAnsi="Times New Roman"/>
          <w:sz w:val="24"/>
        </w:rPr>
        <w:t>名称：交银施罗德基金管理有限公司</w:t>
      </w:r>
    </w:p>
    <w:p>
      <w:pPr>
        <w:spacing w:line="360" w:lineRule="auto"/>
        <w:ind w:firstLine="480" w:firstLineChars="200"/>
        <w:rPr>
          <w:rFonts w:ascii="Times New Roman" w:hAnsi="Times New Roman"/>
          <w:sz w:val="24"/>
        </w:rPr>
      </w:pPr>
      <w:r>
        <w:rPr>
          <w:rFonts w:hint="eastAsia" w:ascii="Times New Roman" w:hAnsi="Times New Roman"/>
          <w:sz w:val="24"/>
        </w:rPr>
        <w:t>住所：中国（上海）自由贸易试验区银城中路188号交通银行大楼二层（裙）</w:t>
      </w:r>
    </w:p>
    <w:p>
      <w:pPr>
        <w:spacing w:line="360" w:lineRule="auto"/>
        <w:ind w:firstLine="480" w:firstLineChars="200"/>
        <w:rPr>
          <w:rFonts w:ascii="Times New Roman" w:hAnsi="Times New Roman"/>
          <w:sz w:val="24"/>
        </w:rPr>
      </w:pPr>
      <w:r>
        <w:rPr>
          <w:rFonts w:hint="eastAsia" w:ascii="Times New Roman" w:hAnsi="Times New Roman"/>
          <w:sz w:val="24"/>
        </w:rPr>
        <w:t>法定代表人：张宏良</w:t>
      </w:r>
    </w:p>
    <w:p>
      <w:pPr>
        <w:spacing w:line="360" w:lineRule="auto"/>
        <w:ind w:firstLine="480" w:firstLineChars="200"/>
        <w:rPr>
          <w:rFonts w:ascii="Times New Roman" w:hAnsi="Times New Roman"/>
          <w:sz w:val="24"/>
        </w:rPr>
      </w:pPr>
      <w:r>
        <w:rPr>
          <w:rFonts w:hint="eastAsia" w:ascii="Times New Roman" w:hAnsi="Times New Roman"/>
          <w:sz w:val="24"/>
        </w:rPr>
        <w:t>成立时间：2005年8月4日</w:t>
      </w:r>
    </w:p>
    <w:p>
      <w:pPr>
        <w:spacing w:line="360" w:lineRule="auto"/>
        <w:ind w:firstLine="480" w:firstLineChars="200"/>
        <w:rPr>
          <w:rFonts w:ascii="Times New Roman" w:hAnsi="Times New Roman"/>
          <w:sz w:val="24"/>
        </w:rPr>
      </w:pPr>
      <w:r>
        <w:rPr>
          <w:rFonts w:hint="eastAsia" w:ascii="Times New Roman" w:hAnsi="Times New Roman"/>
          <w:sz w:val="24"/>
        </w:rPr>
        <w:t>批准设立机关及批准设立文号：中国证监会证监基金字[2005]128号</w:t>
      </w:r>
    </w:p>
    <w:p>
      <w:pPr>
        <w:spacing w:line="360" w:lineRule="auto"/>
        <w:ind w:firstLine="480" w:firstLineChars="200"/>
        <w:rPr>
          <w:rFonts w:ascii="Times New Roman" w:hAnsi="Times New Roman"/>
          <w:sz w:val="24"/>
        </w:rPr>
      </w:pPr>
      <w:r>
        <w:rPr>
          <w:rFonts w:hint="eastAsia" w:ascii="Times New Roman" w:hAnsi="Times New Roman"/>
          <w:sz w:val="24"/>
        </w:rPr>
        <w:t>注册资本：2亿元人民币</w:t>
      </w:r>
    </w:p>
    <w:p>
      <w:pPr>
        <w:spacing w:line="360" w:lineRule="auto"/>
        <w:ind w:firstLine="480" w:firstLineChars="200"/>
        <w:rPr>
          <w:rFonts w:ascii="Times New Roman" w:hAnsi="Times New Roman"/>
          <w:sz w:val="24"/>
        </w:rPr>
      </w:pPr>
      <w:r>
        <w:rPr>
          <w:rFonts w:hint="eastAsia" w:ascii="Times New Roman" w:hAnsi="Times New Roman"/>
          <w:sz w:val="24"/>
        </w:rPr>
        <w:t>组织形式:有限责任公司</w:t>
      </w:r>
    </w:p>
    <w:p>
      <w:pPr>
        <w:spacing w:line="360" w:lineRule="auto"/>
        <w:ind w:firstLine="480" w:firstLineChars="200"/>
        <w:rPr>
          <w:rFonts w:ascii="Times New Roman" w:hAnsi="Times New Roman"/>
          <w:sz w:val="24"/>
        </w:rPr>
      </w:pPr>
      <w:r>
        <w:rPr>
          <w:rFonts w:hint="eastAsia" w:ascii="Times New Roman" w:hAnsi="Times New Roman"/>
          <w:sz w:val="24"/>
        </w:rPr>
        <w:t>经营范围：基金募集、基金销售、资产管理和中国证监会许可的其他业务。</w:t>
      </w:r>
    </w:p>
    <w:p>
      <w:pPr>
        <w:spacing w:line="360" w:lineRule="auto"/>
        <w:ind w:firstLine="480" w:firstLineChars="200"/>
        <w:rPr>
          <w:rFonts w:ascii="Times New Roman" w:hAnsi="Times New Roman"/>
          <w:sz w:val="24"/>
        </w:rPr>
      </w:pPr>
      <w:r>
        <w:rPr>
          <w:rFonts w:hint="eastAsia" w:ascii="Times New Roman" w:hAnsi="Times New Roman"/>
          <w:sz w:val="24"/>
        </w:rPr>
        <w:t>存续期间：持续经营</w:t>
      </w:r>
    </w:p>
    <w:p>
      <w:pPr>
        <w:spacing w:line="360" w:lineRule="auto"/>
        <w:ind w:firstLine="480" w:firstLineChars="200"/>
        <w:rPr>
          <w:rFonts w:ascii="Times New Roman" w:hAnsi="Times New Roman"/>
          <w:sz w:val="24"/>
        </w:rPr>
      </w:pPr>
      <w:r>
        <w:rPr>
          <w:rFonts w:hint="eastAsia" w:ascii="Times New Roman" w:hAnsi="Times New Roman"/>
          <w:sz w:val="24"/>
        </w:rPr>
        <w:t>电话：（021）61055050</w:t>
      </w:r>
    </w:p>
    <w:p>
      <w:pPr>
        <w:spacing w:line="360" w:lineRule="auto"/>
        <w:ind w:firstLine="480" w:firstLineChars="200"/>
        <w:rPr>
          <w:rFonts w:ascii="Times New Roman" w:hAnsi="Times New Roman"/>
          <w:sz w:val="24"/>
        </w:rPr>
      </w:pPr>
      <w:r>
        <w:rPr>
          <w:rFonts w:hint="eastAsia" w:ascii="Times New Roman" w:hAnsi="Times New Roman"/>
          <w:sz w:val="24"/>
        </w:rPr>
        <w:t>传真：（021）61055034</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联系人：何佳妮</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、基金托管人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名称：中国工商银行股份有限公司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住所：北京市西城区复兴门内大街55号（100032）</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法定代表人：廖林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电话：（010）66105799</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传真：（010）66105798</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联系人：郭明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成立时间：1984年1月1日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组织形式：股份有限公司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注册资本：人民币35,640,625.71万元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批准设立机关和批准设立文号：国务院《关于中国人民银行专门行使中央银行职能的决定》（国发[1983]146号）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存续期间：持续经营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兼业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（二）基金托管人对基金管理人的业务监督和核查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1、基金托管人对基金管理人的投资行为行使监督权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（1）基金托管人根据有关法律法规的规定和《基金合同》的约定，对下述基金投资范围、投资对象进行监督。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本基金将投资于以下金融工具：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投资范围为具有良好流动性的金融工具，包括中证A500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本基金可根据法律法规的规定参与融资及转融通证券出借业务。未来在法律法规允许的前提下，本基金可根据相关法律法规规定参与融券业务。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（2）基金托管人根据有关法律法规的规定及《基金合同》的约定对下述基金投融资比例进行监督：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按法律法规的规定及《基金合同》的约定，本基金的投资组合比例为：本基金投资于股票（含存托凭证）占基金资产的比例不低于80%，其中投资于港股通标的股票的比例占股票资产的0%-50%；投资于中证A500指数成份股（含存托凭证）及备选成份股（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根据法律法规的规定及《基金合同》的约定，本基金投资组合遵循以下投资限制：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投资于股票（含存托凭证）占基金资产的比例不低于80%，其中投资于港股通标的股票的比例占股票资产的0%-50%；投资于中证A500指数成份股（含存托凭证）及备选成份股（含存托凭证）的比例不低于非现金基金资产的80%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持有一家公司发行的证券（同一家公司在内地和香港同时上市的A+H股合计计算），其市值不超过基金资产净值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管理人管理且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14）本基金资产总值不超过基金资产净值的140%；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15）本基金参与股指期货交易，则：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④本基金所持有的股票市值和买入、卖出股指期货合约价值，合计（轧差计算）应当符合基金合同关于股票投资比例的有关约定；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⑤本基金在任何交易日内交易（不包括平仓）的股指期货合约的成交金额不得超过上一交易日基金资产净值的20%；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16）本基金参与融资业务后，每个交易日日终，本基金持有的融资买入股票与其他有价证券市值之和，不得超过基金资产净值的95%；</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17）本基金参与转融通证券出借业务，需遵守下列投资限制：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①出借证券资产不得超过基金资产净值的30%，出借期限在10个交易日以上的出借证券应纳入《流动性风险管理规定》所述流动性受限证券的范围；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②参与出借业务的单只证券不得超过本基金持有该证券总量的50%；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③最近6个月内日均基金资产净值不得低于2亿元；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④证券出借的平均剩余期限不得超过30天，平均剩余期限按照市值加权平均计算；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因证券市场波动、上市公司合并、基金规模变动等基金管理人之外的因素致使基金投资不符合上述规定的，基金管理人不得新增出借业务；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18）本基金投资存托凭证的比例限制依照境内上市交易的股票执行；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除上述2）、9）、12）、13）、17）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法律法规或监管部门取消或变更上述限制，如适用于本基金，基金管理人在履行适当程序后，则本基金投资不再受相关限制或以变更后的规定为准。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（3）基金托管人根据有关法律法规的规定及《基金合同》的约定对下述基金投资禁止行为进行监督：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根据法律法规的规定及《基金合同》的约定，本基金禁止从事下列行为：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1）承销证券；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2）违反规定向他人贷款或提供担保；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3）从事承担无限责任的投资；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4）买卖其他基金份额，但中国证监会另有规定的除外；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5）向基金管理人、基金托管人出资。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如法律、行政法规或监管部门取消或变更上述规定，如适用于本基金，基金管理人在履行适当程序后，本基金可不受上述规定的限制或以变更后的规定为准。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（4）基金托管人依据以下约定对基金管理人参与银行间债券市场投资进行监督。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基金管理人在银行间市场进行现券买卖和回购交易时，以DVP(券款兑付)的交易结算方式进行交易。</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）关于银行存款投资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投资银行存款的信用风险主要包括存款银行的信用等级、存款银行的支付能力等涉及到存款银行选择方面的风险。基金管理人应基于审慎原则评估存款银行信用风险并自主选择存款银行。因基金管理人违反上述原则给基金造成的损失，基金托管人不承担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）基金托管人对基金投资流通受限证券的监督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1）基金投资流通受限证券，应遵守《关于基金投资非公开发行股票等流通受限证券有关问题的通知》等有关法律法规规定。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投资非公开发行股票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于拟执行投资指令前两个工作日将上述信息书面发至基金托管人，保证基金托管人有足够的时间进行审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责任，并有权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基金管理人和基金托管人无法达成一致，应及时上报中国证监会请求解决。如果基金托管人切实履行监督职责，则不承担责任。如果基金托管人没有切实履行监督职责，导致基金出现风险，基金托管人应承担连带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2、投资监督范围的调整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基金托管人系统调整预留所需的合理必要时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托管人发现基金管理人的投资运作及其他运作违反《基金法》、《基金合同》、本协议有关规定时，应及时以书面形式通知基金管理人限期纠正，基金管理人收到通知后应及时核对，并以书面形式向基金托管人发出回函，进行解释或举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本协议而致使投资者遭受的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对于必须于估值完成后方可获知的监控指标或依据交易程序已经成交的投资指令，基金托管人发现该投资指令违反法律法规或者违反《基金合同》约定的，应当立即通知基金管理人，并报告中国证监会。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基金托管人发现基金管理人有重大违规行为，应立即报告中国证监会，同时通知基金管理人限期纠正。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无正当理由，拒绝、阻挠基金托管人根据本协议约定行使监督权，或采取拖延、欺诈等手段妨碍基金托管人进行有效监督，情节严重或经基金托管人提出警告仍不改正的，基金托管人应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6、基金托管人应当依照法律法规和基金合同约定，加强对侧袋机制启用、特定资产处置和信息披露等方面的复核和监督。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7、基金参与转融通证券出借业务的，基金管理人应遵守审慎经营原则，配备专门的技术系统和管理人员，制定科学合理的投资策略和风险管理制度，完善业务流程，有效防范和控制风险，基金托管人将对基金参与出借业务进行监督和复核。</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（三）基金管理人对基金托管人的业务核查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基金管理人发现基金托管人有重大违规行为，应立即报告中国证监会和银行业监督管理机构，同时通知基金托管人限期纠正。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基金托管人应积极配合基金管理人的核查行为，包括但不限于：提交相关资料以供基金管理人核查托管财产的完整性和真实性，在规定时间内答复基金管理人并改正。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（四）基金财产的保管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1、基金财产保管的原则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（1）基金财产应独立于基金管理人、基金托管人、证券/期货经纪商（以下或称“证券/期货经纪机构”）的固有财产。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）基金托管人应安全保管基金财产。未经基金管理人的有效指令，不得自行运用、处分、分配基金的任何财产。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托管人按照规定开设基金财产的资金账户、证券账户和期货账户等投资所需账户。基金管理人、基金托管人、证券经纪商三方应签订三方存管协议。证券经纪商根据相关法律法规、规范性文件为本基金开立相关证券资金账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）基金托管人对所托管的不同基金财产分别设置账户，与基金托管人的其他业务和其他基金的托管业务实行严格的分账管理，独立核算，确保基金财产的完整与独立。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2、募集资金的验证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募集期内销售机构按销售与服务协议的约定，将认购资金划入基金管理人在具有托管资格的商业银行开设的交银施罗德基金管理有限公司基金认购专户。该账户由基金管理人开立并管理。基金募集期满或基金停止募集时，发起资金提供方认购金额及承诺持有期限符合《基金法》、《运作办法》等有关规定后，由基金管理人聘请符合《中华人民共和国证券法》规定的会计师事务所进行验资，出具验资报告，验资报告需对发起资金提供方及其持有份额进行专门说明，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若基金募集期限届满，未能达到《基金合同》生效的条件，由基金管理人按规定办理退款事宜。</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3、基金的银行账户的开立和管理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以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资产托管专户的管理应符合人民币银行结算账户管理、利率管理等相关监管法规要求。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4、基金证券账户的开设和管理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基金托管人以基金托管人和本基金联名的方式在中国证券登记结算有限责任公司上海分公司/深圳分公司/北京分公司开设证券账户。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5、证券资金账户的开立和管理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管理人根据相关法律法规及协议约定在选定的证券经纪商处为本基金开立证券资金账户，用于办理本基金在证券交易所进行证券投资所涉及的资金结算业务。结算备付金和交易保证金的收取按照代理证券买卖的证券经纪机构的规定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）基金管理人以本基金名义在基金管理人选择的证券经纪机构营业网点开立证券资金账户，并按照该营业网点开户的流程和要求，签订相关的协议。证券资金账户与基金托管账户建立第三方存管关系。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6、债券托管账户和资金结算专户的开立和管理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7、存款投资账户的开立和管理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如需停止使用银行存款账户，基金管理人应联系基金托管人及时办理销户手续。</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8、其他账户的开设和管理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本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9、存款证实书等实物证券的保管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基金投资银行存款的，由存款银行向基金管理人开具存款证实书，基金管理人与基金托管人应遵守以下特别约定：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在开展银行存款投资业务前，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存款到期前，基金管理人应及时与基金托管人办理存款证实书出库手续。如需提前支取，基金管理人应出具提前支取说明函。如需部分提前支取，应办理存款证实书置换，置换后新存款证实书除金额、编号、存款证实书开具日期外，其他核心要素与原存款证实书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存款到期后，如因自然灾害等不可抗力导致无法正常办理存款证实书出库手续的，基金管理人应在与存款银行的存款协议中就上述情况作出相应安排，并明确存款银行应将支取后的存款本息全部划转回基金资产托管专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如存款证实书因非基金托管人原因出现毁损、灭失，或晚于存款到期日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0</w:t>
      </w:r>
      <w:r>
        <w:rPr>
          <w:rFonts w:hint="eastAsia" w:ascii="Times New Roman" w:hAnsi="Times New Roman"/>
          <w:sz w:val="24"/>
        </w:rPr>
        <w:t>、与基金财产有关的重大合同的保管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由基金管理人代表基金签署的与基金有关的重大合同的原件分别应由基金托管人、基金管理人保管。除本协议另有约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少于法律法规规定的最低年限。</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（五）基金资产净值的计算及复核程序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1、基金资产净值的计算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（1）基金资产净值的计算、复核的时间和程序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资产净值是指基金资产总值减去负债后的价值。各类基金份额的基金份额净值是指计算日该类基金份额的基金资产净值除以该计算日该类基金份额总份额后的数值。各类基金份额的基金份额净值的计算均保留到小数点后4位，小数点后第5位四舍五入，由此产生的误差计入基金财产。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每个工作日对基金资产估值。估值原则应符合《基金合同》、《证券投资基金会计核算业务指引》及其他法律、法规的规定。各类基金份额的基金资产净值和基金份额净值由基金管理人负责计算，基金托管人复核。基金管理人应于每个工作日交易结束后计算当日各类基金份额的基金资产净值与基金份额资产净值，但基金管理人根据法律法规或基金合同的规定暂停估值时除外。基金管理人每个工作日对基金资产估值后，将基金资产净值、各类基金份额净值结果以双方认可的方式发送给基金托管人。基金托管人对净值计算结果复核后以双方认可的方式发送给基金管理人，由基金管理人对基金净值予以公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2、基金资产估值方法</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（1）估值对象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基金所拥有的股票、债券、资产支持证券、衍生工具和其他投资等持续以公允价值计量的金融资产及负债。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）估值方法</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本基金的估值方法为：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2）处于未上市期间的有价证券应区分如下情况处理：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①送股、转增股、配股和公开增发的新股，按估值日在证券交易所挂牌的同一股票的估值方法估值；该日无交易的，以最近一日的市价（收盘价）估值；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②首次公开发行未上市的股票和债券，采用估值技术确定公允价值；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3）对于已上市或已挂牌转让的不含权固定收益品种（另有规定的除外），选取第三方估值基准服务机构提供的相应品种当日的估值全价进行估值。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4）对于已上市或已挂牌转让的含权固定收益品种（另有规定的除外），选取第三方估值基准服务机构提供的相应品种当日的唯一估值全价或推荐估值全价进行估值。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6）对于未上市或未挂牌转让且不存在活跃市场的固定收益品种，采用在当前情况下适用并且有足够可利用数据和其他信息支持的估值技术确定其公允价值。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7）本基金投资股指期货合约，一般以估值当日结算价进行估值，估值当日无结算价的，且最近交易日后经济环境未发生重大变化的，采用最近交易日结算价估值。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8）同一证券同时在两个或两个以上市场交易的，按证券所处的市场分别估值。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9）估值计算中涉及港币对人民币汇率的，将依据下列信息提供机构所提供的汇率为基准：当日中国人民银行或其授权机构公布的人民币与港币的中间价。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10）对于因税收规定调整或其他原因导致本基金实际交纳税金与估算的应交税金有差异的，本基金将在相关税金调整日或实际支付日进行相应的会计处理。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11）本基金投资存托凭证的估值核算依照境内上市交易的股票执行。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12）基金参与融资和转融通证券出借业务的，应参照相关法律法规和中国证券投资基金业协会发布的相关规定进行估值。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14）当发生大额申购或赎回情形时，基金管理人可以采用摆动定价机制，以确保基金估值的公平性。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3、估值差错处理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因基金估值错误给投资者造成损失的应先由基金管理人承担，基金管理人对不应由其承担的责任，有权向过错人追偿。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4、基金账册的建立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5、基金招募说明书、基金产品资料概要、定期报告的编制和复核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基金财务报表由基金管理人和基金托管人每月分别独立编制。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基金合同》生效后，基金招募说明书、基金产品资料概要的信息发生重大变更的，基金管理人应当在三个工作日内，更新基金招募说明书、基金产品资料概要并登载在规定网站上；基金招募说明书、基金产品资料概要其他信息发生变更的，基金管理人至少每年更新一次。基金终止运作的，基金管理人不再更新招募说明书及基金产品资料概要。基金管理人在每季度结束之日起15个工作日内完成季度报告编制并公告；在上半年结束之日起两个月内完成中期报告编制并公告；在会计年度结束之日起三个月内完成年度报告编制并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一个月内进行复核，并将复核结果书面通知基金管理人。基金管理人在一个半月内完成年度报告，在年度报告完成当日，将有关报告提供基金托管人复核，基金托管人在收到后一个半月内复核，并将复核结果书面通知基金管理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基金托管人在对财务会计报告、季度报告、中期报告或年度报告复核完毕后，需盖章确认或出具相应的复核确认书，以备有权机构对相关文件审核时提示。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6、实施侧袋机制期间的基金资产估值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本基金实施侧袋机制的，应根据《基金合同》及本部分的约定对主袋账户资产进行估值并披露主袋账户的基金净值信息，暂停披露侧袋账户份额净值。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（六）基金份额持有人名册的保管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份额持有人名册由基金的基金登记机构根据基金管理人的指令编制和保管，基金管理人和基金托管人应按照目前相关规则分别保管基金份额持有人名册。保管方式可以采用电子或文档的形式。基金份额登记机构的保存期限不少于法律法规规定的最低年限。</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及时向基金托管人提交下列日期的基金份额持有人名册：《基金合同》生效日、《基金合同》终止日、基金份额持有人大会权益登记日、每年6月30日、每年12月31日的基金份额持有人名册。其中每年12月31日的基金份额持有人名册应于下月前十个工作日内提交；《基金合同》生效日、《基金合同》终止日等涉及到基金重要事项日期的基金份额持有人名册应于发生日后十个工作日内提交。</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（七）争议解决方式</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双方当事人同意，因本协议而产生的或与本协议有关的一切争议，如经友好协商未能解决的，应提交中国国际经济贸易仲裁委员会根据该会届时有效的仲裁规则进行仲裁，仲裁的地点在北京市，仲裁裁决是终局性的并对相关各方均有约束力，除非仲裁裁决另有规定，仲裁费用由败诉方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争议处理期间，双方当事人应恪守基金管理人和基金托管人职责，继续忠实、勤勉、尽责地履行《基金合同》和本协议约定的义务，维护基金份额持有人的合法权益。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本协议受中国法律（为本协议之目的，在此不包括中国香港、中国澳门特别行政区和中国台湾地区法律）管辖并从其解释。</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（八）托管协议的变更与终止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1、托管协议的变更与终止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（1）托管协议的变更程序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本协议双方当事人经协商一致，可以对协议的内容进行变更。变更后的托管协议，其内容不得与《基金合同》的约定有任何冲突。本协议的变更须按规定报中国证监会备案。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（1）基金托管协议终止的情形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发生以下情况，本协议终止：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1）《基金合同》终止；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4）发生法律法规或《基金合同》规定的终止事项。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2、基金财产的清算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）在基金财产清算小组接管基金财产之前，基金管理人和基金托管人应按照《基金合同》和本协议的规定继续履行保护基金财产安全的职责。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）基金财产清算程序：</w:t>
      </w:r>
      <w:r>
        <w:rPr>
          <w:rFonts w:hint="eastAsia" w:ascii="Times New Roman" w:hAnsi="Times New Roman"/>
          <w:sz w:val="24"/>
        </w:rPr>
        <w:tab/>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1）《基金合同》终止情形出现时，由基金财产清算小组统一接管基金财产；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3）对基金财产进行估值和变现；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4）制作清算报告；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5）聘请符合《中华人民共和国证券法》规定的会计师事务所对清算报告进行外部审计，聘请律师事务所对清算报告出具法律意见书；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7）对基金剩余财产进行分配。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基金财产清算的期限为6个月，但因本基金所持证券的流动性受到限制而不能及时变现的，清算期限相应顺延。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）清算费用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清算费用是指基金财产清算小组在进行基金财产清算过程中发生的所有合理费用，清算费用由基金财产清算小组优先从基金财产中支付。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）基金剩余财产按下列顺序清偿：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1)支付清算费用；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2)交纳所欠税款；</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3)清偿基金债务；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4)按基金份额持有人持有的基金份额比例进行分配。</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基金财产未按前款1)－3)项规定清偿前，不分配给基金份额持有人。</w:t>
      </w:r>
    </w:p>
    <w:p>
      <w:pPr>
        <w:autoSpaceDE w:val="0"/>
        <w:autoSpaceDN w:val="0"/>
        <w:adjustRightInd w:val="0"/>
        <w:snapToGrid w:val="0"/>
        <w:spacing w:line="360" w:lineRule="auto"/>
        <w:ind w:firstLine="480" w:firstLineChars="200"/>
        <w:jc w:val="left"/>
        <w:rPr>
          <w:rFonts w:hint="eastAsia" w:ascii="Times New Roman" w:hAnsi="Times New Roman"/>
          <w:sz w:val="24"/>
        </w:rPr>
      </w:pPr>
      <w:r>
        <w:rPr>
          <w:rFonts w:hint="eastAsia" w:ascii="Times New Roman" w:hAnsi="Times New Roman"/>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3、基金财产清算的公告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基金财产清算账册及有关文件由基金托管人保存不少于法律法规规定的最低年限。</w:t>
      </w:r>
      <w:bookmarkEnd w:id="67"/>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68" w:name="_Toc110"/>
      <w:bookmarkStart w:id="69" w:name="_Toc147840639"/>
      <w:r>
        <w:rPr>
          <w:rFonts w:hint="eastAsia" w:ascii="Times New Roman" w:hAnsi="Times New Roman"/>
          <w:sz w:val="30"/>
        </w:rPr>
        <w:t>二十一、对基金份额持有人的服务</w:t>
      </w:r>
      <w:bookmarkEnd w:id="68"/>
      <w:bookmarkEnd w:id="69"/>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基金管理人承诺为基金份额持有人提供一系列的服务。基金管理人根据基金份额持有人的需要和市场的变化，有权增加或变更服务项目。主要服务内容如下：</w:t>
      </w:r>
    </w:p>
    <w:p>
      <w:pPr>
        <w:widowControl/>
        <w:adjustRightInd w:val="0"/>
        <w:snapToGrid w:val="0"/>
        <w:spacing w:line="360" w:lineRule="auto"/>
        <w:ind w:firstLine="482" w:firstLineChars="200"/>
        <w:rPr>
          <w:rFonts w:ascii="Times New Roman" w:hAnsi="Times New Roman"/>
          <w:b/>
          <w:kern w:val="0"/>
          <w:sz w:val="24"/>
        </w:rPr>
      </w:pPr>
      <w:r>
        <w:rPr>
          <w:rFonts w:hint="eastAsia" w:ascii="Times New Roman" w:hAnsi="Times New Roman"/>
          <w:b/>
          <w:kern w:val="0"/>
          <w:sz w:val="24"/>
        </w:rPr>
        <w:t>（一）基金募集客户服务相关准备工作</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基金管理人将通过客户服务电话、公司网站、手机短信及其他服务形式，向投资者提供关于基金募集的信息咨询服务，并为投资者办理基金募集相关业务提供协助。</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（二）网上直销服务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管理人已开通基金网上直销服务，个人投资者可以直接通过本基金管理人的网上直销交易平台办理开户手续，并在本基金募集期间通过网上直销交易平台办理本基金的认购业务，在本基金开放日常申购和赎回等业务后通过网上直销交易平台办理本基金的申购和赎回等业务，有关详情可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基金网上直销交易平台已开通的银行卡及各银行卡交易金额限额请参阅本基金管理人网站。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在条件成熟的时候，本基金管理人将根据基金网上直销业务的发展状况，适时调整可用于网上直销交易平台的银行卡种类，敬请投资人留意相关公告。</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（三）信息咨询、查询服务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投资人如果想查询基金账户余额、基金产品与服务等信息，请拨打本基金管理人客户服务电话（</w:t>
      </w:r>
      <w:r>
        <w:rPr>
          <w:rFonts w:ascii="Times New Roman" w:hAnsi="Times New Roman"/>
          <w:sz w:val="24"/>
        </w:rPr>
        <w:t>400-700-5000</w:t>
      </w:r>
      <w:r>
        <w:rPr>
          <w:rFonts w:hint="eastAsia" w:ascii="Times New Roman" w:hAnsi="Times New Roman"/>
          <w:sz w:val="24"/>
        </w:rPr>
        <w:t>，</w:t>
      </w:r>
      <w:r>
        <w:rPr>
          <w:rFonts w:ascii="Times New Roman" w:hAnsi="Times New Roman"/>
          <w:sz w:val="24"/>
        </w:rPr>
        <w:t>021-61055000</w:t>
      </w:r>
      <w:r>
        <w:rPr>
          <w:rFonts w:hint="eastAsia" w:ascii="Times New Roman" w:hAnsi="Times New Roman"/>
          <w:sz w:val="24"/>
        </w:rPr>
        <w:t>）或登录本基金管理人网站（</w:t>
      </w:r>
      <w:r>
        <w:rPr>
          <w:rFonts w:ascii="Times New Roman" w:hAnsi="Times New Roman"/>
          <w:sz w:val="24"/>
        </w:rPr>
        <w:t>www.fund001.com</w:t>
      </w:r>
      <w:r>
        <w:rPr>
          <w:rFonts w:hint="eastAsia" w:ascii="Times New Roman" w:hAnsi="Times New Roman"/>
          <w:sz w:val="24"/>
        </w:rPr>
        <w:t>）进行咨询、查询。</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本基金管理人为投资人预设基金查询密码，预设的基金查询密码为投资人开户证件号码的后</w:t>
      </w:r>
      <w:r>
        <w:rPr>
          <w:rFonts w:ascii="Times New Roman" w:hAnsi="Times New Roman"/>
          <w:sz w:val="24"/>
        </w:rPr>
        <w:t>6</w:t>
      </w:r>
      <w:r>
        <w:rPr>
          <w:rFonts w:hint="eastAsia" w:ascii="Times New Roman" w:hAnsi="Times New Roman"/>
          <w:sz w:val="24"/>
        </w:rPr>
        <w:t>位数字，不足</w:t>
      </w:r>
      <w:r>
        <w:rPr>
          <w:rFonts w:ascii="Times New Roman" w:hAnsi="Times New Roman"/>
          <w:sz w:val="24"/>
        </w:rPr>
        <w:t>6</w:t>
      </w:r>
      <w:r>
        <w:rPr>
          <w:rFonts w:hint="eastAsia" w:ascii="Times New Roman" w:hAnsi="Times New Roman"/>
          <w:sz w:val="24"/>
        </w:rPr>
        <w:t>位数字的，前面加</w:t>
      </w:r>
      <w:r>
        <w:rPr>
          <w:rFonts w:ascii="Times New Roman" w:hAnsi="Times New Roman"/>
          <w:sz w:val="24"/>
        </w:rPr>
        <w:t>“0”</w:t>
      </w:r>
      <w:r>
        <w:rPr>
          <w:rFonts w:hint="eastAsia" w:ascii="Times New Roman" w:hAnsi="Times New Roman"/>
          <w:sz w:val="24"/>
        </w:rPr>
        <w:t>补足。基金查询密码用于投资人通过客户服务电话查询基金账户下的账户和交易信息。投资人请在其知晓基金账号后，及时拨打本基金管理人客户服务电话修改基金查询密码。</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投资人可以拨打本基金管理人客户服务电话投诉直销机构的人员和服务。</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（四）基金红利再投资</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本基金收益分配时，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（五）定期定额投资计划</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待技术条件成熟时，基金</w:t>
      </w:r>
      <w:bookmarkStart w:id="70" w:name="OLE_LINK11"/>
      <w:r>
        <w:rPr>
          <w:rFonts w:hint="eastAsia" w:ascii="Times New Roman" w:hAnsi="Times New Roman"/>
          <w:kern w:val="0"/>
          <w:sz w:val="24"/>
        </w:rPr>
        <w:t>管理人可通过销售机构为投资人提供定期定额投资的服务。通过定期定额</w:t>
      </w:r>
      <w:bookmarkEnd w:id="70"/>
      <w:r>
        <w:rPr>
          <w:rFonts w:hint="eastAsia" w:ascii="Times New Roman" w:hAnsi="Times New Roman"/>
          <w:kern w:val="0"/>
          <w:sz w:val="24"/>
        </w:rPr>
        <w:t>投资计划，投资人可以定期定额申购基金份额，具体实施方法另行公告。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服务联系方式：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本基金管理人的互联网地址及电子信箱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网址：</w:t>
      </w:r>
      <w:r>
        <w:rPr>
          <w:rFonts w:ascii="Times New Roman" w:hAnsi="Times New Roman"/>
          <w:sz w:val="24"/>
        </w:rPr>
        <w:t>www.fund001.com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电子信箱：</w:t>
      </w:r>
      <w:r>
        <w:rPr>
          <w:rFonts w:ascii="Times New Roman" w:hAnsi="Times New Roman"/>
          <w:sz w:val="24"/>
        </w:rPr>
        <w:t>services@jysld.com</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投资者也可登录本基金管理人网站，直接提出有关本基金的问题和建议。</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（六）如本招募说明书存在任何您</w:t>
      </w:r>
      <w:r>
        <w:rPr>
          <w:rFonts w:ascii="Times New Roman" w:hAnsi="Times New Roman"/>
          <w:b/>
          <w:kern w:val="0"/>
          <w:sz w:val="24"/>
        </w:rPr>
        <w:t>/</w:t>
      </w:r>
      <w:r>
        <w:rPr>
          <w:rFonts w:hint="eastAsia" w:ascii="Times New Roman" w:hAnsi="Times New Roman"/>
          <w:b/>
          <w:kern w:val="0"/>
          <w:sz w:val="24"/>
        </w:rPr>
        <w:t>贵机构无法理解的内容，请通过上述方式联系基金管理人。请确保投资前，您</w:t>
      </w:r>
      <w:r>
        <w:rPr>
          <w:rFonts w:ascii="Times New Roman" w:hAnsi="Times New Roman"/>
          <w:b/>
          <w:kern w:val="0"/>
          <w:sz w:val="24"/>
        </w:rPr>
        <w:t>/</w:t>
      </w:r>
      <w:r>
        <w:rPr>
          <w:rFonts w:hint="eastAsia" w:ascii="Times New Roman" w:hAnsi="Times New Roman"/>
          <w:b/>
          <w:kern w:val="0"/>
          <w:sz w:val="24"/>
        </w:rPr>
        <w:t>贵机构已经全面理解了本招募说明书。</w:t>
      </w:r>
    </w:p>
    <w:p>
      <w:pPr>
        <w:autoSpaceDE w:val="0"/>
        <w:autoSpaceDN w:val="0"/>
        <w:adjustRightInd w:val="0"/>
        <w:spacing w:line="360" w:lineRule="auto"/>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 w:val="30"/>
        </w:rPr>
      </w:pPr>
      <w:bookmarkStart w:id="71" w:name="_Toc4900"/>
      <w:bookmarkStart w:id="72" w:name="_Toc147840640"/>
      <w:r>
        <w:rPr>
          <w:rFonts w:hint="eastAsia" w:ascii="Times New Roman" w:hAnsi="Times New Roman"/>
          <w:sz w:val="30"/>
        </w:rPr>
        <w:t>二十二、其他应披露事项</w:t>
      </w:r>
      <w:bookmarkEnd w:id="71"/>
      <w:bookmarkEnd w:id="72"/>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基金合同如有未尽事宜，由基金合同当事人各方按有关法律法规协商解决。</w:t>
      </w:r>
    </w:p>
    <w:p>
      <w:pPr>
        <w:widowControl/>
        <w:jc w:val="left"/>
        <w:rPr>
          <w:rFonts w:ascii="Times New Roman" w:hAnsi="Times New Roman"/>
        </w:rPr>
      </w:pPr>
      <w:r>
        <w:rPr>
          <w:rFonts w:ascii="Times New Roman" w:hAnsi="Times New Roman"/>
        </w:rPr>
        <w:br w:type="page"/>
      </w:r>
    </w:p>
    <w:p>
      <w:pPr>
        <w:rPr>
          <w:rFonts w:ascii="Times New Roman" w:hAnsi="Times New Roman"/>
        </w:rPr>
      </w:pPr>
    </w:p>
    <w:p>
      <w:pPr>
        <w:pStyle w:val="2"/>
        <w:snapToGrid w:val="0"/>
        <w:spacing w:before="240" w:beforeLines="0" w:after="240"/>
        <w:rPr>
          <w:rFonts w:ascii="Times New Roman" w:hAnsi="Times New Roman"/>
          <w:szCs w:val="30"/>
        </w:rPr>
      </w:pPr>
      <w:bookmarkStart w:id="73" w:name="_Toc147840641"/>
      <w:bookmarkStart w:id="74" w:name="_Toc22574"/>
      <w:r>
        <w:rPr>
          <w:rFonts w:hint="eastAsia" w:ascii="Times New Roman" w:hAnsi="Times New Roman"/>
          <w:sz w:val="30"/>
        </w:rPr>
        <w:t>二十三、招募说明书的存放及查阅方式</w:t>
      </w:r>
      <w:bookmarkEnd w:id="73"/>
      <w:bookmarkEnd w:id="74"/>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投资人还可以直接登录基金管理人的网站</w:t>
      </w:r>
      <w:r>
        <w:rPr>
          <w:rFonts w:ascii="Times New Roman" w:hAnsi="Times New Roman"/>
          <w:sz w:val="24"/>
        </w:rPr>
        <w:t>(www.fund001.com)</w:t>
      </w:r>
      <w:r>
        <w:rPr>
          <w:rFonts w:hint="eastAsia" w:ascii="Times New Roman" w:hAnsi="Times New Roman"/>
          <w:sz w:val="24"/>
        </w:rPr>
        <w:t>查阅和下载招募说明书。</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75" w:name="_Toc147840642"/>
      <w:bookmarkStart w:id="76" w:name="_Toc15423"/>
      <w:r>
        <w:rPr>
          <w:rFonts w:hint="eastAsia" w:ascii="Times New Roman" w:hAnsi="Times New Roman"/>
          <w:sz w:val="30"/>
        </w:rPr>
        <w:t>二十四、备查文件</w:t>
      </w:r>
      <w:bookmarkEnd w:id="75"/>
      <w:bookmarkEnd w:id="76"/>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（一）中国证监会准予交银施罗德中证A500指数增强型发起式证券投资基金募集注册的文件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（二）《交银施罗德中证A500指数增强型发起式证券投资基金基金合同》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（三）《交银施罗德中证A500指数增强型发起式证券投资基金托管协议》</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（四）基金管理人业务资格批件、营业执照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（五）基金托管人业务资格批件、营业执照</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（六）关于申请募集注册交银施罗德中证A500指数增强型发起式证券投资基金的法律意见书</w:t>
      </w:r>
    </w:p>
    <w:p/>
    <w:sectPr>
      <w:footerReference r:id="rId8"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iTJ32gAAAA0BAAAPAAAAAAAAAAEAIAAAACIAAABkcnMvZG93bnJl&#10;di54bWxQSwECFAAUAAAACACHTuJAvfUcm/sBAAADBAAADgAAAAAAAAABACAAAAApAQAAZHJzL2Uy&#10;b0RvYy54bWxQSwUGAAAAAAYABgBZAQAAlgU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3360"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55</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1.25pt;margin-top:773.85pt;height:11pt;width:33.5pt;mso-position-horizontal-relative:page;mso-position-vertical-relative:page;z-index:-251653120;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Ej7vjaAAAADQEAAA8AAAAAAAAAAQAgAAAAIgAAAGRycy9kb3du&#10;cmV2LnhtbFBLAQIUABQAAAAIAIdO4kCqBm2W/QEAAAQEAAAOAAAAAAAAAAEAIAAAACkBAABkcnMv&#10;ZTJvRG9jLnhtbFBLBQYAAAAABgAGAFkBAACYBQ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55</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0"/>
      <w:jc w:val="right"/>
      <w:rPr>
        <w:rFonts w:ascii="宋体" w:hAnsi="宋体"/>
      </w:rPr>
    </w:pPr>
    <w:r>
      <w:rPr>
        <w:rFonts w:hint="eastAsia" w:ascii="宋体" w:hAnsi="宋体"/>
      </w:rPr>
      <w:t>交银施罗德创业板50指数型证券投资基金(更新)招募说明书(2022年第1号)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jc w:val="right"/>
    </w:pPr>
  </w:p>
  <w:p>
    <w:pPr>
      <w:pStyle w:val="10"/>
      <w:jc w:val="right"/>
    </w:pPr>
    <w:r>
      <w:drawing>
        <wp:anchor distT="0" distB="0" distL="114300" distR="114300" simplePos="0" relativeHeight="251660288" behindDoc="0" locked="0" layoutInCell="1" allowOverlap="1">
          <wp:simplePos x="0" y="0"/>
          <wp:positionH relativeFrom="column">
            <wp:posOffset>-101600</wp:posOffset>
          </wp:positionH>
          <wp:positionV relativeFrom="paragraph">
            <wp:posOffset>150495</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0"/>
      <w:jc w:val="right"/>
    </w:pPr>
  </w:p>
  <w:p>
    <w:pPr>
      <w:pStyle w:val="10"/>
      <w:jc w:val="right"/>
      <w:rPr>
        <w:rFonts w:ascii="宋体" w:hAnsi="宋体"/>
      </w:rPr>
    </w:pPr>
    <w:r>
      <w:rPr>
        <w:rFonts w:hint="eastAsia" w:ascii="宋体" w:hAnsi="宋体"/>
      </w:rPr>
      <w:t>交银施罗德中证A500指数增强型发起式证券投资基金招募说明书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10"/>
      <w:jc w:val="right"/>
    </w:pPr>
    <w:r>
      <w:pict>
        <v:shape id="图片 4" o:spid="_x0000_s3073" o:spt="75" alt="logo1" type="#_x0000_t75" style="position:absolute;left:0pt;margin-left:-5.3pt;margin-top:11.25pt;height:18.75pt;width:135pt;z-index:251664384;mso-width-relative:page;mso-height-relative:page;" filled="f" o:preferrelative="t" stroked="f" coordsize="21600,21600">
          <v:path/>
          <v:fill on="f" focussize="0,0"/>
          <v:stroke on="f" joinstyle="miter"/>
          <v:imagedata r:id="rId1" o:title="logo1"/>
          <o:lock v:ext="edit" aspectratio="t"/>
        </v:shape>
      </w:pict>
    </w:r>
  </w:p>
  <w:p>
    <w:pPr>
      <w:pStyle w:val="10"/>
      <w:jc w:val="right"/>
    </w:pPr>
  </w:p>
  <w:p>
    <w:pPr>
      <w:pStyle w:val="10"/>
      <w:jc w:val="right"/>
      <w:rPr>
        <w:rFonts w:ascii="宋体" w:hAnsi="宋体"/>
      </w:rPr>
    </w:pPr>
    <w:r>
      <w:rPr>
        <w:rFonts w:hint="eastAsia" w:ascii="宋体" w:hAnsi="宋体"/>
      </w:rPr>
      <w:t>交银施罗德中证A500指数增强型发起式证券投资基金招募说明书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10"/>
      <w:jc w:val="right"/>
    </w:pPr>
    <w:r>
      <w:drawing>
        <wp:anchor distT="0" distB="0" distL="114300" distR="114300" simplePos="0" relativeHeight="251662336" behindDoc="0" locked="0" layoutInCell="1" allowOverlap="1">
          <wp:simplePos x="0" y="0"/>
          <wp:positionH relativeFrom="margin">
            <wp:align>left</wp:align>
          </wp:positionH>
          <wp:positionV relativeFrom="paragraph">
            <wp:posOffset>125095</wp:posOffset>
          </wp:positionV>
          <wp:extent cx="1714500" cy="238125"/>
          <wp:effectExtent l="0" t="0" r="0" b="9525"/>
          <wp:wrapNone/>
          <wp:docPr id="7"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0"/>
      <w:jc w:val="right"/>
    </w:pPr>
  </w:p>
  <w:p>
    <w:pPr>
      <w:pStyle w:val="10"/>
      <w:jc w:val="right"/>
      <w:rPr>
        <w:rFonts w:ascii="宋体" w:hAnsi="宋体"/>
      </w:rPr>
    </w:pPr>
    <w:r>
      <w:rPr>
        <w:rFonts w:hint="eastAsia" w:ascii="宋体" w:hAnsi="宋体"/>
      </w:rPr>
      <w:t>交银施罗德中证A500指数增强型发起式证券投资基金招募说明书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77129"/>
    <w:multiLevelType w:val="multilevel"/>
    <w:tmpl w:val="45477129"/>
    <w:lvl w:ilvl="0" w:tentative="0">
      <w:start w:val="1"/>
      <w:numFmt w:val="bullet"/>
      <w:lvlText w:val=""/>
      <w:lvlJc w:val="left"/>
      <w:pPr>
        <w:ind w:left="1005" w:hanging="420"/>
      </w:pPr>
      <w:rPr>
        <w:rFonts w:hint="default" w:ascii="Wingdings" w:hAnsi="Wingdings"/>
      </w:rPr>
    </w:lvl>
    <w:lvl w:ilvl="1" w:tentative="0">
      <w:start w:val="1"/>
      <w:numFmt w:val="bullet"/>
      <w:lvlText w:val=""/>
      <w:lvlJc w:val="left"/>
      <w:pPr>
        <w:ind w:left="1425" w:hanging="420"/>
      </w:pPr>
      <w:rPr>
        <w:rFonts w:hint="default" w:ascii="Wingdings" w:hAnsi="Wingdings"/>
      </w:rPr>
    </w:lvl>
    <w:lvl w:ilvl="2" w:tentative="0">
      <w:start w:val="1"/>
      <w:numFmt w:val="bullet"/>
      <w:lvlText w:val=""/>
      <w:lvlJc w:val="left"/>
      <w:pPr>
        <w:ind w:left="1845" w:hanging="420"/>
      </w:pPr>
      <w:rPr>
        <w:rFonts w:hint="default" w:ascii="Wingdings" w:hAnsi="Wingdings"/>
      </w:rPr>
    </w:lvl>
    <w:lvl w:ilvl="3" w:tentative="0">
      <w:start w:val="1"/>
      <w:numFmt w:val="bullet"/>
      <w:lvlText w:val=""/>
      <w:lvlJc w:val="left"/>
      <w:pPr>
        <w:ind w:left="2265" w:hanging="420"/>
      </w:pPr>
      <w:rPr>
        <w:rFonts w:hint="default" w:ascii="Wingdings" w:hAnsi="Wingdings"/>
      </w:rPr>
    </w:lvl>
    <w:lvl w:ilvl="4" w:tentative="0">
      <w:start w:val="1"/>
      <w:numFmt w:val="bullet"/>
      <w:lvlText w:val=""/>
      <w:lvlJc w:val="left"/>
      <w:pPr>
        <w:ind w:left="2685" w:hanging="420"/>
      </w:pPr>
      <w:rPr>
        <w:rFonts w:hint="default" w:ascii="Wingdings" w:hAnsi="Wingdings"/>
      </w:rPr>
    </w:lvl>
    <w:lvl w:ilvl="5" w:tentative="0">
      <w:start w:val="1"/>
      <w:numFmt w:val="bullet"/>
      <w:lvlText w:val=""/>
      <w:lvlJc w:val="left"/>
      <w:pPr>
        <w:ind w:left="3105" w:hanging="420"/>
      </w:pPr>
      <w:rPr>
        <w:rFonts w:hint="default" w:ascii="Wingdings" w:hAnsi="Wingdings"/>
      </w:rPr>
    </w:lvl>
    <w:lvl w:ilvl="6" w:tentative="0">
      <w:start w:val="1"/>
      <w:numFmt w:val="bullet"/>
      <w:lvlText w:val=""/>
      <w:lvlJc w:val="left"/>
      <w:pPr>
        <w:ind w:left="3525" w:hanging="420"/>
      </w:pPr>
      <w:rPr>
        <w:rFonts w:hint="default" w:ascii="Wingdings" w:hAnsi="Wingdings"/>
      </w:rPr>
    </w:lvl>
    <w:lvl w:ilvl="7" w:tentative="0">
      <w:start w:val="1"/>
      <w:numFmt w:val="bullet"/>
      <w:lvlText w:val=""/>
      <w:lvlJc w:val="left"/>
      <w:pPr>
        <w:ind w:left="3945" w:hanging="420"/>
      </w:pPr>
      <w:rPr>
        <w:rFonts w:hint="default" w:ascii="Wingdings" w:hAnsi="Wingdings"/>
      </w:rPr>
    </w:lvl>
    <w:lvl w:ilvl="8" w:tentative="0">
      <w:start w:val="1"/>
      <w:numFmt w:val="bullet"/>
      <w:lvlText w:val=""/>
      <w:lvlJc w:val="left"/>
      <w:pPr>
        <w:ind w:left="4365" w:hanging="420"/>
      </w:pPr>
      <w:rPr>
        <w:rFonts w:hint="default" w:ascii="Wingdings" w:hAnsi="Wingdings"/>
      </w:rPr>
    </w:lvl>
  </w:abstractNum>
  <w:abstractNum w:abstractNumId="1">
    <w:nsid w:val="547D73EE"/>
    <w:multiLevelType w:val="multilevel"/>
    <w:tmpl w:val="547D73EE"/>
    <w:lvl w:ilvl="0" w:tentative="0">
      <w:start w:val="1"/>
      <w:numFmt w:val="decimal"/>
      <w:pStyle w:val="26"/>
      <w:suff w:val="space"/>
      <w:lvlText w:val="§%1"/>
      <w:lvlJc w:val="left"/>
      <w:pPr>
        <w:ind w:left="425" w:hanging="425"/>
      </w:pPr>
      <w:rPr>
        <w:rFonts w:hint="eastAsia"/>
      </w:rPr>
    </w:lvl>
    <w:lvl w:ilvl="1" w:tentative="0">
      <w:start w:val="1"/>
      <w:numFmt w:val="decimal"/>
      <w:pStyle w:val="27"/>
      <w:suff w:val="space"/>
      <w:lvlText w:val="%1.%2"/>
      <w:lvlJc w:val="left"/>
      <w:pPr>
        <w:ind w:left="738" w:hanging="454"/>
      </w:pPr>
      <w:rPr>
        <w:rFonts w:hint="eastAsia"/>
      </w:rPr>
    </w:lvl>
    <w:lvl w:ilvl="2" w:tentative="0">
      <w:start w:val="1"/>
      <w:numFmt w:val="decimal"/>
      <w:pStyle w:val="28"/>
      <w:suff w:val="space"/>
      <w:lvlText w:val="%1.%2.%3"/>
      <w:lvlJc w:val="left"/>
      <w:pPr>
        <w:ind w:left="624" w:hanging="624"/>
      </w:pPr>
    </w:lvl>
    <w:lvl w:ilvl="3" w:tentative="0">
      <w:start w:val="1"/>
      <w:numFmt w:val="decimal"/>
      <w:pStyle w:val="30"/>
      <w:suff w:val="space"/>
      <w:lvlText w:val="%1.%2.%3.%4"/>
      <w:lvlJc w:val="left"/>
      <w:pPr>
        <w:ind w:left="794" w:hanging="794"/>
      </w:pPr>
      <w:rPr>
        <w:rFonts w:hint="eastAsia"/>
      </w:rPr>
    </w:lvl>
    <w:lvl w:ilvl="4" w:tentative="0">
      <w:start w:val="1"/>
      <w:numFmt w:val="decimal"/>
      <w:pStyle w:val="29"/>
      <w:suff w:val="space"/>
      <w:lvlText w:val="%1.%2.%3.%4.%5"/>
      <w:lvlJc w:val="left"/>
      <w:pPr>
        <w:ind w:left="1021" w:hanging="1021"/>
      </w:pPr>
      <w:rPr>
        <w:rFonts w:hint="eastAsia"/>
      </w:rPr>
    </w:lvl>
    <w:lvl w:ilvl="5" w:tentative="0">
      <w:start w:val="1"/>
      <w:numFmt w:val="decimal"/>
      <w:pStyle w:val="23"/>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720"/>
  <w:drawingGridHorizontalSpacing w:val="105"/>
  <w:drawingGridVerticalSpacing w:val="120"/>
  <w:displayHorizontalDrawingGridEvery w:val="0"/>
  <w:displayVerticalDrawingGridEvery w:val="2"/>
  <w:doNotShadeFormData w:val="1"/>
  <w:characterSpacingControl w:val="doNotCompress"/>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0BB3"/>
    <w:rsid w:val="00001582"/>
    <w:rsid w:val="00001EEA"/>
    <w:rsid w:val="00003EC9"/>
    <w:rsid w:val="0000402D"/>
    <w:rsid w:val="0000428F"/>
    <w:rsid w:val="0000560A"/>
    <w:rsid w:val="0000564D"/>
    <w:rsid w:val="00006994"/>
    <w:rsid w:val="00010049"/>
    <w:rsid w:val="0001266E"/>
    <w:rsid w:val="00017707"/>
    <w:rsid w:val="00017E3F"/>
    <w:rsid w:val="000220C3"/>
    <w:rsid w:val="00025061"/>
    <w:rsid w:val="0002557B"/>
    <w:rsid w:val="00026A29"/>
    <w:rsid w:val="00026D00"/>
    <w:rsid w:val="00027C73"/>
    <w:rsid w:val="00027F40"/>
    <w:rsid w:val="00030964"/>
    <w:rsid w:val="00030F3E"/>
    <w:rsid w:val="00035405"/>
    <w:rsid w:val="000368A2"/>
    <w:rsid w:val="00036FB6"/>
    <w:rsid w:val="00037EDD"/>
    <w:rsid w:val="00040D5C"/>
    <w:rsid w:val="00044991"/>
    <w:rsid w:val="00044AFD"/>
    <w:rsid w:val="00044E2C"/>
    <w:rsid w:val="000457B7"/>
    <w:rsid w:val="0004614E"/>
    <w:rsid w:val="00046212"/>
    <w:rsid w:val="000500B8"/>
    <w:rsid w:val="0005031C"/>
    <w:rsid w:val="000506ED"/>
    <w:rsid w:val="0005145C"/>
    <w:rsid w:val="00052CCC"/>
    <w:rsid w:val="000543D5"/>
    <w:rsid w:val="00054DCA"/>
    <w:rsid w:val="00055792"/>
    <w:rsid w:val="00055F52"/>
    <w:rsid w:val="0005679F"/>
    <w:rsid w:val="0005697A"/>
    <w:rsid w:val="00056A9A"/>
    <w:rsid w:val="00061C0D"/>
    <w:rsid w:val="0006212F"/>
    <w:rsid w:val="0006220F"/>
    <w:rsid w:val="0006411B"/>
    <w:rsid w:val="00064529"/>
    <w:rsid w:val="000647B8"/>
    <w:rsid w:val="0006506B"/>
    <w:rsid w:val="0006551A"/>
    <w:rsid w:val="00066760"/>
    <w:rsid w:val="000700AC"/>
    <w:rsid w:val="000705A6"/>
    <w:rsid w:val="00070712"/>
    <w:rsid w:val="000749E5"/>
    <w:rsid w:val="000757E3"/>
    <w:rsid w:val="0007638A"/>
    <w:rsid w:val="00076B6E"/>
    <w:rsid w:val="00080D4F"/>
    <w:rsid w:val="000816EA"/>
    <w:rsid w:val="00081744"/>
    <w:rsid w:val="00081F4E"/>
    <w:rsid w:val="000828CE"/>
    <w:rsid w:val="000833CB"/>
    <w:rsid w:val="00083491"/>
    <w:rsid w:val="00084078"/>
    <w:rsid w:val="000843B3"/>
    <w:rsid w:val="000869C2"/>
    <w:rsid w:val="00087F4C"/>
    <w:rsid w:val="00090648"/>
    <w:rsid w:val="000925DA"/>
    <w:rsid w:val="00092BD8"/>
    <w:rsid w:val="00093DFA"/>
    <w:rsid w:val="00094253"/>
    <w:rsid w:val="00095030"/>
    <w:rsid w:val="00096488"/>
    <w:rsid w:val="000A01A0"/>
    <w:rsid w:val="000A2E98"/>
    <w:rsid w:val="000A352B"/>
    <w:rsid w:val="000A46DE"/>
    <w:rsid w:val="000A6020"/>
    <w:rsid w:val="000A7A31"/>
    <w:rsid w:val="000B0F8B"/>
    <w:rsid w:val="000B359E"/>
    <w:rsid w:val="000B3894"/>
    <w:rsid w:val="000B4E04"/>
    <w:rsid w:val="000B6AE6"/>
    <w:rsid w:val="000C1E1E"/>
    <w:rsid w:val="000C38F1"/>
    <w:rsid w:val="000C3FA1"/>
    <w:rsid w:val="000C43B9"/>
    <w:rsid w:val="000C5638"/>
    <w:rsid w:val="000C5E77"/>
    <w:rsid w:val="000C68E9"/>
    <w:rsid w:val="000D0062"/>
    <w:rsid w:val="000D075E"/>
    <w:rsid w:val="000D080B"/>
    <w:rsid w:val="000D0ADE"/>
    <w:rsid w:val="000D179E"/>
    <w:rsid w:val="000D66DC"/>
    <w:rsid w:val="000E0144"/>
    <w:rsid w:val="000E0E3A"/>
    <w:rsid w:val="000E1CF7"/>
    <w:rsid w:val="000E1F3B"/>
    <w:rsid w:val="000E3AB4"/>
    <w:rsid w:val="000E3BE2"/>
    <w:rsid w:val="000E4366"/>
    <w:rsid w:val="000E4563"/>
    <w:rsid w:val="000E7544"/>
    <w:rsid w:val="000F0C17"/>
    <w:rsid w:val="000F1F5E"/>
    <w:rsid w:val="000F25D6"/>
    <w:rsid w:val="000F2904"/>
    <w:rsid w:val="000F2C75"/>
    <w:rsid w:val="000F34A1"/>
    <w:rsid w:val="000F5226"/>
    <w:rsid w:val="000F5583"/>
    <w:rsid w:val="000F6050"/>
    <w:rsid w:val="000F66FF"/>
    <w:rsid w:val="000F6943"/>
    <w:rsid w:val="000F698D"/>
    <w:rsid w:val="000F7727"/>
    <w:rsid w:val="000F7D42"/>
    <w:rsid w:val="001008A5"/>
    <w:rsid w:val="00100C86"/>
    <w:rsid w:val="0010190D"/>
    <w:rsid w:val="001020E3"/>
    <w:rsid w:val="001027DB"/>
    <w:rsid w:val="0010287B"/>
    <w:rsid w:val="0010342D"/>
    <w:rsid w:val="001068B2"/>
    <w:rsid w:val="00107544"/>
    <w:rsid w:val="00107CBF"/>
    <w:rsid w:val="00110828"/>
    <w:rsid w:val="00110F58"/>
    <w:rsid w:val="001119B8"/>
    <w:rsid w:val="0011339C"/>
    <w:rsid w:val="001135B0"/>
    <w:rsid w:val="00113FAA"/>
    <w:rsid w:val="00115AE5"/>
    <w:rsid w:val="00116489"/>
    <w:rsid w:val="0011648B"/>
    <w:rsid w:val="001166C1"/>
    <w:rsid w:val="00116874"/>
    <w:rsid w:val="001172CB"/>
    <w:rsid w:val="001177A3"/>
    <w:rsid w:val="00117E65"/>
    <w:rsid w:val="001216D2"/>
    <w:rsid w:val="00124000"/>
    <w:rsid w:val="00124032"/>
    <w:rsid w:val="001240EB"/>
    <w:rsid w:val="00124283"/>
    <w:rsid w:val="0012443D"/>
    <w:rsid w:val="00125852"/>
    <w:rsid w:val="00127053"/>
    <w:rsid w:val="00127A9D"/>
    <w:rsid w:val="0013066E"/>
    <w:rsid w:val="001308CC"/>
    <w:rsid w:val="0013182D"/>
    <w:rsid w:val="00131CEE"/>
    <w:rsid w:val="0013315B"/>
    <w:rsid w:val="00134FCF"/>
    <w:rsid w:val="00135AD8"/>
    <w:rsid w:val="001362A1"/>
    <w:rsid w:val="0013630D"/>
    <w:rsid w:val="001367F2"/>
    <w:rsid w:val="00137942"/>
    <w:rsid w:val="001412E8"/>
    <w:rsid w:val="0014250F"/>
    <w:rsid w:val="00144B52"/>
    <w:rsid w:val="00145AAC"/>
    <w:rsid w:val="00146C9E"/>
    <w:rsid w:val="00147610"/>
    <w:rsid w:val="0014768F"/>
    <w:rsid w:val="00151683"/>
    <w:rsid w:val="00151978"/>
    <w:rsid w:val="001535E6"/>
    <w:rsid w:val="00153D66"/>
    <w:rsid w:val="0015725E"/>
    <w:rsid w:val="0015740C"/>
    <w:rsid w:val="00160224"/>
    <w:rsid w:val="001604D1"/>
    <w:rsid w:val="001621EA"/>
    <w:rsid w:val="00162CD9"/>
    <w:rsid w:val="00162F69"/>
    <w:rsid w:val="00164443"/>
    <w:rsid w:val="001646BC"/>
    <w:rsid w:val="00164946"/>
    <w:rsid w:val="00165756"/>
    <w:rsid w:val="00165FBB"/>
    <w:rsid w:val="00170718"/>
    <w:rsid w:val="00172505"/>
    <w:rsid w:val="001727D8"/>
    <w:rsid w:val="00173324"/>
    <w:rsid w:val="0017362C"/>
    <w:rsid w:val="0017392F"/>
    <w:rsid w:val="0018126D"/>
    <w:rsid w:val="001812CF"/>
    <w:rsid w:val="0018184C"/>
    <w:rsid w:val="0018198F"/>
    <w:rsid w:val="00181C62"/>
    <w:rsid w:val="00182E0F"/>
    <w:rsid w:val="00183642"/>
    <w:rsid w:val="0018465E"/>
    <w:rsid w:val="001860C4"/>
    <w:rsid w:val="00186F1C"/>
    <w:rsid w:val="00186FAE"/>
    <w:rsid w:val="00187AD8"/>
    <w:rsid w:val="00190402"/>
    <w:rsid w:val="00191782"/>
    <w:rsid w:val="001917D4"/>
    <w:rsid w:val="001917FC"/>
    <w:rsid w:val="00191D7F"/>
    <w:rsid w:val="001925A2"/>
    <w:rsid w:val="00193573"/>
    <w:rsid w:val="00195218"/>
    <w:rsid w:val="00195AA9"/>
    <w:rsid w:val="00195D71"/>
    <w:rsid w:val="00197A55"/>
    <w:rsid w:val="00197E48"/>
    <w:rsid w:val="00197F7E"/>
    <w:rsid w:val="001A1623"/>
    <w:rsid w:val="001A2263"/>
    <w:rsid w:val="001B2042"/>
    <w:rsid w:val="001B4531"/>
    <w:rsid w:val="001B46A1"/>
    <w:rsid w:val="001B5393"/>
    <w:rsid w:val="001B5BDB"/>
    <w:rsid w:val="001B606D"/>
    <w:rsid w:val="001B6E82"/>
    <w:rsid w:val="001B75F9"/>
    <w:rsid w:val="001C2437"/>
    <w:rsid w:val="001C2B9E"/>
    <w:rsid w:val="001C38DA"/>
    <w:rsid w:val="001C6EE7"/>
    <w:rsid w:val="001C700A"/>
    <w:rsid w:val="001C7800"/>
    <w:rsid w:val="001C7A48"/>
    <w:rsid w:val="001C7C12"/>
    <w:rsid w:val="001D1E15"/>
    <w:rsid w:val="001D2797"/>
    <w:rsid w:val="001D2B67"/>
    <w:rsid w:val="001D3730"/>
    <w:rsid w:val="001D41BA"/>
    <w:rsid w:val="001D433E"/>
    <w:rsid w:val="001D4625"/>
    <w:rsid w:val="001D4727"/>
    <w:rsid w:val="001D5665"/>
    <w:rsid w:val="001D61DC"/>
    <w:rsid w:val="001D6377"/>
    <w:rsid w:val="001D68A8"/>
    <w:rsid w:val="001D6B88"/>
    <w:rsid w:val="001D6C5F"/>
    <w:rsid w:val="001D7ECC"/>
    <w:rsid w:val="001E05C3"/>
    <w:rsid w:val="001E144C"/>
    <w:rsid w:val="001E15F5"/>
    <w:rsid w:val="001E25FD"/>
    <w:rsid w:val="001E2A4F"/>
    <w:rsid w:val="001E3F8F"/>
    <w:rsid w:val="001E411E"/>
    <w:rsid w:val="001E5250"/>
    <w:rsid w:val="001E6E58"/>
    <w:rsid w:val="001E78F0"/>
    <w:rsid w:val="001E7D6A"/>
    <w:rsid w:val="001F02CC"/>
    <w:rsid w:val="001F0A3D"/>
    <w:rsid w:val="001F0BB5"/>
    <w:rsid w:val="001F15F4"/>
    <w:rsid w:val="001F1869"/>
    <w:rsid w:val="001F33EB"/>
    <w:rsid w:val="001F4DEA"/>
    <w:rsid w:val="001F4ECB"/>
    <w:rsid w:val="001F7353"/>
    <w:rsid w:val="00201F27"/>
    <w:rsid w:val="00201F9B"/>
    <w:rsid w:val="00203597"/>
    <w:rsid w:val="002076AC"/>
    <w:rsid w:val="00207C52"/>
    <w:rsid w:val="00212B27"/>
    <w:rsid w:val="00212BBA"/>
    <w:rsid w:val="0021344B"/>
    <w:rsid w:val="00213A21"/>
    <w:rsid w:val="0021469C"/>
    <w:rsid w:val="00214945"/>
    <w:rsid w:val="00215523"/>
    <w:rsid w:val="00216020"/>
    <w:rsid w:val="00216962"/>
    <w:rsid w:val="00217CA4"/>
    <w:rsid w:val="00221112"/>
    <w:rsid w:val="00221A1B"/>
    <w:rsid w:val="002220A4"/>
    <w:rsid w:val="00223C19"/>
    <w:rsid w:val="00224421"/>
    <w:rsid w:val="0022608D"/>
    <w:rsid w:val="00226503"/>
    <w:rsid w:val="0022697A"/>
    <w:rsid w:val="00226A60"/>
    <w:rsid w:val="00230D8D"/>
    <w:rsid w:val="002312B0"/>
    <w:rsid w:val="00231B29"/>
    <w:rsid w:val="00232018"/>
    <w:rsid w:val="002343E4"/>
    <w:rsid w:val="00234B94"/>
    <w:rsid w:val="00235173"/>
    <w:rsid w:val="0023578C"/>
    <w:rsid w:val="00235AC5"/>
    <w:rsid w:val="0023744F"/>
    <w:rsid w:val="002377E0"/>
    <w:rsid w:val="00240BB6"/>
    <w:rsid w:val="002432CA"/>
    <w:rsid w:val="0024386E"/>
    <w:rsid w:val="00243D40"/>
    <w:rsid w:val="00244341"/>
    <w:rsid w:val="00245250"/>
    <w:rsid w:val="002477CB"/>
    <w:rsid w:val="00247BF6"/>
    <w:rsid w:val="00250757"/>
    <w:rsid w:val="00250898"/>
    <w:rsid w:val="00250A33"/>
    <w:rsid w:val="00250CCD"/>
    <w:rsid w:val="00251126"/>
    <w:rsid w:val="002512EE"/>
    <w:rsid w:val="002514B4"/>
    <w:rsid w:val="002524D2"/>
    <w:rsid w:val="00252802"/>
    <w:rsid w:val="00252AA7"/>
    <w:rsid w:val="00254338"/>
    <w:rsid w:val="00254367"/>
    <w:rsid w:val="00257DED"/>
    <w:rsid w:val="0026167E"/>
    <w:rsid w:val="00261A50"/>
    <w:rsid w:val="002634C3"/>
    <w:rsid w:val="002648D5"/>
    <w:rsid w:val="00265B3A"/>
    <w:rsid w:val="00266C20"/>
    <w:rsid w:val="002674CA"/>
    <w:rsid w:val="00270419"/>
    <w:rsid w:val="0027052E"/>
    <w:rsid w:val="002719AD"/>
    <w:rsid w:val="00271E9D"/>
    <w:rsid w:val="00271F7D"/>
    <w:rsid w:val="0027247B"/>
    <w:rsid w:val="00273ACC"/>
    <w:rsid w:val="00274E85"/>
    <w:rsid w:val="0027645D"/>
    <w:rsid w:val="002777F6"/>
    <w:rsid w:val="00277907"/>
    <w:rsid w:val="00280C42"/>
    <w:rsid w:val="00281B73"/>
    <w:rsid w:val="002833C9"/>
    <w:rsid w:val="00285E5C"/>
    <w:rsid w:val="00286B8B"/>
    <w:rsid w:val="00287A08"/>
    <w:rsid w:val="00290B63"/>
    <w:rsid w:val="00290E73"/>
    <w:rsid w:val="0029253F"/>
    <w:rsid w:val="00293415"/>
    <w:rsid w:val="002943F4"/>
    <w:rsid w:val="00294689"/>
    <w:rsid w:val="0029539A"/>
    <w:rsid w:val="00296AD7"/>
    <w:rsid w:val="002A1A82"/>
    <w:rsid w:val="002A1DBB"/>
    <w:rsid w:val="002A1E87"/>
    <w:rsid w:val="002A2FB0"/>
    <w:rsid w:val="002A4CC0"/>
    <w:rsid w:val="002A4D32"/>
    <w:rsid w:val="002A4E69"/>
    <w:rsid w:val="002A5F87"/>
    <w:rsid w:val="002A7BFC"/>
    <w:rsid w:val="002B017B"/>
    <w:rsid w:val="002B0DC0"/>
    <w:rsid w:val="002B2664"/>
    <w:rsid w:val="002B3622"/>
    <w:rsid w:val="002B4E21"/>
    <w:rsid w:val="002B5000"/>
    <w:rsid w:val="002B78AA"/>
    <w:rsid w:val="002B7B75"/>
    <w:rsid w:val="002C383C"/>
    <w:rsid w:val="002C5AFC"/>
    <w:rsid w:val="002D1317"/>
    <w:rsid w:val="002D15BB"/>
    <w:rsid w:val="002D1C13"/>
    <w:rsid w:val="002D3109"/>
    <w:rsid w:val="002D378C"/>
    <w:rsid w:val="002D5DE2"/>
    <w:rsid w:val="002D6413"/>
    <w:rsid w:val="002D6F14"/>
    <w:rsid w:val="002D74D5"/>
    <w:rsid w:val="002D7596"/>
    <w:rsid w:val="002D7BBB"/>
    <w:rsid w:val="002E16BB"/>
    <w:rsid w:val="002E3060"/>
    <w:rsid w:val="002E40D2"/>
    <w:rsid w:val="002E4922"/>
    <w:rsid w:val="002E4B2C"/>
    <w:rsid w:val="002E5261"/>
    <w:rsid w:val="002E7357"/>
    <w:rsid w:val="002F00BB"/>
    <w:rsid w:val="002F1133"/>
    <w:rsid w:val="002F1DE7"/>
    <w:rsid w:val="002F2627"/>
    <w:rsid w:val="002F2748"/>
    <w:rsid w:val="002F2F34"/>
    <w:rsid w:val="002F4619"/>
    <w:rsid w:val="002F552F"/>
    <w:rsid w:val="002F6423"/>
    <w:rsid w:val="002F6445"/>
    <w:rsid w:val="002F6580"/>
    <w:rsid w:val="002F6DCA"/>
    <w:rsid w:val="002F6DE8"/>
    <w:rsid w:val="002F74D8"/>
    <w:rsid w:val="002F7C72"/>
    <w:rsid w:val="002F7EDC"/>
    <w:rsid w:val="002F7FA3"/>
    <w:rsid w:val="003003A8"/>
    <w:rsid w:val="0030091B"/>
    <w:rsid w:val="00301E62"/>
    <w:rsid w:val="00302553"/>
    <w:rsid w:val="00303E1A"/>
    <w:rsid w:val="00304063"/>
    <w:rsid w:val="0030555F"/>
    <w:rsid w:val="00305A3B"/>
    <w:rsid w:val="00305A50"/>
    <w:rsid w:val="00305BB4"/>
    <w:rsid w:val="00305C62"/>
    <w:rsid w:val="0030645F"/>
    <w:rsid w:val="003117B9"/>
    <w:rsid w:val="00311C71"/>
    <w:rsid w:val="00312BC8"/>
    <w:rsid w:val="00313073"/>
    <w:rsid w:val="0031336C"/>
    <w:rsid w:val="0031339F"/>
    <w:rsid w:val="00313CC5"/>
    <w:rsid w:val="00313F3E"/>
    <w:rsid w:val="003150CB"/>
    <w:rsid w:val="00321E5C"/>
    <w:rsid w:val="003234A6"/>
    <w:rsid w:val="00323F65"/>
    <w:rsid w:val="0032473F"/>
    <w:rsid w:val="00325276"/>
    <w:rsid w:val="00326147"/>
    <w:rsid w:val="00327861"/>
    <w:rsid w:val="0033051E"/>
    <w:rsid w:val="00332840"/>
    <w:rsid w:val="00332FB5"/>
    <w:rsid w:val="00333113"/>
    <w:rsid w:val="00333BC4"/>
    <w:rsid w:val="0033401D"/>
    <w:rsid w:val="00334115"/>
    <w:rsid w:val="00334456"/>
    <w:rsid w:val="00336150"/>
    <w:rsid w:val="00336E99"/>
    <w:rsid w:val="00342417"/>
    <w:rsid w:val="00345094"/>
    <w:rsid w:val="003454EC"/>
    <w:rsid w:val="00345DD2"/>
    <w:rsid w:val="00346537"/>
    <w:rsid w:val="00347B94"/>
    <w:rsid w:val="00352422"/>
    <w:rsid w:val="003527DD"/>
    <w:rsid w:val="003547A2"/>
    <w:rsid w:val="0035497B"/>
    <w:rsid w:val="003549E3"/>
    <w:rsid w:val="00355099"/>
    <w:rsid w:val="00355171"/>
    <w:rsid w:val="00356D59"/>
    <w:rsid w:val="00357CFB"/>
    <w:rsid w:val="00362114"/>
    <w:rsid w:val="00362702"/>
    <w:rsid w:val="00362A37"/>
    <w:rsid w:val="00362CF0"/>
    <w:rsid w:val="00362D5D"/>
    <w:rsid w:val="00364449"/>
    <w:rsid w:val="00364A3F"/>
    <w:rsid w:val="00364AC5"/>
    <w:rsid w:val="00365D15"/>
    <w:rsid w:val="00366369"/>
    <w:rsid w:val="00366940"/>
    <w:rsid w:val="0036702F"/>
    <w:rsid w:val="00367ED1"/>
    <w:rsid w:val="00367F3A"/>
    <w:rsid w:val="00370BDF"/>
    <w:rsid w:val="00371E7F"/>
    <w:rsid w:val="0037277E"/>
    <w:rsid w:val="00372909"/>
    <w:rsid w:val="00372FA2"/>
    <w:rsid w:val="003735E9"/>
    <w:rsid w:val="003739FE"/>
    <w:rsid w:val="003749D5"/>
    <w:rsid w:val="00374A30"/>
    <w:rsid w:val="00380E30"/>
    <w:rsid w:val="00381F7C"/>
    <w:rsid w:val="0038225D"/>
    <w:rsid w:val="0038254F"/>
    <w:rsid w:val="003826AD"/>
    <w:rsid w:val="003828EC"/>
    <w:rsid w:val="003830EB"/>
    <w:rsid w:val="00383488"/>
    <w:rsid w:val="003843BB"/>
    <w:rsid w:val="00385143"/>
    <w:rsid w:val="003859DA"/>
    <w:rsid w:val="00385A24"/>
    <w:rsid w:val="00386153"/>
    <w:rsid w:val="00386BA7"/>
    <w:rsid w:val="00390B48"/>
    <w:rsid w:val="0039213A"/>
    <w:rsid w:val="00393BF6"/>
    <w:rsid w:val="00395D4D"/>
    <w:rsid w:val="00396220"/>
    <w:rsid w:val="00396D64"/>
    <w:rsid w:val="00397A06"/>
    <w:rsid w:val="00397B4B"/>
    <w:rsid w:val="003A0FAF"/>
    <w:rsid w:val="003A38BD"/>
    <w:rsid w:val="003A38C8"/>
    <w:rsid w:val="003A50C1"/>
    <w:rsid w:val="003A6045"/>
    <w:rsid w:val="003A6F23"/>
    <w:rsid w:val="003A72D0"/>
    <w:rsid w:val="003A7AE1"/>
    <w:rsid w:val="003B22FD"/>
    <w:rsid w:val="003B28AE"/>
    <w:rsid w:val="003B3004"/>
    <w:rsid w:val="003B3A47"/>
    <w:rsid w:val="003B4168"/>
    <w:rsid w:val="003B42FF"/>
    <w:rsid w:val="003B5DF1"/>
    <w:rsid w:val="003B62D2"/>
    <w:rsid w:val="003B66A3"/>
    <w:rsid w:val="003B687C"/>
    <w:rsid w:val="003B7204"/>
    <w:rsid w:val="003C12C6"/>
    <w:rsid w:val="003C27F7"/>
    <w:rsid w:val="003C4382"/>
    <w:rsid w:val="003C5DF9"/>
    <w:rsid w:val="003C62C1"/>
    <w:rsid w:val="003C6A99"/>
    <w:rsid w:val="003C6FA4"/>
    <w:rsid w:val="003C7D29"/>
    <w:rsid w:val="003D0B3E"/>
    <w:rsid w:val="003D17F7"/>
    <w:rsid w:val="003D2352"/>
    <w:rsid w:val="003D3863"/>
    <w:rsid w:val="003D3D0A"/>
    <w:rsid w:val="003D5516"/>
    <w:rsid w:val="003D5D3A"/>
    <w:rsid w:val="003D7C1A"/>
    <w:rsid w:val="003E0800"/>
    <w:rsid w:val="003E1584"/>
    <w:rsid w:val="003E33DE"/>
    <w:rsid w:val="003E3593"/>
    <w:rsid w:val="003E585F"/>
    <w:rsid w:val="003E5F94"/>
    <w:rsid w:val="003E6049"/>
    <w:rsid w:val="003E67F9"/>
    <w:rsid w:val="003E717B"/>
    <w:rsid w:val="003E78B3"/>
    <w:rsid w:val="003F0D27"/>
    <w:rsid w:val="003F1C98"/>
    <w:rsid w:val="003F27B3"/>
    <w:rsid w:val="003F28D7"/>
    <w:rsid w:val="003F317C"/>
    <w:rsid w:val="003F3680"/>
    <w:rsid w:val="003F4813"/>
    <w:rsid w:val="003F5B93"/>
    <w:rsid w:val="003F5D0C"/>
    <w:rsid w:val="00400460"/>
    <w:rsid w:val="00401207"/>
    <w:rsid w:val="004015E9"/>
    <w:rsid w:val="00403956"/>
    <w:rsid w:val="00406628"/>
    <w:rsid w:val="00406654"/>
    <w:rsid w:val="00410A9D"/>
    <w:rsid w:val="0041100B"/>
    <w:rsid w:val="004114F3"/>
    <w:rsid w:val="00412894"/>
    <w:rsid w:val="004130C3"/>
    <w:rsid w:val="00413E71"/>
    <w:rsid w:val="004203CD"/>
    <w:rsid w:val="004209E6"/>
    <w:rsid w:val="00421363"/>
    <w:rsid w:val="00421921"/>
    <w:rsid w:val="0042194B"/>
    <w:rsid w:val="00422100"/>
    <w:rsid w:val="004245D1"/>
    <w:rsid w:val="004249DE"/>
    <w:rsid w:val="004254D3"/>
    <w:rsid w:val="00426289"/>
    <w:rsid w:val="0042746B"/>
    <w:rsid w:val="00427953"/>
    <w:rsid w:val="00432602"/>
    <w:rsid w:val="0043273B"/>
    <w:rsid w:val="00433B69"/>
    <w:rsid w:val="00434FDC"/>
    <w:rsid w:val="004369AD"/>
    <w:rsid w:val="00436DD6"/>
    <w:rsid w:val="00442D74"/>
    <w:rsid w:val="00442F76"/>
    <w:rsid w:val="00444FB7"/>
    <w:rsid w:val="00445D0B"/>
    <w:rsid w:val="004460E1"/>
    <w:rsid w:val="00447D62"/>
    <w:rsid w:val="00447E84"/>
    <w:rsid w:val="00450674"/>
    <w:rsid w:val="0045299B"/>
    <w:rsid w:val="004532C6"/>
    <w:rsid w:val="004533FE"/>
    <w:rsid w:val="00453E68"/>
    <w:rsid w:val="00454715"/>
    <w:rsid w:val="004547F0"/>
    <w:rsid w:val="00454D80"/>
    <w:rsid w:val="00456631"/>
    <w:rsid w:val="00456785"/>
    <w:rsid w:val="00457BA1"/>
    <w:rsid w:val="0046230F"/>
    <w:rsid w:val="00462702"/>
    <w:rsid w:val="00462EB0"/>
    <w:rsid w:val="00463933"/>
    <w:rsid w:val="00464346"/>
    <w:rsid w:val="004700E5"/>
    <w:rsid w:val="00470325"/>
    <w:rsid w:val="00470F42"/>
    <w:rsid w:val="00471605"/>
    <w:rsid w:val="00471984"/>
    <w:rsid w:val="00471A64"/>
    <w:rsid w:val="00471C92"/>
    <w:rsid w:val="0047297A"/>
    <w:rsid w:val="0047312A"/>
    <w:rsid w:val="00473EB5"/>
    <w:rsid w:val="00474709"/>
    <w:rsid w:val="00477AC3"/>
    <w:rsid w:val="00480184"/>
    <w:rsid w:val="00480516"/>
    <w:rsid w:val="00480658"/>
    <w:rsid w:val="00480D3C"/>
    <w:rsid w:val="00481192"/>
    <w:rsid w:val="0048170B"/>
    <w:rsid w:val="00481AD0"/>
    <w:rsid w:val="00481BD4"/>
    <w:rsid w:val="00482154"/>
    <w:rsid w:val="00482AA2"/>
    <w:rsid w:val="0048579F"/>
    <w:rsid w:val="00487005"/>
    <w:rsid w:val="00487D7D"/>
    <w:rsid w:val="004901A7"/>
    <w:rsid w:val="00493D88"/>
    <w:rsid w:val="00495D83"/>
    <w:rsid w:val="004A054F"/>
    <w:rsid w:val="004A084F"/>
    <w:rsid w:val="004A0AA8"/>
    <w:rsid w:val="004A1584"/>
    <w:rsid w:val="004A1FA1"/>
    <w:rsid w:val="004A3225"/>
    <w:rsid w:val="004A3F90"/>
    <w:rsid w:val="004A410A"/>
    <w:rsid w:val="004A41BF"/>
    <w:rsid w:val="004A5F59"/>
    <w:rsid w:val="004A6F1F"/>
    <w:rsid w:val="004B06FF"/>
    <w:rsid w:val="004B071E"/>
    <w:rsid w:val="004B1213"/>
    <w:rsid w:val="004B17D8"/>
    <w:rsid w:val="004B2323"/>
    <w:rsid w:val="004B2455"/>
    <w:rsid w:val="004B62C3"/>
    <w:rsid w:val="004C0BC8"/>
    <w:rsid w:val="004C2990"/>
    <w:rsid w:val="004C3233"/>
    <w:rsid w:val="004C461A"/>
    <w:rsid w:val="004C7D23"/>
    <w:rsid w:val="004D0783"/>
    <w:rsid w:val="004D11CB"/>
    <w:rsid w:val="004D180F"/>
    <w:rsid w:val="004D1A4A"/>
    <w:rsid w:val="004D49E3"/>
    <w:rsid w:val="004D5B30"/>
    <w:rsid w:val="004D7163"/>
    <w:rsid w:val="004D749D"/>
    <w:rsid w:val="004E0366"/>
    <w:rsid w:val="004E0F9B"/>
    <w:rsid w:val="004E1C30"/>
    <w:rsid w:val="004E3342"/>
    <w:rsid w:val="004E45AC"/>
    <w:rsid w:val="004E45CF"/>
    <w:rsid w:val="004E4672"/>
    <w:rsid w:val="004E5593"/>
    <w:rsid w:val="004E7A1E"/>
    <w:rsid w:val="004E7CA7"/>
    <w:rsid w:val="004E7F1A"/>
    <w:rsid w:val="004F0306"/>
    <w:rsid w:val="004F0352"/>
    <w:rsid w:val="004F06FC"/>
    <w:rsid w:val="004F0740"/>
    <w:rsid w:val="004F2493"/>
    <w:rsid w:val="004F3320"/>
    <w:rsid w:val="004F3C1E"/>
    <w:rsid w:val="004F415D"/>
    <w:rsid w:val="004F4980"/>
    <w:rsid w:val="004F63E4"/>
    <w:rsid w:val="004F66F4"/>
    <w:rsid w:val="004F6D86"/>
    <w:rsid w:val="004F74CD"/>
    <w:rsid w:val="004F7710"/>
    <w:rsid w:val="00502A45"/>
    <w:rsid w:val="0050542C"/>
    <w:rsid w:val="005073E3"/>
    <w:rsid w:val="005077C0"/>
    <w:rsid w:val="0051057A"/>
    <w:rsid w:val="00512DC1"/>
    <w:rsid w:val="00514518"/>
    <w:rsid w:val="00514C6B"/>
    <w:rsid w:val="005161EC"/>
    <w:rsid w:val="0051709F"/>
    <w:rsid w:val="005175EB"/>
    <w:rsid w:val="00517E76"/>
    <w:rsid w:val="00521A18"/>
    <w:rsid w:val="00522079"/>
    <w:rsid w:val="00522622"/>
    <w:rsid w:val="00522BA4"/>
    <w:rsid w:val="0052450E"/>
    <w:rsid w:val="0052506D"/>
    <w:rsid w:val="005252C5"/>
    <w:rsid w:val="00525410"/>
    <w:rsid w:val="00525E06"/>
    <w:rsid w:val="00530703"/>
    <w:rsid w:val="00530763"/>
    <w:rsid w:val="00532989"/>
    <w:rsid w:val="0053342A"/>
    <w:rsid w:val="00534EFD"/>
    <w:rsid w:val="005362F2"/>
    <w:rsid w:val="00536C86"/>
    <w:rsid w:val="0053719A"/>
    <w:rsid w:val="005377BD"/>
    <w:rsid w:val="00541BCA"/>
    <w:rsid w:val="005420D5"/>
    <w:rsid w:val="0054281F"/>
    <w:rsid w:val="00543B42"/>
    <w:rsid w:val="00545136"/>
    <w:rsid w:val="00545A4C"/>
    <w:rsid w:val="0054651A"/>
    <w:rsid w:val="00546702"/>
    <w:rsid w:val="005469F7"/>
    <w:rsid w:val="00546EA9"/>
    <w:rsid w:val="005474CD"/>
    <w:rsid w:val="005478FE"/>
    <w:rsid w:val="005501B7"/>
    <w:rsid w:val="0055152E"/>
    <w:rsid w:val="00552094"/>
    <w:rsid w:val="00552694"/>
    <w:rsid w:val="00553D73"/>
    <w:rsid w:val="00554734"/>
    <w:rsid w:val="00554BAF"/>
    <w:rsid w:val="00554C93"/>
    <w:rsid w:val="00554C97"/>
    <w:rsid w:val="00555A15"/>
    <w:rsid w:val="00556291"/>
    <w:rsid w:val="005569E4"/>
    <w:rsid w:val="00560E11"/>
    <w:rsid w:val="00561147"/>
    <w:rsid w:val="00561463"/>
    <w:rsid w:val="00561925"/>
    <w:rsid w:val="00561F8F"/>
    <w:rsid w:val="00563A0E"/>
    <w:rsid w:val="005647D0"/>
    <w:rsid w:val="005709E9"/>
    <w:rsid w:val="0057256B"/>
    <w:rsid w:val="00574C59"/>
    <w:rsid w:val="00576CE2"/>
    <w:rsid w:val="005770AC"/>
    <w:rsid w:val="00577C1A"/>
    <w:rsid w:val="00577FAA"/>
    <w:rsid w:val="0058041D"/>
    <w:rsid w:val="005826AA"/>
    <w:rsid w:val="00583CE7"/>
    <w:rsid w:val="00584CBE"/>
    <w:rsid w:val="005856E9"/>
    <w:rsid w:val="0058656D"/>
    <w:rsid w:val="005867BB"/>
    <w:rsid w:val="00587452"/>
    <w:rsid w:val="005877D0"/>
    <w:rsid w:val="00590AA1"/>
    <w:rsid w:val="00591C2A"/>
    <w:rsid w:val="00592461"/>
    <w:rsid w:val="00592539"/>
    <w:rsid w:val="005942C1"/>
    <w:rsid w:val="00595961"/>
    <w:rsid w:val="00596774"/>
    <w:rsid w:val="00596A05"/>
    <w:rsid w:val="00596D6D"/>
    <w:rsid w:val="00597284"/>
    <w:rsid w:val="0059729F"/>
    <w:rsid w:val="005978BF"/>
    <w:rsid w:val="00597F8F"/>
    <w:rsid w:val="005A1EA2"/>
    <w:rsid w:val="005A2467"/>
    <w:rsid w:val="005A5858"/>
    <w:rsid w:val="005A5E0C"/>
    <w:rsid w:val="005A6E51"/>
    <w:rsid w:val="005A7C7F"/>
    <w:rsid w:val="005A7D88"/>
    <w:rsid w:val="005B130C"/>
    <w:rsid w:val="005B14FF"/>
    <w:rsid w:val="005B2581"/>
    <w:rsid w:val="005B3651"/>
    <w:rsid w:val="005B3B71"/>
    <w:rsid w:val="005B41ED"/>
    <w:rsid w:val="005B4828"/>
    <w:rsid w:val="005B4B1B"/>
    <w:rsid w:val="005B4F0F"/>
    <w:rsid w:val="005B58F0"/>
    <w:rsid w:val="005B6383"/>
    <w:rsid w:val="005B7A35"/>
    <w:rsid w:val="005C0E62"/>
    <w:rsid w:val="005C0F5B"/>
    <w:rsid w:val="005C1E06"/>
    <w:rsid w:val="005C2E15"/>
    <w:rsid w:val="005C403B"/>
    <w:rsid w:val="005C63CB"/>
    <w:rsid w:val="005D0AA6"/>
    <w:rsid w:val="005D0D00"/>
    <w:rsid w:val="005D165F"/>
    <w:rsid w:val="005D21F3"/>
    <w:rsid w:val="005D2825"/>
    <w:rsid w:val="005D3CF8"/>
    <w:rsid w:val="005D5D89"/>
    <w:rsid w:val="005E0D2D"/>
    <w:rsid w:val="005E25F9"/>
    <w:rsid w:val="005E3FB6"/>
    <w:rsid w:val="005E708D"/>
    <w:rsid w:val="005F1F44"/>
    <w:rsid w:val="005F2BCE"/>
    <w:rsid w:val="005F37ED"/>
    <w:rsid w:val="005F435C"/>
    <w:rsid w:val="005F4583"/>
    <w:rsid w:val="005F4ABB"/>
    <w:rsid w:val="005F4F57"/>
    <w:rsid w:val="005F6066"/>
    <w:rsid w:val="005F6562"/>
    <w:rsid w:val="005F6C6D"/>
    <w:rsid w:val="005F6F09"/>
    <w:rsid w:val="005F72DF"/>
    <w:rsid w:val="005F7484"/>
    <w:rsid w:val="005F787A"/>
    <w:rsid w:val="006019C7"/>
    <w:rsid w:val="00601AAA"/>
    <w:rsid w:val="00601C11"/>
    <w:rsid w:val="00601E7B"/>
    <w:rsid w:val="00601EBC"/>
    <w:rsid w:val="00602D32"/>
    <w:rsid w:val="006037DF"/>
    <w:rsid w:val="00603A84"/>
    <w:rsid w:val="00603DC8"/>
    <w:rsid w:val="00605E52"/>
    <w:rsid w:val="006067DC"/>
    <w:rsid w:val="006069EA"/>
    <w:rsid w:val="00610379"/>
    <w:rsid w:val="00610629"/>
    <w:rsid w:val="00611ADD"/>
    <w:rsid w:val="00611BCD"/>
    <w:rsid w:val="00611C90"/>
    <w:rsid w:val="006122B1"/>
    <w:rsid w:val="0061258D"/>
    <w:rsid w:val="006142EC"/>
    <w:rsid w:val="006155A5"/>
    <w:rsid w:val="00615BAB"/>
    <w:rsid w:val="00617238"/>
    <w:rsid w:val="00617824"/>
    <w:rsid w:val="0062243A"/>
    <w:rsid w:val="00624214"/>
    <w:rsid w:val="00625419"/>
    <w:rsid w:val="00626D1A"/>
    <w:rsid w:val="00627429"/>
    <w:rsid w:val="00630081"/>
    <w:rsid w:val="0063085C"/>
    <w:rsid w:val="0063089C"/>
    <w:rsid w:val="00631DFA"/>
    <w:rsid w:val="00632A91"/>
    <w:rsid w:val="006345E8"/>
    <w:rsid w:val="00636128"/>
    <w:rsid w:val="00636BB5"/>
    <w:rsid w:val="0063765C"/>
    <w:rsid w:val="0064034F"/>
    <w:rsid w:val="006403CB"/>
    <w:rsid w:val="006410B0"/>
    <w:rsid w:val="0064139F"/>
    <w:rsid w:val="00641404"/>
    <w:rsid w:val="006414D6"/>
    <w:rsid w:val="00641EDA"/>
    <w:rsid w:val="00642B97"/>
    <w:rsid w:val="00643128"/>
    <w:rsid w:val="00643680"/>
    <w:rsid w:val="00644453"/>
    <w:rsid w:val="006447C3"/>
    <w:rsid w:val="00644B32"/>
    <w:rsid w:val="00644DDB"/>
    <w:rsid w:val="00645ED1"/>
    <w:rsid w:val="0064639A"/>
    <w:rsid w:val="0064646F"/>
    <w:rsid w:val="00646523"/>
    <w:rsid w:val="006469D4"/>
    <w:rsid w:val="00647BDD"/>
    <w:rsid w:val="0065273C"/>
    <w:rsid w:val="006528DC"/>
    <w:rsid w:val="00653761"/>
    <w:rsid w:val="00655ACB"/>
    <w:rsid w:val="00656A74"/>
    <w:rsid w:val="006571B9"/>
    <w:rsid w:val="00657221"/>
    <w:rsid w:val="00657818"/>
    <w:rsid w:val="0066128F"/>
    <w:rsid w:val="00661FC1"/>
    <w:rsid w:val="00663FED"/>
    <w:rsid w:val="00664980"/>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39F"/>
    <w:rsid w:val="006A56F1"/>
    <w:rsid w:val="006A6E5C"/>
    <w:rsid w:val="006B0972"/>
    <w:rsid w:val="006B2D0C"/>
    <w:rsid w:val="006B3153"/>
    <w:rsid w:val="006B5871"/>
    <w:rsid w:val="006B6BB1"/>
    <w:rsid w:val="006B7212"/>
    <w:rsid w:val="006C0307"/>
    <w:rsid w:val="006C0E8E"/>
    <w:rsid w:val="006C14C3"/>
    <w:rsid w:val="006C216A"/>
    <w:rsid w:val="006C4B6F"/>
    <w:rsid w:val="006C589D"/>
    <w:rsid w:val="006C5CD7"/>
    <w:rsid w:val="006C6B39"/>
    <w:rsid w:val="006C769C"/>
    <w:rsid w:val="006C7A95"/>
    <w:rsid w:val="006D11E8"/>
    <w:rsid w:val="006D1255"/>
    <w:rsid w:val="006D24D8"/>
    <w:rsid w:val="006D378F"/>
    <w:rsid w:val="006D4296"/>
    <w:rsid w:val="006D4B0E"/>
    <w:rsid w:val="006D5676"/>
    <w:rsid w:val="006D5FF1"/>
    <w:rsid w:val="006D753C"/>
    <w:rsid w:val="006E0A00"/>
    <w:rsid w:val="006E2C2D"/>
    <w:rsid w:val="006E306D"/>
    <w:rsid w:val="006E4BEC"/>
    <w:rsid w:val="006E5019"/>
    <w:rsid w:val="006E5179"/>
    <w:rsid w:val="006E67DA"/>
    <w:rsid w:val="006E6968"/>
    <w:rsid w:val="006E6BD7"/>
    <w:rsid w:val="006E70D6"/>
    <w:rsid w:val="006E71A6"/>
    <w:rsid w:val="006F04C6"/>
    <w:rsid w:val="006F08A0"/>
    <w:rsid w:val="006F0B30"/>
    <w:rsid w:val="006F2A97"/>
    <w:rsid w:val="006F3D35"/>
    <w:rsid w:val="006F3DD6"/>
    <w:rsid w:val="006F5DF4"/>
    <w:rsid w:val="006F600E"/>
    <w:rsid w:val="006F7AD7"/>
    <w:rsid w:val="00702077"/>
    <w:rsid w:val="00702627"/>
    <w:rsid w:val="0070356F"/>
    <w:rsid w:val="0070359F"/>
    <w:rsid w:val="0070464C"/>
    <w:rsid w:val="007047EF"/>
    <w:rsid w:val="00704CC5"/>
    <w:rsid w:val="00705474"/>
    <w:rsid w:val="007057AD"/>
    <w:rsid w:val="007058D2"/>
    <w:rsid w:val="00705B46"/>
    <w:rsid w:val="0070614D"/>
    <w:rsid w:val="007076B2"/>
    <w:rsid w:val="00710D56"/>
    <w:rsid w:val="00711BBB"/>
    <w:rsid w:val="0071340A"/>
    <w:rsid w:val="00713FC7"/>
    <w:rsid w:val="00716C53"/>
    <w:rsid w:val="00716FD1"/>
    <w:rsid w:val="0072051C"/>
    <w:rsid w:val="00720D0F"/>
    <w:rsid w:val="007218A9"/>
    <w:rsid w:val="0072241C"/>
    <w:rsid w:val="007245A5"/>
    <w:rsid w:val="0072671A"/>
    <w:rsid w:val="00726957"/>
    <w:rsid w:val="00731628"/>
    <w:rsid w:val="00733039"/>
    <w:rsid w:val="00734108"/>
    <w:rsid w:val="007343AD"/>
    <w:rsid w:val="0073448D"/>
    <w:rsid w:val="0073454C"/>
    <w:rsid w:val="00735087"/>
    <w:rsid w:val="00736FA0"/>
    <w:rsid w:val="00736FDB"/>
    <w:rsid w:val="0073755C"/>
    <w:rsid w:val="0074053E"/>
    <w:rsid w:val="007422CF"/>
    <w:rsid w:val="00742BAC"/>
    <w:rsid w:val="00744796"/>
    <w:rsid w:val="00744C26"/>
    <w:rsid w:val="00746E22"/>
    <w:rsid w:val="0075000E"/>
    <w:rsid w:val="00752156"/>
    <w:rsid w:val="0075243D"/>
    <w:rsid w:val="00753A7A"/>
    <w:rsid w:val="00755613"/>
    <w:rsid w:val="00756E77"/>
    <w:rsid w:val="007577C2"/>
    <w:rsid w:val="0076038F"/>
    <w:rsid w:val="00760D77"/>
    <w:rsid w:val="007617E5"/>
    <w:rsid w:val="00762747"/>
    <w:rsid w:val="00770F7F"/>
    <w:rsid w:val="0077124E"/>
    <w:rsid w:val="0077197B"/>
    <w:rsid w:val="0077236D"/>
    <w:rsid w:val="007723D4"/>
    <w:rsid w:val="00772FA7"/>
    <w:rsid w:val="007736A9"/>
    <w:rsid w:val="007746E0"/>
    <w:rsid w:val="00774DFC"/>
    <w:rsid w:val="007750D4"/>
    <w:rsid w:val="007751AE"/>
    <w:rsid w:val="0077578C"/>
    <w:rsid w:val="00780FFF"/>
    <w:rsid w:val="00781ACA"/>
    <w:rsid w:val="00781F09"/>
    <w:rsid w:val="00782272"/>
    <w:rsid w:val="007823CF"/>
    <w:rsid w:val="00783E35"/>
    <w:rsid w:val="00784812"/>
    <w:rsid w:val="00784F67"/>
    <w:rsid w:val="00786066"/>
    <w:rsid w:val="00786754"/>
    <w:rsid w:val="00786D49"/>
    <w:rsid w:val="00787061"/>
    <w:rsid w:val="00790F0A"/>
    <w:rsid w:val="00790F5E"/>
    <w:rsid w:val="007927A6"/>
    <w:rsid w:val="007929C0"/>
    <w:rsid w:val="0079459D"/>
    <w:rsid w:val="0079738E"/>
    <w:rsid w:val="00797F6E"/>
    <w:rsid w:val="007A02EA"/>
    <w:rsid w:val="007A1F4C"/>
    <w:rsid w:val="007A2292"/>
    <w:rsid w:val="007A2D74"/>
    <w:rsid w:val="007A36FB"/>
    <w:rsid w:val="007A53F8"/>
    <w:rsid w:val="007A5EE6"/>
    <w:rsid w:val="007A6EB8"/>
    <w:rsid w:val="007B05BD"/>
    <w:rsid w:val="007B0791"/>
    <w:rsid w:val="007B0A15"/>
    <w:rsid w:val="007B1EF3"/>
    <w:rsid w:val="007B2295"/>
    <w:rsid w:val="007B232F"/>
    <w:rsid w:val="007B260C"/>
    <w:rsid w:val="007B3177"/>
    <w:rsid w:val="007B31A4"/>
    <w:rsid w:val="007B31A5"/>
    <w:rsid w:val="007B3327"/>
    <w:rsid w:val="007B3533"/>
    <w:rsid w:val="007B3F8E"/>
    <w:rsid w:val="007B4045"/>
    <w:rsid w:val="007B4996"/>
    <w:rsid w:val="007B6926"/>
    <w:rsid w:val="007B6FA3"/>
    <w:rsid w:val="007B705D"/>
    <w:rsid w:val="007C1898"/>
    <w:rsid w:val="007C1EBA"/>
    <w:rsid w:val="007C2AC0"/>
    <w:rsid w:val="007C312C"/>
    <w:rsid w:val="007C3156"/>
    <w:rsid w:val="007C34F3"/>
    <w:rsid w:val="007C398E"/>
    <w:rsid w:val="007C5764"/>
    <w:rsid w:val="007C61D0"/>
    <w:rsid w:val="007C6FAA"/>
    <w:rsid w:val="007C768F"/>
    <w:rsid w:val="007D055F"/>
    <w:rsid w:val="007D251F"/>
    <w:rsid w:val="007D4FA2"/>
    <w:rsid w:val="007E0874"/>
    <w:rsid w:val="007E0FAD"/>
    <w:rsid w:val="007E11E7"/>
    <w:rsid w:val="007E3449"/>
    <w:rsid w:val="007E422E"/>
    <w:rsid w:val="007E60E9"/>
    <w:rsid w:val="007E63F3"/>
    <w:rsid w:val="007E67F3"/>
    <w:rsid w:val="007E6F5A"/>
    <w:rsid w:val="007F07D3"/>
    <w:rsid w:val="007F0916"/>
    <w:rsid w:val="007F1406"/>
    <w:rsid w:val="007F1B7C"/>
    <w:rsid w:val="007F1E7D"/>
    <w:rsid w:val="007F2A79"/>
    <w:rsid w:val="007F3026"/>
    <w:rsid w:val="007F42DD"/>
    <w:rsid w:val="007F4E0F"/>
    <w:rsid w:val="007F568E"/>
    <w:rsid w:val="007F5D80"/>
    <w:rsid w:val="007F77CA"/>
    <w:rsid w:val="00800512"/>
    <w:rsid w:val="008011ED"/>
    <w:rsid w:val="00801636"/>
    <w:rsid w:val="00801A44"/>
    <w:rsid w:val="00802692"/>
    <w:rsid w:val="00802E5A"/>
    <w:rsid w:val="00803935"/>
    <w:rsid w:val="008045D0"/>
    <w:rsid w:val="008059B8"/>
    <w:rsid w:val="00810333"/>
    <w:rsid w:val="0081067B"/>
    <w:rsid w:val="00810760"/>
    <w:rsid w:val="00811221"/>
    <w:rsid w:val="00811861"/>
    <w:rsid w:val="00811E86"/>
    <w:rsid w:val="0081277D"/>
    <w:rsid w:val="008132BD"/>
    <w:rsid w:val="0081339D"/>
    <w:rsid w:val="0081415C"/>
    <w:rsid w:val="0081590D"/>
    <w:rsid w:val="00815BEA"/>
    <w:rsid w:val="00815E57"/>
    <w:rsid w:val="008163D0"/>
    <w:rsid w:val="00816699"/>
    <w:rsid w:val="008166F5"/>
    <w:rsid w:val="0081677E"/>
    <w:rsid w:val="0081737D"/>
    <w:rsid w:val="00817467"/>
    <w:rsid w:val="00817BF7"/>
    <w:rsid w:val="0082029C"/>
    <w:rsid w:val="008203F5"/>
    <w:rsid w:val="0082043E"/>
    <w:rsid w:val="00820F5C"/>
    <w:rsid w:val="00822905"/>
    <w:rsid w:val="0082299E"/>
    <w:rsid w:val="008231F1"/>
    <w:rsid w:val="00827CD1"/>
    <w:rsid w:val="008313A0"/>
    <w:rsid w:val="0083169B"/>
    <w:rsid w:val="00832164"/>
    <w:rsid w:val="00832D86"/>
    <w:rsid w:val="00832F53"/>
    <w:rsid w:val="00834003"/>
    <w:rsid w:val="0083455F"/>
    <w:rsid w:val="00834D1E"/>
    <w:rsid w:val="00834EA0"/>
    <w:rsid w:val="008407DB"/>
    <w:rsid w:val="00840FDD"/>
    <w:rsid w:val="00843042"/>
    <w:rsid w:val="00843C37"/>
    <w:rsid w:val="008442F4"/>
    <w:rsid w:val="00844886"/>
    <w:rsid w:val="00844C2D"/>
    <w:rsid w:val="00846D68"/>
    <w:rsid w:val="00847859"/>
    <w:rsid w:val="00850E3F"/>
    <w:rsid w:val="008518E5"/>
    <w:rsid w:val="00851A0C"/>
    <w:rsid w:val="00852B15"/>
    <w:rsid w:val="008543CB"/>
    <w:rsid w:val="00856135"/>
    <w:rsid w:val="00857A96"/>
    <w:rsid w:val="00860419"/>
    <w:rsid w:val="008608CA"/>
    <w:rsid w:val="00861FE5"/>
    <w:rsid w:val="00862B38"/>
    <w:rsid w:val="0086376D"/>
    <w:rsid w:val="00866D6F"/>
    <w:rsid w:val="008678C7"/>
    <w:rsid w:val="008703C2"/>
    <w:rsid w:val="00871297"/>
    <w:rsid w:val="0087209F"/>
    <w:rsid w:val="00872631"/>
    <w:rsid w:val="008736D4"/>
    <w:rsid w:val="00873AE0"/>
    <w:rsid w:val="00873B50"/>
    <w:rsid w:val="00873F25"/>
    <w:rsid w:val="0087503A"/>
    <w:rsid w:val="00875B06"/>
    <w:rsid w:val="00875B81"/>
    <w:rsid w:val="008806CC"/>
    <w:rsid w:val="00881829"/>
    <w:rsid w:val="00882C08"/>
    <w:rsid w:val="00883FC7"/>
    <w:rsid w:val="008849E6"/>
    <w:rsid w:val="0088513E"/>
    <w:rsid w:val="00886300"/>
    <w:rsid w:val="0089099F"/>
    <w:rsid w:val="00890AAF"/>
    <w:rsid w:val="00892F7A"/>
    <w:rsid w:val="00894CEB"/>
    <w:rsid w:val="00895427"/>
    <w:rsid w:val="00896A62"/>
    <w:rsid w:val="00897B73"/>
    <w:rsid w:val="00897B88"/>
    <w:rsid w:val="008A113D"/>
    <w:rsid w:val="008A11BE"/>
    <w:rsid w:val="008A2E95"/>
    <w:rsid w:val="008A2F52"/>
    <w:rsid w:val="008A2F87"/>
    <w:rsid w:val="008A4F25"/>
    <w:rsid w:val="008A678B"/>
    <w:rsid w:val="008B0034"/>
    <w:rsid w:val="008B0702"/>
    <w:rsid w:val="008B10F2"/>
    <w:rsid w:val="008B2397"/>
    <w:rsid w:val="008B33B5"/>
    <w:rsid w:val="008B3692"/>
    <w:rsid w:val="008B3CD6"/>
    <w:rsid w:val="008B5269"/>
    <w:rsid w:val="008B6003"/>
    <w:rsid w:val="008B68C4"/>
    <w:rsid w:val="008B691D"/>
    <w:rsid w:val="008B7DD4"/>
    <w:rsid w:val="008C0DA3"/>
    <w:rsid w:val="008C1079"/>
    <w:rsid w:val="008C1BB4"/>
    <w:rsid w:val="008C2874"/>
    <w:rsid w:val="008C4D11"/>
    <w:rsid w:val="008C7093"/>
    <w:rsid w:val="008D023D"/>
    <w:rsid w:val="008D12B5"/>
    <w:rsid w:val="008D54FA"/>
    <w:rsid w:val="008D5C05"/>
    <w:rsid w:val="008D6490"/>
    <w:rsid w:val="008D6B31"/>
    <w:rsid w:val="008D6FFD"/>
    <w:rsid w:val="008E0E41"/>
    <w:rsid w:val="008E1191"/>
    <w:rsid w:val="008E342E"/>
    <w:rsid w:val="008E3E9D"/>
    <w:rsid w:val="008E4B46"/>
    <w:rsid w:val="008E4D9C"/>
    <w:rsid w:val="008E566D"/>
    <w:rsid w:val="008E588C"/>
    <w:rsid w:val="008E5AFD"/>
    <w:rsid w:val="008E7121"/>
    <w:rsid w:val="008E71B2"/>
    <w:rsid w:val="008E7BE2"/>
    <w:rsid w:val="008F06C9"/>
    <w:rsid w:val="008F52D9"/>
    <w:rsid w:val="008F6BC6"/>
    <w:rsid w:val="00902189"/>
    <w:rsid w:val="00902B4C"/>
    <w:rsid w:val="00903A84"/>
    <w:rsid w:val="00903FC5"/>
    <w:rsid w:val="0090403F"/>
    <w:rsid w:val="009071FF"/>
    <w:rsid w:val="009108DB"/>
    <w:rsid w:val="00910FAF"/>
    <w:rsid w:val="009112EB"/>
    <w:rsid w:val="00913191"/>
    <w:rsid w:val="009131F2"/>
    <w:rsid w:val="00914421"/>
    <w:rsid w:val="0091642A"/>
    <w:rsid w:val="00916431"/>
    <w:rsid w:val="00917DBE"/>
    <w:rsid w:val="00925BDF"/>
    <w:rsid w:val="0092605A"/>
    <w:rsid w:val="0092689A"/>
    <w:rsid w:val="009277BF"/>
    <w:rsid w:val="00927E5D"/>
    <w:rsid w:val="00930089"/>
    <w:rsid w:val="0093026A"/>
    <w:rsid w:val="00931921"/>
    <w:rsid w:val="0093228E"/>
    <w:rsid w:val="009325E1"/>
    <w:rsid w:val="00933170"/>
    <w:rsid w:val="009333EF"/>
    <w:rsid w:val="00933602"/>
    <w:rsid w:val="009338B2"/>
    <w:rsid w:val="00933FFF"/>
    <w:rsid w:val="009351EF"/>
    <w:rsid w:val="0093698F"/>
    <w:rsid w:val="00940914"/>
    <w:rsid w:val="009409E8"/>
    <w:rsid w:val="00942250"/>
    <w:rsid w:val="00942706"/>
    <w:rsid w:val="00942C09"/>
    <w:rsid w:val="00942E51"/>
    <w:rsid w:val="00945C05"/>
    <w:rsid w:val="00946A6A"/>
    <w:rsid w:val="0094770F"/>
    <w:rsid w:val="00947EB7"/>
    <w:rsid w:val="0095056B"/>
    <w:rsid w:val="009508D8"/>
    <w:rsid w:val="009509C6"/>
    <w:rsid w:val="00951FC3"/>
    <w:rsid w:val="009520BD"/>
    <w:rsid w:val="0095280D"/>
    <w:rsid w:val="00952B29"/>
    <w:rsid w:val="009532D1"/>
    <w:rsid w:val="00953400"/>
    <w:rsid w:val="00953DBA"/>
    <w:rsid w:val="00954137"/>
    <w:rsid w:val="00955882"/>
    <w:rsid w:val="00955ABF"/>
    <w:rsid w:val="00956B6F"/>
    <w:rsid w:val="00956F74"/>
    <w:rsid w:val="00956F84"/>
    <w:rsid w:val="009575A0"/>
    <w:rsid w:val="00957C6C"/>
    <w:rsid w:val="00960AA2"/>
    <w:rsid w:val="009636FD"/>
    <w:rsid w:val="009649DC"/>
    <w:rsid w:val="00966EB2"/>
    <w:rsid w:val="00970C67"/>
    <w:rsid w:val="00972EC0"/>
    <w:rsid w:val="00974456"/>
    <w:rsid w:val="0098542C"/>
    <w:rsid w:val="00991483"/>
    <w:rsid w:val="009916C3"/>
    <w:rsid w:val="0099296D"/>
    <w:rsid w:val="009935AA"/>
    <w:rsid w:val="00993AB1"/>
    <w:rsid w:val="00993F94"/>
    <w:rsid w:val="009947EB"/>
    <w:rsid w:val="009951B2"/>
    <w:rsid w:val="009968FB"/>
    <w:rsid w:val="00997B42"/>
    <w:rsid w:val="009A039C"/>
    <w:rsid w:val="009A2859"/>
    <w:rsid w:val="009A2DE7"/>
    <w:rsid w:val="009A305C"/>
    <w:rsid w:val="009A4E90"/>
    <w:rsid w:val="009A50B8"/>
    <w:rsid w:val="009A737B"/>
    <w:rsid w:val="009A78E3"/>
    <w:rsid w:val="009A7C60"/>
    <w:rsid w:val="009B1823"/>
    <w:rsid w:val="009B19C1"/>
    <w:rsid w:val="009B3134"/>
    <w:rsid w:val="009B406F"/>
    <w:rsid w:val="009B443A"/>
    <w:rsid w:val="009B4D09"/>
    <w:rsid w:val="009B5669"/>
    <w:rsid w:val="009B6DD1"/>
    <w:rsid w:val="009B7C9A"/>
    <w:rsid w:val="009B7F8D"/>
    <w:rsid w:val="009C0533"/>
    <w:rsid w:val="009C1332"/>
    <w:rsid w:val="009C36F3"/>
    <w:rsid w:val="009C4376"/>
    <w:rsid w:val="009C4A4F"/>
    <w:rsid w:val="009C4D5B"/>
    <w:rsid w:val="009C6D34"/>
    <w:rsid w:val="009D2E97"/>
    <w:rsid w:val="009D328E"/>
    <w:rsid w:val="009D3438"/>
    <w:rsid w:val="009D3B88"/>
    <w:rsid w:val="009D40B6"/>
    <w:rsid w:val="009D4D3A"/>
    <w:rsid w:val="009D7227"/>
    <w:rsid w:val="009D7AD4"/>
    <w:rsid w:val="009E06B9"/>
    <w:rsid w:val="009E0D9C"/>
    <w:rsid w:val="009E1231"/>
    <w:rsid w:val="009E1A57"/>
    <w:rsid w:val="009E36CA"/>
    <w:rsid w:val="009E3B94"/>
    <w:rsid w:val="009E4B6B"/>
    <w:rsid w:val="009E566D"/>
    <w:rsid w:val="009E6470"/>
    <w:rsid w:val="009E7175"/>
    <w:rsid w:val="009F08CB"/>
    <w:rsid w:val="009F11FB"/>
    <w:rsid w:val="009F1E5E"/>
    <w:rsid w:val="009F497B"/>
    <w:rsid w:val="009F4DB9"/>
    <w:rsid w:val="009F5331"/>
    <w:rsid w:val="009F6453"/>
    <w:rsid w:val="009F6AD6"/>
    <w:rsid w:val="009F6F30"/>
    <w:rsid w:val="009F7BFB"/>
    <w:rsid w:val="00A00199"/>
    <w:rsid w:val="00A0081F"/>
    <w:rsid w:val="00A01B61"/>
    <w:rsid w:val="00A03BCB"/>
    <w:rsid w:val="00A04258"/>
    <w:rsid w:val="00A048F3"/>
    <w:rsid w:val="00A04CA6"/>
    <w:rsid w:val="00A05202"/>
    <w:rsid w:val="00A052DD"/>
    <w:rsid w:val="00A05FA1"/>
    <w:rsid w:val="00A06E6F"/>
    <w:rsid w:val="00A1016E"/>
    <w:rsid w:val="00A10E8E"/>
    <w:rsid w:val="00A12A49"/>
    <w:rsid w:val="00A12F0C"/>
    <w:rsid w:val="00A135C4"/>
    <w:rsid w:val="00A13CB5"/>
    <w:rsid w:val="00A13FEC"/>
    <w:rsid w:val="00A200C3"/>
    <w:rsid w:val="00A20A84"/>
    <w:rsid w:val="00A21103"/>
    <w:rsid w:val="00A21E3C"/>
    <w:rsid w:val="00A23419"/>
    <w:rsid w:val="00A24BBD"/>
    <w:rsid w:val="00A24CE3"/>
    <w:rsid w:val="00A26D62"/>
    <w:rsid w:val="00A27D2E"/>
    <w:rsid w:val="00A3040E"/>
    <w:rsid w:val="00A30D78"/>
    <w:rsid w:val="00A31032"/>
    <w:rsid w:val="00A31CCF"/>
    <w:rsid w:val="00A32598"/>
    <w:rsid w:val="00A33EF8"/>
    <w:rsid w:val="00A3432E"/>
    <w:rsid w:val="00A34E9A"/>
    <w:rsid w:val="00A3529C"/>
    <w:rsid w:val="00A37C4F"/>
    <w:rsid w:val="00A37C51"/>
    <w:rsid w:val="00A37EB9"/>
    <w:rsid w:val="00A40DFB"/>
    <w:rsid w:val="00A418A7"/>
    <w:rsid w:val="00A435BF"/>
    <w:rsid w:val="00A44242"/>
    <w:rsid w:val="00A448B0"/>
    <w:rsid w:val="00A46981"/>
    <w:rsid w:val="00A518CD"/>
    <w:rsid w:val="00A5210B"/>
    <w:rsid w:val="00A52335"/>
    <w:rsid w:val="00A524EC"/>
    <w:rsid w:val="00A52758"/>
    <w:rsid w:val="00A52F4A"/>
    <w:rsid w:val="00A531D6"/>
    <w:rsid w:val="00A5346F"/>
    <w:rsid w:val="00A54346"/>
    <w:rsid w:val="00A54835"/>
    <w:rsid w:val="00A55211"/>
    <w:rsid w:val="00A556C0"/>
    <w:rsid w:val="00A569C9"/>
    <w:rsid w:val="00A575FB"/>
    <w:rsid w:val="00A57E0C"/>
    <w:rsid w:val="00A6039D"/>
    <w:rsid w:val="00A62FD6"/>
    <w:rsid w:val="00A631B5"/>
    <w:rsid w:val="00A63351"/>
    <w:rsid w:val="00A63CE0"/>
    <w:rsid w:val="00A6487D"/>
    <w:rsid w:val="00A64F03"/>
    <w:rsid w:val="00A65DF5"/>
    <w:rsid w:val="00A66D3E"/>
    <w:rsid w:val="00A66FBE"/>
    <w:rsid w:val="00A67304"/>
    <w:rsid w:val="00A674C1"/>
    <w:rsid w:val="00A676CE"/>
    <w:rsid w:val="00A7001C"/>
    <w:rsid w:val="00A70A43"/>
    <w:rsid w:val="00A70D67"/>
    <w:rsid w:val="00A71FFD"/>
    <w:rsid w:val="00A72C25"/>
    <w:rsid w:val="00A73105"/>
    <w:rsid w:val="00A7455C"/>
    <w:rsid w:val="00A7461B"/>
    <w:rsid w:val="00A75807"/>
    <w:rsid w:val="00A764F2"/>
    <w:rsid w:val="00A7681A"/>
    <w:rsid w:val="00A77913"/>
    <w:rsid w:val="00A8209D"/>
    <w:rsid w:val="00A82740"/>
    <w:rsid w:val="00A860C9"/>
    <w:rsid w:val="00A87C2D"/>
    <w:rsid w:val="00A90E08"/>
    <w:rsid w:val="00A9137F"/>
    <w:rsid w:val="00A9483B"/>
    <w:rsid w:val="00A94F2C"/>
    <w:rsid w:val="00A972E1"/>
    <w:rsid w:val="00AA0D85"/>
    <w:rsid w:val="00AA12F0"/>
    <w:rsid w:val="00AA2D9E"/>
    <w:rsid w:val="00AA37C6"/>
    <w:rsid w:val="00AA3C07"/>
    <w:rsid w:val="00AA3F8C"/>
    <w:rsid w:val="00AA4CE0"/>
    <w:rsid w:val="00AA5C11"/>
    <w:rsid w:val="00AA6E6B"/>
    <w:rsid w:val="00AA7527"/>
    <w:rsid w:val="00AB3052"/>
    <w:rsid w:val="00AB4248"/>
    <w:rsid w:val="00AB4520"/>
    <w:rsid w:val="00AB4A20"/>
    <w:rsid w:val="00AB572D"/>
    <w:rsid w:val="00AB5A86"/>
    <w:rsid w:val="00AB6170"/>
    <w:rsid w:val="00AB63A7"/>
    <w:rsid w:val="00AB707C"/>
    <w:rsid w:val="00AC0470"/>
    <w:rsid w:val="00AC09D4"/>
    <w:rsid w:val="00AC0B37"/>
    <w:rsid w:val="00AC2185"/>
    <w:rsid w:val="00AC28B4"/>
    <w:rsid w:val="00AC3068"/>
    <w:rsid w:val="00AC397B"/>
    <w:rsid w:val="00AC3C48"/>
    <w:rsid w:val="00AC4067"/>
    <w:rsid w:val="00AC53DF"/>
    <w:rsid w:val="00AC54F8"/>
    <w:rsid w:val="00AC692A"/>
    <w:rsid w:val="00AC6E58"/>
    <w:rsid w:val="00AD0F08"/>
    <w:rsid w:val="00AD1585"/>
    <w:rsid w:val="00AD15A5"/>
    <w:rsid w:val="00AD1747"/>
    <w:rsid w:val="00AD235B"/>
    <w:rsid w:val="00AD33C1"/>
    <w:rsid w:val="00AD3EFA"/>
    <w:rsid w:val="00AD41EF"/>
    <w:rsid w:val="00AD560B"/>
    <w:rsid w:val="00AD5BBB"/>
    <w:rsid w:val="00AE02B5"/>
    <w:rsid w:val="00AE0494"/>
    <w:rsid w:val="00AE0B28"/>
    <w:rsid w:val="00AE0C8D"/>
    <w:rsid w:val="00AE0D50"/>
    <w:rsid w:val="00AE1947"/>
    <w:rsid w:val="00AE1ADF"/>
    <w:rsid w:val="00AE242E"/>
    <w:rsid w:val="00AE2D8E"/>
    <w:rsid w:val="00AE40DF"/>
    <w:rsid w:val="00AE4ABD"/>
    <w:rsid w:val="00AE4B8E"/>
    <w:rsid w:val="00AE4C9F"/>
    <w:rsid w:val="00AE61AB"/>
    <w:rsid w:val="00AE69FE"/>
    <w:rsid w:val="00AE6BBD"/>
    <w:rsid w:val="00AE75B8"/>
    <w:rsid w:val="00AE7A40"/>
    <w:rsid w:val="00AE7EF9"/>
    <w:rsid w:val="00AF2210"/>
    <w:rsid w:val="00AF4A88"/>
    <w:rsid w:val="00AF60FC"/>
    <w:rsid w:val="00AF619D"/>
    <w:rsid w:val="00AF6B6A"/>
    <w:rsid w:val="00B00B45"/>
    <w:rsid w:val="00B014D6"/>
    <w:rsid w:val="00B01A75"/>
    <w:rsid w:val="00B02D39"/>
    <w:rsid w:val="00B03711"/>
    <w:rsid w:val="00B03B6B"/>
    <w:rsid w:val="00B043F5"/>
    <w:rsid w:val="00B04CC3"/>
    <w:rsid w:val="00B04F6E"/>
    <w:rsid w:val="00B06194"/>
    <w:rsid w:val="00B071ED"/>
    <w:rsid w:val="00B13AE1"/>
    <w:rsid w:val="00B17DE2"/>
    <w:rsid w:val="00B2096A"/>
    <w:rsid w:val="00B20E8D"/>
    <w:rsid w:val="00B21C36"/>
    <w:rsid w:val="00B2333A"/>
    <w:rsid w:val="00B27424"/>
    <w:rsid w:val="00B3123F"/>
    <w:rsid w:val="00B32541"/>
    <w:rsid w:val="00B3267F"/>
    <w:rsid w:val="00B333EE"/>
    <w:rsid w:val="00B33F73"/>
    <w:rsid w:val="00B35F87"/>
    <w:rsid w:val="00B36DA1"/>
    <w:rsid w:val="00B36FB1"/>
    <w:rsid w:val="00B37648"/>
    <w:rsid w:val="00B379DA"/>
    <w:rsid w:val="00B37A67"/>
    <w:rsid w:val="00B41203"/>
    <w:rsid w:val="00B41500"/>
    <w:rsid w:val="00B41BA4"/>
    <w:rsid w:val="00B42240"/>
    <w:rsid w:val="00B430E8"/>
    <w:rsid w:val="00B5297F"/>
    <w:rsid w:val="00B52E16"/>
    <w:rsid w:val="00B53812"/>
    <w:rsid w:val="00B53C36"/>
    <w:rsid w:val="00B5586D"/>
    <w:rsid w:val="00B60977"/>
    <w:rsid w:val="00B60F9A"/>
    <w:rsid w:val="00B616F1"/>
    <w:rsid w:val="00B623DA"/>
    <w:rsid w:val="00B626BB"/>
    <w:rsid w:val="00B62736"/>
    <w:rsid w:val="00B62A71"/>
    <w:rsid w:val="00B62EF9"/>
    <w:rsid w:val="00B630C6"/>
    <w:rsid w:val="00B64448"/>
    <w:rsid w:val="00B65DC0"/>
    <w:rsid w:val="00B67C2D"/>
    <w:rsid w:val="00B703C2"/>
    <w:rsid w:val="00B70D91"/>
    <w:rsid w:val="00B70E59"/>
    <w:rsid w:val="00B72FA0"/>
    <w:rsid w:val="00B73209"/>
    <w:rsid w:val="00B75341"/>
    <w:rsid w:val="00B75F1D"/>
    <w:rsid w:val="00B7708B"/>
    <w:rsid w:val="00B7721B"/>
    <w:rsid w:val="00B80E25"/>
    <w:rsid w:val="00B80FB0"/>
    <w:rsid w:val="00B8347E"/>
    <w:rsid w:val="00B84B4A"/>
    <w:rsid w:val="00B8589C"/>
    <w:rsid w:val="00B85CAA"/>
    <w:rsid w:val="00B85F09"/>
    <w:rsid w:val="00B86BAC"/>
    <w:rsid w:val="00B943B7"/>
    <w:rsid w:val="00B94A3B"/>
    <w:rsid w:val="00B965D6"/>
    <w:rsid w:val="00B97B35"/>
    <w:rsid w:val="00BA3196"/>
    <w:rsid w:val="00BA3509"/>
    <w:rsid w:val="00BA4671"/>
    <w:rsid w:val="00BA513D"/>
    <w:rsid w:val="00BA5877"/>
    <w:rsid w:val="00BB124C"/>
    <w:rsid w:val="00BB1509"/>
    <w:rsid w:val="00BB17E3"/>
    <w:rsid w:val="00BB1CDB"/>
    <w:rsid w:val="00BB2110"/>
    <w:rsid w:val="00BB30C0"/>
    <w:rsid w:val="00BB3645"/>
    <w:rsid w:val="00BB547E"/>
    <w:rsid w:val="00BB69B7"/>
    <w:rsid w:val="00BC01A5"/>
    <w:rsid w:val="00BC073F"/>
    <w:rsid w:val="00BC2581"/>
    <w:rsid w:val="00BC3F55"/>
    <w:rsid w:val="00BC42D4"/>
    <w:rsid w:val="00BC468E"/>
    <w:rsid w:val="00BC481A"/>
    <w:rsid w:val="00BC4D26"/>
    <w:rsid w:val="00BC5190"/>
    <w:rsid w:val="00BC555D"/>
    <w:rsid w:val="00BC658E"/>
    <w:rsid w:val="00BD0218"/>
    <w:rsid w:val="00BD0E26"/>
    <w:rsid w:val="00BD113A"/>
    <w:rsid w:val="00BD1869"/>
    <w:rsid w:val="00BD200B"/>
    <w:rsid w:val="00BD63DF"/>
    <w:rsid w:val="00BD64D4"/>
    <w:rsid w:val="00BD6BFB"/>
    <w:rsid w:val="00BD7C4B"/>
    <w:rsid w:val="00BE33E8"/>
    <w:rsid w:val="00BE62FA"/>
    <w:rsid w:val="00BE6997"/>
    <w:rsid w:val="00BE7539"/>
    <w:rsid w:val="00BE7668"/>
    <w:rsid w:val="00BE7B19"/>
    <w:rsid w:val="00BE7CB4"/>
    <w:rsid w:val="00BF2BEB"/>
    <w:rsid w:val="00BF3197"/>
    <w:rsid w:val="00BF5820"/>
    <w:rsid w:val="00BF5E23"/>
    <w:rsid w:val="00BF6AD1"/>
    <w:rsid w:val="00C01DB8"/>
    <w:rsid w:val="00C0300F"/>
    <w:rsid w:val="00C04C13"/>
    <w:rsid w:val="00C0523E"/>
    <w:rsid w:val="00C0693C"/>
    <w:rsid w:val="00C06B87"/>
    <w:rsid w:val="00C06C3C"/>
    <w:rsid w:val="00C07194"/>
    <w:rsid w:val="00C0751C"/>
    <w:rsid w:val="00C07D81"/>
    <w:rsid w:val="00C07F14"/>
    <w:rsid w:val="00C11B64"/>
    <w:rsid w:val="00C1218B"/>
    <w:rsid w:val="00C12B6B"/>
    <w:rsid w:val="00C1303D"/>
    <w:rsid w:val="00C135F1"/>
    <w:rsid w:val="00C140D0"/>
    <w:rsid w:val="00C1462F"/>
    <w:rsid w:val="00C14775"/>
    <w:rsid w:val="00C150A5"/>
    <w:rsid w:val="00C21127"/>
    <w:rsid w:val="00C225CD"/>
    <w:rsid w:val="00C22B21"/>
    <w:rsid w:val="00C22D88"/>
    <w:rsid w:val="00C23593"/>
    <w:rsid w:val="00C23845"/>
    <w:rsid w:val="00C27091"/>
    <w:rsid w:val="00C30450"/>
    <w:rsid w:val="00C31724"/>
    <w:rsid w:val="00C31846"/>
    <w:rsid w:val="00C32A33"/>
    <w:rsid w:val="00C34278"/>
    <w:rsid w:val="00C367FB"/>
    <w:rsid w:val="00C37AE4"/>
    <w:rsid w:val="00C41389"/>
    <w:rsid w:val="00C414D0"/>
    <w:rsid w:val="00C41BB7"/>
    <w:rsid w:val="00C42379"/>
    <w:rsid w:val="00C428FC"/>
    <w:rsid w:val="00C43B48"/>
    <w:rsid w:val="00C44004"/>
    <w:rsid w:val="00C445F4"/>
    <w:rsid w:val="00C506AA"/>
    <w:rsid w:val="00C507F0"/>
    <w:rsid w:val="00C50AD1"/>
    <w:rsid w:val="00C517E4"/>
    <w:rsid w:val="00C54D5A"/>
    <w:rsid w:val="00C54DF3"/>
    <w:rsid w:val="00C610B6"/>
    <w:rsid w:val="00C615AD"/>
    <w:rsid w:val="00C6257F"/>
    <w:rsid w:val="00C63117"/>
    <w:rsid w:val="00C640C7"/>
    <w:rsid w:val="00C65784"/>
    <w:rsid w:val="00C67319"/>
    <w:rsid w:val="00C67BDD"/>
    <w:rsid w:val="00C70F24"/>
    <w:rsid w:val="00C717F6"/>
    <w:rsid w:val="00C72498"/>
    <w:rsid w:val="00C72FD7"/>
    <w:rsid w:val="00C74B58"/>
    <w:rsid w:val="00C8155C"/>
    <w:rsid w:val="00C818C2"/>
    <w:rsid w:val="00C856F3"/>
    <w:rsid w:val="00C85D03"/>
    <w:rsid w:val="00C871AD"/>
    <w:rsid w:val="00C907F0"/>
    <w:rsid w:val="00C9202C"/>
    <w:rsid w:val="00C93A91"/>
    <w:rsid w:val="00C95601"/>
    <w:rsid w:val="00C95D6D"/>
    <w:rsid w:val="00C95DE6"/>
    <w:rsid w:val="00C96214"/>
    <w:rsid w:val="00C96870"/>
    <w:rsid w:val="00CA1947"/>
    <w:rsid w:val="00CA1C91"/>
    <w:rsid w:val="00CA323D"/>
    <w:rsid w:val="00CA54A0"/>
    <w:rsid w:val="00CA54E2"/>
    <w:rsid w:val="00CA55EC"/>
    <w:rsid w:val="00CA5A9B"/>
    <w:rsid w:val="00CB5515"/>
    <w:rsid w:val="00CB76EF"/>
    <w:rsid w:val="00CB773B"/>
    <w:rsid w:val="00CB7840"/>
    <w:rsid w:val="00CB7D21"/>
    <w:rsid w:val="00CC0E24"/>
    <w:rsid w:val="00CC2390"/>
    <w:rsid w:val="00CC34E2"/>
    <w:rsid w:val="00CC3A5F"/>
    <w:rsid w:val="00CC3EED"/>
    <w:rsid w:val="00CC4A5C"/>
    <w:rsid w:val="00CC5BB7"/>
    <w:rsid w:val="00CC5C02"/>
    <w:rsid w:val="00CC5F62"/>
    <w:rsid w:val="00CC64FC"/>
    <w:rsid w:val="00CC69B4"/>
    <w:rsid w:val="00CC6D17"/>
    <w:rsid w:val="00CC7102"/>
    <w:rsid w:val="00CC71AE"/>
    <w:rsid w:val="00CC7CF3"/>
    <w:rsid w:val="00CD0D19"/>
    <w:rsid w:val="00CD1E85"/>
    <w:rsid w:val="00CD3A98"/>
    <w:rsid w:val="00CD3AEA"/>
    <w:rsid w:val="00CD3C32"/>
    <w:rsid w:val="00CD4235"/>
    <w:rsid w:val="00CD4569"/>
    <w:rsid w:val="00CD48B1"/>
    <w:rsid w:val="00CD48B7"/>
    <w:rsid w:val="00CD56D7"/>
    <w:rsid w:val="00CD57FC"/>
    <w:rsid w:val="00CD5F09"/>
    <w:rsid w:val="00CD632A"/>
    <w:rsid w:val="00CD6D83"/>
    <w:rsid w:val="00CD6E29"/>
    <w:rsid w:val="00CE0B6D"/>
    <w:rsid w:val="00CE0DE0"/>
    <w:rsid w:val="00CE127E"/>
    <w:rsid w:val="00CE1C10"/>
    <w:rsid w:val="00CE217C"/>
    <w:rsid w:val="00CE3583"/>
    <w:rsid w:val="00CE3C42"/>
    <w:rsid w:val="00CE4AE9"/>
    <w:rsid w:val="00CE64C2"/>
    <w:rsid w:val="00CE77A3"/>
    <w:rsid w:val="00CF14BA"/>
    <w:rsid w:val="00CF198C"/>
    <w:rsid w:val="00CF33D3"/>
    <w:rsid w:val="00CF41D0"/>
    <w:rsid w:val="00CF66CB"/>
    <w:rsid w:val="00CF7C14"/>
    <w:rsid w:val="00D00CF9"/>
    <w:rsid w:val="00D012FF"/>
    <w:rsid w:val="00D04CD8"/>
    <w:rsid w:val="00D04DEC"/>
    <w:rsid w:val="00D06CB5"/>
    <w:rsid w:val="00D114ED"/>
    <w:rsid w:val="00D1261E"/>
    <w:rsid w:val="00D13F32"/>
    <w:rsid w:val="00D14B5E"/>
    <w:rsid w:val="00D1685E"/>
    <w:rsid w:val="00D171BA"/>
    <w:rsid w:val="00D230DD"/>
    <w:rsid w:val="00D231BA"/>
    <w:rsid w:val="00D2397C"/>
    <w:rsid w:val="00D256CC"/>
    <w:rsid w:val="00D25B74"/>
    <w:rsid w:val="00D25CA1"/>
    <w:rsid w:val="00D27435"/>
    <w:rsid w:val="00D31096"/>
    <w:rsid w:val="00D31474"/>
    <w:rsid w:val="00D32933"/>
    <w:rsid w:val="00D3579F"/>
    <w:rsid w:val="00D36B62"/>
    <w:rsid w:val="00D37BF5"/>
    <w:rsid w:val="00D37D73"/>
    <w:rsid w:val="00D421A7"/>
    <w:rsid w:val="00D428E9"/>
    <w:rsid w:val="00D42987"/>
    <w:rsid w:val="00D42C18"/>
    <w:rsid w:val="00D43F5E"/>
    <w:rsid w:val="00D4437E"/>
    <w:rsid w:val="00D44623"/>
    <w:rsid w:val="00D45B3D"/>
    <w:rsid w:val="00D46743"/>
    <w:rsid w:val="00D46E72"/>
    <w:rsid w:val="00D47CF6"/>
    <w:rsid w:val="00D50820"/>
    <w:rsid w:val="00D511C3"/>
    <w:rsid w:val="00D51C0C"/>
    <w:rsid w:val="00D52328"/>
    <w:rsid w:val="00D52C42"/>
    <w:rsid w:val="00D5481D"/>
    <w:rsid w:val="00D55B2D"/>
    <w:rsid w:val="00D60045"/>
    <w:rsid w:val="00D628AE"/>
    <w:rsid w:val="00D63138"/>
    <w:rsid w:val="00D647C9"/>
    <w:rsid w:val="00D6632B"/>
    <w:rsid w:val="00D6667C"/>
    <w:rsid w:val="00D67995"/>
    <w:rsid w:val="00D7163F"/>
    <w:rsid w:val="00D716AB"/>
    <w:rsid w:val="00D71F86"/>
    <w:rsid w:val="00D7298C"/>
    <w:rsid w:val="00D72B6F"/>
    <w:rsid w:val="00D734D6"/>
    <w:rsid w:val="00D73998"/>
    <w:rsid w:val="00D75B70"/>
    <w:rsid w:val="00D7634E"/>
    <w:rsid w:val="00D76FD9"/>
    <w:rsid w:val="00D800BD"/>
    <w:rsid w:val="00D8036C"/>
    <w:rsid w:val="00D80AA1"/>
    <w:rsid w:val="00D80E8D"/>
    <w:rsid w:val="00D816C8"/>
    <w:rsid w:val="00D81BC5"/>
    <w:rsid w:val="00D827CE"/>
    <w:rsid w:val="00D84DEB"/>
    <w:rsid w:val="00D877A6"/>
    <w:rsid w:val="00D904D9"/>
    <w:rsid w:val="00D90E99"/>
    <w:rsid w:val="00D91303"/>
    <w:rsid w:val="00D946F0"/>
    <w:rsid w:val="00D948BE"/>
    <w:rsid w:val="00D95156"/>
    <w:rsid w:val="00D95BD9"/>
    <w:rsid w:val="00D95DC3"/>
    <w:rsid w:val="00D96A46"/>
    <w:rsid w:val="00D96A67"/>
    <w:rsid w:val="00D97800"/>
    <w:rsid w:val="00DA114C"/>
    <w:rsid w:val="00DA12D5"/>
    <w:rsid w:val="00DA3326"/>
    <w:rsid w:val="00DA3644"/>
    <w:rsid w:val="00DA3FCB"/>
    <w:rsid w:val="00DA61B9"/>
    <w:rsid w:val="00DA630F"/>
    <w:rsid w:val="00DA6A38"/>
    <w:rsid w:val="00DA6B30"/>
    <w:rsid w:val="00DA7040"/>
    <w:rsid w:val="00DB07B5"/>
    <w:rsid w:val="00DB07F9"/>
    <w:rsid w:val="00DB3CAF"/>
    <w:rsid w:val="00DB4966"/>
    <w:rsid w:val="00DB5871"/>
    <w:rsid w:val="00DB7C43"/>
    <w:rsid w:val="00DC1386"/>
    <w:rsid w:val="00DC437C"/>
    <w:rsid w:val="00DC60C3"/>
    <w:rsid w:val="00DC7A46"/>
    <w:rsid w:val="00DD0F54"/>
    <w:rsid w:val="00DD24D3"/>
    <w:rsid w:val="00DD3577"/>
    <w:rsid w:val="00DD4F7A"/>
    <w:rsid w:val="00DD5050"/>
    <w:rsid w:val="00DD5306"/>
    <w:rsid w:val="00DD577D"/>
    <w:rsid w:val="00DD5903"/>
    <w:rsid w:val="00DD5E1E"/>
    <w:rsid w:val="00DE17BA"/>
    <w:rsid w:val="00DE229B"/>
    <w:rsid w:val="00DE23F6"/>
    <w:rsid w:val="00DE2622"/>
    <w:rsid w:val="00DE3A2B"/>
    <w:rsid w:val="00DE4A81"/>
    <w:rsid w:val="00DE65AF"/>
    <w:rsid w:val="00DE65D3"/>
    <w:rsid w:val="00DE7AB8"/>
    <w:rsid w:val="00DF310D"/>
    <w:rsid w:val="00DF3188"/>
    <w:rsid w:val="00DF4F4C"/>
    <w:rsid w:val="00DF5529"/>
    <w:rsid w:val="00DF629E"/>
    <w:rsid w:val="00DF6DE8"/>
    <w:rsid w:val="00DF6FB0"/>
    <w:rsid w:val="00DF76B3"/>
    <w:rsid w:val="00DF76F2"/>
    <w:rsid w:val="00E00083"/>
    <w:rsid w:val="00E009E2"/>
    <w:rsid w:val="00E01112"/>
    <w:rsid w:val="00E01DE7"/>
    <w:rsid w:val="00E0411F"/>
    <w:rsid w:val="00E045FB"/>
    <w:rsid w:val="00E0572E"/>
    <w:rsid w:val="00E05F98"/>
    <w:rsid w:val="00E10005"/>
    <w:rsid w:val="00E10E20"/>
    <w:rsid w:val="00E112F9"/>
    <w:rsid w:val="00E11E4B"/>
    <w:rsid w:val="00E1238E"/>
    <w:rsid w:val="00E124B9"/>
    <w:rsid w:val="00E13F21"/>
    <w:rsid w:val="00E14954"/>
    <w:rsid w:val="00E149E3"/>
    <w:rsid w:val="00E15B42"/>
    <w:rsid w:val="00E1612B"/>
    <w:rsid w:val="00E16DA5"/>
    <w:rsid w:val="00E17515"/>
    <w:rsid w:val="00E20591"/>
    <w:rsid w:val="00E20E31"/>
    <w:rsid w:val="00E22766"/>
    <w:rsid w:val="00E22786"/>
    <w:rsid w:val="00E22DD2"/>
    <w:rsid w:val="00E2572E"/>
    <w:rsid w:val="00E2692D"/>
    <w:rsid w:val="00E271C2"/>
    <w:rsid w:val="00E27AC2"/>
    <w:rsid w:val="00E30031"/>
    <w:rsid w:val="00E31023"/>
    <w:rsid w:val="00E3154F"/>
    <w:rsid w:val="00E31F91"/>
    <w:rsid w:val="00E329A6"/>
    <w:rsid w:val="00E33770"/>
    <w:rsid w:val="00E342FC"/>
    <w:rsid w:val="00E34CB5"/>
    <w:rsid w:val="00E36419"/>
    <w:rsid w:val="00E37789"/>
    <w:rsid w:val="00E412D8"/>
    <w:rsid w:val="00E412EE"/>
    <w:rsid w:val="00E41E29"/>
    <w:rsid w:val="00E42265"/>
    <w:rsid w:val="00E42B68"/>
    <w:rsid w:val="00E44D53"/>
    <w:rsid w:val="00E44F78"/>
    <w:rsid w:val="00E45DAA"/>
    <w:rsid w:val="00E464A7"/>
    <w:rsid w:val="00E46560"/>
    <w:rsid w:val="00E47307"/>
    <w:rsid w:val="00E47601"/>
    <w:rsid w:val="00E5099C"/>
    <w:rsid w:val="00E50DB1"/>
    <w:rsid w:val="00E51053"/>
    <w:rsid w:val="00E51A6B"/>
    <w:rsid w:val="00E51A9F"/>
    <w:rsid w:val="00E52CA8"/>
    <w:rsid w:val="00E536AA"/>
    <w:rsid w:val="00E54750"/>
    <w:rsid w:val="00E550CE"/>
    <w:rsid w:val="00E55D06"/>
    <w:rsid w:val="00E56C38"/>
    <w:rsid w:val="00E57675"/>
    <w:rsid w:val="00E60B0D"/>
    <w:rsid w:val="00E60B86"/>
    <w:rsid w:val="00E62E45"/>
    <w:rsid w:val="00E62F7D"/>
    <w:rsid w:val="00E63261"/>
    <w:rsid w:val="00E642D8"/>
    <w:rsid w:val="00E6537B"/>
    <w:rsid w:val="00E657C7"/>
    <w:rsid w:val="00E66BC2"/>
    <w:rsid w:val="00E67FA1"/>
    <w:rsid w:val="00E700B8"/>
    <w:rsid w:val="00E702B9"/>
    <w:rsid w:val="00E70588"/>
    <w:rsid w:val="00E713B0"/>
    <w:rsid w:val="00E74412"/>
    <w:rsid w:val="00E74B3C"/>
    <w:rsid w:val="00E754CB"/>
    <w:rsid w:val="00E75FA1"/>
    <w:rsid w:val="00E76419"/>
    <w:rsid w:val="00E77039"/>
    <w:rsid w:val="00E77787"/>
    <w:rsid w:val="00E77CD7"/>
    <w:rsid w:val="00E81702"/>
    <w:rsid w:val="00E82017"/>
    <w:rsid w:val="00E82538"/>
    <w:rsid w:val="00E82792"/>
    <w:rsid w:val="00E8374B"/>
    <w:rsid w:val="00E844D7"/>
    <w:rsid w:val="00E8453C"/>
    <w:rsid w:val="00E90F76"/>
    <w:rsid w:val="00E92DDE"/>
    <w:rsid w:val="00E92E9D"/>
    <w:rsid w:val="00E93300"/>
    <w:rsid w:val="00E93B3C"/>
    <w:rsid w:val="00E96A7F"/>
    <w:rsid w:val="00EA031A"/>
    <w:rsid w:val="00EA0966"/>
    <w:rsid w:val="00EA0CE9"/>
    <w:rsid w:val="00EA188A"/>
    <w:rsid w:val="00EA1A40"/>
    <w:rsid w:val="00EA330D"/>
    <w:rsid w:val="00EA50E9"/>
    <w:rsid w:val="00EA5190"/>
    <w:rsid w:val="00EA5E8F"/>
    <w:rsid w:val="00EA5F4C"/>
    <w:rsid w:val="00EA6109"/>
    <w:rsid w:val="00EA7B94"/>
    <w:rsid w:val="00EB2688"/>
    <w:rsid w:val="00EB2E9B"/>
    <w:rsid w:val="00EB42A0"/>
    <w:rsid w:val="00EB6181"/>
    <w:rsid w:val="00EB664F"/>
    <w:rsid w:val="00EB7471"/>
    <w:rsid w:val="00EB7E37"/>
    <w:rsid w:val="00EC12E8"/>
    <w:rsid w:val="00EC1357"/>
    <w:rsid w:val="00EC41FE"/>
    <w:rsid w:val="00EC5ACF"/>
    <w:rsid w:val="00EC67E9"/>
    <w:rsid w:val="00EC7F37"/>
    <w:rsid w:val="00ED15BD"/>
    <w:rsid w:val="00ED22A8"/>
    <w:rsid w:val="00ED2479"/>
    <w:rsid w:val="00ED4A3F"/>
    <w:rsid w:val="00ED4EB4"/>
    <w:rsid w:val="00ED5D09"/>
    <w:rsid w:val="00ED7107"/>
    <w:rsid w:val="00ED75FC"/>
    <w:rsid w:val="00EE2221"/>
    <w:rsid w:val="00EE276F"/>
    <w:rsid w:val="00EE2982"/>
    <w:rsid w:val="00EE329B"/>
    <w:rsid w:val="00EE3D5C"/>
    <w:rsid w:val="00EE634F"/>
    <w:rsid w:val="00EE71FD"/>
    <w:rsid w:val="00EE788D"/>
    <w:rsid w:val="00EF369D"/>
    <w:rsid w:val="00EF38A7"/>
    <w:rsid w:val="00EF5530"/>
    <w:rsid w:val="00EF5A91"/>
    <w:rsid w:val="00EF6A39"/>
    <w:rsid w:val="00EF7EAF"/>
    <w:rsid w:val="00F00B38"/>
    <w:rsid w:val="00F01597"/>
    <w:rsid w:val="00F02DB8"/>
    <w:rsid w:val="00F0376E"/>
    <w:rsid w:val="00F044B3"/>
    <w:rsid w:val="00F05E83"/>
    <w:rsid w:val="00F07DC4"/>
    <w:rsid w:val="00F07E05"/>
    <w:rsid w:val="00F10842"/>
    <w:rsid w:val="00F10F8D"/>
    <w:rsid w:val="00F13C42"/>
    <w:rsid w:val="00F13FE3"/>
    <w:rsid w:val="00F15C50"/>
    <w:rsid w:val="00F161F7"/>
    <w:rsid w:val="00F16777"/>
    <w:rsid w:val="00F206E8"/>
    <w:rsid w:val="00F21755"/>
    <w:rsid w:val="00F21F2E"/>
    <w:rsid w:val="00F23947"/>
    <w:rsid w:val="00F23B61"/>
    <w:rsid w:val="00F276F1"/>
    <w:rsid w:val="00F315D0"/>
    <w:rsid w:val="00F32680"/>
    <w:rsid w:val="00F336FB"/>
    <w:rsid w:val="00F33A66"/>
    <w:rsid w:val="00F34294"/>
    <w:rsid w:val="00F34368"/>
    <w:rsid w:val="00F34E5A"/>
    <w:rsid w:val="00F35452"/>
    <w:rsid w:val="00F356CD"/>
    <w:rsid w:val="00F35886"/>
    <w:rsid w:val="00F35953"/>
    <w:rsid w:val="00F371C8"/>
    <w:rsid w:val="00F37F06"/>
    <w:rsid w:val="00F40254"/>
    <w:rsid w:val="00F40844"/>
    <w:rsid w:val="00F40CA7"/>
    <w:rsid w:val="00F40CED"/>
    <w:rsid w:val="00F4259D"/>
    <w:rsid w:val="00F42D7A"/>
    <w:rsid w:val="00F44659"/>
    <w:rsid w:val="00F45532"/>
    <w:rsid w:val="00F45ED2"/>
    <w:rsid w:val="00F50956"/>
    <w:rsid w:val="00F51081"/>
    <w:rsid w:val="00F53C4F"/>
    <w:rsid w:val="00F54717"/>
    <w:rsid w:val="00F56A51"/>
    <w:rsid w:val="00F61899"/>
    <w:rsid w:val="00F627BB"/>
    <w:rsid w:val="00F62E90"/>
    <w:rsid w:val="00F66CD4"/>
    <w:rsid w:val="00F66E01"/>
    <w:rsid w:val="00F71181"/>
    <w:rsid w:val="00F7129A"/>
    <w:rsid w:val="00F7180D"/>
    <w:rsid w:val="00F727A7"/>
    <w:rsid w:val="00F727FE"/>
    <w:rsid w:val="00F729D7"/>
    <w:rsid w:val="00F74320"/>
    <w:rsid w:val="00F774CD"/>
    <w:rsid w:val="00F80CB0"/>
    <w:rsid w:val="00F80F59"/>
    <w:rsid w:val="00F822FC"/>
    <w:rsid w:val="00F82E69"/>
    <w:rsid w:val="00F8414D"/>
    <w:rsid w:val="00F84181"/>
    <w:rsid w:val="00F845EF"/>
    <w:rsid w:val="00F84C5D"/>
    <w:rsid w:val="00F86271"/>
    <w:rsid w:val="00F87017"/>
    <w:rsid w:val="00F87164"/>
    <w:rsid w:val="00F87176"/>
    <w:rsid w:val="00F87303"/>
    <w:rsid w:val="00F879A5"/>
    <w:rsid w:val="00F91287"/>
    <w:rsid w:val="00F917FA"/>
    <w:rsid w:val="00F91B28"/>
    <w:rsid w:val="00F91DA0"/>
    <w:rsid w:val="00F9306F"/>
    <w:rsid w:val="00F94B4E"/>
    <w:rsid w:val="00F978B7"/>
    <w:rsid w:val="00F978E7"/>
    <w:rsid w:val="00F97E8C"/>
    <w:rsid w:val="00FA2925"/>
    <w:rsid w:val="00FA2FCD"/>
    <w:rsid w:val="00FA3FA8"/>
    <w:rsid w:val="00FA4718"/>
    <w:rsid w:val="00FA6E64"/>
    <w:rsid w:val="00FB1DCD"/>
    <w:rsid w:val="00FB2F0E"/>
    <w:rsid w:val="00FB31CC"/>
    <w:rsid w:val="00FB4233"/>
    <w:rsid w:val="00FC05D1"/>
    <w:rsid w:val="00FC05EE"/>
    <w:rsid w:val="00FC2EC6"/>
    <w:rsid w:val="00FC339A"/>
    <w:rsid w:val="00FC36E0"/>
    <w:rsid w:val="00FC4E57"/>
    <w:rsid w:val="00FC546F"/>
    <w:rsid w:val="00FC6F5E"/>
    <w:rsid w:val="00FC711A"/>
    <w:rsid w:val="00FC7D31"/>
    <w:rsid w:val="00FD086C"/>
    <w:rsid w:val="00FD13AC"/>
    <w:rsid w:val="00FD1F83"/>
    <w:rsid w:val="00FD21EC"/>
    <w:rsid w:val="00FD2C5D"/>
    <w:rsid w:val="00FD2D28"/>
    <w:rsid w:val="00FD419A"/>
    <w:rsid w:val="00FD6BFE"/>
    <w:rsid w:val="00FE100C"/>
    <w:rsid w:val="00FE34B0"/>
    <w:rsid w:val="00FE3FF3"/>
    <w:rsid w:val="00FE6D8B"/>
    <w:rsid w:val="00FE735E"/>
    <w:rsid w:val="00FF05A6"/>
    <w:rsid w:val="00FF0C57"/>
    <w:rsid w:val="00FF459F"/>
    <w:rsid w:val="00FF4D4F"/>
    <w:rsid w:val="00FF7B22"/>
    <w:rsid w:val="00FF7DA7"/>
    <w:rsid w:val="011350E2"/>
    <w:rsid w:val="01C71842"/>
    <w:rsid w:val="01DB7756"/>
    <w:rsid w:val="02C55CE2"/>
    <w:rsid w:val="04A22402"/>
    <w:rsid w:val="05B05CF5"/>
    <w:rsid w:val="06BE7670"/>
    <w:rsid w:val="0996108C"/>
    <w:rsid w:val="09FA3101"/>
    <w:rsid w:val="0A173C4E"/>
    <w:rsid w:val="0A3A0FC1"/>
    <w:rsid w:val="0A5A0A93"/>
    <w:rsid w:val="0AF2333E"/>
    <w:rsid w:val="0C75785E"/>
    <w:rsid w:val="0C8156EF"/>
    <w:rsid w:val="0D8306DA"/>
    <w:rsid w:val="0DEC4CE2"/>
    <w:rsid w:val="0EBA544D"/>
    <w:rsid w:val="0ECC7647"/>
    <w:rsid w:val="0F926863"/>
    <w:rsid w:val="10CA097B"/>
    <w:rsid w:val="121F43A6"/>
    <w:rsid w:val="13366AC0"/>
    <w:rsid w:val="138163F3"/>
    <w:rsid w:val="13980AA7"/>
    <w:rsid w:val="13A06A3D"/>
    <w:rsid w:val="15140FBE"/>
    <w:rsid w:val="15D17ED7"/>
    <w:rsid w:val="18535ACE"/>
    <w:rsid w:val="189C609B"/>
    <w:rsid w:val="18CB478C"/>
    <w:rsid w:val="1A113708"/>
    <w:rsid w:val="1E2738D9"/>
    <w:rsid w:val="1E2A20DD"/>
    <w:rsid w:val="1E834869"/>
    <w:rsid w:val="24CA4DE9"/>
    <w:rsid w:val="24FB55B8"/>
    <w:rsid w:val="255C6984"/>
    <w:rsid w:val="25E31BD2"/>
    <w:rsid w:val="27D755FE"/>
    <w:rsid w:val="27FC3B0B"/>
    <w:rsid w:val="2FD748B8"/>
    <w:rsid w:val="31F2634A"/>
    <w:rsid w:val="32496FF6"/>
    <w:rsid w:val="34612C8C"/>
    <w:rsid w:val="35A95EE8"/>
    <w:rsid w:val="36F85E93"/>
    <w:rsid w:val="372D7B23"/>
    <w:rsid w:val="38595265"/>
    <w:rsid w:val="3A6846FE"/>
    <w:rsid w:val="3BFE0A19"/>
    <w:rsid w:val="3CE34982"/>
    <w:rsid w:val="41464679"/>
    <w:rsid w:val="43A00825"/>
    <w:rsid w:val="46020C7E"/>
    <w:rsid w:val="48D844FC"/>
    <w:rsid w:val="49E6667F"/>
    <w:rsid w:val="49FC11EF"/>
    <w:rsid w:val="4C7565B0"/>
    <w:rsid w:val="4D8212ED"/>
    <w:rsid w:val="4DAB50F5"/>
    <w:rsid w:val="4E5B2F68"/>
    <w:rsid w:val="4F8B568E"/>
    <w:rsid w:val="50D32D84"/>
    <w:rsid w:val="5489003F"/>
    <w:rsid w:val="55DC71B3"/>
    <w:rsid w:val="57265A8F"/>
    <w:rsid w:val="58374EE2"/>
    <w:rsid w:val="58BA2118"/>
    <w:rsid w:val="5A350640"/>
    <w:rsid w:val="5ADD112C"/>
    <w:rsid w:val="5CD22158"/>
    <w:rsid w:val="5EB61894"/>
    <w:rsid w:val="602C6657"/>
    <w:rsid w:val="607D0DDD"/>
    <w:rsid w:val="63912FD4"/>
    <w:rsid w:val="64F56261"/>
    <w:rsid w:val="653B2BC7"/>
    <w:rsid w:val="66F24F24"/>
    <w:rsid w:val="691D2203"/>
    <w:rsid w:val="69FA3159"/>
    <w:rsid w:val="6A851DDF"/>
    <w:rsid w:val="6AE53213"/>
    <w:rsid w:val="6B1153D8"/>
    <w:rsid w:val="6C5042C3"/>
    <w:rsid w:val="6CB71B24"/>
    <w:rsid w:val="6D61605E"/>
    <w:rsid w:val="6D9510D7"/>
    <w:rsid w:val="6EEC1689"/>
    <w:rsid w:val="6EED3D0C"/>
    <w:rsid w:val="6F995A94"/>
    <w:rsid w:val="709D257B"/>
    <w:rsid w:val="711A16AE"/>
    <w:rsid w:val="711D1E91"/>
    <w:rsid w:val="72E67484"/>
    <w:rsid w:val="765740AC"/>
    <w:rsid w:val="77EC4F69"/>
    <w:rsid w:val="79FF0516"/>
    <w:rsid w:val="7D655204"/>
    <w:rsid w:val="7ED75DB4"/>
    <w:rsid w:val="7F71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40"/>
    <w:unhideWhenUsed/>
    <w:qFormat/>
    <w:uiPriority w:val="9"/>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szCs w:val="20"/>
    </w:rPr>
  </w:style>
  <w:style w:type="paragraph" w:styleId="6">
    <w:name w:val="Document Map"/>
    <w:basedOn w:val="1"/>
    <w:link w:val="37"/>
    <w:unhideWhenUsed/>
    <w:qFormat/>
    <w:uiPriority w:val="99"/>
    <w:rPr>
      <w:rFonts w:ascii="宋体"/>
      <w:sz w:val="18"/>
      <w:szCs w:val="18"/>
    </w:rPr>
  </w:style>
  <w:style w:type="paragraph" w:styleId="7">
    <w:name w:val="annotation text"/>
    <w:basedOn w:val="1"/>
    <w:link w:val="33"/>
    <w:unhideWhenUsed/>
    <w:qFormat/>
    <w:uiPriority w:val="0"/>
    <w:pPr>
      <w:jc w:val="left"/>
    </w:pPr>
  </w:style>
  <w:style w:type="paragraph" w:styleId="8">
    <w:name w:val="Balloon Text"/>
    <w:basedOn w:val="1"/>
    <w:semiHidden/>
    <w:qFormat/>
    <w:uiPriority w:val="0"/>
    <w:rPr>
      <w:sz w:val="18"/>
      <w:szCs w:val="18"/>
    </w:rPr>
  </w:style>
  <w:style w:type="paragraph" w:styleId="9">
    <w:name w:val="footer"/>
    <w:basedOn w:val="1"/>
    <w:link w:val="38"/>
    <w:unhideWhenUsed/>
    <w:qFormat/>
    <w:uiPriority w:val="99"/>
    <w:pPr>
      <w:tabs>
        <w:tab w:val="center" w:pos="4153"/>
        <w:tab w:val="right" w:pos="8306"/>
      </w:tabs>
      <w:snapToGrid w:val="0"/>
      <w:jc w:val="left"/>
    </w:pPr>
    <w:rPr>
      <w:kern w:val="0"/>
      <w:sz w:val="18"/>
      <w:szCs w:val="18"/>
    </w:rPr>
  </w:style>
  <w:style w:type="paragraph" w:styleId="10">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style>
  <w:style w:type="paragraph" w:styleId="12">
    <w:name w:val="Subtitle"/>
    <w:basedOn w:val="1"/>
    <w:next w:val="1"/>
    <w:link w:val="36"/>
    <w:qFormat/>
    <w:uiPriority w:val="0"/>
    <w:pPr>
      <w:spacing w:before="240" w:after="60" w:line="312" w:lineRule="auto"/>
      <w:jc w:val="center"/>
      <w:outlineLvl w:val="1"/>
    </w:pPr>
    <w:rPr>
      <w:rFonts w:ascii="Cambria" w:hAnsi="Cambria"/>
      <w:b/>
      <w:bCs/>
      <w:kern w:val="28"/>
      <w:sz w:val="32"/>
      <w:szCs w:val="32"/>
    </w:rPr>
  </w:style>
  <w:style w:type="paragraph" w:styleId="13">
    <w:name w:val="toc 2"/>
    <w:basedOn w:val="1"/>
    <w:next w:val="1"/>
    <w:unhideWhenUsed/>
    <w:qFormat/>
    <w:uiPriority w:val="39"/>
    <w:pPr>
      <w:ind w:left="480" w:leftChars="200"/>
    </w:pPr>
  </w:style>
  <w:style w:type="paragraph" w:styleId="14">
    <w:name w:val="annotation subject"/>
    <w:basedOn w:val="7"/>
    <w:next w:val="7"/>
    <w:link w:val="34"/>
    <w:unhideWhenUsed/>
    <w:qFormat/>
    <w:uiPriority w:val="99"/>
    <w:rPr>
      <w:b/>
      <w:bCs/>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
    <w:name w:val="Light Shading Accent 5"/>
    <w:basedOn w:val="1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9">
    <w:name w:val="FollowedHyperlink"/>
    <w:semiHidden/>
    <w:unhideWhenUsed/>
    <w:qFormat/>
    <w:uiPriority w:val="99"/>
    <w:rPr>
      <w:color w:val="800080"/>
      <w:u w:val="single"/>
    </w:rPr>
  </w:style>
  <w:style w:type="character" w:styleId="20">
    <w:name w:val="Hyperlink"/>
    <w:unhideWhenUsed/>
    <w:qFormat/>
    <w:uiPriority w:val="99"/>
    <w:rPr>
      <w:color w:val="0000FF"/>
      <w:u w:val="single"/>
    </w:rPr>
  </w:style>
  <w:style w:type="character" w:styleId="21">
    <w:name w:val="annotation reference"/>
    <w:unhideWhenUsed/>
    <w:qFormat/>
    <w:uiPriority w:val="0"/>
    <w:rPr>
      <w:sz w:val="21"/>
      <w:szCs w:val="21"/>
    </w:rPr>
  </w:style>
  <w:style w:type="paragraph" w:customStyle="1" w:styleId="22">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3">
    <w:name w:val="XBRLTitle6"/>
    <w:basedOn w:val="12"/>
    <w:next w:val="4"/>
    <w:qFormat/>
    <w:uiPriority w:val="0"/>
    <w:pPr>
      <w:keepNext/>
      <w:keepLines/>
      <w:numPr>
        <w:ilvl w:val="5"/>
        <w:numId w:val="1"/>
      </w:numPr>
      <w:ind w:left="0" w:firstLine="0"/>
      <w:jc w:val="left"/>
    </w:pPr>
    <w:rPr>
      <w:bCs w:val="0"/>
      <w:sz w:val="24"/>
    </w:rPr>
  </w:style>
  <w:style w:type="paragraph" w:customStyle="1" w:styleId="24">
    <w:name w:val="_Style 21"/>
    <w:semiHidden/>
    <w:qFormat/>
    <w:uiPriority w:val="99"/>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7">
    <w:name w:val="XBRLTitle2"/>
    <w:basedOn w:val="12"/>
    <w:next w:val="4"/>
    <w:qFormat/>
    <w:uiPriority w:val="0"/>
    <w:pPr>
      <w:keepNext/>
      <w:keepLines/>
      <w:numPr>
        <w:ilvl w:val="1"/>
        <w:numId w:val="1"/>
      </w:numPr>
      <w:jc w:val="left"/>
    </w:pPr>
    <w:rPr>
      <w:bCs w:val="0"/>
      <w:sz w:val="24"/>
    </w:rPr>
  </w:style>
  <w:style w:type="paragraph" w:customStyle="1" w:styleId="28">
    <w:name w:val="XBRLTitle3"/>
    <w:basedOn w:val="12"/>
    <w:next w:val="4"/>
    <w:qFormat/>
    <w:uiPriority w:val="0"/>
    <w:pPr>
      <w:keepNext/>
      <w:keepLines/>
      <w:numPr>
        <w:ilvl w:val="2"/>
        <w:numId w:val="1"/>
      </w:numPr>
      <w:ind w:left="0" w:firstLine="0"/>
      <w:jc w:val="left"/>
    </w:pPr>
    <w:rPr>
      <w:bCs w:val="0"/>
      <w:sz w:val="24"/>
    </w:rPr>
  </w:style>
  <w:style w:type="paragraph" w:customStyle="1" w:styleId="29">
    <w:name w:val="XBRLTitle5"/>
    <w:basedOn w:val="12"/>
    <w:next w:val="4"/>
    <w:qFormat/>
    <w:uiPriority w:val="0"/>
    <w:pPr>
      <w:keepNext/>
      <w:keepLines/>
      <w:numPr>
        <w:ilvl w:val="4"/>
        <w:numId w:val="1"/>
      </w:numPr>
      <w:ind w:left="0" w:firstLine="0"/>
      <w:jc w:val="left"/>
    </w:pPr>
    <w:rPr>
      <w:bCs w:val="0"/>
      <w:sz w:val="24"/>
    </w:rPr>
  </w:style>
  <w:style w:type="paragraph" w:customStyle="1" w:styleId="30">
    <w:name w:val="XBRLTitle4"/>
    <w:basedOn w:val="12"/>
    <w:next w:val="4"/>
    <w:qFormat/>
    <w:uiPriority w:val="0"/>
    <w:pPr>
      <w:keepNext/>
      <w:keepLines/>
      <w:numPr>
        <w:ilvl w:val="3"/>
        <w:numId w:val="1"/>
      </w:numPr>
      <w:ind w:left="0" w:firstLine="0"/>
      <w:jc w:val="left"/>
    </w:pPr>
    <w:rPr>
      <w:bCs w:val="0"/>
      <w:sz w:val="24"/>
    </w:rPr>
  </w:style>
  <w:style w:type="character" w:customStyle="1" w:styleId="31">
    <w:name w:val="副标题 Char1"/>
    <w:qFormat/>
    <w:uiPriority w:val="0"/>
    <w:rPr>
      <w:rFonts w:ascii="Cambria" w:hAnsi="Cambria"/>
      <w:b/>
      <w:kern w:val="28"/>
      <w:sz w:val="24"/>
      <w:szCs w:val="32"/>
    </w:rPr>
  </w:style>
  <w:style w:type="character" w:customStyle="1" w:styleId="32">
    <w:name w:val="txtcontent11"/>
    <w:qFormat/>
    <w:uiPriority w:val="0"/>
    <w:rPr>
      <w:rFonts w:hint="default" w:ascii="ˎ̥" w:hAnsi="ˎ̥"/>
      <w:color w:val="000000"/>
      <w:sz w:val="21"/>
      <w:szCs w:val="21"/>
    </w:rPr>
  </w:style>
  <w:style w:type="character" w:customStyle="1" w:styleId="33">
    <w:name w:val="批注文字 字符"/>
    <w:link w:val="7"/>
    <w:qFormat/>
    <w:uiPriority w:val="0"/>
    <w:rPr>
      <w:kern w:val="2"/>
      <w:sz w:val="21"/>
      <w:szCs w:val="22"/>
    </w:rPr>
  </w:style>
  <w:style w:type="character" w:customStyle="1" w:styleId="34">
    <w:name w:val="批注主题 字符"/>
    <w:link w:val="14"/>
    <w:semiHidden/>
    <w:qFormat/>
    <w:uiPriority w:val="99"/>
    <w:rPr>
      <w:b/>
      <w:bCs/>
      <w:kern w:val="2"/>
      <w:sz w:val="21"/>
      <w:szCs w:val="22"/>
    </w:rPr>
  </w:style>
  <w:style w:type="character" w:customStyle="1" w:styleId="35">
    <w:name w:val="页眉 字符"/>
    <w:link w:val="10"/>
    <w:qFormat/>
    <w:uiPriority w:val="99"/>
    <w:rPr>
      <w:sz w:val="18"/>
      <w:szCs w:val="18"/>
    </w:rPr>
  </w:style>
  <w:style w:type="character" w:customStyle="1" w:styleId="36">
    <w:name w:val="副标题 字符"/>
    <w:link w:val="12"/>
    <w:qFormat/>
    <w:uiPriority w:val="0"/>
    <w:rPr>
      <w:rFonts w:ascii="Cambria" w:hAnsi="Cambria" w:cs="Times New Roman"/>
      <w:b/>
      <w:bCs/>
      <w:kern w:val="28"/>
      <w:sz w:val="32"/>
      <w:szCs w:val="32"/>
    </w:rPr>
  </w:style>
  <w:style w:type="character" w:customStyle="1" w:styleId="37">
    <w:name w:val="文档结构图 字符"/>
    <w:link w:val="6"/>
    <w:semiHidden/>
    <w:qFormat/>
    <w:uiPriority w:val="99"/>
    <w:rPr>
      <w:rFonts w:ascii="宋体"/>
      <w:kern w:val="2"/>
      <w:sz w:val="18"/>
      <w:szCs w:val="18"/>
    </w:rPr>
  </w:style>
  <w:style w:type="character" w:customStyle="1" w:styleId="38">
    <w:name w:val="页脚 字符"/>
    <w:link w:val="9"/>
    <w:qFormat/>
    <w:uiPriority w:val="99"/>
    <w:rPr>
      <w:sz w:val="18"/>
      <w:szCs w:val="18"/>
    </w:rPr>
  </w:style>
  <w:style w:type="character" w:customStyle="1" w:styleId="39">
    <w:name w:val="标题 2 字符"/>
    <w:link w:val="3"/>
    <w:semiHidden/>
    <w:qFormat/>
    <w:uiPriority w:val="9"/>
    <w:rPr>
      <w:rFonts w:ascii="Cambria" w:hAnsi="Cambria" w:eastAsia="宋体" w:cs="Times New Roman"/>
      <w:b/>
      <w:bCs/>
      <w:kern w:val="2"/>
      <w:sz w:val="32"/>
      <w:szCs w:val="32"/>
    </w:rPr>
  </w:style>
  <w:style w:type="character" w:customStyle="1" w:styleId="40">
    <w:name w:val="标题 4 字符"/>
    <w:link w:val="4"/>
    <w:semiHidden/>
    <w:qFormat/>
    <w:uiPriority w:val="9"/>
    <w:rPr>
      <w:rFonts w:ascii="Cambria" w:hAnsi="Cambria" w:eastAsia="宋体" w:cs="Times New Roman"/>
      <w:b/>
      <w:bCs/>
      <w:kern w:val="2"/>
      <w:sz w:val="28"/>
      <w:szCs w:val="28"/>
    </w:rPr>
  </w:style>
  <w:style w:type="character" w:customStyle="1" w:styleId="41">
    <w:name w:val="标题 1 字符"/>
    <w:link w:val="2"/>
    <w:qFormat/>
    <w:uiPriority w:val="9"/>
    <w:rPr>
      <w:b/>
      <w:bCs/>
      <w:kern w:val="44"/>
      <w:sz w:val="28"/>
      <w:szCs w:val="44"/>
    </w:rPr>
  </w:style>
  <w:style w:type="paragraph" w:customStyle="1" w:styleId="42">
    <w:name w:val="修订1"/>
    <w:hidden/>
    <w:semiHidden/>
    <w:qFormat/>
    <w:uiPriority w:val="99"/>
    <w:rPr>
      <w:rFonts w:ascii="Calibri" w:hAnsi="Calibri" w:eastAsia="宋体" w:cs="Times New Roman"/>
      <w:kern w:val="2"/>
      <w:sz w:val="21"/>
      <w:szCs w:val="22"/>
      <w:lang w:val="en-US" w:eastAsia="zh-CN" w:bidi="ar-SA"/>
    </w:rPr>
  </w:style>
  <w:style w:type="character" w:styleId="43">
    <w:name w:val="Placeholder Text"/>
    <w:basedOn w:val="18"/>
    <w:semiHidden/>
    <w:qFormat/>
    <w:uiPriority w:val="99"/>
    <w:rPr>
      <w:color w:val="808080"/>
    </w:rPr>
  </w:style>
  <w:style w:type="paragraph" w:styleId="44">
    <w:name w:val="List Paragraph"/>
    <w:basedOn w:val="1"/>
    <w:qFormat/>
    <w:uiPriority w:val="99"/>
    <w:pPr>
      <w:ind w:firstLine="420" w:firstLineChars="200"/>
    </w:pPr>
  </w:style>
  <w:style w:type="character" w:customStyle="1" w:styleId="45">
    <w:name w:val="read"/>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47E40-18F4-49DD-AACD-F1BE930F5E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137</Pages>
  <Words>15568</Words>
  <Characters>88738</Characters>
  <Lines>739</Lines>
  <Paragraphs>208</Paragraphs>
  <TotalTime>1</TotalTime>
  <ScaleCrop>false</ScaleCrop>
  <LinksUpToDate>false</LinksUpToDate>
  <CharactersWithSpaces>104098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2025-11-26T14:56:00Z</dcterms:created>
  <dc:creator>系统用户</dc:creator>
  <cp:lastModifiedBy>haotingting</cp:lastModifiedBy>
  <cp:lastPrinted>2023-10-16T03:15:00Z</cp:lastPrinted>
  <dcterms:modified xsi:type="dcterms:W3CDTF">2026-01-14T08:59:09Z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5E86B2CE186E4731B599F96E1DAAAE33</vt:lpwstr>
  </property>
</Properties>
</file>