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after="0"/>
        <w:jc w:val="center"/>
        <w:rPr>
          <w:rFonts w:hint="eastAsia" w:asciiTheme="minorEastAsia" w:hAnsiTheme="minorEastAsia" w:eastAsiaTheme="minorEastAsia"/>
          <w:color w:val="auto"/>
          <w:sz w:val="30"/>
        </w:rPr>
      </w:pPr>
      <w:r>
        <w:rPr>
          <w:rFonts w:hint="eastAsia" w:asciiTheme="minorEastAsia" w:hAnsiTheme="minorEastAsia" w:eastAsiaTheme="minorEastAsia"/>
          <w:color w:val="auto"/>
          <w:sz w:val="30"/>
        </w:rPr>
        <w:t>交银施罗德中证A500指数增强型发起式证券投资基金</w:t>
      </w:r>
    </w:p>
    <w:p>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rPr>
        <w:t>基金合同摘要</w:t>
      </w:r>
    </w:p>
    <w:p>
      <w:pPr>
        <w:spacing w:line="360" w:lineRule="auto"/>
        <w:ind w:firstLine="482" w:firstLineChars="200"/>
        <w:rPr>
          <w:rFonts w:hAnsi="宋体"/>
          <w:b/>
          <w:sz w:val="24"/>
          <w:szCs w:val="24"/>
        </w:rPr>
      </w:pPr>
    </w:p>
    <w:p>
      <w:pPr>
        <w:spacing w:line="360" w:lineRule="auto"/>
        <w:ind w:firstLine="482" w:firstLineChars="200"/>
        <w:rPr>
          <w:rFonts w:ascii="宋体" w:hAnsi="宋体"/>
          <w:b/>
          <w:sz w:val="24"/>
        </w:rPr>
      </w:pPr>
      <w:r>
        <w:rPr>
          <w:rFonts w:ascii="宋体" w:hAnsi="宋体"/>
          <w:b/>
          <w:sz w:val="24"/>
        </w:rPr>
        <w:t>一、基金管理人、基金托管人和基金份额持有人的权利、义务</w:t>
      </w:r>
    </w:p>
    <w:p>
      <w:pPr>
        <w:spacing w:line="360" w:lineRule="auto"/>
        <w:ind w:firstLine="480" w:firstLineChars="200"/>
        <w:rPr>
          <w:rFonts w:ascii="宋体" w:hAnsi="宋体"/>
          <w:bCs/>
          <w:sz w:val="24"/>
        </w:rPr>
      </w:pPr>
      <w:r>
        <w:rPr>
          <w:rFonts w:ascii="宋体" w:hAnsi="宋体"/>
          <w:bCs/>
          <w:sz w:val="24"/>
        </w:rPr>
        <w:t>（一）</w:t>
      </w:r>
      <w:r>
        <w:rPr>
          <w:rFonts w:ascii="宋体" w:hAnsi="宋体"/>
          <w:bCs/>
          <w:sz w:val="24"/>
        </w:rPr>
        <w:tab/>
      </w:r>
      <w:r>
        <w:rPr>
          <w:rFonts w:ascii="宋体" w:hAnsi="宋体"/>
          <w:bCs/>
          <w:sz w:val="24"/>
        </w:rPr>
        <w:t>基金管理人的权利</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根据《基金法》、《运作办法》及其他有关规定，基金管理人的权利包括但不限于：</w:t>
      </w:r>
    </w:p>
    <w:p>
      <w:pPr>
        <w:spacing w:line="440" w:lineRule="atLeast"/>
        <w:ind w:firstLine="480" w:firstLineChars="200"/>
        <w:rPr>
          <w:bCs/>
          <w:sz w:val="24"/>
        </w:rPr>
      </w:pPr>
      <w:r>
        <w:rPr>
          <w:rFonts w:hint="eastAsia"/>
          <w:bCs/>
          <w:sz w:val="24"/>
        </w:rPr>
        <w:t>（1）依法募集资金；</w:t>
      </w:r>
    </w:p>
    <w:p>
      <w:pPr>
        <w:spacing w:line="440" w:lineRule="atLeast"/>
        <w:ind w:firstLine="480" w:firstLineChars="200"/>
        <w:rPr>
          <w:bCs/>
          <w:sz w:val="24"/>
        </w:rPr>
      </w:pPr>
      <w:r>
        <w:rPr>
          <w:rFonts w:hint="eastAsia"/>
          <w:bCs/>
          <w:sz w:val="24"/>
        </w:rPr>
        <w:t>（2）自《基金合同》生效之日起，根据法律法规和《基金合同》独立运用并管理基金财产；</w:t>
      </w:r>
    </w:p>
    <w:p>
      <w:pPr>
        <w:spacing w:line="440" w:lineRule="atLeast"/>
        <w:ind w:firstLine="480" w:firstLineChars="200"/>
        <w:rPr>
          <w:bCs/>
          <w:sz w:val="24"/>
        </w:rPr>
      </w:pPr>
      <w:r>
        <w:rPr>
          <w:rFonts w:hint="eastAsia"/>
          <w:bCs/>
          <w:sz w:val="24"/>
        </w:rPr>
        <w:t>（3）依照《基金合同》收取基金管理费以及法律法规规定或中国证监会批准的其他费用；</w:t>
      </w:r>
    </w:p>
    <w:p>
      <w:pPr>
        <w:spacing w:line="440" w:lineRule="atLeast"/>
        <w:ind w:firstLine="480" w:firstLineChars="200"/>
        <w:rPr>
          <w:bCs/>
          <w:sz w:val="24"/>
        </w:rPr>
      </w:pPr>
      <w:r>
        <w:rPr>
          <w:rFonts w:hint="eastAsia"/>
          <w:bCs/>
          <w:sz w:val="24"/>
        </w:rPr>
        <w:t>（4）销售基金份额；</w:t>
      </w:r>
    </w:p>
    <w:p>
      <w:pPr>
        <w:spacing w:line="440" w:lineRule="atLeast"/>
        <w:ind w:firstLine="480" w:firstLineChars="200"/>
        <w:rPr>
          <w:bCs/>
          <w:sz w:val="24"/>
        </w:rPr>
      </w:pPr>
      <w:r>
        <w:rPr>
          <w:rFonts w:hint="eastAsia"/>
          <w:bCs/>
          <w:sz w:val="24"/>
        </w:rPr>
        <w:t>（5）按照规定召集基金份额持有人大会；</w:t>
      </w:r>
    </w:p>
    <w:p>
      <w:pPr>
        <w:spacing w:line="440" w:lineRule="atLeast"/>
        <w:ind w:firstLine="480" w:firstLineChars="200"/>
        <w:rPr>
          <w:bCs/>
          <w:sz w:val="24"/>
        </w:rPr>
      </w:pPr>
      <w:r>
        <w:rPr>
          <w:rFonts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440" w:lineRule="atLeast"/>
        <w:ind w:firstLine="480" w:firstLineChars="200"/>
        <w:rPr>
          <w:bCs/>
          <w:sz w:val="24"/>
        </w:rPr>
      </w:pPr>
      <w:r>
        <w:rPr>
          <w:rFonts w:hint="eastAsia"/>
          <w:bCs/>
          <w:sz w:val="24"/>
        </w:rPr>
        <w:t>（7）在基金托管人更换时，提名新的基金托管人；</w:t>
      </w:r>
    </w:p>
    <w:p>
      <w:pPr>
        <w:spacing w:line="440" w:lineRule="atLeast"/>
        <w:ind w:firstLine="480" w:firstLineChars="200"/>
        <w:rPr>
          <w:bCs/>
          <w:sz w:val="24"/>
        </w:rPr>
      </w:pPr>
      <w:r>
        <w:rPr>
          <w:rFonts w:hint="eastAsia"/>
          <w:bCs/>
          <w:sz w:val="24"/>
        </w:rPr>
        <w:t>（8）选择、更换基金销售机构，对基金销售机构的相关行为进行监督和处理；</w:t>
      </w:r>
    </w:p>
    <w:p>
      <w:pPr>
        <w:spacing w:line="440" w:lineRule="atLeast"/>
        <w:ind w:firstLine="480" w:firstLineChars="200"/>
        <w:rPr>
          <w:bCs/>
          <w:sz w:val="24"/>
        </w:rPr>
      </w:pPr>
      <w:r>
        <w:rPr>
          <w:rFonts w:hint="eastAsia"/>
          <w:bCs/>
          <w:sz w:val="24"/>
        </w:rPr>
        <w:t>（9）担任或委托其他符合条件的机构担任基金登记机构办理基金登记业务并获得《基金合同》规定的费用；</w:t>
      </w:r>
    </w:p>
    <w:p>
      <w:pPr>
        <w:spacing w:line="440" w:lineRule="atLeast"/>
        <w:ind w:firstLine="480" w:firstLineChars="200"/>
        <w:rPr>
          <w:bCs/>
          <w:sz w:val="24"/>
        </w:rPr>
      </w:pPr>
      <w:r>
        <w:rPr>
          <w:rFonts w:hint="eastAsia"/>
          <w:bCs/>
          <w:sz w:val="24"/>
        </w:rPr>
        <w:t>（10）依据《基金合同》及有关法律规定决定基金收益的分配方案；</w:t>
      </w:r>
    </w:p>
    <w:p>
      <w:pPr>
        <w:spacing w:line="440" w:lineRule="atLeast"/>
        <w:ind w:firstLine="480" w:firstLineChars="200"/>
        <w:rPr>
          <w:bCs/>
          <w:sz w:val="24"/>
        </w:rPr>
      </w:pPr>
      <w:r>
        <w:rPr>
          <w:rFonts w:hint="eastAsia"/>
          <w:bCs/>
          <w:sz w:val="24"/>
        </w:rPr>
        <w:t>（11）在《基金合同》约定的范围内，拒绝或暂停受理申购与赎回申请；</w:t>
      </w:r>
    </w:p>
    <w:p>
      <w:pPr>
        <w:spacing w:line="440" w:lineRule="atLeast"/>
        <w:ind w:firstLine="480" w:firstLineChars="200"/>
        <w:rPr>
          <w:bCs/>
          <w:sz w:val="24"/>
        </w:rPr>
      </w:pPr>
      <w:r>
        <w:rPr>
          <w:rFonts w:hint="eastAsia"/>
          <w:bCs/>
          <w:sz w:val="24"/>
        </w:rPr>
        <w:t>（12）依照法律法规为基金的利益对被投资公司行使股东权利，为基金的利益行使因基金财产投资于证券所产生的权利；</w:t>
      </w:r>
    </w:p>
    <w:p>
      <w:pPr>
        <w:spacing w:line="440" w:lineRule="atLeast"/>
        <w:ind w:firstLine="480" w:firstLineChars="200"/>
        <w:rPr>
          <w:bCs/>
          <w:sz w:val="24"/>
        </w:rPr>
      </w:pPr>
      <w:r>
        <w:rPr>
          <w:rFonts w:hint="eastAsia"/>
          <w:bCs/>
          <w:sz w:val="24"/>
        </w:rPr>
        <w:t>（13）在法律法规允许的前提下，为基金的利益依法为基金进行融资及转融通证券出借业务；</w:t>
      </w:r>
    </w:p>
    <w:p>
      <w:pPr>
        <w:spacing w:line="440" w:lineRule="atLeast"/>
        <w:ind w:firstLine="480" w:firstLineChars="200"/>
        <w:rPr>
          <w:bCs/>
          <w:sz w:val="24"/>
        </w:rPr>
      </w:pPr>
      <w:r>
        <w:rPr>
          <w:rFonts w:hint="eastAsia"/>
          <w:bCs/>
          <w:sz w:val="24"/>
        </w:rPr>
        <w:t>（14）以基金管理人的名义，代表基金份额持有人的利益行使诉讼权利或者实施其他法律行为；</w:t>
      </w:r>
      <w:r>
        <w:rPr>
          <w:rFonts w:hint="eastAsia"/>
          <w:bCs/>
          <w:sz w:val="24"/>
        </w:rPr>
        <w:tab/>
      </w:r>
    </w:p>
    <w:p>
      <w:pPr>
        <w:spacing w:line="440" w:lineRule="atLeast"/>
        <w:ind w:firstLine="480" w:firstLineChars="200"/>
        <w:rPr>
          <w:bCs/>
          <w:sz w:val="24"/>
        </w:rPr>
      </w:pPr>
      <w:r>
        <w:rPr>
          <w:rFonts w:hint="eastAsia"/>
          <w:bCs/>
          <w:sz w:val="24"/>
        </w:rPr>
        <w:t>（15）选择、更换律师事务所、会计师事务所、证券经纪商、期货经纪机构或其他为基金提供服务的外部机构；</w:t>
      </w:r>
      <w:r>
        <w:rPr>
          <w:rFonts w:hint="eastAsia"/>
          <w:bCs/>
          <w:sz w:val="24"/>
        </w:rPr>
        <w:tab/>
      </w:r>
    </w:p>
    <w:p>
      <w:pPr>
        <w:spacing w:line="440" w:lineRule="atLeast"/>
        <w:ind w:firstLine="480" w:firstLineChars="200"/>
        <w:rPr>
          <w:bCs/>
          <w:sz w:val="24"/>
        </w:rPr>
      </w:pPr>
      <w:r>
        <w:rPr>
          <w:rFonts w:hint="eastAsia"/>
          <w:bCs/>
          <w:sz w:val="24"/>
        </w:rPr>
        <w:t>（16）在符合有关法律、法规的前提下，制定和调整有关基金认购、申购、赎回、转换等的业务规则；</w:t>
      </w:r>
    </w:p>
    <w:p>
      <w:pPr>
        <w:spacing w:line="440" w:lineRule="atLeast"/>
        <w:ind w:firstLine="480" w:firstLineChars="200"/>
        <w:rPr>
          <w:bCs/>
          <w:sz w:val="24"/>
        </w:rPr>
      </w:pPr>
      <w:r>
        <w:rPr>
          <w:rFonts w:hint="eastAsia"/>
          <w:bCs/>
          <w:sz w:val="24"/>
        </w:rPr>
        <w:t>（17）法律法规及中国证监会规定的和《基金合同》约定的其他权利。</w:t>
      </w:r>
    </w:p>
    <w:p>
      <w:pPr>
        <w:spacing w:line="360" w:lineRule="auto"/>
        <w:ind w:firstLine="480" w:firstLineChars="200"/>
        <w:rPr>
          <w:rFonts w:ascii="宋体" w:hAnsi="宋体"/>
          <w:bCs/>
          <w:sz w:val="24"/>
        </w:rPr>
      </w:pPr>
      <w:r>
        <w:rPr>
          <w:rFonts w:ascii="宋体" w:hAnsi="宋体"/>
          <w:bCs/>
          <w:sz w:val="24"/>
        </w:rPr>
        <w:t>（二）基金管理人的义务</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根据《基金法》、《运作办法》及其他有关规定，基金管理人的义务包括但不限于：</w:t>
      </w:r>
    </w:p>
    <w:p>
      <w:pPr>
        <w:spacing w:line="360" w:lineRule="auto"/>
        <w:ind w:firstLine="480" w:firstLineChars="200"/>
        <w:rPr>
          <w:rFonts w:ascii="宋体" w:hAnsi="宋体"/>
          <w:bCs/>
          <w:sz w:val="24"/>
        </w:rPr>
      </w:pPr>
      <w:r>
        <w:rPr>
          <w:rFonts w:hint="eastAsia" w:ascii="宋体" w:hAnsi="宋体"/>
          <w:bCs/>
          <w:sz w:val="24"/>
        </w:rPr>
        <w:t>（1）依法募集资金，办理或者委托经中国证监会认定的其他机构办理基金份额的发售、申购、赎回和登记事宜；</w:t>
      </w:r>
    </w:p>
    <w:p>
      <w:pPr>
        <w:spacing w:line="360" w:lineRule="auto"/>
        <w:ind w:firstLine="480" w:firstLineChars="200"/>
        <w:rPr>
          <w:rFonts w:ascii="宋体" w:hAnsi="宋体"/>
          <w:bCs/>
          <w:sz w:val="24"/>
        </w:rPr>
      </w:pPr>
      <w:r>
        <w:rPr>
          <w:rFonts w:hint="eastAsia" w:ascii="宋体" w:hAnsi="宋体"/>
          <w:bCs/>
          <w:sz w:val="24"/>
        </w:rPr>
        <w:t>（2）办理基金备案手续；</w:t>
      </w:r>
    </w:p>
    <w:p>
      <w:pPr>
        <w:spacing w:line="360" w:lineRule="auto"/>
        <w:ind w:firstLine="480" w:firstLineChars="200"/>
        <w:rPr>
          <w:rFonts w:ascii="宋体" w:hAnsi="宋体"/>
          <w:bCs/>
          <w:sz w:val="24"/>
        </w:rPr>
      </w:pPr>
      <w:r>
        <w:rPr>
          <w:rFonts w:hint="eastAsia" w:ascii="宋体" w:hAnsi="宋体"/>
          <w:bCs/>
          <w:sz w:val="24"/>
        </w:rPr>
        <w:t>（3）自《基金合同》生效之日起，以诚实信用、谨慎勤勉的原则管理和运用基金财产；</w:t>
      </w:r>
    </w:p>
    <w:p>
      <w:pPr>
        <w:spacing w:line="360" w:lineRule="auto"/>
        <w:ind w:firstLine="480" w:firstLineChars="200"/>
        <w:rPr>
          <w:rFonts w:ascii="宋体" w:hAnsi="宋体"/>
          <w:bCs/>
          <w:sz w:val="24"/>
        </w:rPr>
      </w:pPr>
      <w:r>
        <w:rPr>
          <w:rFonts w:hint="eastAsia" w:ascii="宋体" w:hAnsi="宋体"/>
          <w:bCs/>
          <w:sz w:val="24"/>
        </w:rPr>
        <w:t>（4）配备足够的具有专业资格的人员进行基金投资分析、决策，以专业化的经营方式管理和运作基金财产；</w:t>
      </w:r>
    </w:p>
    <w:p>
      <w:pPr>
        <w:spacing w:line="360" w:lineRule="auto"/>
        <w:ind w:firstLine="480" w:firstLineChars="200"/>
        <w:rPr>
          <w:rFonts w:ascii="宋体" w:hAnsi="宋体"/>
          <w:bCs/>
          <w:sz w:val="24"/>
        </w:rPr>
      </w:pPr>
      <w:r>
        <w:rPr>
          <w:rFonts w:hint="eastAsia" w:ascii="宋体" w:hAnsi="宋体"/>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ascii="宋体" w:hAnsi="宋体"/>
          <w:bCs/>
          <w:sz w:val="24"/>
        </w:rPr>
      </w:pPr>
      <w:r>
        <w:rPr>
          <w:rFonts w:hint="eastAsia" w:ascii="宋体" w:hAnsi="宋体"/>
          <w:bCs/>
          <w:sz w:val="24"/>
        </w:rPr>
        <w:t>（6）除依据《基金法》、《基金合同》及其他有关规定外，不得利用基金财产为自己及任何第三人谋取利益，不得委托第三人运作基金财产；</w:t>
      </w:r>
    </w:p>
    <w:p>
      <w:pPr>
        <w:spacing w:line="360" w:lineRule="auto"/>
        <w:ind w:firstLine="480" w:firstLineChars="200"/>
        <w:rPr>
          <w:rFonts w:ascii="宋体" w:hAnsi="宋体"/>
          <w:bCs/>
          <w:sz w:val="24"/>
        </w:rPr>
      </w:pPr>
      <w:r>
        <w:rPr>
          <w:rFonts w:hint="eastAsia" w:ascii="宋体" w:hAnsi="宋体"/>
          <w:bCs/>
          <w:sz w:val="24"/>
        </w:rPr>
        <w:t>（7）依法接受基金托管人的监督；</w:t>
      </w:r>
    </w:p>
    <w:p>
      <w:pPr>
        <w:spacing w:line="360" w:lineRule="auto"/>
        <w:ind w:firstLine="480" w:firstLineChars="200"/>
        <w:rPr>
          <w:rFonts w:ascii="宋体" w:hAnsi="宋体"/>
          <w:bCs/>
          <w:sz w:val="24"/>
        </w:rPr>
      </w:pPr>
      <w:r>
        <w:rPr>
          <w:rFonts w:hint="eastAsia" w:ascii="宋体" w:hAnsi="宋体"/>
          <w:bCs/>
          <w:sz w:val="24"/>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80" w:firstLineChars="200"/>
        <w:rPr>
          <w:rFonts w:ascii="宋体" w:hAnsi="宋体"/>
          <w:bCs/>
          <w:sz w:val="24"/>
        </w:rPr>
      </w:pPr>
      <w:r>
        <w:rPr>
          <w:rFonts w:hint="eastAsia" w:ascii="宋体" w:hAnsi="宋体"/>
          <w:bCs/>
          <w:sz w:val="24"/>
        </w:rPr>
        <w:t>（9）进行基金会计核算并编制基金财务会计报告；</w:t>
      </w:r>
    </w:p>
    <w:p>
      <w:pPr>
        <w:spacing w:line="360" w:lineRule="auto"/>
        <w:ind w:firstLine="480" w:firstLineChars="200"/>
        <w:rPr>
          <w:rFonts w:ascii="宋体" w:hAnsi="宋体"/>
          <w:bCs/>
          <w:sz w:val="24"/>
        </w:rPr>
      </w:pPr>
      <w:r>
        <w:rPr>
          <w:rFonts w:hint="eastAsia" w:ascii="宋体" w:hAnsi="宋体"/>
          <w:bCs/>
          <w:sz w:val="24"/>
        </w:rPr>
        <w:t>（10）编制季度报告、中期报告和年度报告；</w:t>
      </w:r>
    </w:p>
    <w:p>
      <w:pPr>
        <w:spacing w:line="360" w:lineRule="auto"/>
        <w:ind w:firstLine="480" w:firstLineChars="200"/>
        <w:rPr>
          <w:rFonts w:ascii="宋体" w:hAnsi="宋体"/>
          <w:bCs/>
          <w:sz w:val="24"/>
        </w:rPr>
      </w:pPr>
      <w:r>
        <w:rPr>
          <w:rFonts w:hint="eastAsia" w:ascii="宋体" w:hAnsi="宋体"/>
          <w:bCs/>
          <w:sz w:val="24"/>
        </w:rPr>
        <w:t>（11）严格按照《基金法》、《基金合同》及其他有关规定，履行信息披露及报告义务；</w:t>
      </w:r>
    </w:p>
    <w:p>
      <w:pPr>
        <w:spacing w:line="360" w:lineRule="auto"/>
        <w:ind w:firstLine="480" w:firstLineChars="200"/>
        <w:rPr>
          <w:rFonts w:ascii="宋体" w:hAnsi="宋体"/>
          <w:bCs/>
          <w:sz w:val="24"/>
        </w:rPr>
      </w:pPr>
      <w:r>
        <w:rPr>
          <w:rFonts w:hint="eastAsia" w:ascii="宋体" w:hAnsi="宋体"/>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spacing w:line="360" w:lineRule="auto"/>
        <w:ind w:firstLine="480" w:firstLineChars="200"/>
        <w:rPr>
          <w:rFonts w:ascii="宋体" w:hAnsi="宋体"/>
          <w:bCs/>
          <w:sz w:val="24"/>
        </w:rPr>
      </w:pPr>
      <w:r>
        <w:rPr>
          <w:rFonts w:hint="eastAsia" w:ascii="宋体" w:hAnsi="宋体"/>
          <w:bCs/>
          <w:sz w:val="24"/>
        </w:rPr>
        <w:t>（13）按《基金合同》的约定确定基金收益分配方案，及时向基金份额持有人分配基金收益；</w:t>
      </w:r>
    </w:p>
    <w:p>
      <w:pPr>
        <w:spacing w:line="360" w:lineRule="auto"/>
        <w:ind w:firstLine="480" w:firstLineChars="200"/>
        <w:rPr>
          <w:rFonts w:ascii="宋体" w:hAnsi="宋体"/>
          <w:bCs/>
          <w:sz w:val="24"/>
        </w:rPr>
      </w:pPr>
      <w:r>
        <w:rPr>
          <w:rFonts w:hint="eastAsia" w:ascii="宋体" w:hAnsi="宋体"/>
          <w:bCs/>
          <w:sz w:val="24"/>
        </w:rPr>
        <w:t>（14）按规定受理申购与赎回申请，及时、足额支付赎回款项；</w:t>
      </w:r>
    </w:p>
    <w:p>
      <w:pPr>
        <w:spacing w:line="360" w:lineRule="auto"/>
        <w:ind w:firstLine="480" w:firstLineChars="200"/>
        <w:rPr>
          <w:rFonts w:ascii="宋体" w:hAnsi="宋体"/>
          <w:bCs/>
          <w:sz w:val="24"/>
        </w:rPr>
      </w:pPr>
      <w:r>
        <w:rPr>
          <w:rFonts w:hint="eastAsia" w:ascii="宋体" w:hAnsi="宋体"/>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ascii="宋体" w:hAnsi="宋体"/>
          <w:bCs/>
          <w:sz w:val="24"/>
        </w:rPr>
      </w:pPr>
      <w:r>
        <w:rPr>
          <w:rFonts w:hint="eastAsia" w:ascii="宋体" w:hAnsi="宋体"/>
          <w:bCs/>
          <w:sz w:val="24"/>
        </w:rPr>
        <w:t>（16）按规定保存基金财产管理业务活动的会计账册、报表、记录和其他相关资料不低于法律法规规定的最低期限；</w:t>
      </w:r>
    </w:p>
    <w:p>
      <w:pPr>
        <w:spacing w:line="360" w:lineRule="auto"/>
        <w:ind w:firstLine="480" w:firstLineChars="200"/>
        <w:rPr>
          <w:rFonts w:ascii="宋体" w:hAnsi="宋体"/>
          <w:bCs/>
          <w:sz w:val="24"/>
        </w:rPr>
      </w:pPr>
      <w:r>
        <w:rPr>
          <w:rFonts w:hint="eastAsia"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ascii="宋体" w:hAnsi="宋体"/>
          <w:bCs/>
          <w:sz w:val="24"/>
        </w:rPr>
      </w:pPr>
      <w:r>
        <w:rPr>
          <w:rFonts w:hint="eastAsia" w:ascii="宋体" w:hAnsi="宋体"/>
          <w:bCs/>
          <w:sz w:val="24"/>
        </w:rPr>
        <w:t>（18）组织并参加基金财产清算小组，参与基金财产的保管、清理、估价、变现和分配；</w:t>
      </w:r>
    </w:p>
    <w:p>
      <w:pPr>
        <w:spacing w:line="360" w:lineRule="auto"/>
        <w:ind w:firstLine="480" w:firstLineChars="200"/>
        <w:rPr>
          <w:rFonts w:ascii="宋体" w:hAnsi="宋体"/>
          <w:bCs/>
          <w:sz w:val="24"/>
        </w:rPr>
      </w:pPr>
      <w:r>
        <w:rPr>
          <w:rFonts w:hint="eastAsia" w:ascii="宋体" w:hAnsi="宋体"/>
          <w:bCs/>
          <w:sz w:val="24"/>
        </w:rPr>
        <w:t>（19）面临解散、依法被撤销或者被依法宣告破产时，及时报告中国证监会并通知基金托管人；</w:t>
      </w:r>
    </w:p>
    <w:p>
      <w:pPr>
        <w:spacing w:line="360" w:lineRule="auto"/>
        <w:ind w:firstLine="480" w:firstLineChars="200"/>
        <w:rPr>
          <w:rFonts w:ascii="宋体" w:hAnsi="宋体"/>
          <w:bCs/>
          <w:sz w:val="24"/>
        </w:rPr>
      </w:pPr>
      <w:r>
        <w:rPr>
          <w:rFonts w:hint="eastAsia" w:ascii="宋体" w:hAnsi="宋体"/>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ascii="宋体" w:hAnsi="宋体"/>
          <w:bCs/>
          <w:sz w:val="24"/>
        </w:rPr>
      </w:pPr>
      <w:r>
        <w:rPr>
          <w:rFonts w:hint="eastAsia" w:ascii="宋体" w:hAnsi="宋体"/>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ascii="宋体" w:hAnsi="宋体"/>
          <w:bCs/>
          <w:sz w:val="24"/>
        </w:rPr>
      </w:pPr>
      <w:r>
        <w:rPr>
          <w:rFonts w:hint="eastAsia" w:ascii="宋体" w:hAnsi="宋体"/>
          <w:bCs/>
          <w:sz w:val="24"/>
        </w:rPr>
        <w:t>（22）当基金管理人将其义务委托第三方处理时，应当对第三方处理有关基金事务的行为承担责任；</w:t>
      </w:r>
    </w:p>
    <w:p>
      <w:pPr>
        <w:spacing w:line="360" w:lineRule="auto"/>
        <w:ind w:firstLine="480" w:firstLineChars="200"/>
        <w:rPr>
          <w:rFonts w:ascii="宋体" w:hAnsi="宋体"/>
          <w:bCs/>
          <w:sz w:val="24"/>
        </w:rPr>
      </w:pPr>
      <w:r>
        <w:rPr>
          <w:rFonts w:hint="eastAsia" w:ascii="宋体" w:hAnsi="宋体"/>
          <w:bCs/>
          <w:sz w:val="24"/>
        </w:rPr>
        <w:t>（23）以基金管理人名义，代表基金份额持有人利益行使诉讼权利或实施其他法律行为；</w:t>
      </w:r>
      <w:r>
        <w:rPr>
          <w:rFonts w:hint="eastAsia" w:ascii="宋体" w:hAnsi="宋体"/>
          <w:bCs/>
          <w:sz w:val="24"/>
        </w:rPr>
        <w:tab/>
      </w:r>
    </w:p>
    <w:p>
      <w:pPr>
        <w:spacing w:line="360" w:lineRule="auto"/>
        <w:ind w:firstLine="480" w:firstLineChars="200"/>
        <w:rPr>
          <w:rFonts w:ascii="宋体" w:hAnsi="宋体"/>
          <w:bCs/>
          <w:sz w:val="24"/>
        </w:rPr>
      </w:pPr>
      <w:r>
        <w:rPr>
          <w:rFonts w:hint="eastAsia" w:ascii="宋体" w:hAnsi="宋体"/>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spacing w:line="360" w:lineRule="auto"/>
        <w:ind w:firstLine="480" w:firstLineChars="200"/>
        <w:rPr>
          <w:rFonts w:ascii="宋体" w:hAnsi="宋体"/>
          <w:bCs/>
          <w:sz w:val="24"/>
        </w:rPr>
      </w:pPr>
      <w:r>
        <w:rPr>
          <w:rFonts w:hint="eastAsia" w:ascii="宋体" w:hAnsi="宋体"/>
          <w:bCs/>
          <w:sz w:val="24"/>
        </w:rPr>
        <w:t>（25）执行生效的基金份额持有人大会的决议；</w:t>
      </w:r>
    </w:p>
    <w:p>
      <w:pPr>
        <w:spacing w:line="360" w:lineRule="auto"/>
        <w:ind w:firstLine="480" w:firstLineChars="200"/>
        <w:rPr>
          <w:rFonts w:ascii="宋体" w:hAnsi="宋体"/>
          <w:bCs/>
          <w:sz w:val="24"/>
        </w:rPr>
      </w:pPr>
      <w:r>
        <w:rPr>
          <w:rFonts w:hint="eastAsia" w:ascii="宋体" w:hAnsi="宋体"/>
          <w:bCs/>
          <w:sz w:val="24"/>
        </w:rPr>
        <w:t>（26）建立并保存基金份额持有人名册；</w:t>
      </w:r>
    </w:p>
    <w:p>
      <w:pPr>
        <w:spacing w:line="360" w:lineRule="auto"/>
        <w:ind w:firstLine="480" w:firstLineChars="200"/>
        <w:rPr>
          <w:bCs/>
          <w:sz w:val="24"/>
        </w:rPr>
      </w:pPr>
      <w:r>
        <w:rPr>
          <w:rFonts w:hint="eastAsia" w:ascii="宋体" w:hAnsi="宋体"/>
          <w:bCs/>
          <w:sz w:val="24"/>
        </w:rPr>
        <w:t>（27）法律法规及中国证监会规定的和《基金合同》约定的其他义务。</w:t>
      </w:r>
    </w:p>
    <w:p>
      <w:pPr>
        <w:spacing w:line="360" w:lineRule="auto"/>
        <w:ind w:firstLine="480" w:firstLineChars="200"/>
        <w:rPr>
          <w:rFonts w:ascii="宋体" w:hAnsi="宋体"/>
          <w:bCs/>
          <w:sz w:val="24"/>
        </w:rPr>
      </w:pPr>
      <w:r>
        <w:rPr>
          <w:rFonts w:hint="eastAsia" w:ascii="宋体" w:hAnsi="宋体"/>
          <w:sz w:val="24"/>
        </w:rPr>
        <w:t>（三）基金托管人的权利</w:t>
      </w:r>
    </w:p>
    <w:p>
      <w:pPr>
        <w:spacing w:line="360" w:lineRule="auto"/>
        <w:ind w:firstLine="480" w:firstLineChars="200"/>
        <w:rPr>
          <w:rFonts w:ascii="宋体" w:hAnsi="宋体"/>
          <w:sz w:val="24"/>
        </w:rPr>
      </w:pPr>
      <w:r>
        <w:rPr>
          <w:rFonts w:hint="eastAsia" w:ascii="宋体" w:hAnsi="宋体"/>
          <w:sz w:val="24"/>
        </w:rPr>
        <w:t>根据《基金法》、《运作办法》及其他有关规定，基金托管人的权利包括但不限于：</w:t>
      </w:r>
    </w:p>
    <w:p>
      <w:pPr>
        <w:spacing w:line="360" w:lineRule="auto"/>
        <w:ind w:firstLine="480" w:firstLineChars="200"/>
        <w:rPr>
          <w:rFonts w:ascii="宋体" w:hAnsi="宋体"/>
          <w:sz w:val="24"/>
        </w:rPr>
      </w:pPr>
      <w:r>
        <w:rPr>
          <w:rFonts w:hint="eastAsia" w:ascii="宋体" w:hAnsi="宋体"/>
          <w:sz w:val="24"/>
        </w:rPr>
        <w:t>（1）自《基金合同》生效之日起，依法律法规和《基金合同》的规定安全保管基金财产；</w:t>
      </w:r>
    </w:p>
    <w:p>
      <w:pPr>
        <w:spacing w:line="360" w:lineRule="auto"/>
        <w:ind w:firstLine="480" w:firstLineChars="200"/>
        <w:rPr>
          <w:rFonts w:ascii="宋体" w:hAnsi="宋体"/>
          <w:sz w:val="24"/>
        </w:rPr>
      </w:pPr>
      <w:r>
        <w:rPr>
          <w:rFonts w:hint="eastAsia" w:ascii="宋体" w:hAnsi="宋体"/>
          <w:sz w:val="24"/>
        </w:rPr>
        <w:t>（2）依《基金合同》约定获得基金托管费以及法律法规规定或监管部门批准的其他费用；</w:t>
      </w:r>
    </w:p>
    <w:p>
      <w:pPr>
        <w:spacing w:line="360" w:lineRule="auto"/>
        <w:ind w:firstLine="480" w:firstLineChars="200"/>
        <w:rPr>
          <w:rFonts w:ascii="宋体" w:hAnsi="宋体"/>
          <w:sz w:val="24"/>
        </w:rPr>
      </w:pPr>
      <w:r>
        <w:rPr>
          <w:rFonts w:hint="eastAsia"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ascii="宋体" w:hAnsi="宋体"/>
          <w:sz w:val="24"/>
        </w:rPr>
      </w:pPr>
      <w:r>
        <w:rPr>
          <w:rFonts w:hint="eastAsia" w:ascii="宋体" w:hAnsi="宋体"/>
          <w:sz w:val="24"/>
        </w:rPr>
        <w:t>（4）根据相关市场规则，为基金开设资金账户、证券账户等投资所需账户，为基金办理证券交易资金清算；</w:t>
      </w:r>
    </w:p>
    <w:p>
      <w:pPr>
        <w:spacing w:line="360" w:lineRule="auto"/>
        <w:ind w:firstLine="480" w:firstLineChars="200"/>
        <w:rPr>
          <w:rFonts w:ascii="宋体" w:hAnsi="宋体"/>
          <w:sz w:val="24"/>
        </w:rPr>
      </w:pPr>
      <w:r>
        <w:rPr>
          <w:rFonts w:hint="eastAsia" w:ascii="宋体" w:hAnsi="宋体"/>
          <w:sz w:val="24"/>
        </w:rPr>
        <w:t>（5）提议召开或召集基金份额持有人大会；</w:t>
      </w:r>
    </w:p>
    <w:p>
      <w:pPr>
        <w:spacing w:line="360" w:lineRule="auto"/>
        <w:ind w:firstLine="480" w:firstLineChars="200"/>
        <w:rPr>
          <w:rFonts w:ascii="宋体" w:hAnsi="宋体"/>
          <w:sz w:val="24"/>
        </w:rPr>
      </w:pPr>
      <w:r>
        <w:rPr>
          <w:rFonts w:hint="eastAsia" w:ascii="宋体" w:hAnsi="宋体"/>
          <w:sz w:val="24"/>
        </w:rPr>
        <w:t>（6）在基金管理人更换时，提名新的基金管理人；</w:t>
      </w:r>
    </w:p>
    <w:p>
      <w:pPr>
        <w:spacing w:line="360" w:lineRule="auto"/>
        <w:ind w:firstLine="480" w:firstLineChars="200"/>
        <w:rPr>
          <w:bCs/>
          <w:sz w:val="24"/>
        </w:rPr>
      </w:pPr>
      <w:r>
        <w:rPr>
          <w:rFonts w:hint="eastAsia" w:ascii="宋体" w:hAnsi="宋体"/>
          <w:sz w:val="24"/>
        </w:rPr>
        <w:t>（7）法律法规及中国证监会规定的和《基金合同》约定的其他权利。</w:t>
      </w:r>
    </w:p>
    <w:p>
      <w:pPr>
        <w:spacing w:line="360" w:lineRule="auto"/>
        <w:ind w:firstLine="480" w:firstLineChars="200"/>
        <w:rPr>
          <w:rFonts w:ascii="宋体" w:hAnsi="宋体"/>
          <w:sz w:val="24"/>
        </w:rPr>
      </w:pPr>
      <w:r>
        <w:rPr>
          <w:rFonts w:ascii="宋体" w:hAnsi="宋体"/>
          <w:bCs/>
          <w:sz w:val="24"/>
        </w:rPr>
        <w:t>（四）</w:t>
      </w:r>
      <w:r>
        <w:rPr>
          <w:rFonts w:ascii="宋体" w:hAnsi="宋体"/>
          <w:sz w:val="24"/>
        </w:rPr>
        <w:t>基金托管人的义务</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根据《基金法》、《运作办法》及其他有关规定，基金托管人的义务包括但不限于：</w:t>
      </w:r>
    </w:p>
    <w:p>
      <w:pPr>
        <w:spacing w:line="360" w:lineRule="auto"/>
        <w:ind w:firstLine="480" w:firstLineChars="200"/>
        <w:rPr>
          <w:rFonts w:ascii="宋体" w:hAnsi="宋体"/>
          <w:bCs/>
          <w:sz w:val="24"/>
        </w:rPr>
      </w:pPr>
      <w:r>
        <w:rPr>
          <w:rFonts w:hint="eastAsia" w:ascii="宋体" w:hAnsi="宋体"/>
          <w:bCs/>
          <w:sz w:val="24"/>
        </w:rPr>
        <w:t>（1）以诚实信用、勤勉尽责的原则持有并安全保管基金财产；</w:t>
      </w:r>
    </w:p>
    <w:p>
      <w:pPr>
        <w:spacing w:line="360" w:lineRule="auto"/>
        <w:ind w:firstLine="480" w:firstLineChars="200"/>
        <w:rPr>
          <w:rFonts w:ascii="宋体" w:hAnsi="宋体"/>
          <w:bCs/>
          <w:sz w:val="24"/>
        </w:rPr>
      </w:pPr>
      <w:r>
        <w:rPr>
          <w:rFonts w:hint="eastAsia" w:ascii="宋体" w:hAnsi="宋体"/>
          <w:bCs/>
          <w:sz w:val="24"/>
        </w:rPr>
        <w:t>（2）设立专门的基金托管部门，具有符合要求的营业场所，配备足够的、合格的熟悉基金托管业务的专职人员，负责基金财产托管事宜；</w:t>
      </w:r>
    </w:p>
    <w:p>
      <w:pPr>
        <w:spacing w:line="360" w:lineRule="auto"/>
        <w:ind w:firstLine="480" w:firstLineChars="200"/>
        <w:rPr>
          <w:rFonts w:ascii="宋体" w:hAnsi="宋体"/>
          <w:bCs/>
          <w:sz w:val="24"/>
        </w:rPr>
      </w:pPr>
      <w:r>
        <w:rPr>
          <w:rFonts w:hint="eastAsia"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ascii="宋体" w:hAnsi="宋体"/>
          <w:bCs/>
          <w:sz w:val="24"/>
        </w:rPr>
      </w:pPr>
      <w:r>
        <w:rPr>
          <w:rFonts w:hint="eastAsia" w:ascii="宋体" w:hAnsi="宋体"/>
          <w:bCs/>
          <w:sz w:val="24"/>
        </w:rPr>
        <w:t>（4）除依据《基金法》、《基金合同》及其他有关规定外，不得利用基金财产为自己及任何第三人谋取利益，不得委托第三人托管基金财产；</w:t>
      </w:r>
    </w:p>
    <w:p>
      <w:pPr>
        <w:spacing w:line="360" w:lineRule="auto"/>
        <w:ind w:firstLine="480" w:firstLineChars="200"/>
        <w:rPr>
          <w:rFonts w:ascii="宋体" w:hAnsi="宋体"/>
          <w:bCs/>
          <w:sz w:val="24"/>
        </w:rPr>
      </w:pPr>
      <w:r>
        <w:rPr>
          <w:rFonts w:hint="eastAsia" w:ascii="宋体" w:hAnsi="宋体"/>
          <w:bCs/>
          <w:sz w:val="24"/>
        </w:rPr>
        <w:t>（5）保管由基金管理人代表基金签订的与基金有关的重大合同及有关凭证；</w:t>
      </w:r>
    </w:p>
    <w:p>
      <w:pPr>
        <w:spacing w:line="360" w:lineRule="auto"/>
        <w:ind w:firstLine="480" w:firstLineChars="200"/>
        <w:rPr>
          <w:rFonts w:ascii="宋体" w:hAnsi="宋体"/>
          <w:bCs/>
          <w:sz w:val="24"/>
        </w:rPr>
      </w:pPr>
      <w:r>
        <w:rPr>
          <w:rFonts w:hint="eastAsia" w:ascii="宋体" w:hAnsi="宋体"/>
          <w:bCs/>
          <w:sz w:val="24"/>
        </w:rPr>
        <w:t>（6）按规定开设基金财产的资金账户、证券账户等投资所需账户，按照《基金合同》的约定，根据基金管理人的投资指令，及时办理清算、交割事宜；</w:t>
      </w:r>
    </w:p>
    <w:p>
      <w:pPr>
        <w:spacing w:line="360" w:lineRule="auto"/>
        <w:ind w:firstLine="480" w:firstLineChars="200"/>
        <w:rPr>
          <w:rFonts w:ascii="宋体" w:hAnsi="宋体"/>
          <w:bCs/>
          <w:sz w:val="24"/>
        </w:rPr>
      </w:pPr>
      <w:r>
        <w:rPr>
          <w:rFonts w:hint="eastAsia" w:ascii="宋体" w:hAnsi="宋体"/>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spacing w:line="360" w:lineRule="auto"/>
        <w:ind w:firstLine="480" w:firstLineChars="200"/>
        <w:rPr>
          <w:rFonts w:ascii="宋体" w:hAnsi="宋体"/>
          <w:bCs/>
          <w:sz w:val="24"/>
        </w:rPr>
      </w:pPr>
      <w:r>
        <w:rPr>
          <w:rFonts w:hint="eastAsia" w:ascii="宋体" w:hAnsi="宋体"/>
          <w:bCs/>
          <w:sz w:val="24"/>
        </w:rPr>
        <w:t>（8）复核、审查基金管理人计算的基金资产净值、</w:t>
      </w:r>
      <w:r>
        <w:rPr>
          <w:rFonts w:hint="eastAsia"/>
          <w:bCs/>
          <w:sz w:val="24"/>
        </w:rPr>
        <w:t>各类</w:t>
      </w:r>
      <w:r>
        <w:rPr>
          <w:rFonts w:hint="eastAsia" w:ascii="宋体" w:hAnsi="宋体"/>
          <w:bCs/>
          <w:sz w:val="24"/>
        </w:rPr>
        <w:t>基金份额净值、基金份额申购、赎回价格；</w:t>
      </w:r>
    </w:p>
    <w:p>
      <w:pPr>
        <w:spacing w:line="360" w:lineRule="auto"/>
        <w:ind w:firstLine="480" w:firstLineChars="200"/>
        <w:rPr>
          <w:rFonts w:ascii="宋体" w:hAnsi="宋体"/>
          <w:bCs/>
          <w:sz w:val="24"/>
        </w:rPr>
      </w:pPr>
      <w:r>
        <w:rPr>
          <w:rFonts w:hint="eastAsia" w:ascii="宋体" w:hAnsi="宋体"/>
          <w:bCs/>
          <w:sz w:val="24"/>
        </w:rPr>
        <w:t>（9）办理与基金托管业务活动有关的信息披露事项；</w:t>
      </w:r>
    </w:p>
    <w:p>
      <w:pPr>
        <w:spacing w:line="360" w:lineRule="auto"/>
        <w:ind w:firstLine="480" w:firstLineChars="200"/>
        <w:rPr>
          <w:rFonts w:ascii="宋体" w:hAnsi="宋体"/>
          <w:bCs/>
          <w:sz w:val="24"/>
        </w:rPr>
      </w:pPr>
      <w:r>
        <w:rPr>
          <w:rFonts w:hint="eastAsia" w:ascii="宋体" w:hAnsi="宋体"/>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ascii="宋体" w:hAnsi="宋体"/>
          <w:bCs/>
          <w:sz w:val="24"/>
        </w:rPr>
      </w:pPr>
      <w:r>
        <w:rPr>
          <w:rFonts w:hint="eastAsia" w:ascii="宋体" w:hAnsi="宋体"/>
          <w:bCs/>
          <w:sz w:val="24"/>
        </w:rPr>
        <w:t>（11）保存基金托管业务活动的记录、账册、报表和其他相关资料不低于法律法规规定的最低期限；</w:t>
      </w:r>
    </w:p>
    <w:p>
      <w:pPr>
        <w:spacing w:line="360" w:lineRule="auto"/>
        <w:ind w:firstLine="480" w:firstLineChars="200"/>
        <w:rPr>
          <w:rFonts w:ascii="宋体" w:hAnsi="宋体"/>
          <w:bCs/>
          <w:sz w:val="24"/>
        </w:rPr>
      </w:pPr>
      <w:r>
        <w:rPr>
          <w:rFonts w:hint="eastAsia" w:ascii="宋体" w:hAnsi="宋体"/>
          <w:bCs/>
          <w:sz w:val="24"/>
        </w:rPr>
        <w:t>（12）建立并保存基金份额持有人名册；</w:t>
      </w:r>
    </w:p>
    <w:p>
      <w:pPr>
        <w:spacing w:line="360" w:lineRule="auto"/>
        <w:ind w:firstLine="480" w:firstLineChars="200"/>
        <w:rPr>
          <w:rFonts w:ascii="宋体" w:hAnsi="宋体"/>
          <w:bCs/>
          <w:sz w:val="24"/>
        </w:rPr>
      </w:pPr>
      <w:r>
        <w:rPr>
          <w:rFonts w:hint="eastAsia" w:ascii="宋体" w:hAnsi="宋体"/>
          <w:bCs/>
          <w:sz w:val="24"/>
        </w:rPr>
        <w:t>（13）按规定制作相关账册并与基金管理人核对；</w:t>
      </w:r>
    </w:p>
    <w:p>
      <w:pPr>
        <w:spacing w:line="360" w:lineRule="auto"/>
        <w:ind w:firstLine="480" w:firstLineChars="200"/>
        <w:rPr>
          <w:rFonts w:ascii="宋体" w:hAnsi="宋体"/>
          <w:bCs/>
          <w:sz w:val="24"/>
        </w:rPr>
      </w:pPr>
      <w:r>
        <w:rPr>
          <w:rFonts w:hint="eastAsia" w:ascii="宋体" w:hAnsi="宋体"/>
          <w:bCs/>
          <w:sz w:val="24"/>
        </w:rPr>
        <w:t>（14）依据基金管理人的指令或有关规定向基金份额持有人支付基金收益和赎回款项；</w:t>
      </w:r>
    </w:p>
    <w:p>
      <w:pPr>
        <w:spacing w:line="360" w:lineRule="auto"/>
        <w:ind w:firstLine="480" w:firstLineChars="200"/>
        <w:rPr>
          <w:rFonts w:ascii="宋体" w:hAnsi="宋体"/>
          <w:bCs/>
          <w:sz w:val="24"/>
        </w:rPr>
      </w:pPr>
      <w:r>
        <w:rPr>
          <w:rFonts w:hint="eastAsia" w:ascii="宋体" w:hAnsi="宋体"/>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rFonts w:ascii="宋体" w:hAnsi="宋体"/>
          <w:bCs/>
          <w:sz w:val="24"/>
        </w:rPr>
      </w:pPr>
      <w:r>
        <w:rPr>
          <w:rFonts w:hint="eastAsia" w:ascii="宋体" w:hAnsi="宋体"/>
          <w:bCs/>
          <w:sz w:val="24"/>
        </w:rPr>
        <w:t>（16）按照法律法规和《基金合同》的规定监督基金管理人的投资运作；</w:t>
      </w:r>
    </w:p>
    <w:p>
      <w:pPr>
        <w:spacing w:line="360" w:lineRule="auto"/>
        <w:ind w:firstLine="480" w:firstLineChars="200"/>
        <w:rPr>
          <w:rFonts w:ascii="宋体" w:hAnsi="宋体"/>
          <w:bCs/>
          <w:sz w:val="24"/>
        </w:rPr>
      </w:pPr>
      <w:r>
        <w:rPr>
          <w:rFonts w:hint="eastAsia" w:ascii="宋体" w:hAnsi="宋体"/>
          <w:bCs/>
          <w:sz w:val="24"/>
        </w:rPr>
        <w:t>（17）参加基金财产清算小组，参与基金财产的保管、清理、估价、变现和分配；</w:t>
      </w:r>
    </w:p>
    <w:p>
      <w:pPr>
        <w:spacing w:line="360" w:lineRule="auto"/>
        <w:ind w:firstLine="480" w:firstLineChars="200"/>
        <w:rPr>
          <w:rFonts w:ascii="宋体" w:hAnsi="宋体"/>
          <w:bCs/>
          <w:sz w:val="24"/>
        </w:rPr>
      </w:pPr>
      <w:r>
        <w:rPr>
          <w:rFonts w:hint="eastAsia" w:ascii="宋体" w:hAnsi="宋体"/>
          <w:bCs/>
          <w:sz w:val="24"/>
        </w:rPr>
        <w:t>（18）面临解散、依法被撤销或者被依法宣告破产时，及时报告中国证监会和银行业监督管理机构，并通知基金管理人；</w:t>
      </w:r>
    </w:p>
    <w:p>
      <w:pPr>
        <w:spacing w:line="360" w:lineRule="auto"/>
        <w:ind w:firstLine="480" w:firstLineChars="200"/>
        <w:rPr>
          <w:rFonts w:ascii="宋体" w:hAnsi="宋体"/>
          <w:bCs/>
          <w:sz w:val="24"/>
        </w:rPr>
      </w:pPr>
      <w:r>
        <w:rPr>
          <w:rFonts w:hint="eastAsia" w:ascii="宋体" w:hAnsi="宋体"/>
          <w:bCs/>
          <w:sz w:val="24"/>
        </w:rPr>
        <w:t>（19）因违反《基金合同》导致基金财产损失时，应承担赔偿责任，其赔偿责任不因其退任而免除；</w:t>
      </w:r>
    </w:p>
    <w:p>
      <w:pPr>
        <w:spacing w:line="360" w:lineRule="auto"/>
        <w:ind w:firstLine="480" w:firstLineChars="200"/>
        <w:rPr>
          <w:rFonts w:ascii="宋体" w:hAnsi="宋体"/>
          <w:bCs/>
          <w:sz w:val="24"/>
        </w:rPr>
      </w:pPr>
      <w:r>
        <w:rPr>
          <w:rFonts w:hint="eastAsia" w:ascii="宋体" w:hAnsi="宋体"/>
          <w:bCs/>
          <w:sz w:val="24"/>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ascii="宋体" w:hAnsi="宋体"/>
          <w:bCs/>
          <w:sz w:val="24"/>
        </w:rPr>
      </w:pPr>
      <w:r>
        <w:rPr>
          <w:rFonts w:hint="eastAsia" w:ascii="宋体" w:hAnsi="宋体"/>
          <w:bCs/>
          <w:sz w:val="24"/>
        </w:rPr>
        <w:t>（21）执行生效的基金份额持有人大会的决议；</w:t>
      </w:r>
    </w:p>
    <w:p>
      <w:pPr>
        <w:spacing w:line="360" w:lineRule="auto"/>
        <w:ind w:firstLine="480" w:firstLineChars="200"/>
        <w:rPr>
          <w:rFonts w:ascii="宋体" w:hAnsi="宋体"/>
          <w:bCs/>
          <w:sz w:val="24"/>
        </w:rPr>
      </w:pPr>
      <w:r>
        <w:rPr>
          <w:rFonts w:hint="eastAsia" w:ascii="宋体" w:hAnsi="宋体"/>
          <w:bCs/>
          <w:sz w:val="24"/>
        </w:rPr>
        <w:t>（22）法律法规及中国证监会规定的和《基金合同》约定的其他义务。</w:t>
      </w:r>
    </w:p>
    <w:p>
      <w:pPr>
        <w:spacing w:line="360" w:lineRule="auto"/>
        <w:ind w:firstLine="480" w:firstLineChars="200"/>
        <w:rPr>
          <w:rFonts w:ascii="宋体" w:hAnsi="宋体"/>
          <w:bCs/>
          <w:sz w:val="24"/>
        </w:rPr>
      </w:pPr>
      <w:r>
        <w:rPr>
          <w:rFonts w:ascii="宋体" w:hAnsi="宋体"/>
          <w:bCs/>
          <w:sz w:val="24"/>
        </w:rPr>
        <w:t>（五）基金份额持有人的权利</w:t>
      </w:r>
    </w:p>
    <w:p>
      <w:pPr>
        <w:spacing w:line="360" w:lineRule="auto"/>
        <w:ind w:firstLine="480" w:firstLineChars="200"/>
        <w:rPr>
          <w:rFonts w:ascii="宋体" w:hAnsi="宋体"/>
          <w:bCs/>
          <w:sz w:val="24"/>
        </w:rPr>
      </w:pPr>
      <w:r>
        <w:rPr>
          <w:rFonts w:ascii="宋体" w:hAnsi="宋体"/>
          <w:bCs/>
          <w:sz w:val="24"/>
        </w:rPr>
        <w:t>基金投资者</w:t>
      </w:r>
      <w:r>
        <w:rPr>
          <w:rFonts w:hint="eastAsia" w:ascii="宋体" w:hAnsi="宋体"/>
          <w:bCs/>
          <w:sz w:val="24"/>
        </w:rPr>
        <w:t>持有</w:t>
      </w:r>
      <w:r>
        <w:rPr>
          <w:rFonts w:ascii="宋体" w:hAnsi="宋体"/>
          <w:bCs/>
          <w:sz w:val="24"/>
        </w:rPr>
        <w:t>本基金基金份额的行为即视为对《基金合同》的承认和接受，基金投资者自依据《基金合同》取得</w:t>
      </w:r>
      <w:r>
        <w:rPr>
          <w:rFonts w:hint="eastAsia" w:ascii="宋体" w:hAnsi="宋体"/>
          <w:bCs/>
          <w:sz w:val="24"/>
        </w:rPr>
        <w:t>本基金</w:t>
      </w:r>
      <w:r>
        <w:rPr>
          <w:rFonts w:ascii="宋体" w:hAnsi="宋体"/>
          <w:bCs/>
          <w:sz w:val="24"/>
        </w:rPr>
        <w:t>基金份额，即成为本</w:t>
      </w:r>
      <w:r>
        <w:rPr>
          <w:rFonts w:hint="eastAsia" w:ascii="宋体" w:hAnsi="宋体"/>
          <w:bCs/>
          <w:sz w:val="24"/>
        </w:rPr>
        <w:t>基金</w:t>
      </w:r>
      <w:r>
        <w:rPr>
          <w:rFonts w:ascii="宋体" w:hAnsi="宋体"/>
          <w:bCs/>
          <w:sz w:val="24"/>
        </w:rPr>
        <w:t>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ascii="宋体" w:hAnsi="宋体"/>
          <w:bCs/>
          <w:sz w:val="24"/>
        </w:rPr>
      </w:pPr>
      <w:r>
        <w:rPr>
          <w:rFonts w:hint="eastAsia" w:ascii="宋体" w:hAnsi="宋体"/>
          <w:bCs/>
          <w:sz w:val="24"/>
        </w:rPr>
        <w:t>同一类别每份</w:t>
      </w:r>
      <w:r>
        <w:rPr>
          <w:rFonts w:ascii="宋体" w:hAnsi="宋体"/>
          <w:bCs/>
          <w:sz w:val="24"/>
        </w:rPr>
        <w:t>基金份额具有同等的合法权益。</w:t>
      </w:r>
    </w:p>
    <w:p>
      <w:pPr>
        <w:spacing w:line="360" w:lineRule="auto"/>
        <w:ind w:firstLine="480" w:firstLineChars="200"/>
        <w:rPr>
          <w:rFonts w:ascii="宋体" w:hAnsi="宋体"/>
          <w:bCs/>
          <w:sz w:val="24"/>
        </w:rPr>
      </w:pPr>
      <w:r>
        <w:rPr>
          <w:rFonts w:ascii="宋体" w:hAnsi="宋体"/>
          <w:bCs/>
          <w:sz w:val="24"/>
        </w:rPr>
        <w:t>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p>
    <w:p>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pPr>
        <w:spacing w:line="360" w:lineRule="auto"/>
        <w:ind w:firstLine="480" w:firstLineChars="200"/>
        <w:rPr>
          <w:bCs/>
          <w:sz w:val="24"/>
        </w:rPr>
      </w:pPr>
      <w:r>
        <w:rPr>
          <w:bCs/>
          <w:sz w:val="24"/>
        </w:rPr>
        <w:t>（4）按照规定要求召开基金份额持有人大会或者召集基金份额持有人大会；</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firstLineChars="200"/>
        <w:rPr>
          <w:bCs/>
          <w:sz w:val="24"/>
        </w:rPr>
      </w:pPr>
      <w:r>
        <w:rPr>
          <w:bCs/>
          <w:sz w:val="24"/>
        </w:rPr>
        <w:t>（9）</w:t>
      </w:r>
      <w:r>
        <w:rPr>
          <w:rFonts w:hint="eastAsia"/>
          <w:bCs/>
          <w:sz w:val="24"/>
        </w:rPr>
        <w:t>法律法规及中国证监会规定的和《基金合同》约定的其他</w:t>
      </w:r>
      <w:r>
        <w:rPr>
          <w:bCs/>
          <w:sz w:val="24"/>
        </w:rPr>
        <w:t>权利。</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根据《基金法》、《运作办法》及其他有关规定，基金份额持有人的义务包括但不限于：</w:t>
      </w:r>
    </w:p>
    <w:p>
      <w:pPr>
        <w:spacing w:line="360" w:lineRule="auto"/>
        <w:ind w:firstLine="480" w:firstLineChars="200"/>
        <w:rPr>
          <w:rFonts w:ascii="宋体" w:hAnsi="宋体"/>
          <w:bCs/>
          <w:sz w:val="24"/>
        </w:rPr>
      </w:pPr>
      <w:r>
        <w:rPr>
          <w:rFonts w:hint="eastAsia" w:ascii="宋体" w:hAnsi="宋体"/>
          <w:bCs/>
          <w:sz w:val="24"/>
        </w:rPr>
        <w:t>（1）认真阅读并遵守《基金合同》、招募说明书等信息披露文件；</w:t>
      </w:r>
    </w:p>
    <w:p>
      <w:pPr>
        <w:spacing w:line="360" w:lineRule="auto"/>
        <w:ind w:firstLine="480" w:firstLineChars="200"/>
        <w:rPr>
          <w:rFonts w:ascii="宋体" w:hAnsi="宋体"/>
          <w:bCs/>
          <w:sz w:val="24"/>
        </w:rPr>
      </w:pPr>
      <w:r>
        <w:rPr>
          <w:rFonts w:hint="eastAsia" w:ascii="宋体" w:hAnsi="宋体"/>
          <w:bCs/>
          <w:sz w:val="24"/>
        </w:rPr>
        <w:t>（2）了解所投资基金产品，了解自身风险承受能力，自主判断基金的投资价值，自主做出投资决策，自行承担投资风险；</w:t>
      </w:r>
    </w:p>
    <w:p>
      <w:pPr>
        <w:spacing w:line="360" w:lineRule="auto"/>
        <w:ind w:firstLine="480" w:firstLineChars="200"/>
        <w:rPr>
          <w:rFonts w:ascii="宋体" w:hAnsi="宋体"/>
          <w:bCs/>
          <w:sz w:val="24"/>
        </w:rPr>
      </w:pPr>
      <w:r>
        <w:rPr>
          <w:rFonts w:hint="eastAsia" w:ascii="宋体" w:hAnsi="宋体"/>
          <w:bCs/>
          <w:sz w:val="24"/>
        </w:rPr>
        <w:t>（3）关注基金信息披露，及时行使权利和履行义务；</w:t>
      </w:r>
    </w:p>
    <w:p>
      <w:pPr>
        <w:spacing w:line="360" w:lineRule="auto"/>
        <w:ind w:firstLine="480" w:firstLineChars="200"/>
        <w:rPr>
          <w:rFonts w:ascii="宋体" w:hAnsi="宋体"/>
          <w:bCs/>
          <w:sz w:val="24"/>
        </w:rPr>
      </w:pPr>
      <w:r>
        <w:rPr>
          <w:rFonts w:hint="eastAsia" w:ascii="宋体" w:hAnsi="宋体"/>
          <w:bCs/>
          <w:sz w:val="24"/>
        </w:rPr>
        <w:t>（4）交纳基金认购、申购款项及法律法规和《基金合同》所规定的费用；</w:t>
      </w:r>
    </w:p>
    <w:p>
      <w:pPr>
        <w:spacing w:line="360" w:lineRule="auto"/>
        <w:ind w:firstLine="480" w:firstLineChars="200"/>
        <w:rPr>
          <w:rFonts w:ascii="宋体" w:hAnsi="宋体"/>
          <w:bCs/>
          <w:sz w:val="24"/>
        </w:rPr>
      </w:pPr>
      <w:r>
        <w:rPr>
          <w:rFonts w:hint="eastAsia" w:ascii="宋体" w:hAnsi="宋体"/>
          <w:bCs/>
          <w:sz w:val="24"/>
        </w:rPr>
        <w:t>（5）在其持有的基金份额范围内，承担基金亏损或者《基金合同》终止的有限责任；</w:t>
      </w:r>
    </w:p>
    <w:p>
      <w:pPr>
        <w:spacing w:line="360" w:lineRule="auto"/>
        <w:ind w:firstLine="480" w:firstLineChars="200"/>
        <w:rPr>
          <w:rFonts w:ascii="宋体" w:hAnsi="宋体"/>
          <w:bCs/>
          <w:sz w:val="24"/>
        </w:rPr>
      </w:pPr>
      <w:r>
        <w:rPr>
          <w:rFonts w:hint="eastAsia" w:ascii="宋体" w:hAnsi="宋体"/>
          <w:bCs/>
          <w:sz w:val="24"/>
        </w:rPr>
        <w:t>（6）不从事任何有损基金及其他《基金合同》当事人合法权益的活动；</w:t>
      </w:r>
    </w:p>
    <w:p>
      <w:pPr>
        <w:spacing w:line="360" w:lineRule="auto"/>
        <w:ind w:firstLine="480" w:firstLineChars="200"/>
        <w:rPr>
          <w:rFonts w:ascii="宋体" w:hAnsi="宋体"/>
          <w:bCs/>
          <w:sz w:val="24"/>
        </w:rPr>
      </w:pPr>
      <w:r>
        <w:rPr>
          <w:rFonts w:hint="eastAsia" w:ascii="宋体" w:hAnsi="宋体"/>
          <w:bCs/>
          <w:sz w:val="24"/>
        </w:rPr>
        <w:t>（7）执行生效的基金份额持有人大会的决议；</w:t>
      </w:r>
    </w:p>
    <w:p>
      <w:pPr>
        <w:spacing w:line="360" w:lineRule="auto"/>
        <w:ind w:firstLine="480" w:firstLineChars="200"/>
        <w:rPr>
          <w:rFonts w:ascii="宋体" w:hAnsi="宋体"/>
          <w:bCs/>
          <w:sz w:val="24"/>
        </w:rPr>
      </w:pPr>
      <w:r>
        <w:rPr>
          <w:rFonts w:hint="eastAsia" w:ascii="宋体" w:hAnsi="宋体"/>
          <w:bCs/>
          <w:sz w:val="24"/>
        </w:rPr>
        <w:t>（8）返还在基金交易过程中因任何原因获得的不当得利；</w:t>
      </w:r>
    </w:p>
    <w:p>
      <w:pPr>
        <w:spacing w:line="360" w:lineRule="auto"/>
        <w:ind w:firstLine="480" w:firstLineChars="200"/>
        <w:rPr>
          <w:rFonts w:ascii="宋体" w:hAnsi="宋体"/>
          <w:bCs/>
          <w:sz w:val="24"/>
        </w:rPr>
      </w:pPr>
      <w:r>
        <w:rPr>
          <w:rFonts w:hint="eastAsia" w:ascii="宋体" w:hAnsi="宋体"/>
          <w:bCs/>
          <w:sz w:val="24"/>
        </w:rPr>
        <w:t>（9）遵守基金管理人、基金托管人、销售机构和登记机构的相关交易及业务规则；</w:t>
      </w:r>
    </w:p>
    <w:p>
      <w:pPr>
        <w:spacing w:line="360" w:lineRule="auto"/>
        <w:ind w:firstLine="480" w:firstLineChars="200"/>
        <w:rPr>
          <w:rFonts w:ascii="宋体" w:hAnsi="宋体"/>
          <w:bCs/>
          <w:sz w:val="24"/>
        </w:rPr>
      </w:pPr>
      <w:r>
        <w:rPr>
          <w:rFonts w:hint="eastAsia" w:ascii="宋体" w:hAnsi="宋体"/>
          <w:bCs/>
          <w:sz w:val="24"/>
        </w:rPr>
        <w:t>（10）提供基金管理人和监管机构依法要求提供的信息，以及不时的更新和补充，并保证其真实性；</w:t>
      </w:r>
    </w:p>
    <w:p>
      <w:pPr>
        <w:spacing w:line="360" w:lineRule="auto"/>
        <w:ind w:firstLine="480" w:firstLineChars="200"/>
        <w:rPr>
          <w:rFonts w:ascii="宋体" w:hAnsi="宋体"/>
          <w:bCs/>
          <w:sz w:val="24"/>
        </w:rPr>
      </w:pPr>
      <w:r>
        <w:rPr>
          <w:rFonts w:hint="eastAsia" w:ascii="宋体" w:hAnsi="宋体"/>
          <w:bCs/>
          <w:sz w:val="24"/>
        </w:rPr>
        <w:t>（11）发起资金提供方持有认购的基金份额的期限自《基金合同》生效日起不少于3年；</w:t>
      </w:r>
    </w:p>
    <w:p>
      <w:pPr>
        <w:spacing w:line="360" w:lineRule="auto"/>
        <w:ind w:firstLine="480" w:firstLineChars="200"/>
        <w:rPr>
          <w:rFonts w:ascii="宋体" w:hAnsi="宋体"/>
          <w:bCs/>
          <w:sz w:val="24"/>
        </w:rPr>
      </w:pPr>
      <w:r>
        <w:rPr>
          <w:rFonts w:hint="eastAsia" w:ascii="宋体" w:hAnsi="宋体"/>
          <w:bCs/>
          <w:sz w:val="24"/>
        </w:rPr>
        <w:t>（12）法律法规及中国证监会规定的和《基金合同》约定的其他义务。</w:t>
      </w:r>
    </w:p>
    <w:p>
      <w:pPr>
        <w:spacing w:line="360" w:lineRule="auto"/>
        <w:ind w:firstLine="482" w:firstLineChars="200"/>
        <w:rPr>
          <w:rFonts w:ascii="宋体" w:hAnsi="宋体"/>
          <w:b/>
          <w:bCs/>
          <w:sz w:val="24"/>
        </w:rPr>
      </w:pPr>
      <w:r>
        <w:rPr>
          <w:rFonts w:ascii="宋体" w:hAnsi="宋体"/>
          <w:b/>
          <w:bCs/>
          <w:sz w:val="24"/>
        </w:rPr>
        <w:t>二、基金份额持有人大会召集、议事及表决的程序和规则</w:t>
      </w:r>
    </w:p>
    <w:p>
      <w:pPr>
        <w:spacing w:line="360" w:lineRule="auto"/>
        <w:ind w:firstLine="480" w:firstLineChars="200"/>
        <w:rPr>
          <w:rFonts w:ascii="宋体" w:hAnsi="宋体"/>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pPr>
        <w:spacing w:line="360" w:lineRule="auto"/>
        <w:ind w:firstLine="480" w:firstLineChars="200"/>
        <w:rPr>
          <w:rFonts w:ascii="宋体" w:hAnsi="宋体"/>
          <w:bCs/>
          <w:sz w:val="24"/>
        </w:rPr>
      </w:pPr>
      <w:r>
        <w:rPr>
          <w:rFonts w:hint="eastAsia" w:ascii="宋体" w:hAnsi="宋体"/>
          <w:bCs/>
          <w:sz w:val="24"/>
        </w:rPr>
        <w:t>本基金份额持有人大会不设日常机构。</w:t>
      </w:r>
    </w:p>
    <w:p>
      <w:pPr>
        <w:spacing w:line="360" w:lineRule="auto"/>
        <w:ind w:firstLine="480" w:firstLineChars="200"/>
        <w:rPr>
          <w:rFonts w:ascii="宋体" w:hAnsi="宋体"/>
          <w:bCs/>
          <w:sz w:val="24"/>
        </w:rPr>
      </w:pPr>
      <w:r>
        <w:rPr>
          <w:rFonts w:ascii="宋体" w:hAnsi="宋体"/>
          <w:bCs/>
          <w:sz w:val="24"/>
        </w:rPr>
        <w:t>（一）召开事由</w:t>
      </w:r>
    </w:p>
    <w:p>
      <w:pPr>
        <w:spacing w:line="360" w:lineRule="auto"/>
        <w:ind w:firstLine="480" w:firstLineChars="200"/>
        <w:rPr>
          <w:bCs/>
          <w:sz w:val="24"/>
        </w:rPr>
      </w:pPr>
      <w:r>
        <w:rPr>
          <w:rFonts w:hint="eastAsia"/>
          <w:bCs/>
          <w:sz w:val="24"/>
        </w:rPr>
        <w:t>1、当出现或需要决定下列事由之一的，应当召开基金份额持有人大会，法律法规、基金合同和中国证监会另有规定的除外：</w:t>
      </w:r>
    </w:p>
    <w:p>
      <w:pPr>
        <w:spacing w:line="360" w:lineRule="auto"/>
        <w:ind w:firstLine="480" w:firstLineChars="200"/>
        <w:rPr>
          <w:bCs/>
          <w:sz w:val="24"/>
        </w:rPr>
      </w:pPr>
      <w:r>
        <w:rPr>
          <w:rFonts w:hint="eastAsia"/>
          <w:bCs/>
          <w:sz w:val="24"/>
        </w:rPr>
        <w:t>（1）终止《基金合同》；</w:t>
      </w:r>
    </w:p>
    <w:p>
      <w:pPr>
        <w:spacing w:line="360" w:lineRule="auto"/>
        <w:ind w:firstLine="480" w:firstLineChars="200"/>
        <w:rPr>
          <w:bCs/>
          <w:sz w:val="24"/>
        </w:rPr>
      </w:pPr>
      <w:r>
        <w:rPr>
          <w:rFonts w:hint="eastAsia"/>
          <w:bCs/>
          <w:sz w:val="24"/>
        </w:rPr>
        <w:t>（2）更换基金管理人；</w:t>
      </w:r>
    </w:p>
    <w:p>
      <w:pPr>
        <w:spacing w:line="360" w:lineRule="auto"/>
        <w:ind w:firstLine="480" w:firstLineChars="200"/>
        <w:rPr>
          <w:bCs/>
          <w:sz w:val="24"/>
        </w:rPr>
      </w:pPr>
      <w:r>
        <w:rPr>
          <w:rFonts w:hint="eastAsia"/>
          <w:bCs/>
          <w:sz w:val="24"/>
        </w:rPr>
        <w:t>（3）更换基金托管人；</w:t>
      </w:r>
    </w:p>
    <w:p>
      <w:pPr>
        <w:spacing w:line="360" w:lineRule="auto"/>
        <w:ind w:firstLine="480" w:firstLineChars="200"/>
        <w:rPr>
          <w:bCs/>
          <w:sz w:val="24"/>
        </w:rPr>
      </w:pPr>
      <w:r>
        <w:rPr>
          <w:rFonts w:hint="eastAsia"/>
          <w:bCs/>
          <w:sz w:val="24"/>
        </w:rPr>
        <w:t>（4）转换基金运作方式；</w:t>
      </w:r>
    </w:p>
    <w:p>
      <w:pPr>
        <w:spacing w:line="360" w:lineRule="auto"/>
        <w:ind w:firstLine="480" w:firstLineChars="200"/>
        <w:rPr>
          <w:bCs/>
          <w:sz w:val="24"/>
        </w:rPr>
      </w:pPr>
      <w:r>
        <w:rPr>
          <w:rFonts w:hint="eastAsia"/>
          <w:bCs/>
          <w:sz w:val="24"/>
        </w:rPr>
        <w:t>（5）调整基金管理人、基金托管人的报酬标准或提高销售服务费率；</w:t>
      </w:r>
    </w:p>
    <w:p>
      <w:pPr>
        <w:spacing w:line="360" w:lineRule="auto"/>
        <w:ind w:firstLine="480" w:firstLineChars="200"/>
        <w:rPr>
          <w:bCs/>
          <w:sz w:val="24"/>
        </w:rPr>
      </w:pPr>
      <w:r>
        <w:rPr>
          <w:rFonts w:hint="eastAsia"/>
          <w:bCs/>
          <w:sz w:val="24"/>
        </w:rPr>
        <w:t>（6）变更基金类别；</w:t>
      </w:r>
    </w:p>
    <w:p>
      <w:pPr>
        <w:spacing w:line="360" w:lineRule="auto"/>
        <w:ind w:firstLine="480" w:firstLineChars="200"/>
        <w:rPr>
          <w:bCs/>
          <w:sz w:val="24"/>
        </w:rPr>
      </w:pPr>
      <w:r>
        <w:rPr>
          <w:rFonts w:hint="eastAsia"/>
          <w:bCs/>
          <w:sz w:val="24"/>
        </w:rPr>
        <w:t>（7）本基金与其他基金的合并；</w:t>
      </w:r>
    </w:p>
    <w:p>
      <w:pPr>
        <w:spacing w:line="360" w:lineRule="auto"/>
        <w:ind w:firstLine="480" w:firstLineChars="200"/>
        <w:rPr>
          <w:bCs/>
          <w:sz w:val="24"/>
        </w:rPr>
      </w:pPr>
      <w:r>
        <w:rPr>
          <w:rFonts w:hint="eastAsia"/>
          <w:bCs/>
          <w:sz w:val="24"/>
        </w:rPr>
        <w:t>（8）变更基金投资目标、范围或策略；</w:t>
      </w:r>
    </w:p>
    <w:p>
      <w:pPr>
        <w:spacing w:line="360" w:lineRule="auto"/>
        <w:ind w:firstLine="480" w:firstLineChars="200"/>
        <w:rPr>
          <w:bCs/>
          <w:sz w:val="24"/>
        </w:rPr>
      </w:pPr>
      <w:r>
        <w:rPr>
          <w:rFonts w:hint="eastAsia"/>
          <w:bCs/>
          <w:sz w:val="24"/>
        </w:rPr>
        <w:t>（9）变更基金份额持有人大会程序；</w:t>
      </w:r>
    </w:p>
    <w:p>
      <w:pPr>
        <w:spacing w:line="360" w:lineRule="auto"/>
        <w:ind w:firstLine="480" w:firstLineChars="200"/>
        <w:rPr>
          <w:bCs/>
          <w:sz w:val="24"/>
        </w:rPr>
      </w:pPr>
      <w:r>
        <w:rPr>
          <w:rFonts w:hint="eastAsia"/>
          <w:bCs/>
          <w:sz w:val="24"/>
        </w:rPr>
        <w:t>（10）基金管理人或基金托管人要求召开基金份额持有人大会；</w:t>
      </w:r>
    </w:p>
    <w:p>
      <w:pPr>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rPr>
          <w:bCs/>
          <w:sz w:val="24"/>
        </w:rPr>
      </w:pPr>
      <w:r>
        <w:rPr>
          <w:rFonts w:hint="eastAsia"/>
          <w:bCs/>
          <w:sz w:val="24"/>
        </w:rPr>
        <w:t>（12）对基金合同当事人权利和义务产生重大影响的其他事项；</w:t>
      </w:r>
    </w:p>
    <w:p>
      <w:pPr>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bCs/>
          <w:sz w:val="24"/>
        </w:rPr>
      </w:pPr>
      <w:r>
        <w:rPr>
          <w:rFonts w:hint="eastAsia"/>
          <w:bCs/>
          <w:sz w:val="24"/>
        </w:rPr>
        <w:t>（1）调低基金销售服务费率；</w:t>
      </w:r>
    </w:p>
    <w:p>
      <w:pPr>
        <w:spacing w:line="360" w:lineRule="auto"/>
        <w:ind w:firstLine="480" w:firstLineChars="200"/>
        <w:rPr>
          <w:bCs/>
          <w:sz w:val="24"/>
        </w:rPr>
      </w:pPr>
      <w:r>
        <w:rPr>
          <w:rFonts w:hint="eastAsia"/>
          <w:bCs/>
          <w:sz w:val="24"/>
        </w:rPr>
        <w:t>（2）法律法规要求增加的基金费用的收取；</w:t>
      </w:r>
    </w:p>
    <w:p>
      <w:pPr>
        <w:spacing w:line="360" w:lineRule="auto"/>
        <w:ind w:firstLine="480" w:firstLineChars="200"/>
        <w:rPr>
          <w:bCs/>
          <w:sz w:val="24"/>
        </w:rPr>
      </w:pPr>
      <w:r>
        <w:rPr>
          <w:rFonts w:hint="eastAsia"/>
          <w:bCs/>
          <w:sz w:val="24"/>
        </w:rPr>
        <w:t>（3）在法律法规和《基金合同》规定的范围内调整本基金的申购费率、在对现有基金份额持有人利益无实质性不利影响的前提下变更收费方式；</w:t>
      </w:r>
    </w:p>
    <w:p>
      <w:pPr>
        <w:spacing w:line="360" w:lineRule="auto"/>
        <w:ind w:firstLine="480" w:firstLineChars="200"/>
        <w:rPr>
          <w:bCs/>
          <w:sz w:val="24"/>
        </w:rPr>
      </w:pPr>
      <w:r>
        <w:rPr>
          <w:rFonts w:hint="eastAsia"/>
          <w:bCs/>
          <w:sz w:val="24"/>
        </w:rPr>
        <w:t>（4）因相应的法律法规、登记机构的相关业务规则发生变动而应当对《基金合同》进行修改；</w:t>
      </w:r>
    </w:p>
    <w:p>
      <w:pPr>
        <w:spacing w:line="360" w:lineRule="auto"/>
        <w:ind w:firstLine="480" w:firstLineChars="200"/>
        <w:rPr>
          <w:bCs/>
          <w:sz w:val="24"/>
        </w:rPr>
      </w:pPr>
      <w:r>
        <w:rPr>
          <w:rFonts w:hint="eastAsia"/>
          <w:bCs/>
          <w:sz w:val="24"/>
        </w:rPr>
        <w:t>（5）对《基金合同》的修改对基金份额持有人利益无实质性不利影响或修改不涉及《基金合同》当事人权利义务关系发生重大变化；</w:t>
      </w:r>
    </w:p>
    <w:p>
      <w:pPr>
        <w:spacing w:line="360" w:lineRule="auto"/>
        <w:ind w:firstLine="480" w:firstLineChars="200"/>
        <w:rPr>
          <w:bCs/>
          <w:sz w:val="24"/>
        </w:rPr>
      </w:pPr>
      <w:r>
        <w:rPr>
          <w:rFonts w:hint="eastAsia"/>
          <w:bCs/>
          <w:sz w:val="24"/>
        </w:rPr>
        <w:t>（6）在法律法规允许的情况下，且在对现有基金份额持有人利益无实质性不利影响的前提下，基金管理人履行适当程序后，推出新业务或服务；</w:t>
      </w:r>
    </w:p>
    <w:p>
      <w:pPr>
        <w:spacing w:line="360" w:lineRule="auto"/>
        <w:ind w:firstLine="480" w:firstLineChars="200"/>
        <w:rPr>
          <w:bCs/>
          <w:sz w:val="24"/>
        </w:rPr>
      </w:pPr>
      <w:r>
        <w:rPr>
          <w:rFonts w:hint="eastAsia"/>
          <w:bCs/>
          <w:sz w:val="24"/>
        </w:rPr>
        <w:t>（7）在符合法律法规及本基金合同规定、并且对基金份额持有人利益无实质性不利影响的前提下，增加或调整本基金份额类别的设置、对基金份额分类办法及规则进行调整；</w:t>
      </w:r>
    </w:p>
    <w:p>
      <w:pPr>
        <w:spacing w:line="360" w:lineRule="auto"/>
        <w:ind w:firstLine="480" w:firstLineChars="200"/>
        <w:rPr>
          <w:bCs/>
          <w:sz w:val="24"/>
        </w:rPr>
      </w:pPr>
      <w:r>
        <w:rPr>
          <w:rFonts w:hint="eastAsia"/>
          <w:bCs/>
          <w:sz w:val="24"/>
        </w:rPr>
        <w:t>（8）若将来本基金管理人注册并成立追踪同一标的指数的增强策略交易型开放式指数基金（ETF），则基金管理人在履行适当程序后有权决定将本基金转换为该基金的联接基金，并相应修改《基金合同》；</w:t>
      </w:r>
    </w:p>
    <w:p>
      <w:pPr>
        <w:spacing w:line="360" w:lineRule="auto"/>
        <w:ind w:firstLine="480" w:firstLineChars="200"/>
        <w:rPr>
          <w:bCs/>
          <w:sz w:val="24"/>
        </w:rPr>
      </w:pPr>
      <w:r>
        <w:rPr>
          <w:rFonts w:hint="eastAsia"/>
          <w:bCs/>
          <w:sz w:val="24"/>
        </w:rPr>
        <w:t>（9）在不违反法律法规及对基金份额持有人利益无实质性不利影响的前提下，基金管理人、登记机构、销售机构调整有关基金认购、申购、赎回、转换、收益分配、非交易过户、转托管等业务的规则；</w:t>
      </w:r>
    </w:p>
    <w:p>
      <w:pPr>
        <w:spacing w:line="360" w:lineRule="auto"/>
        <w:ind w:firstLine="480" w:firstLineChars="200"/>
        <w:rPr>
          <w:bCs/>
          <w:sz w:val="24"/>
        </w:rPr>
      </w:pPr>
      <w:r>
        <w:rPr>
          <w:rFonts w:hint="eastAsia"/>
          <w:bCs/>
          <w:sz w:val="24"/>
        </w:rPr>
        <w:t>（10）按照法律法规和《基金合同》规定不需召开基金份额持有人大会的其他情形。</w:t>
      </w:r>
    </w:p>
    <w:p>
      <w:pPr>
        <w:spacing w:line="360" w:lineRule="auto"/>
        <w:ind w:firstLine="480" w:firstLineChars="200"/>
        <w:rPr>
          <w:rFonts w:ascii="宋体" w:hAnsi="宋体"/>
          <w:bCs/>
          <w:sz w:val="24"/>
        </w:rPr>
      </w:pPr>
      <w:r>
        <w:rPr>
          <w:rFonts w:ascii="宋体" w:hAnsi="宋体"/>
          <w:bCs/>
          <w:sz w:val="24"/>
        </w:rPr>
        <w:t>（二）</w:t>
      </w:r>
      <w:r>
        <w:rPr>
          <w:rFonts w:hint="eastAsia" w:ascii="宋体" w:hAnsi="宋体"/>
          <w:bCs/>
          <w:sz w:val="24"/>
        </w:rPr>
        <w:t>会议</w:t>
      </w:r>
      <w:r>
        <w:rPr>
          <w:rFonts w:ascii="宋体" w:hAnsi="宋体"/>
          <w:bCs/>
          <w:sz w:val="24"/>
        </w:rPr>
        <w:t>召集人及召集方式</w:t>
      </w:r>
    </w:p>
    <w:p>
      <w:pPr>
        <w:spacing w:line="360" w:lineRule="auto"/>
        <w:ind w:firstLine="480" w:firstLineChars="200"/>
        <w:rPr>
          <w:bCs/>
          <w:sz w:val="24"/>
        </w:rPr>
      </w:pPr>
      <w:r>
        <w:rPr>
          <w:rFonts w:hint="eastAsia"/>
          <w:bCs/>
          <w:sz w:val="24"/>
        </w:rPr>
        <w:t>1、除法律法规规定或《基金合同》另有约定外，基金份额持有人大会由基金管理人召集；</w:t>
      </w:r>
    </w:p>
    <w:p>
      <w:pPr>
        <w:spacing w:line="360" w:lineRule="auto"/>
        <w:ind w:firstLine="480" w:firstLineChars="200"/>
        <w:rPr>
          <w:bCs/>
          <w:sz w:val="24"/>
        </w:rPr>
      </w:pPr>
      <w:r>
        <w:rPr>
          <w:rFonts w:hint="eastAsia"/>
          <w:bCs/>
          <w:sz w:val="24"/>
        </w:rPr>
        <w:t>2、基金管理人未按规定召集或不能召集时，由基金托管人召集；</w:t>
      </w:r>
    </w:p>
    <w:p>
      <w:pPr>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bCs/>
          <w:sz w:val="24"/>
        </w:rPr>
      </w:pPr>
      <w:r>
        <w:rPr>
          <w:rFonts w:hint="eastAsia"/>
          <w:bCs/>
          <w:sz w:val="24"/>
        </w:rPr>
        <w:t>6、基金份额持有人会议的召集人负责选择确定开会时间、地点、方式和权益登记日。</w:t>
      </w:r>
    </w:p>
    <w:p>
      <w:pPr>
        <w:spacing w:line="360" w:lineRule="auto"/>
        <w:ind w:firstLine="480" w:firstLineChars="200"/>
        <w:rPr>
          <w:rFonts w:ascii="宋体" w:hAnsi="宋体"/>
          <w:bCs/>
          <w:sz w:val="24"/>
        </w:rPr>
      </w:pPr>
      <w:r>
        <w:rPr>
          <w:rFonts w:ascii="宋体" w:hAnsi="宋体"/>
          <w:bCs/>
          <w:sz w:val="24"/>
        </w:rPr>
        <w:t>（三）召开基金份额持有人大会的通知时间、通知内容、通知方式</w:t>
      </w:r>
    </w:p>
    <w:p>
      <w:pPr>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spacing w:line="360" w:lineRule="auto"/>
        <w:ind w:firstLine="480" w:firstLineChars="200"/>
        <w:rPr>
          <w:bCs/>
          <w:sz w:val="24"/>
        </w:rPr>
      </w:pPr>
      <w:r>
        <w:rPr>
          <w:rFonts w:hint="eastAsia"/>
          <w:bCs/>
          <w:sz w:val="24"/>
        </w:rPr>
        <w:t>（1）会议召开的时间、地点和会议形式；</w:t>
      </w:r>
    </w:p>
    <w:p>
      <w:pPr>
        <w:spacing w:line="360" w:lineRule="auto"/>
        <w:ind w:firstLine="480" w:firstLineChars="200"/>
        <w:rPr>
          <w:bCs/>
          <w:sz w:val="24"/>
        </w:rPr>
      </w:pPr>
      <w:r>
        <w:rPr>
          <w:rFonts w:hint="eastAsia"/>
          <w:bCs/>
          <w:sz w:val="24"/>
        </w:rPr>
        <w:t>（2）会议拟审议的事项、议事程序和表决方式；</w:t>
      </w:r>
    </w:p>
    <w:p>
      <w:pPr>
        <w:spacing w:line="360" w:lineRule="auto"/>
        <w:ind w:firstLine="480" w:firstLineChars="200"/>
        <w:rPr>
          <w:bCs/>
          <w:sz w:val="24"/>
        </w:rPr>
      </w:pPr>
      <w:r>
        <w:rPr>
          <w:rFonts w:hint="eastAsia"/>
          <w:bCs/>
          <w:sz w:val="24"/>
        </w:rPr>
        <w:t>（3）有权出席基金份额持有人大会的基金份额持有人的权益登记日；</w:t>
      </w:r>
    </w:p>
    <w:p>
      <w:pPr>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spacing w:line="360" w:lineRule="auto"/>
        <w:ind w:firstLine="480" w:firstLineChars="200"/>
        <w:rPr>
          <w:bCs/>
          <w:sz w:val="24"/>
        </w:rPr>
      </w:pPr>
      <w:r>
        <w:rPr>
          <w:rFonts w:hint="eastAsia"/>
          <w:bCs/>
          <w:sz w:val="24"/>
        </w:rPr>
        <w:t>（5）会务常设联系人姓名及联系电话；</w:t>
      </w:r>
    </w:p>
    <w:p>
      <w:pPr>
        <w:spacing w:line="360" w:lineRule="auto"/>
        <w:ind w:firstLine="480" w:firstLineChars="200"/>
        <w:rPr>
          <w:bCs/>
          <w:sz w:val="24"/>
        </w:rPr>
      </w:pPr>
      <w:r>
        <w:rPr>
          <w:rFonts w:hint="eastAsia"/>
          <w:bCs/>
          <w:sz w:val="24"/>
        </w:rPr>
        <w:t>（6）出席会议者必须准备的文件和必须履行的手续；</w:t>
      </w:r>
    </w:p>
    <w:p>
      <w:pPr>
        <w:spacing w:line="360" w:lineRule="auto"/>
        <w:ind w:firstLine="480" w:firstLineChars="200"/>
        <w:rPr>
          <w:bCs/>
          <w:sz w:val="24"/>
        </w:rPr>
      </w:pPr>
      <w:r>
        <w:rPr>
          <w:rFonts w:hint="eastAsia"/>
          <w:bCs/>
          <w:sz w:val="24"/>
        </w:rPr>
        <w:t>（7）召集人需要通知的其他事项。</w:t>
      </w:r>
    </w:p>
    <w:p>
      <w:pPr>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ascii="宋体" w:hAnsi="宋体"/>
          <w:bCs/>
          <w:sz w:val="24"/>
        </w:rPr>
      </w:pPr>
      <w:r>
        <w:rPr>
          <w:rFonts w:ascii="宋体" w:hAnsi="宋体"/>
          <w:bCs/>
          <w:sz w:val="24"/>
        </w:rPr>
        <w:t>（四）基金份额持有人出席会议的方式</w:t>
      </w:r>
    </w:p>
    <w:p>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pPr>
        <w:spacing w:line="360" w:lineRule="auto"/>
        <w:ind w:firstLine="48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8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pPr>
        <w:spacing w:line="360" w:lineRule="auto"/>
        <w:ind w:firstLine="48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spacing w:line="360" w:lineRule="auto"/>
        <w:ind w:firstLine="480"/>
        <w:rPr>
          <w:bCs/>
          <w:sz w:val="24"/>
        </w:rPr>
      </w:pPr>
      <w:r>
        <w:rPr>
          <w:rFonts w:hint="eastAsia"/>
          <w:bCs/>
          <w:sz w:val="24"/>
        </w:rPr>
        <w:t>在同时符合以下条件时，通讯开会的方式视为有效：</w:t>
      </w:r>
    </w:p>
    <w:p>
      <w:pPr>
        <w:spacing w:line="360" w:lineRule="auto"/>
        <w:ind w:firstLine="480"/>
        <w:rPr>
          <w:bCs/>
          <w:sz w:val="24"/>
        </w:rPr>
      </w:pPr>
      <w:r>
        <w:rPr>
          <w:rFonts w:hint="eastAsia"/>
          <w:bCs/>
          <w:sz w:val="24"/>
        </w:rPr>
        <w:t>（1）会议召集人按《基金合同》约定公布会议通知后，在2个工作日内连续公布相关提示性公告；</w:t>
      </w:r>
    </w:p>
    <w:p>
      <w:pPr>
        <w:spacing w:line="360" w:lineRule="auto"/>
        <w:ind w:firstLine="48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spacing w:line="360" w:lineRule="auto"/>
        <w:ind w:firstLine="48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五</w:t>
      </w:r>
      <w:r>
        <w:rPr>
          <w:rFonts w:hint="eastAsia" w:ascii="宋体" w:hAnsi="宋体"/>
          <w:bCs/>
          <w:sz w:val="24"/>
        </w:rPr>
        <w:t>）</w:t>
      </w:r>
      <w:r>
        <w:rPr>
          <w:rFonts w:ascii="宋体" w:hAnsi="宋体"/>
          <w:bCs/>
          <w:sz w:val="24"/>
        </w:rPr>
        <w:t>议事内容与程序</w:t>
      </w:r>
    </w:p>
    <w:p>
      <w:pPr>
        <w:spacing w:line="360" w:lineRule="auto"/>
        <w:ind w:firstLine="480" w:firstLineChars="200"/>
        <w:rPr>
          <w:bCs/>
          <w:sz w:val="24"/>
        </w:rPr>
      </w:pPr>
      <w:r>
        <w:rPr>
          <w:rFonts w:hint="eastAsia"/>
          <w:bCs/>
          <w:sz w:val="24"/>
        </w:rPr>
        <w:t>1、议事内容及提案权</w:t>
      </w:r>
    </w:p>
    <w:p>
      <w:pPr>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rFonts w:hint="eastAsia"/>
          <w:bCs/>
          <w:sz w:val="24"/>
        </w:rPr>
        <w:t>基金份额持有人大会不得对未事先公告的议事内容进行表决。</w:t>
      </w:r>
    </w:p>
    <w:p>
      <w:pPr>
        <w:spacing w:line="360" w:lineRule="auto"/>
        <w:ind w:firstLine="480" w:firstLineChars="200"/>
        <w:rPr>
          <w:bCs/>
          <w:sz w:val="24"/>
        </w:rPr>
      </w:pPr>
      <w:r>
        <w:rPr>
          <w:rFonts w:hint="eastAsia"/>
          <w:bCs/>
          <w:sz w:val="24"/>
        </w:rPr>
        <w:t>2、议事程序</w:t>
      </w:r>
    </w:p>
    <w:p>
      <w:pPr>
        <w:spacing w:line="360" w:lineRule="auto"/>
        <w:ind w:firstLine="480" w:firstLineChars="200"/>
        <w:rPr>
          <w:bCs/>
          <w:sz w:val="24"/>
        </w:rPr>
      </w:pPr>
      <w:r>
        <w:rPr>
          <w:rFonts w:hint="eastAsia"/>
          <w:bCs/>
          <w:sz w:val="24"/>
        </w:rPr>
        <w:t>（1）现场开会</w:t>
      </w:r>
    </w:p>
    <w:p>
      <w:pPr>
        <w:spacing w:line="360" w:lineRule="auto"/>
        <w:ind w:firstLine="480" w:firstLineChars="20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w:t>
      </w:r>
      <w:r>
        <w:rPr>
          <w:bCs/>
          <w:sz w:val="24"/>
        </w:rPr>
        <w:t>0%</w:t>
      </w:r>
      <w:r>
        <w:rPr>
          <w:sz w:val="24"/>
        </w:rPr>
        <w:t>以上</w:t>
      </w:r>
      <w:r>
        <w:rPr>
          <w:rFonts w:hint="eastAsia"/>
          <w:bCs/>
          <w:sz w:val="24"/>
        </w:rPr>
        <w:t>（含5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sz w:val="24"/>
        </w:rPr>
      </w:pPr>
      <w:r>
        <w:rPr>
          <w:rFonts w:hint="eastAsia"/>
          <w:bCs/>
          <w:sz w:val="24"/>
        </w:rPr>
        <w:t>（2）通讯开会</w:t>
      </w:r>
    </w:p>
    <w:p>
      <w:pPr>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ascii="宋体" w:hAnsi="宋体"/>
          <w:bCs/>
          <w:sz w:val="24"/>
        </w:rPr>
      </w:pPr>
      <w:r>
        <w:rPr>
          <w:rFonts w:ascii="宋体" w:hAnsi="宋体"/>
          <w:bCs/>
          <w:sz w:val="24"/>
        </w:rPr>
        <w:t>（六）</w:t>
      </w:r>
      <w:r>
        <w:rPr>
          <w:rFonts w:hint="eastAsia" w:ascii="宋体" w:hAnsi="宋体"/>
          <w:bCs/>
          <w:sz w:val="24"/>
        </w:rPr>
        <w:t>表决</w:t>
      </w:r>
    </w:p>
    <w:p>
      <w:pPr>
        <w:spacing w:line="360" w:lineRule="auto"/>
        <w:ind w:firstLine="480" w:firstLineChars="200"/>
        <w:rPr>
          <w:bCs/>
          <w:sz w:val="24"/>
        </w:rPr>
      </w:pPr>
      <w:r>
        <w:rPr>
          <w:rFonts w:hint="eastAsia"/>
          <w:bCs/>
          <w:sz w:val="24"/>
        </w:rPr>
        <w:t>基金份额持有人所持每份基金份额有一票表决权。</w:t>
      </w:r>
    </w:p>
    <w:p>
      <w:pPr>
        <w:spacing w:line="360" w:lineRule="auto"/>
        <w:ind w:firstLine="480" w:firstLineChars="200"/>
        <w:rPr>
          <w:bCs/>
          <w:sz w:val="24"/>
        </w:rPr>
      </w:pPr>
      <w:r>
        <w:rPr>
          <w:rFonts w:hint="eastAsia"/>
          <w:bCs/>
          <w:sz w:val="24"/>
        </w:rPr>
        <w:t>基金份额持有人大会决议分为一般决议和特别决议：</w:t>
      </w:r>
    </w:p>
    <w:p>
      <w:pPr>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spacing w:line="360" w:lineRule="auto"/>
        <w:ind w:firstLine="480" w:firstLineChars="200"/>
        <w:rPr>
          <w:bCs/>
          <w:sz w:val="24"/>
        </w:rPr>
      </w:pPr>
      <w:r>
        <w:rPr>
          <w:rFonts w:hint="eastAsia"/>
          <w:bCs/>
          <w:sz w:val="24"/>
        </w:rPr>
        <w:t>基金份额持有人大会采取记名方式进行投票表决。</w:t>
      </w:r>
    </w:p>
    <w:p>
      <w:pPr>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七</w:t>
      </w:r>
      <w:r>
        <w:rPr>
          <w:rFonts w:hint="eastAsia" w:ascii="宋体" w:hAnsi="宋体"/>
          <w:bCs/>
          <w:sz w:val="24"/>
        </w:rPr>
        <w:t>）</w:t>
      </w:r>
      <w:r>
        <w:rPr>
          <w:rFonts w:ascii="宋体" w:hAnsi="宋体"/>
          <w:bCs/>
          <w:sz w:val="24"/>
        </w:rPr>
        <w:t>计票</w:t>
      </w:r>
    </w:p>
    <w:p>
      <w:pPr>
        <w:spacing w:line="360" w:lineRule="auto"/>
        <w:ind w:firstLine="480" w:firstLineChars="200"/>
        <w:rPr>
          <w:bCs/>
          <w:sz w:val="24"/>
        </w:rPr>
      </w:pPr>
      <w:r>
        <w:rPr>
          <w:rFonts w:hint="eastAsia"/>
          <w:bCs/>
          <w:sz w:val="24"/>
        </w:rPr>
        <w:t>1、现场开会</w:t>
      </w:r>
    </w:p>
    <w:p>
      <w:pPr>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spacing w:line="360" w:lineRule="auto"/>
        <w:ind w:firstLine="480" w:firstLineChars="200"/>
        <w:rPr>
          <w:bCs/>
          <w:sz w:val="24"/>
        </w:rPr>
      </w:pPr>
      <w:r>
        <w:rPr>
          <w:rFonts w:hint="eastAsia"/>
          <w:bCs/>
          <w:sz w:val="24"/>
        </w:rPr>
        <w:t>2、通讯开会</w:t>
      </w:r>
    </w:p>
    <w:p>
      <w:pPr>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八</w:t>
      </w:r>
      <w:r>
        <w:rPr>
          <w:rFonts w:hint="eastAsia" w:ascii="宋体" w:hAnsi="宋体"/>
          <w:bCs/>
          <w:sz w:val="24"/>
        </w:rPr>
        <w:t>）</w:t>
      </w:r>
      <w:r>
        <w:rPr>
          <w:rFonts w:ascii="宋体" w:hAnsi="宋体"/>
          <w:bCs/>
          <w:sz w:val="24"/>
        </w:rPr>
        <w:t>生效与公告</w:t>
      </w:r>
    </w:p>
    <w:p>
      <w:pPr>
        <w:spacing w:line="360" w:lineRule="auto"/>
        <w:ind w:firstLine="480" w:firstLineChars="200"/>
        <w:rPr>
          <w:bCs/>
          <w:sz w:val="24"/>
        </w:rPr>
      </w:pPr>
      <w:r>
        <w:rPr>
          <w:rFonts w:hint="eastAsia"/>
          <w:bCs/>
          <w:sz w:val="24"/>
        </w:rPr>
        <w:t>基金份额持有人大会的决议，召集人应当自通过之日起5日内报中国证监会备案。基金份额持有人大会的决议自表决通过之日起生效。法律法规另有规定的，从其规定。</w:t>
      </w:r>
    </w:p>
    <w:p>
      <w:pPr>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ascii="宋体" w:hAnsi="宋体"/>
          <w:bCs/>
          <w:sz w:val="24"/>
        </w:rPr>
      </w:pPr>
      <w:r>
        <w:rPr>
          <w:rFonts w:hint="eastAsia" w:ascii="宋体" w:hAnsi="宋体"/>
          <w:bCs/>
          <w:sz w:val="24"/>
        </w:rPr>
        <w:t>（九）实施侧袋机制期间基金份额持有人大会的特殊约定</w:t>
      </w:r>
    </w:p>
    <w:p>
      <w:pPr>
        <w:spacing w:line="360" w:lineRule="auto"/>
        <w:ind w:firstLine="480" w:firstLineChars="200"/>
        <w:rPr>
          <w:rFonts w:ascii="宋体" w:hAnsi="宋体"/>
          <w:bCs/>
          <w:sz w:val="24"/>
        </w:rPr>
      </w:pPr>
      <w:r>
        <w:rPr>
          <w:rFonts w:hint="eastAsia" w:ascii="宋体" w:hAnsi="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ascii="宋体" w:hAnsi="宋体"/>
          <w:bCs/>
          <w:sz w:val="24"/>
        </w:rPr>
      </w:pPr>
      <w:r>
        <w:rPr>
          <w:rFonts w:hint="eastAsia" w:ascii="宋体" w:hAnsi="宋体"/>
          <w:bCs/>
          <w:sz w:val="24"/>
        </w:rPr>
        <w:t>1、基金份额持有人行使提议权、召集权、提名权所需单独或合计代表相关基金份额10%以上（含10%）；</w:t>
      </w:r>
    </w:p>
    <w:p>
      <w:pPr>
        <w:spacing w:line="360" w:lineRule="auto"/>
        <w:ind w:firstLine="480" w:firstLineChars="200"/>
        <w:rPr>
          <w:rFonts w:ascii="宋体" w:hAnsi="宋体"/>
          <w:bCs/>
          <w:sz w:val="24"/>
        </w:rPr>
      </w:pPr>
      <w:r>
        <w:rPr>
          <w:rFonts w:hint="eastAsia" w:ascii="宋体" w:hAnsi="宋体"/>
          <w:bCs/>
          <w:sz w:val="24"/>
        </w:rPr>
        <w:t>2、现场开会的到会者在权益登记日代表的基金份额不少于本基金在权益登记日相关基金份额的二分之一（含二分之一）；</w:t>
      </w:r>
    </w:p>
    <w:p>
      <w:pPr>
        <w:spacing w:line="360" w:lineRule="auto"/>
        <w:ind w:firstLine="480" w:firstLineChars="200"/>
        <w:rPr>
          <w:rFonts w:ascii="宋体" w:hAnsi="宋体"/>
          <w:bCs/>
          <w:sz w:val="24"/>
        </w:rPr>
      </w:pPr>
      <w:r>
        <w:rPr>
          <w:rFonts w:hint="eastAsia" w:ascii="宋体" w:hAnsi="宋体"/>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ascii="宋体" w:hAnsi="宋体"/>
          <w:bCs/>
          <w:sz w:val="24"/>
        </w:rPr>
      </w:pPr>
      <w:r>
        <w:rPr>
          <w:rFonts w:hint="eastAsia" w:ascii="宋体" w:hAnsi="宋体"/>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ascii="宋体" w:hAnsi="宋体"/>
          <w:bCs/>
          <w:sz w:val="24"/>
        </w:rPr>
      </w:pPr>
      <w:r>
        <w:rPr>
          <w:rFonts w:hint="eastAsia" w:ascii="宋体" w:hAnsi="宋体"/>
          <w:bCs/>
          <w:sz w:val="24"/>
        </w:rPr>
        <w:t>5、现场开会由出席大会的基金份额持有人和代理人所持表决权的50%以上（含50%）选举产生一名基金份额持有人或代理人作为该次基金份额持有人大会的主持人；</w:t>
      </w:r>
    </w:p>
    <w:p>
      <w:pPr>
        <w:spacing w:line="360" w:lineRule="auto"/>
        <w:ind w:firstLine="480" w:firstLineChars="200"/>
        <w:rPr>
          <w:rFonts w:ascii="宋体" w:hAnsi="宋体"/>
          <w:bCs/>
          <w:sz w:val="24"/>
        </w:rPr>
      </w:pPr>
      <w:r>
        <w:rPr>
          <w:rFonts w:hint="eastAsia" w:ascii="宋体" w:hAnsi="宋体"/>
          <w:bCs/>
          <w:sz w:val="24"/>
        </w:rPr>
        <w:t>6、一般决议须经参加大会的基金份额持有人或其代理人所持表决权的二分之一以上（含二分之一）通过；</w:t>
      </w:r>
    </w:p>
    <w:p>
      <w:pPr>
        <w:spacing w:line="360" w:lineRule="auto"/>
        <w:ind w:firstLine="480" w:firstLineChars="200"/>
        <w:rPr>
          <w:rFonts w:ascii="宋体" w:hAnsi="宋体"/>
          <w:bCs/>
          <w:sz w:val="24"/>
        </w:rPr>
      </w:pPr>
      <w:r>
        <w:rPr>
          <w:rFonts w:hint="eastAsia" w:ascii="宋体" w:hAnsi="宋体"/>
          <w:bCs/>
          <w:sz w:val="24"/>
        </w:rPr>
        <w:t>7、特别决议应当经参加大会的基金份额持有人或其代理人所持表决权的三分之二以上（含三分之二）通过。</w:t>
      </w:r>
    </w:p>
    <w:p>
      <w:pPr>
        <w:spacing w:line="360" w:lineRule="auto"/>
        <w:ind w:firstLine="480" w:firstLineChars="200"/>
        <w:rPr>
          <w:rFonts w:ascii="宋体" w:hAnsi="宋体"/>
          <w:bCs/>
          <w:sz w:val="24"/>
        </w:rPr>
      </w:pPr>
      <w:r>
        <w:rPr>
          <w:rFonts w:hint="eastAsia" w:ascii="宋体" w:hAnsi="宋体"/>
          <w:bCs/>
          <w:sz w:val="24"/>
        </w:rPr>
        <w:t>同一主侧袋账户内的每份基金份额具有平等的表决权。</w:t>
      </w:r>
    </w:p>
    <w:p>
      <w:pPr>
        <w:spacing w:line="360" w:lineRule="auto"/>
        <w:ind w:firstLine="480" w:firstLineChars="200"/>
        <w:rPr>
          <w:rFonts w:ascii="宋体" w:hAnsi="宋体"/>
          <w:bCs/>
          <w:sz w:val="24"/>
        </w:rPr>
      </w:pPr>
      <w:r>
        <w:rPr>
          <w:rFonts w:hint="eastAsia" w:ascii="宋体" w:hAnsi="宋体"/>
          <w:bCs/>
          <w:sz w:val="24"/>
        </w:rPr>
        <w:t>（十）本部分对基金份额持有人大会召开事由、召开条件、议事程序、表决条件等规定，凡是直接引用法律法规</w:t>
      </w:r>
      <w:r>
        <w:rPr>
          <w:rFonts w:hint="eastAsia"/>
          <w:bCs/>
          <w:sz w:val="24"/>
        </w:rPr>
        <w:t>或监管规则</w:t>
      </w:r>
      <w:r>
        <w:rPr>
          <w:rFonts w:hint="eastAsia" w:ascii="宋体" w:hAnsi="宋体"/>
          <w:bCs/>
          <w:sz w:val="24"/>
        </w:rPr>
        <w:t>的部分，如将来法律法规</w:t>
      </w:r>
      <w:r>
        <w:rPr>
          <w:rFonts w:hint="eastAsia"/>
          <w:bCs/>
          <w:sz w:val="24"/>
        </w:rPr>
        <w:t>或监管规则</w:t>
      </w:r>
      <w:r>
        <w:rPr>
          <w:rFonts w:hint="eastAsia" w:ascii="宋体" w:hAnsi="宋体"/>
          <w:bCs/>
          <w:sz w:val="24"/>
        </w:rPr>
        <w:t>修改导致相关内容被取消或变更的，基金管理人经与基金托管人协商一致并提前公告后，可直接对本部分内容进行修改和调整，无需召开基金份额持有人大会审议。</w:t>
      </w:r>
    </w:p>
    <w:p>
      <w:pPr>
        <w:pStyle w:val="38"/>
        <w:spacing w:afterLines="0"/>
        <w:ind w:firstLine="482"/>
        <w:rPr>
          <w:rFonts w:ascii="宋体" w:hAnsi="宋体"/>
          <w:b/>
        </w:rPr>
      </w:pPr>
      <w:r>
        <w:rPr>
          <w:rFonts w:ascii="宋体" w:hAnsi="宋体"/>
          <w:b/>
        </w:rPr>
        <w:t>三、基金收益分配原则、执行方式</w:t>
      </w:r>
    </w:p>
    <w:p>
      <w:pPr>
        <w:spacing w:line="360" w:lineRule="auto"/>
        <w:ind w:firstLine="480" w:firstLineChars="200"/>
        <w:rPr>
          <w:rFonts w:ascii="宋体" w:hAnsi="宋体"/>
          <w:sz w:val="24"/>
        </w:rPr>
      </w:pPr>
      <w:r>
        <w:rPr>
          <w:rFonts w:ascii="宋体" w:hAnsi="宋体"/>
          <w:sz w:val="24"/>
        </w:rPr>
        <w:t>（一）基金收益分配原则</w:t>
      </w:r>
    </w:p>
    <w:p>
      <w:pPr>
        <w:spacing w:line="360" w:lineRule="auto"/>
        <w:ind w:firstLine="540" w:firstLineChars="225"/>
        <w:rPr>
          <w:rFonts w:ascii="宋体" w:hAnsi="宋体"/>
          <w:sz w:val="24"/>
        </w:rPr>
      </w:pPr>
      <w:r>
        <w:rPr>
          <w:rFonts w:hint="eastAsia" w:ascii="宋体" w:hAnsi="宋体"/>
          <w:sz w:val="24"/>
        </w:rPr>
        <w:t>1、由于本基金A类基金份额不收取销售服务费，C类基金份额收取销售服务费，各基金份额类别对应的可供分配利润将有所不同；</w:t>
      </w:r>
    </w:p>
    <w:p>
      <w:pPr>
        <w:spacing w:line="360" w:lineRule="auto"/>
        <w:ind w:firstLine="540" w:firstLineChars="225"/>
        <w:rPr>
          <w:rFonts w:ascii="宋体" w:hAnsi="宋体"/>
          <w:sz w:val="24"/>
        </w:rPr>
      </w:pPr>
      <w:r>
        <w:rPr>
          <w:rFonts w:hint="eastAsia" w:ascii="宋体" w:hAnsi="宋体"/>
          <w:sz w:val="24"/>
        </w:rPr>
        <w:t>2、基金管理人可每季度对基金相对业绩比较基准的超额收益率以及基金的可供分配利润进行评价，在符合收益分配相关规定的前提下，基金管理人可进行收益分配；</w:t>
      </w:r>
    </w:p>
    <w:p>
      <w:pPr>
        <w:spacing w:line="360" w:lineRule="auto"/>
        <w:ind w:firstLine="540" w:firstLineChars="225"/>
        <w:rPr>
          <w:rFonts w:ascii="宋体" w:hAnsi="宋体"/>
          <w:sz w:val="24"/>
        </w:rPr>
      </w:pPr>
      <w:r>
        <w:rPr>
          <w:rFonts w:hint="eastAsia" w:ascii="宋体" w:hAnsi="宋体"/>
          <w:sz w:val="24"/>
        </w:rPr>
        <w:t>3、在符合有关基金分红条件的前提下，本基金可每季度进行收益分配，基金管理人也可根据实际情况在其他日期对本基金进行收益分配，具体分配方案以公告为准；若《基金合同》生效不满3个月可不进行收益分配；</w:t>
      </w:r>
    </w:p>
    <w:p>
      <w:pPr>
        <w:spacing w:line="360" w:lineRule="auto"/>
        <w:ind w:firstLine="540" w:firstLineChars="225"/>
        <w:rPr>
          <w:rFonts w:ascii="宋体" w:hAnsi="宋体"/>
          <w:sz w:val="24"/>
        </w:rPr>
      </w:pPr>
      <w:r>
        <w:rPr>
          <w:rFonts w:hint="eastAsia" w:ascii="宋体" w:hAnsi="宋体"/>
          <w:sz w:val="24"/>
        </w:rPr>
        <w:t>4、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spacing w:line="360" w:lineRule="auto"/>
        <w:ind w:firstLine="540" w:firstLineChars="225"/>
        <w:rPr>
          <w:rFonts w:ascii="宋体" w:hAnsi="宋体"/>
          <w:sz w:val="24"/>
        </w:rPr>
      </w:pPr>
      <w:r>
        <w:rPr>
          <w:rFonts w:hint="eastAsia" w:ascii="宋体" w:hAnsi="宋体"/>
          <w:sz w:val="24"/>
        </w:rPr>
        <w:t>5、本基金同一基金份额类别的每一基金份额享有同等分配权；</w:t>
      </w:r>
    </w:p>
    <w:p>
      <w:pPr>
        <w:spacing w:line="360" w:lineRule="auto"/>
        <w:ind w:firstLine="540" w:firstLineChars="225"/>
        <w:rPr>
          <w:rFonts w:ascii="宋体" w:hAnsi="宋体"/>
          <w:sz w:val="24"/>
        </w:rPr>
      </w:pPr>
      <w:r>
        <w:rPr>
          <w:rFonts w:hint="eastAsia" w:ascii="宋体" w:hAnsi="宋体"/>
          <w:sz w:val="24"/>
        </w:rPr>
        <w:t>6、法律法规或监管机关另有规定的，从其规定。</w:t>
      </w:r>
    </w:p>
    <w:p>
      <w:pPr>
        <w:spacing w:line="360" w:lineRule="auto"/>
        <w:ind w:firstLine="540" w:firstLineChars="225"/>
        <w:rPr>
          <w:bCs/>
        </w:rPr>
      </w:pPr>
      <w:r>
        <w:rPr>
          <w:rFonts w:hint="eastAsia" w:ascii="宋体" w:hAnsi="宋体"/>
          <w:sz w:val="24"/>
        </w:rPr>
        <w:t>基金管理人可在不违反法律法规且对基金份额持有人利益无实质性不利影响的前提下，在履行适当程序后对上述原则进行修改或调整。</w:t>
      </w:r>
    </w:p>
    <w:p>
      <w:pPr>
        <w:pStyle w:val="38"/>
        <w:spacing w:afterLines="0"/>
        <w:ind w:firstLine="480"/>
        <w:rPr>
          <w:rFonts w:ascii="宋体" w:hAnsi="宋体"/>
        </w:rPr>
      </w:pPr>
      <w:r>
        <w:rPr>
          <w:rFonts w:ascii="宋体" w:hAnsi="宋体"/>
        </w:rPr>
        <w:t>（二）收益分配方案</w:t>
      </w:r>
    </w:p>
    <w:p>
      <w:pPr>
        <w:pStyle w:val="38"/>
        <w:spacing w:afterLines="0"/>
        <w:ind w:firstLine="480"/>
        <w:rPr>
          <w:rFonts w:ascii="宋体" w:hAnsi="宋体"/>
        </w:rPr>
      </w:pPr>
      <w:r>
        <w:rPr>
          <w:rFonts w:hint="eastAsia" w:ascii="宋体" w:hAnsi="宋体"/>
        </w:rPr>
        <w:t>基金收益分配方案中应载明截止收益分配基准日的可供分配利润、基金收益分配对象、分配时间、分配数额及比例、分配方式等内容。</w:t>
      </w:r>
    </w:p>
    <w:p>
      <w:pPr>
        <w:pStyle w:val="38"/>
        <w:spacing w:afterLines="0"/>
        <w:ind w:firstLine="480"/>
        <w:rPr>
          <w:rFonts w:ascii="宋体" w:hAnsi="宋体"/>
        </w:rPr>
      </w:pPr>
      <w:r>
        <w:rPr>
          <w:rFonts w:ascii="宋体" w:hAnsi="宋体"/>
        </w:rPr>
        <w:t>（三）收益分配方案的确定、公告与实施</w:t>
      </w:r>
    </w:p>
    <w:p>
      <w:pPr>
        <w:pStyle w:val="38"/>
        <w:spacing w:after="78"/>
        <w:ind w:firstLine="480"/>
        <w:rPr>
          <w:rFonts w:ascii="宋体" w:hAnsi="宋体"/>
        </w:rPr>
      </w:pPr>
      <w:r>
        <w:rPr>
          <w:rFonts w:hint="eastAsia" w:ascii="宋体" w:hAnsi="宋体"/>
        </w:rPr>
        <w:t>本基金收益分配方案由基金管理人拟定，并由基金托管人复核，依照《信息披露办法》的规定在</w:t>
      </w:r>
      <w:r>
        <w:rPr>
          <w:rFonts w:hint="eastAsia"/>
          <w:bCs/>
        </w:rPr>
        <w:t>规定</w:t>
      </w:r>
      <w:r>
        <w:rPr>
          <w:rFonts w:hint="eastAsia" w:ascii="宋体" w:hAnsi="宋体"/>
        </w:rPr>
        <w:t>媒介公告。</w:t>
      </w:r>
    </w:p>
    <w:p>
      <w:pPr>
        <w:pStyle w:val="38"/>
        <w:spacing w:afterLines="0"/>
        <w:ind w:firstLine="480"/>
        <w:rPr>
          <w:rFonts w:ascii="宋体" w:hAnsi="宋体"/>
          <w:b/>
        </w:rPr>
      </w:pPr>
      <w:r>
        <w:rPr>
          <w:rFonts w:hint="eastAsia" w:ascii="宋体" w:hAnsi="宋体"/>
        </w:rPr>
        <w:t>法律法规或监管机关另有规定的，从其规定。</w:t>
      </w:r>
    </w:p>
    <w:p>
      <w:pPr>
        <w:pStyle w:val="38"/>
        <w:spacing w:afterLines="0"/>
        <w:ind w:firstLine="482"/>
        <w:rPr>
          <w:rFonts w:ascii="宋体" w:hAnsi="宋体"/>
          <w:b/>
        </w:rPr>
      </w:pPr>
      <w:r>
        <w:rPr>
          <w:rFonts w:ascii="宋体" w:hAnsi="宋体"/>
          <w:b/>
        </w:rPr>
        <w:t>四、与基金财产管理、运用有关费用的提取、支付方式与比例</w:t>
      </w:r>
    </w:p>
    <w:p>
      <w:pPr>
        <w:pStyle w:val="38"/>
        <w:spacing w:after="78"/>
        <w:ind w:firstLine="480"/>
        <w:rPr>
          <w:rFonts w:ascii="宋体" w:hAnsi="宋体"/>
          <w:bCs/>
        </w:rPr>
      </w:pPr>
      <w:r>
        <w:rPr>
          <w:rFonts w:hint="eastAsia" w:ascii="宋体" w:hAnsi="宋体"/>
          <w:bCs/>
        </w:rPr>
        <w:t>（一）基金费用的种类</w:t>
      </w:r>
    </w:p>
    <w:p>
      <w:pPr>
        <w:spacing w:line="360" w:lineRule="auto"/>
        <w:ind w:firstLine="480" w:firstLineChars="200"/>
        <w:rPr>
          <w:bCs/>
          <w:sz w:val="24"/>
        </w:rPr>
      </w:pPr>
      <w:r>
        <w:rPr>
          <w:rFonts w:hint="eastAsia"/>
          <w:bCs/>
          <w:sz w:val="24"/>
        </w:rPr>
        <w:t>1、基金管理人的管理费；</w:t>
      </w:r>
    </w:p>
    <w:p>
      <w:pPr>
        <w:spacing w:line="360" w:lineRule="auto"/>
        <w:ind w:firstLine="480" w:firstLineChars="200"/>
        <w:rPr>
          <w:bCs/>
          <w:sz w:val="24"/>
        </w:rPr>
      </w:pPr>
      <w:r>
        <w:rPr>
          <w:rFonts w:hint="eastAsia"/>
          <w:bCs/>
          <w:sz w:val="24"/>
        </w:rPr>
        <w:t>2、基金托管人的托管费；</w:t>
      </w:r>
    </w:p>
    <w:p>
      <w:pPr>
        <w:spacing w:line="360" w:lineRule="auto"/>
        <w:ind w:firstLine="480" w:firstLineChars="200"/>
        <w:rPr>
          <w:bCs/>
          <w:sz w:val="24"/>
        </w:rPr>
      </w:pPr>
      <w:r>
        <w:rPr>
          <w:rFonts w:hint="eastAsia"/>
          <w:bCs/>
          <w:sz w:val="24"/>
        </w:rPr>
        <w:t>3、《基金合同》生效后与基金相关的信息披露费用；</w:t>
      </w:r>
    </w:p>
    <w:p>
      <w:pPr>
        <w:spacing w:line="360" w:lineRule="auto"/>
        <w:ind w:firstLine="480" w:firstLineChars="200"/>
        <w:rPr>
          <w:bCs/>
          <w:sz w:val="24"/>
        </w:rPr>
      </w:pPr>
      <w:r>
        <w:rPr>
          <w:rFonts w:hint="eastAsia"/>
          <w:bCs/>
          <w:sz w:val="24"/>
        </w:rPr>
        <w:t>4、《基金合同》生效后与基金相关的会计师费、律师费、仲裁费和诉讼费；</w:t>
      </w:r>
    </w:p>
    <w:p>
      <w:pPr>
        <w:spacing w:line="360" w:lineRule="auto"/>
        <w:ind w:firstLine="480" w:firstLineChars="200"/>
        <w:rPr>
          <w:bCs/>
          <w:sz w:val="24"/>
        </w:rPr>
      </w:pPr>
      <w:r>
        <w:rPr>
          <w:rFonts w:hint="eastAsia"/>
          <w:bCs/>
          <w:sz w:val="24"/>
        </w:rPr>
        <w:t>5、基金份额持有人大会费用；</w:t>
      </w:r>
    </w:p>
    <w:p>
      <w:pPr>
        <w:spacing w:line="360" w:lineRule="auto"/>
        <w:ind w:firstLine="480" w:firstLineChars="200"/>
        <w:rPr>
          <w:bCs/>
          <w:sz w:val="24"/>
        </w:rPr>
      </w:pPr>
      <w:r>
        <w:rPr>
          <w:rFonts w:hint="eastAsia"/>
          <w:bCs/>
          <w:sz w:val="24"/>
        </w:rPr>
        <w:t>6、基金的证券/期货交易费用；</w:t>
      </w:r>
    </w:p>
    <w:p>
      <w:pPr>
        <w:spacing w:line="360" w:lineRule="auto"/>
        <w:ind w:firstLine="480" w:firstLineChars="200"/>
        <w:rPr>
          <w:bCs/>
          <w:sz w:val="24"/>
        </w:rPr>
      </w:pPr>
      <w:r>
        <w:rPr>
          <w:rFonts w:hint="eastAsia"/>
          <w:bCs/>
          <w:sz w:val="24"/>
        </w:rPr>
        <w:t>7、基金的银行汇划费用；</w:t>
      </w:r>
    </w:p>
    <w:p>
      <w:pPr>
        <w:spacing w:line="360" w:lineRule="auto"/>
        <w:ind w:firstLine="480" w:firstLineChars="200"/>
        <w:rPr>
          <w:bCs/>
          <w:sz w:val="24"/>
        </w:rPr>
      </w:pPr>
      <w:r>
        <w:rPr>
          <w:rFonts w:hint="eastAsia"/>
          <w:bCs/>
          <w:sz w:val="24"/>
        </w:rPr>
        <w:t>8、基金的开户费用、账户维护费用；</w:t>
      </w:r>
    </w:p>
    <w:p>
      <w:pPr>
        <w:spacing w:line="360" w:lineRule="auto"/>
        <w:ind w:firstLine="480" w:firstLineChars="200"/>
        <w:rPr>
          <w:bCs/>
          <w:sz w:val="24"/>
        </w:rPr>
      </w:pPr>
      <w:r>
        <w:rPr>
          <w:rFonts w:hint="eastAsia"/>
          <w:bCs/>
          <w:sz w:val="24"/>
        </w:rPr>
        <w:t>9、因投资港股通标的股票而产生的各项合理费用；</w:t>
      </w:r>
    </w:p>
    <w:p>
      <w:pPr>
        <w:spacing w:line="360" w:lineRule="auto"/>
        <w:ind w:firstLine="480" w:firstLineChars="200"/>
        <w:rPr>
          <w:bCs/>
          <w:sz w:val="24"/>
        </w:rPr>
      </w:pPr>
      <w:r>
        <w:rPr>
          <w:rFonts w:hint="eastAsia"/>
          <w:bCs/>
          <w:sz w:val="24"/>
        </w:rPr>
        <w:t>10、本基金从C类基金份额的基金财产中计提的销售服务费；</w:t>
      </w:r>
    </w:p>
    <w:p>
      <w:pPr>
        <w:spacing w:line="360" w:lineRule="auto"/>
        <w:ind w:firstLine="480" w:firstLineChars="200"/>
        <w:rPr>
          <w:bCs/>
          <w:sz w:val="24"/>
        </w:rPr>
      </w:pPr>
      <w:r>
        <w:rPr>
          <w:rFonts w:hint="eastAsia"/>
          <w:bCs/>
          <w:sz w:val="24"/>
        </w:rPr>
        <w:t>11、按照国家有关规定和《基金合同》约定，可以在基金财产中列支的其他费用。</w:t>
      </w:r>
    </w:p>
    <w:p>
      <w:pPr>
        <w:spacing w:line="360" w:lineRule="auto"/>
        <w:ind w:firstLine="480" w:firstLineChars="200"/>
        <w:rPr>
          <w:bCs/>
          <w:sz w:val="24"/>
        </w:rPr>
      </w:pPr>
      <w:r>
        <w:rPr>
          <w:rFonts w:hint="eastAsia"/>
          <w:bCs/>
          <w:sz w:val="24"/>
        </w:rPr>
        <w:t>（二）基金费用计提方法、计提标准和支付方式</w:t>
      </w:r>
    </w:p>
    <w:p>
      <w:pPr>
        <w:spacing w:line="360" w:lineRule="auto"/>
        <w:ind w:firstLine="480" w:firstLineChars="200"/>
        <w:rPr>
          <w:bCs/>
          <w:sz w:val="24"/>
        </w:rPr>
      </w:pPr>
      <w:r>
        <w:rPr>
          <w:rFonts w:hint="eastAsia"/>
          <w:bCs/>
          <w:sz w:val="24"/>
        </w:rPr>
        <w:t>1、基金管理人的管理费</w:t>
      </w:r>
    </w:p>
    <w:p>
      <w:pPr>
        <w:spacing w:line="360" w:lineRule="auto"/>
        <w:ind w:firstLine="480" w:firstLineChars="200"/>
        <w:rPr>
          <w:bCs/>
          <w:sz w:val="24"/>
        </w:rPr>
      </w:pPr>
      <w:r>
        <w:rPr>
          <w:rFonts w:hint="eastAsia"/>
          <w:bCs/>
          <w:sz w:val="24"/>
        </w:rPr>
        <w:t>本基金的管理费按前一日基金资产净值的0.8%年费率计提。管理费的计算方法如下：</w:t>
      </w:r>
    </w:p>
    <w:p>
      <w:pPr>
        <w:spacing w:line="360" w:lineRule="auto"/>
        <w:ind w:firstLine="480" w:firstLineChars="200"/>
        <w:rPr>
          <w:bCs/>
          <w:sz w:val="24"/>
        </w:rPr>
      </w:pPr>
      <w:r>
        <w:rPr>
          <w:rFonts w:hint="eastAsia"/>
          <w:bCs/>
          <w:sz w:val="24"/>
        </w:rPr>
        <w:t>H＝E×0.8%÷当年天数</w:t>
      </w:r>
    </w:p>
    <w:p>
      <w:pPr>
        <w:spacing w:line="360" w:lineRule="auto"/>
        <w:ind w:firstLine="480" w:firstLineChars="200"/>
        <w:rPr>
          <w:bCs/>
          <w:sz w:val="24"/>
        </w:rPr>
      </w:pPr>
      <w:r>
        <w:rPr>
          <w:rFonts w:hint="eastAsia"/>
          <w:bCs/>
          <w:sz w:val="24"/>
        </w:rPr>
        <w:t>H为每日应计提的基金管理费</w:t>
      </w:r>
    </w:p>
    <w:p>
      <w:pPr>
        <w:spacing w:line="360" w:lineRule="auto"/>
        <w:ind w:firstLine="480" w:firstLineChars="200"/>
        <w:rPr>
          <w:bCs/>
          <w:sz w:val="24"/>
        </w:rPr>
      </w:pPr>
      <w:r>
        <w:rPr>
          <w:rFonts w:hint="eastAsia"/>
          <w:bCs/>
          <w:sz w:val="24"/>
        </w:rPr>
        <w:t>E为前一日的基金资产净值</w:t>
      </w:r>
    </w:p>
    <w:p>
      <w:pPr>
        <w:spacing w:line="360" w:lineRule="auto"/>
        <w:ind w:firstLine="480" w:firstLineChars="200"/>
        <w:rPr>
          <w:bCs/>
          <w:sz w:val="24"/>
        </w:rPr>
      </w:pPr>
      <w:r>
        <w:rPr>
          <w:rFonts w:hint="eastAsia"/>
          <w:bCs/>
          <w:sz w:val="24"/>
        </w:rPr>
        <w:t>基金管理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bCs/>
          <w:sz w:val="24"/>
        </w:rPr>
      </w:pPr>
      <w:r>
        <w:rPr>
          <w:rFonts w:hint="eastAsia"/>
          <w:bCs/>
          <w:sz w:val="24"/>
        </w:rPr>
        <w:t>2、基金托管人的托管费</w:t>
      </w:r>
    </w:p>
    <w:p>
      <w:pPr>
        <w:spacing w:line="360" w:lineRule="auto"/>
        <w:ind w:firstLine="480" w:firstLineChars="200"/>
        <w:rPr>
          <w:bCs/>
          <w:sz w:val="24"/>
        </w:rPr>
      </w:pPr>
      <w:r>
        <w:rPr>
          <w:rFonts w:hint="eastAsia"/>
          <w:bCs/>
          <w:sz w:val="24"/>
        </w:rPr>
        <w:t>本基金的托管费按前一日基金资产净值的0.15%的年费率计提。托管费的计算方法如下：</w:t>
      </w:r>
    </w:p>
    <w:p>
      <w:pPr>
        <w:spacing w:line="360" w:lineRule="auto"/>
        <w:ind w:firstLine="480" w:firstLineChars="200"/>
        <w:rPr>
          <w:bCs/>
          <w:sz w:val="24"/>
        </w:rPr>
      </w:pPr>
      <w:r>
        <w:rPr>
          <w:rFonts w:hint="eastAsia"/>
          <w:bCs/>
          <w:sz w:val="24"/>
        </w:rPr>
        <w:t>H＝E×0.15%÷当年天数</w:t>
      </w:r>
    </w:p>
    <w:p>
      <w:pPr>
        <w:spacing w:line="360" w:lineRule="auto"/>
        <w:ind w:firstLine="480" w:firstLineChars="200"/>
        <w:rPr>
          <w:bCs/>
          <w:sz w:val="24"/>
        </w:rPr>
      </w:pPr>
      <w:r>
        <w:rPr>
          <w:rFonts w:hint="eastAsia"/>
          <w:bCs/>
          <w:sz w:val="24"/>
        </w:rPr>
        <w:t>H为每日应计提的基金托管费</w:t>
      </w:r>
    </w:p>
    <w:p>
      <w:pPr>
        <w:spacing w:line="360" w:lineRule="auto"/>
        <w:ind w:firstLine="480" w:firstLineChars="200"/>
        <w:rPr>
          <w:bCs/>
          <w:sz w:val="24"/>
        </w:rPr>
      </w:pPr>
      <w:r>
        <w:rPr>
          <w:rFonts w:hint="eastAsia"/>
          <w:bCs/>
          <w:sz w:val="24"/>
        </w:rPr>
        <w:t>E为前一日的基金资产净值</w:t>
      </w:r>
    </w:p>
    <w:p>
      <w:pPr>
        <w:spacing w:line="360" w:lineRule="auto"/>
        <w:ind w:firstLine="480" w:firstLineChars="200"/>
        <w:rPr>
          <w:bCs/>
          <w:sz w:val="24"/>
        </w:rPr>
      </w:pPr>
      <w:r>
        <w:rPr>
          <w:rFonts w:hint="eastAsia"/>
          <w:bCs/>
          <w:sz w:val="24"/>
        </w:rPr>
        <w:t>基金托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bCs/>
          <w:sz w:val="24"/>
        </w:rPr>
      </w:pPr>
      <w:r>
        <w:rPr>
          <w:rFonts w:hint="eastAsia"/>
          <w:bCs/>
          <w:sz w:val="24"/>
        </w:rPr>
        <w:t>3、C类基金份额的销售服务费</w:t>
      </w:r>
    </w:p>
    <w:p>
      <w:pPr>
        <w:spacing w:line="360" w:lineRule="auto"/>
        <w:ind w:firstLine="480" w:firstLineChars="200"/>
        <w:rPr>
          <w:rFonts w:hint="eastAsia"/>
          <w:bCs/>
          <w:sz w:val="24"/>
        </w:rPr>
      </w:pPr>
      <w:r>
        <w:rPr>
          <w:rFonts w:hint="eastAsia"/>
          <w:bCs/>
          <w:sz w:val="24"/>
        </w:rPr>
        <w:t>本基金A类基金份额不收取销售服务费，C类基金份额的销售服务费按前一日C类基金份额的基金资产净值的0.2%年费率计提。销售服务费的计算方法如下：</w:t>
      </w:r>
    </w:p>
    <w:p>
      <w:pPr>
        <w:spacing w:line="360" w:lineRule="auto"/>
        <w:ind w:firstLine="480" w:firstLineChars="200"/>
        <w:rPr>
          <w:rFonts w:hint="eastAsia"/>
          <w:bCs/>
          <w:sz w:val="24"/>
        </w:rPr>
      </w:pPr>
      <w:r>
        <w:rPr>
          <w:rFonts w:hint="eastAsia"/>
          <w:bCs/>
          <w:sz w:val="24"/>
        </w:rPr>
        <w:t>H＝E×0.2%÷当年天数</w:t>
      </w:r>
    </w:p>
    <w:p>
      <w:pPr>
        <w:spacing w:line="360" w:lineRule="auto"/>
        <w:ind w:firstLine="480" w:firstLineChars="200"/>
        <w:rPr>
          <w:rFonts w:hint="eastAsia"/>
          <w:bCs/>
          <w:sz w:val="24"/>
        </w:rPr>
      </w:pPr>
      <w:r>
        <w:rPr>
          <w:rFonts w:hint="eastAsia"/>
          <w:bCs/>
          <w:sz w:val="24"/>
        </w:rPr>
        <w:t>H为C类基金份额每日应计提的销售服务费</w:t>
      </w:r>
    </w:p>
    <w:p>
      <w:pPr>
        <w:spacing w:line="360" w:lineRule="auto"/>
        <w:ind w:firstLine="480" w:firstLineChars="200"/>
        <w:rPr>
          <w:rFonts w:hint="eastAsia"/>
          <w:bCs/>
          <w:sz w:val="24"/>
        </w:rPr>
      </w:pPr>
      <w:r>
        <w:rPr>
          <w:rFonts w:hint="eastAsia"/>
          <w:bCs/>
          <w:sz w:val="24"/>
        </w:rPr>
        <w:t>E为C类基金份额前一日基金资产净值</w:t>
      </w:r>
    </w:p>
    <w:p>
      <w:pPr>
        <w:spacing w:line="360" w:lineRule="auto"/>
        <w:ind w:firstLine="480" w:firstLineChars="200"/>
        <w:rPr>
          <w:rFonts w:hint="eastAsia"/>
          <w:bCs/>
          <w:sz w:val="24"/>
        </w:rPr>
      </w:pPr>
      <w:r>
        <w:rPr>
          <w:rFonts w:hint="eastAsia"/>
          <w:bCs/>
          <w:sz w:val="24"/>
        </w:rPr>
        <w:t>C类基金份额的销售服务费具体收取/返还方式：</w:t>
      </w:r>
    </w:p>
    <w:p>
      <w:pPr>
        <w:spacing w:line="360" w:lineRule="auto"/>
        <w:ind w:firstLine="480" w:firstLineChars="200"/>
        <w:rPr>
          <w:rFonts w:hint="eastAsia"/>
          <w:bCs/>
          <w:sz w:val="24"/>
        </w:rPr>
      </w:pPr>
      <w:r>
        <w:rPr>
          <w:rFonts w:hint="eastAsia"/>
          <w:bCs/>
          <w:sz w:val="24"/>
        </w:rPr>
        <w:t>（1）通过直销机构认购/申购的C类基金份额</w:t>
      </w:r>
    </w:p>
    <w:p>
      <w:pPr>
        <w:spacing w:line="360" w:lineRule="auto"/>
        <w:ind w:firstLine="480" w:firstLineChars="200"/>
        <w:rPr>
          <w:rFonts w:hint="eastAsia"/>
          <w:bCs/>
          <w:sz w:val="24"/>
        </w:rPr>
      </w:pPr>
      <w:r>
        <w:rPr>
          <w:rFonts w:hint="eastAsia"/>
          <w:bCs/>
          <w:sz w:val="24"/>
        </w:rPr>
        <w:t>对于C类基金份额计提的销售服务费，在投资人赎回基金份额或基金合同终止时随赎回款或清算款一并返还给投资人。</w:t>
      </w:r>
    </w:p>
    <w:p>
      <w:pPr>
        <w:spacing w:line="360" w:lineRule="auto"/>
        <w:ind w:firstLine="480" w:firstLineChars="200"/>
        <w:rPr>
          <w:rFonts w:hint="eastAsia"/>
          <w:bCs/>
          <w:sz w:val="24"/>
        </w:rPr>
      </w:pPr>
      <w:r>
        <w:rPr>
          <w:rFonts w:hint="eastAsia"/>
          <w:bCs/>
          <w:sz w:val="24"/>
        </w:rPr>
        <w:t>（2）通过其他销售机构认购/申购的C类基金份额</w:t>
      </w:r>
    </w:p>
    <w:p>
      <w:pPr>
        <w:spacing w:line="360" w:lineRule="auto"/>
        <w:ind w:firstLine="480" w:firstLineChars="200"/>
        <w:rPr>
          <w:rFonts w:hint="eastAsia"/>
          <w:bCs/>
          <w:sz w:val="24"/>
        </w:rPr>
      </w:pPr>
      <w:r>
        <w:rPr>
          <w:rFonts w:hint="eastAsia"/>
          <w:bCs/>
          <w:sz w:val="24"/>
        </w:rPr>
        <w:t>对于投资人持续持有期限未超过一年的C类基金份额，销售服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rFonts w:hint="eastAsia"/>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pPr>
        <w:spacing w:line="360" w:lineRule="auto"/>
        <w:ind w:firstLine="480" w:firstLineChars="200"/>
        <w:rPr>
          <w:bCs/>
          <w:sz w:val="24"/>
        </w:rPr>
      </w:pPr>
      <w:r>
        <w:rPr>
          <w:rFonts w:hint="eastAsia"/>
          <w:bCs/>
          <w:sz w:val="24"/>
        </w:rPr>
        <w:t>C类基金份额的销售服务费将专门用于本基金的推广、销售与基金份额持有人服务。</w:t>
      </w:r>
    </w:p>
    <w:p>
      <w:pPr>
        <w:spacing w:line="360" w:lineRule="auto"/>
        <w:ind w:firstLine="480" w:firstLineChars="200"/>
        <w:rPr>
          <w:bCs/>
          <w:sz w:val="24"/>
        </w:rPr>
      </w:pPr>
      <w:r>
        <w:rPr>
          <w:rFonts w:hint="eastAsia"/>
          <w:bCs/>
          <w:sz w:val="24"/>
        </w:rPr>
        <w:t>4、上述“一、基金费用的种类”中第3－9项、第11项费用，根据有关法规及相应协议规定，按费用实际支出金额列入当期费用，由基金托管人从基金财产中支付。</w:t>
      </w:r>
    </w:p>
    <w:p>
      <w:pPr>
        <w:spacing w:line="360" w:lineRule="auto"/>
        <w:ind w:firstLine="480" w:firstLineChars="200"/>
        <w:rPr>
          <w:bCs/>
          <w:sz w:val="24"/>
        </w:rPr>
      </w:pPr>
      <w:r>
        <w:rPr>
          <w:rFonts w:hint="eastAsia"/>
          <w:bCs/>
          <w:sz w:val="24"/>
        </w:rPr>
        <w:t>（三）不列入基金费用的项目</w:t>
      </w:r>
    </w:p>
    <w:p>
      <w:pPr>
        <w:spacing w:line="360" w:lineRule="auto"/>
        <w:ind w:firstLine="480" w:firstLineChars="200"/>
        <w:rPr>
          <w:bCs/>
          <w:sz w:val="24"/>
        </w:rPr>
      </w:pPr>
      <w:r>
        <w:rPr>
          <w:bCs/>
          <w:sz w:val="24"/>
        </w:rPr>
        <w:t>下列费用不列入基金费用：</w:t>
      </w:r>
    </w:p>
    <w:p>
      <w:pPr>
        <w:spacing w:line="360" w:lineRule="auto"/>
        <w:ind w:firstLine="480" w:firstLineChars="200"/>
        <w:rPr>
          <w:bCs/>
          <w:sz w:val="24"/>
        </w:rPr>
      </w:pPr>
      <w:r>
        <w:rPr>
          <w:bCs/>
          <w:sz w:val="24"/>
        </w:rPr>
        <w:t>1、基金管理人和基金托管人因未履行或未完全履行义务导致的费用支出或基金财产的损失；</w:t>
      </w:r>
    </w:p>
    <w:p>
      <w:pPr>
        <w:spacing w:line="360" w:lineRule="auto"/>
        <w:ind w:firstLine="480" w:firstLineChars="200"/>
        <w:rPr>
          <w:bCs/>
          <w:sz w:val="24"/>
        </w:rPr>
      </w:pPr>
      <w:r>
        <w:rPr>
          <w:bCs/>
          <w:sz w:val="24"/>
        </w:rPr>
        <w:t>2、基金管理人和基金托管人处理与基金运作无关的事项发生的费用；</w:t>
      </w:r>
    </w:p>
    <w:p>
      <w:pPr>
        <w:spacing w:line="360" w:lineRule="auto"/>
        <w:ind w:firstLine="480" w:firstLineChars="200"/>
        <w:rPr>
          <w:bCs/>
          <w:sz w:val="24"/>
        </w:rPr>
      </w:pPr>
      <w:r>
        <w:rPr>
          <w:bCs/>
          <w:sz w:val="24"/>
        </w:rPr>
        <w:t>3、《基金合同》生效前的相关费用；</w:t>
      </w:r>
    </w:p>
    <w:p>
      <w:pPr>
        <w:spacing w:line="360" w:lineRule="auto"/>
        <w:ind w:firstLine="480" w:firstLineChars="200"/>
        <w:rPr>
          <w:bCs/>
          <w:sz w:val="24"/>
        </w:rPr>
      </w:pPr>
      <w:r>
        <w:rPr>
          <w:bCs/>
          <w:sz w:val="24"/>
        </w:rPr>
        <w:t>4、</w:t>
      </w:r>
      <w:r>
        <w:rPr>
          <w:rFonts w:hint="eastAsia"/>
          <w:bCs/>
          <w:sz w:val="24"/>
        </w:rPr>
        <w:t>标的指数许可使用费（由基金管理人承担）；</w:t>
      </w:r>
    </w:p>
    <w:p>
      <w:pPr>
        <w:spacing w:line="360" w:lineRule="auto"/>
        <w:ind w:firstLine="480" w:firstLineChars="200"/>
        <w:rPr>
          <w:bCs/>
          <w:sz w:val="24"/>
        </w:rPr>
      </w:pPr>
      <w:r>
        <w:rPr>
          <w:rFonts w:hint="eastAsia"/>
          <w:bCs/>
          <w:sz w:val="24"/>
        </w:rPr>
        <w:t>5、</w:t>
      </w:r>
      <w:r>
        <w:rPr>
          <w:bCs/>
          <w:sz w:val="24"/>
        </w:rPr>
        <w:t>其他根据相关法律法规及中国证监会的有关规定不得列入基金费用的项目。</w:t>
      </w:r>
    </w:p>
    <w:p>
      <w:pPr>
        <w:spacing w:line="360" w:lineRule="auto"/>
        <w:ind w:firstLine="480" w:firstLineChars="200"/>
        <w:rPr>
          <w:bCs/>
          <w:sz w:val="24"/>
        </w:rPr>
      </w:pPr>
      <w:r>
        <w:rPr>
          <w:rFonts w:hint="eastAsia"/>
          <w:bCs/>
          <w:sz w:val="24"/>
        </w:rPr>
        <w:t>（四）实施侧袋机制期间的基金费用</w:t>
      </w:r>
    </w:p>
    <w:p>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rPr>
          <w:bCs/>
          <w:sz w:val="24"/>
        </w:rPr>
      </w:pPr>
      <w:r>
        <w:rPr>
          <w:rFonts w:hint="eastAsia"/>
          <w:bCs/>
          <w:sz w:val="24"/>
        </w:rPr>
        <w:t>（五）基金税收</w:t>
      </w:r>
    </w:p>
    <w:p>
      <w:pPr>
        <w:spacing w:line="360" w:lineRule="auto"/>
        <w:ind w:firstLine="480" w:firstLineChars="20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pPr>
        <w:pStyle w:val="38"/>
        <w:spacing w:afterLines="0"/>
        <w:ind w:firstLine="482"/>
        <w:rPr>
          <w:rFonts w:ascii="宋体" w:hAnsi="宋体"/>
          <w:b/>
        </w:rPr>
      </w:pPr>
      <w:r>
        <w:rPr>
          <w:rFonts w:ascii="宋体" w:hAnsi="宋体"/>
          <w:b/>
        </w:rPr>
        <w:t>五、基金财产的投资方向和投资限制</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投资目标</w:t>
      </w:r>
    </w:p>
    <w:p>
      <w:pPr>
        <w:spacing w:line="360" w:lineRule="auto"/>
        <w:ind w:firstLine="480" w:firstLineChars="200"/>
        <w:rPr>
          <w:rFonts w:ascii="宋体" w:hAnsi="宋体"/>
          <w:bCs/>
          <w:sz w:val="24"/>
        </w:rPr>
      </w:pPr>
      <w:r>
        <w:rPr>
          <w:rFonts w:hint="eastAsia" w:ascii="宋体" w:hAnsi="宋体"/>
          <w:bCs/>
          <w:sz w:val="24"/>
        </w:rPr>
        <w:t>本基金为股票指数增强型基金，在力争对中证A500指数进行有效跟踪的基础上，对基金投资组合进行相对增强，追求超越业绩比较基准的投资回报，谋求基金资产的长期增值。</w:t>
      </w:r>
    </w:p>
    <w:p>
      <w:pPr>
        <w:spacing w:line="360" w:lineRule="auto"/>
        <w:ind w:firstLine="480" w:firstLineChars="200"/>
        <w:rPr>
          <w:rFonts w:ascii="宋体" w:hAnsi="宋体"/>
          <w:sz w:val="24"/>
        </w:rPr>
      </w:pPr>
      <w:r>
        <w:rPr>
          <w:rFonts w:hint="eastAsia" w:ascii="宋体" w:hAnsi="宋体"/>
          <w:sz w:val="24"/>
        </w:rPr>
        <w:t>（二）投资范围</w:t>
      </w:r>
    </w:p>
    <w:p>
      <w:pPr>
        <w:spacing w:line="360" w:lineRule="auto"/>
        <w:ind w:firstLine="480"/>
        <w:rPr>
          <w:rFonts w:ascii="宋体" w:hAnsi="宋体"/>
          <w:bCs/>
          <w:sz w:val="24"/>
        </w:rPr>
      </w:pPr>
      <w:r>
        <w:rPr>
          <w:rFonts w:hint="eastAsia" w:ascii="宋体" w:hAnsi="宋体"/>
          <w:bCs/>
          <w:sz w:val="24"/>
        </w:rPr>
        <w:t>本基金的投资范围为具有良好流动性的金融工具，包括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80"/>
        <w:rPr>
          <w:rFonts w:ascii="宋体" w:hAnsi="宋体"/>
          <w:bCs/>
          <w:sz w:val="24"/>
        </w:rPr>
      </w:pPr>
      <w:r>
        <w:rPr>
          <w:rFonts w:hint="eastAsia" w:ascii="宋体" w:hAnsi="宋体"/>
          <w:bCs/>
          <w:sz w:val="24"/>
        </w:rPr>
        <w:t>本基金可根据法律法规的规定参与融资及转融通证券出借业务。未来在法律法规允许的前提下，本基金可根据相关法律法规规定参与融券业务。</w:t>
      </w:r>
    </w:p>
    <w:p>
      <w:pPr>
        <w:spacing w:line="360" w:lineRule="auto"/>
        <w:ind w:firstLine="480"/>
        <w:rPr>
          <w:rFonts w:ascii="宋体" w:hAnsi="宋体"/>
          <w:bCs/>
          <w:sz w:val="24"/>
        </w:rPr>
      </w:pPr>
      <w:r>
        <w:rPr>
          <w:rFonts w:hint="eastAsia" w:ascii="宋体" w:hAnsi="宋体"/>
          <w:bCs/>
          <w:sz w:val="24"/>
        </w:rPr>
        <w:t>如法律法规或监管机构以后允许基金投资其他品种，基金管理人在履行适当程序后，可以将其纳入投资范围。</w:t>
      </w:r>
    </w:p>
    <w:p>
      <w:pPr>
        <w:spacing w:line="360" w:lineRule="auto"/>
        <w:ind w:firstLine="480"/>
        <w:rPr>
          <w:rFonts w:ascii="宋体" w:hAnsi="宋体"/>
          <w:bCs/>
          <w:sz w:val="24"/>
        </w:rPr>
      </w:pPr>
      <w:r>
        <w:rPr>
          <w:rFonts w:hint="eastAsia" w:ascii="宋体" w:hAnsi="宋体"/>
          <w:bCs/>
          <w:sz w:val="24"/>
        </w:rPr>
        <w:t>基金的投资组合比例为：本基金投资于股票（含存托凭证）占基金资产的比例不低于80%，其中投资于港股通标的股票的比例占股票资产的0%-50%；投资于中证A500指数成份股（含存托凭证）及备选成份股（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80"/>
        <w:rPr>
          <w:rFonts w:ascii="宋体" w:hAnsi="宋体"/>
          <w:bCs/>
          <w:sz w:val="24"/>
        </w:rPr>
      </w:pPr>
      <w:r>
        <w:rPr>
          <w:rFonts w:hint="eastAsia" w:ascii="宋体" w:hAnsi="宋体"/>
          <w:bCs/>
          <w:sz w:val="24"/>
        </w:rPr>
        <w:t>如果法律法规或中国证监会变更投资品种的投资比例限制，基金管理人在履行适当程序后，可以调整上述投资品种的投资比例。</w:t>
      </w:r>
    </w:p>
    <w:p>
      <w:pPr>
        <w:spacing w:line="360" w:lineRule="auto"/>
        <w:ind w:firstLine="480"/>
        <w:rPr>
          <w:rFonts w:ascii="宋体" w:hAnsi="宋体"/>
          <w:bCs/>
          <w:sz w:val="24"/>
        </w:rPr>
      </w:pPr>
      <w:r>
        <w:rPr>
          <w:rFonts w:ascii="宋体" w:hAnsi="宋体"/>
          <w:bCs/>
          <w:sz w:val="24"/>
        </w:rPr>
        <w:t>（</w:t>
      </w:r>
      <w:r>
        <w:rPr>
          <w:rFonts w:hint="eastAsia" w:ascii="宋体" w:hAnsi="宋体"/>
          <w:bCs/>
          <w:sz w:val="24"/>
        </w:rPr>
        <w:t>三</w:t>
      </w:r>
      <w:r>
        <w:rPr>
          <w:rFonts w:ascii="宋体" w:hAnsi="宋体"/>
          <w:bCs/>
          <w:sz w:val="24"/>
        </w:rPr>
        <w:t>）</w:t>
      </w:r>
      <w:r>
        <w:rPr>
          <w:rFonts w:hint="eastAsia" w:ascii="宋体" w:hAnsi="宋体"/>
          <w:bCs/>
          <w:sz w:val="24"/>
        </w:rPr>
        <w:t>投资策略</w:t>
      </w:r>
    </w:p>
    <w:p>
      <w:pPr>
        <w:spacing w:line="360" w:lineRule="auto"/>
        <w:ind w:firstLine="480" w:firstLineChars="200"/>
        <w:rPr>
          <w:bCs/>
          <w:sz w:val="24"/>
        </w:rPr>
      </w:pPr>
      <w:r>
        <w:rPr>
          <w:rFonts w:hint="eastAsia"/>
          <w:bCs/>
          <w:sz w:val="24"/>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0.5%，年跟踪误差不超过8%。</w:t>
      </w:r>
    </w:p>
    <w:p>
      <w:pPr>
        <w:spacing w:line="360" w:lineRule="auto"/>
        <w:ind w:firstLine="480" w:firstLineChars="200"/>
        <w:rPr>
          <w:bCs/>
          <w:sz w:val="24"/>
        </w:rPr>
      </w:pPr>
      <w:r>
        <w:rPr>
          <w:rFonts w:hint="eastAsia"/>
          <w:bCs/>
          <w:sz w:val="24"/>
        </w:rPr>
        <w:t>1、股票投资策略</w:t>
      </w:r>
    </w:p>
    <w:p>
      <w:pPr>
        <w:spacing w:line="360" w:lineRule="auto"/>
        <w:ind w:firstLine="480" w:firstLineChars="200"/>
        <w:rPr>
          <w:bCs/>
          <w:sz w:val="24"/>
        </w:rPr>
      </w:pPr>
      <w:r>
        <w:rPr>
          <w:rFonts w:hint="eastAsia"/>
          <w:bCs/>
          <w:sz w:val="24"/>
        </w:rPr>
        <w:t>（1）指数复制策略</w:t>
      </w:r>
    </w:p>
    <w:p>
      <w:pPr>
        <w:spacing w:line="360" w:lineRule="auto"/>
        <w:ind w:firstLine="480" w:firstLineChars="200"/>
        <w:rPr>
          <w:bCs/>
          <w:sz w:val="24"/>
        </w:rPr>
      </w:pPr>
      <w:r>
        <w:rPr>
          <w:rFonts w:hint="eastAsia"/>
          <w:bCs/>
          <w:sz w:val="24"/>
        </w:rPr>
        <w:t>本基金主要通过指数复制策略进行指数化投资，即按照标的指数成份股及其权重构建基金的股票投资组合，并根据标的指数成份股及其权重的变动对股票投资组合进行相应地调整。</w:t>
      </w:r>
    </w:p>
    <w:p>
      <w:pPr>
        <w:spacing w:line="360" w:lineRule="auto"/>
        <w:ind w:firstLine="480" w:firstLineChars="200"/>
        <w:rPr>
          <w:bCs/>
          <w:sz w:val="24"/>
        </w:rPr>
      </w:pPr>
      <w:r>
        <w:rPr>
          <w:rFonts w:hint="eastAsia"/>
          <w:bCs/>
          <w:sz w:val="24"/>
        </w:rPr>
        <w:t>（2）指数增强策略</w:t>
      </w:r>
    </w:p>
    <w:p>
      <w:pPr>
        <w:spacing w:line="360" w:lineRule="auto"/>
        <w:ind w:firstLine="480" w:firstLineChars="200"/>
        <w:rPr>
          <w:bCs/>
          <w:sz w:val="24"/>
        </w:rPr>
      </w:pPr>
      <w:r>
        <w:rPr>
          <w:rFonts w:hint="eastAsia"/>
          <w:bCs/>
          <w:sz w:val="24"/>
        </w:rPr>
        <w:t>本基金在参考标的指数成份股在标的指数中的权重比例构建基本投资组合的同时，对投资组合进行优化，力求实现超越业绩比较基准的投资收益。</w:t>
      </w:r>
    </w:p>
    <w:p>
      <w:pPr>
        <w:spacing w:line="360" w:lineRule="auto"/>
        <w:ind w:firstLine="480" w:firstLineChars="200"/>
        <w:rPr>
          <w:bCs/>
          <w:sz w:val="24"/>
        </w:rPr>
      </w:pPr>
      <w:r>
        <w:rPr>
          <w:rFonts w:hint="eastAsia"/>
          <w:bCs/>
          <w:sz w:val="24"/>
        </w:rPr>
        <w:t>在主动选股层面，本基金主要运用交银施罗德股票研究分析方法等投资分析工具，在把握宏观经济运行趋势和股票市场行业轮动的基础上，充分发挥基金管理人股票研究团队“自下而上”的主动选股能力，基于对个股深入的基本面研究和细致的实地调研，精选股票构建股票投资组合。</w:t>
      </w:r>
    </w:p>
    <w:p>
      <w:pPr>
        <w:spacing w:line="360" w:lineRule="auto"/>
        <w:ind w:firstLine="480" w:firstLineChars="200"/>
        <w:rPr>
          <w:bCs/>
          <w:sz w:val="24"/>
        </w:rPr>
      </w:pPr>
      <w:r>
        <w:rPr>
          <w:rFonts w:hint="eastAsia"/>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投资组合整体风险水平，并针对交易成本、流动性等因素对投资组合进行优化。</w:t>
      </w:r>
    </w:p>
    <w:p>
      <w:pPr>
        <w:spacing w:line="360" w:lineRule="auto"/>
        <w:ind w:firstLine="480" w:firstLineChars="200"/>
        <w:rPr>
          <w:bCs/>
          <w:sz w:val="24"/>
        </w:rPr>
      </w:pPr>
      <w:r>
        <w:rPr>
          <w:rFonts w:hint="eastAsia"/>
          <w:bCs/>
          <w:sz w:val="24"/>
        </w:rPr>
        <w:t>基金管理人将根据市场变化趋势以及后续深入持续的研究，选择适合当前市场环境的投资策略，并根据实际情况动态调整，不断改善策略的有效性与稳定性，以使得本基金能够有效达成投资目标。</w:t>
      </w:r>
    </w:p>
    <w:p>
      <w:pPr>
        <w:spacing w:line="360" w:lineRule="auto"/>
        <w:ind w:firstLine="480" w:firstLineChars="200"/>
        <w:rPr>
          <w:bCs/>
          <w:sz w:val="24"/>
        </w:rPr>
      </w:pPr>
      <w:r>
        <w:rPr>
          <w:rFonts w:hint="eastAsia"/>
          <w:bCs/>
          <w:sz w:val="24"/>
        </w:rPr>
        <w:t>（3）港股通标的股票投资策略</w:t>
      </w:r>
    </w:p>
    <w:p>
      <w:pPr>
        <w:spacing w:line="360" w:lineRule="auto"/>
        <w:ind w:firstLine="480" w:firstLineChars="200"/>
        <w:rPr>
          <w:bCs/>
          <w:sz w:val="24"/>
        </w:rPr>
      </w:pPr>
      <w:r>
        <w:rPr>
          <w:rFonts w:hint="eastAsia"/>
          <w:bCs/>
          <w:sz w:val="24"/>
        </w:rPr>
        <w:t>本基金可通过内地与香港股票市场交易互联互通机制投资于香港股票市场。本基金优先将基本面健康、业绩向上弹性较大、具有估值优势的港股通标的股票纳入本基金的股票投资组合。</w:t>
      </w:r>
    </w:p>
    <w:p>
      <w:pPr>
        <w:spacing w:line="360" w:lineRule="auto"/>
        <w:ind w:firstLine="480" w:firstLineChars="20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line="360" w:lineRule="auto"/>
        <w:ind w:firstLine="480" w:firstLineChars="200"/>
        <w:rPr>
          <w:bCs/>
          <w:sz w:val="24"/>
        </w:rPr>
      </w:pPr>
      <w:r>
        <w:rPr>
          <w:rFonts w:hint="eastAsia"/>
          <w:bCs/>
          <w:sz w:val="24"/>
        </w:rPr>
        <w:t>（4）存托凭证的投资策略</w:t>
      </w:r>
    </w:p>
    <w:p>
      <w:pPr>
        <w:spacing w:line="360" w:lineRule="auto"/>
        <w:ind w:firstLine="480" w:firstLineChars="200"/>
        <w:rPr>
          <w:bCs/>
          <w:sz w:val="24"/>
        </w:rPr>
      </w:pPr>
      <w:r>
        <w:rPr>
          <w:rFonts w:hint="eastAsia"/>
          <w:bCs/>
          <w:sz w:val="24"/>
        </w:rPr>
        <w:t>本基金投资存托凭证的策略依照境内上市交易的股票投资策略执行。</w:t>
      </w:r>
    </w:p>
    <w:p>
      <w:pPr>
        <w:spacing w:line="360" w:lineRule="auto"/>
        <w:ind w:firstLine="480" w:firstLineChars="200"/>
        <w:rPr>
          <w:bCs/>
          <w:sz w:val="24"/>
        </w:rPr>
      </w:pPr>
      <w:r>
        <w:rPr>
          <w:rFonts w:hint="eastAsia"/>
          <w:bCs/>
          <w:sz w:val="24"/>
        </w:rPr>
        <w:t>2、债券投资策略</w:t>
      </w:r>
    </w:p>
    <w:p>
      <w:pPr>
        <w:spacing w:line="360" w:lineRule="auto"/>
        <w:ind w:firstLine="480" w:firstLineChars="200"/>
        <w:rPr>
          <w:bCs/>
          <w:sz w:val="24"/>
        </w:rPr>
      </w:pPr>
      <w:r>
        <w:rPr>
          <w:rFonts w:hint="eastAsia"/>
          <w:bCs/>
          <w:sz w:val="24"/>
        </w:rPr>
        <w:t>本基金将以降低跟踪误差和流动性管理为目的，综合考虑流动性和收益性，适当参与债券投资。</w:t>
      </w:r>
    </w:p>
    <w:p>
      <w:pPr>
        <w:spacing w:line="360" w:lineRule="auto"/>
        <w:ind w:firstLine="480" w:firstLineChars="200"/>
        <w:rPr>
          <w:bCs/>
          <w:sz w:val="24"/>
        </w:rPr>
      </w:pPr>
      <w:r>
        <w:rPr>
          <w:rFonts w:hint="eastAsia"/>
          <w:bCs/>
          <w:sz w:val="24"/>
        </w:rPr>
        <w:t>3、股指期货投资策略</w:t>
      </w:r>
    </w:p>
    <w:p>
      <w:pPr>
        <w:spacing w:line="360" w:lineRule="auto"/>
        <w:ind w:firstLine="480" w:firstLineChars="20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pPr>
        <w:spacing w:line="360" w:lineRule="auto"/>
        <w:ind w:firstLine="480" w:firstLineChars="200"/>
        <w:rPr>
          <w:bCs/>
          <w:sz w:val="24"/>
        </w:rPr>
      </w:pPr>
      <w:r>
        <w:rPr>
          <w:rFonts w:hint="eastAsia"/>
          <w:bCs/>
          <w:sz w:val="24"/>
        </w:rPr>
        <w:t>4、资产支持证券投资策略</w:t>
      </w:r>
    </w:p>
    <w:p>
      <w:pPr>
        <w:spacing w:line="360" w:lineRule="auto"/>
        <w:ind w:firstLine="480" w:firstLineChars="20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pPr>
        <w:spacing w:line="360" w:lineRule="auto"/>
        <w:ind w:firstLine="480" w:firstLineChars="200"/>
        <w:rPr>
          <w:bCs/>
          <w:sz w:val="24"/>
        </w:rPr>
      </w:pPr>
      <w:r>
        <w:rPr>
          <w:rFonts w:hint="eastAsia"/>
          <w:bCs/>
          <w:sz w:val="24"/>
        </w:rPr>
        <w:t>5、融资、转融通证券出借业务投资策略</w:t>
      </w:r>
    </w:p>
    <w:p>
      <w:pPr>
        <w:spacing w:line="360" w:lineRule="auto"/>
        <w:ind w:firstLine="480" w:firstLineChars="200"/>
        <w:rPr>
          <w:bCs/>
          <w:sz w:val="24"/>
        </w:rPr>
      </w:pPr>
      <w:r>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pPr>
        <w:spacing w:line="360" w:lineRule="auto"/>
        <w:ind w:firstLine="480" w:firstLineChars="200"/>
        <w:rPr>
          <w:bCs/>
          <w:sz w:val="24"/>
        </w:rPr>
      </w:pPr>
      <w:r>
        <w:rPr>
          <w:rFonts w:hint="eastAsia"/>
          <w:bCs/>
          <w:sz w:val="24"/>
        </w:rPr>
        <w:t>未来，随着投资工具的发展和丰富，基金管理人可以在不改变投资目标的前提下，在履行适当程序后相应调整和更新相关投资策略，并在招募说明书中更新，而无需召开基金份额持有人大会。</w:t>
      </w:r>
    </w:p>
    <w:p>
      <w:pPr>
        <w:spacing w:line="360" w:lineRule="auto"/>
        <w:ind w:firstLine="480" w:firstLineChars="200"/>
        <w:rPr>
          <w:rFonts w:ascii="宋体" w:hAnsi="宋体"/>
          <w:bCs/>
          <w:sz w:val="24"/>
        </w:rPr>
      </w:pPr>
      <w:r>
        <w:rPr>
          <w:rFonts w:ascii="宋体" w:hAnsi="宋体"/>
          <w:bCs/>
          <w:sz w:val="24"/>
        </w:rPr>
        <w:t>（</w:t>
      </w:r>
      <w:r>
        <w:rPr>
          <w:rFonts w:hint="eastAsia" w:ascii="宋体" w:hAnsi="宋体"/>
          <w:sz w:val="24"/>
        </w:rPr>
        <w:t>四</w:t>
      </w:r>
      <w:r>
        <w:rPr>
          <w:rFonts w:ascii="宋体" w:hAnsi="宋体"/>
          <w:bCs/>
          <w:sz w:val="24"/>
        </w:rPr>
        <w:t>）</w:t>
      </w:r>
      <w:r>
        <w:rPr>
          <w:rFonts w:hint="eastAsia" w:ascii="宋体" w:hAnsi="宋体"/>
          <w:sz w:val="24"/>
        </w:rPr>
        <w:t>投资限制</w:t>
      </w:r>
    </w:p>
    <w:p>
      <w:pPr>
        <w:spacing w:line="360" w:lineRule="auto"/>
        <w:ind w:firstLine="480" w:firstLineChars="200"/>
        <w:rPr>
          <w:bCs/>
          <w:sz w:val="24"/>
        </w:rPr>
      </w:pPr>
      <w:r>
        <w:rPr>
          <w:rFonts w:hint="eastAsia"/>
          <w:bCs/>
          <w:sz w:val="24"/>
        </w:rPr>
        <w:t>1、组合限制</w:t>
      </w:r>
    </w:p>
    <w:p>
      <w:pPr>
        <w:spacing w:line="360" w:lineRule="auto"/>
        <w:ind w:firstLine="480" w:firstLineChars="200"/>
        <w:rPr>
          <w:bCs/>
          <w:sz w:val="24"/>
        </w:rPr>
      </w:pPr>
      <w:r>
        <w:rPr>
          <w:rFonts w:hint="eastAsia"/>
          <w:bCs/>
          <w:sz w:val="24"/>
        </w:rPr>
        <w:t>基金的投资组合应遵循以下限制：</w:t>
      </w:r>
    </w:p>
    <w:p>
      <w:pPr>
        <w:spacing w:line="360" w:lineRule="auto"/>
        <w:ind w:firstLine="480" w:firstLineChars="200"/>
        <w:rPr>
          <w:bCs/>
          <w:sz w:val="24"/>
        </w:rPr>
      </w:pPr>
      <w:r>
        <w:rPr>
          <w:rFonts w:hint="eastAsia"/>
          <w:bCs/>
          <w:sz w:val="24"/>
        </w:rPr>
        <w:t>（1）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spacing w:line="360" w:lineRule="auto"/>
        <w:ind w:firstLine="480" w:firstLineChars="200"/>
        <w:rPr>
          <w:bCs/>
          <w:sz w:val="24"/>
        </w:rPr>
      </w:pPr>
      <w:r>
        <w:rPr>
          <w:rFonts w:hint="eastAsia"/>
          <w:bCs/>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pPr>
        <w:spacing w:line="360" w:lineRule="auto"/>
        <w:ind w:firstLine="480" w:firstLineChars="200"/>
        <w:rPr>
          <w:bCs/>
          <w:sz w:val="24"/>
        </w:rPr>
      </w:pPr>
      <w:r>
        <w:rPr>
          <w:rFonts w:hint="eastAsia"/>
          <w:bCs/>
          <w:sz w:val="24"/>
        </w:rPr>
        <w:t>（6）本基金持有的全部资产支持证券，其市值不得超过基金资产净值的20％；</w:t>
      </w:r>
    </w:p>
    <w:p>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bCs/>
          <w:sz w:val="24"/>
        </w:rPr>
      </w:pPr>
      <w:r>
        <w:rPr>
          <w:rFonts w:hint="eastAsia"/>
          <w:bCs/>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rPr>
      </w:pPr>
      <w:r>
        <w:rPr>
          <w:rFonts w:hint="eastAsia"/>
          <w:bCs/>
          <w:sz w:val="24"/>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bCs/>
          <w:sz w:val="24"/>
        </w:rPr>
      </w:pPr>
      <w:r>
        <w:rPr>
          <w:rFonts w:hint="eastAsia"/>
          <w:bCs/>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bCs/>
          <w:sz w:val="24"/>
        </w:rPr>
      </w:pPr>
      <w:r>
        <w:rPr>
          <w:rFonts w:hint="eastAsia"/>
          <w:bCs/>
          <w:sz w:val="24"/>
        </w:rPr>
        <w:t>（14）本基金资产总值不超过基金资产净值的140%；</w:t>
      </w:r>
    </w:p>
    <w:p>
      <w:pPr>
        <w:spacing w:line="360" w:lineRule="auto"/>
        <w:ind w:firstLine="480" w:firstLineChars="200"/>
        <w:rPr>
          <w:bCs/>
          <w:sz w:val="24"/>
        </w:rPr>
      </w:pPr>
      <w:r>
        <w:rPr>
          <w:rFonts w:hint="eastAsia"/>
          <w:bCs/>
          <w:sz w:val="24"/>
        </w:rPr>
        <w:t>（15）本基金参与股指期货交易，则：</w:t>
      </w:r>
    </w:p>
    <w:p>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pPr>
        <w:spacing w:line="360" w:lineRule="auto"/>
        <w:ind w:firstLine="480" w:firstLineChars="200"/>
        <w:rPr>
          <w:bCs/>
          <w:sz w:val="24"/>
        </w:rPr>
      </w:pPr>
      <w:r>
        <w:rPr>
          <w:rFonts w:hint="eastAsia"/>
          <w:bCs/>
          <w:sz w:val="24"/>
        </w:rPr>
        <w:t>（16）本基金参与融资业务后，每个交易日日终，本基金持有的融资买入股票与其他有价证券市值之和，不得超过基金资产净值的95%；</w:t>
      </w:r>
    </w:p>
    <w:p>
      <w:pPr>
        <w:spacing w:line="360" w:lineRule="auto"/>
        <w:ind w:firstLine="480" w:firstLineChars="200"/>
        <w:rPr>
          <w:bCs/>
          <w:sz w:val="24"/>
        </w:rPr>
      </w:pPr>
      <w:r>
        <w:rPr>
          <w:rFonts w:hint="eastAsia"/>
          <w:bCs/>
          <w:sz w:val="24"/>
        </w:rPr>
        <w:t>（17）本基金参与转融通证券出借业务，需遵守下列投资限制：</w:t>
      </w:r>
    </w:p>
    <w:p>
      <w:pPr>
        <w:spacing w:line="360" w:lineRule="auto"/>
        <w:ind w:firstLine="480" w:firstLineChars="200"/>
        <w:rPr>
          <w:bCs/>
          <w:sz w:val="24"/>
        </w:rPr>
      </w:pPr>
      <w:r>
        <w:rPr>
          <w:rFonts w:hint="eastAsia"/>
          <w:bCs/>
          <w:sz w:val="24"/>
        </w:rPr>
        <w:t>1）出借证券资产不得超过基金资产净值的30%，出借期限在10个交易日以上的出借证券应纳入《流动性风险管理规定》所述流动性受限证券的范围；</w:t>
      </w:r>
    </w:p>
    <w:p>
      <w:pPr>
        <w:spacing w:line="360" w:lineRule="auto"/>
        <w:ind w:firstLine="480" w:firstLineChars="200"/>
        <w:rPr>
          <w:bCs/>
          <w:sz w:val="24"/>
        </w:rPr>
      </w:pPr>
      <w:r>
        <w:rPr>
          <w:rFonts w:hint="eastAsia"/>
          <w:bCs/>
          <w:sz w:val="24"/>
        </w:rPr>
        <w:t>2）参与出借业务的单只证券不得超过本基金持有该证券总量的50%；</w:t>
      </w:r>
    </w:p>
    <w:p>
      <w:pPr>
        <w:spacing w:line="360" w:lineRule="auto"/>
        <w:ind w:firstLine="480" w:firstLineChars="200"/>
        <w:rPr>
          <w:bCs/>
          <w:sz w:val="24"/>
        </w:rPr>
      </w:pPr>
      <w:r>
        <w:rPr>
          <w:rFonts w:hint="eastAsia"/>
          <w:bCs/>
          <w:sz w:val="24"/>
        </w:rPr>
        <w:t>3）最近6个月内日均基金资产净值不得低于2亿元；</w:t>
      </w:r>
    </w:p>
    <w:p>
      <w:pPr>
        <w:spacing w:line="360" w:lineRule="auto"/>
        <w:ind w:firstLine="480" w:firstLineChars="200"/>
        <w:rPr>
          <w:bCs/>
          <w:sz w:val="24"/>
        </w:rPr>
      </w:pPr>
      <w:r>
        <w:rPr>
          <w:rFonts w:hint="eastAsia"/>
          <w:bCs/>
          <w:sz w:val="24"/>
        </w:rPr>
        <w:t>4）证券出借的平均剩余期限不得超过30天，平均剩余期限按照市值加权平均计算；</w:t>
      </w:r>
    </w:p>
    <w:p>
      <w:pPr>
        <w:spacing w:line="360" w:lineRule="auto"/>
        <w:ind w:firstLine="480" w:firstLineChars="200"/>
        <w:rPr>
          <w:bCs/>
          <w:sz w:val="24"/>
        </w:rPr>
      </w:pPr>
      <w:r>
        <w:rPr>
          <w:rFonts w:hint="eastAsia"/>
          <w:bCs/>
          <w:sz w:val="24"/>
        </w:rPr>
        <w:t>因证券市场波动、上市公司合并、基金规模变动等基金管理人之外的因素致使基金投资不符合上述规定的，基金管理人不得新增出借业务；</w:t>
      </w:r>
    </w:p>
    <w:p>
      <w:pPr>
        <w:spacing w:line="360" w:lineRule="auto"/>
        <w:ind w:firstLine="480" w:firstLineChars="200"/>
        <w:rPr>
          <w:bCs/>
          <w:sz w:val="24"/>
        </w:rPr>
      </w:pPr>
      <w:r>
        <w:rPr>
          <w:rFonts w:hint="eastAsia"/>
          <w:bCs/>
          <w:sz w:val="24"/>
        </w:rPr>
        <w:t>（18）本基金投资存托凭证的比例限制依照境内上市交易的股票执行；</w:t>
      </w:r>
    </w:p>
    <w:p>
      <w:pPr>
        <w:spacing w:line="360" w:lineRule="auto"/>
        <w:ind w:firstLine="480" w:firstLineChars="200"/>
        <w:rPr>
          <w:bCs/>
          <w:sz w:val="24"/>
        </w:rPr>
      </w:pPr>
      <w:r>
        <w:rPr>
          <w:rFonts w:hint="eastAsia"/>
          <w:bCs/>
          <w:sz w:val="24"/>
        </w:rPr>
        <w:t>（19）法律法规及中国证监会规定的和《基金合同》约定的其他投资限制。</w:t>
      </w:r>
    </w:p>
    <w:p>
      <w:pPr>
        <w:spacing w:line="360" w:lineRule="auto"/>
        <w:ind w:firstLine="480" w:firstLineChars="200"/>
        <w:rPr>
          <w:bCs/>
          <w:sz w:val="24"/>
        </w:rPr>
      </w:pPr>
      <w:r>
        <w:rPr>
          <w:rFonts w:hint="eastAsia"/>
          <w:bCs/>
          <w:sz w:val="24"/>
        </w:rPr>
        <w:t>除上述（2）、（9）、（12）、（13）、（17）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pPr>
        <w:spacing w:line="360" w:lineRule="auto"/>
        <w:ind w:firstLine="480" w:firstLineChars="200"/>
        <w:rPr>
          <w:bCs/>
          <w:sz w:val="24"/>
        </w:rPr>
      </w:pPr>
      <w:r>
        <w:rPr>
          <w:rFonts w:hint="eastAsia"/>
          <w:bCs/>
          <w:sz w:val="24"/>
        </w:rPr>
        <w:t>2、禁止行为</w:t>
      </w:r>
    </w:p>
    <w:p>
      <w:pPr>
        <w:spacing w:line="360" w:lineRule="auto"/>
        <w:ind w:firstLine="480" w:firstLineChars="200"/>
        <w:rPr>
          <w:bCs/>
          <w:sz w:val="24"/>
        </w:rPr>
      </w:pPr>
      <w:r>
        <w:rPr>
          <w:rFonts w:hint="eastAsia"/>
          <w:bCs/>
          <w:sz w:val="24"/>
        </w:rPr>
        <w:t>为维护基金份额持有人的合法权益，基金财产不得用于下列投资或者活动：</w:t>
      </w:r>
    </w:p>
    <w:p>
      <w:pPr>
        <w:spacing w:line="360" w:lineRule="auto"/>
        <w:ind w:firstLine="480" w:firstLineChars="200"/>
        <w:rPr>
          <w:bCs/>
          <w:sz w:val="24"/>
        </w:rPr>
      </w:pPr>
      <w:r>
        <w:rPr>
          <w:rFonts w:hint="eastAsia"/>
          <w:bCs/>
          <w:sz w:val="24"/>
        </w:rPr>
        <w:t>（1）承销证券；</w:t>
      </w:r>
    </w:p>
    <w:p>
      <w:pPr>
        <w:spacing w:line="360" w:lineRule="auto"/>
        <w:ind w:firstLine="480" w:firstLineChars="200"/>
        <w:rPr>
          <w:bCs/>
          <w:sz w:val="24"/>
        </w:rPr>
      </w:pPr>
      <w:r>
        <w:rPr>
          <w:rFonts w:hint="eastAsia"/>
          <w:bCs/>
          <w:sz w:val="24"/>
        </w:rPr>
        <w:t>（2）违反规定向他人贷款或者提供担保；</w:t>
      </w:r>
    </w:p>
    <w:p>
      <w:pPr>
        <w:spacing w:line="360" w:lineRule="auto"/>
        <w:ind w:firstLine="480" w:firstLineChars="200"/>
        <w:rPr>
          <w:bCs/>
          <w:sz w:val="24"/>
        </w:rPr>
      </w:pPr>
      <w:r>
        <w:rPr>
          <w:rFonts w:hint="eastAsia"/>
          <w:bCs/>
          <w:sz w:val="24"/>
        </w:rPr>
        <w:t>（3）从事承担无限责任的投资；</w:t>
      </w:r>
    </w:p>
    <w:p>
      <w:pPr>
        <w:spacing w:line="360" w:lineRule="auto"/>
        <w:ind w:firstLine="480" w:firstLineChars="200"/>
        <w:rPr>
          <w:bCs/>
          <w:sz w:val="24"/>
        </w:rPr>
      </w:pPr>
      <w:r>
        <w:rPr>
          <w:rFonts w:hint="eastAsia"/>
          <w:bCs/>
          <w:sz w:val="24"/>
        </w:rPr>
        <w:t>（4）买卖其他基金份额，但是中国证监会另有规定的除外；</w:t>
      </w:r>
    </w:p>
    <w:p>
      <w:pPr>
        <w:spacing w:line="360" w:lineRule="auto"/>
        <w:ind w:firstLine="480" w:firstLineChars="200"/>
        <w:rPr>
          <w:bCs/>
          <w:sz w:val="24"/>
        </w:rPr>
      </w:pPr>
      <w:r>
        <w:rPr>
          <w:rFonts w:hint="eastAsia"/>
          <w:bCs/>
          <w:sz w:val="24"/>
        </w:rPr>
        <w:t>（5）向其基金管理人、基金托管人出资；</w:t>
      </w:r>
    </w:p>
    <w:p>
      <w:pPr>
        <w:spacing w:line="360" w:lineRule="auto"/>
        <w:ind w:firstLine="480" w:firstLineChars="200"/>
        <w:rPr>
          <w:bCs/>
          <w:sz w:val="24"/>
        </w:rPr>
      </w:pPr>
      <w:r>
        <w:rPr>
          <w:rFonts w:hint="eastAsia"/>
          <w:bCs/>
          <w:sz w:val="24"/>
        </w:rPr>
        <w:t>（6）从事内幕交易、操纵证券交易价格及其他不正当的证券交易活动；</w:t>
      </w:r>
    </w:p>
    <w:p>
      <w:pPr>
        <w:spacing w:line="360" w:lineRule="auto"/>
        <w:ind w:firstLine="480" w:firstLineChars="200"/>
        <w:rPr>
          <w:bCs/>
          <w:sz w:val="24"/>
        </w:rPr>
      </w:pPr>
      <w:r>
        <w:rPr>
          <w:rFonts w:hint="eastAsia"/>
          <w:bCs/>
          <w:sz w:val="24"/>
        </w:rPr>
        <w:t>（7）法律、行政法规和中国证监会规定禁止的其他活动。</w:t>
      </w:r>
    </w:p>
    <w:p>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五</w:t>
      </w:r>
      <w:r>
        <w:rPr>
          <w:rFonts w:hint="eastAsia" w:ascii="宋体" w:hAnsi="宋体"/>
          <w:bCs/>
          <w:sz w:val="24"/>
        </w:rPr>
        <w:t>）</w:t>
      </w:r>
      <w:r>
        <w:rPr>
          <w:rFonts w:ascii="宋体" w:hAnsi="宋体"/>
          <w:bCs/>
          <w:sz w:val="24"/>
        </w:rPr>
        <w:t>业绩比较基准</w:t>
      </w:r>
    </w:p>
    <w:p>
      <w:pPr>
        <w:spacing w:line="360" w:lineRule="auto"/>
        <w:ind w:firstLine="480" w:firstLineChars="200"/>
        <w:rPr>
          <w:bCs/>
          <w:sz w:val="24"/>
        </w:rPr>
      </w:pPr>
      <w:r>
        <w:rPr>
          <w:rFonts w:hint="eastAsia"/>
          <w:bCs/>
          <w:sz w:val="24"/>
        </w:rPr>
        <w:t>本基金业绩比较基准：中证A500指数收益率×95%＋人民币银行活期存款利率（税后）×5%</w:t>
      </w:r>
    </w:p>
    <w:p>
      <w:pPr>
        <w:spacing w:line="360" w:lineRule="auto"/>
        <w:ind w:firstLine="480" w:firstLineChars="20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0" w:firstLineChars="200"/>
        <w:rPr>
          <w:bCs/>
          <w:sz w:val="24"/>
        </w:rPr>
      </w:pPr>
      <w:r>
        <w:rPr>
          <w:rFonts w:hint="eastAsia"/>
          <w:bCs/>
          <w:sz w:val="24"/>
        </w:rPr>
        <w:t>本基金运作过程中，当标的指数成份股发生明显负面事件面临退市风险，且指数编制机构暂未作出调整的，基金管理人应当按照持有人利益优先的原则，履行内部决策程序后及时对相关成份股进行调整。</w:t>
      </w:r>
    </w:p>
    <w:p>
      <w:pPr>
        <w:pStyle w:val="38"/>
        <w:spacing w:afterLines="0"/>
        <w:ind w:firstLine="482"/>
        <w:rPr>
          <w:rFonts w:ascii="宋体" w:hAnsi="宋体"/>
          <w:b/>
        </w:rPr>
      </w:pPr>
      <w:r>
        <w:rPr>
          <w:rFonts w:ascii="宋体" w:hAnsi="宋体"/>
          <w:b/>
        </w:rPr>
        <w:t>六、基金资产净值的计算方法和公告方式</w:t>
      </w:r>
    </w:p>
    <w:p>
      <w:pPr>
        <w:spacing w:line="360" w:lineRule="auto"/>
        <w:ind w:firstLine="480" w:firstLineChars="200"/>
        <w:rPr>
          <w:rFonts w:ascii="宋体" w:hAnsi="宋体"/>
        </w:rPr>
      </w:pPr>
      <w:r>
        <w:rPr>
          <w:rFonts w:ascii="宋体" w:hAnsi="宋体"/>
          <w:sz w:val="24"/>
        </w:rPr>
        <w:t>（一）估值方法</w:t>
      </w:r>
    </w:p>
    <w:p>
      <w:pPr>
        <w:spacing w:line="360" w:lineRule="auto"/>
        <w:ind w:firstLine="480" w:firstLineChars="200"/>
        <w:rPr>
          <w:bCs/>
          <w:sz w:val="24"/>
        </w:rPr>
      </w:pPr>
      <w:r>
        <w:rPr>
          <w:rFonts w:hint="eastAsia"/>
          <w:bCs/>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bCs/>
          <w:sz w:val="24"/>
        </w:rPr>
      </w:pPr>
      <w:r>
        <w:rPr>
          <w:rFonts w:hint="eastAsia"/>
          <w:bCs/>
          <w:sz w:val="24"/>
        </w:rPr>
        <w:t>2、处于未上市期间的有价证券应区分如下情况处理：</w:t>
      </w:r>
    </w:p>
    <w:p>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bCs/>
          <w:sz w:val="24"/>
        </w:rPr>
      </w:pPr>
      <w:r>
        <w:rPr>
          <w:rFonts w:hint="eastAsia"/>
          <w:bCs/>
          <w:sz w:val="24"/>
        </w:rPr>
        <w:t>（2）首次公开发行未上市的股票和债券，采用估值技术确定公允价值；</w:t>
      </w:r>
    </w:p>
    <w:p>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bCs/>
          <w:sz w:val="24"/>
        </w:rPr>
      </w:pPr>
      <w:r>
        <w:rPr>
          <w:rFonts w:hint="eastAsia"/>
          <w:bCs/>
          <w:sz w:val="24"/>
        </w:rPr>
        <w:t>3、对于已上市或已挂牌转让的不含权固定收益品种（另有规定的除外），选取第三方估值基准服务机构提供的相应品种当日的估值全价进行估值。</w:t>
      </w:r>
    </w:p>
    <w:p>
      <w:pPr>
        <w:spacing w:line="360" w:lineRule="auto"/>
        <w:ind w:firstLine="480" w:firstLineChars="200"/>
        <w:rPr>
          <w:bCs/>
          <w:sz w:val="24"/>
        </w:rPr>
      </w:pPr>
      <w:r>
        <w:rPr>
          <w:rFonts w:hint="eastAsia"/>
          <w:bCs/>
          <w:sz w:val="24"/>
        </w:rPr>
        <w:t>4、对于已上市或已挂牌转让的含权固定收益品种（另有规定的除外），选取第三方估值基准服务机构提供的相应品种当日的唯一估值全价或推荐估值全价进行估值。</w:t>
      </w:r>
    </w:p>
    <w:p>
      <w:pPr>
        <w:spacing w:line="360" w:lineRule="auto"/>
        <w:ind w:firstLine="480" w:firstLineChars="20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line="360" w:lineRule="auto"/>
        <w:ind w:firstLine="480" w:firstLineChars="200"/>
        <w:rPr>
          <w:bCs/>
          <w:sz w:val="24"/>
        </w:rPr>
      </w:pPr>
      <w:r>
        <w:rPr>
          <w:rFonts w:hint="eastAsia"/>
          <w:bCs/>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bCs/>
          <w:sz w:val="24"/>
        </w:rPr>
      </w:pPr>
      <w:r>
        <w:rPr>
          <w:rFonts w:hint="eastAsia"/>
          <w:bCs/>
          <w:sz w:val="24"/>
        </w:rPr>
        <w:t>6、对于未上市或未挂牌转让且不存在活跃市场的固定收益品种，采用在当前情况下适用并且有足够可利用数据和其他信息支持的估值技术确定其公允价值。</w:t>
      </w:r>
    </w:p>
    <w:p>
      <w:pPr>
        <w:spacing w:line="360" w:lineRule="auto"/>
        <w:ind w:firstLine="480" w:firstLineChars="200"/>
        <w:rPr>
          <w:bCs/>
          <w:sz w:val="24"/>
        </w:rPr>
      </w:pPr>
      <w:r>
        <w:rPr>
          <w:rFonts w:hint="eastAsia"/>
          <w:bCs/>
          <w:sz w:val="24"/>
        </w:rPr>
        <w:t>7、本基金投资股指期货合约，一般以估值当日结算价进行估值，估值当日无结算价的，且最近交易日后经济环境未发生重大变化的，采用最近交易日结算价估值。</w:t>
      </w:r>
    </w:p>
    <w:p>
      <w:pPr>
        <w:spacing w:line="360" w:lineRule="auto"/>
        <w:ind w:firstLine="480" w:firstLineChars="200"/>
        <w:rPr>
          <w:bCs/>
          <w:sz w:val="24"/>
        </w:rPr>
      </w:pPr>
      <w:r>
        <w:rPr>
          <w:rFonts w:hint="eastAsia"/>
          <w:bCs/>
          <w:sz w:val="24"/>
        </w:rPr>
        <w:t>8、同一证券同时在两个或两个以上市场交易的，按证券所处的市场分别估值。</w:t>
      </w:r>
    </w:p>
    <w:p>
      <w:pPr>
        <w:spacing w:line="360" w:lineRule="auto"/>
        <w:ind w:firstLine="480" w:firstLineChars="200"/>
        <w:rPr>
          <w:bCs/>
          <w:sz w:val="24"/>
        </w:rPr>
      </w:pPr>
      <w:r>
        <w:rPr>
          <w:rFonts w:hint="eastAsia"/>
          <w:bCs/>
          <w:sz w:val="24"/>
        </w:rPr>
        <w:t>9、估值计算中涉及港币对人民币汇率的，将依据下列信息提供机构所提供的汇率为基准：当日中国人民银行或其授权机构公布的人民币与港币的中间价。</w:t>
      </w:r>
    </w:p>
    <w:p>
      <w:pPr>
        <w:spacing w:line="360" w:lineRule="auto"/>
        <w:ind w:firstLine="480" w:firstLineChars="200"/>
        <w:rPr>
          <w:bCs/>
          <w:sz w:val="24"/>
        </w:rPr>
      </w:pPr>
      <w:r>
        <w:rPr>
          <w:rFonts w:hint="eastAsia"/>
          <w:bCs/>
          <w:sz w:val="24"/>
        </w:rPr>
        <w:t>10、对于因税收规定调整或其他原因导致本基金实际交纳税金与估算的应交税金有差异的，本基金将在相关税金调整日或实际支付日进行相应的会计处理。</w:t>
      </w:r>
    </w:p>
    <w:p>
      <w:pPr>
        <w:spacing w:line="360" w:lineRule="auto"/>
        <w:ind w:firstLine="480" w:firstLineChars="200"/>
        <w:rPr>
          <w:bCs/>
          <w:sz w:val="24"/>
        </w:rPr>
      </w:pPr>
      <w:r>
        <w:rPr>
          <w:rFonts w:hint="eastAsia"/>
          <w:bCs/>
          <w:sz w:val="24"/>
        </w:rPr>
        <w:t>11、本基金投资存托凭证的估值核算依照境内上市交易的股票执行。</w:t>
      </w:r>
    </w:p>
    <w:p>
      <w:pPr>
        <w:spacing w:line="360" w:lineRule="auto"/>
        <w:ind w:firstLine="480" w:firstLineChars="200"/>
        <w:rPr>
          <w:bCs/>
          <w:sz w:val="24"/>
        </w:rPr>
      </w:pPr>
      <w:r>
        <w:rPr>
          <w:rFonts w:hint="eastAsia"/>
          <w:bCs/>
          <w:sz w:val="24"/>
        </w:rPr>
        <w:t>12、基金参与融资和转融通证券出借业务的，应参照相关法律法规和中国证券投资基金业协会发布的相关规定进行估值。</w:t>
      </w:r>
    </w:p>
    <w:p>
      <w:pPr>
        <w:spacing w:line="360" w:lineRule="auto"/>
        <w:ind w:firstLine="480" w:firstLineChars="200"/>
        <w:rPr>
          <w:bCs/>
          <w:sz w:val="24"/>
        </w:rPr>
      </w:pPr>
      <w:r>
        <w:rPr>
          <w:rFonts w:hint="eastAsia"/>
          <w:bCs/>
          <w:sz w:val="24"/>
        </w:rPr>
        <w:t>13、如有确凿证据表明按上述方法进行估值不能客观反映其公允价值的，基金管理人可根据具体情况与基金托管人商定后，按最能反映公允价值的价格估值。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bCs/>
          <w:sz w:val="24"/>
        </w:rPr>
      </w:pPr>
      <w:r>
        <w:rPr>
          <w:rFonts w:hint="eastAsia"/>
          <w:bCs/>
          <w:sz w:val="24"/>
        </w:rPr>
        <w:t>14、当发生大额申购或赎回情形时，基金管理人可以采用摆动定价机制，以确保基金估值的公平性。</w:t>
      </w:r>
    </w:p>
    <w:p>
      <w:pPr>
        <w:spacing w:line="360" w:lineRule="auto"/>
        <w:ind w:firstLine="480" w:firstLineChars="200"/>
        <w:rPr>
          <w:bCs/>
          <w:sz w:val="24"/>
        </w:rPr>
      </w:pPr>
      <w:r>
        <w:rPr>
          <w:rFonts w:hint="eastAsia"/>
          <w:bCs/>
          <w:sz w:val="24"/>
        </w:rPr>
        <w:t>15、相关法律法规以及监管部门有强制规定的，从其规定。如有新增事项，按国家最新规定估值。</w:t>
      </w:r>
    </w:p>
    <w:p>
      <w:pPr>
        <w:spacing w:line="360" w:lineRule="auto"/>
        <w:ind w:firstLine="480" w:firstLineChars="20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line="360" w:lineRule="auto"/>
        <w:ind w:firstLine="480" w:firstLineChars="200"/>
        <w:rPr>
          <w:rFonts w:ascii="宋体" w:hAnsi="宋体"/>
          <w:sz w:val="24"/>
        </w:rPr>
      </w:pPr>
      <w:r>
        <w:rPr>
          <w:rFonts w:ascii="宋体" w:hAnsi="宋体"/>
          <w:sz w:val="24"/>
        </w:rPr>
        <w:t>（二）估值程序</w:t>
      </w:r>
    </w:p>
    <w:p>
      <w:pPr>
        <w:spacing w:line="360" w:lineRule="auto"/>
        <w:ind w:firstLine="480" w:firstLineChars="200"/>
        <w:rPr>
          <w:bCs/>
          <w:sz w:val="24"/>
        </w:rPr>
      </w:pPr>
      <w:r>
        <w:rPr>
          <w:rFonts w:hint="eastAsia"/>
          <w:bCs/>
          <w:sz w:val="24"/>
        </w:rPr>
        <w:t>1、各类基金份额的基金份额净值是按照每个工作日闭市后，该类基金份额的基金资产净值除以当日该类基金份额的余额数量计算，精确到0.0001元，小数点后第5位四舍五入，由此产生的误差计入基金财产。基金管理人可以设立大额赎回情形下的净值精度应急调整机制，具体可参见相关公告。国家另有规定的，从其规定。</w:t>
      </w:r>
    </w:p>
    <w:p>
      <w:pPr>
        <w:spacing w:line="360" w:lineRule="auto"/>
        <w:ind w:firstLine="480" w:firstLineChars="200"/>
        <w:rPr>
          <w:bCs/>
          <w:sz w:val="24"/>
        </w:rPr>
      </w:pPr>
      <w:r>
        <w:rPr>
          <w:rFonts w:hint="eastAsia"/>
          <w:bCs/>
          <w:sz w:val="24"/>
        </w:rPr>
        <w:t>基金管理人于每个工作日计算各类基金份额的基金资产净值及基金份额净值，经基金托管人复核，并按规定公告。如遇特殊情况，经履行适当程序，可以适当延迟计算或公告。</w:t>
      </w:r>
    </w:p>
    <w:p>
      <w:pPr>
        <w:spacing w:line="360" w:lineRule="auto"/>
        <w:ind w:firstLine="480" w:firstLineChars="200"/>
        <w:rPr>
          <w:bCs/>
          <w:sz w:val="24"/>
        </w:rPr>
      </w:pPr>
      <w:r>
        <w:rPr>
          <w:rFonts w:hint="eastAsia"/>
          <w:bCs/>
          <w:sz w:val="24"/>
        </w:rPr>
        <w:t>2、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pPr>
        <w:spacing w:line="360" w:lineRule="auto"/>
        <w:ind w:firstLine="480" w:firstLineChars="200"/>
        <w:rPr>
          <w:rFonts w:ascii="宋体" w:hAnsi="宋体"/>
          <w:sz w:val="24"/>
        </w:rPr>
      </w:pPr>
      <w:r>
        <w:rPr>
          <w:rFonts w:ascii="宋体" w:hAnsi="宋体"/>
          <w:sz w:val="24"/>
        </w:rPr>
        <w:t>（三）暂停估值的情形</w:t>
      </w:r>
    </w:p>
    <w:p>
      <w:pPr>
        <w:spacing w:line="360" w:lineRule="auto"/>
        <w:ind w:firstLine="480" w:firstLineChars="200"/>
        <w:rPr>
          <w:bCs/>
          <w:sz w:val="24"/>
        </w:rPr>
      </w:pPr>
      <w:r>
        <w:rPr>
          <w:rFonts w:hint="eastAsia"/>
          <w:bCs/>
          <w:sz w:val="24"/>
        </w:rPr>
        <w:t>1、基金投资所涉及的证券/期货交易市场或外汇市场遇法定节假日或因其他原因暂停营业时；</w:t>
      </w:r>
    </w:p>
    <w:p>
      <w:pPr>
        <w:spacing w:line="360" w:lineRule="auto"/>
        <w:ind w:firstLine="480" w:firstLineChars="200"/>
        <w:rPr>
          <w:bCs/>
          <w:sz w:val="24"/>
        </w:rPr>
      </w:pPr>
      <w:r>
        <w:rPr>
          <w:rFonts w:hint="eastAsia"/>
          <w:bCs/>
          <w:sz w:val="24"/>
        </w:rPr>
        <w:t>2、因不可抗力致使基金管理人、基金托管人无法准确评估基金资产价值时；</w:t>
      </w:r>
    </w:p>
    <w:p>
      <w:pPr>
        <w:spacing w:line="360" w:lineRule="auto"/>
        <w:ind w:firstLine="480" w:firstLineChars="200"/>
        <w:rPr>
          <w:bCs/>
          <w:sz w:val="24"/>
        </w:rPr>
      </w:pPr>
      <w:r>
        <w:rPr>
          <w:rFonts w:hint="eastAsia"/>
          <w:bCs/>
          <w:sz w:val="24"/>
        </w:rPr>
        <w:t>3、当特定资产占前一估值日基金资产净值50%以上的，经与基金托管人协商确认后，基金管理人应当暂停估值；</w:t>
      </w:r>
    </w:p>
    <w:p>
      <w:pPr>
        <w:spacing w:line="360" w:lineRule="auto"/>
        <w:ind w:firstLine="480" w:firstLineChars="200"/>
        <w:rPr>
          <w:bCs/>
          <w:sz w:val="24"/>
        </w:rPr>
      </w:pPr>
      <w:r>
        <w:rPr>
          <w:rFonts w:hint="eastAsia"/>
          <w:bCs/>
          <w:sz w:val="24"/>
        </w:rPr>
        <w:t>4、法律法规、中国证监会和基金合同认定的其它情形。</w:t>
      </w:r>
    </w:p>
    <w:p>
      <w:pPr>
        <w:spacing w:line="360" w:lineRule="auto"/>
        <w:ind w:firstLine="480" w:firstLineChars="200"/>
        <w:rPr>
          <w:rFonts w:ascii="宋体" w:hAnsi="宋体"/>
          <w:bCs/>
          <w:sz w:val="24"/>
        </w:rPr>
      </w:pPr>
      <w:r>
        <w:rPr>
          <w:rFonts w:ascii="宋体" w:hAnsi="宋体"/>
          <w:bCs/>
          <w:sz w:val="24"/>
        </w:rPr>
        <w:t>（四）基金</w:t>
      </w:r>
      <w:r>
        <w:rPr>
          <w:rFonts w:hint="eastAsia" w:ascii="宋体" w:hAnsi="宋体"/>
          <w:bCs/>
          <w:sz w:val="24"/>
        </w:rPr>
        <w:t>净值信息</w:t>
      </w:r>
      <w:r>
        <w:rPr>
          <w:rFonts w:ascii="宋体" w:hAnsi="宋体"/>
          <w:bCs/>
          <w:sz w:val="24"/>
        </w:rPr>
        <w:t>的公告方式</w:t>
      </w:r>
    </w:p>
    <w:p>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A类基金份额和C类基金份额所对应的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pPr>
        <w:spacing w:line="360" w:lineRule="auto"/>
        <w:ind w:firstLine="480" w:firstLineChars="20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A类基金份额和C类基金份额所对应的</w:t>
      </w:r>
      <w:r>
        <w:rPr>
          <w:bCs/>
          <w:sz w:val="24"/>
        </w:rPr>
        <w:t>基金份额净值和基金份额累计净值。</w:t>
      </w:r>
    </w:p>
    <w:p>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在不晚于半年度和年度最后一日的次日，在规定网站披露半年度和年度最后一日A类基金份额和C类基金份额所对应的基金份额净值和基金份额累计净值</w:t>
      </w:r>
      <w:r>
        <w:rPr>
          <w:bCs/>
          <w:sz w:val="24"/>
        </w:rPr>
        <w:t>。</w:t>
      </w:r>
    </w:p>
    <w:p>
      <w:pPr>
        <w:pStyle w:val="38"/>
        <w:spacing w:afterLines="0"/>
        <w:ind w:firstLine="482"/>
        <w:rPr>
          <w:rFonts w:ascii="宋体" w:hAnsi="宋体"/>
          <w:b/>
        </w:rPr>
      </w:pPr>
      <w:r>
        <w:rPr>
          <w:rFonts w:ascii="宋体" w:hAnsi="宋体"/>
          <w:b/>
        </w:rPr>
        <w:t>七、基金合同</w:t>
      </w:r>
      <w:r>
        <w:rPr>
          <w:rFonts w:hint="eastAsia" w:ascii="宋体" w:hAnsi="宋体"/>
          <w:b/>
        </w:rPr>
        <w:t>变更、</w:t>
      </w:r>
      <w:r>
        <w:rPr>
          <w:rFonts w:ascii="宋体" w:hAnsi="宋体"/>
          <w:b/>
        </w:rPr>
        <w:t>解除和终止的事由、程序以及基金财产清算方式</w:t>
      </w:r>
    </w:p>
    <w:p>
      <w:pPr>
        <w:spacing w:line="360" w:lineRule="auto"/>
        <w:ind w:firstLine="480" w:firstLineChars="200"/>
        <w:rPr>
          <w:rFonts w:ascii="宋体" w:hAnsi="宋体"/>
          <w:sz w:val="24"/>
        </w:rPr>
      </w:pPr>
      <w:r>
        <w:rPr>
          <w:rFonts w:ascii="宋体" w:hAnsi="宋体"/>
          <w:sz w:val="24"/>
        </w:rPr>
        <w:t>（一）</w:t>
      </w:r>
      <w:r>
        <w:rPr>
          <w:rFonts w:hint="eastAsia" w:ascii="宋体" w:hAnsi="宋体"/>
          <w:sz w:val="24"/>
        </w:rPr>
        <w:t>《</w:t>
      </w:r>
      <w:r>
        <w:rPr>
          <w:rFonts w:ascii="宋体" w:hAnsi="宋体"/>
          <w:bCs/>
          <w:sz w:val="24"/>
        </w:rPr>
        <w:t>基金合同</w:t>
      </w:r>
      <w:r>
        <w:rPr>
          <w:rFonts w:hint="eastAsia" w:ascii="宋体" w:hAnsi="宋体"/>
          <w:bCs/>
          <w:sz w:val="24"/>
        </w:rPr>
        <w:t>》</w:t>
      </w:r>
      <w:r>
        <w:rPr>
          <w:rFonts w:ascii="宋体" w:hAnsi="宋体"/>
          <w:bCs/>
          <w:sz w:val="24"/>
        </w:rPr>
        <w:t>的变更</w:t>
      </w:r>
    </w:p>
    <w:p>
      <w:pPr>
        <w:spacing w:line="360" w:lineRule="auto"/>
        <w:ind w:firstLine="480" w:firstLineChars="200"/>
        <w:rPr>
          <w:rFonts w:ascii="宋体" w:hAnsi="宋体"/>
          <w:bCs/>
          <w:sz w:val="24"/>
        </w:rPr>
      </w:pPr>
      <w:r>
        <w:rPr>
          <w:rFonts w:hint="eastAsia" w:ascii="宋体" w:hAnsi="宋体"/>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spacing w:line="360" w:lineRule="auto"/>
        <w:ind w:firstLine="480" w:firstLineChars="200"/>
        <w:rPr>
          <w:rFonts w:ascii="宋体" w:hAnsi="宋体"/>
          <w:bCs/>
          <w:sz w:val="24"/>
        </w:rPr>
      </w:pPr>
      <w:r>
        <w:rPr>
          <w:rFonts w:hint="eastAsia" w:ascii="宋体" w:hAnsi="宋体"/>
          <w:bCs/>
          <w:sz w:val="24"/>
        </w:rPr>
        <w:t>2、关于《基金合同》变更的基金份额持有人大会决议自生效后方可执行，自决议生效后依照《信息披露办法》的规定在规定媒介公告。</w:t>
      </w:r>
    </w:p>
    <w:p>
      <w:pPr>
        <w:spacing w:line="360" w:lineRule="auto"/>
        <w:ind w:firstLine="480" w:firstLineChars="200"/>
        <w:rPr>
          <w:rFonts w:ascii="宋体" w:hAnsi="宋体"/>
          <w:sz w:val="24"/>
        </w:rPr>
      </w:pPr>
      <w:r>
        <w:rPr>
          <w:rFonts w:hint="eastAsia" w:ascii="宋体" w:hAnsi="宋体"/>
          <w:sz w:val="24"/>
        </w:rPr>
        <w:t>（二）《基金合同》</w:t>
      </w:r>
      <w:r>
        <w:rPr>
          <w:rFonts w:ascii="宋体" w:hAnsi="宋体"/>
          <w:sz w:val="24"/>
        </w:rPr>
        <w:t>的终止</w:t>
      </w:r>
      <w:r>
        <w:rPr>
          <w:rFonts w:ascii="宋体" w:hAnsi="宋体"/>
          <w:bCs/>
          <w:sz w:val="24"/>
        </w:rPr>
        <w:t>事由</w:t>
      </w:r>
    </w:p>
    <w:p>
      <w:pPr>
        <w:spacing w:line="360" w:lineRule="auto"/>
        <w:ind w:firstLine="480" w:firstLineChars="200"/>
        <w:rPr>
          <w:rFonts w:ascii="宋体" w:hAnsi="宋体"/>
          <w:bCs/>
          <w:sz w:val="24"/>
        </w:rPr>
      </w:pPr>
      <w:r>
        <w:rPr>
          <w:rFonts w:hint="eastAsia" w:ascii="宋体" w:hAnsi="宋体"/>
          <w:bCs/>
          <w:sz w:val="24"/>
        </w:rPr>
        <w:t>有下列情形之一的，经履行相关程序后，《基金合同》应当终止：</w:t>
      </w:r>
    </w:p>
    <w:p>
      <w:pPr>
        <w:spacing w:line="360" w:lineRule="auto"/>
        <w:ind w:firstLine="480" w:firstLineChars="200"/>
        <w:rPr>
          <w:rFonts w:ascii="宋体" w:hAnsi="宋体"/>
          <w:bCs/>
          <w:sz w:val="24"/>
        </w:rPr>
      </w:pPr>
      <w:r>
        <w:rPr>
          <w:rFonts w:hint="eastAsia" w:ascii="宋体" w:hAnsi="宋体"/>
          <w:bCs/>
          <w:sz w:val="24"/>
        </w:rPr>
        <w:t>1、基金份额持有人大会决定终止的；</w:t>
      </w:r>
    </w:p>
    <w:p>
      <w:pPr>
        <w:spacing w:line="360" w:lineRule="auto"/>
        <w:ind w:firstLine="480" w:firstLineChars="200"/>
        <w:rPr>
          <w:rFonts w:ascii="宋体" w:hAnsi="宋体"/>
          <w:bCs/>
          <w:sz w:val="24"/>
        </w:rPr>
      </w:pPr>
      <w:r>
        <w:rPr>
          <w:rFonts w:hint="eastAsia" w:ascii="宋体" w:hAnsi="宋体"/>
          <w:bCs/>
          <w:sz w:val="24"/>
        </w:rPr>
        <w:t>2、基金管理人、基金托管人职责终止，在6个月内没有新基金管理人、新基金托管人承接的；</w:t>
      </w:r>
    </w:p>
    <w:p>
      <w:pPr>
        <w:spacing w:line="360" w:lineRule="auto"/>
        <w:ind w:firstLine="480" w:firstLineChars="200"/>
        <w:rPr>
          <w:rFonts w:ascii="宋体" w:hAnsi="宋体"/>
          <w:bCs/>
          <w:sz w:val="24"/>
        </w:rPr>
      </w:pPr>
      <w:r>
        <w:rPr>
          <w:rFonts w:hint="eastAsia" w:ascii="宋体" w:hAnsi="宋体"/>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spacing w:line="360" w:lineRule="auto"/>
        <w:ind w:firstLine="480" w:firstLineChars="200"/>
        <w:rPr>
          <w:rFonts w:ascii="宋体" w:hAnsi="宋体"/>
          <w:bCs/>
          <w:sz w:val="24"/>
        </w:rPr>
      </w:pPr>
      <w:r>
        <w:rPr>
          <w:rFonts w:hint="eastAsia" w:ascii="宋体" w:hAnsi="宋体"/>
          <w:bCs/>
          <w:sz w:val="24"/>
        </w:rPr>
        <w:t>4、《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spacing w:line="360" w:lineRule="auto"/>
        <w:ind w:firstLine="480" w:firstLineChars="200"/>
        <w:rPr>
          <w:rFonts w:ascii="宋体" w:hAnsi="宋体"/>
          <w:bCs/>
          <w:sz w:val="24"/>
        </w:rPr>
      </w:pPr>
      <w:r>
        <w:rPr>
          <w:rFonts w:hint="eastAsia" w:ascii="宋体" w:hAnsi="宋体"/>
          <w:bCs/>
          <w:sz w:val="24"/>
        </w:rPr>
        <w:t>5、《基金合同》约定的其他情形；</w:t>
      </w:r>
    </w:p>
    <w:p>
      <w:pPr>
        <w:spacing w:line="360" w:lineRule="auto"/>
        <w:ind w:firstLine="480" w:firstLineChars="200"/>
        <w:rPr>
          <w:rFonts w:ascii="宋体" w:hAnsi="宋体"/>
          <w:bCs/>
          <w:sz w:val="24"/>
        </w:rPr>
      </w:pPr>
      <w:r>
        <w:rPr>
          <w:rFonts w:hint="eastAsia" w:ascii="宋体" w:hAnsi="宋体"/>
          <w:bCs/>
          <w:sz w:val="24"/>
        </w:rPr>
        <w:t>6、相关法律法规和中国证监会规定的其他情况。</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ascii="宋体" w:hAnsi="宋体"/>
          <w:sz w:val="24"/>
        </w:rPr>
        <w:tab/>
      </w:r>
      <w:r>
        <w:rPr>
          <w:rFonts w:ascii="宋体" w:hAnsi="宋体"/>
          <w:sz w:val="24"/>
        </w:rPr>
        <w:t>基金财产的清算</w:t>
      </w:r>
    </w:p>
    <w:p>
      <w:pPr>
        <w:spacing w:line="360" w:lineRule="auto"/>
        <w:ind w:firstLine="480" w:firstLineChars="200"/>
        <w:rPr>
          <w:rFonts w:ascii="宋体" w:hAnsi="宋体"/>
          <w:sz w:val="24"/>
        </w:rPr>
      </w:pPr>
      <w:r>
        <w:rPr>
          <w:rFonts w:hint="eastAsia" w:ascii="宋体" w:hAnsi="宋体"/>
          <w:sz w:val="24"/>
        </w:rPr>
        <w:t>1、基金财产清算小组：自出现《基金合同》终止事由之日起30个工作日内成立清算小组，基金管理人组织基金财产清算小组并在中国证监会的监督下进行基金清算。</w:t>
      </w:r>
    </w:p>
    <w:p>
      <w:pPr>
        <w:spacing w:line="360" w:lineRule="auto"/>
        <w:ind w:firstLine="480" w:firstLineChars="200"/>
        <w:rPr>
          <w:rFonts w:ascii="宋体" w:hAnsi="宋体"/>
          <w:sz w:val="24"/>
        </w:rPr>
      </w:pPr>
      <w:r>
        <w:rPr>
          <w:rFonts w:hint="eastAsia"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80" w:firstLineChars="200"/>
        <w:rPr>
          <w:rFonts w:ascii="宋体" w:hAnsi="宋体"/>
          <w:sz w:val="24"/>
        </w:rPr>
      </w:pPr>
      <w:r>
        <w:rPr>
          <w:rFonts w:hint="eastAsia" w:ascii="宋体" w:hAnsi="宋体"/>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ascii="宋体" w:hAnsi="宋体"/>
          <w:sz w:val="24"/>
        </w:rPr>
      </w:pPr>
      <w:r>
        <w:rPr>
          <w:rFonts w:hint="eastAsia" w:ascii="宋体" w:hAnsi="宋体"/>
          <w:sz w:val="24"/>
        </w:rPr>
        <w:t>4、基金财产清算程序：</w:t>
      </w:r>
    </w:p>
    <w:p>
      <w:pPr>
        <w:spacing w:line="360" w:lineRule="auto"/>
        <w:ind w:firstLine="480" w:firstLineChars="200"/>
        <w:rPr>
          <w:rFonts w:ascii="宋体" w:hAnsi="宋体"/>
          <w:sz w:val="24"/>
        </w:rPr>
      </w:pPr>
      <w:r>
        <w:rPr>
          <w:rFonts w:hint="eastAsia" w:ascii="宋体" w:hAnsi="宋体"/>
          <w:sz w:val="24"/>
        </w:rPr>
        <w:t>（1）《基金合同》终止情形出现时，由基金财产清算小组统一接管基金财产；</w:t>
      </w:r>
    </w:p>
    <w:p>
      <w:pPr>
        <w:spacing w:line="360" w:lineRule="auto"/>
        <w:ind w:firstLine="480" w:firstLineChars="200"/>
        <w:rPr>
          <w:rFonts w:ascii="宋体" w:hAnsi="宋体"/>
          <w:sz w:val="24"/>
        </w:rPr>
      </w:pPr>
      <w:r>
        <w:rPr>
          <w:rFonts w:hint="eastAsia" w:ascii="宋体" w:hAnsi="宋体"/>
          <w:sz w:val="24"/>
        </w:rPr>
        <w:t>（2）对基金财产和债权债务进行清理和确认；</w:t>
      </w:r>
    </w:p>
    <w:p>
      <w:pPr>
        <w:spacing w:line="360" w:lineRule="auto"/>
        <w:ind w:firstLine="480" w:firstLineChars="200"/>
        <w:rPr>
          <w:rFonts w:ascii="宋体" w:hAnsi="宋体"/>
          <w:sz w:val="24"/>
        </w:rPr>
      </w:pPr>
      <w:r>
        <w:rPr>
          <w:rFonts w:hint="eastAsia" w:ascii="宋体" w:hAnsi="宋体"/>
          <w:sz w:val="24"/>
        </w:rPr>
        <w:t>（3）对基金财产进行估值和变现；</w:t>
      </w:r>
    </w:p>
    <w:p>
      <w:pPr>
        <w:spacing w:line="360" w:lineRule="auto"/>
        <w:ind w:firstLine="480" w:firstLineChars="200"/>
        <w:rPr>
          <w:rFonts w:ascii="宋体" w:hAnsi="宋体"/>
          <w:sz w:val="24"/>
        </w:rPr>
      </w:pPr>
      <w:r>
        <w:rPr>
          <w:rFonts w:hint="eastAsia" w:ascii="宋体" w:hAnsi="宋体"/>
          <w:sz w:val="24"/>
        </w:rPr>
        <w:t>（4）制作清算报告；</w:t>
      </w:r>
    </w:p>
    <w:p>
      <w:pPr>
        <w:spacing w:line="360" w:lineRule="auto"/>
        <w:ind w:firstLine="480" w:firstLineChars="200"/>
        <w:rPr>
          <w:rFonts w:ascii="宋体" w:hAnsi="宋体"/>
          <w:sz w:val="24"/>
        </w:rPr>
      </w:pPr>
      <w:r>
        <w:rPr>
          <w:rFonts w:hint="eastAsia" w:ascii="宋体" w:hAnsi="宋体"/>
          <w:sz w:val="24"/>
        </w:rPr>
        <w:t>（5）聘请符合《中华人民共和国证券法》规定的会计师事务所对清算报告进行外部审计，聘请律师事务所对清算报告出具法律意见书；</w:t>
      </w:r>
    </w:p>
    <w:p>
      <w:pPr>
        <w:spacing w:line="360" w:lineRule="auto"/>
        <w:ind w:firstLine="480" w:firstLineChars="200"/>
        <w:rPr>
          <w:rFonts w:ascii="宋体" w:hAnsi="宋体"/>
          <w:sz w:val="24"/>
        </w:rPr>
      </w:pPr>
      <w:r>
        <w:rPr>
          <w:rFonts w:hint="eastAsia" w:ascii="宋体" w:hAnsi="宋体"/>
          <w:sz w:val="24"/>
        </w:rPr>
        <w:t>（6）将清算报告报中国证监会备案并公告；</w:t>
      </w:r>
    </w:p>
    <w:p>
      <w:pPr>
        <w:spacing w:line="360" w:lineRule="auto"/>
        <w:ind w:firstLine="480" w:firstLineChars="200"/>
        <w:rPr>
          <w:rFonts w:ascii="宋体" w:hAnsi="宋体"/>
          <w:sz w:val="24"/>
        </w:rPr>
      </w:pPr>
      <w:r>
        <w:rPr>
          <w:rFonts w:hint="eastAsia" w:ascii="宋体" w:hAnsi="宋体"/>
          <w:sz w:val="24"/>
        </w:rPr>
        <w:t>（7）对基金剩余财产进行分配。</w:t>
      </w:r>
    </w:p>
    <w:p>
      <w:pPr>
        <w:spacing w:line="360" w:lineRule="auto"/>
        <w:ind w:firstLine="480" w:firstLineChars="200"/>
        <w:rPr>
          <w:rFonts w:hint="eastAsia" w:ascii="宋体" w:hAnsi="宋体"/>
          <w:sz w:val="24"/>
        </w:rPr>
      </w:pPr>
      <w:r>
        <w:rPr>
          <w:rFonts w:hint="eastAsia" w:ascii="宋体" w:hAnsi="宋体"/>
          <w:sz w:val="24"/>
        </w:rPr>
        <w:t>5、基金财产清算的期限为6个月，但因本基金所持证券的流动性受到限制而不能及时变现的，清算期限相应顺延。</w:t>
      </w:r>
    </w:p>
    <w:p>
      <w:pPr>
        <w:spacing w:line="360" w:lineRule="auto"/>
        <w:ind w:firstLine="480" w:firstLineChars="200"/>
        <w:rPr>
          <w:rFonts w:hint="eastAsia" w:ascii="宋体" w:hAnsi="宋体"/>
          <w:sz w:val="24"/>
        </w:rPr>
      </w:pPr>
      <w:r>
        <w:rPr>
          <w:rFonts w:hint="eastAsia" w:ascii="宋体" w:hAnsi="宋体"/>
          <w:sz w:val="24"/>
        </w:rPr>
        <w:t>（四）清算费用</w:t>
      </w:r>
    </w:p>
    <w:p>
      <w:pPr>
        <w:spacing w:line="360" w:lineRule="auto"/>
        <w:ind w:firstLine="480" w:firstLineChars="200"/>
        <w:rPr>
          <w:rFonts w:hint="eastAsia" w:ascii="宋体" w:hAnsi="宋体"/>
          <w:sz w:val="24"/>
        </w:rPr>
      </w:pPr>
      <w:r>
        <w:rPr>
          <w:rFonts w:hint="eastAsia" w:ascii="宋体" w:hAnsi="宋体"/>
          <w:sz w:val="24"/>
        </w:rPr>
        <w:t>清算费用是指基金财产清算小组在进行基金财产清算过程中发生的所有合理费用，清算费用由基金财产清算小组优先从基金财产中支付。</w:t>
      </w:r>
    </w:p>
    <w:p>
      <w:pPr>
        <w:spacing w:line="360" w:lineRule="auto"/>
        <w:ind w:firstLine="480" w:firstLineChars="200"/>
        <w:rPr>
          <w:rFonts w:hint="eastAsia" w:ascii="宋体" w:hAnsi="宋体"/>
          <w:sz w:val="24"/>
        </w:rPr>
      </w:pPr>
      <w:r>
        <w:rPr>
          <w:rFonts w:hint="eastAsia" w:ascii="宋体" w:hAnsi="宋体"/>
          <w:sz w:val="24"/>
        </w:rPr>
        <w:t>（五）基金财产清算剩余资产的分配</w:t>
      </w:r>
    </w:p>
    <w:p>
      <w:pPr>
        <w:spacing w:line="360" w:lineRule="auto"/>
        <w:ind w:firstLine="480" w:firstLineChars="200"/>
        <w:rPr>
          <w:rFonts w:hint="eastAsia" w:ascii="宋体" w:hAnsi="宋体"/>
          <w:sz w:val="24"/>
        </w:rPr>
      </w:pPr>
      <w:r>
        <w:rPr>
          <w:rFonts w:hint="eastAsia"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rFonts w:hint="eastAsia" w:ascii="宋体" w:hAnsi="宋体"/>
          <w:sz w:val="24"/>
        </w:rPr>
      </w:pPr>
      <w:r>
        <w:rPr>
          <w:rFonts w:hint="eastAsia" w:ascii="宋体" w:hAnsi="宋体"/>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spacing w:line="360" w:lineRule="auto"/>
        <w:ind w:firstLine="480" w:firstLineChars="200"/>
        <w:rPr>
          <w:rFonts w:hint="eastAsia" w:ascii="宋体" w:hAnsi="宋体"/>
          <w:sz w:val="24"/>
        </w:rPr>
      </w:pPr>
      <w:r>
        <w:rPr>
          <w:rFonts w:hint="eastAsia" w:ascii="宋体" w:hAnsi="宋体"/>
          <w:sz w:val="24"/>
        </w:rPr>
        <w:t>（六）基金财产清算的公告</w:t>
      </w:r>
    </w:p>
    <w:p>
      <w:pPr>
        <w:spacing w:line="360" w:lineRule="auto"/>
        <w:ind w:firstLine="480" w:firstLineChars="200"/>
        <w:rPr>
          <w:rFonts w:hint="eastAsia" w:ascii="宋体" w:hAnsi="宋体"/>
          <w:sz w:val="24"/>
        </w:rPr>
      </w:pPr>
      <w:r>
        <w:rPr>
          <w:rFonts w:hint="eastAsia"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sz w:val="24"/>
        </w:rPr>
      </w:pPr>
      <w:r>
        <w:rPr>
          <w:rFonts w:hint="eastAsia" w:ascii="宋体" w:hAnsi="宋体"/>
          <w:sz w:val="24"/>
        </w:rPr>
        <w:t>（七）基金财产清算账册及文件的保存</w:t>
      </w:r>
    </w:p>
    <w:p>
      <w:pPr>
        <w:spacing w:line="360" w:lineRule="auto"/>
        <w:ind w:firstLine="480" w:firstLineChars="200"/>
        <w:rPr>
          <w:rFonts w:hint="eastAsia" w:ascii="宋体" w:hAnsi="宋体"/>
          <w:sz w:val="24"/>
        </w:rPr>
      </w:pPr>
      <w:r>
        <w:rPr>
          <w:rFonts w:hint="eastAsia" w:ascii="宋体" w:hAnsi="宋体"/>
          <w:sz w:val="24"/>
        </w:rPr>
        <w:t>基金财产清算账册及有关文件由基金托管人保存不低于法律法规规定的最低期限。</w:t>
      </w:r>
      <w:bookmarkStart w:id="0" w:name="_GoBack"/>
      <w:bookmarkEnd w:id="0"/>
    </w:p>
    <w:p>
      <w:pPr>
        <w:pStyle w:val="38"/>
        <w:spacing w:afterLines="0"/>
        <w:ind w:firstLine="482"/>
        <w:rPr>
          <w:rFonts w:ascii="宋体" w:hAnsi="宋体"/>
          <w:b/>
        </w:rPr>
      </w:pPr>
      <w:r>
        <w:rPr>
          <w:rFonts w:ascii="宋体" w:hAnsi="宋体"/>
          <w:b/>
        </w:rPr>
        <w:t>八、</w:t>
      </w:r>
      <w:r>
        <w:rPr>
          <w:rFonts w:hint="eastAsia" w:ascii="宋体" w:hAnsi="宋体"/>
          <w:b/>
        </w:rPr>
        <w:t>争议解决方式</w:t>
      </w:r>
    </w:p>
    <w:p>
      <w:pPr>
        <w:pStyle w:val="38"/>
        <w:spacing w:after="78"/>
        <w:ind w:firstLine="482"/>
        <w:rPr>
          <w:rFonts w:ascii="宋体" w:hAnsi="宋体"/>
        </w:rPr>
      </w:pPr>
      <w:r>
        <w:rPr>
          <w:b/>
          <w:bCs/>
        </w:rPr>
        <w:t>各方当事人同意，因《基金合同》而产生的或与《基金合同》有关的一切争议，如经友好协商未能解决的，</w:t>
      </w:r>
      <w:r>
        <w:rPr>
          <w:rFonts w:hint="eastAsia"/>
          <w:b/>
          <w:bCs/>
        </w:rPr>
        <w:t>任何一方均有权将争议提交</w:t>
      </w:r>
      <w:r>
        <w:rPr>
          <w:rFonts w:hint="eastAsia" w:ascii="宋体" w:hAnsi="宋体"/>
          <w:b/>
        </w:rPr>
        <w:t>中国国际经济贸易仲裁委员会</w:t>
      </w:r>
      <w:r>
        <w:rPr>
          <w:rFonts w:hint="eastAsia"/>
          <w:b/>
          <w:bCs/>
        </w:rPr>
        <w:t>，仲裁地点为北京市，按照</w:t>
      </w:r>
      <w:r>
        <w:rPr>
          <w:rFonts w:hint="eastAsia" w:ascii="宋体" w:hAnsi="宋体"/>
          <w:b/>
        </w:rPr>
        <w:t>中国国际经济贸易仲裁委员会</w:t>
      </w:r>
      <w:r>
        <w:rPr>
          <w:rFonts w:hint="eastAsia"/>
          <w:b/>
          <w:bCs/>
        </w:rPr>
        <w:t>届时有效的仲裁规则进行仲裁。仲裁裁决是终局的，对各方当事人均有约束力，除非仲裁裁决另有规定，仲裁费由败诉方承担。</w:t>
      </w:r>
    </w:p>
    <w:p>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rFonts w:ascii="宋体" w:hAnsi="宋体"/>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p>
    <w:p>
      <w:pPr>
        <w:pStyle w:val="38"/>
        <w:spacing w:afterLines="0"/>
        <w:ind w:firstLine="482"/>
        <w:rPr>
          <w:rFonts w:ascii="宋体" w:hAnsi="宋体"/>
        </w:rPr>
      </w:pPr>
      <w:r>
        <w:rPr>
          <w:rFonts w:ascii="宋体" w:hAnsi="宋体"/>
          <w:b/>
        </w:rPr>
        <w:t>九、基金合同存放地和投资者取得基金合同的方式</w:t>
      </w:r>
    </w:p>
    <w:p>
      <w:pPr>
        <w:spacing w:line="360" w:lineRule="auto"/>
        <w:ind w:firstLine="480" w:firstLineChars="200"/>
        <w:rPr>
          <w:rFonts w:ascii="宋体" w:hAnsi="宋体"/>
          <w:bCs/>
          <w:sz w:val="24"/>
        </w:rPr>
      </w:pPr>
      <w:r>
        <w:rPr>
          <w:rFonts w:hint="eastAsia" w:ascii="宋体" w:hAnsi="宋体"/>
          <w:bCs/>
          <w:sz w:val="24"/>
        </w:rPr>
        <w:t>《基金合同》正本一式三份，除上报有关监管机构一份外，基金管理人、基金托管人各持有一份，每份具有同等的法律效力</w:t>
      </w:r>
      <w:r>
        <w:rPr>
          <w:rFonts w:ascii="宋体" w:hAnsi="宋体"/>
          <w:bCs/>
          <w:sz w:val="24"/>
        </w:rPr>
        <w:t>。</w:t>
      </w:r>
    </w:p>
    <w:p>
      <w:pPr>
        <w:spacing w:line="360" w:lineRule="auto"/>
        <w:ind w:firstLine="480" w:firstLineChars="200"/>
        <w:rPr>
          <w:rFonts w:asciiTheme="minorEastAsia" w:hAnsiTheme="minorEastAsia" w:eastAsiaTheme="minorEastAsia"/>
        </w:rPr>
      </w:pPr>
      <w:r>
        <w:rPr>
          <w:rFonts w:hint="eastAsia" w:ascii="宋体" w:hAnsi="宋体"/>
          <w:bCs/>
          <w:sz w:val="24"/>
        </w:rPr>
        <w:t>《基金合同》可印制成册，供投资者在基金管理人、基金托管人、销售机构的办公场所和营业场所查阅</w:t>
      </w:r>
      <w:r>
        <w:rPr>
          <w:rFonts w:hint="eastAsia"/>
          <w:bCs/>
          <w:sz w:val="24"/>
        </w:rPr>
        <w:t>，但应以《基金合同》正本为准</w:t>
      </w:r>
      <w:r>
        <w:rPr>
          <w:rFonts w:ascii="宋体" w:hAnsi="宋体"/>
          <w:bCs/>
          <w:sz w:val="24"/>
        </w:rPr>
        <w:t>。</w:t>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2"/>
      </w:pBdr>
      <w:tabs>
        <w:tab w:val="right" w:pos="8280"/>
      </w:tabs>
      <w:adjustRightInd w:val="0"/>
      <w:jc w:val="right"/>
      <w:rPr>
        <w:rFonts w:hint="eastAsia"/>
        <w:szCs w:val="18"/>
      </w:rPr>
    </w:pPr>
    <w:r>
      <w:rPr>
        <w:szCs w:val="18"/>
      </w:rPr>
      <w:drawing>
        <wp:anchor distT="0" distB="0" distL="114300" distR="114300" simplePos="0" relativeHeight="251659264" behindDoc="0" locked="0" layoutInCell="1" allowOverlap="1">
          <wp:simplePos x="0" y="0"/>
          <wp:positionH relativeFrom="margin">
            <wp:posOffset>47625</wp:posOffset>
          </wp:positionH>
          <wp:positionV relativeFrom="paragraph">
            <wp:posOffset>24765</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Pr>
        <w:rFonts w:hint="eastAsia"/>
        <w:szCs w:val="18"/>
      </w:rPr>
      <w:t>交银施罗德中证A500指数增强型</w:t>
    </w:r>
  </w:p>
  <w:p>
    <w:pPr>
      <w:pStyle w:val="14"/>
      <w:pBdr>
        <w:bottom w:val="thickThinLargeGap" w:color="auto" w:sz="24" w:space="2"/>
      </w:pBdr>
      <w:tabs>
        <w:tab w:val="right" w:pos="8280"/>
      </w:tabs>
      <w:adjustRightInd w:val="0"/>
      <w:jc w:val="right"/>
    </w:pPr>
    <w:r>
      <w:rPr>
        <w:rFonts w:hint="eastAsia"/>
        <w:szCs w:val="18"/>
      </w:rPr>
      <w:t>发起式证券投资基金基金合同摘要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5253"/>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B14"/>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2F62FA"/>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1EF"/>
    <w:rsid w:val="0065321E"/>
    <w:rsid w:val="00653FC5"/>
    <w:rsid w:val="00654E45"/>
    <w:rsid w:val="00655864"/>
    <w:rsid w:val="006560F4"/>
    <w:rsid w:val="006564A2"/>
    <w:rsid w:val="00657824"/>
    <w:rsid w:val="00657D63"/>
    <w:rsid w:val="0066092E"/>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DFA6794"/>
    <w:rsid w:val="43C6350E"/>
    <w:rsid w:val="4CDC7AE6"/>
    <w:rsid w:val="54952386"/>
    <w:rsid w:val="614302E0"/>
    <w:rsid w:val="669A1BF8"/>
    <w:rsid w:val="67F41972"/>
    <w:rsid w:val="6FDB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character" w:styleId="27">
    <w:name w:val="footnote reference"/>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字符"/>
    <w:link w:val="19"/>
    <w:qFormat/>
    <w:uiPriority w:val="0"/>
    <w:rPr>
      <w:rFonts w:ascii="Cambria" w:hAnsi="Cambria"/>
      <w:b/>
      <w:kern w:val="2"/>
      <w:sz w:val="32"/>
    </w:rPr>
  </w:style>
  <w:style w:type="character" w:customStyle="1" w:styleId="31">
    <w:name w:val="页眉 字符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qFormat/>
    <w:uiPriority w:val="0"/>
    <w:rPr>
      <w:rFonts w:ascii="Times New Roman" w:hAnsi="Times New Roman" w:eastAsia="宋体" w:cs="Times New Roman"/>
      <w:kern w:val="2"/>
      <w:sz w:val="21"/>
      <w:lang w:val="en-US" w:eastAsia="zh-CN" w:bidi="ar-SA"/>
    </w:rPr>
  </w:style>
  <w:style w:type="character" w:customStyle="1" w:styleId="47">
    <w:name w:val="页脚 字符1"/>
    <w:link w:val="13"/>
    <w:qFormat/>
    <w:uiPriority w:val="99"/>
    <w:rPr>
      <w:kern w:val="2"/>
      <w:sz w:val="18"/>
    </w:rPr>
  </w:style>
  <w:style w:type="character" w:customStyle="1" w:styleId="48">
    <w:name w:val="正文首行缩进 字符"/>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字符"/>
    <w:link w:val="7"/>
    <w:qFormat/>
    <w:uiPriority w:val="0"/>
    <w:rPr>
      <w:kern w:val="2"/>
      <w:sz w:val="21"/>
    </w:rPr>
  </w:style>
  <w:style w:type="character" w:customStyle="1" w:styleId="51">
    <w:name w:val="纯文本 字符"/>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99"/>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link w:val="81"/>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字符"/>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 w:type="character" w:customStyle="1" w:styleId="81">
    <w:name w:val="正文首行缩进 Char"/>
    <w:link w:val="63"/>
    <w:qFormat/>
    <w:uiPriority w:val="0"/>
    <w:rPr>
      <w:rFonts w:ascii="宋体"/>
      <w:kern w:val="2"/>
      <w:sz w:val="21"/>
    </w:rPr>
  </w:style>
  <w:style w:type="paragraph" w:customStyle="1" w:styleId="82">
    <w:name w:val="正文缩进1"/>
    <w:basedOn w:val="1"/>
    <w:qFormat/>
    <w:uiPriority w:val="0"/>
    <w:pPr>
      <w:ind w:firstLine="420" w:firstLineChars="200"/>
    </w:pPr>
  </w:style>
  <w:style w:type="paragraph" w:customStyle="1" w:styleId="83">
    <w:name w:val="Char Char11"/>
    <w:basedOn w:val="1"/>
    <w:qFormat/>
    <w:uiPriority w:val="0"/>
  </w:style>
  <w:style w:type="paragraph" w:customStyle="1" w:styleId="84">
    <w:name w:val="Char3"/>
    <w:basedOn w:val="1"/>
    <w:qFormat/>
    <w:uiPriority w:val="0"/>
  </w:style>
  <w:style w:type="paragraph" w:customStyle="1" w:styleId="85">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BD08B-F0C3-43DB-88C8-8D4DE7BEFDCD}">
  <ds:schemaRefs/>
</ds:datastoreItem>
</file>

<file path=customXml/itemProps2.xml><?xml version="1.0" encoding="utf-8"?>
<ds:datastoreItem xmlns:ds="http://schemas.openxmlformats.org/officeDocument/2006/customXml" ds:itemID="{8B7AED38-79B3-4502-ACB4-7C5140D202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32</Pages>
  <Words>3721</Words>
  <Characters>21212</Characters>
  <Lines>176</Lines>
  <Paragraphs>49</Paragraphs>
  <TotalTime>0</TotalTime>
  <ScaleCrop>false</ScaleCrop>
  <LinksUpToDate>false</LinksUpToDate>
  <CharactersWithSpaces>24884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刘晨晨</cp:lastModifiedBy>
  <dcterms:modified xsi:type="dcterms:W3CDTF">2026-01-14T07:20:59Z</dcterms:modified>
  <dc:title>___证券投资基金招募说明书1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