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cs="宋体"/>
          <w:b/>
          <w:bCs/>
          <w:sz w:val="28"/>
          <w:szCs w:val="28"/>
        </w:rPr>
      </w:pPr>
      <w:r>
        <w:rPr>
          <w:rFonts w:hint="eastAsia" w:ascii="宋体" w:hAnsi="宋体" w:cs="宋体"/>
          <w:b/>
          <w:bCs/>
          <w:sz w:val="28"/>
          <w:szCs w:val="28"/>
        </w:rPr>
        <w:t>交银施罗德中证A500指数增强型发起式证券投资基金基金份额</w:t>
      </w:r>
    </w:p>
    <w:p>
      <w:pPr>
        <w:spacing w:before="50" w:after="50" w:line="360" w:lineRule="auto"/>
        <w:jc w:val="center"/>
        <w:outlineLvl w:val="0"/>
        <w:rPr>
          <w:rFonts w:ascii="宋体" w:hAnsi="宋体"/>
          <w:b/>
          <w:bCs/>
          <w:sz w:val="28"/>
          <w:szCs w:val="28"/>
        </w:rPr>
      </w:pPr>
      <w:r>
        <w:rPr>
          <w:rFonts w:hint="eastAsia" w:ascii="宋体" w:hAnsi="宋体" w:cs="宋体"/>
          <w:b/>
          <w:bCs/>
          <w:sz w:val="28"/>
          <w:szCs w:val="28"/>
        </w:rPr>
        <w:t>发售公告</w:t>
      </w:r>
    </w:p>
    <w:p>
      <w:pPr>
        <w:adjustRightInd w:val="0"/>
        <w:snapToGrid w:val="0"/>
        <w:spacing w:before="120" w:line="360" w:lineRule="auto"/>
        <w:jc w:val="center"/>
        <w:rPr>
          <w:rFonts w:ascii="宋体" w:hAnsi="宋体"/>
          <w:b/>
          <w:sz w:val="24"/>
        </w:rPr>
      </w:pPr>
    </w:p>
    <w:p>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lang w:eastAsia="zh-CN"/>
        </w:rPr>
        <w:t>交银施罗德中证A500指数增强型发起式证券投资基金</w:t>
      </w:r>
      <w:r>
        <w:rPr>
          <w:rFonts w:hAnsi="宋体"/>
          <w:sz w:val="24"/>
        </w:rPr>
        <w:t>（以下简称“本基金”）的募集已获中国证券监督管理委员会（以下简称“中国证监会”）证监许可【</w:t>
      </w:r>
      <w:r>
        <w:rPr>
          <w:rFonts w:hint="eastAsia" w:hAnsi="宋体"/>
          <w:sz w:val="24"/>
        </w:rPr>
        <w:t>202</w:t>
      </w:r>
      <w:r>
        <w:rPr>
          <w:rFonts w:hAnsi="宋体"/>
          <w:sz w:val="24"/>
        </w:rPr>
        <w:t>5】</w:t>
      </w:r>
      <w:r>
        <w:rPr>
          <w:rFonts w:hint="eastAsia" w:hAnsi="宋体"/>
          <w:sz w:val="24"/>
          <w:lang w:val="en-US" w:eastAsia="zh-CN"/>
        </w:rPr>
        <w:t>3002</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股票型</w:t>
      </w:r>
      <w:r>
        <w:rPr>
          <w:rFonts w:hAnsi="宋体"/>
          <w:sz w:val="24"/>
        </w:rPr>
        <w:t>证券投资基金。</w:t>
      </w:r>
      <w:r>
        <w:rPr>
          <w:rFonts w:hint="eastAsia"/>
          <w:bCs/>
          <w:sz w:val="24"/>
        </w:rPr>
        <w:t>本基金为发起式基金，其中，发起资金提供方认购本基金的总金额不少于1000万元人民币，且持有期限</w:t>
      </w:r>
      <w:r>
        <w:rPr>
          <w:rFonts w:hint="eastAsia"/>
          <w:sz w:val="24"/>
        </w:rPr>
        <w:t>自基金合同生效之日起</w:t>
      </w:r>
      <w:r>
        <w:rPr>
          <w:rFonts w:hint="eastAsia"/>
          <w:bCs/>
          <w:sz w:val="24"/>
        </w:rPr>
        <w:t>不少于3年，法律法规和监管机构另有规定的除外。</w:t>
      </w:r>
    </w:p>
    <w:p>
      <w:pPr>
        <w:adjustRightInd w:val="0"/>
        <w:snapToGrid w:val="0"/>
        <w:spacing w:line="360" w:lineRule="auto"/>
        <w:ind w:firstLine="480" w:firstLineChars="200"/>
        <w:rPr>
          <w:rFonts w:hAnsi="宋体"/>
          <w:sz w:val="24"/>
        </w:rPr>
      </w:pPr>
      <w:r>
        <w:rPr>
          <w:sz w:val="24"/>
        </w:rPr>
        <w:t>3</w:t>
      </w:r>
      <w:r>
        <w:rPr>
          <w:rFonts w:hAnsi="宋体"/>
          <w:sz w:val="24"/>
        </w:rPr>
        <w:t>、本基金的管理人为交银施罗德基金管理有限公司（以下使用全称或其简称“本公司”），托管人为</w:t>
      </w:r>
      <w:r>
        <w:rPr>
          <w:rFonts w:hint="eastAsia" w:hAnsi="宋体"/>
          <w:sz w:val="24"/>
          <w:lang w:eastAsia="zh-CN"/>
        </w:rPr>
        <w:t>中国工商</w:t>
      </w:r>
      <w:r>
        <w:rPr>
          <w:rFonts w:hint="eastAsia" w:hAnsi="宋体"/>
          <w:sz w:val="24"/>
        </w:rPr>
        <w:t>银行股份有限公司</w:t>
      </w:r>
      <w:r>
        <w:rPr>
          <w:rFonts w:hAnsi="宋体"/>
          <w:sz w:val="24"/>
        </w:rPr>
        <w:t>，登记机构为</w:t>
      </w:r>
      <w:r>
        <w:rPr>
          <w:rFonts w:hint="eastAsia" w:hAnsi="宋体"/>
          <w:sz w:val="24"/>
        </w:rPr>
        <w:t>本</w:t>
      </w:r>
      <w:r>
        <w:rPr>
          <w:rFonts w:hAnsi="宋体"/>
          <w:sz w:val="24"/>
        </w:rPr>
        <w:t>公司。</w:t>
      </w:r>
    </w:p>
    <w:p>
      <w:pPr>
        <w:adjustRightInd w:val="0"/>
        <w:snapToGrid w:val="0"/>
        <w:spacing w:line="360" w:lineRule="auto"/>
        <w:ind w:firstLine="480" w:firstLineChars="200"/>
        <w:rPr>
          <w:rFonts w:hAnsi="宋体"/>
          <w:sz w:val="24"/>
        </w:rPr>
      </w:pPr>
      <w:r>
        <w:rPr>
          <w:rFonts w:hint="eastAsia" w:hAnsi="宋体"/>
          <w:sz w:val="24"/>
        </w:rPr>
        <w:t>4、本基金根据认购/申购费用、销售服务费收取方式的不同，将基金份额分为不同的类别。在投资人认购/申购时收取认购/申购费用、不从本类别基金资产中计提销售服务费的，称为A类基金份额</w:t>
      </w:r>
      <w:r>
        <w:rPr>
          <w:rFonts w:hint="eastAsia"/>
          <w:bCs/>
          <w:sz w:val="24"/>
          <w:lang w:eastAsia="zh-CN"/>
        </w:rPr>
        <w:t>（</w:t>
      </w:r>
      <w:r>
        <w:rPr>
          <w:rFonts w:hint="eastAsia"/>
          <w:bCs/>
          <w:sz w:val="24"/>
        </w:rPr>
        <w:t>其中，对于投资人通过直销机构认购/申购的A类基金份额，不收取认购/申购费用）</w:t>
      </w:r>
      <w:r>
        <w:rPr>
          <w:rFonts w:hint="eastAsia" w:hAnsi="宋体"/>
          <w:sz w:val="24"/>
        </w:rPr>
        <w:t>；在投资人认购/申购时不收取认购/申购费用、从本类别基金资产中计提销售服务费的，称为C类基金份额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w:t>
      </w:r>
      <w:r>
        <w:rPr>
          <w:rFonts w:hint="eastAsia"/>
          <w:sz w:val="24"/>
        </w:rPr>
        <w:t>本基金不同基金份额类别之间</w:t>
      </w:r>
      <w:r>
        <w:rPr>
          <w:rFonts w:hint="eastAsia"/>
          <w:bCs/>
          <w:sz w:val="24"/>
        </w:rPr>
        <w:t>暂不</w:t>
      </w:r>
      <w:r>
        <w:rPr>
          <w:bCs/>
          <w:sz w:val="24"/>
        </w:rPr>
        <w:t>开通</w:t>
      </w:r>
      <w:r>
        <w:rPr>
          <w:rFonts w:hint="eastAsia"/>
          <w:bCs/>
          <w:sz w:val="24"/>
        </w:rPr>
        <w:t>互相转换业务。如后续开通此项业务的，无需召开基金份额持有人大会审议，但调整前基金管理人需及时公告</w:t>
      </w:r>
      <w:r>
        <w:rPr>
          <w:rFonts w:hint="eastAsia"/>
          <w:sz w:val="24"/>
        </w:rPr>
        <w:t>。</w:t>
      </w:r>
    </w:p>
    <w:p>
      <w:pPr>
        <w:adjustRightInd w:val="0"/>
        <w:snapToGrid w:val="0"/>
        <w:spacing w:line="360" w:lineRule="auto"/>
        <w:ind w:firstLine="480" w:firstLineChars="200"/>
        <w:rPr>
          <w:rFonts w:hint="eastAsia" w:ascii="宋体" w:hAnsi="宋体"/>
          <w:sz w:val="24"/>
        </w:rPr>
      </w:pPr>
      <w:r>
        <w:rPr>
          <w:rFonts w:hAnsi="宋体"/>
          <w:sz w:val="24"/>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本基金C类基金份额暂不开通直销机构</w:t>
      </w:r>
      <w:r>
        <w:rPr>
          <w:rFonts w:hint="eastAsia" w:ascii="宋体" w:hAnsi="宋体"/>
          <w:sz w:val="24"/>
          <w:lang w:val="en-US" w:eastAsia="zh-CN"/>
        </w:rPr>
        <w:t>销售渠道</w:t>
      </w:r>
      <w:r>
        <w:rPr>
          <w:rFonts w:hint="eastAsia" w:ascii="宋体" w:hAnsi="宋体"/>
          <w:sz w:val="24"/>
          <w:lang w:eastAsia="zh-CN"/>
        </w:rPr>
        <w:t>，</w:t>
      </w:r>
      <w:r>
        <w:rPr>
          <w:rFonts w:hint="eastAsia" w:ascii="宋体" w:hAnsi="宋体"/>
          <w:sz w:val="24"/>
        </w:rPr>
        <w:t>投资者如需选择C类基金</w:t>
      </w:r>
      <w:r>
        <w:rPr>
          <w:rFonts w:hint="eastAsia" w:ascii="宋体" w:hAnsi="宋体"/>
          <w:sz w:val="24"/>
          <w:lang w:val="en-US" w:eastAsia="zh-CN"/>
        </w:rPr>
        <w:t>份额可通过其他销售机构进行认购。</w:t>
      </w:r>
    </w:p>
    <w:p>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pPr>
        <w:adjustRightInd w:val="0"/>
        <w:snapToGrid w:val="0"/>
        <w:spacing w:line="360" w:lineRule="auto"/>
        <w:ind w:firstLine="480" w:firstLineChars="200"/>
        <w:rPr>
          <w:sz w:val="24"/>
        </w:rPr>
      </w:pPr>
      <w:r>
        <w:rPr>
          <w:sz w:val="24"/>
        </w:rPr>
        <w:t>6</w:t>
      </w:r>
      <w:r>
        <w:rPr>
          <w:rFonts w:hAnsi="宋体"/>
          <w:sz w:val="24"/>
        </w:rPr>
        <w:t>、基金募集期：本基金自</w:t>
      </w:r>
      <w:r>
        <w:rPr>
          <w:rFonts w:hint="eastAsia"/>
          <w:sz w:val="24"/>
        </w:rPr>
        <w:t>202</w:t>
      </w:r>
      <w:r>
        <w:rPr>
          <w:sz w:val="24"/>
        </w:rPr>
        <w:t>6</w:t>
      </w:r>
      <w:r>
        <w:rPr>
          <w:rFonts w:hint="eastAsia"/>
          <w:sz w:val="24"/>
        </w:rPr>
        <w:t>年1月</w:t>
      </w:r>
      <w:r>
        <w:rPr>
          <w:rFonts w:hint="eastAsia"/>
          <w:sz w:val="24"/>
          <w:lang w:val="en-US" w:eastAsia="zh-CN"/>
        </w:rPr>
        <w:t>26</w:t>
      </w:r>
      <w:r>
        <w:rPr>
          <w:rFonts w:hint="eastAsia"/>
          <w:sz w:val="24"/>
        </w:rPr>
        <w:t>日起至202</w:t>
      </w:r>
      <w:r>
        <w:rPr>
          <w:sz w:val="24"/>
        </w:rPr>
        <w:t>6</w:t>
      </w:r>
      <w:r>
        <w:rPr>
          <w:rFonts w:hint="eastAsia"/>
          <w:sz w:val="24"/>
        </w:rPr>
        <w:t>年</w:t>
      </w:r>
      <w:r>
        <w:rPr>
          <w:rFonts w:hint="eastAsia"/>
          <w:sz w:val="24"/>
          <w:lang w:val="en-US" w:eastAsia="zh-CN"/>
        </w:rPr>
        <w:t>2</w:t>
      </w:r>
      <w:r>
        <w:rPr>
          <w:rFonts w:hint="eastAsia"/>
          <w:sz w:val="24"/>
        </w:rPr>
        <w:t>月</w:t>
      </w:r>
      <w:r>
        <w:rPr>
          <w:sz w:val="24"/>
        </w:rPr>
        <w:t>6</w:t>
      </w:r>
      <w:r>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pPr>
        <w:autoSpaceDE w:val="0"/>
        <w:autoSpaceDN w:val="0"/>
        <w:adjustRightInd w:val="0"/>
        <w:snapToGrid w:val="0"/>
        <w:spacing w:line="360" w:lineRule="auto"/>
        <w:ind w:firstLine="480" w:firstLineChars="200"/>
        <w:rPr>
          <w:sz w:val="24"/>
        </w:rPr>
      </w:pPr>
      <w:r>
        <w:rPr>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int="eastAsia"/>
          <w:bCs/>
          <w:sz w:val="24"/>
        </w:rPr>
        <w:t>、发起资金提供方</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pPr>
        <w:adjustRightInd w:val="0"/>
        <w:snapToGrid w:val="0"/>
        <w:spacing w:line="360" w:lineRule="auto"/>
        <w:ind w:firstLine="480" w:firstLineChars="200"/>
        <w:rPr>
          <w:rFonts w:hAnsi="宋体"/>
          <w:kern w:val="0"/>
          <w:sz w:val="24"/>
        </w:rPr>
      </w:pPr>
      <w:r>
        <w:rPr>
          <w:rFonts w:hint="eastAsia" w:hAnsi="宋体"/>
          <w:sz w:val="24"/>
          <w:lang w:val="en-US" w:eastAsia="zh-CN"/>
        </w:rPr>
        <w:t>8</w:t>
      </w:r>
      <w:r>
        <w:rPr>
          <w:rFonts w:hint="eastAsia"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pPr>
        <w:adjustRightInd w:val="0"/>
        <w:snapToGrid w:val="0"/>
        <w:spacing w:line="360" w:lineRule="auto"/>
        <w:ind w:firstLine="480" w:firstLineChars="200"/>
        <w:rPr>
          <w:sz w:val="24"/>
        </w:rPr>
      </w:pPr>
      <w:r>
        <w:rPr>
          <w:rFonts w:hint="eastAsia" w:hAnsi="宋体"/>
          <w:kern w:val="0"/>
          <w:sz w:val="24"/>
          <w:lang w:val="en-US" w:eastAsia="zh-CN"/>
        </w:rPr>
        <w:t>9</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pPr>
        <w:adjustRightInd w:val="0"/>
        <w:snapToGrid w:val="0"/>
        <w:spacing w:line="360" w:lineRule="auto"/>
        <w:ind w:firstLine="480" w:firstLineChars="200"/>
        <w:rPr>
          <w:sz w:val="24"/>
        </w:rPr>
      </w:pPr>
      <w:r>
        <w:rPr>
          <w:sz w:val="24"/>
        </w:rPr>
        <w:t>1</w:t>
      </w:r>
      <w:r>
        <w:rPr>
          <w:rFonts w:hint="eastAsia"/>
          <w:sz w:val="24"/>
          <w:lang w:val="en-US" w:eastAsia="zh-CN"/>
        </w:rPr>
        <w:t>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pPr>
        <w:adjustRightInd w:val="0"/>
        <w:snapToGrid w:val="0"/>
        <w:spacing w:line="360" w:lineRule="auto"/>
        <w:ind w:firstLine="480" w:firstLineChars="200"/>
        <w:rPr>
          <w:sz w:val="24"/>
        </w:rPr>
      </w:pPr>
      <w:r>
        <w:rPr>
          <w:sz w:val="24"/>
        </w:rPr>
        <w:t>1</w:t>
      </w:r>
      <w:r>
        <w:rPr>
          <w:rFonts w:hint="eastAsia"/>
          <w:sz w:val="24"/>
          <w:lang w:val="en-US" w:eastAsia="zh-CN"/>
        </w:rPr>
        <w:t>1</w:t>
      </w:r>
      <w:r>
        <w:rPr>
          <w:rFonts w:hAnsi="宋体"/>
          <w:sz w:val="24"/>
        </w:rPr>
        <w:t>、本公告仅对本基金基金份额发售的有关事项和规定予以说明。投资者欲了解本基金的详细情况，请详细阅读</w:t>
      </w:r>
      <w:r>
        <w:rPr>
          <w:rFonts w:hint="eastAsia" w:hAnsi="宋体"/>
          <w:sz w:val="24"/>
        </w:rPr>
        <w:t>202</w:t>
      </w:r>
      <w:r>
        <w:rPr>
          <w:rFonts w:hint="eastAsia" w:hAnsi="宋体"/>
          <w:sz w:val="24"/>
          <w:lang w:val="en-US" w:eastAsia="zh-CN"/>
        </w:rPr>
        <w:t>6</w:t>
      </w:r>
      <w:r>
        <w:rPr>
          <w:rFonts w:hint="eastAsia" w:hAnsi="宋体"/>
          <w:sz w:val="24"/>
        </w:rPr>
        <w:t>年</w:t>
      </w:r>
      <w:r>
        <w:rPr>
          <w:rFonts w:hAnsi="宋体"/>
          <w:sz w:val="24"/>
        </w:rPr>
        <w:t>1</w:t>
      </w:r>
      <w:r>
        <w:rPr>
          <w:rFonts w:hint="eastAsia" w:hAnsi="宋体"/>
          <w:sz w:val="24"/>
        </w:rPr>
        <w:t>月</w:t>
      </w:r>
      <w:r>
        <w:rPr>
          <w:rFonts w:hint="eastAsia" w:hAnsi="宋体"/>
          <w:sz w:val="24"/>
          <w:lang w:val="en-US" w:eastAsia="zh-CN"/>
        </w:rPr>
        <w:t>15</w:t>
      </w:r>
      <w:r>
        <w:rPr>
          <w:rFonts w:hint="eastAsia" w:hAnsi="宋体"/>
          <w:sz w:val="24"/>
        </w:rPr>
        <w:t>日在本公司网站（www.fund001.com）和中国证监会基金电子披露网站（http://eid.csrc.gov.cn/fund）披露</w:t>
      </w:r>
      <w:r>
        <w:rPr>
          <w:rFonts w:hAnsi="宋体"/>
          <w:sz w:val="24"/>
        </w:rPr>
        <w:t>的</w:t>
      </w:r>
      <w:r>
        <w:rPr>
          <w:rFonts w:hint="eastAsia" w:hAnsi="宋体"/>
          <w:sz w:val="24"/>
          <w:lang w:eastAsia="zh-CN"/>
        </w:rPr>
        <w:t>交银施罗德中证A500指数增强型发起式证券投资基金</w:t>
      </w:r>
      <w:r>
        <w:rPr>
          <w:rFonts w:hint="eastAsia" w:hAnsi="宋体"/>
          <w:sz w:val="24"/>
        </w:rPr>
        <w:t>基金合同</w:t>
      </w:r>
      <w:r>
        <w:rPr>
          <w:rFonts w:hAnsi="宋体"/>
          <w:sz w:val="24"/>
        </w:rPr>
        <w:t>和招募说明书。</w:t>
      </w:r>
    </w:p>
    <w:p>
      <w:pPr>
        <w:adjustRightInd w:val="0"/>
        <w:snapToGrid w:val="0"/>
        <w:spacing w:line="360" w:lineRule="auto"/>
        <w:ind w:firstLine="480" w:firstLineChars="200"/>
        <w:rPr>
          <w:sz w:val="24"/>
        </w:rPr>
      </w:pPr>
      <w:r>
        <w:rPr>
          <w:sz w:val="24"/>
        </w:rPr>
        <w:t>1</w:t>
      </w:r>
      <w:r>
        <w:rPr>
          <w:rFonts w:hint="eastAsia"/>
          <w:sz w:val="24"/>
          <w:lang w:val="en-US" w:eastAsia="zh-CN"/>
        </w:rPr>
        <w:t>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pPr>
        <w:adjustRightInd w:val="0"/>
        <w:snapToGrid w:val="0"/>
        <w:spacing w:line="360" w:lineRule="auto"/>
        <w:ind w:firstLine="480" w:firstLineChars="200"/>
        <w:rPr>
          <w:sz w:val="24"/>
        </w:rPr>
      </w:pPr>
      <w:r>
        <w:rPr>
          <w:sz w:val="24"/>
        </w:rPr>
        <w:t>1</w:t>
      </w:r>
      <w:r>
        <w:rPr>
          <w:rFonts w:hint="eastAsia"/>
          <w:sz w:val="24"/>
          <w:lang w:val="en-US" w:eastAsia="zh-CN"/>
        </w:rPr>
        <w:t>3</w:t>
      </w:r>
      <w:r>
        <w:rPr>
          <w:rFonts w:hAnsi="宋体"/>
          <w:sz w:val="24"/>
        </w:rPr>
        <w:t>、销售机构的销售网点以及开户认购等事项的详细情况请向各销售机构咨询。</w:t>
      </w:r>
    </w:p>
    <w:p>
      <w:pPr>
        <w:adjustRightInd w:val="0"/>
        <w:snapToGrid w:val="0"/>
        <w:spacing w:line="360" w:lineRule="auto"/>
        <w:ind w:firstLine="480" w:firstLineChars="200"/>
        <w:rPr>
          <w:sz w:val="24"/>
        </w:rPr>
      </w:pPr>
      <w:r>
        <w:rPr>
          <w:sz w:val="24"/>
        </w:rPr>
        <w:t>1</w:t>
      </w:r>
      <w:r>
        <w:rPr>
          <w:rFonts w:hint="eastAsia"/>
          <w:sz w:val="24"/>
          <w:lang w:val="en-US" w:eastAsia="zh-CN"/>
        </w:rPr>
        <w:t>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pPr>
        <w:widowControl/>
        <w:adjustRightInd w:val="0"/>
        <w:snapToGrid w:val="0"/>
        <w:spacing w:line="360" w:lineRule="auto"/>
        <w:ind w:firstLine="480" w:firstLineChars="200"/>
        <w:rPr>
          <w:kern w:val="0"/>
          <w:sz w:val="24"/>
        </w:rPr>
      </w:pPr>
      <w:r>
        <w:rPr>
          <w:sz w:val="24"/>
        </w:rPr>
        <w:t>1</w:t>
      </w:r>
      <w:r>
        <w:rPr>
          <w:rFonts w:hint="eastAsia"/>
          <w:sz w:val="24"/>
          <w:lang w:val="en-US" w:eastAsia="zh-CN"/>
        </w:rPr>
        <w:t>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pPr>
        <w:adjustRightInd w:val="0"/>
        <w:snapToGrid w:val="0"/>
        <w:spacing w:line="360" w:lineRule="auto"/>
        <w:ind w:firstLine="480" w:firstLineChars="200"/>
        <w:rPr>
          <w:rFonts w:hAnsi="宋体"/>
          <w:sz w:val="24"/>
        </w:rPr>
      </w:pPr>
      <w:r>
        <w:rPr>
          <w:sz w:val="24"/>
        </w:rPr>
        <w:t>1</w:t>
      </w:r>
      <w:r>
        <w:rPr>
          <w:rFonts w:hint="eastAsia"/>
          <w:sz w:val="24"/>
          <w:lang w:val="en-US" w:eastAsia="zh-CN"/>
        </w:rPr>
        <w:t>6</w:t>
      </w:r>
      <w:r>
        <w:rPr>
          <w:rFonts w:hAnsi="宋体"/>
          <w:sz w:val="24"/>
        </w:rPr>
        <w:t>、本公司可综合各种情况对募集安排做适当调整。</w:t>
      </w:r>
    </w:p>
    <w:p>
      <w:pPr>
        <w:adjustRightInd w:val="0"/>
        <w:snapToGrid w:val="0"/>
        <w:spacing w:line="360" w:lineRule="auto"/>
        <w:ind w:firstLine="480" w:firstLineChars="200"/>
        <w:rPr>
          <w:sz w:val="24"/>
        </w:rPr>
      </w:pPr>
      <w:r>
        <w:rPr>
          <w:sz w:val="24"/>
        </w:rPr>
        <w:t>1</w:t>
      </w:r>
      <w:r>
        <w:rPr>
          <w:rFonts w:hint="eastAsia"/>
          <w:sz w:val="24"/>
          <w:lang w:val="en-US" w:eastAsia="zh-CN"/>
        </w:rPr>
        <w:t>7</w:t>
      </w:r>
      <w:r>
        <w:rPr>
          <w:rFonts w:hAnsi="宋体"/>
          <w:sz w:val="24"/>
        </w:rPr>
        <w:t>、风险提示</w:t>
      </w:r>
    </w:p>
    <w:p>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本基金是一只股票型基金，其预期风险和预期收益理论上高于混合型基金、债券型基金和货币市场基金。</w:t>
      </w:r>
    </w:p>
    <w:p>
      <w:pPr>
        <w:autoSpaceDE w:val="0"/>
        <w:autoSpaceDN w:val="0"/>
        <w:adjustRightInd w:val="0"/>
        <w:snapToGrid w:val="0"/>
        <w:spacing w:line="360" w:lineRule="auto"/>
        <w:ind w:left="105" w:leftChars="50" w:firstLine="480" w:firstLineChars="200"/>
        <w:rPr>
          <w:kern w:val="0"/>
          <w:sz w:val="24"/>
        </w:rPr>
      </w:pPr>
      <w:r>
        <w:rPr>
          <w:rFonts w:hint="eastAsia" w:ascii="Times New Roman" w:hAnsi="Times New Roman"/>
          <w:sz w:val="24"/>
        </w:rPr>
        <w:t>本基金为股票指数增强型基金，主要投资于标的指数成份股及备选成份股，具有与标的指数相似的风险收益特征。</w:t>
      </w:r>
    </w:p>
    <w:p>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Times New Roman" w:hAnsi="Times New Roman"/>
          <w:kern w:val="0"/>
          <w:sz w:val="24"/>
        </w:rPr>
        <w:t>本基金为指数增强型基金，投资者投资于本基金面临跟踪误差控制未达约定目标、指数编制机构停止服务、成份股停牌等潜在风险。此外，本基金存在</w:t>
      </w:r>
      <w:r>
        <w:rPr>
          <w:rFonts w:hint="eastAsia" w:ascii="Times New Roman" w:hAnsi="Times New Roman"/>
          <w:sz w:val="24"/>
        </w:rPr>
        <w:t>指数增强投资策略面临的风险，</w:t>
      </w:r>
      <w:r>
        <w:rPr>
          <w:rFonts w:hint="eastAsia" w:ascii="Times New Roman" w:hAnsi="Times New Roman"/>
          <w:kern w:val="0"/>
          <w:sz w:val="24"/>
        </w:rPr>
        <w:t>增强投资的结果既可能超越业绩比较基准，也可能落后业绩比较基准。</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汇率风险（汇率波动可能对基金的投资收益造成损失）、港股市场股价波动较大的风险（港股市场实行T+0回转交易，且对个股不设涨跌幅限制，港股股价可能表现出比A股更为剧烈的股价波动）、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autoSpaceDE w:val="0"/>
        <w:autoSpaceDN w:val="0"/>
        <w:adjustRightInd w:val="0"/>
        <w:snapToGrid w:val="0"/>
        <w:spacing w:line="360" w:lineRule="auto"/>
        <w:ind w:left="105" w:leftChars="50" w:firstLine="480" w:firstLineChars="200"/>
        <w:rPr>
          <w:rFonts w:ascii="宋体" w:hAnsi="宋体"/>
          <w:kern w:val="0"/>
          <w:sz w:val="24"/>
        </w:rPr>
      </w:pPr>
      <w:r>
        <w:rPr>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等。</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本基金可根据投资策略需要或市场环境的变化，选择将部分基金资产投资于科创板股票或选择不将基金资产投资于科创板股票，基金资产并非必然投资于科创板股票。</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本基金可参与融资业务，面临的风险包括但不限于市场风险、流动性风险、信用风险等。</w:t>
      </w:r>
    </w:p>
    <w:p>
      <w:pPr>
        <w:autoSpaceDE w:val="0"/>
        <w:autoSpaceDN w:val="0"/>
        <w:adjustRightInd w:val="0"/>
        <w:snapToGrid w:val="0"/>
        <w:spacing w:line="360" w:lineRule="auto"/>
        <w:ind w:left="105" w:leftChars="50" w:firstLine="480" w:firstLineChars="200"/>
        <w:rPr>
          <w:rFonts w:hint="eastAsia"/>
          <w:bCs/>
          <w:kern w:val="0"/>
          <w:sz w:val="24"/>
        </w:rPr>
      </w:pPr>
      <w:r>
        <w:rPr>
          <w:rFonts w:hint="eastAsia"/>
          <w:bCs/>
          <w:kern w:val="0"/>
          <w:sz w:val="24"/>
        </w:rPr>
        <w:t>本基金可参与转融通证券出借业务，面临的风险包括但不限于流动性风险、信用风险、市场风险、其他风险等。</w:t>
      </w:r>
    </w:p>
    <w:p>
      <w:pPr>
        <w:autoSpaceDE w:val="0"/>
        <w:autoSpaceDN w:val="0"/>
        <w:adjustRightInd w:val="0"/>
        <w:snapToGrid w:val="0"/>
        <w:spacing w:line="360" w:lineRule="auto"/>
        <w:ind w:left="105" w:leftChars="50" w:firstLine="480" w:firstLineChars="200"/>
        <w:rPr>
          <w:rFonts w:hint="eastAsia"/>
          <w:bCs/>
          <w:kern w:val="0"/>
          <w:sz w:val="24"/>
        </w:rPr>
      </w:pPr>
      <w:r>
        <w:rPr>
          <w:rFonts w:hint="eastAsia" w:ascii="Times New Roman" w:hAnsi="Times New Roman"/>
          <w:bCs/>
          <w:kern w:val="0"/>
          <w:sz w:val="24"/>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投资人应当认真阅读《基金合同》、《招募说明书》、</w:t>
      </w:r>
      <w:r>
        <w:rPr>
          <w:bCs/>
          <w:kern w:val="0"/>
          <w:sz w:val="24"/>
        </w:rPr>
        <w:t>《</w:t>
      </w:r>
      <w:r>
        <w:rPr>
          <w:rFonts w:hint="eastAsia"/>
          <w:bCs/>
          <w:kern w:val="0"/>
          <w:sz w:val="24"/>
        </w:rPr>
        <w:t>基金</w:t>
      </w:r>
      <w:r>
        <w:rPr>
          <w:bCs/>
          <w:kern w:val="0"/>
          <w:sz w:val="24"/>
        </w:rPr>
        <w:t>产品资料概要》</w:t>
      </w:r>
      <w:r>
        <w:rPr>
          <w:rFonts w:hint="eastAsia"/>
          <w:bCs/>
          <w:kern w:val="0"/>
          <w:sz w:val="24"/>
        </w:rPr>
        <w:t>等基金法律文件，了解基金的风险收益特征，并根据自身的投资目的、投资期限、投资经验、资产状况等判断基金是否和投资人的风险承受能力相适应。</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因拆分、分红等行为导致基金份额净值变化，不会改变基金的风险收益特征，不会降低基金投资风险或提高基金投资收益。以</w:t>
      </w:r>
      <w:r>
        <w:rPr>
          <w:bCs/>
          <w:kern w:val="0"/>
          <w:sz w:val="24"/>
        </w:rPr>
        <w:t>1元初始面值开展基金募集或因拆分、分红等行为导致基金份额净值调整至1元初始面值或1元附近，在市场波动等因素的影响下，基金投资仍有可能出现亏损或基金净值仍有可能低于初始面值。</w:t>
      </w:r>
    </w:p>
    <w:p>
      <w:pPr>
        <w:widowControl/>
        <w:autoSpaceDE w:val="0"/>
        <w:autoSpaceDN w:val="0"/>
        <w:adjustRightInd w:val="0"/>
        <w:snapToGrid w:val="0"/>
        <w:spacing w:line="360" w:lineRule="auto"/>
        <w:ind w:left="105" w:leftChars="50" w:firstLine="480" w:firstLineChars="200"/>
        <w:rPr>
          <w:bCs/>
          <w:kern w:val="0"/>
          <w:sz w:val="24"/>
        </w:rPr>
      </w:pPr>
      <w:r>
        <w:rPr>
          <w:rFonts w:hint="eastAsia"/>
          <w:bCs/>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widowControl/>
        <w:autoSpaceDE w:val="0"/>
        <w:autoSpaceDN w:val="0"/>
        <w:adjustRightInd w:val="0"/>
        <w:snapToGrid w:val="0"/>
        <w:spacing w:line="360" w:lineRule="auto"/>
        <w:ind w:left="105" w:leftChars="50" w:firstLine="480" w:firstLineChars="200"/>
        <w:rPr>
          <w:bCs/>
          <w:kern w:val="0"/>
          <w:sz w:val="24"/>
        </w:rPr>
      </w:pPr>
      <w:r>
        <w:rPr>
          <w:bCs/>
          <w:kern w:val="0"/>
          <w:sz w:val="24"/>
        </w:rPr>
        <w:t>投资人应当通过基金管理人或具有基金</w:t>
      </w:r>
      <w:r>
        <w:rPr>
          <w:rFonts w:hint="eastAsia"/>
          <w:bCs/>
          <w:kern w:val="0"/>
          <w:sz w:val="24"/>
        </w:rPr>
        <w:t>销售</w:t>
      </w:r>
      <w:r>
        <w:rPr>
          <w:bCs/>
          <w:kern w:val="0"/>
          <w:sz w:val="24"/>
        </w:rPr>
        <w:t>业务资格的其他机构购买和赎回基金。</w:t>
      </w:r>
    </w:p>
    <w:p>
      <w:pPr>
        <w:keepNext/>
        <w:keepLines/>
        <w:adjustRightInd w:val="0"/>
        <w:snapToGrid w:val="0"/>
        <w:spacing w:before="240" w:after="120" w:line="360" w:lineRule="auto"/>
        <w:jc w:val="center"/>
        <w:outlineLvl w:val="0"/>
        <w:rPr>
          <w:b/>
          <w:sz w:val="24"/>
        </w:rPr>
      </w:pPr>
      <w:r>
        <w:rPr>
          <w:rFonts w:hint="eastAsia"/>
          <w:b/>
          <w:sz w:val="24"/>
        </w:rPr>
        <w:t>一、本次募集基本情况</w:t>
      </w:r>
    </w:p>
    <w:p>
      <w:pPr>
        <w:adjustRightInd w:val="0"/>
        <w:snapToGrid w:val="0"/>
        <w:spacing w:line="360" w:lineRule="auto"/>
        <w:ind w:firstLine="480" w:firstLineChars="200"/>
        <w:rPr>
          <w:rFonts w:hAnsi="宋体"/>
          <w:sz w:val="24"/>
        </w:rPr>
      </w:pPr>
      <w:r>
        <w:rPr>
          <w:rFonts w:hAnsi="宋体"/>
          <w:sz w:val="24"/>
        </w:rPr>
        <w:t>1、基金名称</w:t>
      </w:r>
    </w:p>
    <w:p>
      <w:pPr>
        <w:adjustRightInd w:val="0"/>
        <w:snapToGrid w:val="0"/>
        <w:spacing w:line="360" w:lineRule="auto"/>
        <w:ind w:firstLine="480" w:firstLineChars="200"/>
        <w:rPr>
          <w:rFonts w:hint="eastAsia" w:hAnsi="宋体" w:eastAsia="宋体"/>
          <w:sz w:val="24"/>
          <w:lang w:eastAsia="zh-CN"/>
        </w:rPr>
      </w:pPr>
      <w:r>
        <w:rPr>
          <w:rFonts w:hint="eastAsia" w:hAnsi="宋体"/>
          <w:sz w:val="24"/>
          <w:lang w:eastAsia="zh-CN"/>
        </w:rPr>
        <w:t>交银施罗德中证A500指数增强型发起式证券投资基金</w:t>
      </w:r>
    </w:p>
    <w:p>
      <w:pPr>
        <w:adjustRightInd w:val="0"/>
        <w:snapToGrid w:val="0"/>
        <w:spacing w:line="360" w:lineRule="auto"/>
        <w:ind w:firstLine="480" w:firstLineChars="200"/>
        <w:rPr>
          <w:rFonts w:hAnsi="宋体"/>
          <w:sz w:val="24"/>
        </w:rPr>
      </w:pPr>
      <w:r>
        <w:rPr>
          <w:rFonts w:hAnsi="宋体"/>
          <w:sz w:val="24"/>
        </w:rPr>
        <w:t>2、基金类型</w:t>
      </w:r>
    </w:p>
    <w:p>
      <w:pPr>
        <w:adjustRightInd w:val="0"/>
        <w:snapToGrid w:val="0"/>
        <w:spacing w:line="360" w:lineRule="auto"/>
        <w:ind w:firstLine="480" w:firstLineChars="200"/>
        <w:rPr>
          <w:rFonts w:hAnsi="宋体"/>
          <w:sz w:val="24"/>
        </w:rPr>
      </w:pPr>
      <w:r>
        <w:rPr>
          <w:rFonts w:hint="eastAsia" w:hAnsi="宋体"/>
          <w:sz w:val="24"/>
        </w:rPr>
        <w:t>股票型证券投资基金</w:t>
      </w:r>
    </w:p>
    <w:p>
      <w:pPr>
        <w:adjustRightInd w:val="0"/>
        <w:snapToGrid w:val="0"/>
        <w:spacing w:line="360" w:lineRule="auto"/>
        <w:ind w:firstLine="480" w:firstLineChars="200"/>
        <w:rPr>
          <w:rFonts w:hAnsi="宋体"/>
          <w:sz w:val="24"/>
        </w:rPr>
      </w:pPr>
      <w:r>
        <w:rPr>
          <w:rFonts w:hAnsi="宋体"/>
          <w:sz w:val="24"/>
        </w:rPr>
        <w:t>3、运作方式</w:t>
      </w:r>
    </w:p>
    <w:p>
      <w:pPr>
        <w:adjustRightInd w:val="0"/>
        <w:snapToGrid w:val="0"/>
        <w:spacing w:line="360" w:lineRule="auto"/>
        <w:ind w:firstLine="480" w:firstLineChars="200"/>
        <w:rPr>
          <w:rFonts w:hAnsi="宋体"/>
          <w:sz w:val="24"/>
        </w:rPr>
      </w:pPr>
      <w:r>
        <w:rPr>
          <w:rFonts w:hint="eastAsia" w:hAnsi="宋体"/>
          <w:sz w:val="24"/>
        </w:rPr>
        <w:t>契约型开放式</w:t>
      </w:r>
    </w:p>
    <w:p>
      <w:pPr>
        <w:adjustRightInd w:val="0"/>
        <w:snapToGrid w:val="0"/>
        <w:spacing w:line="360" w:lineRule="auto"/>
        <w:ind w:firstLine="480" w:firstLineChars="200"/>
        <w:rPr>
          <w:rFonts w:hAnsi="宋体"/>
          <w:sz w:val="24"/>
        </w:rPr>
      </w:pPr>
      <w:r>
        <w:rPr>
          <w:rFonts w:hAnsi="宋体"/>
          <w:sz w:val="24"/>
        </w:rPr>
        <w:t>4、基金存续期限</w:t>
      </w:r>
    </w:p>
    <w:p>
      <w:pPr>
        <w:adjustRightInd w:val="0"/>
        <w:snapToGrid w:val="0"/>
        <w:spacing w:line="360" w:lineRule="auto"/>
        <w:ind w:firstLine="480" w:firstLineChars="200"/>
        <w:rPr>
          <w:rFonts w:hAnsi="宋体"/>
          <w:sz w:val="24"/>
        </w:rPr>
      </w:pPr>
      <w:r>
        <w:rPr>
          <w:rFonts w:hAnsi="宋体"/>
          <w:sz w:val="24"/>
        </w:rPr>
        <w:t>不定期</w:t>
      </w:r>
    </w:p>
    <w:p>
      <w:pPr>
        <w:adjustRightInd w:val="0"/>
        <w:snapToGrid w:val="0"/>
        <w:spacing w:line="360" w:lineRule="auto"/>
        <w:ind w:firstLine="480" w:firstLineChars="200"/>
        <w:rPr>
          <w:rFonts w:hAnsi="宋体"/>
          <w:sz w:val="24"/>
        </w:rPr>
      </w:pPr>
      <w:r>
        <w:rPr>
          <w:rFonts w:hAnsi="宋体"/>
          <w:sz w:val="24"/>
        </w:rPr>
        <w:t>5、基金份额发售面值</w:t>
      </w:r>
    </w:p>
    <w:p>
      <w:pPr>
        <w:adjustRightInd w:val="0"/>
        <w:snapToGrid w:val="0"/>
        <w:spacing w:line="360" w:lineRule="auto"/>
        <w:ind w:firstLine="480" w:firstLineChars="200"/>
        <w:rPr>
          <w:rFonts w:hAnsi="宋体"/>
          <w:sz w:val="24"/>
        </w:rPr>
      </w:pPr>
      <w:r>
        <w:rPr>
          <w:rFonts w:hAnsi="宋体"/>
          <w:sz w:val="24"/>
        </w:rPr>
        <w:t>本基金基金份额发售面值为人民币1.00元。</w:t>
      </w:r>
    </w:p>
    <w:p>
      <w:pPr>
        <w:adjustRightInd w:val="0"/>
        <w:snapToGrid w:val="0"/>
        <w:spacing w:line="360" w:lineRule="auto"/>
        <w:ind w:firstLine="480" w:firstLineChars="200"/>
        <w:rPr>
          <w:rFonts w:hAnsi="宋体"/>
          <w:sz w:val="24"/>
        </w:rPr>
      </w:pPr>
      <w:r>
        <w:rPr>
          <w:rFonts w:hint="eastAsia" w:hAnsi="宋体"/>
          <w:sz w:val="24"/>
        </w:rPr>
        <w:t>6、基金份额类别</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本基金根据认购</w:t>
      </w:r>
      <w:r>
        <w:rPr>
          <w:rFonts w:ascii="Times New Roman" w:hAnsi="Times New Roman"/>
          <w:sz w:val="24"/>
        </w:rPr>
        <w:t>/</w:t>
      </w:r>
      <w:r>
        <w:rPr>
          <w:rFonts w:hint="eastAsia" w:ascii="Times New Roman" w:hAnsi="Times New Roman"/>
          <w:sz w:val="24"/>
        </w:rPr>
        <w:t>申购费用、销售服务费收取方式的不同，将基金份额分为不同的类别。在投资人认购</w:t>
      </w:r>
      <w:r>
        <w:rPr>
          <w:rFonts w:ascii="Times New Roman" w:hAnsi="Times New Roman"/>
          <w:sz w:val="24"/>
        </w:rPr>
        <w:t>/</w:t>
      </w:r>
      <w:r>
        <w:rPr>
          <w:rFonts w:hint="eastAsia" w:ascii="Times New Roman" w:hAnsi="Times New Roman"/>
          <w:sz w:val="24"/>
        </w:rPr>
        <w:t>申购时收取认购</w:t>
      </w:r>
      <w:r>
        <w:rPr>
          <w:rFonts w:ascii="Times New Roman" w:hAnsi="Times New Roman"/>
          <w:sz w:val="24"/>
        </w:rPr>
        <w:t>/</w:t>
      </w:r>
      <w:r>
        <w:rPr>
          <w:rFonts w:hint="eastAsia" w:ascii="Times New Roman" w:hAnsi="Times New Roman"/>
          <w:sz w:val="24"/>
        </w:rPr>
        <w:t>申购费用</w:t>
      </w:r>
      <w:r>
        <w:rPr>
          <w:rFonts w:hint="eastAsia" w:ascii="Times New Roman" w:hAnsi="Times New Roman"/>
          <w:bCs/>
          <w:sz w:val="24"/>
        </w:rPr>
        <w:t>、</w:t>
      </w:r>
      <w:r>
        <w:rPr>
          <w:rFonts w:hint="eastAsia" w:ascii="Times New Roman" w:hAnsi="Times New Roman"/>
          <w:sz w:val="24"/>
        </w:rPr>
        <w:t>不从本类别基金资产中计提销售服务费的，称为</w:t>
      </w:r>
      <w:r>
        <w:rPr>
          <w:rFonts w:ascii="Times New Roman" w:hAnsi="Times New Roman"/>
          <w:sz w:val="24"/>
        </w:rPr>
        <w:t>A</w:t>
      </w:r>
      <w:r>
        <w:rPr>
          <w:rFonts w:hint="eastAsia" w:ascii="Times New Roman" w:hAnsi="Times New Roman"/>
          <w:sz w:val="24"/>
        </w:rPr>
        <w:t>类基金份额</w:t>
      </w:r>
      <w:r>
        <w:rPr>
          <w:rFonts w:hint="eastAsia" w:hAnsi="宋体"/>
          <w:bCs/>
          <w:sz w:val="24"/>
        </w:rPr>
        <w:t>（其中，对于投资人通过直销机构认购/申购的A类基金份额，不收取认购/申购费用）</w:t>
      </w:r>
      <w:r>
        <w:rPr>
          <w:rFonts w:hint="eastAsia" w:ascii="Times New Roman" w:hAnsi="Times New Roman"/>
          <w:sz w:val="24"/>
        </w:rPr>
        <w:t>；在投资人认购</w:t>
      </w:r>
      <w:r>
        <w:rPr>
          <w:rFonts w:ascii="Times New Roman" w:hAnsi="Times New Roman"/>
          <w:sz w:val="24"/>
        </w:rPr>
        <w:t>/</w:t>
      </w:r>
      <w:r>
        <w:rPr>
          <w:rFonts w:hint="eastAsia" w:ascii="Times New Roman" w:hAnsi="Times New Roman"/>
          <w:sz w:val="24"/>
        </w:rPr>
        <w:t>申购时不收取认购</w:t>
      </w:r>
      <w:r>
        <w:rPr>
          <w:rFonts w:ascii="Times New Roman" w:hAnsi="Times New Roman"/>
          <w:sz w:val="24"/>
        </w:rPr>
        <w:t>/</w:t>
      </w:r>
      <w:r>
        <w:rPr>
          <w:rFonts w:hint="eastAsia" w:ascii="Times New Roman" w:hAnsi="Times New Roman"/>
          <w:sz w:val="24"/>
        </w:rPr>
        <w:t>申购</w:t>
      </w:r>
      <w:r>
        <w:rPr>
          <w:rFonts w:hint="eastAsia" w:ascii="Times New Roman" w:hAnsi="Times New Roman"/>
          <w:bCs/>
          <w:sz w:val="24"/>
        </w:rPr>
        <w:t>费用、</w:t>
      </w:r>
      <w:r>
        <w:rPr>
          <w:rFonts w:hint="eastAsia" w:ascii="Times New Roman" w:hAnsi="Times New Roman"/>
          <w:sz w:val="24"/>
        </w:rPr>
        <w:t>从本类别基金资产中计提销售服务费的，称为</w:t>
      </w:r>
      <w:r>
        <w:rPr>
          <w:rFonts w:ascii="Times New Roman" w:hAnsi="Times New Roman"/>
          <w:sz w:val="24"/>
        </w:rPr>
        <w:t>C</w:t>
      </w:r>
      <w:r>
        <w:rPr>
          <w:rFonts w:hint="eastAsia" w:ascii="Times New Roman" w:hAnsi="Times New Roman"/>
          <w:sz w:val="24"/>
        </w:rPr>
        <w:t>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ascii="Times New Roman" w:hAnsi="Times New Roman"/>
          <w:sz w:val="24"/>
        </w:rPr>
        <w:t>。</w:t>
      </w:r>
    </w:p>
    <w:p>
      <w:p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w:t>
      </w:r>
      <w:r>
        <w:rPr>
          <w:rFonts w:hAnsi="宋体"/>
          <w:sz w:val="24"/>
        </w:rPr>
        <w:t>开通</w:t>
      </w:r>
      <w:r>
        <w:rPr>
          <w:rFonts w:hint="eastAsia" w:hAnsi="宋体"/>
          <w:sz w:val="24"/>
        </w:rPr>
        <w:t>互相转换业务。如后续开通此项业务的，无需召开基金份额持有人大会审议，但调整前基金管理人需及时公告。</w:t>
      </w:r>
    </w:p>
    <w:p>
      <w:pPr>
        <w:adjustRightInd w:val="0"/>
        <w:snapToGrid w:val="0"/>
        <w:spacing w:line="360" w:lineRule="auto"/>
        <w:ind w:firstLine="480" w:firstLineChars="200"/>
        <w:rPr>
          <w:rFonts w:hAnsi="宋体"/>
          <w:sz w:val="24"/>
        </w:rPr>
      </w:pPr>
      <w:r>
        <w:rPr>
          <w:rFonts w:hAnsi="宋体"/>
          <w:sz w:val="24"/>
        </w:rPr>
        <w:t>7</w:t>
      </w:r>
      <w:r>
        <w:rPr>
          <w:rFonts w:hint="eastAsia" w:hAnsi="宋体"/>
          <w:sz w:val="24"/>
        </w:rPr>
        <w:t>、</w:t>
      </w:r>
      <w:r>
        <w:rPr>
          <w:rFonts w:hAnsi="宋体"/>
          <w:sz w:val="24"/>
        </w:rPr>
        <w:t>基金代码及基金简称</w:t>
      </w:r>
    </w:p>
    <w:p>
      <w:pPr>
        <w:adjustRightInd w:val="0"/>
        <w:snapToGrid w:val="0"/>
        <w:spacing w:line="360" w:lineRule="auto"/>
        <w:ind w:firstLine="480" w:firstLineChars="200"/>
        <w:rPr>
          <w:rFonts w:hAnsi="宋体"/>
          <w:sz w:val="24"/>
        </w:rPr>
      </w:pPr>
      <w:r>
        <w:rPr>
          <w:rFonts w:hint="eastAsia" w:hAnsi="宋体"/>
          <w:sz w:val="24"/>
        </w:rPr>
        <w:t>（1）A类基金份额基金代码：</w:t>
      </w:r>
      <w:r>
        <w:rPr>
          <w:rFonts w:hint="eastAsia" w:hAnsi="宋体"/>
          <w:sz w:val="24"/>
          <w:lang w:val="en-US" w:eastAsia="zh-CN"/>
        </w:rPr>
        <w:t>026736</w:t>
      </w:r>
      <w:r>
        <w:rPr>
          <w:rFonts w:hint="eastAsia" w:hAnsi="宋体"/>
          <w:sz w:val="24"/>
        </w:rPr>
        <w:t>；基金简称：</w:t>
      </w:r>
      <w:r>
        <w:rPr>
          <w:rFonts w:hint="eastAsia" w:hAnsi="宋体"/>
          <w:sz w:val="24"/>
          <w:lang w:eastAsia="zh-CN"/>
        </w:rPr>
        <w:t>交银中证A500指数增强发起</w:t>
      </w:r>
      <w:r>
        <w:rPr>
          <w:rFonts w:hint="eastAsia" w:hAnsi="宋体"/>
          <w:sz w:val="24"/>
        </w:rPr>
        <w:t>A</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w:t>
      </w:r>
      <w:r>
        <w:rPr>
          <w:rFonts w:hAnsi="宋体"/>
          <w:sz w:val="24"/>
        </w:rPr>
        <w:t>C</w:t>
      </w:r>
      <w:r>
        <w:rPr>
          <w:rFonts w:hint="eastAsia" w:hAnsi="宋体"/>
          <w:sz w:val="24"/>
        </w:rPr>
        <w:t>类基金份额基金代码：</w:t>
      </w:r>
      <w:r>
        <w:rPr>
          <w:rFonts w:hint="eastAsia" w:hAnsi="宋体"/>
          <w:sz w:val="24"/>
          <w:lang w:val="en-US" w:eastAsia="zh-CN"/>
        </w:rPr>
        <w:t>026737</w:t>
      </w:r>
      <w:r>
        <w:rPr>
          <w:rFonts w:hint="eastAsia" w:hAnsi="宋体"/>
          <w:sz w:val="24"/>
        </w:rPr>
        <w:t>；基金简称：</w:t>
      </w:r>
      <w:r>
        <w:rPr>
          <w:rFonts w:hint="eastAsia" w:hAnsi="宋体"/>
          <w:sz w:val="24"/>
          <w:lang w:eastAsia="zh-CN"/>
        </w:rPr>
        <w:t>交银中证A500指数增强发起</w:t>
      </w:r>
      <w:r>
        <w:rPr>
          <w:rFonts w:hAnsi="宋体"/>
          <w:sz w:val="24"/>
        </w:rPr>
        <w:t>C</w:t>
      </w:r>
    </w:p>
    <w:p>
      <w:pPr>
        <w:adjustRightInd w:val="0"/>
        <w:snapToGrid w:val="0"/>
        <w:spacing w:line="360" w:lineRule="auto"/>
        <w:ind w:firstLine="480" w:firstLineChars="200"/>
        <w:rPr>
          <w:rFonts w:hAnsi="宋体"/>
          <w:sz w:val="24"/>
        </w:rPr>
      </w:pPr>
      <w:r>
        <w:rPr>
          <w:rFonts w:hAnsi="宋体"/>
          <w:sz w:val="24"/>
        </w:rPr>
        <w:t>8、发售对象</w:t>
      </w:r>
    </w:p>
    <w:p>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w:t>
      </w:r>
      <w:r>
        <w:rPr>
          <w:rFonts w:hint="eastAsia"/>
          <w:bCs/>
          <w:sz w:val="24"/>
        </w:rPr>
        <w:t>、发起资金提供方</w:t>
      </w:r>
      <w:r>
        <w:rPr>
          <w:rFonts w:hint="eastAsia" w:hAnsi="宋体"/>
          <w:sz w:val="24"/>
        </w:rPr>
        <w:t>以及法律法规或中国证监会允许购买证券投资基金的其他投资人。</w:t>
      </w:r>
    </w:p>
    <w:p>
      <w:pPr>
        <w:adjustRightInd w:val="0"/>
        <w:snapToGrid w:val="0"/>
        <w:spacing w:line="360" w:lineRule="auto"/>
        <w:ind w:firstLine="480" w:firstLineChars="200"/>
        <w:rPr>
          <w:rFonts w:hAnsi="宋体"/>
          <w:sz w:val="24"/>
        </w:rPr>
      </w:pPr>
      <w:r>
        <w:rPr>
          <w:rFonts w:hAnsi="宋体"/>
          <w:sz w:val="24"/>
        </w:rPr>
        <w:t>9、销售机构</w:t>
      </w:r>
    </w:p>
    <w:p>
      <w:pPr>
        <w:adjustRightInd w:val="0"/>
        <w:snapToGrid w:val="0"/>
        <w:spacing w:line="360" w:lineRule="auto"/>
        <w:ind w:firstLine="480" w:firstLineChars="200"/>
        <w:rPr>
          <w:rFonts w:hAnsi="宋体"/>
          <w:sz w:val="24"/>
        </w:rPr>
      </w:pPr>
      <w:r>
        <w:rPr>
          <w:rFonts w:hAnsi="宋体"/>
          <w:sz w:val="24"/>
        </w:rPr>
        <w:t>（1）直销机构：</w:t>
      </w:r>
    </w:p>
    <w:p>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pPr>
        <w:adjustRightInd w:val="0"/>
        <w:snapToGrid w:val="0"/>
        <w:spacing w:line="360" w:lineRule="auto"/>
        <w:ind w:firstLine="480" w:firstLineChars="200"/>
        <w:rPr>
          <w:rFonts w:hAnsi="宋体"/>
          <w:sz w:val="24"/>
        </w:rPr>
      </w:pPr>
      <w:r>
        <w:rPr>
          <w:rFonts w:hAnsi="宋体"/>
          <w:sz w:val="24"/>
        </w:rPr>
        <w:t>10、募集时间安排与基金合同生效</w:t>
      </w:r>
    </w:p>
    <w:p>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w:t>
      </w:r>
      <w:r>
        <w:rPr>
          <w:rFonts w:hint="eastAsia" w:hAnsi="宋体"/>
          <w:sz w:val="24"/>
          <w:lang w:val="en-US" w:eastAsia="zh-CN"/>
        </w:rPr>
        <w:t>6</w:t>
      </w:r>
      <w:r>
        <w:rPr>
          <w:rFonts w:hint="eastAsia" w:hAnsi="宋体"/>
          <w:sz w:val="24"/>
        </w:rPr>
        <w:t>年</w:t>
      </w:r>
      <w:r>
        <w:rPr>
          <w:rFonts w:hAnsi="宋体"/>
          <w:sz w:val="24"/>
        </w:rPr>
        <w:t>1</w:t>
      </w:r>
      <w:r>
        <w:rPr>
          <w:rFonts w:hint="eastAsia" w:hAnsi="宋体"/>
          <w:sz w:val="24"/>
        </w:rPr>
        <w:t>月2</w:t>
      </w:r>
      <w:r>
        <w:rPr>
          <w:rFonts w:hint="eastAsia" w:hAnsi="宋体"/>
          <w:sz w:val="24"/>
          <w:lang w:val="en-US" w:eastAsia="zh-CN"/>
        </w:rPr>
        <w:t>6</w:t>
      </w:r>
      <w:r>
        <w:rPr>
          <w:rFonts w:hint="eastAsia" w:hAnsi="宋体"/>
          <w:sz w:val="24"/>
        </w:rPr>
        <w:t>日起至202</w:t>
      </w:r>
      <w:r>
        <w:rPr>
          <w:rFonts w:hint="eastAsia" w:hAnsi="宋体"/>
          <w:sz w:val="24"/>
          <w:lang w:val="en-US" w:eastAsia="zh-CN"/>
        </w:rPr>
        <w:t>6</w:t>
      </w:r>
      <w:r>
        <w:rPr>
          <w:rFonts w:hint="eastAsia" w:hAnsi="宋体"/>
          <w:sz w:val="24"/>
        </w:rPr>
        <w:t>年</w:t>
      </w:r>
      <w:r>
        <w:rPr>
          <w:rFonts w:hint="eastAsia" w:hAnsi="宋体"/>
          <w:sz w:val="24"/>
          <w:lang w:val="en-US" w:eastAsia="zh-CN"/>
        </w:rPr>
        <w:t>2</w:t>
      </w:r>
      <w:r>
        <w:rPr>
          <w:rFonts w:hint="eastAsia" w:hAnsi="宋体"/>
          <w:sz w:val="24"/>
        </w:rPr>
        <w:t>月</w:t>
      </w:r>
      <w:r>
        <w:rPr>
          <w:rFonts w:hint="eastAsia" w:hAnsi="宋体"/>
          <w:sz w:val="24"/>
          <w:lang w:val="en-US" w:eastAsia="zh-CN"/>
        </w:rPr>
        <w:t>6</w:t>
      </w:r>
      <w:r>
        <w:rPr>
          <w:rFonts w:hint="eastAsia" w:hAnsi="宋体"/>
          <w:sz w:val="24"/>
        </w:rPr>
        <w:t>日</w:t>
      </w:r>
      <w:r>
        <w:rPr>
          <w:rFonts w:hAnsi="宋体"/>
          <w:sz w:val="24"/>
        </w:rPr>
        <w:t>止，期间面向个人投资者、机构投资者、合格境外</w:t>
      </w:r>
      <w:r>
        <w:rPr>
          <w:rFonts w:hint="eastAsia"/>
          <w:color w:val="000000"/>
          <w:kern w:val="0"/>
          <w:sz w:val="24"/>
        </w:rPr>
        <w:t>投资者</w:t>
      </w:r>
      <w:r>
        <w:rPr>
          <w:rFonts w:hint="eastAsia"/>
          <w:bCs/>
          <w:sz w:val="24"/>
        </w:rPr>
        <w:t>、发起资金提供方</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pPr>
        <w:adjustRightInd w:val="0"/>
        <w:snapToGrid w:val="0"/>
        <w:spacing w:line="360" w:lineRule="auto"/>
        <w:ind w:firstLine="480" w:firstLineChars="200"/>
        <w:rPr>
          <w:rFonts w:hAnsi="宋体"/>
          <w:sz w:val="24"/>
        </w:rPr>
      </w:pPr>
      <w:r>
        <w:rPr>
          <w:rFonts w:hAnsi="宋体"/>
          <w:sz w:val="24"/>
        </w:rPr>
        <w:t>11、认购期利息的处理方式</w:t>
      </w:r>
    </w:p>
    <w:p>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1148053"/>
      <w:bookmarkEnd w:id="0"/>
      <w:bookmarkStart w:id="1" w:name="_Hlt90455312"/>
      <w:bookmarkEnd w:id="1"/>
      <w:bookmarkStart w:id="2" w:name="_Hlt91264042"/>
      <w:bookmarkEnd w:id="2"/>
      <w:bookmarkStart w:id="3" w:name="_Hlt91264078"/>
      <w:bookmarkEnd w:id="3"/>
      <w:bookmarkStart w:id="4" w:name="_Hlt90801570"/>
      <w:bookmarkEnd w:id="4"/>
    </w:p>
    <w:p>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pPr>
        <w:adjustRightInd w:val="0"/>
        <w:snapToGrid w:val="0"/>
        <w:spacing w:line="360" w:lineRule="auto"/>
        <w:ind w:firstLine="480" w:firstLineChars="200"/>
        <w:rPr>
          <w:rFonts w:hAnsi="宋体"/>
          <w:sz w:val="24"/>
        </w:rPr>
      </w:pPr>
      <w:r>
        <w:rPr>
          <w:rFonts w:hAnsi="宋体"/>
          <w:sz w:val="24"/>
        </w:rPr>
        <w:t>12、基金份额的</w:t>
      </w:r>
      <w:r>
        <w:rPr>
          <w:rFonts w:hint="eastAsia" w:hAnsi="宋体"/>
          <w:sz w:val="24"/>
        </w:rPr>
        <w:t>面值、</w:t>
      </w:r>
      <w:r>
        <w:rPr>
          <w:rFonts w:hAnsi="宋体"/>
          <w:sz w:val="24"/>
        </w:rPr>
        <w:t>认购费用、认购价格及认购份额的计算公式</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面值、</w:t>
      </w:r>
      <w:r>
        <w:rPr>
          <w:rFonts w:hAnsi="宋体"/>
          <w:sz w:val="24"/>
        </w:rPr>
        <w:t>认购价格：本基金</w:t>
      </w:r>
      <w:r>
        <w:rPr>
          <w:rFonts w:hint="eastAsia" w:hAnsi="宋体"/>
          <w:sz w:val="24"/>
        </w:rPr>
        <w:t>基金</w:t>
      </w:r>
      <w:r>
        <w:rPr>
          <w:rFonts w:hAnsi="宋体"/>
          <w:sz w:val="24"/>
        </w:rPr>
        <w:t>份额的</w:t>
      </w:r>
      <w:r>
        <w:rPr>
          <w:rFonts w:hint="eastAsia" w:hAnsi="宋体"/>
          <w:sz w:val="24"/>
        </w:rPr>
        <w:t>初始面值、</w:t>
      </w:r>
      <w:r>
        <w:rPr>
          <w:rFonts w:hAnsi="宋体"/>
          <w:sz w:val="24"/>
        </w:rPr>
        <w:t>认购价格为1.00元/份。</w:t>
      </w:r>
    </w:p>
    <w:p>
      <w:pPr>
        <w:adjustRightInd w:val="0"/>
        <w:snapToGrid w:val="0"/>
        <w:spacing w:line="360" w:lineRule="auto"/>
        <w:ind w:firstLine="480" w:firstLineChars="200"/>
        <w:rPr>
          <w:rFonts w:hAnsi="宋体"/>
          <w:sz w:val="24"/>
        </w:rPr>
      </w:pPr>
      <w:r>
        <w:rPr>
          <w:rFonts w:hAnsi="宋体"/>
          <w:sz w:val="24"/>
        </w:rPr>
        <w:t>（2）认购费率</w:t>
      </w:r>
      <w:r>
        <w:rPr>
          <w:rFonts w:hint="eastAsia" w:hAnsi="宋体"/>
          <w:sz w:val="24"/>
        </w:rPr>
        <w:t>：</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本基金基金份额分为</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类基金份额。基金投资者认购</w:t>
      </w:r>
      <w:r>
        <w:rPr>
          <w:rFonts w:ascii="Times New Roman" w:hAnsi="Times New Roman"/>
          <w:sz w:val="24"/>
        </w:rPr>
        <w:t>A</w:t>
      </w:r>
      <w:r>
        <w:rPr>
          <w:rFonts w:hint="eastAsia" w:ascii="Times New Roman" w:hAnsi="Times New Roman"/>
          <w:sz w:val="24"/>
        </w:rPr>
        <w:t>类基金份额在认购时支付认购费用</w:t>
      </w:r>
      <w:r>
        <w:rPr>
          <w:rFonts w:hint="eastAsia"/>
          <w:bCs/>
          <w:sz w:val="24"/>
          <w:lang w:eastAsia="zh-CN"/>
        </w:rPr>
        <w:t>（其中，通过直销机构认购</w:t>
      </w:r>
      <w:r>
        <w:rPr>
          <w:rFonts w:hint="eastAsia"/>
          <w:bCs/>
          <w:sz w:val="24"/>
          <w:lang w:val="en-US" w:eastAsia="zh-CN"/>
        </w:rPr>
        <w:t>时</w:t>
      </w:r>
      <w:r>
        <w:rPr>
          <w:rFonts w:hint="eastAsia"/>
          <w:bCs/>
          <w:sz w:val="24"/>
          <w:lang w:eastAsia="zh-CN"/>
        </w:rPr>
        <w:t>不</w:t>
      </w:r>
      <w:r>
        <w:rPr>
          <w:rFonts w:hint="eastAsia"/>
          <w:bCs/>
          <w:sz w:val="24"/>
          <w:lang w:val="en-US" w:eastAsia="zh-CN"/>
        </w:rPr>
        <w:t>支付</w:t>
      </w:r>
      <w:r>
        <w:rPr>
          <w:rFonts w:hint="eastAsia"/>
          <w:bCs/>
          <w:sz w:val="24"/>
          <w:lang w:eastAsia="zh-CN"/>
        </w:rPr>
        <w:t>认购费用）</w:t>
      </w:r>
      <w:r>
        <w:rPr>
          <w:rFonts w:hint="eastAsia" w:ascii="Times New Roman" w:hAnsi="Times New Roman"/>
          <w:sz w:val="24"/>
          <w:lang w:eastAsia="zh-CN"/>
        </w:rPr>
        <w:t>，</w:t>
      </w:r>
      <w:r>
        <w:rPr>
          <w:rFonts w:hint="eastAsia" w:ascii="Times New Roman" w:hAnsi="Times New Roman"/>
          <w:sz w:val="24"/>
        </w:rPr>
        <w:t>基金投资者认购</w:t>
      </w:r>
      <w:r>
        <w:rPr>
          <w:rFonts w:ascii="Times New Roman" w:hAnsi="Times New Roman"/>
          <w:sz w:val="24"/>
        </w:rPr>
        <w:t>C</w:t>
      </w:r>
      <w:r>
        <w:rPr>
          <w:rFonts w:hint="eastAsia" w:ascii="Times New Roman" w:hAnsi="Times New Roman"/>
          <w:sz w:val="24"/>
        </w:rPr>
        <w:t>类基金份额不</w:t>
      </w:r>
      <w:r>
        <w:rPr>
          <w:rFonts w:hint="eastAsia" w:ascii="Times New Roman" w:hAnsi="Times New Roman"/>
          <w:sz w:val="24"/>
          <w:lang w:val="en-US" w:eastAsia="zh-CN"/>
        </w:rPr>
        <w:t>支付</w:t>
      </w:r>
      <w:r>
        <w:rPr>
          <w:rFonts w:hint="eastAsia" w:ascii="Times New Roman" w:hAnsi="Times New Roman"/>
          <w:sz w:val="24"/>
        </w:rPr>
        <w:t>认购费用。</w:t>
      </w:r>
    </w:p>
    <w:p>
      <w:pPr>
        <w:adjustRightInd w:val="0"/>
        <w:snapToGrid w:val="0"/>
        <w:spacing w:line="360" w:lineRule="auto"/>
        <w:ind w:firstLine="480" w:firstLineChars="200"/>
        <w:rPr>
          <w:rFonts w:hint="eastAsia" w:ascii="Times New Roman" w:hAnsi="Times New Roman"/>
          <w:sz w:val="24"/>
        </w:rPr>
      </w:pPr>
      <w:r>
        <w:rPr>
          <w:rFonts w:hint="eastAsia"/>
          <w:sz w:val="24"/>
        </w:rPr>
        <w:t>通过直销机构</w:t>
      </w:r>
      <w:r>
        <w:rPr>
          <w:rFonts w:hint="eastAsia"/>
          <w:sz w:val="24"/>
          <w:lang w:val="en-US" w:eastAsia="zh-CN"/>
        </w:rPr>
        <w:t>认</w:t>
      </w:r>
      <w:r>
        <w:rPr>
          <w:rFonts w:hint="eastAsia"/>
          <w:sz w:val="24"/>
        </w:rPr>
        <w:t>购本基金</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w:t>
      </w:r>
      <w:bookmarkStart w:id="7" w:name="_GoBack"/>
      <w:bookmarkEnd w:id="7"/>
      <w:r>
        <w:rPr>
          <w:rFonts w:hint="eastAsia"/>
          <w:sz w:val="24"/>
        </w:rPr>
        <w:t>份额不收取</w:t>
      </w:r>
      <w:r>
        <w:rPr>
          <w:rFonts w:hint="eastAsia"/>
          <w:sz w:val="24"/>
          <w:lang w:val="en-US" w:eastAsia="zh-CN"/>
        </w:rPr>
        <w:t>认购</w:t>
      </w:r>
      <w:r>
        <w:rPr>
          <w:rFonts w:hint="eastAsia"/>
          <w:sz w:val="24"/>
        </w:rPr>
        <w:t>费</w:t>
      </w:r>
      <w:r>
        <w:rPr>
          <w:rFonts w:hint="eastAsia"/>
          <w:sz w:val="24"/>
          <w:lang w:eastAsia="zh-CN"/>
        </w:rPr>
        <w:t>；</w:t>
      </w:r>
      <w:r>
        <w:rPr>
          <w:rFonts w:hint="eastAsia"/>
          <w:sz w:val="24"/>
        </w:rPr>
        <w:t>通过其他销售机构</w:t>
      </w:r>
      <w:r>
        <w:rPr>
          <w:rFonts w:hint="eastAsia"/>
          <w:sz w:val="24"/>
          <w:lang w:val="en-US" w:eastAsia="zh-CN"/>
        </w:rPr>
        <w:t>认</w:t>
      </w:r>
      <w:r>
        <w:rPr>
          <w:rFonts w:hint="eastAsia"/>
          <w:sz w:val="24"/>
        </w:rPr>
        <w:t>购</w:t>
      </w:r>
      <w:r>
        <w:rPr>
          <w:rFonts w:hint="eastAsia" w:ascii="Times New Roman" w:hAnsi="Times New Roman"/>
          <w:sz w:val="24"/>
        </w:rPr>
        <w:t>本基金</w:t>
      </w:r>
      <w:r>
        <w:rPr>
          <w:rFonts w:ascii="Times New Roman" w:hAnsi="Times New Roman"/>
          <w:color w:val="000000"/>
          <w:kern w:val="0"/>
          <w:sz w:val="24"/>
        </w:rPr>
        <w:t>A</w:t>
      </w:r>
      <w:r>
        <w:rPr>
          <w:rFonts w:hint="eastAsia" w:ascii="Times New Roman" w:hAnsi="Times New Roman"/>
          <w:color w:val="000000"/>
          <w:kern w:val="0"/>
          <w:sz w:val="24"/>
        </w:rPr>
        <w:t>类基金份额的</w:t>
      </w:r>
      <w:r>
        <w:rPr>
          <w:rFonts w:hint="eastAsia" w:ascii="Times New Roman" w:hAnsi="Times New Roman"/>
          <w:color w:val="000000"/>
          <w:kern w:val="0"/>
          <w:sz w:val="24"/>
          <w:lang w:eastAsia="zh-CN"/>
        </w:rPr>
        <w:t>，</w:t>
      </w:r>
      <w:r>
        <w:rPr>
          <w:rFonts w:hint="eastAsia" w:ascii="Times New Roman" w:hAnsi="Times New Roman"/>
          <w:sz w:val="24"/>
        </w:rPr>
        <w:t>认购费用由认购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ascii="Times New Roman" w:hAnsi="Times New Roman"/>
          <w:sz w:val="24"/>
        </w:rPr>
        <w:t>基金份额的投资人承担</w:t>
      </w:r>
      <w:r>
        <w:rPr>
          <w:rFonts w:hint="eastAsia"/>
          <w:sz w:val="24"/>
          <w:lang w:eastAsia="zh-CN"/>
        </w:rPr>
        <w:t>，</w:t>
      </w:r>
      <w:r>
        <w:rPr>
          <w:rFonts w:hint="eastAsia" w:ascii="Times New Roman" w:hAnsi="Times New Roman"/>
          <w:sz w:val="24"/>
          <w:lang w:val="en-US" w:eastAsia="zh-CN"/>
        </w:rPr>
        <w:t>募集期内</w:t>
      </w:r>
      <w:r>
        <w:rPr>
          <w:rFonts w:hint="eastAsia" w:ascii="Times New Roman" w:hAnsi="Times New Roman"/>
          <w:sz w:val="24"/>
        </w:rPr>
        <w:t>投资人可以多次认购本基金，认购费用按</w:t>
      </w:r>
      <w:r>
        <w:rPr>
          <w:rFonts w:ascii="Times New Roman" w:hAnsi="Times New Roman"/>
          <w:sz w:val="24"/>
        </w:rPr>
        <w:t>A</w:t>
      </w:r>
      <w:r>
        <w:rPr>
          <w:rFonts w:hint="eastAsia" w:ascii="Times New Roman" w:hAnsi="Times New Roman"/>
          <w:sz w:val="24"/>
        </w:rPr>
        <w:t>类基金份额的每笔认购申请单独计算</w:t>
      </w:r>
      <w:r>
        <w:rPr>
          <w:rFonts w:hint="eastAsia" w:ascii="Times New Roman" w:hAnsi="Times New Roman"/>
          <w:sz w:val="24"/>
          <w:lang w:eastAsia="zh-CN"/>
        </w:rPr>
        <w:t>。</w:t>
      </w:r>
      <w:r>
        <w:rPr>
          <w:rFonts w:hint="eastAsia" w:ascii="Times New Roman" w:hAnsi="Times New Roman"/>
          <w:sz w:val="24"/>
        </w:rPr>
        <w:t>认购费用不列入基金财产，主要用于基金的市场推广、销售等募集期间发生的各项费用。</w:t>
      </w:r>
    </w:p>
    <w:p>
      <w:pPr>
        <w:adjustRightInd w:val="0"/>
        <w:snapToGrid w:val="0"/>
        <w:spacing w:line="360" w:lineRule="auto"/>
        <w:ind w:firstLine="480" w:firstLineChars="200"/>
        <w:rPr>
          <w:rFonts w:hint="eastAsia" w:ascii="Times New Roman" w:hAnsi="Times New Roman"/>
          <w:sz w:val="24"/>
        </w:rPr>
      </w:pPr>
      <w:r>
        <w:rPr>
          <w:rFonts w:hint="eastAsia"/>
          <w:kern w:val="0"/>
          <w:sz w:val="24"/>
        </w:rPr>
        <w:t>通过其他销售机构认购</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类基金份额的认购费率如下：</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2" w:hRule="atLeast"/>
          <w:jc w:val="center"/>
        </w:trPr>
        <w:tc>
          <w:tcPr>
            <w:tcW w:w="3528" w:type="dxa"/>
            <w:shd w:val="clear" w:color="auto" w:fill="FFFFFF"/>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sz w:val="24"/>
              </w:rPr>
            </w:pPr>
            <w:r>
              <w:rPr>
                <w:rFonts w:hint="eastAsia" w:ascii="Times New Roman" w:hAnsi="Times New Roman"/>
                <w:b/>
                <w:sz w:val="24"/>
              </w:rPr>
              <w:t>认购金额（含认购费）</w:t>
            </w:r>
          </w:p>
        </w:tc>
        <w:tc>
          <w:tcPr>
            <w:tcW w:w="3598" w:type="dxa"/>
            <w:shd w:val="clear" w:color="auto" w:fill="FFFFFF"/>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sz w:val="24"/>
              </w:rPr>
            </w:pPr>
            <w:r>
              <w:rPr>
                <w:rFonts w:hint="eastAsia" w:ascii="Times New Roman" w:hAnsi="Times New Roman"/>
                <w:b/>
                <w:color w:val="000000"/>
                <w:kern w:val="0"/>
                <w:sz w:val="24"/>
              </w:rPr>
              <w:t>A类基金份额</w:t>
            </w:r>
            <w:r>
              <w:rPr>
                <w:rFonts w:hint="eastAsia" w:ascii="Times New Roman" w:hAnsi="Times New Roman"/>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1" w:hRule="atLeast"/>
          <w:jc w:val="center"/>
        </w:trPr>
        <w:tc>
          <w:tcPr>
            <w:tcW w:w="3528" w:type="dxa"/>
          </w:tcPr>
          <w:p>
            <w:pPr>
              <w:keepNext w:val="0"/>
              <w:keepLines w:val="0"/>
              <w:suppressLineNumbers w:val="0"/>
              <w:adjustRightInd w:val="0"/>
              <w:snapToGrid w:val="0"/>
              <w:spacing w:before="0" w:beforeAutospacing="0" w:after="0" w:afterAutospacing="0"/>
              <w:ind w:left="0" w:right="0"/>
              <w:rPr>
                <w:rFonts w:hint="eastAsia" w:ascii="Times New Roman" w:hAnsi="Times New Roman"/>
                <w:sz w:val="24"/>
              </w:rPr>
            </w:pPr>
            <w:r>
              <w:rPr>
                <w:rFonts w:hint="eastAsia" w:ascii="Times New Roman" w:hAnsi="Times New Roman"/>
                <w:sz w:val="24"/>
              </w:rPr>
              <w:t>100</w:t>
            </w:r>
            <w:r>
              <w:rPr>
                <w:rFonts w:hint="eastAsia" w:ascii="Times New Roman" w:hAnsi="Times New Roman"/>
                <w:sz w:val="24"/>
                <w:lang w:val="en-US" w:eastAsia="zh-CN"/>
              </w:rPr>
              <w:t>0</w:t>
            </w:r>
            <w:r>
              <w:rPr>
                <w:rFonts w:hint="eastAsia" w:ascii="Times New Roman" w:hAnsi="Times New Roman"/>
                <w:sz w:val="24"/>
              </w:rPr>
              <w:t>万元以下</w:t>
            </w:r>
          </w:p>
        </w:tc>
        <w:tc>
          <w:tcPr>
            <w:tcW w:w="3598" w:type="dxa"/>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sz w:val="24"/>
              </w:rPr>
            </w:pPr>
            <w:r>
              <w:rPr>
                <w:rFonts w:hint="eastAsia" w:ascii="Times New Roman" w:hAnsi="Times New Roman"/>
                <w:sz w:val="24"/>
                <w:lang w:val="en-US" w:eastAsia="zh-CN"/>
              </w:rPr>
              <w:t>0.3</w:t>
            </w:r>
            <w:r>
              <w:rPr>
                <w:rFonts w:hint="eastAsia" w:ascii="Times New Roman" w:hAnsi="Times New Roman"/>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1" w:hRule="atLeast"/>
          <w:jc w:val="center"/>
        </w:trPr>
        <w:tc>
          <w:tcPr>
            <w:tcW w:w="3528" w:type="dxa"/>
          </w:tcPr>
          <w:p>
            <w:pPr>
              <w:keepNext w:val="0"/>
              <w:keepLines w:val="0"/>
              <w:suppressLineNumbers w:val="0"/>
              <w:adjustRightInd w:val="0"/>
              <w:snapToGrid w:val="0"/>
              <w:spacing w:before="0" w:beforeAutospacing="0" w:after="0" w:afterAutospacing="0"/>
              <w:ind w:left="0" w:right="0"/>
              <w:rPr>
                <w:rFonts w:hint="eastAsia" w:ascii="Times New Roman" w:hAnsi="Times New Roman"/>
                <w:sz w:val="24"/>
              </w:rPr>
            </w:pPr>
            <w:r>
              <w:rPr>
                <w:rFonts w:hint="eastAsia" w:ascii="Times New Roman" w:hAnsi="Times New Roman"/>
                <w:sz w:val="24"/>
                <w:lang w:val="en-US" w:eastAsia="zh-CN"/>
              </w:rPr>
              <w:t>10</w:t>
            </w:r>
            <w:r>
              <w:rPr>
                <w:rFonts w:hint="eastAsia" w:ascii="Times New Roman" w:hAnsi="Times New Roman"/>
                <w:sz w:val="24"/>
              </w:rPr>
              <w:t>00万元以上（含</w:t>
            </w:r>
            <w:r>
              <w:rPr>
                <w:rFonts w:hint="eastAsia" w:ascii="Times New Roman" w:hAnsi="Times New Roman"/>
                <w:sz w:val="24"/>
                <w:lang w:val="en-US" w:eastAsia="zh-CN"/>
              </w:rPr>
              <w:t>10</w:t>
            </w:r>
            <w:r>
              <w:rPr>
                <w:rFonts w:hint="eastAsia" w:ascii="Times New Roman" w:hAnsi="Times New Roman"/>
                <w:sz w:val="24"/>
              </w:rPr>
              <w:t>00万元）</w:t>
            </w:r>
          </w:p>
        </w:tc>
        <w:tc>
          <w:tcPr>
            <w:tcW w:w="3598" w:type="dxa"/>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sz w:val="24"/>
              </w:rPr>
            </w:pPr>
            <w:r>
              <w:rPr>
                <w:rFonts w:hint="eastAsia" w:ascii="Times New Roman" w:hAnsi="Times New Roman"/>
                <w:sz w:val="24"/>
              </w:rPr>
              <w:t>每笔交易1000元</w:t>
            </w:r>
          </w:p>
        </w:tc>
      </w:tr>
    </w:tbl>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）认购份额的计算</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基金认购采用金额认购的方式。</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基金的认购金额包括认购费用和净认购金额。计算公式为：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申请总金额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认购费率）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w:t>
      </w:r>
      <w:r>
        <w:rPr>
          <w:rFonts w:hint="eastAsia" w:ascii="宋体" w:hAnsi="宋体" w:eastAsia="宋体" w:cs="宋体"/>
          <w:sz w:val="24"/>
        </w:rPr>
        <w:t>①</w:t>
      </w:r>
      <w:r>
        <w:rPr>
          <w:rFonts w:hint="eastAsia" w:ascii="Times New Roman" w:hAnsi="Times New Roman"/>
          <w:sz w:val="24"/>
        </w:rPr>
        <w:t>对于适用固定金额认购费用的认购，净认购金额＝认购总金额－固定认购费用金额</w:t>
      </w:r>
      <w:r>
        <w:rPr>
          <w:rFonts w:hint="eastAsia"/>
          <w:sz w:val="24"/>
          <w:lang w:eastAsia="zh-CN"/>
        </w:rPr>
        <w:t>；</w:t>
      </w:r>
      <w:r>
        <w:rPr>
          <w:rFonts w:hint="eastAsia" w:ascii="宋体" w:hAnsi="宋体" w:eastAsia="宋体" w:cs="宋体"/>
          <w:sz w:val="24"/>
          <w:lang w:eastAsia="zh-CN"/>
        </w:rPr>
        <w:t>②</w:t>
      </w:r>
      <w:r>
        <w:rPr>
          <w:rFonts w:hint="eastAsia"/>
          <w:sz w:val="24"/>
          <w:lang w:val="en-US" w:eastAsia="zh-CN"/>
        </w:rPr>
        <w:t>对于通过直销机构认购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lang w:val="en-US" w:eastAsia="zh-CN"/>
        </w:rPr>
        <w:t>基金份额的，认购费率均</w:t>
      </w:r>
      <w:r>
        <w:rPr>
          <w:rFonts w:hint="eastAsia" w:ascii="Times New Roman" w:hAnsi="Times New Roman"/>
          <w:sz w:val="24"/>
          <w:lang w:val="en-US" w:eastAsia="zh-CN"/>
        </w:rPr>
        <w:t>为0</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净认购金额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（注：对于适用固定金额认购费用的认购，认购费用＝固定认购费用金额）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w:t>
      </w:r>
      <w:r>
        <w:rPr>
          <w:rFonts w:hint="eastAsia" w:ascii="Times New Roman" w:hAnsi="Times New Roman"/>
          <w:sz w:val="24"/>
        </w:rPr>
        <w:t>净认购金额</w:t>
      </w:r>
      <w:r>
        <w:rPr>
          <w:rFonts w:ascii="Times New Roman" w:hAnsi="Times New Roman"/>
          <w:sz w:val="24"/>
        </w:rPr>
        <w:t>/</w:t>
      </w:r>
      <w:r>
        <w:rPr>
          <w:rFonts w:hint="eastAsia" w:ascii="Times New Roman" w:hAnsi="Times New Roman"/>
          <w:sz w:val="24"/>
        </w:rPr>
        <w:t>基金份额初始面值</w:t>
      </w:r>
      <w:r>
        <w:rPr>
          <w:rFonts w:ascii="Times New Roman" w:hAnsi="Times New Roman"/>
          <w:sz w:val="24"/>
        </w:rPr>
        <w:t>+</w:t>
      </w:r>
      <w:r>
        <w:rPr>
          <w:rFonts w:hint="eastAsia" w:ascii="Times New Roman" w:hAnsi="Times New Roman"/>
          <w:sz w:val="24"/>
        </w:rPr>
        <w:t>认购</w:t>
      </w:r>
      <w:r>
        <w:rPr>
          <w:rFonts w:hint="eastAsia"/>
          <w:sz w:val="24"/>
        </w:rPr>
        <w:t>资金</w:t>
      </w:r>
      <w:r>
        <w:rPr>
          <w:rFonts w:hint="eastAsia" w:ascii="Times New Roman" w:hAnsi="Times New Roman"/>
          <w:sz w:val="24"/>
        </w:rPr>
        <w:t>利息</w:t>
      </w:r>
      <w:r>
        <w:rPr>
          <w:rFonts w:ascii="Times New Roman" w:hAnsi="Times New Roman"/>
          <w:sz w:val="24"/>
        </w:rPr>
        <w:t>/</w:t>
      </w:r>
      <w:r>
        <w:rPr>
          <w:rFonts w:hint="eastAsia" w:ascii="Times New Roman" w:hAnsi="Times New Roman"/>
          <w:sz w:val="24"/>
        </w:rPr>
        <w:t>基金份额初始面值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认购份额的计算保留到小数点后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位以后的部分四舍五入，由此误差产生的收益或损失由基金财产承担。</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一</w:t>
      </w:r>
      <w:r>
        <w:rPr>
          <w:rFonts w:hint="eastAsia" w:ascii="Times New Roman" w:hAnsi="Times New Roman"/>
          <w:sz w:val="24"/>
        </w:rPr>
        <w:t>：某投资者通过</w:t>
      </w:r>
      <w:r>
        <w:rPr>
          <w:rFonts w:hint="eastAsia" w:ascii="Times New Roman" w:hAnsi="Times New Roman"/>
          <w:sz w:val="24"/>
          <w:lang w:val="en-US" w:eastAsia="zh-CN"/>
        </w:rPr>
        <w:t>直销</w:t>
      </w:r>
      <w:r>
        <w:rPr>
          <w:rFonts w:hint="eastAsia" w:ascii="Times New Roman" w:hAnsi="Times New Roman"/>
          <w:sz w:val="24"/>
        </w:rPr>
        <w:t>机构认购本基金A类基金份额100,000.00元，且该认购申请被全额确认，假定该笔认购金额产生的利息为10.00元，</w:t>
      </w:r>
      <w:r>
        <w:rPr>
          <w:rFonts w:hint="eastAsia"/>
          <w:sz w:val="24"/>
          <w:lang w:val="en-US" w:eastAsia="zh-CN"/>
        </w:rPr>
        <w:t>认购费率为0，</w:t>
      </w:r>
      <w:r>
        <w:rPr>
          <w:rFonts w:hint="eastAsia" w:ascii="Times New Roman" w:hAnsi="Times New Roman"/>
          <w:sz w:val="24"/>
        </w:rPr>
        <w:t>则可认购基金份额为：</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认购总金额=100,000.00元</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净认购金额＝100,000.00/（1＋</w:t>
      </w:r>
      <w:r>
        <w:rPr>
          <w:rFonts w:hint="eastAsia" w:ascii="Times New Roman" w:hAnsi="Times New Roman"/>
          <w:sz w:val="24"/>
          <w:lang w:val="en-US" w:eastAsia="zh-CN"/>
        </w:rPr>
        <w:t>0</w:t>
      </w:r>
      <w:r>
        <w:rPr>
          <w:rFonts w:hint="eastAsia" w:ascii="Times New Roman" w:hAnsi="Times New Roman"/>
          <w:sz w:val="24"/>
        </w:rPr>
        <w:t>）＝</w:t>
      </w:r>
      <w:r>
        <w:rPr>
          <w:rFonts w:hint="eastAsia" w:ascii="Times New Roman" w:hAnsi="Times New Roman"/>
          <w:sz w:val="24"/>
          <w:lang w:val="en-US" w:eastAsia="zh-CN"/>
        </w:rPr>
        <w:t>100</w:t>
      </w:r>
      <w:r>
        <w:rPr>
          <w:rFonts w:hint="eastAsia" w:ascii="Times New Roman" w:hAnsi="Times New Roman"/>
          <w:sz w:val="24"/>
        </w:rPr>
        <w:t>,</w:t>
      </w:r>
      <w:r>
        <w:rPr>
          <w:rFonts w:hint="eastAsia" w:ascii="Times New Roman" w:hAnsi="Times New Roman"/>
          <w:sz w:val="24"/>
          <w:lang w:val="en-US" w:eastAsia="zh-CN"/>
        </w:rPr>
        <w:t>000.00</w:t>
      </w:r>
      <w:r>
        <w:rPr>
          <w:rFonts w:hint="eastAsia" w:ascii="Times New Roman" w:hAnsi="Times New Roman"/>
          <w:sz w:val="24"/>
        </w:rPr>
        <w:t>元</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认购费用＝100,000.00</w:t>
      </w:r>
      <w:r>
        <w:rPr>
          <w:rFonts w:hint="eastAsia" w:ascii="Times New Roman" w:hAnsi="Times New Roman"/>
          <w:sz w:val="24"/>
          <w:lang w:val="en-US" w:eastAsia="zh-CN"/>
        </w:rPr>
        <w:t>-100,000.00=0.00</w:t>
      </w:r>
      <w:r>
        <w:rPr>
          <w:rFonts w:hint="eastAsia" w:ascii="Times New Roman" w:hAnsi="Times New Roman"/>
          <w:sz w:val="24"/>
        </w:rPr>
        <w:t>元</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认购份额＝100,000.00/1.00＋10.00/1.00＝100,0</w:t>
      </w:r>
      <w:r>
        <w:rPr>
          <w:rFonts w:hint="eastAsia" w:ascii="Times New Roman" w:hAnsi="Times New Roman"/>
          <w:sz w:val="24"/>
          <w:lang w:val="en-US" w:eastAsia="zh-CN"/>
        </w:rPr>
        <w:t>1</w:t>
      </w:r>
      <w:r>
        <w:rPr>
          <w:rFonts w:hint="eastAsia" w:ascii="Times New Roman" w:hAnsi="Times New Roman"/>
          <w:sz w:val="24"/>
        </w:rPr>
        <w:t>0.00份</w:t>
      </w:r>
    </w:p>
    <w:p>
      <w:pPr>
        <w:adjustRightInd w:val="0"/>
        <w:snapToGrid w:val="0"/>
        <w:spacing w:line="360" w:lineRule="auto"/>
        <w:ind w:firstLine="480" w:firstLineChars="200"/>
        <w:rPr>
          <w:rFonts w:hint="eastAsia"/>
          <w:sz w:val="24"/>
        </w:rPr>
      </w:pPr>
      <w:r>
        <w:rPr>
          <w:rFonts w:hint="eastAsia" w:ascii="Times New Roman" w:hAnsi="Times New Roman"/>
          <w:sz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二</w:t>
      </w:r>
      <w:r>
        <w:rPr>
          <w:rFonts w:hint="eastAsia" w:ascii="Times New Roman" w:hAnsi="Times New Roman"/>
          <w:sz w:val="24"/>
        </w:rPr>
        <w:t>：某投资者</w:t>
      </w:r>
      <w:r>
        <w:rPr>
          <w:rFonts w:hint="eastAsia"/>
          <w:sz w:val="24"/>
          <w:lang w:val="en-US" w:eastAsia="zh-CN"/>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A</w:t>
      </w:r>
      <w:r>
        <w:rPr>
          <w:rFonts w:hint="eastAsia" w:ascii="Times New Roman" w:hAnsi="Times New Roman"/>
          <w:sz w:val="24"/>
        </w:rPr>
        <w:t>类基金份额，且该认购申请被全额确认，所对应的认购费率为</w:t>
      </w:r>
      <w:r>
        <w:rPr>
          <w:rFonts w:hint="eastAsia" w:ascii="Times New Roman" w:hAnsi="Times New Roman"/>
          <w:sz w:val="24"/>
          <w:lang w:val="en-US" w:eastAsia="zh-CN"/>
        </w:rPr>
        <w:t>0.3</w:t>
      </w:r>
      <w:r>
        <w:rPr>
          <w:rFonts w:ascii="Times New Roman" w:hAnsi="Times New Roman"/>
          <w:sz w:val="24"/>
        </w:rPr>
        <w:t>%</w:t>
      </w:r>
      <w:r>
        <w:rPr>
          <w:rFonts w:hint="eastAsia" w:ascii="Times New Roman" w:hAnsi="Times New Roman"/>
          <w:sz w:val="24"/>
        </w:rPr>
        <w:t>。假定该笔认购金额产生利息</w:t>
      </w:r>
      <w:r>
        <w:rPr>
          <w:rFonts w:ascii="Times New Roman" w:hAnsi="Times New Roman"/>
          <w:sz w:val="24"/>
        </w:rPr>
        <w:t>50.00</w:t>
      </w:r>
      <w:r>
        <w:rPr>
          <w:rFonts w:hint="eastAsia" w:ascii="Times New Roman" w:hAnsi="Times New Roman"/>
          <w:sz w:val="24"/>
        </w:rPr>
        <w:t>元。则认购份额为：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100,000.00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w:t>
      </w:r>
      <w:r>
        <w:rPr>
          <w:rFonts w:ascii="Times New Roman" w:hAnsi="Times New Roman"/>
          <w:sz w:val="24"/>
        </w:rPr>
        <w:t>100,000.00/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hint="eastAsia" w:ascii="Times New Roman" w:hAnsi="Times New Roman"/>
          <w:sz w:val="24"/>
          <w:lang w:val="en-US" w:eastAsia="zh-CN"/>
        </w:rPr>
        <w:t>0.3</w:t>
      </w:r>
      <w:r>
        <w:rPr>
          <w:rFonts w:ascii="Times New Roman" w:hAnsi="Times New Roman"/>
          <w:sz w:val="24"/>
        </w:rPr>
        <w:t>%</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w:t>
      </w:r>
      <w:r>
        <w:rPr>
          <w:rFonts w:ascii="Times New Roman" w:hAnsi="Times New Roman"/>
          <w:sz w:val="24"/>
        </w:rPr>
        <w:t>100,000.00</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w:t>
      </w:r>
      <w:r>
        <w:rPr>
          <w:rFonts w:hint="eastAsia" w:ascii="Times New Roman" w:hAnsi="Times New Roman"/>
          <w:sz w:val="24"/>
          <w:lang w:val="en-US" w:eastAsia="zh-CN"/>
        </w:rPr>
        <w:t>299</w:t>
      </w:r>
      <w:r>
        <w:rPr>
          <w:rFonts w:ascii="Times New Roman" w:hAnsi="Times New Roman"/>
          <w:sz w:val="24"/>
        </w:rPr>
        <w:t>.10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ascii="Times New Roman" w:hAnsi="Times New Roman"/>
          <w:sz w:val="24"/>
        </w:rPr>
        <w:t>/1.00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750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即：若该投资者</w:t>
      </w:r>
      <w:r>
        <w:rPr>
          <w:rFonts w:hint="eastAsia"/>
          <w:sz w:val="24"/>
          <w:lang w:val="en-US" w:eastAsia="zh-CN"/>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A</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99,</w:t>
      </w:r>
      <w:r>
        <w:rPr>
          <w:rFonts w:hint="eastAsia" w:ascii="Times New Roman" w:hAnsi="Times New Roman"/>
          <w:sz w:val="24"/>
          <w:lang w:val="en-US" w:eastAsia="zh-CN"/>
        </w:rPr>
        <w:t>750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如果投资者选择认购本基金的</w:t>
      </w:r>
      <w:r>
        <w:rPr>
          <w:rFonts w:ascii="Times New Roman" w:hAnsi="Times New Roman"/>
          <w:sz w:val="24"/>
        </w:rPr>
        <w:t>C</w:t>
      </w:r>
      <w:r>
        <w:rPr>
          <w:rFonts w:hint="eastAsia" w:ascii="Times New Roman" w:hAnsi="Times New Roman"/>
          <w:sz w:val="24"/>
        </w:rPr>
        <w:t>类基金份额，则认购份额的计算方式如下：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申请总金额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基金份额初始面值＋认购利息</w:t>
      </w:r>
      <w:r>
        <w:rPr>
          <w:rFonts w:ascii="Times New Roman" w:hAnsi="Times New Roman"/>
          <w:sz w:val="24"/>
        </w:rPr>
        <w:t>/</w:t>
      </w:r>
      <w:r>
        <w:rPr>
          <w:rFonts w:hint="eastAsia" w:ascii="Times New Roman" w:hAnsi="Times New Roman"/>
          <w:sz w:val="24"/>
        </w:rPr>
        <w:t>基金份额初始面值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认购份额的计算保留到小数点后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位以后的部分四舍五入，由此误差产生的收益或损失由基金财产承担。</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例三：某投资者投资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C</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元。则认购份额为：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=100,000.00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100,000.00/1.00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100,050.00</w:t>
      </w:r>
      <w:r>
        <w:rPr>
          <w:rFonts w:hint="eastAsia" w:ascii="Times New Roman" w:hAnsi="Times New Roman"/>
          <w:sz w:val="24"/>
        </w:rPr>
        <w:t>份</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即：若该投资者投资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C</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100,050.00</w:t>
      </w:r>
      <w:r>
        <w:rPr>
          <w:rFonts w:hint="eastAsia" w:ascii="Times New Roman" w:hAnsi="Times New Roman"/>
          <w:sz w:val="24"/>
        </w:rPr>
        <w:t>份本基金</w:t>
      </w:r>
      <w:r>
        <w:rPr>
          <w:rFonts w:ascii="Times New Roman" w:hAnsi="Times New Roman"/>
          <w:sz w:val="24"/>
        </w:rPr>
        <w:t>C</w:t>
      </w:r>
      <w:r>
        <w:rPr>
          <w:rFonts w:hint="eastAsia" w:ascii="Times New Roman" w:hAnsi="Times New Roman"/>
          <w:sz w:val="24"/>
        </w:rPr>
        <w:t>类基金份额。</w:t>
      </w:r>
    </w:p>
    <w:p>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adjustRightInd w:val="0"/>
        <w:snapToGrid w:val="0"/>
        <w:spacing w:line="360" w:lineRule="auto"/>
        <w:ind w:firstLine="480" w:firstLineChars="200"/>
        <w:rPr>
          <w:rFonts w:hAnsi="宋体"/>
          <w:kern w:val="0"/>
          <w:sz w:val="24"/>
        </w:rPr>
      </w:pPr>
      <w:r>
        <w:rPr>
          <w:rFonts w:hint="eastAsia" w:hAnsi="宋体"/>
          <w:kern w:val="0"/>
          <w:sz w:val="24"/>
          <w:lang w:val="en-US" w:eastAsia="zh-CN"/>
        </w:rPr>
        <w:t>6、</w:t>
      </w:r>
      <w:r>
        <w:rPr>
          <w:rFonts w:hint="eastAsia" w:hAnsi="宋体"/>
          <w:kern w:val="0"/>
          <w:sz w:val="24"/>
        </w:rPr>
        <w:t>发起资金提供方认购本基金的总金额不少于1000万元人民币，且持有期限自基金合同生效之日起不少于3年，法律法规和监管机构另有规定的除外。</w:t>
      </w:r>
    </w:p>
    <w:p>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（一）直销机构</w:t>
      </w:r>
    </w:p>
    <w:p>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adjustRightInd w:val="0"/>
        <w:snapToGrid w:val="0"/>
        <w:spacing w:line="360" w:lineRule="auto"/>
        <w:ind w:firstLine="480" w:firstLineChars="200"/>
        <w:rPr>
          <w:sz w:val="24"/>
        </w:rPr>
      </w:pP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lang w:eastAsia="zh-CN"/>
        </w:rPr>
        <w:t>交银中证A500指数增强发起</w:t>
      </w:r>
      <w:r>
        <w:rPr>
          <w:sz w:val="24"/>
        </w:rPr>
        <w:t>”</w:t>
      </w:r>
      <w:r>
        <w:rPr>
          <w:rFonts w:hint="eastAsia"/>
          <w:sz w:val="24"/>
        </w:rPr>
        <w:t>；</w:t>
      </w:r>
    </w:p>
    <w:p>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（一）直销柜台</w:t>
      </w:r>
    </w:p>
    <w:p>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pPr>
        <w:adjustRightInd w:val="0"/>
        <w:snapToGrid w:val="0"/>
        <w:spacing w:line="360" w:lineRule="auto"/>
        <w:ind w:firstLine="480" w:firstLineChars="200"/>
        <w:rPr>
          <w:sz w:val="24"/>
        </w:rPr>
      </w:pPr>
      <w:r>
        <w:rPr>
          <w:rFonts w:hint="eastAsia"/>
          <w:sz w:val="24"/>
        </w:rPr>
        <w:t>2）加盖公章、经办人签字的《证券投资基金投资人权益须知》；</w:t>
      </w:r>
    </w:p>
    <w:p>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pPr>
        <w:adjustRightInd w:val="0"/>
        <w:snapToGrid w:val="0"/>
        <w:spacing w:line="360" w:lineRule="auto"/>
        <w:ind w:firstLine="480" w:firstLineChars="200"/>
        <w:rPr>
          <w:sz w:val="24"/>
        </w:rPr>
      </w:pPr>
      <w:r>
        <w:rPr>
          <w:rFonts w:hint="eastAsia"/>
          <w:sz w:val="24"/>
        </w:rPr>
        <w:t>6）加盖公章、法人章、经办人签字的《机构客户纳税身份声明文件》；</w:t>
      </w:r>
    </w:p>
    <w:p>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pPr>
        <w:adjustRightInd w:val="0"/>
        <w:snapToGrid w:val="0"/>
        <w:spacing w:line="360" w:lineRule="auto"/>
        <w:ind w:firstLine="480" w:firstLineChars="200"/>
        <w:rPr>
          <w:sz w:val="24"/>
        </w:rPr>
      </w:pPr>
      <w:r>
        <w:rPr>
          <w:rFonts w:hint="eastAsia"/>
          <w:sz w:val="24"/>
        </w:rPr>
        <w:t>8）加盖公章的经办人、法定代表人有效身份证件复印件（正反面）；</w:t>
      </w:r>
    </w:p>
    <w:p>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pPr>
        <w:adjustRightInd w:val="0"/>
        <w:snapToGrid w:val="0"/>
        <w:spacing w:line="360" w:lineRule="auto"/>
        <w:ind w:firstLine="480" w:firstLineChars="200"/>
        <w:rPr>
          <w:sz w:val="24"/>
        </w:rPr>
      </w:pPr>
      <w:r>
        <w:rPr>
          <w:rFonts w:hint="eastAsia"/>
          <w:sz w:val="24"/>
        </w:rPr>
        <w:t>13）加盖公章的公司股权架构信息、高管信息的文件</w:t>
      </w:r>
    </w:p>
    <w:p>
      <w:pPr>
        <w:adjustRightInd w:val="0"/>
        <w:snapToGrid w:val="0"/>
        <w:spacing w:line="360" w:lineRule="auto"/>
        <w:ind w:firstLine="480" w:firstLineChars="200"/>
        <w:rPr>
          <w:sz w:val="24"/>
        </w:rPr>
      </w:pPr>
      <w:r>
        <w:rPr>
          <w:rFonts w:hint="eastAsia"/>
          <w:sz w:val="24"/>
        </w:rPr>
        <w:t>14）加盖公章的公司金融许可证/业务许可证等证明</w:t>
      </w:r>
    </w:p>
    <w:p>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开户行：交通银行股份有限公司上海市分行交银大厦支行</w:t>
      </w:r>
    </w:p>
    <w:p>
      <w:pPr>
        <w:adjustRightInd w:val="0"/>
        <w:snapToGrid w:val="0"/>
        <w:spacing w:line="360" w:lineRule="auto"/>
        <w:ind w:firstLine="480" w:firstLineChars="200"/>
        <w:rPr>
          <w:sz w:val="24"/>
        </w:rPr>
      </w:pPr>
      <w:r>
        <w:rPr>
          <w:rFonts w:hint="eastAsia"/>
          <w:sz w:val="24"/>
        </w:rPr>
        <w:t>账号：</w:t>
      </w:r>
      <w:r>
        <w:rPr>
          <w:sz w:val="24"/>
        </w:rPr>
        <w:t>310066577018150012847</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开户行：中国工商银行股份有限公司上海市分行营业部</w:t>
      </w:r>
    </w:p>
    <w:p>
      <w:pPr>
        <w:adjustRightInd w:val="0"/>
        <w:snapToGrid w:val="0"/>
        <w:spacing w:line="360" w:lineRule="auto"/>
        <w:ind w:firstLine="480" w:firstLineChars="200"/>
        <w:rPr>
          <w:sz w:val="24"/>
        </w:rPr>
      </w:pPr>
      <w:r>
        <w:rPr>
          <w:rFonts w:hint="eastAsia"/>
          <w:sz w:val="24"/>
        </w:rPr>
        <w:t>账号：</w:t>
      </w:r>
      <w:r>
        <w:rPr>
          <w:sz w:val="24"/>
        </w:rPr>
        <w:t>1001202919025740042</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lang w:eastAsia="zh-CN"/>
        </w:rPr>
        <w:t>交银中证A500指数增强发起</w:t>
      </w:r>
      <w:r>
        <w:rPr>
          <w:sz w:val="24"/>
        </w:rPr>
        <w:t>”</w:t>
      </w:r>
      <w:r>
        <w:rPr>
          <w:rFonts w:hint="eastAsia"/>
          <w:sz w:val="24"/>
        </w:rPr>
        <w:t>；</w:t>
      </w:r>
    </w:p>
    <w:p>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五、清算与交割</w:t>
      </w:r>
    </w:p>
    <w:p>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pPr>
        <w:keepNext/>
        <w:keepLines/>
        <w:adjustRightInd w:val="0"/>
        <w:snapToGrid w:val="0"/>
        <w:spacing w:before="240" w:after="156" w:afterLines="50" w:line="360" w:lineRule="auto"/>
        <w:jc w:val="center"/>
        <w:outlineLvl w:val="0"/>
        <w:rPr>
          <w:b/>
          <w:sz w:val="24"/>
        </w:rPr>
      </w:pPr>
      <w:r>
        <w:rPr>
          <w:rFonts w:hint="eastAsia"/>
          <w:b/>
          <w:sz w:val="24"/>
        </w:rPr>
        <w:t>六、退款</w:t>
      </w:r>
    </w:p>
    <w:p>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pPr>
        <w:adjustRightInd w:val="0"/>
        <w:snapToGrid w:val="0"/>
        <w:spacing w:line="360" w:lineRule="auto"/>
        <w:ind w:firstLine="480" w:firstLineChars="200"/>
        <w:rPr>
          <w:sz w:val="24"/>
        </w:rPr>
      </w:pPr>
      <w:r>
        <w:rPr>
          <w:rFonts w:hint="eastAsia"/>
          <w:sz w:val="24"/>
        </w:rPr>
        <w:t>本基金募集期满，达到合同规定的条件，基金合同方可生效。</w:t>
      </w:r>
    </w:p>
    <w:p>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pPr>
        <w:pStyle w:val="4"/>
        <w:autoSpaceDE w:val="0"/>
        <w:autoSpaceDN w:val="0"/>
        <w:adjustRightInd w:val="0"/>
        <w:snapToGrid w:val="0"/>
        <w:spacing w:line="360" w:lineRule="auto"/>
        <w:ind w:firstLine="480"/>
        <w:rPr>
          <w:sz w:val="24"/>
        </w:rPr>
      </w:pPr>
      <w:r>
        <w:rPr>
          <w:sz w:val="24"/>
        </w:rPr>
        <w:t>2</w:t>
      </w:r>
      <w:r>
        <w:rPr>
          <w:rFonts w:hint="eastAsia"/>
          <w:sz w:val="24"/>
        </w:rPr>
        <w:t>、本基金自基金份额发售之日起</w:t>
      </w:r>
      <w:r>
        <w:rPr>
          <w:sz w:val="24"/>
        </w:rPr>
        <w:t>3</w:t>
      </w:r>
      <w:r>
        <w:rPr>
          <w:rFonts w:hint="eastAsia"/>
          <w:sz w:val="24"/>
        </w:rPr>
        <w:t>个月内，</w:t>
      </w:r>
      <w:r>
        <w:rPr>
          <w:rFonts w:hint="eastAsia"/>
          <w:bCs/>
          <w:sz w:val="24"/>
        </w:rPr>
        <w:t>在发起资金提供方使用发起资金认购本基金的金额不少于1000万元人民币且承诺其认购的基金份额持有期限自基金合同生效之日起不少于3年的条件下</w:t>
      </w:r>
      <w:r>
        <w:rPr>
          <w:rFonts w:hint="eastAsia"/>
          <w:sz w:val="24"/>
        </w:rPr>
        <w:t>，基金募集期届满或基金管理人依据法律法规及招募说明书可以决定停止基金发售，并在</w:t>
      </w:r>
      <w:r>
        <w:rPr>
          <w:sz w:val="24"/>
        </w:rPr>
        <w:t>10</w:t>
      </w:r>
      <w:r>
        <w:rPr>
          <w:rFonts w:hint="eastAsia"/>
          <w:sz w:val="24"/>
        </w:rPr>
        <w:t>日内聘请法定验资机构验资，验资报告需对发起资金提供方及其持有份额进行专门说明，基金管理人自收到验资报告之日起</w:t>
      </w:r>
      <w:r>
        <w:rPr>
          <w:sz w:val="24"/>
        </w:rPr>
        <w:t>10</w:t>
      </w:r>
      <w:r>
        <w:rPr>
          <w:rFonts w:hint="eastAsia"/>
          <w:sz w:val="24"/>
        </w:rPr>
        <w:t>日内，向中国证监会办理基金备案手续。自中国证监会书面确认之日起，基金备案手续办理完毕，基金合同生效。</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pPr>
        <w:adjustRightInd w:val="0"/>
        <w:snapToGrid w:val="0"/>
        <w:spacing w:line="360" w:lineRule="auto"/>
        <w:ind w:firstLine="482" w:firstLineChars="200"/>
        <w:rPr>
          <w:rFonts w:hAnsi="宋体"/>
          <w:b/>
          <w:sz w:val="24"/>
        </w:rPr>
      </w:pPr>
      <w:r>
        <w:rPr>
          <w:rFonts w:hint="eastAsia" w:hAnsi="宋体"/>
          <w:b/>
          <w:sz w:val="24"/>
        </w:rPr>
        <w:t>（一）基金管理人</w:t>
      </w:r>
    </w:p>
    <w:p>
      <w:pPr>
        <w:adjustRightInd w:val="0"/>
        <w:snapToGrid w:val="0"/>
        <w:spacing w:line="360" w:lineRule="auto"/>
        <w:ind w:firstLine="480" w:firstLineChars="200"/>
        <w:rPr>
          <w:sz w:val="24"/>
        </w:rPr>
      </w:pPr>
      <w:r>
        <w:rPr>
          <w:rFonts w:hint="eastAsia"/>
          <w:sz w:val="24"/>
        </w:rPr>
        <w:t>名称：交银施罗德基金管理有限公司</w:t>
      </w:r>
    </w:p>
    <w:p>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sz w:val="24"/>
        </w:rPr>
        <w:t>邮政编码：</w:t>
      </w:r>
      <w:r>
        <w:rPr>
          <w:sz w:val="24"/>
        </w:rPr>
        <w:t>200120</w:t>
      </w:r>
    </w:p>
    <w:p>
      <w:pPr>
        <w:adjustRightInd w:val="0"/>
        <w:snapToGrid w:val="0"/>
        <w:spacing w:line="360" w:lineRule="auto"/>
        <w:ind w:firstLine="480" w:firstLineChars="200"/>
        <w:rPr>
          <w:sz w:val="24"/>
        </w:rPr>
      </w:pPr>
      <w:r>
        <w:rPr>
          <w:rFonts w:hint="eastAsia"/>
          <w:sz w:val="24"/>
        </w:rPr>
        <w:t>法定代表人：张宏良</w:t>
      </w:r>
    </w:p>
    <w:p>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pPr>
        <w:adjustRightInd w:val="0"/>
        <w:snapToGrid w:val="0"/>
        <w:spacing w:line="360" w:lineRule="auto"/>
        <w:ind w:firstLine="480" w:firstLineChars="200"/>
        <w:rPr>
          <w:sz w:val="24"/>
        </w:rPr>
      </w:pPr>
      <w:r>
        <w:rPr>
          <w:rFonts w:hint="eastAsia"/>
          <w:sz w:val="24"/>
        </w:rPr>
        <w:t>联系人：何佳妮</w:t>
      </w:r>
    </w:p>
    <w:p>
      <w:pPr>
        <w:adjustRightInd w:val="0"/>
        <w:snapToGrid w:val="0"/>
        <w:spacing w:line="360" w:lineRule="auto"/>
        <w:ind w:firstLine="482" w:firstLineChars="200"/>
        <w:rPr>
          <w:rFonts w:hAnsi="宋体"/>
          <w:b/>
          <w:sz w:val="24"/>
        </w:rPr>
      </w:pPr>
      <w:r>
        <w:rPr>
          <w:rFonts w:hint="eastAsia" w:hAnsi="宋体"/>
          <w:b/>
          <w:sz w:val="24"/>
        </w:rPr>
        <w:t>（二）基金托管人</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名称：中国工商银行股份有限公司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注册地址：北京市西城区复兴门内大街55号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成立时间：1984年1月1日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bCs/>
          <w:sz w:val="24"/>
        </w:rPr>
        <w:t>廖林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注册资本：人民币35,640,625.71万元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联系电话：010-66105799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联系人：郭明</w:t>
      </w:r>
    </w:p>
    <w:p>
      <w:pPr>
        <w:adjustRightInd w:val="0"/>
        <w:snapToGrid w:val="0"/>
        <w:spacing w:line="360" w:lineRule="auto"/>
        <w:ind w:firstLine="482" w:firstLineChars="200"/>
        <w:rPr>
          <w:rFonts w:hAnsi="宋体"/>
          <w:b/>
          <w:sz w:val="24"/>
        </w:rPr>
      </w:pPr>
      <w:r>
        <w:rPr>
          <w:rFonts w:hint="eastAsia" w:hAnsi="宋体"/>
          <w:b/>
          <w:sz w:val="24"/>
        </w:rPr>
        <w:t>（三）销售机构</w:t>
      </w:r>
    </w:p>
    <w:p>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pPr>
        <w:widowControl/>
        <w:adjustRightInd w:val="0"/>
        <w:snapToGrid w:val="0"/>
        <w:spacing w:line="360" w:lineRule="auto"/>
        <w:ind w:firstLine="480" w:firstLineChars="200"/>
        <w:rPr>
          <w:kern w:val="0"/>
          <w:sz w:val="24"/>
        </w:rPr>
      </w:pPr>
      <w:r>
        <w:rPr>
          <w:rFonts w:hint="eastAsia"/>
          <w:kern w:val="0"/>
          <w:sz w:val="24"/>
        </w:rPr>
        <w:t>联系人：傅鲸</w:t>
      </w:r>
    </w:p>
    <w:p>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pPr>
        <w:widowControl/>
        <w:adjustRightInd w:val="0"/>
        <w:snapToGrid w:val="0"/>
        <w:spacing w:line="360" w:lineRule="auto"/>
        <w:ind w:firstLine="480" w:firstLineChars="200"/>
        <w:rPr>
          <w:kern w:val="0"/>
          <w:sz w:val="24"/>
        </w:rPr>
      </w:pPr>
      <w:r>
        <w:rPr>
          <w:kern w:val="0"/>
          <w:sz w:val="24"/>
        </w:rPr>
        <w:t>2</w:t>
      </w:r>
      <w:r>
        <w:rPr>
          <w:rFonts w:hint="eastAsia"/>
          <w:kern w:val="0"/>
          <w:sz w:val="24"/>
        </w:rPr>
        <w:t>、除基金管理人之外的其他销售机构</w:t>
      </w:r>
    </w:p>
    <w:p>
      <w:pPr>
        <w:adjustRightInd w:val="0"/>
        <w:snapToGrid w:val="0"/>
        <w:spacing w:line="360" w:lineRule="auto"/>
        <w:ind w:firstLine="480" w:firstLineChars="200"/>
        <w:rPr>
          <w:rFonts w:hAnsi="宋体"/>
          <w:sz w:val="24"/>
        </w:rPr>
      </w:pPr>
      <w:r>
        <w:rPr>
          <w:rFonts w:hint="eastAsia"/>
          <w:kern w:val="0"/>
          <w:sz w:val="24"/>
        </w:rPr>
        <w:t>（1）</w:t>
      </w:r>
      <w:r>
        <w:rPr>
          <w:rFonts w:hint="eastAsia" w:hAnsi="宋体"/>
          <w:sz w:val="24"/>
        </w:rPr>
        <w:t>交通银行股份有限公司</w:t>
      </w:r>
    </w:p>
    <w:p>
      <w:pPr>
        <w:adjustRightInd w:val="0"/>
        <w:snapToGrid w:val="0"/>
        <w:spacing w:line="360" w:lineRule="auto"/>
        <w:ind w:firstLine="480" w:firstLineChars="200"/>
        <w:rPr>
          <w:rFonts w:hAnsi="宋体"/>
          <w:sz w:val="24"/>
        </w:rPr>
      </w:pPr>
      <w:r>
        <w:rPr>
          <w:rFonts w:hint="eastAsia" w:hAnsi="宋体"/>
          <w:sz w:val="24"/>
        </w:rPr>
        <w:t>住所：上海市浦东新区银城中路188号</w:t>
      </w:r>
    </w:p>
    <w:p>
      <w:pPr>
        <w:adjustRightInd w:val="0"/>
        <w:snapToGrid w:val="0"/>
        <w:spacing w:line="360" w:lineRule="auto"/>
        <w:ind w:firstLine="480" w:firstLineChars="200"/>
        <w:rPr>
          <w:rFonts w:hAnsi="宋体"/>
          <w:sz w:val="24"/>
        </w:rPr>
      </w:pPr>
      <w:r>
        <w:rPr>
          <w:rFonts w:hint="eastAsia" w:hAnsi="宋体"/>
          <w:sz w:val="24"/>
        </w:rPr>
        <w:t>办公地址：上海市浦东新区银城中路188号</w:t>
      </w:r>
    </w:p>
    <w:p>
      <w:pPr>
        <w:adjustRightInd w:val="0"/>
        <w:snapToGrid w:val="0"/>
        <w:spacing w:line="360" w:lineRule="auto"/>
        <w:ind w:firstLine="480" w:firstLineChars="200"/>
        <w:rPr>
          <w:rFonts w:hAnsi="宋体"/>
          <w:sz w:val="24"/>
        </w:rPr>
      </w:pPr>
      <w:r>
        <w:rPr>
          <w:rFonts w:hint="eastAsia" w:hAnsi="宋体"/>
          <w:sz w:val="24"/>
        </w:rPr>
        <w:t>法定代表人：任德奇</w:t>
      </w:r>
    </w:p>
    <w:p>
      <w:pPr>
        <w:adjustRightInd w:val="0"/>
        <w:snapToGrid w:val="0"/>
        <w:spacing w:line="360" w:lineRule="auto"/>
        <w:ind w:firstLine="480" w:firstLineChars="200"/>
        <w:rPr>
          <w:rFonts w:hAnsi="宋体"/>
          <w:sz w:val="24"/>
        </w:rPr>
      </w:pPr>
      <w:r>
        <w:rPr>
          <w:rFonts w:hint="eastAsia" w:hAnsi="宋体"/>
          <w:sz w:val="24"/>
        </w:rPr>
        <w:t>电话：（021）58781234</w:t>
      </w:r>
    </w:p>
    <w:p>
      <w:pPr>
        <w:adjustRightInd w:val="0"/>
        <w:snapToGrid w:val="0"/>
        <w:spacing w:line="360" w:lineRule="auto"/>
        <w:ind w:firstLine="480" w:firstLineChars="200"/>
        <w:rPr>
          <w:rFonts w:hAnsi="宋体"/>
          <w:sz w:val="24"/>
        </w:rPr>
      </w:pPr>
      <w:r>
        <w:rPr>
          <w:rFonts w:hint="eastAsia" w:hAnsi="宋体"/>
          <w:sz w:val="24"/>
        </w:rPr>
        <w:t>传真：（021）58408483</w:t>
      </w:r>
    </w:p>
    <w:p>
      <w:pPr>
        <w:adjustRightInd w:val="0"/>
        <w:snapToGrid w:val="0"/>
        <w:spacing w:line="360" w:lineRule="auto"/>
        <w:ind w:firstLine="480" w:firstLineChars="200"/>
        <w:rPr>
          <w:rFonts w:hAnsi="宋体"/>
          <w:sz w:val="24"/>
        </w:rPr>
      </w:pPr>
      <w:r>
        <w:rPr>
          <w:rFonts w:hint="eastAsia" w:hAnsi="宋体"/>
          <w:sz w:val="24"/>
        </w:rPr>
        <w:t>联系人：范瑞波</w:t>
      </w:r>
    </w:p>
    <w:p>
      <w:pPr>
        <w:adjustRightInd w:val="0"/>
        <w:snapToGrid w:val="0"/>
        <w:spacing w:line="360" w:lineRule="auto"/>
        <w:ind w:firstLine="480" w:firstLineChars="200"/>
        <w:rPr>
          <w:rFonts w:hAnsi="宋体"/>
          <w:sz w:val="24"/>
        </w:rPr>
      </w:pPr>
      <w:r>
        <w:rPr>
          <w:rFonts w:hint="eastAsia" w:hAnsi="宋体"/>
          <w:sz w:val="24"/>
        </w:rPr>
        <w:t>客户服务电话：95559</w:t>
      </w:r>
    </w:p>
    <w:p>
      <w:pPr>
        <w:adjustRightInd w:val="0"/>
        <w:snapToGrid w:val="0"/>
        <w:spacing w:line="360" w:lineRule="auto"/>
        <w:ind w:firstLine="480" w:firstLineChars="200"/>
        <w:rPr>
          <w:rFonts w:hAnsi="宋体"/>
          <w:sz w:val="24"/>
        </w:rPr>
      </w:pPr>
      <w:r>
        <w:rPr>
          <w:rFonts w:hint="eastAsia" w:hAnsi="宋体"/>
          <w:sz w:val="24"/>
        </w:rPr>
        <w:t>网址：</w:t>
      </w:r>
      <w:r>
        <w:rPr>
          <w:rStyle w:val="57"/>
          <w:rFonts w:hint="eastAsia" w:hAnsi="宋体"/>
          <w:color w:val="auto"/>
          <w:sz w:val="24"/>
        </w:rPr>
        <w:t>www.bankcomm.com</w:t>
      </w:r>
    </w:p>
    <w:p>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pPr>
        <w:widowControl/>
        <w:adjustRightInd w:val="0"/>
        <w:snapToGrid w:val="0"/>
        <w:spacing w:line="360" w:lineRule="auto"/>
        <w:ind w:firstLine="482" w:firstLineChars="200"/>
        <w:rPr>
          <w:b/>
          <w:kern w:val="0"/>
          <w:sz w:val="24"/>
        </w:rPr>
      </w:pPr>
      <w:r>
        <w:rPr>
          <w:rFonts w:hint="eastAsia"/>
          <w:b/>
          <w:kern w:val="0"/>
          <w:sz w:val="24"/>
        </w:rPr>
        <w:t>（四）登记机构</w:t>
      </w:r>
    </w:p>
    <w:p>
      <w:pPr>
        <w:autoSpaceDE w:val="0"/>
        <w:autoSpaceDN w:val="0"/>
        <w:adjustRightInd w:val="0"/>
        <w:snapToGrid w:val="0"/>
        <w:spacing w:line="360" w:lineRule="auto"/>
        <w:ind w:firstLine="480" w:firstLineChars="200"/>
        <w:jc w:val="left"/>
        <w:rPr>
          <w:sz w:val="24"/>
        </w:rPr>
      </w:pPr>
      <w:r>
        <w:rPr>
          <w:rFonts w:hint="eastAsia"/>
          <w:sz w:val="24"/>
        </w:rPr>
        <w:t xml:space="preserve">名称：交银施罗德基金管理有限公司 </w:t>
      </w:r>
    </w:p>
    <w:p>
      <w:pPr>
        <w:autoSpaceDE w:val="0"/>
        <w:autoSpaceDN w:val="0"/>
        <w:adjustRightInd w:val="0"/>
        <w:snapToGrid w:val="0"/>
        <w:spacing w:line="360" w:lineRule="auto"/>
        <w:ind w:firstLine="480" w:firstLineChars="200"/>
        <w:jc w:val="left"/>
        <w:rPr>
          <w:sz w:val="24"/>
        </w:rPr>
      </w:pPr>
      <w:r>
        <w:rPr>
          <w:rFonts w:hint="eastAsia"/>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sz w:val="24"/>
        </w:rPr>
      </w:pPr>
      <w:r>
        <w:rPr>
          <w:rFonts w:hint="eastAsia"/>
          <w:sz w:val="24"/>
        </w:rPr>
        <w:t>办公地址：上海市浦东新区世纪大道8号国金中心二期21-22楼</w:t>
      </w:r>
    </w:p>
    <w:p>
      <w:pPr>
        <w:autoSpaceDE w:val="0"/>
        <w:autoSpaceDN w:val="0"/>
        <w:adjustRightInd w:val="0"/>
        <w:snapToGrid w:val="0"/>
        <w:spacing w:line="360" w:lineRule="auto"/>
        <w:ind w:firstLine="480" w:firstLineChars="200"/>
        <w:jc w:val="left"/>
        <w:rPr>
          <w:sz w:val="24"/>
        </w:rPr>
      </w:pPr>
      <w:r>
        <w:rPr>
          <w:rFonts w:hint="eastAsia"/>
          <w:sz w:val="24"/>
        </w:rPr>
        <w:t>法定代表人：张宏良</w:t>
      </w:r>
    </w:p>
    <w:p>
      <w:pPr>
        <w:autoSpaceDE w:val="0"/>
        <w:autoSpaceDN w:val="0"/>
        <w:adjustRightInd w:val="0"/>
        <w:snapToGrid w:val="0"/>
        <w:spacing w:line="360" w:lineRule="auto"/>
        <w:ind w:firstLine="480" w:firstLineChars="200"/>
        <w:jc w:val="left"/>
        <w:rPr>
          <w:sz w:val="24"/>
        </w:rPr>
      </w:pPr>
      <w:r>
        <w:rPr>
          <w:rFonts w:hint="eastAsia"/>
          <w:sz w:val="24"/>
        </w:rPr>
        <w:t>电话：（021）61055461</w:t>
      </w:r>
    </w:p>
    <w:p>
      <w:pPr>
        <w:autoSpaceDE w:val="0"/>
        <w:autoSpaceDN w:val="0"/>
        <w:adjustRightInd w:val="0"/>
        <w:snapToGrid w:val="0"/>
        <w:spacing w:line="360" w:lineRule="auto"/>
        <w:ind w:firstLine="480" w:firstLineChars="200"/>
        <w:jc w:val="left"/>
        <w:rPr>
          <w:sz w:val="24"/>
        </w:rPr>
      </w:pPr>
      <w:r>
        <w:rPr>
          <w:rFonts w:hint="eastAsia"/>
          <w:sz w:val="24"/>
        </w:rPr>
        <w:t>传真：（021）61055064</w:t>
      </w:r>
    </w:p>
    <w:p>
      <w:pPr>
        <w:autoSpaceDE w:val="0"/>
        <w:autoSpaceDN w:val="0"/>
        <w:adjustRightInd w:val="0"/>
        <w:snapToGrid w:val="0"/>
        <w:spacing w:line="360" w:lineRule="auto"/>
        <w:ind w:firstLine="480" w:firstLineChars="200"/>
        <w:jc w:val="left"/>
        <w:rPr>
          <w:sz w:val="24"/>
        </w:rPr>
      </w:pPr>
      <w:r>
        <w:rPr>
          <w:rFonts w:hint="eastAsia"/>
          <w:sz w:val="24"/>
        </w:rPr>
        <w:t>联系人：陈方强</w:t>
      </w:r>
    </w:p>
    <w:p>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pPr>
        <w:adjustRightInd w:val="0"/>
        <w:snapToGrid w:val="0"/>
        <w:spacing w:line="360" w:lineRule="auto"/>
        <w:ind w:firstLine="480" w:firstLineChars="200"/>
        <w:rPr>
          <w:kern w:val="0"/>
          <w:sz w:val="24"/>
        </w:rPr>
      </w:pPr>
      <w:r>
        <w:rPr>
          <w:rFonts w:hint="eastAsia"/>
          <w:kern w:val="0"/>
          <w:sz w:val="24"/>
        </w:rPr>
        <w:t>名称：上海市通力律师事务所</w:t>
      </w:r>
    </w:p>
    <w:p>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pPr>
        <w:adjustRightInd w:val="0"/>
        <w:snapToGrid w:val="0"/>
        <w:spacing w:line="360" w:lineRule="auto"/>
        <w:ind w:firstLine="480" w:firstLineChars="200"/>
        <w:rPr>
          <w:rFonts w:hAnsi="宋体"/>
          <w:kern w:val="0"/>
          <w:sz w:val="24"/>
        </w:rPr>
      </w:pPr>
      <w:bookmarkStart w:id="5" w:name="OLE_LINK4"/>
      <w:bookmarkStart w:id="6" w:name="OLE_LINK3"/>
      <w:r>
        <w:rPr>
          <w:rFonts w:hint="eastAsia"/>
          <w:kern w:val="0"/>
          <w:sz w:val="24"/>
        </w:rPr>
        <w:t>经办律师</w:t>
      </w:r>
      <w:bookmarkEnd w:id="5"/>
      <w:bookmarkEnd w:id="6"/>
      <w:r>
        <w:rPr>
          <w:rFonts w:hint="eastAsia"/>
          <w:kern w:val="0"/>
          <w:sz w:val="24"/>
        </w:rPr>
        <w:t>：</w:t>
      </w:r>
      <w:r>
        <w:rPr>
          <w:sz w:val="24"/>
        </w:rPr>
        <w:t>丁媛</w:t>
      </w:r>
      <w:r>
        <w:rPr>
          <w:rFonts w:hint="eastAsia" w:ascii="Times New Roman" w:hAnsi="Times New Roman"/>
          <w:sz w:val="24"/>
        </w:rPr>
        <w:t>、李晓露</w:t>
      </w:r>
    </w:p>
    <w:p>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名称：毕马威华振会计师事务所（特殊普通合伙）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住所：北京市东城区东长安街1号东方广场2座办公楼8层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办公地址：中国上海南京西路1266号恒隆广场2期25楼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执行事务合伙人：邹俊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电话：+86 (21) 2212 2888</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传真：+86 (21) 6288 1889</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联系人：侯雯</w:t>
      </w:r>
    </w:p>
    <w:p>
      <w:pPr>
        <w:autoSpaceDE w:val="0"/>
        <w:autoSpaceDN w:val="0"/>
        <w:adjustRightInd w:val="0"/>
        <w:snapToGrid w:val="0"/>
        <w:spacing w:line="360" w:lineRule="auto"/>
        <w:ind w:firstLine="480" w:firstLineChars="200"/>
        <w:jc w:val="left"/>
        <w:rPr>
          <w:rFonts w:hint="eastAsia" w:ascii="Times New Roman" w:hAnsi="Times New Roman"/>
          <w:sz w:val="24"/>
          <w:szCs w:val="21"/>
        </w:rPr>
      </w:pPr>
      <w:r>
        <w:rPr>
          <w:rFonts w:hint="eastAsia" w:ascii="Times New Roman" w:hAnsi="Times New Roman"/>
          <w:sz w:val="24"/>
        </w:rPr>
        <w:t>经办注册会计师：王国蓓、侯雯</w:t>
      </w:r>
    </w:p>
    <w:p>
      <w:pPr>
        <w:autoSpaceDE w:val="0"/>
        <w:autoSpaceDN w:val="0"/>
        <w:adjustRightInd w:val="0"/>
        <w:snapToGrid w:val="0"/>
        <w:spacing w:line="360" w:lineRule="auto"/>
        <w:ind w:firstLine="480" w:firstLineChars="200"/>
        <w:jc w:val="left"/>
        <w:rPr>
          <w:sz w:val="24"/>
        </w:rPr>
      </w:pPr>
    </w:p>
    <w:p>
      <w:pPr>
        <w:autoSpaceDE w:val="0"/>
        <w:autoSpaceDN w:val="0"/>
        <w:adjustRightInd w:val="0"/>
        <w:snapToGrid w:val="0"/>
        <w:spacing w:line="360" w:lineRule="auto"/>
        <w:ind w:firstLine="480" w:firstLineChars="200"/>
        <w:jc w:val="left"/>
        <w:rPr>
          <w:sz w:val="24"/>
        </w:rPr>
      </w:pPr>
    </w:p>
    <w:p>
      <w:pPr>
        <w:widowControl/>
        <w:adjustRightInd w:val="0"/>
        <w:snapToGrid w:val="0"/>
        <w:spacing w:line="360" w:lineRule="auto"/>
        <w:ind w:firstLine="480" w:firstLineChars="200"/>
        <w:jc w:val="right"/>
        <w:rPr>
          <w:kern w:val="0"/>
          <w:sz w:val="24"/>
        </w:rPr>
      </w:pPr>
    </w:p>
    <w:p>
      <w:pPr>
        <w:widowControl/>
        <w:adjustRightInd w:val="0"/>
        <w:snapToGrid w:val="0"/>
        <w:spacing w:line="360" w:lineRule="auto"/>
        <w:ind w:firstLine="480" w:firstLineChars="200"/>
        <w:jc w:val="right"/>
        <w:rPr>
          <w:kern w:val="0"/>
          <w:sz w:val="24"/>
        </w:rPr>
      </w:pPr>
      <w:r>
        <w:rPr>
          <w:kern w:val="0"/>
          <w:sz w:val="24"/>
        </w:rPr>
        <w:t>交银施罗德基金管理有限公司</w:t>
      </w:r>
    </w:p>
    <w:p>
      <w:pPr>
        <w:widowControl/>
        <w:adjustRightInd w:val="0"/>
        <w:snapToGrid w:val="0"/>
        <w:spacing w:line="360" w:lineRule="auto"/>
        <w:ind w:firstLine="480" w:firstLineChars="200"/>
        <w:jc w:val="right"/>
        <w:rPr>
          <w:kern w:val="0"/>
          <w:sz w:val="24"/>
        </w:rPr>
      </w:pPr>
      <w:r>
        <w:rPr>
          <w:rFonts w:hint="eastAsia"/>
          <w:kern w:val="0"/>
          <w:sz w:val="24"/>
        </w:rPr>
        <w:t>二〇二</w:t>
      </w:r>
      <w:r>
        <w:rPr>
          <w:rFonts w:hint="eastAsia"/>
          <w:kern w:val="0"/>
          <w:sz w:val="24"/>
          <w:lang w:val="en-US" w:eastAsia="zh-CN"/>
        </w:rPr>
        <w:t>六</w:t>
      </w:r>
      <w:r>
        <w:rPr>
          <w:rFonts w:hint="eastAsia"/>
          <w:kern w:val="0"/>
          <w:sz w:val="24"/>
        </w:rPr>
        <w:t>年</w:t>
      </w:r>
      <w:r>
        <w:rPr>
          <w:rFonts w:hint="eastAsia"/>
          <w:kern w:val="0"/>
          <w:sz w:val="24"/>
          <w:lang w:val="en-US" w:eastAsia="zh-CN"/>
        </w:rPr>
        <w:t>一</w:t>
      </w:r>
      <w:r>
        <w:rPr>
          <w:rFonts w:hint="eastAsia"/>
          <w:kern w:val="0"/>
          <w:sz w:val="24"/>
        </w:rPr>
        <w:t>月</w:t>
      </w:r>
      <w:r>
        <w:rPr>
          <w:rFonts w:hint="eastAsia"/>
          <w:kern w:val="0"/>
          <w:sz w:val="24"/>
          <w:lang w:val="en-US" w:eastAsia="zh-CN"/>
        </w:rPr>
        <w:t>十五</w:t>
      </w:r>
      <w:r>
        <w:rPr>
          <w:rFonts w:hint="eastAsia"/>
          <w:kern w:val="0"/>
          <w:sz w:val="24"/>
        </w:rPr>
        <w:t>日</w:t>
      </w:r>
    </w:p>
    <w:sectPr>
      <w:headerReference r:id="rId3" w:type="default"/>
      <w:footerReference r:id="rId4" w:type="default"/>
      <w:pgSz w:w="11906" w:h="16838"/>
      <w:pgMar w:top="15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9</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2540</wp:posOffset>
          </wp:positionH>
          <wp:positionV relativeFrom="paragraph">
            <wp:posOffset>59690</wp:posOffset>
          </wp:positionV>
          <wp:extent cx="1549400" cy="205740"/>
          <wp:effectExtent l="0" t="0" r="0" b="4445"/>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549400" cy="205511"/>
                  </a:xfrm>
                  <a:prstGeom prst="rect">
                    <a:avLst/>
                  </a:prstGeom>
                  <a:noFill/>
                  <a:ln w="9525">
                    <a:noFill/>
                    <a:miter lim="800000"/>
                    <a:headEnd/>
                    <a:tailEnd/>
                  </a:ln>
                </pic:spPr>
              </pic:pic>
            </a:graphicData>
          </a:graphic>
        </wp:anchor>
      </w:drawing>
    </w:r>
  </w:p>
  <w:p>
    <w:pPr>
      <w:pStyle w:val="32"/>
      <w:pBdr>
        <w:bottom w:val="none" w:color="auto" w:sz="0" w:space="0"/>
      </w:pBdr>
      <w:tabs>
        <w:tab w:val="right" w:pos="8280"/>
      </w:tabs>
      <w:jc w:val="right"/>
      <w:rPr>
        <w:rFonts w:ascii="宋体"/>
      </w:rPr>
    </w:pPr>
    <w:r>
      <w:rPr>
        <w:rFonts w:hint="eastAsia" w:cs="宋体"/>
      </w:rPr>
      <w:t>交银施罗德中证A500指数增强型发起式证券投资基金</w:t>
    </w:r>
    <w:r>
      <w:rPr>
        <w:rFonts w:hint="eastAsia" w:cs="宋体"/>
        <w:lang w:val="en-US" w:eastAsia="zh-CN"/>
      </w:rPr>
      <w:t>基金</w:t>
    </w:r>
    <w:r>
      <w:rPr>
        <w:rFonts w:hint="eastAsia" w:cs="宋体"/>
      </w:rPr>
      <w:t>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5"/>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1FE1"/>
    <w:rsid w:val="0002209F"/>
    <w:rsid w:val="0002239D"/>
    <w:rsid w:val="00023652"/>
    <w:rsid w:val="0002385C"/>
    <w:rsid w:val="0002478D"/>
    <w:rsid w:val="000266A3"/>
    <w:rsid w:val="00026D4F"/>
    <w:rsid w:val="00027021"/>
    <w:rsid w:val="00027B7D"/>
    <w:rsid w:val="00030C4F"/>
    <w:rsid w:val="000310A6"/>
    <w:rsid w:val="00032473"/>
    <w:rsid w:val="00032E01"/>
    <w:rsid w:val="0003308E"/>
    <w:rsid w:val="00033BD5"/>
    <w:rsid w:val="00034A64"/>
    <w:rsid w:val="00035651"/>
    <w:rsid w:val="0003597F"/>
    <w:rsid w:val="000371F3"/>
    <w:rsid w:val="000371FB"/>
    <w:rsid w:val="00040C9D"/>
    <w:rsid w:val="0004329A"/>
    <w:rsid w:val="0004367B"/>
    <w:rsid w:val="00043A2B"/>
    <w:rsid w:val="00043C21"/>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3F52"/>
    <w:rsid w:val="000643A1"/>
    <w:rsid w:val="00064F3C"/>
    <w:rsid w:val="000656EE"/>
    <w:rsid w:val="00065A18"/>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C63"/>
    <w:rsid w:val="00083EFC"/>
    <w:rsid w:val="0008451D"/>
    <w:rsid w:val="000845A5"/>
    <w:rsid w:val="00084ED5"/>
    <w:rsid w:val="00084F82"/>
    <w:rsid w:val="0008538E"/>
    <w:rsid w:val="000855D4"/>
    <w:rsid w:val="0008646D"/>
    <w:rsid w:val="00087BC7"/>
    <w:rsid w:val="0009062F"/>
    <w:rsid w:val="00091FE1"/>
    <w:rsid w:val="0009228A"/>
    <w:rsid w:val="0009289E"/>
    <w:rsid w:val="00093020"/>
    <w:rsid w:val="00093828"/>
    <w:rsid w:val="00094DCF"/>
    <w:rsid w:val="000952EA"/>
    <w:rsid w:val="0009613B"/>
    <w:rsid w:val="0009791D"/>
    <w:rsid w:val="000A08C7"/>
    <w:rsid w:val="000A0C30"/>
    <w:rsid w:val="000A0CF9"/>
    <w:rsid w:val="000A44BB"/>
    <w:rsid w:val="000A48B3"/>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23E"/>
    <w:rsid w:val="000C2593"/>
    <w:rsid w:val="000C2824"/>
    <w:rsid w:val="000C32C3"/>
    <w:rsid w:val="000C3722"/>
    <w:rsid w:val="000C374E"/>
    <w:rsid w:val="000C4067"/>
    <w:rsid w:val="000C4F12"/>
    <w:rsid w:val="000C4FD1"/>
    <w:rsid w:val="000C5031"/>
    <w:rsid w:val="000C57DC"/>
    <w:rsid w:val="000C5BB3"/>
    <w:rsid w:val="000C6708"/>
    <w:rsid w:val="000C6835"/>
    <w:rsid w:val="000C6AA6"/>
    <w:rsid w:val="000C7496"/>
    <w:rsid w:val="000C769E"/>
    <w:rsid w:val="000C7ADD"/>
    <w:rsid w:val="000C7ECB"/>
    <w:rsid w:val="000D0479"/>
    <w:rsid w:val="000D0686"/>
    <w:rsid w:val="000D0F80"/>
    <w:rsid w:val="000D143C"/>
    <w:rsid w:val="000D33E0"/>
    <w:rsid w:val="000D5798"/>
    <w:rsid w:val="000D5C19"/>
    <w:rsid w:val="000D6936"/>
    <w:rsid w:val="000D7287"/>
    <w:rsid w:val="000E0B96"/>
    <w:rsid w:val="000E1118"/>
    <w:rsid w:val="000E12EF"/>
    <w:rsid w:val="000E22A5"/>
    <w:rsid w:val="000E266A"/>
    <w:rsid w:val="000E3549"/>
    <w:rsid w:val="000E4A3F"/>
    <w:rsid w:val="000E5B07"/>
    <w:rsid w:val="000E74D7"/>
    <w:rsid w:val="000F0C1D"/>
    <w:rsid w:val="000F2255"/>
    <w:rsid w:val="000F2CCD"/>
    <w:rsid w:val="000F3288"/>
    <w:rsid w:val="000F5A46"/>
    <w:rsid w:val="000F5C6D"/>
    <w:rsid w:val="000F5E92"/>
    <w:rsid w:val="000F6383"/>
    <w:rsid w:val="000F69F8"/>
    <w:rsid w:val="000F7F90"/>
    <w:rsid w:val="00100478"/>
    <w:rsid w:val="0010123A"/>
    <w:rsid w:val="00102567"/>
    <w:rsid w:val="0010342F"/>
    <w:rsid w:val="00103B30"/>
    <w:rsid w:val="00103D9A"/>
    <w:rsid w:val="001058CB"/>
    <w:rsid w:val="00105E22"/>
    <w:rsid w:val="00106448"/>
    <w:rsid w:val="00106F6C"/>
    <w:rsid w:val="001071B2"/>
    <w:rsid w:val="00110051"/>
    <w:rsid w:val="001106EA"/>
    <w:rsid w:val="00110FDF"/>
    <w:rsid w:val="00111AFD"/>
    <w:rsid w:val="00113786"/>
    <w:rsid w:val="00113B6D"/>
    <w:rsid w:val="00113EFD"/>
    <w:rsid w:val="00114137"/>
    <w:rsid w:val="0011417A"/>
    <w:rsid w:val="001148D5"/>
    <w:rsid w:val="00114987"/>
    <w:rsid w:val="001149E0"/>
    <w:rsid w:val="00116306"/>
    <w:rsid w:val="00116A93"/>
    <w:rsid w:val="001172E0"/>
    <w:rsid w:val="001175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0E57"/>
    <w:rsid w:val="001518C8"/>
    <w:rsid w:val="00151D56"/>
    <w:rsid w:val="00151EFB"/>
    <w:rsid w:val="00153D75"/>
    <w:rsid w:val="001557B3"/>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38A"/>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976"/>
    <w:rsid w:val="00187DDD"/>
    <w:rsid w:val="00192C18"/>
    <w:rsid w:val="0019367F"/>
    <w:rsid w:val="00194568"/>
    <w:rsid w:val="00194EE3"/>
    <w:rsid w:val="001950C7"/>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051"/>
    <w:rsid w:val="001B2E4B"/>
    <w:rsid w:val="001B37C9"/>
    <w:rsid w:val="001B3A0F"/>
    <w:rsid w:val="001B5801"/>
    <w:rsid w:val="001B69C4"/>
    <w:rsid w:val="001B6FA6"/>
    <w:rsid w:val="001B7FAE"/>
    <w:rsid w:val="001C0B2F"/>
    <w:rsid w:val="001C0F4A"/>
    <w:rsid w:val="001C11F5"/>
    <w:rsid w:val="001C168C"/>
    <w:rsid w:val="001C19A9"/>
    <w:rsid w:val="001C1AEF"/>
    <w:rsid w:val="001C1D02"/>
    <w:rsid w:val="001C1EE4"/>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55F"/>
    <w:rsid w:val="001D5D14"/>
    <w:rsid w:val="001D6DA9"/>
    <w:rsid w:val="001D6F06"/>
    <w:rsid w:val="001E0C86"/>
    <w:rsid w:val="001E0D64"/>
    <w:rsid w:val="001E14DB"/>
    <w:rsid w:val="001E2465"/>
    <w:rsid w:val="001E28D0"/>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CA3"/>
    <w:rsid w:val="0021457F"/>
    <w:rsid w:val="00214FD0"/>
    <w:rsid w:val="00215DE7"/>
    <w:rsid w:val="00216403"/>
    <w:rsid w:val="00217A0E"/>
    <w:rsid w:val="002225C8"/>
    <w:rsid w:val="00222C2E"/>
    <w:rsid w:val="00223C2A"/>
    <w:rsid w:val="002248D8"/>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1DA"/>
    <w:rsid w:val="00272204"/>
    <w:rsid w:val="00272481"/>
    <w:rsid w:val="0027504C"/>
    <w:rsid w:val="002750EA"/>
    <w:rsid w:val="0027570E"/>
    <w:rsid w:val="00275C3A"/>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3BA"/>
    <w:rsid w:val="002A09C9"/>
    <w:rsid w:val="002A0ADA"/>
    <w:rsid w:val="002A0C97"/>
    <w:rsid w:val="002A10E2"/>
    <w:rsid w:val="002A1436"/>
    <w:rsid w:val="002A1732"/>
    <w:rsid w:val="002A2D91"/>
    <w:rsid w:val="002A353A"/>
    <w:rsid w:val="002A3A85"/>
    <w:rsid w:val="002A3A91"/>
    <w:rsid w:val="002A456E"/>
    <w:rsid w:val="002A4586"/>
    <w:rsid w:val="002A6B18"/>
    <w:rsid w:val="002B0AD8"/>
    <w:rsid w:val="002B29DB"/>
    <w:rsid w:val="002B2DFB"/>
    <w:rsid w:val="002B466E"/>
    <w:rsid w:val="002B4704"/>
    <w:rsid w:val="002B48F5"/>
    <w:rsid w:val="002B4F20"/>
    <w:rsid w:val="002B5747"/>
    <w:rsid w:val="002B5BF3"/>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6AD"/>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A19"/>
    <w:rsid w:val="002F5E03"/>
    <w:rsid w:val="002F6851"/>
    <w:rsid w:val="003008D1"/>
    <w:rsid w:val="003015B3"/>
    <w:rsid w:val="00301990"/>
    <w:rsid w:val="00302846"/>
    <w:rsid w:val="0030318F"/>
    <w:rsid w:val="003052FF"/>
    <w:rsid w:val="00307B3E"/>
    <w:rsid w:val="00311CD6"/>
    <w:rsid w:val="0031207D"/>
    <w:rsid w:val="00313969"/>
    <w:rsid w:val="00315C7C"/>
    <w:rsid w:val="00315E2F"/>
    <w:rsid w:val="00316F0B"/>
    <w:rsid w:val="003209D9"/>
    <w:rsid w:val="003219EC"/>
    <w:rsid w:val="0032211B"/>
    <w:rsid w:val="00322DCD"/>
    <w:rsid w:val="00322DFF"/>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2A8"/>
    <w:rsid w:val="0034394B"/>
    <w:rsid w:val="00343CFC"/>
    <w:rsid w:val="00343E78"/>
    <w:rsid w:val="003443C1"/>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DE4"/>
    <w:rsid w:val="00364E65"/>
    <w:rsid w:val="003662BD"/>
    <w:rsid w:val="00370274"/>
    <w:rsid w:val="00370AB0"/>
    <w:rsid w:val="00371C7E"/>
    <w:rsid w:val="0037204A"/>
    <w:rsid w:val="003725E1"/>
    <w:rsid w:val="003736A5"/>
    <w:rsid w:val="003744DA"/>
    <w:rsid w:val="00375089"/>
    <w:rsid w:val="003754CD"/>
    <w:rsid w:val="00377C27"/>
    <w:rsid w:val="003803E5"/>
    <w:rsid w:val="0038086C"/>
    <w:rsid w:val="00380937"/>
    <w:rsid w:val="00382296"/>
    <w:rsid w:val="0038284A"/>
    <w:rsid w:val="00383244"/>
    <w:rsid w:val="003833BE"/>
    <w:rsid w:val="00383D31"/>
    <w:rsid w:val="00383E77"/>
    <w:rsid w:val="00384968"/>
    <w:rsid w:val="00384C02"/>
    <w:rsid w:val="003856D3"/>
    <w:rsid w:val="00385A03"/>
    <w:rsid w:val="00385EB4"/>
    <w:rsid w:val="003860E9"/>
    <w:rsid w:val="00386AE5"/>
    <w:rsid w:val="00386CD6"/>
    <w:rsid w:val="003871FA"/>
    <w:rsid w:val="00392572"/>
    <w:rsid w:val="00392722"/>
    <w:rsid w:val="0039282B"/>
    <w:rsid w:val="00393D4B"/>
    <w:rsid w:val="00394063"/>
    <w:rsid w:val="003948A1"/>
    <w:rsid w:val="00394A30"/>
    <w:rsid w:val="00394DCD"/>
    <w:rsid w:val="00394FAD"/>
    <w:rsid w:val="0039592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125C"/>
    <w:rsid w:val="003B16F2"/>
    <w:rsid w:val="003B1CD6"/>
    <w:rsid w:val="003B325A"/>
    <w:rsid w:val="003B5187"/>
    <w:rsid w:val="003B68D8"/>
    <w:rsid w:val="003B731C"/>
    <w:rsid w:val="003B79E7"/>
    <w:rsid w:val="003C0755"/>
    <w:rsid w:val="003C0BEA"/>
    <w:rsid w:val="003C620C"/>
    <w:rsid w:val="003C6B28"/>
    <w:rsid w:val="003C721E"/>
    <w:rsid w:val="003C72E2"/>
    <w:rsid w:val="003C7C6C"/>
    <w:rsid w:val="003C7D08"/>
    <w:rsid w:val="003D00A5"/>
    <w:rsid w:val="003D0269"/>
    <w:rsid w:val="003D0715"/>
    <w:rsid w:val="003D07CB"/>
    <w:rsid w:val="003D237B"/>
    <w:rsid w:val="003D2613"/>
    <w:rsid w:val="003D3FF0"/>
    <w:rsid w:val="003D579D"/>
    <w:rsid w:val="003D6204"/>
    <w:rsid w:val="003D6A84"/>
    <w:rsid w:val="003D6DAA"/>
    <w:rsid w:val="003D6DB1"/>
    <w:rsid w:val="003D72B3"/>
    <w:rsid w:val="003E0138"/>
    <w:rsid w:val="003E0634"/>
    <w:rsid w:val="003E1E4E"/>
    <w:rsid w:val="003E2872"/>
    <w:rsid w:val="003E2ADA"/>
    <w:rsid w:val="003E2DFD"/>
    <w:rsid w:val="003E2E2E"/>
    <w:rsid w:val="003E2FD1"/>
    <w:rsid w:val="003E3D28"/>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63B"/>
    <w:rsid w:val="00400CA3"/>
    <w:rsid w:val="00401052"/>
    <w:rsid w:val="00401899"/>
    <w:rsid w:val="00401AC3"/>
    <w:rsid w:val="00401DEF"/>
    <w:rsid w:val="0040239C"/>
    <w:rsid w:val="0040330D"/>
    <w:rsid w:val="00403B8C"/>
    <w:rsid w:val="00404021"/>
    <w:rsid w:val="00405AE7"/>
    <w:rsid w:val="00405BDD"/>
    <w:rsid w:val="00406A38"/>
    <w:rsid w:val="00407451"/>
    <w:rsid w:val="004074CF"/>
    <w:rsid w:val="00407CEC"/>
    <w:rsid w:val="00410BAD"/>
    <w:rsid w:val="00411DE6"/>
    <w:rsid w:val="00412881"/>
    <w:rsid w:val="00412EF8"/>
    <w:rsid w:val="00413FEB"/>
    <w:rsid w:val="00414F88"/>
    <w:rsid w:val="00415FA5"/>
    <w:rsid w:val="0041671D"/>
    <w:rsid w:val="004171A5"/>
    <w:rsid w:val="004178AD"/>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08E1"/>
    <w:rsid w:val="00441524"/>
    <w:rsid w:val="00441B2A"/>
    <w:rsid w:val="00442979"/>
    <w:rsid w:val="0044319D"/>
    <w:rsid w:val="00444546"/>
    <w:rsid w:val="004446BE"/>
    <w:rsid w:val="00444BD0"/>
    <w:rsid w:val="00444DAE"/>
    <w:rsid w:val="00445238"/>
    <w:rsid w:val="004452F9"/>
    <w:rsid w:val="004453DB"/>
    <w:rsid w:val="00450C6F"/>
    <w:rsid w:val="00450C88"/>
    <w:rsid w:val="00451C85"/>
    <w:rsid w:val="00452A97"/>
    <w:rsid w:val="00452BA4"/>
    <w:rsid w:val="00453AD0"/>
    <w:rsid w:val="00454DD9"/>
    <w:rsid w:val="00455727"/>
    <w:rsid w:val="00457ACB"/>
    <w:rsid w:val="0046020D"/>
    <w:rsid w:val="004606D3"/>
    <w:rsid w:val="004607BC"/>
    <w:rsid w:val="004611A7"/>
    <w:rsid w:val="00461289"/>
    <w:rsid w:val="00463132"/>
    <w:rsid w:val="00464A83"/>
    <w:rsid w:val="00465711"/>
    <w:rsid w:val="00465EF1"/>
    <w:rsid w:val="004663CF"/>
    <w:rsid w:val="00466B6A"/>
    <w:rsid w:val="004671A8"/>
    <w:rsid w:val="00467ADC"/>
    <w:rsid w:val="0047042D"/>
    <w:rsid w:val="004713CA"/>
    <w:rsid w:val="0047260B"/>
    <w:rsid w:val="00474167"/>
    <w:rsid w:val="004749C5"/>
    <w:rsid w:val="00475172"/>
    <w:rsid w:val="004752E7"/>
    <w:rsid w:val="004762AB"/>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9F7"/>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43B4"/>
    <w:rsid w:val="004D6446"/>
    <w:rsid w:val="004D65BC"/>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33B"/>
    <w:rsid w:val="004F7812"/>
    <w:rsid w:val="005019A8"/>
    <w:rsid w:val="00502624"/>
    <w:rsid w:val="00502955"/>
    <w:rsid w:val="00503547"/>
    <w:rsid w:val="00504332"/>
    <w:rsid w:val="005046ED"/>
    <w:rsid w:val="00506E62"/>
    <w:rsid w:val="0051035D"/>
    <w:rsid w:val="0051211B"/>
    <w:rsid w:val="00512982"/>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07E3"/>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7708C"/>
    <w:rsid w:val="0057758C"/>
    <w:rsid w:val="005807CB"/>
    <w:rsid w:val="00580A22"/>
    <w:rsid w:val="0058114B"/>
    <w:rsid w:val="005817DD"/>
    <w:rsid w:val="00581F09"/>
    <w:rsid w:val="00582D10"/>
    <w:rsid w:val="00583818"/>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434"/>
    <w:rsid w:val="00596953"/>
    <w:rsid w:val="00597D2E"/>
    <w:rsid w:val="005A117A"/>
    <w:rsid w:val="005A1ECE"/>
    <w:rsid w:val="005A251E"/>
    <w:rsid w:val="005A2AAB"/>
    <w:rsid w:val="005A2C94"/>
    <w:rsid w:val="005A2F33"/>
    <w:rsid w:val="005A566D"/>
    <w:rsid w:val="005A57AC"/>
    <w:rsid w:val="005A59B6"/>
    <w:rsid w:val="005A63D8"/>
    <w:rsid w:val="005A7B8D"/>
    <w:rsid w:val="005B060A"/>
    <w:rsid w:val="005B2C85"/>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A8"/>
    <w:rsid w:val="006008B5"/>
    <w:rsid w:val="00601474"/>
    <w:rsid w:val="006016BA"/>
    <w:rsid w:val="006017E9"/>
    <w:rsid w:val="0060196F"/>
    <w:rsid w:val="006021D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0F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4D4A"/>
    <w:rsid w:val="00684E9E"/>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B0B"/>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24A0"/>
    <w:rsid w:val="006F3AFB"/>
    <w:rsid w:val="006F409C"/>
    <w:rsid w:val="006F449F"/>
    <w:rsid w:val="006F4A45"/>
    <w:rsid w:val="006F4B15"/>
    <w:rsid w:val="006F5F4B"/>
    <w:rsid w:val="006F7178"/>
    <w:rsid w:val="00700582"/>
    <w:rsid w:val="007005F8"/>
    <w:rsid w:val="00701198"/>
    <w:rsid w:val="0070131C"/>
    <w:rsid w:val="00702989"/>
    <w:rsid w:val="00702ADF"/>
    <w:rsid w:val="00702B26"/>
    <w:rsid w:val="00703922"/>
    <w:rsid w:val="00703C75"/>
    <w:rsid w:val="0070414A"/>
    <w:rsid w:val="007045AA"/>
    <w:rsid w:val="0070571A"/>
    <w:rsid w:val="00706E1D"/>
    <w:rsid w:val="00710B19"/>
    <w:rsid w:val="00712540"/>
    <w:rsid w:val="00712E9F"/>
    <w:rsid w:val="00713100"/>
    <w:rsid w:val="007145DE"/>
    <w:rsid w:val="00714935"/>
    <w:rsid w:val="007160B6"/>
    <w:rsid w:val="007160E4"/>
    <w:rsid w:val="00716433"/>
    <w:rsid w:val="00716A46"/>
    <w:rsid w:val="007200CA"/>
    <w:rsid w:val="00720639"/>
    <w:rsid w:val="00721447"/>
    <w:rsid w:val="00721711"/>
    <w:rsid w:val="00721B8E"/>
    <w:rsid w:val="007237C9"/>
    <w:rsid w:val="00723D91"/>
    <w:rsid w:val="0072548B"/>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6F9"/>
    <w:rsid w:val="00746A86"/>
    <w:rsid w:val="007478B4"/>
    <w:rsid w:val="00750140"/>
    <w:rsid w:val="0075167B"/>
    <w:rsid w:val="00752DDB"/>
    <w:rsid w:val="00753CCF"/>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2615"/>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7D4"/>
    <w:rsid w:val="00797DAE"/>
    <w:rsid w:val="007A0E07"/>
    <w:rsid w:val="007A1913"/>
    <w:rsid w:val="007A19B0"/>
    <w:rsid w:val="007A3E87"/>
    <w:rsid w:val="007A670E"/>
    <w:rsid w:val="007A741E"/>
    <w:rsid w:val="007A7745"/>
    <w:rsid w:val="007A77E7"/>
    <w:rsid w:val="007A7A2A"/>
    <w:rsid w:val="007A7C07"/>
    <w:rsid w:val="007B05E7"/>
    <w:rsid w:val="007B0E50"/>
    <w:rsid w:val="007B0FA4"/>
    <w:rsid w:val="007B0FF2"/>
    <w:rsid w:val="007B292C"/>
    <w:rsid w:val="007B2B2D"/>
    <w:rsid w:val="007B2F8A"/>
    <w:rsid w:val="007B47D5"/>
    <w:rsid w:val="007B658A"/>
    <w:rsid w:val="007B7625"/>
    <w:rsid w:val="007C0484"/>
    <w:rsid w:val="007C1D7C"/>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3941"/>
    <w:rsid w:val="007D3BC8"/>
    <w:rsid w:val="007D3C01"/>
    <w:rsid w:val="007D5885"/>
    <w:rsid w:val="007D6230"/>
    <w:rsid w:val="007D7427"/>
    <w:rsid w:val="007D76DB"/>
    <w:rsid w:val="007D7CB9"/>
    <w:rsid w:val="007E0994"/>
    <w:rsid w:val="007E0D7D"/>
    <w:rsid w:val="007E218D"/>
    <w:rsid w:val="007E28B1"/>
    <w:rsid w:val="007E2C9A"/>
    <w:rsid w:val="007E2DBB"/>
    <w:rsid w:val="007E2E90"/>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35D"/>
    <w:rsid w:val="007F7F38"/>
    <w:rsid w:val="0080021A"/>
    <w:rsid w:val="0080114E"/>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7AF"/>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15E4"/>
    <w:rsid w:val="0085252E"/>
    <w:rsid w:val="0085338D"/>
    <w:rsid w:val="0085425B"/>
    <w:rsid w:val="008544F3"/>
    <w:rsid w:val="008553F1"/>
    <w:rsid w:val="00855858"/>
    <w:rsid w:val="00857740"/>
    <w:rsid w:val="0086032D"/>
    <w:rsid w:val="008605ED"/>
    <w:rsid w:val="00860758"/>
    <w:rsid w:val="00860DB8"/>
    <w:rsid w:val="00861318"/>
    <w:rsid w:val="008615D2"/>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4FB"/>
    <w:rsid w:val="00893900"/>
    <w:rsid w:val="00894096"/>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4F9C"/>
    <w:rsid w:val="008B5251"/>
    <w:rsid w:val="008B5690"/>
    <w:rsid w:val="008B59E7"/>
    <w:rsid w:val="008B6755"/>
    <w:rsid w:val="008C2343"/>
    <w:rsid w:val="008C25D0"/>
    <w:rsid w:val="008C304C"/>
    <w:rsid w:val="008C5311"/>
    <w:rsid w:val="008C5A58"/>
    <w:rsid w:val="008C6A96"/>
    <w:rsid w:val="008C701F"/>
    <w:rsid w:val="008C7547"/>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258"/>
    <w:rsid w:val="00913E44"/>
    <w:rsid w:val="00915BDD"/>
    <w:rsid w:val="00915DC8"/>
    <w:rsid w:val="00916266"/>
    <w:rsid w:val="00916678"/>
    <w:rsid w:val="00916DD0"/>
    <w:rsid w:val="00921537"/>
    <w:rsid w:val="00922492"/>
    <w:rsid w:val="009239BD"/>
    <w:rsid w:val="00923EAF"/>
    <w:rsid w:val="00924E1F"/>
    <w:rsid w:val="00924F4E"/>
    <w:rsid w:val="00926F20"/>
    <w:rsid w:val="009279C5"/>
    <w:rsid w:val="009305F9"/>
    <w:rsid w:val="0093064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6C0B"/>
    <w:rsid w:val="0096050A"/>
    <w:rsid w:val="00960E7E"/>
    <w:rsid w:val="009610B0"/>
    <w:rsid w:val="00961246"/>
    <w:rsid w:val="0096498F"/>
    <w:rsid w:val="009652B3"/>
    <w:rsid w:val="00965C98"/>
    <w:rsid w:val="00965F7E"/>
    <w:rsid w:val="00966678"/>
    <w:rsid w:val="009709FA"/>
    <w:rsid w:val="009711B0"/>
    <w:rsid w:val="00973071"/>
    <w:rsid w:val="00973AB6"/>
    <w:rsid w:val="00973D97"/>
    <w:rsid w:val="00975273"/>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1CB"/>
    <w:rsid w:val="009976EA"/>
    <w:rsid w:val="009A020F"/>
    <w:rsid w:val="009A1114"/>
    <w:rsid w:val="009A1328"/>
    <w:rsid w:val="009A1815"/>
    <w:rsid w:val="009A27F0"/>
    <w:rsid w:val="009A30FA"/>
    <w:rsid w:val="009A396C"/>
    <w:rsid w:val="009A3A95"/>
    <w:rsid w:val="009A3D25"/>
    <w:rsid w:val="009A4A6B"/>
    <w:rsid w:val="009A4C3F"/>
    <w:rsid w:val="009A6AE9"/>
    <w:rsid w:val="009A7A50"/>
    <w:rsid w:val="009A7E73"/>
    <w:rsid w:val="009B00A2"/>
    <w:rsid w:val="009B06BD"/>
    <w:rsid w:val="009B2160"/>
    <w:rsid w:val="009B2496"/>
    <w:rsid w:val="009B269E"/>
    <w:rsid w:val="009B2A52"/>
    <w:rsid w:val="009B38AD"/>
    <w:rsid w:val="009B4FFD"/>
    <w:rsid w:val="009B6FE3"/>
    <w:rsid w:val="009B7E0A"/>
    <w:rsid w:val="009C00EB"/>
    <w:rsid w:val="009C05B4"/>
    <w:rsid w:val="009C1BE0"/>
    <w:rsid w:val="009C1ED8"/>
    <w:rsid w:val="009C48EC"/>
    <w:rsid w:val="009C4CB3"/>
    <w:rsid w:val="009C551E"/>
    <w:rsid w:val="009C77F6"/>
    <w:rsid w:val="009C7B63"/>
    <w:rsid w:val="009D0806"/>
    <w:rsid w:val="009D0A15"/>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02BA"/>
    <w:rsid w:val="00A120A2"/>
    <w:rsid w:val="00A123BF"/>
    <w:rsid w:val="00A12E46"/>
    <w:rsid w:val="00A133D5"/>
    <w:rsid w:val="00A1767D"/>
    <w:rsid w:val="00A226DE"/>
    <w:rsid w:val="00A228D2"/>
    <w:rsid w:val="00A22C81"/>
    <w:rsid w:val="00A23683"/>
    <w:rsid w:val="00A23B1E"/>
    <w:rsid w:val="00A23CEC"/>
    <w:rsid w:val="00A26FDB"/>
    <w:rsid w:val="00A27188"/>
    <w:rsid w:val="00A27E38"/>
    <w:rsid w:val="00A30A3B"/>
    <w:rsid w:val="00A30E10"/>
    <w:rsid w:val="00A3134E"/>
    <w:rsid w:val="00A315B9"/>
    <w:rsid w:val="00A32591"/>
    <w:rsid w:val="00A3285D"/>
    <w:rsid w:val="00A34A0D"/>
    <w:rsid w:val="00A34F3B"/>
    <w:rsid w:val="00A35641"/>
    <w:rsid w:val="00A356C5"/>
    <w:rsid w:val="00A3673E"/>
    <w:rsid w:val="00A367B3"/>
    <w:rsid w:val="00A3695E"/>
    <w:rsid w:val="00A37BC3"/>
    <w:rsid w:val="00A4051E"/>
    <w:rsid w:val="00A40611"/>
    <w:rsid w:val="00A407FF"/>
    <w:rsid w:val="00A40ADF"/>
    <w:rsid w:val="00A40E4B"/>
    <w:rsid w:val="00A412CB"/>
    <w:rsid w:val="00A418FC"/>
    <w:rsid w:val="00A41A02"/>
    <w:rsid w:val="00A41B24"/>
    <w:rsid w:val="00A42C7D"/>
    <w:rsid w:val="00A430CB"/>
    <w:rsid w:val="00A442C7"/>
    <w:rsid w:val="00A474E7"/>
    <w:rsid w:val="00A51712"/>
    <w:rsid w:val="00A52887"/>
    <w:rsid w:val="00A53612"/>
    <w:rsid w:val="00A539D6"/>
    <w:rsid w:val="00A5495A"/>
    <w:rsid w:val="00A55F58"/>
    <w:rsid w:val="00A57040"/>
    <w:rsid w:val="00A57AEF"/>
    <w:rsid w:val="00A611AA"/>
    <w:rsid w:val="00A616F5"/>
    <w:rsid w:val="00A61928"/>
    <w:rsid w:val="00A63148"/>
    <w:rsid w:val="00A63874"/>
    <w:rsid w:val="00A645BA"/>
    <w:rsid w:val="00A64C4B"/>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520A"/>
    <w:rsid w:val="00AA6467"/>
    <w:rsid w:val="00AA6742"/>
    <w:rsid w:val="00AA72B1"/>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0BCA"/>
    <w:rsid w:val="00AE1A93"/>
    <w:rsid w:val="00AE1E2F"/>
    <w:rsid w:val="00AE28BB"/>
    <w:rsid w:val="00AE2FB1"/>
    <w:rsid w:val="00AE336E"/>
    <w:rsid w:val="00AE3E27"/>
    <w:rsid w:val="00AE3FBA"/>
    <w:rsid w:val="00AE5029"/>
    <w:rsid w:val="00AE6270"/>
    <w:rsid w:val="00AE63B5"/>
    <w:rsid w:val="00AE73B6"/>
    <w:rsid w:val="00AE75FB"/>
    <w:rsid w:val="00AE77A4"/>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5B5"/>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79EC"/>
    <w:rsid w:val="00B57BAF"/>
    <w:rsid w:val="00B57D2F"/>
    <w:rsid w:val="00B60962"/>
    <w:rsid w:val="00B60D06"/>
    <w:rsid w:val="00B62B25"/>
    <w:rsid w:val="00B64CF5"/>
    <w:rsid w:val="00B6516E"/>
    <w:rsid w:val="00B668AB"/>
    <w:rsid w:val="00B669F8"/>
    <w:rsid w:val="00B66E19"/>
    <w:rsid w:val="00B67CFF"/>
    <w:rsid w:val="00B70358"/>
    <w:rsid w:val="00B70380"/>
    <w:rsid w:val="00B706FB"/>
    <w:rsid w:val="00B708DD"/>
    <w:rsid w:val="00B721FA"/>
    <w:rsid w:val="00B726A9"/>
    <w:rsid w:val="00B73BF9"/>
    <w:rsid w:val="00B75C8C"/>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3132"/>
    <w:rsid w:val="00B946C6"/>
    <w:rsid w:val="00B950E1"/>
    <w:rsid w:val="00B9627E"/>
    <w:rsid w:val="00B963F2"/>
    <w:rsid w:val="00B977AF"/>
    <w:rsid w:val="00BA02DB"/>
    <w:rsid w:val="00BA03F5"/>
    <w:rsid w:val="00BA19A6"/>
    <w:rsid w:val="00BA3CDA"/>
    <w:rsid w:val="00BA4082"/>
    <w:rsid w:val="00BA4E6A"/>
    <w:rsid w:val="00BA5306"/>
    <w:rsid w:val="00BA5B9C"/>
    <w:rsid w:val="00BA5D80"/>
    <w:rsid w:val="00BA5EF3"/>
    <w:rsid w:val="00BA7B9E"/>
    <w:rsid w:val="00BA7DFD"/>
    <w:rsid w:val="00BB0C24"/>
    <w:rsid w:val="00BB0C2B"/>
    <w:rsid w:val="00BB137B"/>
    <w:rsid w:val="00BB229A"/>
    <w:rsid w:val="00BB2959"/>
    <w:rsid w:val="00BB2FB5"/>
    <w:rsid w:val="00BB549B"/>
    <w:rsid w:val="00BB5DC2"/>
    <w:rsid w:val="00BB7D84"/>
    <w:rsid w:val="00BC0E45"/>
    <w:rsid w:val="00BC172B"/>
    <w:rsid w:val="00BC301A"/>
    <w:rsid w:val="00BC3937"/>
    <w:rsid w:val="00BC574A"/>
    <w:rsid w:val="00BC5860"/>
    <w:rsid w:val="00BC63A1"/>
    <w:rsid w:val="00BC6760"/>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B49"/>
    <w:rsid w:val="00BE3F39"/>
    <w:rsid w:val="00BE4FEA"/>
    <w:rsid w:val="00BE506B"/>
    <w:rsid w:val="00BE538F"/>
    <w:rsid w:val="00BE5626"/>
    <w:rsid w:val="00BE624D"/>
    <w:rsid w:val="00BE66A3"/>
    <w:rsid w:val="00BE7087"/>
    <w:rsid w:val="00BE7943"/>
    <w:rsid w:val="00BF151A"/>
    <w:rsid w:val="00BF22C7"/>
    <w:rsid w:val="00BF280F"/>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262A"/>
    <w:rsid w:val="00C134F4"/>
    <w:rsid w:val="00C1468E"/>
    <w:rsid w:val="00C14804"/>
    <w:rsid w:val="00C15689"/>
    <w:rsid w:val="00C15782"/>
    <w:rsid w:val="00C1650A"/>
    <w:rsid w:val="00C16F73"/>
    <w:rsid w:val="00C177E9"/>
    <w:rsid w:val="00C20557"/>
    <w:rsid w:val="00C2057E"/>
    <w:rsid w:val="00C21AFC"/>
    <w:rsid w:val="00C23123"/>
    <w:rsid w:val="00C23948"/>
    <w:rsid w:val="00C253CB"/>
    <w:rsid w:val="00C25555"/>
    <w:rsid w:val="00C255DB"/>
    <w:rsid w:val="00C2582D"/>
    <w:rsid w:val="00C26B52"/>
    <w:rsid w:val="00C272C0"/>
    <w:rsid w:val="00C2760A"/>
    <w:rsid w:val="00C3038A"/>
    <w:rsid w:val="00C3091B"/>
    <w:rsid w:val="00C311AD"/>
    <w:rsid w:val="00C31493"/>
    <w:rsid w:val="00C319EB"/>
    <w:rsid w:val="00C31A19"/>
    <w:rsid w:val="00C333AF"/>
    <w:rsid w:val="00C36AF4"/>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3EB8"/>
    <w:rsid w:val="00C647ED"/>
    <w:rsid w:val="00C6548F"/>
    <w:rsid w:val="00C656D6"/>
    <w:rsid w:val="00C66ACA"/>
    <w:rsid w:val="00C66E18"/>
    <w:rsid w:val="00C66E1A"/>
    <w:rsid w:val="00C67A7B"/>
    <w:rsid w:val="00C67B75"/>
    <w:rsid w:val="00C67D4B"/>
    <w:rsid w:val="00C710D0"/>
    <w:rsid w:val="00C7216E"/>
    <w:rsid w:val="00C73D7C"/>
    <w:rsid w:val="00C74086"/>
    <w:rsid w:val="00C74C82"/>
    <w:rsid w:val="00C75935"/>
    <w:rsid w:val="00C75FC7"/>
    <w:rsid w:val="00C75FF9"/>
    <w:rsid w:val="00C765BD"/>
    <w:rsid w:val="00C76AB6"/>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00F"/>
    <w:rsid w:val="00CC557E"/>
    <w:rsid w:val="00CC6231"/>
    <w:rsid w:val="00CC680C"/>
    <w:rsid w:val="00CC69B8"/>
    <w:rsid w:val="00CC6A51"/>
    <w:rsid w:val="00CC713A"/>
    <w:rsid w:val="00CC7CB5"/>
    <w:rsid w:val="00CC7D97"/>
    <w:rsid w:val="00CD0827"/>
    <w:rsid w:val="00CD1DDD"/>
    <w:rsid w:val="00CD232A"/>
    <w:rsid w:val="00CD3947"/>
    <w:rsid w:val="00CD41C2"/>
    <w:rsid w:val="00CD6AED"/>
    <w:rsid w:val="00CD7D82"/>
    <w:rsid w:val="00CE2724"/>
    <w:rsid w:val="00CE45EA"/>
    <w:rsid w:val="00CE4AC4"/>
    <w:rsid w:val="00CE4F30"/>
    <w:rsid w:val="00CE5951"/>
    <w:rsid w:val="00CE616B"/>
    <w:rsid w:val="00CE77BB"/>
    <w:rsid w:val="00CF0651"/>
    <w:rsid w:val="00CF15FA"/>
    <w:rsid w:val="00CF1B88"/>
    <w:rsid w:val="00CF375F"/>
    <w:rsid w:val="00CF4468"/>
    <w:rsid w:val="00CF44F3"/>
    <w:rsid w:val="00CF4A2A"/>
    <w:rsid w:val="00CF4FA4"/>
    <w:rsid w:val="00CF51DA"/>
    <w:rsid w:val="00CF6A79"/>
    <w:rsid w:val="00CF7518"/>
    <w:rsid w:val="00CF7EBC"/>
    <w:rsid w:val="00D0027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803"/>
    <w:rsid w:val="00D17C4E"/>
    <w:rsid w:val="00D17DDF"/>
    <w:rsid w:val="00D22C0A"/>
    <w:rsid w:val="00D23BBE"/>
    <w:rsid w:val="00D2448A"/>
    <w:rsid w:val="00D24E99"/>
    <w:rsid w:val="00D251ED"/>
    <w:rsid w:val="00D26881"/>
    <w:rsid w:val="00D26B4C"/>
    <w:rsid w:val="00D2733E"/>
    <w:rsid w:val="00D273A4"/>
    <w:rsid w:val="00D27B18"/>
    <w:rsid w:val="00D27C7D"/>
    <w:rsid w:val="00D27E4B"/>
    <w:rsid w:val="00D30244"/>
    <w:rsid w:val="00D304B5"/>
    <w:rsid w:val="00D306FF"/>
    <w:rsid w:val="00D31B65"/>
    <w:rsid w:val="00D325FD"/>
    <w:rsid w:val="00D32E7F"/>
    <w:rsid w:val="00D33F8E"/>
    <w:rsid w:val="00D34F5D"/>
    <w:rsid w:val="00D374BD"/>
    <w:rsid w:val="00D378D0"/>
    <w:rsid w:val="00D422C4"/>
    <w:rsid w:val="00D435F7"/>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18F0"/>
    <w:rsid w:val="00D61F1C"/>
    <w:rsid w:val="00D64E49"/>
    <w:rsid w:val="00D651B0"/>
    <w:rsid w:val="00D67DC8"/>
    <w:rsid w:val="00D708F1"/>
    <w:rsid w:val="00D71D3A"/>
    <w:rsid w:val="00D72345"/>
    <w:rsid w:val="00D7247D"/>
    <w:rsid w:val="00D74881"/>
    <w:rsid w:val="00D757C0"/>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1E4F"/>
    <w:rsid w:val="00DA246F"/>
    <w:rsid w:val="00DA339A"/>
    <w:rsid w:val="00DA34CA"/>
    <w:rsid w:val="00DA38F2"/>
    <w:rsid w:val="00DA3A36"/>
    <w:rsid w:val="00DA3F34"/>
    <w:rsid w:val="00DA627A"/>
    <w:rsid w:val="00DA6562"/>
    <w:rsid w:val="00DA6706"/>
    <w:rsid w:val="00DA6B08"/>
    <w:rsid w:val="00DB001D"/>
    <w:rsid w:val="00DB117C"/>
    <w:rsid w:val="00DB2B4B"/>
    <w:rsid w:val="00DB2E58"/>
    <w:rsid w:val="00DB67DE"/>
    <w:rsid w:val="00DB70C5"/>
    <w:rsid w:val="00DB76CB"/>
    <w:rsid w:val="00DC10E8"/>
    <w:rsid w:val="00DC12D2"/>
    <w:rsid w:val="00DC17A0"/>
    <w:rsid w:val="00DC2E6B"/>
    <w:rsid w:val="00DC3484"/>
    <w:rsid w:val="00DC4E25"/>
    <w:rsid w:val="00DC600E"/>
    <w:rsid w:val="00DC730C"/>
    <w:rsid w:val="00DD0F69"/>
    <w:rsid w:val="00DD1DD2"/>
    <w:rsid w:val="00DD1F16"/>
    <w:rsid w:val="00DD234A"/>
    <w:rsid w:val="00DD34EF"/>
    <w:rsid w:val="00DD3571"/>
    <w:rsid w:val="00DD40C2"/>
    <w:rsid w:val="00DD483C"/>
    <w:rsid w:val="00DD5646"/>
    <w:rsid w:val="00DD6D24"/>
    <w:rsid w:val="00DD787E"/>
    <w:rsid w:val="00DD7B58"/>
    <w:rsid w:val="00DE014A"/>
    <w:rsid w:val="00DE0D18"/>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548"/>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84B"/>
    <w:rsid w:val="00E17F08"/>
    <w:rsid w:val="00E20A52"/>
    <w:rsid w:val="00E20C97"/>
    <w:rsid w:val="00E2143E"/>
    <w:rsid w:val="00E215E4"/>
    <w:rsid w:val="00E22E62"/>
    <w:rsid w:val="00E23172"/>
    <w:rsid w:val="00E2342B"/>
    <w:rsid w:val="00E23646"/>
    <w:rsid w:val="00E23ADE"/>
    <w:rsid w:val="00E241A3"/>
    <w:rsid w:val="00E250C5"/>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465CE"/>
    <w:rsid w:val="00E50A8E"/>
    <w:rsid w:val="00E5240C"/>
    <w:rsid w:val="00E52677"/>
    <w:rsid w:val="00E53AAE"/>
    <w:rsid w:val="00E54D84"/>
    <w:rsid w:val="00E558B2"/>
    <w:rsid w:val="00E62EFD"/>
    <w:rsid w:val="00E63320"/>
    <w:rsid w:val="00E64655"/>
    <w:rsid w:val="00E65122"/>
    <w:rsid w:val="00E6647E"/>
    <w:rsid w:val="00E6711A"/>
    <w:rsid w:val="00E71231"/>
    <w:rsid w:val="00E716B0"/>
    <w:rsid w:val="00E71AD4"/>
    <w:rsid w:val="00E71D02"/>
    <w:rsid w:val="00E72658"/>
    <w:rsid w:val="00E72E78"/>
    <w:rsid w:val="00E73793"/>
    <w:rsid w:val="00E739BA"/>
    <w:rsid w:val="00E74A55"/>
    <w:rsid w:val="00E74D89"/>
    <w:rsid w:val="00E752B3"/>
    <w:rsid w:val="00E77E1C"/>
    <w:rsid w:val="00E80D42"/>
    <w:rsid w:val="00E81418"/>
    <w:rsid w:val="00E819FB"/>
    <w:rsid w:val="00E81D69"/>
    <w:rsid w:val="00E82BA1"/>
    <w:rsid w:val="00E834B2"/>
    <w:rsid w:val="00E8357A"/>
    <w:rsid w:val="00E84206"/>
    <w:rsid w:val="00E8488C"/>
    <w:rsid w:val="00E84B16"/>
    <w:rsid w:val="00E86B7C"/>
    <w:rsid w:val="00E90974"/>
    <w:rsid w:val="00E90A8D"/>
    <w:rsid w:val="00E90FB4"/>
    <w:rsid w:val="00E915A4"/>
    <w:rsid w:val="00E91A62"/>
    <w:rsid w:val="00E91F44"/>
    <w:rsid w:val="00E925D1"/>
    <w:rsid w:val="00E9353E"/>
    <w:rsid w:val="00E94002"/>
    <w:rsid w:val="00E96015"/>
    <w:rsid w:val="00E960EE"/>
    <w:rsid w:val="00E962E0"/>
    <w:rsid w:val="00E965A0"/>
    <w:rsid w:val="00E96CB2"/>
    <w:rsid w:val="00E96DFA"/>
    <w:rsid w:val="00E96F60"/>
    <w:rsid w:val="00E97E9C"/>
    <w:rsid w:val="00EA0759"/>
    <w:rsid w:val="00EA18FF"/>
    <w:rsid w:val="00EA282F"/>
    <w:rsid w:val="00EA2D56"/>
    <w:rsid w:val="00EA2F37"/>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044"/>
    <w:rsid w:val="00EB4475"/>
    <w:rsid w:val="00EB4ED9"/>
    <w:rsid w:val="00EB5493"/>
    <w:rsid w:val="00EB7049"/>
    <w:rsid w:val="00EB7F82"/>
    <w:rsid w:val="00EC16BB"/>
    <w:rsid w:val="00EC22EF"/>
    <w:rsid w:val="00EC34D4"/>
    <w:rsid w:val="00EC438F"/>
    <w:rsid w:val="00EC444B"/>
    <w:rsid w:val="00EC4924"/>
    <w:rsid w:val="00EC4C2F"/>
    <w:rsid w:val="00EC4ECA"/>
    <w:rsid w:val="00EC6242"/>
    <w:rsid w:val="00EC6D3B"/>
    <w:rsid w:val="00EC7011"/>
    <w:rsid w:val="00EC7F86"/>
    <w:rsid w:val="00ED03FB"/>
    <w:rsid w:val="00ED0B5F"/>
    <w:rsid w:val="00ED0F42"/>
    <w:rsid w:val="00ED110D"/>
    <w:rsid w:val="00ED1166"/>
    <w:rsid w:val="00ED3423"/>
    <w:rsid w:val="00ED3B53"/>
    <w:rsid w:val="00ED3E81"/>
    <w:rsid w:val="00ED3FAE"/>
    <w:rsid w:val="00ED421D"/>
    <w:rsid w:val="00ED4278"/>
    <w:rsid w:val="00ED4907"/>
    <w:rsid w:val="00ED4AE5"/>
    <w:rsid w:val="00ED502C"/>
    <w:rsid w:val="00ED528A"/>
    <w:rsid w:val="00ED541E"/>
    <w:rsid w:val="00ED5615"/>
    <w:rsid w:val="00ED5708"/>
    <w:rsid w:val="00ED681B"/>
    <w:rsid w:val="00ED6C5F"/>
    <w:rsid w:val="00ED7DAD"/>
    <w:rsid w:val="00EE1E45"/>
    <w:rsid w:val="00EE1FC6"/>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273D"/>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13B6E"/>
    <w:rsid w:val="00F14F2E"/>
    <w:rsid w:val="00F15057"/>
    <w:rsid w:val="00F169C1"/>
    <w:rsid w:val="00F16DC1"/>
    <w:rsid w:val="00F17068"/>
    <w:rsid w:val="00F17888"/>
    <w:rsid w:val="00F17F3A"/>
    <w:rsid w:val="00F209D7"/>
    <w:rsid w:val="00F216F7"/>
    <w:rsid w:val="00F2306B"/>
    <w:rsid w:val="00F2318F"/>
    <w:rsid w:val="00F23454"/>
    <w:rsid w:val="00F23EB8"/>
    <w:rsid w:val="00F23EBE"/>
    <w:rsid w:val="00F25F84"/>
    <w:rsid w:val="00F260BB"/>
    <w:rsid w:val="00F2649A"/>
    <w:rsid w:val="00F270D5"/>
    <w:rsid w:val="00F27508"/>
    <w:rsid w:val="00F27EC6"/>
    <w:rsid w:val="00F30328"/>
    <w:rsid w:val="00F310B9"/>
    <w:rsid w:val="00F317A7"/>
    <w:rsid w:val="00F31DE3"/>
    <w:rsid w:val="00F32F67"/>
    <w:rsid w:val="00F336A5"/>
    <w:rsid w:val="00F35362"/>
    <w:rsid w:val="00F35A50"/>
    <w:rsid w:val="00F402CC"/>
    <w:rsid w:val="00F40AC6"/>
    <w:rsid w:val="00F40DF7"/>
    <w:rsid w:val="00F41643"/>
    <w:rsid w:val="00F419F0"/>
    <w:rsid w:val="00F41EBD"/>
    <w:rsid w:val="00F4300A"/>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106"/>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D61"/>
    <w:rsid w:val="00FA3F54"/>
    <w:rsid w:val="00FA44C1"/>
    <w:rsid w:val="00FA5343"/>
    <w:rsid w:val="00FA5837"/>
    <w:rsid w:val="00FA5913"/>
    <w:rsid w:val="00FA6231"/>
    <w:rsid w:val="00FA7433"/>
    <w:rsid w:val="00FA7724"/>
    <w:rsid w:val="00FB12DC"/>
    <w:rsid w:val="00FB2744"/>
    <w:rsid w:val="00FB31BA"/>
    <w:rsid w:val="00FB31CD"/>
    <w:rsid w:val="00FB3EF4"/>
    <w:rsid w:val="00FB4467"/>
    <w:rsid w:val="00FB44DC"/>
    <w:rsid w:val="00FB4C2E"/>
    <w:rsid w:val="00FB4F75"/>
    <w:rsid w:val="00FB5341"/>
    <w:rsid w:val="00FB58A2"/>
    <w:rsid w:val="00FB5CDA"/>
    <w:rsid w:val="00FB646C"/>
    <w:rsid w:val="00FB6798"/>
    <w:rsid w:val="00FB6C8F"/>
    <w:rsid w:val="00FB6F88"/>
    <w:rsid w:val="00FB7AE9"/>
    <w:rsid w:val="00FC0AC9"/>
    <w:rsid w:val="00FC12B8"/>
    <w:rsid w:val="00FC1C78"/>
    <w:rsid w:val="00FC1CB7"/>
    <w:rsid w:val="00FC2023"/>
    <w:rsid w:val="00FC278E"/>
    <w:rsid w:val="00FC27CF"/>
    <w:rsid w:val="00FC358D"/>
    <w:rsid w:val="00FC3A62"/>
    <w:rsid w:val="00FC3A7B"/>
    <w:rsid w:val="00FC45CF"/>
    <w:rsid w:val="00FC498F"/>
    <w:rsid w:val="00FC522C"/>
    <w:rsid w:val="00FC526B"/>
    <w:rsid w:val="00FC6AB7"/>
    <w:rsid w:val="00FD01DB"/>
    <w:rsid w:val="00FD0A24"/>
    <w:rsid w:val="00FD1D12"/>
    <w:rsid w:val="00FD2238"/>
    <w:rsid w:val="00FD311C"/>
    <w:rsid w:val="00FD37DA"/>
    <w:rsid w:val="00FD3B00"/>
    <w:rsid w:val="00FD436D"/>
    <w:rsid w:val="00FD51C8"/>
    <w:rsid w:val="00FD5AD1"/>
    <w:rsid w:val="00FD60BC"/>
    <w:rsid w:val="00FD6432"/>
    <w:rsid w:val="00FD6F28"/>
    <w:rsid w:val="00FD7093"/>
    <w:rsid w:val="00FD7635"/>
    <w:rsid w:val="00FD77A0"/>
    <w:rsid w:val="00FE0388"/>
    <w:rsid w:val="00FE1299"/>
    <w:rsid w:val="00FE153A"/>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7A7"/>
    <w:rsid w:val="00FF4B35"/>
    <w:rsid w:val="00FF4BD6"/>
    <w:rsid w:val="00FF59EC"/>
    <w:rsid w:val="00FF7043"/>
    <w:rsid w:val="00FF770B"/>
    <w:rsid w:val="02CB4A8F"/>
    <w:rsid w:val="043913E9"/>
    <w:rsid w:val="05164BE7"/>
    <w:rsid w:val="0A18181A"/>
    <w:rsid w:val="0A632726"/>
    <w:rsid w:val="0C634F09"/>
    <w:rsid w:val="0D625A4D"/>
    <w:rsid w:val="0F095D43"/>
    <w:rsid w:val="11033725"/>
    <w:rsid w:val="1B116FF8"/>
    <w:rsid w:val="1B5D7AF7"/>
    <w:rsid w:val="1BAD2069"/>
    <w:rsid w:val="1D3F64EC"/>
    <w:rsid w:val="1F563E08"/>
    <w:rsid w:val="21D1535A"/>
    <w:rsid w:val="22BF7243"/>
    <w:rsid w:val="24AC701B"/>
    <w:rsid w:val="25702FF9"/>
    <w:rsid w:val="26352F67"/>
    <w:rsid w:val="26C21839"/>
    <w:rsid w:val="2CD92868"/>
    <w:rsid w:val="2FB96006"/>
    <w:rsid w:val="3086056D"/>
    <w:rsid w:val="30C34BDE"/>
    <w:rsid w:val="314236C1"/>
    <w:rsid w:val="318D1A0E"/>
    <w:rsid w:val="353324E7"/>
    <w:rsid w:val="35921DF3"/>
    <w:rsid w:val="36DB109D"/>
    <w:rsid w:val="3A9229EB"/>
    <w:rsid w:val="3FDD6FAB"/>
    <w:rsid w:val="410F0621"/>
    <w:rsid w:val="41170FCB"/>
    <w:rsid w:val="43AF57C2"/>
    <w:rsid w:val="467E0D27"/>
    <w:rsid w:val="478234F8"/>
    <w:rsid w:val="48711A15"/>
    <w:rsid w:val="4C5D1379"/>
    <w:rsid w:val="4C952ABB"/>
    <w:rsid w:val="4D667C64"/>
    <w:rsid w:val="4E734CA6"/>
    <w:rsid w:val="536B7CCF"/>
    <w:rsid w:val="551E0609"/>
    <w:rsid w:val="5986658F"/>
    <w:rsid w:val="5A1A21C5"/>
    <w:rsid w:val="5A9165FD"/>
    <w:rsid w:val="5C0D061E"/>
    <w:rsid w:val="5C601962"/>
    <w:rsid w:val="5DEB6C03"/>
    <w:rsid w:val="5E7A5C21"/>
    <w:rsid w:val="613C1EDE"/>
    <w:rsid w:val="639E0296"/>
    <w:rsid w:val="643D6525"/>
    <w:rsid w:val="6A2364A7"/>
    <w:rsid w:val="6C000CD0"/>
    <w:rsid w:val="6D063E8C"/>
    <w:rsid w:val="6D114B0E"/>
    <w:rsid w:val="6F1A16E3"/>
    <w:rsid w:val="72533CB8"/>
    <w:rsid w:val="76EA362A"/>
    <w:rsid w:val="78941B9D"/>
    <w:rsid w:val="79A00565"/>
    <w:rsid w:val="79D813B8"/>
    <w:rsid w:val="7CDF5BE8"/>
    <w:rsid w:val="7DE55C6E"/>
    <w:rsid w:val="7F1519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1">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132">
    <w:name w:val="修订4"/>
    <w:hidden/>
    <w:semiHidden/>
    <w:qFormat/>
    <w:uiPriority w:val="99"/>
    <w:rPr>
      <w:rFonts w:ascii="Times New Roman" w:hAnsi="Times New Roman" w:eastAsia="宋体" w:cs="Times New Roman"/>
      <w:kern w:val="2"/>
      <w:sz w:val="21"/>
      <w:szCs w:val="21"/>
      <w:lang w:val="en-US" w:eastAsia="zh-CN" w:bidi="ar-SA"/>
    </w:rPr>
  </w:style>
  <w:style w:type="paragraph" w:customStyle="1" w:styleId="133">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CD312-B324-4F27-A55E-5E51157037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2115</Words>
  <Characters>12062</Characters>
  <Lines>100</Lines>
  <Paragraphs>28</Paragraphs>
  <TotalTime>10</TotalTime>
  <ScaleCrop>false</ScaleCrop>
  <LinksUpToDate>false</LinksUpToDate>
  <CharactersWithSpaces>14149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haotingting</cp:lastModifiedBy>
  <cp:lastPrinted>2007-06-27T06:13:00Z</cp:lastPrinted>
  <dcterms:modified xsi:type="dcterms:W3CDTF">2026-01-14T08:59:44Z</dcterms:modified>
  <dc:title>募集方案</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BC79434CCD93425A9D0A2243FD65DCE2</vt:lpwstr>
  </property>
</Properties>
</file>