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rPr>
      </w:pPr>
      <w:r>
        <w:rPr>
          <w:rFonts w:hint="eastAsia" w:ascii="黑体" w:hAnsi="黑体" w:eastAsia="黑体"/>
          <w:b/>
          <w:sz w:val="36"/>
        </w:rPr>
        <w:t>交银施罗德中证A500指数增强型发起式证券投资基金（</w:t>
      </w:r>
      <w:r>
        <w:rPr>
          <w:rFonts w:ascii="黑体" w:hAnsi="黑体" w:eastAsia="黑体"/>
          <w:b/>
          <w:sz w:val="36"/>
        </w:rPr>
        <w:t>C</w:t>
      </w:r>
      <w:r>
        <w:rPr>
          <w:rFonts w:hint="eastAsia" w:ascii="黑体" w:hAnsi="黑体" w:eastAsia="黑体"/>
          <w:b/>
          <w:sz w:val="36"/>
        </w:rPr>
        <w:t>类份额）基金产品资料概要</w:t>
      </w:r>
    </w:p>
    <w:p>
      <w:pPr>
        <w:jc w:val="right"/>
        <w:rPr>
          <w:rFonts w:ascii="仿宋_GB2312" w:hAnsi="宋体" w:eastAsia="仿宋_GB2312" w:cs="宋体"/>
          <w:kern w:val="0"/>
          <w:szCs w:val="21"/>
        </w:rPr>
      </w:pPr>
      <w:r>
        <w:rPr>
          <w:rFonts w:hint="eastAsia" w:ascii="仿宋_GB2312" w:eastAsia="仿宋_GB2312"/>
        </w:rPr>
        <w:t>编制日期：</w:t>
      </w:r>
      <w:r>
        <w:rPr>
          <w:rFonts w:hint="eastAsia" w:ascii="仿宋_GB2312" w:hAnsi="宋体" w:eastAsia="仿宋_GB2312" w:cs="宋体"/>
          <w:kern w:val="0"/>
          <w:szCs w:val="21"/>
        </w:rPr>
        <w:t>202</w:t>
      </w:r>
      <w:r>
        <w:rPr>
          <w:rFonts w:ascii="仿宋_GB2312" w:hAnsi="宋体" w:eastAsia="仿宋_GB2312" w:cs="宋体"/>
          <w:kern w:val="0"/>
          <w:szCs w:val="21"/>
        </w:rPr>
        <w:t>6</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01</w:t>
      </w:r>
      <w:r>
        <w:rPr>
          <w:rFonts w:hint="eastAsia" w:ascii="仿宋_GB2312" w:hAnsi="宋体" w:eastAsia="仿宋_GB2312" w:cs="宋体"/>
          <w:kern w:val="0"/>
          <w:szCs w:val="21"/>
        </w:rPr>
        <w:t>-</w:t>
      </w:r>
      <w:r>
        <w:rPr>
          <w:rFonts w:hint="eastAsia" w:ascii="仿宋_GB2312" w:hAnsi="宋体" w:eastAsia="仿宋_GB2312" w:cs="宋体"/>
          <w:kern w:val="0"/>
          <w:szCs w:val="21"/>
          <w:lang w:val="en-US" w:eastAsia="zh-CN"/>
        </w:rPr>
        <w:t>14</w:t>
      </w:r>
    </w:p>
    <w:p>
      <w:pPr>
        <w:spacing w:line="380" w:lineRule="exact"/>
        <w:jc w:val="center"/>
        <w:rPr>
          <w:rFonts w:ascii="方正仿宋简体" w:hAnsi="方正仿宋简体" w:cs="方正仿宋简体"/>
          <w:b/>
          <w:iCs/>
          <w:szCs w:val="21"/>
        </w:rPr>
      </w:pPr>
      <w:r>
        <w:rPr>
          <w:rFonts w:ascii="方正仿宋简体" w:hAnsi="方正仿宋简体"/>
        </w:rPr>
        <w:t>送出日期：</w:t>
      </w:r>
      <w:r>
        <w:rPr>
          <w:rFonts w:ascii="Times New Roman" w:hAnsi="Times New Roman" w:cs="Times New Roman"/>
        </w:rPr>
        <w:t>2026-</w:t>
      </w:r>
      <w:r>
        <w:rPr>
          <w:rFonts w:hint="eastAsia" w:ascii="Times New Roman" w:hAnsi="Times New Roman" w:cs="Times New Roman"/>
          <w:lang w:val="en-US" w:eastAsia="zh-CN"/>
        </w:rPr>
        <w:t>01</w:t>
      </w:r>
      <w:r>
        <w:rPr>
          <w:rFonts w:ascii="Times New Roman" w:hAnsi="Times New Roman" w:cs="Times New Roman"/>
        </w:rPr>
        <w:t>-</w:t>
      </w:r>
      <w:r>
        <w:rPr>
          <w:rFonts w:hint="eastAsia" w:ascii="Times New Roman" w:hAnsi="Times New Roman" w:cs="Times New Roman"/>
          <w:lang w:val="en-US" w:eastAsia="zh-CN"/>
        </w:rPr>
        <w:t>15</w:t>
      </w:r>
    </w:p>
    <w:p>
      <w:pPr>
        <w:autoSpaceDE w:val="0"/>
        <w:autoSpaceDN w:val="0"/>
        <w:adjustRightInd w:val="0"/>
        <w:jc w:val="center"/>
        <w:rPr>
          <w:rFonts w:ascii="黑体" w:hAnsi="黑体" w:eastAsia="黑体" w:cs="FZHTJW--GB1-0"/>
          <w:kern w:val="0"/>
          <w:sz w:val="30"/>
          <w:szCs w:val="30"/>
        </w:rPr>
      </w:pPr>
      <w:r>
        <w:rPr>
          <w:rFonts w:hint="eastAsia" w:ascii="黑体" w:hAnsi="黑体" w:eastAsia="黑体" w:cs="宋体"/>
          <w:kern w:val="0"/>
          <w:sz w:val="30"/>
          <w:szCs w:val="30"/>
        </w:rPr>
        <w:t>本概要提供本基金的重要信息，是招募说明书的一部分。</w:t>
      </w:r>
    </w:p>
    <w:p>
      <w:pPr>
        <w:jc w:val="center"/>
        <w:rPr>
          <w:rFonts w:ascii="黑体" w:hAnsi="黑体" w:eastAsia="黑体" w:cs="宋体"/>
          <w:kern w:val="0"/>
          <w:sz w:val="30"/>
          <w:szCs w:val="30"/>
        </w:rPr>
      </w:pPr>
      <w:r>
        <w:rPr>
          <w:rFonts w:hint="eastAsia" w:ascii="黑体" w:hAnsi="黑体" w:eastAsia="黑体" w:cs="宋体"/>
          <w:kern w:val="0"/>
          <w:sz w:val="30"/>
          <w:szCs w:val="30"/>
        </w:rPr>
        <w:t>作出投资决定前，请阅读完整的招募说明书等销售文件。</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一、产品概况</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318"/>
        <w:gridCol w:w="1508"/>
        <w:gridCol w:w="3302"/>
        <w:gridCol w:w="1944"/>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widowControl/>
              <w:jc w:val="left"/>
              <w:rPr>
                <w:rFonts w:ascii="仿宋_GB2312" w:eastAsia="仿宋_GB2312"/>
                <w:szCs w:val="21"/>
              </w:rPr>
            </w:pPr>
            <w:r>
              <w:rPr>
                <w:rFonts w:hint="eastAsia" w:ascii="仿宋_GB2312" w:eastAsia="仿宋_GB2312"/>
                <w:szCs w:val="21"/>
              </w:rPr>
              <w:t>基金简称</w:t>
            </w:r>
          </w:p>
        </w:tc>
        <w:tc>
          <w:tcPr>
            <w:tcW w:w="1508" w:type="dxa"/>
            <w:vAlign w:val="center"/>
          </w:tcPr>
          <w:p>
            <w:pPr>
              <w:rPr>
                <w:rFonts w:ascii="仿宋_GB2312" w:eastAsia="仿宋_GB2312"/>
                <w:szCs w:val="21"/>
              </w:rPr>
            </w:pPr>
            <w:r>
              <w:rPr>
                <w:rFonts w:hint="eastAsia" w:ascii="仿宋_GB2312" w:eastAsia="仿宋_GB2312"/>
                <w:szCs w:val="21"/>
              </w:rPr>
              <w:t>交银中证A500指数增强发起</w:t>
            </w:r>
            <w:r>
              <w:rPr>
                <w:rFonts w:ascii="仿宋_GB2312" w:eastAsia="仿宋_GB2312"/>
                <w:szCs w:val="21"/>
              </w:rPr>
              <w:t>C</w:t>
            </w:r>
          </w:p>
        </w:tc>
        <w:tc>
          <w:tcPr>
            <w:tcW w:w="3302" w:type="dxa"/>
            <w:vAlign w:val="center"/>
          </w:tcPr>
          <w:p>
            <w:pPr>
              <w:rPr>
                <w:rFonts w:ascii="仿宋_GB2312" w:hAnsi="宋体" w:eastAsia="仿宋_GB2312" w:cs="宋体"/>
                <w:szCs w:val="21"/>
              </w:rPr>
            </w:pPr>
            <w:r>
              <w:rPr>
                <w:rFonts w:hint="eastAsia" w:ascii="仿宋_GB2312" w:eastAsia="仿宋_GB2312"/>
                <w:szCs w:val="21"/>
              </w:rPr>
              <w:t>基金代码</w:t>
            </w:r>
          </w:p>
        </w:tc>
        <w:tc>
          <w:tcPr>
            <w:tcW w:w="1944"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026737</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基金管理人</w:t>
            </w:r>
          </w:p>
        </w:tc>
        <w:tc>
          <w:tcPr>
            <w:tcW w:w="1508" w:type="dxa"/>
            <w:vAlign w:val="center"/>
          </w:tcPr>
          <w:p>
            <w:pPr>
              <w:rPr>
                <w:rFonts w:ascii="仿宋_GB2312" w:eastAsia="仿宋_GB2312"/>
                <w:szCs w:val="21"/>
              </w:rPr>
            </w:pPr>
            <w:r>
              <w:rPr>
                <w:rFonts w:hint="eastAsia" w:ascii="仿宋_GB2312" w:eastAsia="仿宋_GB2312"/>
                <w:szCs w:val="21"/>
              </w:rPr>
              <w:t>交银施罗德基金管理有限公司</w:t>
            </w:r>
          </w:p>
        </w:tc>
        <w:tc>
          <w:tcPr>
            <w:tcW w:w="3302" w:type="dxa"/>
            <w:vAlign w:val="center"/>
          </w:tcPr>
          <w:p>
            <w:pPr>
              <w:rPr>
                <w:rFonts w:ascii="仿宋_GB2312" w:hAnsi="宋体" w:eastAsia="仿宋_GB2312" w:cs="宋体"/>
                <w:szCs w:val="21"/>
              </w:rPr>
            </w:pPr>
            <w:r>
              <w:rPr>
                <w:rFonts w:hint="eastAsia" w:ascii="仿宋_GB2312" w:eastAsia="仿宋_GB2312"/>
                <w:szCs w:val="21"/>
              </w:rPr>
              <w:t>基金托管人</w:t>
            </w:r>
          </w:p>
        </w:tc>
        <w:tc>
          <w:tcPr>
            <w:tcW w:w="1944" w:type="dxa"/>
            <w:vAlign w:val="center"/>
          </w:tcPr>
          <w:p>
            <w:pPr>
              <w:rPr>
                <w:rFonts w:ascii="仿宋_GB2312" w:eastAsia="仿宋_GB2312"/>
                <w:szCs w:val="21"/>
              </w:rPr>
            </w:pPr>
            <w:r>
              <w:rPr>
                <w:rFonts w:hint="eastAsia" w:ascii="仿宋_GB2312" w:eastAsia="仿宋_GB2312"/>
                <w:szCs w:val="21"/>
              </w:rPr>
              <w:t>中国工商银行股份有限公司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gridAfter w:val="2"/>
          <w:wAfter w:w="5246" w:type="dxa"/>
          <w:jc w:val="center"/>
        </w:trPr>
        <w:tc>
          <w:tcPr>
            <w:tcW w:w="2318" w:type="dxa"/>
            <w:vAlign w:val="center"/>
          </w:tcPr>
          <w:p>
            <w:pPr>
              <w:rPr>
                <w:rFonts w:ascii="仿宋_GB2312" w:eastAsia="仿宋_GB2312"/>
                <w:szCs w:val="21"/>
              </w:rPr>
            </w:pPr>
            <w:r>
              <w:rPr>
                <w:rFonts w:hint="eastAsia" w:ascii="仿宋_GB2312" w:eastAsia="仿宋_GB2312"/>
                <w:szCs w:val="21"/>
              </w:rPr>
              <w:t>基金合同生效日</w:t>
            </w:r>
          </w:p>
        </w:tc>
        <w:tc>
          <w:tcPr>
            <w:tcW w:w="1508" w:type="dxa"/>
            <w:vAlign w:val="center"/>
          </w:tcPr>
          <w:p>
            <w:pPr>
              <w:rPr>
                <w:rFonts w:ascii="仿宋_GB2312" w:eastAsia="仿宋_GB2312"/>
                <w:szCs w:val="21"/>
              </w:rPr>
            </w:pPr>
            <w:r>
              <w:rPr>
                <w:rFonts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基金类型</w:t>
            </w:r>
          </w:p>
        </w:tc>
        <w:tc>
          <w:tcPr>
            <w:tcW w:w="1508" w:type="dxa"/>
            <w:vAlign w:val="center"/>
          </w:tcPr>
          <w:p>
            <w:pPr>
              <w:rPr>
                <w:rFonts w:ascii="仿宋_GB2312" w:eastAsia="仿宋_GB2312"/>
                <w:szCs w:val="21"/>
              </w:rPr>
            </w:pPr>
            <w:r>
              <w:rPr>
                <w:rFonts w:hint="eastAsia" w:ascii="仿宋_GB2312" w:eastAsia="仿宋_GB2312"/>
                <w:szCs w:val="21"/>
              </w:rPr>
              <w:t>股票型</w:t>
            </w:r>
          </w:p>
        </w:tc>
        <w:tc>
          <w:tcPr>
            <w:tcW w:w="3302" w:type="dxa"/>
            <w:vAlign w:val="center"/>
          </w:tcPr>
          <w:p>
            <w:pPr>
              <w:rPr>
                <w:rFonts w:ascii="仿宋_GB2312" w:hAnsi="宋体" w:eastAsia="仿宋_GB2312" w:cs="宋体"/>
                <w:szCs w:val="21"/>
              </w:rPr>
            </w:pPr>
            <w:r>
              <w:rPr>
                <w:rFonts w:hint="eastAsia" w:ascii="仿宋_GB2312" w:eastAsia="仿宋_GB2312"/>
                <w:szCs w:val="21"/>
              </w:rPr>
              <w:t>交易币种</w:t>
            </w:r>
          </w:p>
        </w:tc>
        <w:tc>
          <w:tcPr>
            <w:tcW w:w="1944" w:type="dxa"/>
            <w:vAlign w:val="center"/>
          </w:tcPr>
          <w:p>
            <w:pPr>
              <w:rPr>
                <w:rFonts w:ascii="仿宋_GB2312" w:eastAsia="仿宋_GB2312"/>
                <w:szCs w:val="21"/>
              </w:rPr>
            </w:pPr>
            <w:r>
              <w:rPr>
                <w:rFonts w:hint="eastAsia" w:ascii="仿宋_GB2312" w:eastAsia="仿宋_GB2312"/>
                <w:szCs w:val="21"/>
              </w:rPr>
              <w:t>人民币</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Align w:val="center"/>
          </w:tcPr>
          <w:p>
            <w:pPr>
              <w:rPr>
                <w:rFonts w:ascii="仿宋_GB2312" w:eastAsia="仿宋_GB2312"/>
                <w:szCs w:val="21"/>
              </w:rPr>
            </w:pPr>
            <w:r>
              <w:rPr>
                <w:rFonts w:hint="eastAsia" w:ascii="仿宋_GB2312" w:eastAsia="仿宋_GB2312"/>
                <w:szCs w:val="21"/>
              </w:rPr>
              <w:t>运作方式</w:t>
            </w:r>
          </w:p>
        </w:tc>
        <w:tc>
          <w:tcPr>
            <w:tcW w:w="1508" w:type="dxa"/>
            <w:vAlign w:val="center"/>
          </w:tcPr>
          <w:p>
            <w:pPr>
              <w:rPr>
                <w:rFonts w:ascii="仿宋_GB2312" w:eastAsia="仿宋_GB2312"/>
                <w:szCs w:val="21"/>
              </w:rPr>
            </w:pPr>
            <w:r>
              <w:rPr>
                <w:rFonts w:hint="eastAsia" w:ascii="仿宋_GB2312" w:eastAsia="仿宋_GB2312"/>
                <w:szCs w:val="21"/>
              </w:rPr>
              <w:t>普通开放式</w:t>
            </w:r>
          </w:p>
        </w:tc>
        <w:tc>
          <w:tcPr>
            <w:tcW w:w="3302" w:type="dxa"/>
            <w:vAlign w:val="center"/>
          </w:tcPr>
          <w:p>
            <w:pPr>
              <w:rPr>
                <w:rFonts w:ascii="仿宋_GB2312" w:hAnsi="宋体" w:eastAsia="仿宋_GB2312" w:cs="宋体"/>
                <w:szCs w:val="21"/>
              </w:rPr>
            </w:pPr>
            <w:r>
              <w:rPr>
                <w:rFonts w:hint="eastAsia" w:ascii="仿宋_GB2312" w:eastAsia="仿宋_GB2312"/>
                <w:szCs w:val="21"/>
              </w:rPr>
              <w:t>开放频率</w:t>
            </w:r>
          </w:p>
        </w:tc>
        <w:tc>
          <w:tcPr>
            <w:tcW w:w="1944" w:type="dxa"/>
            <w:vAlign w:val="center"/>
          </w:tcPr>
          <w:p>
            <w:pPr>
              <w:rPr>
                <w:rFonts w:ascii="仿宋_GB2312" w:eastAsia="仿宋_GB2312"/>
                <w:szCs w:val="21"/>
              </w:rPr>
            </w:pPr>
            <w:r>
              <w:rPr>
                <w:rFonts w:hint="eastAsia" w:ascii="仿宋_GB2312" w:eastAsia="仿宋_GB2312"/>
                <w:szCs w:val="21"/>
              </w:rPr>
              <w:t>每个开放日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Merge w:val="restart"/>
          </w:tcPr>
          <w:p>
            <w:pPr>
              <w:jc w:val="left"/>
              <w:rPr>
                <w:rFonts w:ascii="仿宋_GB2312" w:eastAsia="仿宋_GB2312"/>
                <w:szCs w:val="21"/>
              </w:rPr>
            </w:pPr>
            <w:r>
              <w:rPr>
                <w:rFonts w:hint="eastAsia" w:ascii="仿宋_GB2312" w:eastAsia="仿宋_GB2312"/>
                <w:szCs w:val="21"/>
              </w:rPr>
              <w:t>基金经理</w:t>
            </w:r>
          </w:p>
        </w:tc>
        <w:tc>
          <w:tcPr>
            <w:tcW w:w="1508" w:type="dxa"/>
            <w:vMerge w:val="restart"/>
          </w:tcPr>
          <w:p>
            <w:pPr>
              <w:jc w:val="left"/>
              <w:rPr>
                <w:rFonts w:ascii="仿宋_GB2312" w:eastAsia="仿宋_GB2312"/>
                <w:szCs w:val="21"/>
              </w:rPr>
            </w:pPr>
            <w:r>
              <w:rPr>
                <w:rFonts w:hint="eastAsia" w:ascii="仿宋_GB2312" w:eastAsia="仿宋_GB2312"/>
                <w:szCs w:val="21"/>
              </w:rPr>
              <w:t>邵文婷</w:t>
            </w:r>
          </w:p>
        </w:tc>
        <w:tc>
          <w:tcPr>
            <w:tcW w:w="3302" w:type="dxa"/>
          </w:tcPr>
          <w:p>
            <w:pPr>
              <w:jc w:val="left"/>
              <w:rPr>
                <w:rFonts w:ascii="仿宋_GB2312" w:eastAsia="仿宋_GB2312"/>
                <w:szCs w:val="21"/>
              </w:rPr>
            </w:pPr>
            <w:r>
              <w:rPr>
                <w:rFonts w:hint="eastAsia" w:ascii="仿宋_GB2312" w:hAnsi="宋体" w:eastAsia="仿宋_GB2312" w:cs="宋体"/>
                <w:kern w:val="0"/>
                <w:szCs w:val="21"/>
              </w:rPr>
              <w:t>开始担任本基金基金经理的日期</w:t>
            </w:r>
          </w:p>
        </w:tc>
        <w:tc>
          <w:tcPr>
            <w:tcW w:w="1944" w:type="dxa"/>
          </w:tcPr>
          <w:p>
            <w:pPr>
              <w:jc w:val="left"/>
              <w:rPr>
                <w:rFonts w:ascii="仿宋_GB2312" w:eastAsia="仿宋_GB2312"/>
                <w:szCs w:val="21"/>
              </w:rPr>
            </w:pPr>
            <w:r>
              <w:rPr>
                <w:rFonts w:ascii="仿宋_GB2312" w:eastAsia="仿宋_GB2312"/>
                <w:szCs w:val="21"/>
              </w:rPr>
              <w:t>-</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vMerge w:val="continue"/>
          </w:tcPr>
          <w:p>
            <w:pPr>
              <w:jc w:val="left"/>
              <w:rPr>
                <w:rFonts w:ascii="仿宋_GB2312" w:eastAsia="仿宋_GB2312"/>
                <w:szCs w:val="21"/>
              </w:rPr>
            </w:pPr>
          </w:p>
        </w:tc>
        <w:tc>
          <w:tcPr>
            <w:tcW w:w="1508" w:type="dxa"/>
            <w:vMerge w:val="continue"/>
          </w:tcPr>
          <w:p>
            <w:pPr>
              <w:jc w:val="left"/>
              <w:rPr>
                <w:rFonts w:ascii="仿宋_GB2312" w:eastAsia="仿宋_GB2312"/>
                <w:szCs w:val="21"/>
              </w:rPr>
            </w:pPr>
          </w:p>
        </w:tc>
        <w:tc>
          <w:tcPr>
            <w:tcW w:w="3302" w:type="dxa"/>
          </w:tcPr>
          <w:p>
            <w:pPr>
              <w:jc w:val="left"/>
              <w:rPr>
                <w:rFonts w:ascii="仿宋_GB2312" w:eastAsia="仿宋_GB2312"/>
                <w:szCs w:val="21"/>
              </w:rPr>
            </w:pPr>
            <w:r>
              <w:rPr>
                <w:rFonts w:hint="eastAsia" w:ascii="仿宋_GB2312" w:hAnsi="宋体" w:eastAsia="仿宋_GB2312" w:cs="宋体"/>
                <w:kern w:val="0"/>
                <w:szCs w:val="21"/>
              </w:rPr>
              <w:t>证券从业日期</w:t>
            </w:r>
          </w:p>
        </w:tc>
        <w:tc>
          <w:tcPr>
            <w:tcW w:w="1944" w:type="dxa"/>
          </w:tcPr>
          <w:p>
            <w:pPr>
              <w:jc w:val="left"/>
              <w:rPr>
                <w:rFonts w:ascii="仿宋_GB2312" w:eastAsia="仿宋_GB2312"/>
                <w:szCs w:val="21"/>
              </w:rPr>
            </w:pPr>
            <w:r>
              <w:rPr>
                <w:rFonts w:hint="eastAsia" w:ascii="仿宋_GB2312" w:eastAsia="仿宋_GB2312"/>
                <w:szCs w:val="21"/>
              </w:rPr>
              <w:t>2016-01-</w:t>
            </w:r>
            <w:r>
              <w:rPr>
                <w:rFonts w:ascii="仿宋_GB2312" w:eastAsia="仿宋_GB2312"/>
                <w:szCs w:val="21"/>
              </w:rPr>
              <w:t>25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318" w:type="dxa"/>
          </w:tcPr>
          <w:p>
            <w:pPr>
              <w:jc w:val="left"/>
              <w:rPr>
                <w:rFonts w:ascii="仿宋_GB2312" w:eastAsia="仿宋_GB2312"/>
                <w:szCs w:val="21"/>
              </w:rPr>
            </w:pPr>
            <w:r>
              <w:rPr>
                <w:rFonts w:hint="eastAsia" w:ascii="仿宋_GB2312" w:hAnsi="宋体" w:eastAsia="仿宋_GB2312" w:cs="宋体"/>
                <w:kern w:val="0"/>
                <w:szCs w:val="21"/>
              </w:rPr>
              <w:t>其他</w:t>
            </w:r>
          </w:p>
        </w:tc>
        <w:tc>
          <w:tcPr>
            <w:tcW w:w="6754" w:type="dxa"/>
            <w:gridSpan w:val="3"/>
          </w:tcPr>
          <w:p>
            <w:pPr>
              <w:ind w:firstLine="420"/>
              <w:jc w:val="left"/>
              <w:rPr>
                <w:rFonts w:ascii="仿宋_GB2312" w:eastAsia="仿宋_GB2312"/>
                <w:szCs w:val="21"/>
              </w:rPr>
            </w:pPr>
            <w:r>
              <w:rPr>
                <w:rFonts w:hint="eastAsia" w:ascii="仿宋_GB2312" w:eastAsia="仿宋_GB2312"/>
                <w:szCs w:val="21"/>
              </w:rPr>
              <w:t>《基金合同》生效之日起三年后的对应日，若基金资产净值低于2亿元，基金合同自动终止，且不得通过召开基金份额持有人大会的方式延续《基金合同》期限。若届时有效的法律法规或中国证监会规定发生变化，上述终止规定被取消、更改或补充，则本基金可以参照届时有效的法律法规或中国证监会规定执行。</w:t>
            </w:r>
          </w:p>
          <w:p>
            <w:pPr>
              <w:ind w:firstLine="420"/>
              <w:jc w:val="left"/>
              <w:rPr>
                <w:rFonts w:ascii="仿宋_GB2312" w:eastAsia="仿宋_GB2312"/>
                <w:szCs w:val="21"/>
              </w:rPr>
            </w:pPr>
            <w:r>
              <w:rPr>
                <w:rFonts w:hint="eastAsia" w:ascii="仿宋_GB2312" w:eastAsia="仿宋_GB2312"/>
                <w:szCs w:val="21"/>
              </w:rPr>
              <w:t>《基金合同》生效三年后继续存续的，基金存续期内，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tc>
      </w:tr>
    </w:tbl>
    <w:p>
      <w:pPr>
        <w:jc w:val="left"/>
        <w:rPr>
          <w:rFonts w:ascii="仿宋_GB2312" w:hAnsi="宋体" w:eastAsia="仿宋_GB2312" w:cs="宋体"/>
          <w:b/>
          <w:kern w:val="0"/>
          <w:szCs w:val="21"/>
        </w:rPr>
      </w:pPr>
      <w:r>
        <w:rPr>
          <w:rFonts w:hint="eastAsia" w:ascii="仿宋_GB2312" w:hAnsi="宋体" w:eastAsia="仿宋_GB2312" w:cs="宋体"/>
          <w:b/>
          <w:kern w:val="0"/>
          <w:szCs w:val="21"/>
        </w:rPr>
        <w:t>二、基金投资与净值表现</w:t>
      </w:r>
    </w:p>
    <w:p>
      <w:pPr>
        <w:jc w:val="left"/>
        <w:rPr>
          <w:rFonts w:ascii="仿宋_GB2312" w:eastAsia="仿宋_GB2312"/>
          <w:b/>
          <w:szCs w:val="21"/>
        </w:rPr>
      </w:pPr>
      <w:r>
        <w:rPr>
          <w:rFonts w:hint="eastAsia" w:ascii="仿宋_GB2312" w:eastAsia="仿宋_GB2312"/>
          <w:b/>
          <w:szCs w:val="21"/>
        </w:rPr>
        <w:t>（一）投资目标与投资策略</w:t>
      </w:r>
    </w:p>
    <w:tbl>
      <w:tblPr>
        <w:tblStyle w:val="8"/>
        <w:tblW w:w="9072"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1876"/>
        <w:gridCol w:w="7196"/>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widowControl/>
              <w:jc w:val="left"/>
              <w:rPr>
                <w:rFonts w:ascii="仿宋_GB2312" w:eastAsia="仿宋_GB2312"/>
                <w:szCs w:val="21"/>
              </w:rPr>
            </w:pPr>
            <w:r>
              <w:rPr>
                <w:rFonts w:hint="eastAsia" w:ascii="仿宋_GB2312" w:eastAsia="仿宋_GB2312"/>
                <w:szCs w:val="21"/>
              </w:rPr>
              <w:t>投资目标</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本基金为股票指数增强型基金，在力争对中证A500指数进行有效跟踪的基础上，对基金投资组合进行相对增强，追求超越业绩比较基准的投资回报，谋求基金资产的长期增值。</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投资范围</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的投资范围为具有良好流动性的金融工具，包括中证A500指数的成份股（含存托凭证）及备选成份股（含存托凭证）、其他股票（含主板、创业板、科创板及其他经中国证监会核准或注册上市的股票、存托凭证）、港股通标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pPr>
              <w:ind w:firstLine="420"/>
              <w:jc w:val="left"/>
              <w:rPr>
                <w:rFonts w:ascii="仿宋_GB2312" w:eastAsia="仿宋_GB2312"/>
                <w:szCs w:val="21"/>
              </w:rPr>
            </w:pPr>
            <w:r>
              <w:rPr>
                <w:rFonts w:hint="eastAsia" w:ascii="仿宋_GB2312" w:eastAsia="仿宋_GB2312"/>
                <w:szCs w:val="21"/>
              </w:rPr>
              <w:t>本基金可根据法律法规的规定参与融资及转融通证券出借业务。未来在法律法规允许的前提下，本基金可根据相关法律法规规定参与融券业务。</w:t>
            </w:r>
          </w:p>
          <w:p>
            <w:pPr>
              <w:ind w:firstLine="420"/>
              <w:jc w:val="left"/>
              <w:rPr>
                <w:rFonts w:ascii="仿宋_GB2312" w:eastAsia="仿宋_GB2312"/>
                <w:szCs w:val="21"/>
              </w:rPr>
            </w:pPr>
            <w:r>
              <w:rPr>
                <w:rFonts w:hint="eastAsia" w:ascii="仿宋_GB2312" w:eastAsia="仿宋_GB2312"/>
                <w:szCs w:val="21"/>
              </w:rPr>
              <w:t>如法律法规或监管机构以后允许基金投资其他品种，基金管理人在履行适当程序后，可以将其纳入投资范围。</w:t>
            </w:r>
          </w:p>
          <w:p>
            <w:pPr>
              <w:ind w:firstLine="420"/>
              <w:jc w:val="left"/>
              <w:rPr>
                <w:rFonts w:ascii="仿宋_GB2312" w:eastAsia="仿宋_GB2312"/>
                <w:szCs w:val="21"/>
              </w:rPr>
            </w:pPr>
            <w:r>
              <w:rPr>
                <w:rFonts w:hint="eastAsia" w:ascii="仿宋_GB2312" w:eastAsia="仿宋_GB2312"/>
                <w:szCs w:val="21"/>
              </w:rPr>
              <w:t>基金的投资组合比例为：本基金投资于股票（含存托凭证）占基金资产的比例不低于80%，其中投资于港股通标的股票的比例占股票资产的0%-50%；投资于中证A500指数成份股（含存托凭证）及备选成份股（含存托凭证）的比例不低于非现金基金资产的80%；每个交易日日终在扣除股指期货合约需缴纳的交易保证金后，本基金持有的现金或者到期日在一年以内的政府债券的比例合计不低于基金资产净值的5%，其中现金不包括结算备付金、存出保证金、应收申购款等。</w:t>
            </w:r>
          </w:p>
          <w:p>
            <w:pPr>
              <w:ind w:firstLine="420"/>
              <w:jc w:val="left"/>
              <w:rPr>
                <w:rFonts w:ascii="仿宋_GB2312" w:eastAsia="仿宋_GB2312"/>
                <w:szCs w:val="21"/>
              </w:rPr>
            </w:pPr>
            <w:r>
              <w:rPr>
                <w:rFonts w:hint="eastAsia" w:ascii="仿宋_GB2312" w:eastAsia="仿宋_GB2312"/>
                <w:szCs w:val="21"/>
              </w:rPr>
              <w:t>如果法律法规或中国证监会变更投资品种的投资比例限制，基金管理人在履行适当程序后，可以调整上述投资品种的投资比例。</w:t>
            </w:r>
          </w:p>
          <w:p>
            <w:pPr>
              <w:ind w:firstLine="420"/>
              <w:jc w:val="left"/>
              <w:rPr>
                <w:rFonts w:ascii="仿宋_GB2312" w:eastAsia="仿宋_GB2312"/>
                <w:szCs w:val="21"/>
              </w:rPr>
            </w:pPr>
            <w:r>
              <w:rPr>
                <w:rFonts w:hint="eastAsia" w:ascii="仿宋_GB2312" w:eastAsia="仿宋_GB2312"/>
                <w:szCs w:val="21"/>
              </w:rPr>
              <w:t>本基金标的指数为中证A500指数。</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主要投资策略</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为股票指数增强型基金，在力争对中证A500指数进行有效跟踪的基础上，对基金投资组合进行相对增强，追求超越业绩比较基准的投资回报，谋求基金资产的长期增值。在正常市场情况下，力争控制本基金日均跟踪偏离度的绝对值不超过0.5%，年跟踪误差不超过8%。</w:t>
            </w:r>
          </w:p>
          <w:p>
            <w:pPr>
              <w:ind w:firstLine="420"/>
              <w:jc w:val="left"/>
              <w:rPr>
                <w:rFonts w:ascii="仿宋_GB2312" w:eastAsia="仿宋_GB2312"/>
                <w:szCs w:val="21"/>
              </w:rPr>
            </w:pPr>
            <w:r>
              <w:rPr>
                <w:rFonts w:hint="eastAsia" w:ascii="仿宋_GB2312" w:eastAsia="仿宋_GB2312"/>
                <w:szCs w:val="21"/>
              </w:rPr>
              <w:t>1、股票投资策略；2、债券投资策略；3、股指期货投资策略；4、资产支持证券投资策略；5、融资、转融通证券出借业务投资策略。</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业绩比较基准</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中证A500指数收益率×95%＋人民币银行活期存款利率（税后）×5%</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1701" w:type="dxa"/>
            <w:vAlign w:val="center"/>
          </w:tcPr>
          <w:p>
            <w:pPr>
              <w:rPr>
                <w:rFonts w:ascii="仿宋_GB2312" w:eastAsia="仿宋_GB2312"/>
                <w:szCs w:val="21"/>
              </w:rPr>
            </w:pPr>
            <w:r>
              <w:rPr>
                <w:rFonts w:hint="eastAsia" w:ascii="仿宋_GB2312" w:eastAsia="仿宋_GB2312"/>
                <w:szCs w:val="21"/>
              </w:rPr>
              <w:t>风险收益特征</w:t>
            </w:r>
          </w:p>
        </w:tc>
        <w:tc>
          <w:tcPr>
            <w:tcW w:w="6525" w:type="dxa"/>
            <w:vAlign w:val="center"/>
          </w:tcPr>
          <w:p>
            <w:pPr>
              <w:ind w:firstLine="420"/>
              <w:jc w:val="left"/>
              <w:rPr>
                <w:rFonts w:ascii="仿宋_GB2312" w:eastAsia="仿宋_GB2312"/>
                <w:szCs w:val="21"/>
              </w:rPr>
            </w:pPr>
            <w:r>
              <w:rPr>
                <w:rFonts w:hint="eastAsia" w:ascii="仿宋_GB2312" w:eastAsia="仿宋_GB2312"/>
                <w:szCs w:val="21"/>
              </w:rPr>
              <w:t>本基金是一只股票型基金，其预期风险和预期收益理论上高于混合型基金、债券型基金和货币市场基金。</w:t>
            </w:r>
          </w:p>
          <w:p>
            <w:pPr>
              <w:ind w:firstLine="420"/>
              <w:jc w:val="left"/>
              <w:rPr>
                <w:rFonts w:ascii="仿宋_GB2312" w:eastAsia="仿宋_GB2312"/>
                <w:szCs w:val="21"/>
              </w:rPr>
            </w:pPr>
            <w:r>
              <w:rPr>
                <w:rFonts w:hint="eastAsia" w:ascii="仿宋_GB2312" w:eastAsia="仿宋_GB2312"/>
                <w:szCs w:val="21"/>
              </w:rPr>
              <w:t>本基金为股票指数增强型基金，主要投资于标的指数成份股及备选成份股，具有与标的指数相似的风险收益特征。</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w:t>
            </w:r>
          </w:p>
        </w:tc>
      </w:tr>
    </w:tbl>
    <w:p>
      <w:pPr>
        <w:jc w:val="left"/>
        <w:rPr>
          <w:rFonts w:ascii="仿宋_GB2312" w:hAnsi="宋体" w:eastAsia="仿宋_GB2312" w:cs="宋体"/>
          <w:kern w:val="0"/>
          <w:szCs w:val="21"/>
        </w:rPr>
      </w:pPr>
      <w:r>
        <w:rPr>
          <w:rFonts w:hint="eastAsia" w:ascii="仿宋_GB2312" w:hAnsi="宋体" w:eastAsia="仿宋_GB2312" w:cs="宋体"/>
          <w:kern w:val="0"/>
          <w:szCs w:val="21"/>
        </w:rPr>
        <w:t>注：</w:t>
      </w:r>
      <w:r>
        <w:rPr>
          <w:rFonts w:hint="eastAsia" w:ascii="仿宋_GB2312" w:eastAsia="仿宋_GB2312"/>
          <w:szCs w:val="21"/>
        </w:rPr>
        <w:t>详见《交银施罗德中证A500指数增强型发起式证券投资基金招募说明书》第九部分“基金的投资”。</w:t>
      </w:r>
    </w:p>
    <w:p>
      <w:pPr>
        <w:jc w:val="left"/>
        <w:rPr>
          <w:rFonts w:ascii="仿宋_GB2312" w:eastAsia="仿宋_GB2312"/>
          <w:b/>
          <w:szCs w:val="21"/>
        </w:rPr>
      </w:pPr>
      <w:r>
        <w:rPr>
          <w:rFonts w:hint="eastAsia" w:ascii="仿宋_GB2312" w:eastAsia="仿宋_GB2312"/>
          <w:b/>
          <w:szCs w:val="21"/>
        </w:rPr>
        <w:t>（二）投资组合资产配置图表/区域配置图表</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eastAsia="仿宋_GB2312"/>
          <w:b/>
          <w:szCs w:val="21"/>
        </w:rPr>
      </w:pPr>
      <w:r>
        <w:rPr>
          <w:rFonts w:hint="eastAsia" w:ascii="仿宋_GB2312" w:eastAsia="仿宋_GB2312"/>
          <w:b/>
          <w:szCs w:val="21"/>
        </w:rPr>
        <w:t>（三）自基金合同生效以来/最近十年（孰短）基金每年的净值增长率及与同期业绩比较基准的比较图</w:t>
      </w:r>
    </w:p>
    <w:p>
      <w:pPr>
        <w:ind w:left="420" w:firstLine="420" w:firstLineChars="200"/>
        <w:jc w:val="left"/>
        <w:rPr>
          <w:rFonts w:ascii="仿宋_GB2312" w:eastAsia="仿宋_GB2312"/>
          <w:szCs w:val="21"/>
        </w:rPr>
      </w:pPr>
      <w:r>
        <w:rPr>
          <w:rFonts w:hint="eastAsia" w:ascii="仿宋_GB2312" w:eastAsia="仿宋_GB2312"/>
          <w:szCs w:val="21"/>
        </w:rPr>
        <w:t>无。</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三、投资本基金涉及的费用</w:t>
      </w:r>
    </w:p>
    <w:p>
      <w:pPr>
        <w:jc w:val="left"/>
        <w:rPr>
          <w:rFonts w:ascii="仿宋_GB2312" w:hAnsi="宋体" w:eastAsia="仿宋_GB2312" w:cs="宋体"/>
          <w:b/>
          <w:kern w:val="0"/>
          <w:szCs w:val="21"/>
        </w:rPr>
      </w:pPr>
      <w:r>
        <w:rPr>
          <w:rFonts w:hint="eastAsia" w:ascii="仿宋_GB2312" w:hAnsi="宋体" w:eastAsia="仿宋_GB2312" w:cs="宋体"/>
          <w:b/>
          <w:kern w:val="0"/>
          <w:szCs w:val="21"/>
        </w:rPr>
        <w:t>（一）基金销售相关费用</w:t>
      </w:r>
    </w:p>
    <w:p>
      <w:pPr>
        <w:jc w:val="left"/>
        <w:rPr>
          <w:rFonts w:ascii="仿宋_GB2312" w:eastAsia="仿宋_GB2312"/>
          <w:szCs w:val="21"/>
        </w:rPr>
      </w:pPr>
      <w:r>
        <w:rPr>
          <w:rFonts w:hint="eastAsia" w:ascii="仿宋_GB2312" w:eastAsia="仿宋_GB2312"/>
          <w:szCs w:val="21"/>
        </w:rPr>
        <w:t>以下费用在认购/申购/赎回基金过程中收取：</w:t>
      </w:r>
    </w:p>
    <w:tbl>
      <w:tblPr>
        <w:tblStyle w:val="8"/>
        <w:tblW w:w="9308"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747"/>
        <w:gridCol w:w="2818"/>
        <w:gridCol w:w="1754"/>
        <w:gridCol w:w="1989"/>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Align w:val="center"/>
          </w:tcPr>
          <w:p>
            <w:pPr>
              <w:widowControl/>
              <w:jc w:val="left"/>
              <w:rPr>
                <w:rFonts w:ascii="仿宋_GB2312" w:eastAsia="仿宋_GB2312"/>
                <w:szCs w:val="21"/>
              </w:rPr>
            </w:pPr>
            <w:r>
              <w:rPr>
                <w:rFonts w:hint="eastAsia" w:ascii="仿宋_GB2312" w:hAnsi="宋体" w:eastAsia="仿宋_GB2312" w:cs="宋体"/>
                <w:kern w:val="0"/>
                <w:szCs w:val="21"/>
              </w:rPr>
              <w:t>费用类型</w:t>
            </w:r>
          </w:p>
        </w:tc>
        <w:tc>
          <w:tcPr>
            <w:tcW w:w="2818" w:type="dxa"/>
            <w:vAlign w:val="center"/>
          </w:tcPr>
          <w:p>
            <w:pPr>
              <w:rPr>
                <w:rFonts w:ascii="仿宋_GB2312" w:eastAsia="仿宋_GB2312"/>
                <w:szCs w:val="21"/>
              </w:rPr>
            </w:pPr>
            <w:r>
              <w:rPr>
                <w:rFonts w:hint="eastAsia" w:ascii="仿宋_GB2312" w:eastAsia="仿宋_GB2312"/>
                <w:szCs w:val="21"/>
              </w:rPr>
              <w:t>份额（S）或金额（M）/持有期限（N）</w:t>
            </w:r>
          </w:p>
        </w:tc>
        <w:tc>
          <w:tcPr>
            <w:tcW w:w="1754" w:type="dxa"/>
            <w:vAlign w:val="center"/>
          </w:tcPr>
          <w:p>
            <w:pPr>
              <w:rPr>
                <w:rFonts w:ascii="仿宋_GB2312" w:eastAsia="仿宋_GB2312"/>
                <w:szCs w:val="21"/>
              </w:rPr>
            </w:pPr>
            <w:r>
              <w:rPr>
                <w:rFonts w:hint="eastAsia" w:ascii="仿宋_GB2312" w:eastAsia="仿宋_GB2312"/>
                <w:szCs w:val="21"/>
              </w:rPr>
              <w:t>收费方式/费率</w:t>
            </w:r>
          </w:p>
        </w:tc>
        <w:tc>
          <w:tcPr>
            <w:tcW w:w="1989" w:type="dxa"/>
            <w:vAlign w:val="center"/>
          </w:tcPr>
          <w:p>
            <w:pPr>
              <w:widowControl/>
              <w:jc w:val="left"/>
              <w:rPr>
                <w:rFonts w:ascii="仿宋_GB2312" w:eastAsia="仿宋_GB2312"/>
                <w:szCs w:val="21"/>
              </w:rPr>
            </w:pPr>
            <w:r>
              <w:rPr>
                <w:rFonts w:hint="eastAsia" w:ascii="仿宋_GB2312" w:hAnsi="宋体" w:eastAsia="仿宋_GB2312" w:cs="宋体"/>
                <w:kern w:val="0"/>
                <w:szCs w:val="21"/>
              </w:rPr>
              <w:t>备注</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restart"/>
            <w:vAlign w:val="center"/>
          </w:tcPr>
          <w:p>
            <w:pPr>
              <w:widowControl/>
              <w:jc w:val="left"/>
              <w:rPr>
                <w:rFonts w:hint="eastAsia" w:ascii="仿宋_GB2312" w:hAnsi="宋体" w:eastAsia="仿宋_GB2312" w:cs="宋体"/>
                <w:kern w:val="0"/>
                <w:szCs w:val="21"/>
                <w:lang w:eastAsia="zh-CN"/>
              </w:rPr>
            </w:pPr>
            <w:r>
              <w:rPr>
                <w:rFonts w:hint="eastAsia" w:ascii="仿宋_GB2312" w:hAnsi="宋体" w:eastAsia="仿宋_GB2312" w:cs="宋体"/>
                <w:kern w:val="0"/>
                <w:szCs w:val="21"/>
              </w:rPr>
              <w:t>赎回费</w:t>
            </w:r>
          </w:p>
        </w:tc>
        <w:tc>
          <w:tcPr>
            <w:tcW w:w="2818" w:type="dxa"/>
          </w:tcPr>
          <w:p>
            <w:pPr>
              <w:rPr>
                <w:rFonts w:ascii="仿宋_GB2312" w:eastAsia="仿宋_GB2312"/>
                <w:szCs w:val="21"/>
              </w:rPr>
            </w:pPr>
            <w:r>
              <w:rPr>
                <w:rFonts w:hint="eastAsia" w:ascii="仿宋_GB2312" w:eastAsia="仿宋_GB2312"/>
                <w:szCs w:val="21"/>
              </w:rPr>
              <w:t>N＜7天</w:t>
            </w:r>
          </w:p>
        </w:tc>
        <w:tc>
          <w:tcPr>
            <w:tcW w:w="1754" w:type="dxa"/>
            <w:vAlign w:val="center"/>
          </w:tcPr>
          <w:p>
            <w:pPr>
              <w:rPr>
                <w:rFonts w:ascii="仿宋_GB2312" w:eastAsia="仿宋_GB2312"/>
                <w:szCs w:val="21"/>
              </w:rPr>
            </w:pPr>
            <w:r>
              <w:rPr>
                <w:rFonts w:hint="eastAsia" w:ascii="仿宋_GB2312" w:eastAsia="仿宋_GB2312"/>
                <w:szCs w:val="21"/>
              </w:rPr>
              <w:t>1.5%</w:t>
            </w:r>
          </w:p>
        </w:tc>
        <w:tc>
          <w:tcPr>
            <w:tcW w:w="1989" w:type="dxa"/>
            <w:vAlign w:val="center"/>
          </w:tcPr>
          <w:p>
            <w:pPr>
              <w:rPr>
                <w:rFonts w:ascii="仿宋_GB2312" w:eastAsia="仿宋_GB2312"/>
                <w:szCs w:val="21"/>
              </w:rPr>
            </w:pPr>
            <w:r>
              <w:rPr>
                <w:rFonts w:hint="eastAsia" w:ascii="仿宋_GB2312" w:eastAsia="仿宋_GB2312" w:hAnsiTheme="minorHAnsi" w:cstheme="minorBidi"/>
                <w:kern w:val="2"/>
                <w:szCs w:val="21"/>
                <w:lang w:val="en-US" w:eastAsia="zh-CN"/>
              </w:rPr>
              <w:t>个人投资者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ascii="仿宋_GB2312" w:eastAsia="仿宋_GB2312"/>
                <w:szCs w:val="21"/>
              </w:rPr>
              <w:t>7</w:t>
            </w:r>
            <w:r>
              <w:rPr>
                <w:rFonts w:hint="eastAsia" w:ascii="仿宋_GB2312" w:eastAsia="仿宋_GB2312"/>
                <w:szCs w:val="21"/>
              </w:rPr>
              <w:t>天≤N</w:t>
            </w:r>
          </w:p>
        </w:tc>
        <w:tc>
          <w:tcPr>
            <w:tcW w:w="1754" w:type="dxa"/>
            <w:vAlign w:val="center"/>
          </w:tcPr>
          <w:p>
            <w:pPr>
              <w:rPr>
                <w:rFonts w:hint="eastAsia" w:ascii="仿宋_GB2312" w:eastAsia="仿宋_GB2312"/>
                <w:szCs w:val="21"/>
                <w:lang w:val="en-US" w:eastAsia="zh-CN"/>
              </w:rPr>
            </w:pPr>
            <w:r>
              <w:rPr>
                <w:rFonts w:hint="eastAsia" w:ascii="仿宋_GB2312" w:eastAsia="仿宋_GB2312"/>
                <w:szCs w:val="21"/>
              </w:rPr>
              <w:t>0</w:t>
            </w:r>
            <w:r>
              <w:rPr>
                <w:rFonts w:hint="eastAsia" w:ascii="仿宋_GB2312" w:eastAsia="仿宋_GB2312"/>
                <w:szCs w:val="21"/>
                <w:lang w:val="en-US" w:eastAsia="zh-CN"/>
              </w:rPr>
              <w:t>%</w:t>
            </w:r>
          </w:p>
        </w:tc>
        <w:tc>
          <w:tcPr>
            <w:tcW w:w="1989" w:type="dxa"/>
            <w:vAlign w:val="center"/>
          </w:tcPr>
          <w:p>
            <w:pPr>
              <w:rPr>
                <w:rFonts w:ascii="仿宋_GB2312" w:eastAsia="仿宋_GB2312"/>
                <w:szCs w:val="21"/>
              </w:rPr>
            </w:pPr>
            <w:r>
              <w:rPr>
                <w:rFonts w:hint="eastAsia" w:ascii="仿宋_GB2312" w:eastAsia="仿宋_GB2312" w:hAnsiTheme="minorHAnsi" w:cstheme="minorBidi"/>
                <w:kern w:val="2"/>
                <w:szCs w:val="21"/>
                <w:lang w:val="en-US" w:eastAsia="zh-CN"/>
              </w:rPr>
              <w:t>个人投资者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rPr>
              <w:t>N＜7天</w:t>
            </w:r>
          </w:p>
        </w:tc>
        <w:tc>
          <w:tcPr>
            <w:tcW w:w="1754" w:type="dxa"/>
            <w:vAlign w:val="center"/>
          </w:tcPr>
          <w:p>
            <w:pPr>
              <w:rPr>
                <w:rFonts w:hint="eastAsia" w:ascii="仿宋_GB2312" w:eastAsia="仿宋_GB2312"/>
                <w:szCs w:val="21"/>
              </w:rPr>
            </w:pPr>
            <w:r>
              <w:rPr>
                <w:rFonts w:hint="eastAsia" w:ascii="仿宋_GB2312" w:eastAsia="仿宋_GB2312"/>
                <w:szCs w:val="21"/>
              </w:rPr>
              <w:t>1.5%</w:t>
            </w:r>
          </w:p>
        </w:tc>
        <w:tc>
          <w:tcPr>
            <w:tcW w:w="1989" w:type="dxa"/>
            <w:vAlign w:val="center"/>
          </w:tcPr>
          <w:p>
            <w:pPr>
              <w:rPr>
                <w:rFonts w:ascii="仿宋_GB2312" w:eastAsia="仿宋_GB2312"/>
                <w:szCs w:val="21"/>
              </w:rPr>
            </w:pPr>
            <w:r>
              <w:rPr>
                <w:rFonts w:hint="eastAsia" w:ascii="仿宋_GB2312" w:eastAsia="仿宋_GB2312" w:cstheme="minorBidi"/>
                <w:kern w:val="2"/>
                <w:szCs w:val="21"/>
                <w:lang w:val="en-US" w:eastAsia="zh-CN"/>
              </w:rPr>
              <w:t>机构</w:t>
            </w:r>
            <w:r>
              <w:rPr>
                <w:rFonts w:hint="eastAsia" w:ascii="仿宋_GB2312" w:eastAsia="仿宋_GB2312" w:hAnsiTheme="minorHAnsi" w:cstheme="minorBidi"/>
                <w:kern w:val="2"/>
                <w:szCs w:val="21"/>
                <w:lang w:val="en-US" w:eastAsia="zh-CN"/>
              </w:rPr>
              <w:t>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ascii="仿宋_GB2312" w:eastAsia="仿宋_GB2312"/>
                <w:szCs w:val="21"/>
              </w:rPr>
              <w:t>7</w:t>
            </w:r>
            <w:r>
              <w:rPr>
                <w:rFonts w:hint="eastAsia" w:ascii="仿宋_GB2312" w:eastAsia="仿宋_GB2312"/>
                <w:szCs w:val="21"/>
              </w:rPr>
              <w:t>天≤N＜</w:t>
            </w:r>
            <w:r>
              <w:rPr>
                <w:rFonts w:hint="eastAsia" w:ascii="仿宋_GB2312" w:eastAsia="仿宋_GB2312"/>
                <w:szCs w:val="21"/>
                <w:lang w:val="en-US" w:eastAsia="zh-CN"/>
              </w:rPr>
              <w:t>30</w:t>
            </w:r>
            <w:r>
              <w:rPr>
                <w:rFonts w:hint="eastAsia" w:ascii="仿宋_GB2312" w:eastAsia="仿宋_GB2312"/>
                <w:szCs w:val="21"/>
              </w:rPr>
              <w:t>天</w:t>
            </w:r>
          </w:p>
        </w:tc>
        <w:tc>
          <w:tcPr>
            <w:tcW w:w="1754" w:type="dxa"/>
            <w:vAlign w:val="center"/>
          </w:tcPr>
          <w:p>
            <w:pPr>
              <w:rPr>
                <w:rFonts w:hint="eastAsia" w:ascii="仿宋_GB2312" w:eastAsia="仿宋_GB2312"/>
                <w:szCs w:val="21"/>
              </w:rPr>
            </w:pPr>
            <w:r>
              <w:rPr>
                <w:rFonts w:hint="eastAsia" w:ascii="仿宋_GB2312" w:eastAsia="仿宋_GB2312"/>
                <w:szCs w:val="21"/>
              </w:rPr>
              <w:t>1.</w:t>
            </w:r>
            <w:r>
              <w:rPr>
                <w:rFonts w:hint="eastAsia" w:ascii="仿宋_GB2312" w:eastAsia="仿宋_GB2312"/>
                <w:szCs w:val="21"/>
                <w:lang w:val="en-US" w:eastAsia="zh-CN"/>
              </w:rPr>
              <w:t>0</w:t>
            </w:r>
            <w:r>
              <w:rPr>
                <w:rFonts w:hint="eastAsia" w:ascii="仿宋_GB2312" w:eastAsia="仿宋_GB2312"/>
                <w:szCs w:val="21"/>
              </w:rPr>
              <w:t>%</w:t>
            </w:r>
          </w:p>
        </w:tc>
        <w:tc>
          <w:tcPr>
            <w:tcW w:w="1989" w:type="dxa"/>
            <w:vAlign w:val="center"/>
          </w:tcPr>
          <w:p>
            <w:pPr>
              <w:rPr>
                <w:rFonts w:ascii="仿宋_GB2312" w:eastAsia="仿宋_GB2312"/>
                <w:szCs w:val="21"/>
              </w:rPr>
            </w:pPr>
            <w:r>
              <w:rPr>
                <w:rFonts w:hint="eastAsia" w:ascii="仿宋_GB2312" w:eastAsia="仿宋_GB2312" w:cstheme="minorBidi"/>
                <w:kern w:val="2"/>
                <w:szCs w:val="21"/>
                <w:lang w:val="en-US" w:eastAsia="zh-CN"/>
              </w:rPr>
              <w:t>机构</w:t>
            </w:r>
            <w:r>
              <w:rPr>
                <w:rFonts w:hint="eastAsia" w:ascii="仿宋_GB2312" w:eastAsia="仿宋_GB2312" w:hAnsiTheme="minorHAnsi" w:cstheme="minorBidi"/>
                <w:kern w:val="2"/>
                <w:szCs w:val="21"/>
                <w:lang w:val="en-US" w:eastAsia="zh-CN"/>
              </w:rPr>
              <w:t>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30</w:t>
            </w:r>
            <w:r>
              <w:rPr>
                <w:rFonts w:hint="eastAsia" w:ascii="仿宋_GB2312" w:eastAsia="仿宋_GB2312"/>
                <w:szCs w:val="21"/>
              </w:rPr>
              <w:t>天≤N＜</w:t>
            </w:r>
            <w:r>
              <w:rPr>
                <w:rFonts w:hint="eastAsia" w:ascii="仿宋_GB2312" w:eastAsia="仿宋_GB2312"/>
                <w:szCs w:val="21"/>
                <w:lang w:val="en-US" w:eastAsia="zh-CN"/>
              </w:rPr>
              <w:t>180</w:t>
            </w:r>
            <w:r>
              <w:rPr>
                <w:rFonts w:hint="eastAsia" w:ascii="仿宋_GB2312" w:eastAsia="仿宋_GB2312"/>
                <w:szCs w:val="21"/>
              </w:rPr>
              <w:t>天</w:t>
            </w:r>
          </w:p>
        </w:tc>
        <w:tc>
          <w:tcPr>
            <w:tcW w:w="1754" w:type="dxa"/>
            <w:vAlign w:val="center"/>
          </w:tcPr>
          <w:p>
            <w:pPr>
              <w:rPr>
                <w:rFonts w:hint="eastAsia" w:ascii="仿宋_GB2312" w:eastAsia="仿宋_GB2312"/>
                <w:szCs w:val="21"/>
              </w:rPr>
            </w:pPr>
            <w:r>
              <w:rPr>
                <w:rFonts w:hint="eastAsia" w:ascii="仿宋_GB2312" w:eastAsia="仿宋_GB2312"/>
                <w:szCs w:val="21"/>
                <w:lang w:val="en-US" w:eastAsia="zh-CN"/>
              </w:rPr>
              <w:t>0</w:t>
            </w:r>
            <w:r>
              <w:rPr>
                <w:rFonts w:hint="eastAsia" w:ascii="仿宋_GB2312" w:eastAsia="仿宋_GB2312"/>
                <w:szCs w:val="21"/>
              </w:rPr>
              <w:t>.5%</w:t>
            </w:r>
          </w:p>
        </w:tc>
        <w:tc>
          <w:tcPr>
            <w:tcW w:w="1989" w:type="dxa"/>
            <w:vAlign w:val="center"/>
          </w:tcPr>
          <w:p>
            <w:pPr>
              <w:rPr>
                <w:rFonts w:ascii="仿宋_GB2312" w:eastAsia="仿宋_GB2312"/>
                <w:szCs w:val="21"/>
              </w:rPr>
            </w:pPr>
            <w:r>
              <w:rPr>
                <w:rFonts w:hint="eastAsia" w:ascii="仿宋_GB2312" w:eastAsia="仿宋_GB2312" w:cstheme="minorBidi"/>
                <w:kern w:val="2"/>
                <w:szCs w:val="21"/>
                <w:lang w:val="en-US" w:eastAsia="zh-CN"/>
              </w:rPr>
              <w:t>机构</w:t>
            </w:r>
            <w:r>
              <w:rPr>
                <w:rFonts w:hint="eastAsia" w:ascii="仿宋_GB2312" w:eastAsia="仿宋_GB2312" w:hAnsiTheme="minorHAnsi" w:cstheme="minorBidi"/>
                <w:kern w:val="2"/>
                <w:szCs w:val="21"/>
                <w:lang w:val="en-US" w:eastAsia="zh-CN"/>
              </w:rPr>
              <w:t>投资者</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747" w:type="dxa"/>
            <w:vMerge w:val="continue"/>
            <w:vAlign w:val="center"/>
          </w:tcPr>
          <w:p>
            <w:pPr>
              <w:widowControl/>
              <w:jc w:val="left"/>
              <w:rPr>
                <w:rFonts w:ascii="仿宋_GB2312" w:hAnsi="宋体" w:eastAsia="仿宋_GB2312" w:cs="宋体"/>
                <w:kern w:val="0"/>
                <w:szCs w:val="21"/>
              </w:rPr>
            </w:pPr>
          </w:p>
        </w:tc>
        <w:tc>
          <w:tcPr>
            <w:tcW w:w="2818" w:type="dxa"/>
          </w:tcPr>
          <w:p>
            <w:pPr>
              <w:rPr>
                <w:rFonts w:ascii="仿宋_GB2312" w:eastAsia="仿宋_GB2312"/>
                <w:szCs w:val="21"/>
              </w:rPr>
            </w:pPr>
            <w:r>
              <w:rPr>
                <w:rFonts w:hint="eastAsia" w:ascii="仿宋_GB2312" w:eastAsia="仿宋_GB2312"/>
                <w:szCs w:val="21"/>
                <w:lang w:val="en-US" w:eastAsia="zh-CN"/>
              </w:rPr>
              <w:t>180</w:t>
            </w:r>
            <w:r>
              <w:rPr>
                <w:rFonts w:hint="eastAsia" w:ascii="仿宋_GB2312" w:eastAsia="仿宋_GB2312"/>
                <w:szCs w:val="21"/>
              </w:rPr>
              <w:t>天≤N</w:t>
            </w:r>
          </w:p>
        </w:tc>
        <w:tc>
          <w:tcPr>
            <w:tcW w:w="1754" w:type="dxa"/>
            <w:vAlign w:val="center"/>
          </w:tcPr>
          <w:p>
            <w:pPr>
              <w:rPr>
                <w:rFonts w:hint="default" w:ascii="仿宋_GB2312" w:eastAsia="仿宋_GB2312"/>
                <w:szCs w:val="21"/>
                <w:lang w:val="en-US" w:eastAsia="zh-CN"/>
              </w:rPr>
            </w:pPr>
            <w:r>
              <w:rPr>
                <w:rFonts w:hint="eastAsia" w:ascii="仿宋_GB2312" w:eastAsia="仿宋_GB2312"/>
                <w:szCs w:val="21"/>
                <w:lang w:val="en-US" w:eastAsia="zh-CN"/>
              </w:rPr>
              <w:t>0%</w:t>
            </w:r>
            <w:bookmarkStart w:id="0" w:name="_GoBack"/>
            <w:bookmarkEnd w:id="0"/>
          </w:p>
        </w:tc>
        <w:tc>
          <w:tcPr>
            <w:tcW w:w="1989" w:type="dxa"/>
            <w:vAlign w:val="center"/>
          </w:tcPr>
          <w:p>
            <w:pPr>
              <w:rPr>
                <w:rFonts w:ascii="仿宋_GB2312" w:eastAsia="仿宋_GB2312"/>
                <w:szCs w:val="21"/>
              </w:rPr>
            </w:pPr>
            <w:r>
              <w:rPr>
                <w:rFonts w:hint="eastAsia" w:ascii="仿宋_GB2312" w:eastAsia="仿宋_GB2312" w:cstheme="minorBidi"/>
                <w:kern w:val="2"/>
                <w:szCs w:val="21"/>
                <w:lang w:val="en-US" w:eastAsia="zh-CN"/>
              </w:rPr>
              <w:t>机构</w:t>
            </w:r>
            <w:r>
              <w:rPr>
                <w:rFonts w:hint="eastAsia" w:ascii="仿宋_GB2312" w:eastAsia="仿宋_GB2312" w:hAnsiTheme="minorHAnsi" w:cstheme="minorBidi"/>
                <w:kern w:val="2"/>
                <w:szCs w:val="21"/>
                <w:lang w:val="en-US" w:eastAsia="zh-CN"/>
              </w:rPr>
              <w:t>投资者</w:t>
            </w:r>
          </w:p>
        </w:tc>
      </w:tr>
    </w:tbl>
    <w:p>
      <w:pPr>
        <w:jc w:val="left"/>
        <w:rPr>
          <w:rFonts w:ascii="仿宋_GB2312" w:eastAsia="仿宋_GB2312"/>
          <w:szCs w:val="21"/>
        </w:rPr>
      </w:pPr>
      <w:r>
        <w:rPr>
          <w:rFonts w:hint="eastAsia" w:ascii="仿宋_GB2312" w:eastAsia="仿宋_GB2312"/>
          <w:szCs w:val="21"/>
        </w:rPr>
        <w:t>注：1、本基金对持续持有期少于7日的投资人收取1.5%的赎回费，请投资人予以关注。2、销售机构若有其他费率优惠请见基金管理人或其他销售机构的有关公告或通知。</w:t>
      </w:r>
    </w:p>
    <w:p>
      <w:pPr>
        <w:jc w:val="left"/>
        <w:rPr>
          <w:rFonts w:ascii="仿宋_GB2312" w:eastAsia="仿宋_GB2312"/>
          <w:b/>
          <w:szCs w:val="21"/>
        </w:rPr>
      </w:pPr>
      <w:r>
        <w:rPr>
          <w:rFonts w:hint="eastAsia" w:ascii="仿宋_GB2312" w:eastAsia="仿宋_GB2312"/>
          <w:b/>
          <w:szCs w:val="21"/>
        </w:rPr>
        <w:t>（二）基金运作相关费用</w:t>
      </w:r>
    </w:p>
    <w:p>
      <w:pPr>
        <w:jc w:val="left"/>
        <w:rPr>
          <w:rFonts w:ascii="仿宋_GB2312" w:hAnsi="宋体" w:eastAsia="仿宋_GB2312" w:cs="宋体"/>
          <w:kern w:val="0"/>
          <w:szCs w:val="21"/>
        </w:rPr>
      </w:pPr>
      <w:r>
        <w:rPr>
          <w:rFonts w:hint="eastAsia" w:ascii="仿宋_GB2312" w:hAnsi="宋体" w:eastAsia="仿宋_GB2312" w:cs="宋体"/>
          <w:kern w:val="0"/>
          <w:szCs w:val="21"/>
        </w:rPr>
        <w:t>以下费用将从基金资产中扣除：</w:t>
      </w:r>
    </w:p>
    <w:tbl>
      <w:tblPr>
        <w:tblStyle w:val="18"/>
        <w:tblW w:w="9403" w:type="dxa"/>
        <w:jc w:val="center"/>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Layout w:type="autofit"/>
        <w:tblCellMar>
          <w:top w:w="0" w:type="dxa"/>
          <w:left w:w="108" w:type="dxa"/>
          <w:bottom w:w="0" w:type="dxa"/>
          <w:right w:w="108" w:type="dxa"/>
        </w:tblCellMar>
      </w:tblPr>
      <w:tblGrid>
        <w:gridCol w:w="2400"/>
        <w:gridCol w:w="3935"/>
        <w:gridCol w:w="3068"/>
      </w:tblGrid>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b/>
                <w:kern w:val="0"/>
                <w:sz w:val="21"/>
                <w:szCs w:val="21"/>
              </w:rPr>
            </w:pPr>
            <w:r>
              <w:rPr>
                <w:rFonts w:hint="eastAsia" w:ascii="仿宋_GB2312" w:eastAsia="仿宋_GB2312"/>
                <w:b/>
                <w:kern w:val="0"/>
                <w:sz w:val="21"/>
                <w:szCs w:val="21"/>
              </w:rPr>
              <w:t>费用类别</w:t>
            </w:r>
          </w:p>
        </w:tc>
        <w:tc>
          <w:tcPr>
            <w:tcW w:w="3935" w:type="dxa"/>
            <w:vAlign w:val="center"/>
          </w:tcPr>
          <w:p>
            <w:pPr>
              <w:rPr>
                <w:rFonts w:ascii="仿宋_GB2312" w:eastAsia="仿宋_GB2312"/>
                <w:b/>
                <w:kern w:val="0"/>
                <w:sz w:val="21"/>
                <w:szCs w:val="21"/>
              </w:rPr>
            </w:pPr>
            <w:r>
              <w:rPr>
                <w:rFonts w:hint="eastAsia" w:ascii="仿宋_GB2312" w:hAnsi="宋体" w:eastAsia="仿宋_GB2312" w:cs="宋体"/>
                <w:b/>
                <w:kern w:val="0"/>
                <w:sz w:val="21"/>
                <w:szCs w:val="21"/>
              </w:rPr>
              <w:t>收费方式</w:t>
            </w:r>
            <w:r>
              <w:rPr>
                <w:rFonts w:hint="eastAsia" w:ascii="仿宋_GB2312" w:eastAsia="仿宋_GB2312" w:cs="FZFSJW--GB1-0"/>
                <w:b/>
                <w:kern w:val="0"/>
                <w:sz w:val="21"/>
                <w:szCs w:val="21"/>
              </w:rPr>
              <w:t>/</w:t>
            </w:r>
            <w:r>
              <w:rPr>
                <w:rFonts w:hint="eastAsia" w:ascii="仿宋_GB2312" w:hAnsi="宋体" w:eastAsia="仿宋_GB2312" w:cs="宋体"/>
                <w:b/>
                <w:kern w:val="0"/>
                <w:sz w:val="21"/>
                <w:szCs w:val="21"/>
              </w:rPr>
              <w:t>年费率或金额</w:t>
            </w:r>
          </w:p>
        </w:tc>
        <w:tc>
          <w:tcPr>
            <w:tcW w:w="3068" w:type="dxa"/>
            <w:vAlign w:val="center"/>
          </w:tcPr>
          <w:p>
            <w:pPr>
              <w:rPr>
                <w:rFonts w:ascii="仿宋_GB2312" w:hAnsi="宋体" w:eastAsia="仿宋_GB2312" w:cs="宋体"/>
                <w:b/>
                <w:kern w:val="0"/>
                <w:sz w:val="21"/>
                <w:szCs w:val="21"/>
              </w:rPr>
            </w:pPr>
            <w:r>
              <w:rPr>
                <w:rFonts w:hint="eastAsia" w:ascii="仿宋_GB2312" w:hAnsi="宋体" w:eastAsia="仿宋_GB2312" w:cs="宋体"/>
                <w:b/>
                <w:kern w:val="0"/>
                <w:sz w:val="21"/>
                <w:szCs w:val="21"/>
              </w:rPr>
              <w:t>收取方</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1"/>
                <w:szCs w:val="21"/>
              </w:rPr>
              <w:t>管理费</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0.</w:t>
            </w:r>
            <w:r>
              <w:rPr>
                <w:rFonts w:ascii="仿宋_GB2312" w:eastAsia="仿宋_GB2312"/>
                <w:kern w:val="0"/>
                <w:sz w:val="21"/>
                <w:szCs w:val="21"/>
              </w:rPr>
              <w:t>8</w:t>
            </w: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基金管理人和销售机构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1"/>
                <w:szCs w:val="21"/>
              </w:rPr>
              <w:t>托管费</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0.</w:t>
            </w:r>
            <w:r>
              <w:rPr>
                <w:rFonts w:ascii="仿宋_GB2312" w:eastAsia="仿宋_GB2312"/>
                <w:kern w:val="0"/>
                <w:sz w:val="21"/>
                <w:szCs w:val="21"/>
              </w:rPr>
              <w:t>15</w:t>
            </w: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基金托管人</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1"/>
                <w:szCs w:val="21"/>
              </w:rPr>
              <w:t>销售服务费</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0.</w:t>
            </w:r>
            <w:r>
              <w:rPr>
                <w:rFonts w:hint="eastAsia" w:ascii="仿宋_GB2312" w:eastAsia="仿宋_GB2312"/>
                <w:kern w:val="0"/>
                <w:sz w:val="21"/>
                <w:szCs w:val="21"/>
                <w:lang w:val="en-US" w:eastAsia="zh-CN"/>
              </w:rPr>
              <w:t>2</w:t>
            </w: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销售机构</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1"/>
                <w:szCs w:val="21"/>
              </w:rPr>
              <w:t>审计费用</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会计师事务所</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1"/>
                <w:szCs w:val="21"/>
              </w:rPr>
              <w:t>信息披露费</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规定披露报刊</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jc w:val="left"/>
              <w:rPr>
                <w:rFonts w:ascii="仿宋_GB2312" w:eastAsia="仿宋_GB2312"/>
                <w:kern w:val="0"/>
                <w:sz w:val="21"/>
                <w:szCs w:val="21"/>
              </w:rPr>
            </w:pPr>
            <w:r>
              <w:rPr>
                <w:rFonts w:hint="eastAsia" w:ascii="仿宋_GB2312" w:eastAsia="仿宋_GB2312"/>
                <w:kern w:val="0"/>
                <w:sz w:val="21"/>
                <w:szCs w:val="21"/>
              </w:rPr>
              <w:t>指数许可使用费</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w:t>
            </w:r>
          </w:p>
        </w:tc>
        <w:tc>
          <w:tcPr>
            <w:tcW w:w="3068" w:type="dxa"/>
            <w:vAlign w:val="center"/>
          </w:tcPr>
          <w:p>
            <w:pPr>
              <w:rPr>
                <w:rFonts w:ascii="仿宋_GB2312" w:eastAsia="仿宋_GB2312"/>
                <w:kern w:val="0"/>
                <w:sz w:val="21"/>
                <w:szCs w:val="21"/>
              </w:rPr>
            </w:pPr>
            <w:r>
              <w:rPr>
                <w:rFonts w:hint="eastAsia" w:ascii="仿宋_GB2312" w:eastAsia="仿宋_GB2312"/>
                <w:kern w:val="0"/>
                <w:sz w:val="21"/>
                <w:szCs w:val="21"/>
              </w:rPr>
              <w:t>指数编制公司</w:t>
            </w:r>
          </w:p>
        </w:tc>
      </w:tr>
      <w:tr>
        <w:tblPrEx>
          <w:tblBorders>
            <w:top w:val="single" w:color="auto" w:sz="8" w:space="0"/>
            <w:left w:val="none" w:color="auto" w:sz="0" w:space="0"/>
            <w:bottom w:val="single" w:color="auto" w:sz="8" w:space="0"/>
            <w:right w:val="none" w:color="auto" w:sz="0" w:space="0"/>
            <w:insideH w:val="single" w:color="A5A5A5" w:themeColor="background1" w:themeShade="A6" w:sz="6" w:space="0"/>
            <w:insideV w:val="none" w:color="auto" w:sz="0" w:space="0"/>
          </w:tblBorders>
          <w:tblCellMar>
            <w:top w:w="0" w:type="dxa"/>
            <w:left w:w="108" w:type="dxa"/>
            <w:bottom w:w="0" w:type="dxa"/>
            <w:right w:w="108" w:type="dxa"/>
          </w:tblCellMar>
        </w:tblPrEx>
        <w:trPr>
          <w:jc w:val="center"/>
        </w:trPr>
        <w:tc>
          <w:tcPr>
            <w:tcW w:w="2400" w:type="dxa"/>
          </w:tcPr>
          <w:p>
            <w:pPr>
              <w:rPr>
                <w:rFonts w:ascii="仿宋_GB2312" w:eastAsia="仿宋_GB2312"/>
                <w:kern w:val="0"/>
                <w:sz w:val="21"/>
                <w:szCs w:val="21"/>
              </w:rPr>
            </w:pPr>
            <w:r>
              <w:rPr>
                <w:rFonts w:hint="eastAsia" w:ascii="仿宋_GB2312" w:eastAsia="仿宋_GB2312"/>
                <w:kern w:val="0"/>
                <w:sz w:val="21"/>
                <w:szCs w:val="21"/>
              </w:rPr>
              <w:t>其他费用</w:t>
            </w:r>
          </w:p>
        </w:tc>
        <w:tc>
          <w:tcPr>
            <w:tcW w:w="3935" w:type="dxa"/>
            <w:vAlign w:val="center"/>
          </w:tcPr>
          <w:p>
            <w:pPr>
              <w:rPr>
                <w:rFonts w:ascii="仿宋_GB2312" w:eastAsia="仿宋_GB2312"/>
                <w:kern w:val="0"/>
                <w:sz w:val="21"/>
                <w:szCs w:val="21"/>
              </w:rPr>
            </w:pPr>
            <w:r>
              <w:rPr>
                <w:rFonts w:hint="eastAsia" w:ascii="仿宋_GB2312" w:eastAsia="仿宋_GB2312"/>
                <w:kern w:val="0"/>
                <w:sz w:val="21"/>
                <w:szCs w:val="21"/>
              </w:rPr>
              <w:t>详见本基金招募说明书“基金的费用与税收”部分</w:t>
            </w:r>
          </w:p>
        </w:tc>
        <w:tc>
          <w:tcPr>
            <w:tcW w:w="3068" w:type="dxa"/>
            <w:vAlign w:val="center"/>
          </w:tcPr>
          <w:p>
            <w:pPr>
              <w:rPr>
                <w:rFonts w:ascii="仿宋_GB2312" w:eastAsia="仿宋_GB2312"/>
                <w:kern w:val="0"/>
                <w:sz w:val="21"/>
                <w:szCs w:val="21"/>
              </w:rPr>
            </w:pPr>
          </w:p>
        </w:tc>
      </w:tr>
    </w:tbl>
    <w:p>
      <w:pPr>
        <w:jc w:val="left"/>
        <w:rPr>
          <w:rFonts w:ascii="仿宋_GB2312" w:eastAsia="仿宋_GB2312"/>
          <w:szCs w:val="21"/>
        </w:rPr>
      </w:pPr>
      <w:r>
        <w:rPr>
          <w:rFonts w:hint="eastAsia" w:ascii="仿宋_GB2312" w:eastAsia="仿宋_GB2312"/>
          <w:szCs w:val="21"/>
        </w:rPr>
        <w:t>注：</w:t>
      </w:r>
      <w:r>
        <w:rPr>
          <w:rFonts w:hint="eastAsia" w:ascii="仿宋_GB2312" w:eastAsia="仿宋_GB2312"/>
          <w:szCs w:val="21"/>
          <w:lang w:val="en-US" w:eastAsia="zh-CN"/>
        </w:rPr>
        <w:t>1、</w:t>
      </w:r>
      <w:r>
        <w:rPr>
          <w:rFonts w:hint="eastAsia" w:ascii="仿宋_GB2312" w:eastAsia="仿宋_GB2312"/>
          <w:szCs w:val="21"/>
        </w:rPr>
        <w:t>通过直销机构认购/申购的C类基金份额，计提的销售服务费将在投资人赎回相应基金份额或基金合同终止时随赎回款或清算款一并返还给投资人；通过其他销售机构认购/申购的C类基金份额，持续持有超过一年后计提的销售服务费将在投资人赎回相应基金份额或基金合同终止时随赎回款或清算款一并返还给投资人</w:t>
      </w:r>
      <w:r>
        <w:rPr>
          <w:rFonts w:hint="eastAsia" w:ascii="仿宋_GB2312" w:eastAsia="仿宋_GB2312"/>
          <w:szCs w:val="21"/>
          <w:lang w:eastAsia="zh-CN"/>
        </w:rPr>
        <w:t>。</w:t>
      </w:r>
      <w:r>
        <w:rPr>
          <w:rFonts w:hint="eastAsia" w:ascii="仿宋_GB2312" w:eastAsia="仿宋_GB2312"/>
          <w:szCs w:val="21"/>
          <w:lang w:val="en-US" w:eastAsia="zh-CN"/>
        </w:rPr>
        <w:t>2、</w:t>
      </w:r>
      <w:r>
        <w:rPr>
          <w:rFonts w:hint="eastAsia" w:ascii="仿宋_GB2312" w:eastAsia="仿宋_GB2312"/>
          <w:szCs w:val="21"/>
        </w:rPr>
        <w:t>本基金交易证券、基金等产生的费用和税负，按实际发生额从基金资产扣除。</w:t>
      </w:r>
    </w:p>
    <w:p>
      <w:pPr>
        <w:jc w:val="left"/>
        <w:rPr>
          <w:rFonts w:ascii="仿宋_GB2312" w:hAnsi="宋体" w:eastAsia="仿宋_GB2312" w:cs="宋体"/>
          <w:b/>
          <w:kern w:val="0"/>
          <w:szCs w:val="21"/>
        </w:rPr>
      </w:pPr>
      <w:r>
        <w:rPr>
          <w:rFonts w:hint="eastAsia" w:ascii="仿宋_GB2312" w:hAnsi="宋体" w:eastAsia="仿宋_GB2312" w:cs="宋体"/>
          <w:b/>
          <w:kern w:val="0"/>
          <w:szCs w:val="21"/>
        </w:rPr>
        <w:t>四、风险揭示与重要提示</w:t>
      </w:r>
    </w:p>
    <w:p>
      <w:pPr>
        <w:jc w:val="left"/>
        <w:rPr>
          <w:rFonts w:ascii="仿宋_GB2312" w:eastAsia="仿宋_GB2312"/>
          <w:b/>
          <w:szCs w:val="21"/>
        </w:rPr>
      </w:pPr>
      <w:r>
        <w:rPr>
          <w:rFonts w:hint="eastAsia" w:ascii="仿宋_GB2312" w:eastAsia="仿宋_GB2312"/>
          <w:b/>
          <w:szCs w:val="21"/>
        </w:rPr>
        <w:t>（一）风险揭示</w:t>
      </w:r>
    </w:p>
    <w:p>
      <w:pPr>
        <w:ind w:firstLine="420"/>
        <w:jc w:val="left"/>
        <w:rPr>
          <w:rFonts w:ascii="仿宋_GB2312" w:eastAsia="仿宋_GB2312"/>
          <w:szCs w:val="21"/>
        </w:rPr>
      </w:pPr>
      <w:r>
        <w:rPr>
          <w:rFonts w:hint="eastAsia" w:ascii="仿宋_GB2312" w:eastAsia="仿宋_GB2312"/>
          <w:szCs w:val="21"/>
        </w:rPr>
        <w:t>本基金不提供任何保证。投资者可能损失投资本金。</w:t>
      </w:r>
    </w:p>
    <w:p>
      <w:pPr>
        <w:ind w:firstLine="420"/>
        <w:jc w:val="left"/>
        <w:rPr>
          <w:rFonts w:ascii="仿宋_GB2312" w:eastAsia="仿宋_GB2312"/>
          <w:szCs w:val="21"/>
        </w:rPr>
      </w:pPr>
      <w:r>
        <w:rPr>
          <w:rFonts w:hint="eastAsia" w:ascii="仿宋_GB2312" w:eastAsia="仿宋_GB2312"/>
          <w:szCs w:val="21"/>
        </w:rPr>
        <w:t>投资有风险，投资者购买基金时应认真阅读本基金的《招募说明书》等销售文件。</w:t>
      </w:r>
    </w:p>
    <w:p>
      <w:pPr>
        <w:ind w:firstLine="420"/>
        <w:jc w:val="left"/>
        <w:rPr>
          <w:rFonts w:ascii="仿宋_GB2312" w:eastAsia="仿宋_GB2312"/>
          <w:szCs w:val="21"/>
        </w:rPr>
      </w:pPr>
      <w:r>
        <w:rPr>
          <w:rFonts w:hint="eastAsia" w:ascii="仿宋_GB2312" w:eastAsia="仿宋_GB2312"/>
          <w:szCs w:val="21"/>
        </w:rPr>
        <w:t>基金份额持有人须了解并承受以下风险：</w:t>
      </w:r>
    </w:p>
    <w:p>
      <w:pPr>
        <w:ind w:firstLine="420"/>
        <w:jc w:val="left"/>
        <w:rPr>
          <w:rFonts w:ascii="仿宋_GB2312" w:eastAsia="仿宋_GB2312"/>
          <w:szCs w:val="21"/>
        </w:rPr>
      </w:pPr>
      <w:r>
        <w:rPr>
          <w:rFonts w:hint="eastAsia" w:ascii="仿宋_GB2312" w:eastAsia="仿宋_GB2312"/>
          <w:szCs w:val="21"/>
        </w:rPr>
        <w:t>1、市场风险</w:t>
      </w:r>
    </w:p>
    <w:p>
      <w:pPr>
        <w:ind w:firstLine="420"/>
        <w:jc w:val="left"/>
        <w:rPr>
          <w:rFonts w:ascii="仿宋_GB2312" w:eastAsia="仿宋_GB2312"/>
          <w:szCs w:val="21"/>
        </w:rPr>
      </w:pPr>
      <w:r>
        <w:rPr>
          <w:rFonts w:hint="eastAsia" w:ascii="仿宋_GB2312" w:eastAsia="仿宋_GB2312"/>
          <w:szCs w:val="21"/>
        </w:rPr>
        <w:t>（1）政策风险、（2）经济周期风险、（3）利率风险、（4）上市公司经营风险、（5）购买力风险</w:t>
      </w:r>
    </w:p>
    <w:p>
      <w:pPr>
        <w:ind w:firstLine="420"/>
        <w:jc w:val="left"/>
        <w:rPr>
          <w:rFonts w:ascii="仿宋_GB2312" w:eastAsia="仿宋_GB2312"/>
          <w:szCs w:val="21"/>
        </w:rPr>
      </w:pPr>
      <w:r>
        <w:rPr>
          <w:rFonts w:hint="eastAsia" w:ascii="仿宋_GB2312" w:eastAsia="仿宋_GB2312"/>
          <w:szCs w:val="21"/>
        </w:rPr>
        <w:t>2、管理风险</w:t>
      </w:r>
    </w:p>
    <w:p>
      <w:pPr>
        <w:ind w:firstLine="420"/>
        <w:jc w:val="left"/>
        <w:rPr>
          <w:rFonts w:ascii="仿宋_GB2312" w:eastAsia="仿宋_GB2312"/>
          <w:szCs w:val="21"/>
        </w:rPr>
      </w:pPr>
      <w:r>
        <w:rPr>
          <w:rFonts w:hint="eastAsia" w:ascii="仿宋_GB2312" w:eastAsia="仿宋_GB2312"/>
          <w:szCs w:val="21"/>
        </w:rPr>
        <w:t>3、流动性风险</w:t>
      </w:r>
    </w:p>
    <w:p>
      <w:pPr>
        <w:ind w:firstLine="420"/>
        <w:jc w:val="left"/>
        <w:rPr>
          <w:rFonts w:ascii="仿宋_GB2312" w:eastAsia="仿宋_GB2312"/>
          <w:szCs w:val="21"/>
        </w:rPr>
      </w:pPr>
      <w:r>
        <w:rPr>
          <w:rFonts w:hint="eastAsia" w:ascii="仿宋_GB2312" w:eastAsia="仿宋_GB2312"/>
          <w:szCs w:val="21"/>
        </w:rPr>
        <w:t>4、信用风险</w:t>
      </w:r>
    </w:p>
    <w:p>
      <w:pPr>
        <w:ind w:firstLine="420"/>
        <w:jc w:val="left"/>
        <w:rPr>
          <w:rFonts w:ascii="仿宋_GB2312" w:eastAsia="仿宋_GB2312"/>
          <w:szCs w:val="21"/>
        </w:rPr>
      </w:pPr>
      <w:r>
        <w:rPr>
          <w:rFonts w:hint="eastAsia" w:ascii="仿宋_GB2312" w:eastAsia="仿宋_GB2312"/>
          <w:szCs w:val="21"/>
        </w:rPr>
        <w:t>5、本基金的特有风险</w:t>
      </w:r>
    </w:p>
    <w:p>
      <w:pPr>
        <w:ind w:firstLine="420"/>
        <w:jc w:val="left"/>
        <w:rPr>
          <w:rFonts w:ascii="仿宋_GB2312" w:eastAsia="仿宋_GB2312"/>
          <w:szCs w:val="21"/>
        </w:rPr>
      </w:pPr>
      <w:r>
        <w:rPr>
          <w:rFonts w:hint="eastAsia" w:ascii="仿宋_GB2312" w:eastAsia="仿宋_GB2312"/>
          <w:szCs w:val="21"/>
        </w:rPr>
        <w:t>（1）本基金为股票指数增强型基金，投资于股票（含存托凭证）占基金资产的比例不低于80%，其中投资于港股通标的股票的比例占股票资产的0%-50%；投资于中证A500指数成份股（含存托凭证）及备选成份股（含存托凭证）的比例不低于非现金基金资产的80%，因投资权益类资产而面临权益类资产市场的系统性风险和个股风险</w:t>
      </w:r>
    </w:p>
    <w:p>
      <w:pPr>
        <w:ind w:firstLine="420"/>
        <w:jc w:val="left"/>
        <w:rPr>
          <w:rFonts w:ascii="仿宋_GB2312" w:eastAsia="仿宋_GB2312"/>
          <w:szCs w:val="21"/>
        </w:rPr>
      </w:pPr>
      <w:r>
        <w:rPr>
          <w:rFonts w:hint="eastAsia" w:ascii="仿宋_GB2312" w:eastAsia="仿宋_GB2312"/>
          <w:szCs w:val="21"/>
        </w:rPr>
        <w:t>（2）标的指数回报与股票市场平均回报偏离的风险、（3）标的指数波动的风险、（4）基金投资组合回报与标的指数回报偏离及跟踪误差控制未达约定目标的风险、（5）指数编制机构停止服务的风险、（6）成份股停牌或退市的风险</w:t>
      </w:r>
    </w:p>
    <w:p>
      <w:pPr>
        <w:ind w:firstLine="420"/>
        <w:jc w:val="left"/>
        <w:rPr>
          <w:rFonts w:ascii="仿宋_GB2312" w:eastAsia="仿宋_GB2312"/>
          <w:szCs w:val="21"/>
        </w:rPr>
      </w:pPr>
      <w:r>
        <w:rPr>
          <w:rFonts w:hint="eastAsia" w:ascii="仿宋_GB2312" w:eastAsia="仿宋_GB2312"/>
          <w:szCs w:val="21"/>
        </w:rPr>
        <w:t>（7）本基金可投资创业板股票，创业板个股上市后的前五个交易日不设价格涨跌幅限制，第六个交易日开始涨跌幅限制比例为20%</w:t>
      </w:r>
    </w:p>
    <w:p>
      <w:pPr>
        <w:ind w:firstLine="420"/>
        <w:jc w:val="left"/>
        <w:rPr>
          <w:rFonts w:ascii="仿宋_GB2312" w:eastAsia="仿宋_GB2312"/>
          <w:szCs w:val="21"/>
        </w:rPr>
      </w:pPr>
      <w:r>
        <w:rPr>
          <w:rFonts w:hint="eastAsia" w:ascii="仿宋_GB2312" w:eastAsia="仿宋_GB2312"/>
          <w:szCs w:val="21"/>
        </w:rPr>
        <w:t>（8）投资港股通标的股票的特定风险</w:t>
      </w:r>
    </w:p>
    <w:p>
      <w:pPr>
        <w:ind w:firstLine="420"/>
        <w:jc w:val="left"/>
        <w:rPr>
          <w:rFonts w:ascii="仿宋_GB2312" w:eastAsia="仿宋_GB2312"/>
          <w:szCs w:val="21"/>
        </w:rPr>
      </w:pPr>
      <w:r>
        <w:rPr>
          <w:rFonts w:hint="eastAsia" w:ascii="仿宋_GB2312" w:eastAsia="仿宋_GB2312"/>
          <w:szCs w:val="21"/>
        </w:rPr>
        <w:t>本基金可投资港股通标的股票，会面临港股通机制下因投资环境、投资标的、市场制度以及交易规则等差异带来的特有风险，具体如下：1）港股交易失败风险2）汇率风险3）境外市场的风险4）本基金可根据投资策略需要或不同配置地市场环境的变化，选择将部分基金资产投资于港股通标的股票或选择不将基金资产投资于港股通标的股票，基金资产并非必然投资港股通标的股票。</w:t>
      </w:r>
    </w:p>
    <w:p>
      <w:pPr>
        <w:ind w:firstLine="420"/>
        <w:jc w:val="left"/>
        <w:rPr>
          <w:rFonts w:ascii="仿宋_GB2312" w:eastAsia="仿宋_GB2312"/>
          <w:szCs w:val="21"/>
        </w:rPr>
      </w:pPr>
      <w:r>
        <w:rPr>
          <w:rFonts w:hint="eastAsia" w:ascii="仿宋_GB2312" w:eastAsia="仿宋_GB2312"/>
          <w:szCs w:val="21"/>
        </w:rPr>
        <w:t>（9）投资股指期货的特定风险</w:t>
      </w:r>
    </w:p>
    <w:p>
      <w:pPr>
        <w:ind w:firstLine="420"/>
        <w:jc w:val="left"/>
        <w:rPr>
          <w:rFonts w:ascii="仿宋_GB2312" w:eastAsia="仿宋_GB2312"/>
          <w:szCs w:val="21"/>
        </w:rPr>
      </w:pPr>
      <w:r>
        <w:rPr>
          <w:rFonts w:hint="eastAsia" w:ascii="仿宋_GB2312" w:eastAsia="仿宋_GB2312"/>
          <w:szCs w:val="21"/>
        </w:rPr>
        <w:t>本基金可投资于股指期货，股指期货作为一种金融衍生品，其价值取决于一种或多种基础资产或指数，其评价主要源自于对挂钩资产的价格与价格波动的预期。投资股指期货所面临的风险主要是市场风险、流动性风险、基差风险、保证金风险、信用风险和操作风险。</w:t>
      </w:r>
    </w:p>
    <w:p>
      <w:pPr>
        <w:ind w:firstLine="420"/>
        <w:jc w:val="left"/>
        <w:rPr>
          <w:rFonts w:ascii="仿宋_GB2312" w:eastAsia="仿宋_GB2312"/>
          <w:szCs w:val="21"/>
        </w:rPr>
      </w:pPr>
      <w:r>
        <w:rPr>
          <w:rFonts w:hint="eastAsia" w:ascii="仿宋_GB2312" w:eastAsia="仿宋_GB2312"/>
          <w:szCs w:val="21"/>
        </w:rPr>
        <w:t>此外，由于衍生品通常具有杠杆效应，价格波动比标的工具更为剧烈，并且其定价相当复杂，不适当的估值也有可能使基金资产面临损失风险。</w:t>
      </w:r>
    </w:p>
    <w:p>
      <w:pPr>
        <w:ind w:firstLine="420"/>
        <w:jc w:val="left"/>
        <w:rPr>
          <w:rFonts w:ascii="仿宋_GB2312" w:eastAsia="仿宋_GB2312"/>
          <w:szCs w:val="21"/>
        </w:rPr>
      </w:pPr>
      <w:r>
        <w:rPr>
          <w:rFonts w:hint="eastAsia" w:ascii="仿宋_GB2312" w:eastAsia="仿宋_GB2312"/>
          <w:szCs w:val="21"/>
        </w:rPr>
        <w:t>（10）投资资产支持证券的特定风险</w:t>
      </w:r>
    </w:p>
    <w:p>
      <w:pPr>
        <w:ind w:firstLine="420"/>
        <w:jc w:val="left"/>
        <w:rPr>
          <w:rFonts w:ascii="仿宋_GB2312" w:eastAsia="仿宋_GB2312"/>
          <w:szCs w:val="21"/>
        </w:rPr>
      </w:pPr>
      <w:r>
        <w:rPr>
          <w:rFonts w:hint="eastAsia" w:ascii="仿宋_GB2312" w:eastAsia="仿宋_GB2312"/>
          <w:szCs w:val="21"/>
        </w:rPr>
        <w:t>本基金可投资资产支持证券，资产支持证券具有一定的价格波动风险、流动性风险、信用风险等风险，基金管理人将本着谨慎和控制风险的原则进行资产支持证券投资，请基金份额持有人关注包括投资资产支持证券可能导致的基金净值波动在内的各项风险。</w:t>
      </w:r>
    </w:p>
    <w:p>
      <w:pPr>
        <w:ind w:firstLine="420"/>
        <w:jc w:val="left"/>
        <w:rPr>
          <w:rFonts w:ascii="仿宋_GB2312" w:eastAsia="仿宋_GB2312"/>
          <w:szCs w:val="21"/>
        </w:rPr>
      </w:pPr>
      <w:r>
        <w:rPr>
          <w:rFonts w:hint="eastAsia" w:ascii="仿宋_GB2312" w:eastAsia="仿宋_GB2312"/>
          <w:szCs w:val="21"/>
        </w:rPr>
        <w:t>（11）投资流通受限证券的特定风险</w:t>
      </w:r>
    </w:p>
    <w:p>
      <w:pPr>
        <w:ind w:firstLine="420"/>
        <w:jc w:val="left"/>
        <w:rPr>
          <w:rFonts w:ascii="仿宋_GB2312" w:eastAsia="仿宋_GB2312"/>
          <w:szCs w:val="21"/>
        </w:rPr>
      </w:pPr>
      <w:r>
        <w:rPr>
          <w:rFonts w:hint="eastAsia" w:ascii="仿宋_GB2312" w:eastAsia="仿宋_GB2312"/>
          <w:szCs w:val="21"/>
        </w:rPr>
        <w:t>基金投资流动受限证券将面临证券市场流动性风险，主要表现在几个方面：基金建仓困难，或建仓成本很高；基金资产不能迅速转变成现金，或变现成本很高；不能应付可能出现的投资者大额赎回的风险；证券投资中个券和个股的流动性风险等。</w:t>
      </w:r>
    </w:p>
    <w:p>
      <w:pPr>
        <w:ind w:firstLine="420"/>
        <w:jc w:val="left"/>
        <w:rPr>
          <w:rFonts w:ascii="仿宋_GB2312" w:eastAsia="仿宋_GB2312"/>
          <w:szCs w:val="21"/>
        </w:rPr>
      </w:pPr>
      <w:r>
        <w:rPr>
          <w:rFonts w:hint="eastAsia" w:ascii="仿宋_GB2312" w:eastAsia="仿宋_GB2312"/>
          <w:szCs w:val="21"/>
        </w:rPr>
        <w:t>（12）投资存托凭证的特定风险</w:t>
      </w:r>
    </w:p>
    <w:p>
      <w:pPr>
        <w:ind w:firstLine="420"/>
        <w:jc w:val="left"/>
        <w:rPr>
          <w:rFonts w:ascii="仿宋_GB2312" w:eastAsia="仿宋_GB2312"/>
          <w:szCs w:val="21"/>
        </w:rPr>
      </w:pPr>
      <w:r>
        <w:rPr>
          <w:rFonts w:hint="eastAsia" w:ascii="仿宋_GB2312" w:eastAsia="仿宋_GB2312"/>
          <w:szCs w:val="21"/>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w:t>
      </w:r>
    </w:p>
    <w:p>
      <w:pPr>
        <w:ind w:firstLine="420"/>
        <w:jc w:val="left"/>
        <w:rPr>
          <w:rFonts w:ascii="仿宋_GB2312" w:eastAsia="仿宋_GB2312"/>
          <w:szCs w:val="21"/>
        </w:rPr>
      </w:pPr>
      <w:r>
        <w:rPr>
          <w:rFonts w:hint="eastAsia" w:ascii="仿宋_GB2312" w:eastAsia="仿宋_GB2312"/>
          <w:szCs w:val="21"/>
        </w:rPr>
        <w:t>具体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本基金可根据投资策略需要或市场环境的变化，选择将部分基金资产投资于存托凭证或选择不将基金资产投资于存托凭证，基金资产并非必然投资存托凭证。</w:t>
      </w:r>
    </w:p>
    <w:p>
      <w:pPr>
        <w:ind w:firstLine="420"/>
        <w:jc w:val="left"/>
        <w:rPr>
          <w:rFonts w:ascii="仿宋_GB2312" w:eastAsia="仿宋_GB2312"/>
          <w:szCs w:val="21"/>
        </w:rPr>
      </w:pPr>
      <w:r>
        <w:rPr>
          <w:rFonts w:hint="eastAsia" w:ascii="仿宋_GB2312" w:eastAsia="仿宋_GB2312"/>
          <w:szCs w:val="21"/>
        </w:rPr>
        <w:t>（13）投资科创板股票的特定风险</w:t>
      </w:r>
    </w:p>
    <w:p>
      <w:pPr>
        <w:ind w:firstLine="420"/>
        <w:jc w:val="left"/>
        <w:rPr>
          <w:rFonts w:ascii="仿宋_GB2312" w:eastAsia="仿宋_GB2312"/>
          <w:szCs w:val="21"/>
        </w:rPr>
      </w:pPr>
      <w:r>
        <w:rPr>
          <w:rFonts w:hint="eastAsia" w:ascii="仿宋_GB2312" w:eastAsia="仿宋_GB2312"/>
          <w:szCs w:val="21"/>
        </w:rPr>
        <w:t>本基金可根据投资策略需要或市场环境的变化，选择将部分基金资产投资于科创板股票或选择不将基金资产投资于科创板股票，基金资产并非必然投资于科创板股票。基金资产投资于科创板股票，会面临科创板机制下因投资标的、市场制度以及交易规则等差异带来的特有风险，包括但不限于市场风险、流动性风险、退市风险、系统性风险、政策风险等。</w:t>
      </w:r>
    </w:p>
    <w:p>
      <w:pPr>
        <w:ind w:firstLine="420"/>
        <w:jc w:val="left"/>
        <w:rPr>
          <w:rFonts w:ascii="仿宋_GB2312" w:eastAsia="仿宋_GB2312"/>
          <w:szCs w:val="21"/>
        </w:rPr>
      </w:pPr>
      <w:r>
        <w:rPr>
          <w:rFonts w:hint="eastAsia" w:ascii="仿宋_GB2312" w:eastAsia="仿宋_GB2312"/>
          <w:szCs w:val="21"/>
        </w:rPr>
        <w:t>（14）本基金参与融资业务的特定风险</w:t>
      </w:r>
    </w:p>
    <w:p>
      <w:pPr>
        <w:ind w:firstLine="420"/>
        <w:jc w:val="left"/>
        <w:rPr>
          <w:rFonts w:ascii="仿宋_GB2312" w:eastAsia="仿宋_GB2312"/>
          <w:szCs w:val="21"/>
        </w:rPr>
      </w:pPr>
      <w:r>
        <w:rPr>
          <w:rFonts w:hint="eastAsia" w:ascii="仿宋_GB2312" w:eastAsia="仿宋_GB2312"/>
          <w:szCs w:val="21"/>
        </w:rPr>
        <w:t>本基金可参与融资业务，面临的风险包括但不限于市场风险、流动性风险、信用风险等。</w:t>
      </w:r>
    </w:p>
    <w:p>
      <w:pPr>
        <w:ind w:firstLine="420"/>
        <w:jc w:val="left"/>
        <w:rPr>
          <w:rFonts w:ascii="仿宋_GB2312" w:eastAsia="仿宋_GB2312"/>
          <w:szCs w:val="21"/>
        </w:rPr>
      </w:pPr>
      <w:r>
        <w:rPr>
          <w:rFonts w:hint="eastAsia" w:ascii="仿宋_GB2312" w:eastAsia="仿宋_GB2312"/>
          <w:szCs w:val="21"/>
        </w:rPr>
        <w:t>（15）本基金参与转融通证券出借业务的特定风险</w:t>
      </w:r>
    </w:p>
    <w:p>
      <w:pPr>
        <w:ind w:firstLine="420"/>
        <w:jc w:val="left"/>
        <w:rPr>
          <w:rFonts w:ascii="仿宋_GB2312" w:eastAsia="仿宋_GB2312"/>
          <w:szCs w:val="21"/>
        </w:rPr>
      </w:pPr>
      <w:r>
        <w:rPr>
          <w:rFonts w:hint="eastAsia" w:ascii="仿宋_GB2312" w:eastAsia="仿宋_GB2312"/>
          <w:szCs w:val="21"/>
        </w:rPr>
        <w:t>本基金可参与转融通证券出借业务，面临的风险包括但不限于流动性风险、信用风险、市场风险、其他风险等。</w:t>
      </w:r>
    </w:p>
    <w:p>
      <w:pPr>
        <w:ind w:firstLine="420"/>
        <w:jc w:val="left"/>
        <w:rPr>
          <w:rFonts w:ascii="仿宋_GB2312" w:eastAsia="仿宋_GB2312"/>
          <w:szCs w:val="21"/>
        </w:rPr>
      </w:pPr>
      <w:r>
        <w:rPr>
          <w:rFonts w:hint="eastAsia" w:ascii="仿宋_GB2312" w:eastAsia="仿宋_GB2312"/>
          <w:szCs w:val="21"/>
        </w:rPr>
        <w:t>（16）基金合同提前终止风险</w:t>
      </w:r>
    </w:p>
    <w:p>
      <w:pPr>
        <w:ind w:firstLine="420"/>
        <w:jc w:val="left"/>
        <w:rPr>
          <w:rFonts w:ascii="仿宋_GB2312" w:eastAsia="仿宋_GB2312"/>
          <w:szCs w:val="21"/>
        </w:rPr>
      </w:pPr>
      <w:r>
        <w:rPr>
          <w:rFonts w:hint="eastAsia" w:ascii="仿宋_GB2312" w:eastAsia="仿宋_GB2312"/>
          <w:szCs w:val="21"/>
        </w:rPr>
        <w:t>本基金为发起式基金，《基金合同》生效之日起三年后的对应日，若基金资产净值低于2亿元，基金合同自动终止，且不得通过召开基金份额持有人大会的方式延续《基金合同》期限。因此，投资人可能面临基金合同提前终止的不确定性风险。</w:t>
      </w:r>
    </w:p>
    <w:p>
      <w:pPr>
        <w:ind w:firstLine="420"/>
        <w:jc w:val="left"/>
        <w:rPr>
          <w:rFonts w:ascii="仿宋_GB2312" w:eastAsia="仿宋_GB2312"/>
          <w:szCs w:val="21"/>
        </w:rPr>
      </w:pPr>
      <w:r>
        <w:rPr>
          <w:rFonts w:hint="eastAsia" w:ascii="仿宋_GB2312" w:eastAsia="仿宋_GB2312"/>
          <w:szCs w:val="21"/>
        </w:rPr>
        <w:t>（17）指数增强投资策略面临的风险</w:t>
      </w:r>
    </w:p>
    <w:p>
      <w:pPr>
        <w:jc w:val="left"/>
        <w:rPr>
          <w:rFonts w:ascii="仿宋_GB2312" w:eastAsia="仿宋_GB2312"/>
          <w:szCs w:val="21"/>
        </w:rPr>
      </w:pPr>
      <w:r>
        <w:rPr>
          <w:rFonts w:hint="eastAsia" w:ascii="仿宋_GB2312" w:eastAsia="仿宋_GB2312"/>
          <w:szCs w:val="21"/>
        </w:rPr>
        <w:t>本基金为指数增强基金，在一定的跟踪误差约束范围内，追求超越业绩比较基准的投资回报。为此，本基金可能在一定幅度内减少或增加部分标的指数成份股的投资比例，甚至从投资组合中剔除个别标的指数成份股，或在标的指数成份股之外进行投资。由于增强策略的表现存在不确定性，本基金进行增强投资的结果既可能超越业绩比较基准，也可能落后于业绩比较基准。</w:t>
      </w:r>
    </w:p>
    <w:p>
      <w:pPr>
        <w:ind w:firstLine="420"/>
        <w:jc w:val="left"/>
        <w:rPr>
          <w:rFonts w:ascii="仿宋_GB2312" w:eastAsia="仿宋_GB2312"/>
          <w:szCs w:val="21"/>
        </w:rPr>
      </w:pPr>
      <w:r>
        <w:rPr>
          <w:rFonts w:hint="eastAsia" w:ascii="仿宋_GB2312" w:eastAsia="仿宋_GB2312"/>
          <w:szCs w:val="21"/>
        </w:rPr>
        <w:t>（18）基金转型的风险</w:t>
      </w:r>
    </w:p>
    <w:p>
      <w:pPr>
        <w:ind w:firstLine="420"/>
        <w:jc w:val="left"/>
        <w:rPr>
          <w:rFonts w:ascii="仿宋_GB2312" w:eastAsia="仿宋_GB2312"/>
          <w:szCs w:val="21"/>
        </w:rPr>
      </w:pPr>
      <w:r>
        <w:rPr>
          <w:rFonts w:hint="eastAsia" w:ascii="仿宋_GB2312" w:eastAsia="仿宋_GB2312"/>
          <w:szCs w:val="21"/>
        </w:rPr>
        <w:t>若基金管理人注册并成立追踪同一标的指数的增强策略交易型开放式指数基金（ETF），本基金可变更为该ETF的联接基金。该联接基金将其绝大部分基金财产投资于跟踪同一标的指数的ETF。该联接基金具体投资范围及比例等将依据届时有效的法律法规或监管机构要求确定。以上变更需经基金管理人和基金托管人协商一致后修改基金合同，但不需召开基金份额持有人大会审议。因此，本基金存在自动转型的风险。</w:t>
      </w:r>
    </w:p>
    <w:p>
      <w:pPr>
        <w:ind w:firstLine="420"/>
        <w:jc w:val="left"/>
        <w:rPr>
          <w:rFonts w:ascii="仿宋_GB2312" w:eastAsia="仿宋_GB2312"/>
          <w:szCs w:val="21"/>
        </w:rPr>
      </w:pPr>
      <w:r>
        <w:rPr>
          <w:rFonts w:hint="eastAsia" w:ascii="仿宋_GB2312" w:eastAsia="仿宋_GB2312"/>
          <w:szCs w:val="21"/>
        </w:rPr>
        <w:t>6、本基金法律文件风险收益特征表述与销售机构基金风险评价可能不一致的风险</w:t>
      </w:r>
    </w:p>
    <w:p>
      <w:pPr>
        <w:ind w:firstLine="420"/>
        <w:jc w:val="left"/>
        <w:rPr>
          <w:rFonts w:ascii="仿宋_GB2312" w:eastAsia="仿宋_GB2312"/>
          <w:szCs w:val="21"/>
        </w:rPr>
      </w:pPr>
      <w:r>
        <w:rPr>
          <w:rFonts w:hint="eastAsia" w:ascii="仿宋_GB2312" w:eastAsia="仿宋_GB2312"/>
          <w:szCs w:val="21"/>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不同，因此销售机构的风险等级评价与基金法律文件中风险收益特征的表述可能存在不同，投资者在购买本基金时需按照销售机构的要求完成风险承受能力与产品风险之间的匹配检验。</w:t>
      </w:r>
    </w:p>
    <w:p>
      <w:pPr>
        <w:ind w:firstLine="420"/>
        <w:jc w:val="left"/>
        <w:rPr>
          <w:rFonts w:ascii="仿宋_GB2312" w:eastAsia="仿宋_GB2312"/>
          <w:szCs w:val="21"/>
        </w:rPr>
      </w:pPr>
      <w:r>
        <w:rPr>
          <w:rFonts w:hint="eastAsia" w:ascii="仿宋_GB2312" w:eastAsia="仿宋_GB2312"/>
          <w:szCs w:val="21"/>
        </w:rPr>
        <w:t>7、其他风险</w:t>
      </w:r>
    </w:p>
    <w:p>
      <w:pPr>
        <w:jc w:val="left"/>
        <w:rPr>
          <w:rFonts w:ascii="仿宋_GB2312" w:eastAsia="仿宋_GB2312"/>
          <w:b/>
          <w:szCs w:val="21"/>
        </w:rPr>
      </w:pPr>
      <w:r>
        <w:rPr>
          <w:rFonts w:hint="eastAsia" w:ascii="仿宋_GB2312" w:eastAsia="仿宋_GB2312"/>
          <w:b/>
          <w:szCs w:val="21"/>
        </w:rPr>
        <w:t>（二）重要提示</w:t>
      </w:r>
    </w:p>
    <w:p>
      <w:pPr>
        <w:ind w:firstLine="420"/>
        <w:jc w:val="left"/>
        <w:rPr>
          <w:rFonts w:ascii="仿宋_GB2312" w:eastAsia="仿宋_GB2312"/>
          <w:szCs w:val="21"/>
        </w:rPr>
      </w:pPr>
      <w:r>
        <w:rPr>
          <w:rFonts w:hint="eastAsia" w:ascii="仿宋_GB2312" w:eastAsia="仿宋_GB2312"/>
          <w:szCs w:val="21"/>
        </w:rPr>
        <w:t>中国证监会对本基金募集的核准或注册，并不表明其对本基金的价值和收益作出实质性判断或保证，也不表明投资于本基金没有风险。</w:t>
      </w:r>
    </w:p>
    <w:p>
      <w:pPr>
        <w:ind w:firstLine="420"/>
        <w:jc w:val="left"/>
        <w:rPr>
          <w:rFonts w:ascii="仿宋_GB2312" w:eastAsia="仿宋_GB2312"/>
          <w:szCs w:val="21"/>
        </w:rPr>
      </w:pPr>
      <w:r>
        <w:rPr>
          <w:rFonts w:hint="eastAsia" w:ascii="仿宋_GB2312" w:eastAsia="仿宋_GB2312"/>
          <w:szCs w:val="21"/>
        </w:rPr>
        <w:t>基金管理人依照恪尽职守、诚实信用、谨慎勤勉的原则管理和运用基金财产，但不保证基金一定盈利，也不保证最低收益。</w:t>
      </w:r>
    </w:p>
    <w:p>
      <w:pPr>
        <w:ind w:firstLine="420"/>
        <w:jc w:val="left"/>
        <w:rPr>
          <w:rFonts w:ascii="仿宋_GB2312" w:eastAsia="仿宋_GB2312"/>
          <w:szCs w:val="21"/>
        </w:rPr>
      </w:pPr>
      <w:r>
        <w:rPr>
          <w:rFonts w:hint="eastAsia" w:ascii="仿宋_GB2312" w:eastAsia="仿宋_GB2312"/>
          <w:szCs w:val="21"/>
        </w:rPr>
        <w:t>基金投资者自依基金合同取得基金份额，即成为基金份额持有人和基金合同的当事人，其持有基金份额的行为本身即表明其对基金合同的承认和接受。基金合同可在基金管理人网站（www.fund001.com）及中国证监会基金电子披露网站（http://eid.csrc.gov.cn/fund/index.html）获取，请阅读本基金法律文件后再进行认/申购等交易。</w:t>
      </w:r>
    </w:p>
    <w:p>
      <w:pPr>
        <w:ind w:firstLine="420"/>
        <w:jc w:val="left"/>
        <w:rPr>
          <w:rFonts w:ascii="仿宋_GB2312" w:eastAsia="仿宋_GB2312"/>
          <w:szCs w:val="21"/>
        </w:rPr>
      </w:pPr>
      <w:r>
        <w:rPr>
          <w:rFonts w:hint="eastAsia" w:ascii="仿宋_GB2312" w:eastAsia="仿宋_GB2312"/>
          <w:szCs w:val="21"/>
        </w:rPr>
        <w:t>销售机构的风险等级评价与基金法律文件中风险收益特征的表述可能存在不同，投资人在购买本基金时需按照销售机构的要求完成风险承受能力与产品风险之间的匹配检验。</w:t>
      </w:r>
    </w:p>
    <w:p>
      <w:pPr>
        <w:ind w:firstLine="420"/>
        <w:jc w:val="left"/>
        <w:rPr>
          <w:rFonts w:ascii="仿宋_GB2312" w:eastAsia="仿宋_GB2312"/>
          <w:b/>
          <w:szCs w:val="21"/>
        </w:rPr>
      </w:pPr>
      <w:r>
        <w:rPr>
          <w:rFonts w:hint="eastAsia" w:ascii="仿宋_GB2312" w:eastAsia="仿宋_GB2312"/>
          <w:b/>
          <w:szCs w:val="21"/>
        </w:rPr>
        <w:t>▲▲因基金合同而产生的或与基金合同有关的一切争议，如经友好协商未能解决的，任何一方均有权将争议提交中国国际经济贸易仲裁委员会，按其届时有效的仲裁规则进行仲裁。仲裁地点为北京市。</w:t>
      </w:r>
    </w:p>
    <w:p>
      <w:pPr>
        <w:ind w:firstLine="420"/>
        <w:jc w:val="left"/>
        <w:rPr>
          <w:rFonts w:ascii="仿宋_GB2312" w:eastAsia="仿宋_GB2312"/>
          <w:szCs w:val="21"/>
        </w:rPr>
      </w:pPr>
      <w:r>
        <w:rPr>
          <w:rFonts w:hint="eastAsia" w:ascii="仿宋_GB2312" w:eastAsia="仿宋_GB2312"/>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pPr>
        <w:jc w:val="left"/>
        <w:rPr>
          <w:rFonts w:ascii="仿宋_GB2312" w:eastAsia="仿宋_GB2312"/>
          <w:b/>
          <w:szCs w:val="21"/>
        </w:rPr>
      </w:pPr>
      <w:r>
        <w:rPr>
          <w:rFonts w:hint="eastAsia" w:ascii="仿宋_GB2312" w:eastAsia="仿宋_GB2312"/>
          <w:b/>
          <w:szCs w:val="21"/>
        </w:rPr>
        <w:t>五、其他资料查询方式</w:t>
      </w:r>
    </w:p>
    <w:p>
      <w:pPr>
        <w:ind w:firstLine="420"/>
        <w:jc w:val="left"/>
        <w:rPr>
          <w:rFonts w:ascii="仿宋_GB2312" w:eastAsia="仿宋_GB2312"/>
          <w:szCs w:val="21"/>
        </w:rPr>
      </w:pPr>
      <w:r>
        <w:rPr>
          <w:rFonts w:hint="eastAsia" w:ascii="仿宋_GB2312" w:eastAsia="仿宋_GB2312"/>
          <w:szCs w:val="21"/>
        </w:rPr>
        <w:t>以下资料详见交银施罗德基金官方网站[www.fund001.com][客服电话：400-700-5000]</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●《交银施罗德中证A500指数增强型发起式证券投资基金基金合同》、</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《交银施罗德中证A500指数增强型发起式证券投资基金托管协议》、</w:t>
      </w:r>
    </w:p>
    <w:p>
      <w:pPr>
        <w:ind w:firstLine="420"/>
        <w:jc w:val="left"/>
        <w:rPr>
          <w:rFonts w:ascii="仿宋_GB2312" w:eastAsia="仿宋_GB2312"/>
          <w:szCs w:val="21"/>
        </w:rPr>
      </w:pPr>
      <w:r>
        <w:rPr>
          <w:rFonts w:hint="eastAsia" w:ascii="仿宋_GB2312" w:eastAsia="仿宋_GB2312"/>
          <w:szCs w:val="21"/>
        </w:rPr>
        <w:t>《交银施罗德中证A500指数增强型发起式证券投资基金招募说明书》</w:t>
      </w:r>
    </w:p>
    <w:p>
      <w:pPr>
        <w:ind w:firstLine="420"/>
        <w:jc w:val="left"/>
        <w:rPr>
          <w:rFonts w:ascii="仿宋_GB2312" w:eastAsia="仿宋_GB2312"/>
          <w:szCs w:val="21"/>
        </w:rPr>
      </w:pPr>
      <w:r>
        <w:rPr>
          <w:rFonts w:hint="eastAsia" w:ascii="仿宋_GB2312" w:eastAsia="仿宋_GB2312"/>
          <w:szCs w:val="21"/>
        </w:rPr>
        <w:t>●定期报告，包括基金季度报告、中期报告和年度报告</w:t>
      </w:r>
    </w:p>
    <w:p>
      <w:pPr>
        <w:ind w:firstLine="420"/>
        <w:jc w:val="left"/>
        <w:rPr>
          <w:rFonts w:ascii="仿宋_GB2312" w:eastAsia="仿宋_GB2312"/>
          <w:szCs w:val="21"/>
        </w:rPr>
      </w:pPr>
      <w:r>
        <w:rPr>
          <w:rFonts w:hint="eastAsia" w:ascii="仿宋_GB2312" w:eastAsia="仿宋_GB2312"/>
          <w:szCs w:val="21"/>
        </w:rPr>
        <w:t>●基金份额净值</w:t>
      </w:r>
    </w:p>
    <w:p>
      <w:pPr>
        <w:ind w:firstLine="420"/>
        <w:jc w:val="left"/>
        <w:rPr>
          <w:rFonts w:ascii="仿宋_GB2312" w:eastAsia="仿宋_GB2312"/>
          <w:szCs w:val="21"/>
        </w:rPr>
      </w:pPr>
      <w:r>
        <w:rPr>
          <w:rFonts w:hint="eastAsia" w:ascii="仿宋_GB2312" w:eastAsia="仿宋_GB2312"/>
          <w:szCs w:val="21"/>
        </w:rPr>
        <w:t>●基金销售机构及联系方式</w:t>
      </w:r>
    </w:p>
    <w:p>
      <w:pPr>
        <w:ind w:firstLine="420"/>
        <w:jc w:val="left"/>
        <w:rPr>
          <w:rFonts w:ascii="仿宋_GB2312" w:eastAsia="仿宋_GB2312"/>
          <w:b/>
          <w:szCs w:val="21"/>
        </w:rPr>
      </w:pPr>
      <w:r>
        <w:rPr>
          <w:rFonts w:hint="eastAsia" w:ascii="仿宋_GB2312" w:eastAsia="仿宋_GB2312"/>
          <w:szCs w:val="21"/>
        </w:rPr>
        <w:t>●其他重要资料</w:t>
      </w:r>
    </w:p>
    <w:p>
      <w:pPr>
        <w:jc w:val="left"/>
        <w:rPr>
          <w:rFonts w:ascii="仿宋_GB2312" w:eastAsia="仿宋_GB2312"/>
          <w:b/>
          <w:szCs w:val="21"/>
        </w:rPr>
      </w:pPr>
      <w:r>
        <w:rPr>
          <w:rFonts w:hint="eastAsia" w:ascii="仿宋_GB2312" w:eastAsia="仿宋_GB2312"/>
          <w:b/>
          <w:szCs w:val="21"/>
        </w:rPr>
        <w:t>六、其他情况说明</w:t>
      </w:r>
    </w:p>
    <w:p>
      <w:pPr>
        <w:ind w:firstLine="420"/>
        <w:jc w:val="left"/>
        <w:rPr>
          <w:rFonts w:ascii="仿宋_GB2312" w:eastAsia="仿宋_GB2312"/>
          <w:szCs w:val="21"/>
        </w:rPr>
      </w:pPr>
      <w:r>
        <w:rPr>
          <w:rFonts w:hint="eastAsia" w:ascii="仿宋_GB2312" w:eastAsia="仿宋_GB2312"/>
          <w:szCs w:val="21"/>
        </w:rPr>
        <w:t>无。</w:t>
      </w:r>
    </w:p>
    <w:p/>
    <w:sectPr>
      <w:pgSz w:w="11906" w:h="16838"/>
      <w:pgMar w:top="720" w:right="720" w:bottom="720" w:left="72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FZHTJW--GB1-0">
    <w:altName w:val="Segoe Print"/>
    <w:panose1 w:val="00000000000000000000"/>
    <w:charset w:val="00"/>
    <w:family w:val="roman"/>
    <w:pitch w:val="default"/>
    <w:sig w:usb0="00000000" w:usb1="00000000" w:usb2="00000000" w:usb3="00000000" w:csb0="00000000" w:csb1="00000000"/>
  </w:font>
  <w:font w:name="FZFSJW--GB1-0">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210"/>
    <w:rsid w:val="00004AC5"/>
    <w:rsid w:val="00015CE1"/>
    <w:rsid w:val="00027641"/>
    <w:rsid w:val="0003094B"/>
    <w:rsid w:val="00031810"/>
    <w:rsid w:val="00031C1D"/>
    <w:rsid w:val="0004082D"/>
    <w:rsid w:val="000467D2"/>
    <w:rsid w:val="00086EFE"/>
    <w:rsid w:val="00094816"/>
    <w:rsid w:val="000B39BD"/>
    <w:rsid w:val="0010357F"/>
    <w:rsid w:val="001048E3"/>
    <w:rsid w:val="00104F4A"/>
    <w:rsid w:val="00115412"/>
    <w:rsid w:val="00131F08"/>
    <w:rsid w:val="00132751"/>
    <w:rsid w:val="00132E4C"/>
    <w:rsid w:val="00135CCA"/>
    <w:rsid w:val="00150D9B"/>
    <w:rsid w:val="001719B2"/>
    <w:rsid w:val="00187932"/>
    <w:rsid w:val="0019752C"/>
    <w:rsid w:val="001A4B2C"/>
    <w:rsid w:val="001C4CEF"/>
    <w:rsid w:val="001C6B53"/>
    <w:rsid w:val="001E402A"/>
    <w:rsid w:val="0022040C"/>
    <w:rsid w:val="002274C1"/>
    <w:rsid w:val="00265419"/>
    <w:rsid w:val="002818F6"/>
    <w:rsid w:val="00283CC4"/>
    <w:rsid w:val="00287210"/>
    <w:rsid w:val="002A53DA"/>
    <w:rsid w:val="002A68E6"/>
    <w:rsid w:val="002B5C68"/>
    <w:rsid w:val="002C018A"/>
    <w:rsid w:val="002F5DBC"/>
    <w:rsid w:val="00304DF3"/>
    <w:rsid w:val="00306A70"/>
    <w:rsid w:val="00335FE8"/>
    <w:rsid w:val="00344E6D"/>
    <w:rsid w:val="003A0BAB"/>
    <w:rsid w:val="003B2C6F"/>
    <w:rsid w:val="003D5B40"/>
    <w:rsid w:val="003E12EF"/>
    <w:rsid w:val="003E4D99"/>
    <w:rsid w:val="003E751E"/>
    <w:rsid w:val="00401C56"/>
    <w:rsid w:val="00415B8D"/>
    <w:rsid w:val="00420395"/>
    <w:rsid w:val="00445B27"/>
    <w:rsid w:val="00447692"/>
    <w:rsid w:val="00460EF0"/>
    <w:rsid w:val="0046676F"/>
    <w:rsid w:val="00472678"/>
    <w:rsid w:val="004769F7"/>
    <w:rsid w:val="004A275D"/>
    <w:rsid w:val="004A6192"/>
    <w:rsid w:val="004B2444"/>
    <w:rsid w:val="00511B6C"/>
    <w:rsid w:val="0054116F"/>
    <w:rsid w:val="005740DA"/>
    <w:rsid w:val="00585DE8"/>
    <w:rsid w:val="005A0F68"/>
    <w:rsid w:val="005D2DFB"/>
    <w:rsid w:val="005F251B"/>
    <w:rsid w:val="005F28D3"/>
    <w:rsid w:val="005F5E8B"/>
    <w:rsid w:val="00603826"/>
    <w:rsid w:val="006123BD"/>
    <w:rsid w:val="00613970"/>
    <w:rsid w:val="006240B9"/>
    <w:rsid w:val="00627DC3"/>
    <w:rsid w:val="00647B00"/>
    <w:rsid w:val="006626F4"/>
    <w:rsid w:val="00664666"/>
    <w:rsid w:val="0067177D"/>
    <w:rsid w:val="00676A17"/>
    <w:rsid w:val="006843F5"/>
    <w:rsid w:val="006A53E7"/>
    <w:rsid w:val="006B0163"/>
    <w:rsid w:val="006B20E7"/>
    <w:rsid w:val="006C56AE"/>
    <w:rsid w:val="006D2CAE"/>
    <w:rsid w:val="007061C5"/>
    <w:rsid w:val="00706CB3"/>
    <w:rsid w:val="00751183"/>
    <w:rsid w:val="00763CBF"/>
    <w:rsid w:val="00773FA4"/>
    <w:rsid w:val="0079040F"/>
    <w:rsid w:val="007A4D32"/>
    <w:rsid w:val="007A64C5"/>
    <w:rsid w:val="007A6A49"/>
    <w:rsid w:val="007B3243"/>
    <w:rsid w:val="007C024B"/>
    <w:rsid w:val="007C09CE"/>
    <w:rsid w:val="007C4712"/>
    <w:rsid w:val="007D5D8F"/>
    <w:rsid w:val="00811168"/>
    <w:rsid w:val="00842F79"/>
    <w:rsid w:val="00846EFA"/>
    <w:rsid w:val="0085171B"/>
    <w:rsid w:val="00852FBD"/>
    <w:rsid w:val="008532AC"/>
    <w:rsid w:val="008554B4"/>
    <w:rsid w:val="00865AE8"/>
    <w:rsid w:val="00870238"/>
    <w:rsid w:val="00872FDE"/>
    <w:rsid w:val="00880454"/>
    <w:rsid w:val="008A35FC"/>
    <w:rsid w:val="008A6FA6"/>
    <w:rsid w:val="008E613F"/>
    <w:rsid w:val="00902522"/>
    <w:rsid w:val="0090269C"/>
    <w:rsid w:val="0090664C"/>
    <w:rsid w:val="00922A7A"/>
    <w:rsid w:val="00935B16"/>
    <w:rsid w:val="00936B34"/>
    <w:rsid w:val="00941217"/>
    <w:rsid w:val="009455F1"/>
    <w:rsid w:val="00957CA8"/>
    <w:rsid w:val="00960258"/>
    <w:rsid w:val="009672CB"/>
    <w:rsid w:val="009728DC"/>
    <w:rsid w:val="009753FE"/>
    <w:rsid w:val="0098146B"/>
    <w:rsid w:val="009839C3"/>
    <w:rsid w:val="00986AB1"/>
    <w:rsid w:val="009B79A5"/>
    <w:rsid w:val="009C0C41"/>
    <w:rsid w:val="009C4152"/>
    <w:rsid w:val="009C482C"/>
    <w:rsid w:val="009E1915"/>
    <w:rsid w:val="009F4EAE"/>
    <w:rsid w:val="00A43306"/>
    <w:rsid w:val="00A50F85"/>
    <w:rsid w:val="00A61F12"/>
    <w:rsid w:val="00A650AB"/>
    <w:rsid w:val="00A746DD"/>
    <w:rsid w:val="00A86984"/>
    <w:rsid w:val="00A9686F"/>
    <w:rsid w:val="00AA793B"/>
    <w:rsid w:val="00AB59CB"/>
    <w:rsid w:val="00AD366F"/>
    <w:rsid w:val="00AE6B0A"/>
    <w:rsid w:val="00AF4707"/>
    <w:rsid w:val="00AF7A1E"/>
    <w:rsid w:val="00B01440"/>
    <w:rsid w:val="00B1632A"/>
    <w:rsid w:val="00B42992"/>
    <w:rsid w:val="00B62295"/>
    <w:rsid w:val="00B65D47"/>
    <w:rsid w:val="00B95FA9"/>
    <w:rsid w:val="00BC1ED1"/>
    <w:rsid w:val="00BD5285"/>
    <w:rsid w:val="00BE71B2"/>
    <w:rsid w:val="00BE7D33"/>
    <w:rsid w:val="00C0525C"/>
    <w:rsid w:val="00C1039F"/>
    <w:rsid w:val="00C11E96"/>
    <w:rsid w:val="00C14EAF"/>
    <w:rsid w:val="00C60115"/>
    <w:rsid w:val="00C759AC"/>
    <w:rsid w:val="00C820D3"/>
    <w:rsid w:val="00C969F5"/>
    <w:rsid w:val="00C96D7D"/>
    <w:rsid w:val="00CB2D48"/>
    <w:rsid w:val="00CB6F2E"/>
    <w:rsid w:val="00CD4687"/>
    <w:rsid w:val="00CD7637"/>
    <w:rsid w:val="00D04A15"/>
    <w:rsid w:val="00D17BD0"/>
    <w:rsid w:val="00D36E4E"/>
    <w:rsid w:val="00D373CC"/>
    <w:rsid w:val="00D451C4"/>
    <w:rsid w:val="00D5231B"/>
    <w:rsid w:val="00D55424"/>
    <w:rsid w:val="00D63078"/>
    <w:rsid w:val="00D7183A"/>
    <w:rsid w:val="00D84F60"/>
    <w:rsid w:val="00DA0743"/>
    <w:rsid w:val="00DB319C"/>
    <w:rsid w:val="00DE1B8D"/>
    <w:rsid w:val="00DE3758"/>
    <w:rsid w:val="00DE5F13"/>
    <w:rsid w:val="00E026D8"/>
    <w:rsid w:val="00E03B26"/>
    <w:rsid w:val="00E16DB6"/>
    <w:rsid w:val="00E33F6C"/>
    <w:rsid w:val="00E4719D"/>
    <w:rsid w:val="00E51B6D"/>
    <w:rsid w:val="00E53FE6"/>
    <w:rsid w:val="00E618FF"/>
    <w:rsid w:val="00E62BCE"/>
    <w:rsid w:val="00E82DB6"/>
    <w:rsid w:val="00ED4DB6"/>
    <w:rsid w:val="00EE19BF"/>
    <w:rsid w:val="00F25478"/>
    <w:rsid w:val="00F34B15"/>
    <w:rsid w:val="00F55264"/>
    <w:rsid w:val="00F66F6F"/>
    <w:rsid w:val="00F67C6F"/>
    <w:rsid w:val="00F72F11"/>
    <w:rsid w:val="00F75715"/>
    <w:rsid w:val="00F7723B"/>
    <w:rsid w:val="00F811C4"/>
    <w:rsid w:val="00FA2C18"/>
    <w:rsid w:val="00FA5FCF"/>
    <w:rsid w:val="00FB59BF"/>
    <w:rsid w:val="00FB61B2"/>
    <w:rsid w:val="00FB6C8A"/>
    <w:rsid w:val="00FC2918"/>
    <w:rsid w:val="00FC366C"/>
    <w:rsid w:val="00FD4DFD"/>
    <w:rsid w:val="00FD5AE0"/>
    <w:rsid w:val="00FE0DF6"/>
    <w:rsid w:val="00FE2924"/>
    <w:rsid w:val="078F6575"/>
    <w:rsid w:val="07E35FAE"/>
    <w:rsid w:val="0C4B6665"/>
    <w:rsid w:val="0F4D51C5"/>
    <w:rsid w:val="147609B2"/>
    <w:rsid w:val="18DC01A9"/>
    <w:rsid w:val="1FAC0615"/>
    <w:rsid w:val="34B30380"/>
    <w:rsid w:val="42FD6F75"/>
    <w:rsid w:val="4FAF3F45"/>
    <w:rsid w:val="55511B3C"/>
    <w:rsid w:val="6B6A5EBC"/>
    <w:rsid w:val="70B5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18">
    <w:name w:val="网格型1"/>
    <w:basedOn w:val="7"/>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869</Words>
  <Characters>4959</Characters>
  <Lines>41</Lines>
  <Paragraphs>11</Paragraphs>
  <TotalTime>5</TotalTime>
  <ScaleCrop>false</ScaleCrop>
  <LinksUpToDate>false</LinksUpToDate>
  <CharactersWithSpaces>5817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2024-12-14T11:44:00Z</dcterms:created>
  <dc:creator>Cc</dc:creator>
  <cp:lastModifiedBy>haotingting</cp:lastModifiedBy>
  <dcterms:modified xsi:type="dcterms:W3CDTF">2026-01-14T08:50:09Z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043305A073D145F1A0CE7E0375586A91</vt:lpwstr>
  </property>
</Properties>
</file>