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8673A0" w14:textId="77777777" w:rsidR="00F27890" w:rsidRDefault="00F27890">
      <w:pPr>
        <w:rPr>
          <w:sz w:val="32"/>
        </w:rPr>
      </w:pPr>
    </w:p>
    <w:p w14:paraId="690EA5C0" w14:textId="77777777" w:rsidR="00F27890" w:rsidRDefault="00F27890">
      <w:pPr>
        <w:rPr>
          <w:sz w:val="32"/>
        </w:rPr>
      </w:pPr>
    </w:p>
    <w:p w14:paraId="71F9B4C7" w14:textId="77777777" w:rsidR="00F27890" w:rsidRDefault="00F27890">
      <w:pPr>
        <w:rPr>
          <w:sz w:val="32"/>
        </w:rPr>
      </w:pPr>
    </w:p>
    <w:p w14:paraId="13992411" w14:textId="77777777" w:rsidR="00F27890" w:rsidRDefault="00182014">
      <w:pPr>
        <w:jc w:val="center"/>
        <w:rPr>
          <w:sz w:val="32"/>
        </w:rPr>
      </w:pPr>
      <w:r>
        <w:rPr>
          <w:noProof/>
        </w:rPr>
        <w:pict w14:anchorId="179A99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logo1" style="width:342pt;height:45pt;visibility:visible;mso-wrap-style:square">
            <v:imagedata r:id="rId9" o:title="logo1"/>
          </v:shape>
        </w:pict>
      </w:r>
    </w:p>
    <w:p w14:paraId="750957B2" w14:textId="77777777" w:rsidR="00F27890" w:rsidRDefault="00F27890">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14:paraId="0276385C" w14:textId="77777777" w:rsidR="00F27890" w:rsidRDefault="00F27890">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14:paraId="0C5CDC18" w14:textId="77777777" w:rsidR="00F27890" w:rsidRDefault="00027971">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交银施罗德可转债债券型证券投资基金</w:t>
      </w:r>
    </w:p>
    <w:p w14:paraId="617440D0" w14:textId="77777777" w:rsidR="00F27890" w:rsidRDefault="00027971">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14:paraId="43E74FF5" w14:textId="77777777" w:rsidR="00F27890" w:rsidRDefault="00F27890">
      <w:pPr>
        <w:snapToGrid w:val="0"/>
        <w:spacing w:line="360" w:lineRule="auto"/>
        <w:jc w:val="center"/>
        <w:rPr>
          <w:rFonts w:ascii="宋体" w:hAnsi="宋体"/>
          <w:b/>
          <w:sz w:val="30"/>
          <w:szCs w:val="30"/>
        </w:rPr>
      </w:pPr>
    </w:p>
    <w:p w14:paraId="1BF343D8" w14:textId="77777777" w:rsidR="00F27890" w:rsidRDefault="00F27890">
      <w:pPr>
        <w:autoSpaceDE w:val="0"/>
        <w:autoSpaceDN w:val="0"/>
        <w:adjustRightInd w:val="0"/>
        <w:snapToGrid w:val="0"/>
        <w:spacing w:line="360" w:lineRule="auto"/>
        <w:ind w:rightChars="6" w:right="13"/>
        <w:jc w:val="center"/>
        <w:rPr>
          <w:rFonts w:ascii="宋体" w:hAnsi="宋体"/>
          <w:spacing w:val="2"/>
          <w:w w:val="99"/>
          <w:kern w:val="0"/>
          <w:sz w:val="32"/>
          <w:szCs w:val="32"/>
        </w:rPr>
      </w:pPr>
    </w:p>
    <w:p w14:paraId="5E7E8724" w14:textId="77777777" w:rsidR="00F27890" w:rsidRDefault="00F27890">
      <w:pPr>
        <w:autoSpaceDE w:val="0"/>
        <w:autoSpaceDN w:val="0"/>
        <w:adjustRightInd w:val="0"/>
        <w:snapToGrid w:val="0"/>
        <w:spacing w:line="360" w:lineRule="auto"/>
        <w:ind w:rightChars="6" w:right="13"/>
        <w:jc w:val="center"/>
        <w:rPr>
          <w:rFonts w:ascii="宋体" w:hAnsi="宋体"/>
          <w:spacing w:val="2"/>
          <w:w w:val="99"/>
          <w:kern w:val="0"/>
          <w:sz w:val="32"/>
          <w:szCs w:val="32"/>
        </w:rPr>
      </w:pPr>
    </w:p>
    <w:p w14:paraId="37134978" w14:textId="77777777" w:rsidR="00F27890" w:rsidRDefault="00F27890">
      <w:pPr>
        <w:autoSpaceDE w:val="0"/>
        <w:autoSpaceDN w:val="0"/>
        <w:adjustRightInd w:val="0"/>
        <w:snapToGrid w:val="0"/>
        <w:spacing w:line="360" w:lineRule="auto"/>
        <w:ind w:rightChars="6" w:right="13"/>
        <w:jc w:val="center"/>
        <w:rPr>
          <w:rFonts w:ascii="宋体" w:hAnsi="宋体"/>
          <w:spacing w:val="2"/>
          <w:w w:val="99"/>
          <w:kern w:val="0"/>
          <w:sz w:val="32"/>
          <w:szCs w:val="32"/>
        </w:rPr>
      </w:pPr>
    </w:p>
    <w:p w14:paraId="79F64ED1" w14:textId="77777777" w:rsidR="00F27890" w:rsidRDefault="00F27890">
      <w:pPr>
        <w:autoSpaceDE w:val="0"/>
        <w:autoSpaceDN w:val="0"/>
        <w:adjustRightInd w:val="0"/>
        <w:snapToGrid w:val="0"/>
        <w:spacing w:line="360" w:lineRule="auto"/>
        <w:ind w:rightChars="6" w:right="13"/>
        <w:jc w:val="center"/>
        <w:rPr>
          <w:rFonts w:ascii="宋体" w:hAnsi="宋体"/>
          <w:spacing w:val="2"/>
          <w:w w:val="99"/>
          <w:kern w:val="0"/>
          <w:sz w:val="32"/>
          <w:szCs w:val="32"/>
        </w:rPr>
      </w:pPr>
    </w:p>
    <w:p w14:paraId="793A9A0A" w14:textId="77777777" w:rsidR="00F27890" w:rsidRDefault="00F27890">
      <w:pPr>
        <w:autoSpaceDE w:val="0"/>
        <w:autoSpaceDN w:val="0"/>
        <w:adjustRightInd w:val="0"/>
        <w:snapToGrid w:val="0"/>
        <w:spacing w:line="360" w:lineRule="auto"/>
        <w:ind w:rightChars="6" w:right="13"/>
        <w:jc w:val="center"/>
        <w:rPr>
          <w:rFonts w:ascii="宋体" w:hAnsi="宋体"/>
          <w:spacing w:val="2"/>
          <w:w w:val="99"/>
          <w:kern w:val="0"/>
          <w:sz w:val="32"/>
          <w:szCs w:val="32"/>
        </w:rPr>
      </w:pPr>
    </w:p>
    <w:p w14:paraId="5834640C" w14:textId="77777777" w:rsidR="00F27890" w:rsidRDefault="00F27890">
      <w:pPr>
        <w:autoSpaceDE w:val="0"/>
        <w:autoSpaceDN w:val="0"/>
        <w:adjustRightInd w:val="0"/>
        <w:snapToGrid w:val="0"/>
        <w:spacing w:line="360" w:lineRule="auto"/>
        <w:ind w:rightChars="6" w:right="13"/>
        <w:jc w:val="center"/>
        <w:rPr>
          <w:rFonts w:ascii="宋体" w:hAnsi="宋体"/>
          <w:spacing w:val="2"/>
          <w:w w:val="99"/>
          <w:kern w:val="0"/>
          <w:sz w:val="32"/>
          <w:szCs w:val="32"/>
        </w:rPr>
      </w:pPr>
    </w:p>
    <w:p w14:paraId="6CEF0848" w14:textId="77777777" w:rsidR="00F27890" w:rsidRDefault="00027971">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14:paraId="291DAFE3" w14:textId="77777777" w:rsidR="00F27890" w:rsidRDefault="00027971">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14:paraId="72F16982" w14:textId="77777777" w:rsidR="00F27890" w:rsidRDefault="00F27890">
      <w:pPr>
        <w:autoSpaceDE w:val="0"/>
        <w:autoSpaceDN w:val="0"/>
        <w:adjustRightInd w:val="0"/>
        <w:snapToGrid w:val="0"/>
        <w:spacing w:line="360" w:lineRule="auto"/>
        <w:ind w:rightChars="6" w:right="13"/>
        <w:jc w:val="center"/>
        <w:rPr>
          <w:rFonts w:ascii="宋体" w:hAnsi="宋体"/>
          <w:spacing w:val="2"/>
          <w:w w:val="99"/>
          <w:kern w:val="0"/>
          <w:sz w:val="32"/>
          <w:szCs w:val="32"/>
        </w:rPr>
      </w:pPr>
    </w:p>
    <w:p w14:paraId="32699C75" w14:textId="77777777" w:rsidR="00F27890" w:rsidRDefault="00F27890">
      <w:pPr>
        <w:autoSpaceDE w:val="0"/>
        <w:autoSpaceDN w:val="0"/>
        <w:adjustRightInd w:val="0"/>
        <w:snapToGrid w:val="0"/>
        <w:spacing w:line="360" w:lineRule="auto"/>
        <w:ind w:rightChars="6" w:right="13"/>
        <w:jc w:val="center"/>
        <w:rPr>
          <w:rFonts w:ascii="宋体" w:hAnsi="宋体"/>
          <w:spacing w:val="2"/>
          <w:w w:val="99"/>
          <w:kern w:val="0"/>
          <w:sz w:val="32"/>
          <w:szCs w:val="32"/>
        </w:rPr>
      </w:pPr>
    </w:p>
    <w:p w14:paraId="18A414A4" w14:textId="6F61050C" w:rsidR="00F27890" w:rsidRDefault="00027971">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二〇二五年</w:t>
      </w:r>
      <w:r w:rsidR="00E2327F">
        <w:rPr>
          <w:rFonts w:ascii="Times New Roman" w:hAnsi="Times New Roman" w:hint="eastAsia"/>
          <w:b/>
          <w:spacing w:val="2"/>
          <w:w w:val="99"/>
          <w:kern w:val="0"/>
          <w:sz w:val="28"/>
          <w:szCs w:val="32"/>
        </w:rPr>
        <w:t>十二</w:t>
      </w:r>
      <w:r>
        <w:rPr>
          <w:rFonts w:ascii="Times New Roman" w:hAnsi="Times New Roman"/>
          <w:b/>
          <w:spacing w:val="2"/>
          <w:w w:val="99"/>
          <w:kern w:val="0"/>
          <w:sz w:val="28"/>
          <w:szCs w:val="32"/>
        </w:rPr>
        <w:t>月</w:t>
      </w:r>
    </w:p>
    <w:p w14:paraId="69B88CC6" w14:textId="77777777" w:rsidR="00F27890" w:rsidRDefault="00F27890">
      <w:pPr>
        <w:autoSpaceDE w:val="0"/>
        <w:autoSpaceDN w:val="0"/>
        <w:adjustRightInd w:val="0"/>
        <w:snapToGrid w:val="0"/>
        <w:spacing w:line="360" w:lineRule="auto"/>
        <w:ind w:left="1347" w:rightChars="6" w:right="13"/>
        <w:rPr>
          <w:rFonts w:ascii="宋体" w:hAnsi="宋体"/>
          <w:kern w:val="0"/>
          <w:sz w:val="32"/>
          <w:szCs w:val="32"/>
        </w:rPr>
        <w:sectPr w:rsidR="00F27890">
          <w:headerReference w:type="even" r:id="rId10"/>
          <w:headerReference w:type="default" r:id="rId11"/>
          <w:footerReference w:type="even" r:id="rId12"/>
          <w:footerReference w:type="default" r:id="rId13"/>
          <w:headerReference w:type="first" r:id="rId14"/>
          <w:footerReference w:type="first" r:id="rId15"/>
          <w:pgSz w:w="11920" w:h="16840"/>
          <w:pgMar w:top="1560" w:right="1680" w:bottom="280" w:left="1680" w:header="0" w:footer="1073" w:gutter="0"/>
          <w:pgNumType w:start="1"/>
          <w:cols w:space="720"/>
          <w:titlePg/>
          <w:docGrid w:linePitch="286"/>
        </w:sectPr>
      </w:pPr>
    </w:p>
    <w:p w14:paraId="67FD86C8" w14:textId="77777777" w:rsidR="00F27890" w:rsidRDefault="00027971">
      <w:pPr>
        <w:pStyle w:val="1"/>
        <w:snapToGrid w:val="0"/>
        <w:spacing w:beforeLines="0" w:before="240" w:after="240"/>
        <w:rPr>
          <w:rFonts w:ascii="宋体" w:hAnsi="宋体"/>
          <w:kern w:val="0"/>
        </w:rPr>
      </w:pPr>
      <w:bookmarkStart w:id="0" w:name="_Toc324920538"/>
      <w:bookmarkStart w:id="1" w:name="_Toc496884613"/>
      <w:bookmarkStart w:id="2" w:name="_Toc200977047"/>
      <w:r>
        <w:rPr>
          <w:rFonts w:ascii="Times New Roman" w:hAnsi="Times New Roman"/>
          <w:kern w:val="0"/>
        </w:rPr>
        <w:lastRenderedPageBreak/>
        <w:t>重要提示</w:t>
      </w:r>
      <w:bookmarkEnd w:id="0"/>
      <w:bookmarkEnd w:id="1"/>
      <w:bookmarkEnd w:id="2"/>
    </w:p>
    <w:p w14:paraId="0428945B" w14:textId="77777777" w:rsidR="00F27890" w:rsidRDefault="0002797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交银施罗德可转债债券型证券投资基金（以下简称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2019</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2</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2019</w:t>
      </w:r>
      <w:r>
        <w:rPr>
          <w:rFonts w:ascii="Times New Roman" w:hAnsi="Times New Roman"/>
          <w:kern w:val="0"/>
          <w:sz w:val="24"/>
        </w:rPr>
        <w:t>】</w:t>
      </w:r>
      <w:r>
        <w:rPr>
          <w:rFonts w:ascii="Times New Roman" w:hAnsi="Times New Roman"/>
          <w:kern w:val="0"/>
          <w:sz w:val="24"/>
        </w:rPr>
        <w:t>546</w:t>
      </w:r>
      <w:r>
        <w:rPr>
          <w:rFonts w:ascii="Times New Roman" w:hAnsi="Times New Roman"/>
          <w:kern w:val="0"/>
          <w:sz w:val="24"/>
        </w:rPr>
        <w:t>号文准予募集注册。本基金基金合同于</w:t>
      </w:r>
      <w:r>
        <w:rPr>
          <w:rFonts w:ascii="Times New Roman" w:hAnsi="Times New Roman"/>
          <w:kern w:val="0"/>
          <w:sz w:val="24"/>
        </w:rPr>
        <w:t>2019</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11</w:t>
      </w:r>
      <w:r>
        <w:rPr>
          <w:rFonts w:ascii="Times New Roman" w:hAnsi="Times New Roman"/>
          <w:kern w:val="0"/>
          <w:sz w:val="24"/>
        </w:rPr>
        <w:t>日正式生效。</w:t>
      </w:r>
    </w:p>
    <w:p w14:paraId="23D0178A" w14:textId="77777777" w:rsidR="00F27890" w:rsidRDefault="0002797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14:paraId="0123D09E" w14:textId="77777777" w:rsidR="00F27890" w:rsidRDefault="0002797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14:paraId="5606FBD0" w14:textId="77777777" w:rsidR="00F27890" w:rsidRDefault="0002797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资产支持证券的特有风险；连续六十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万元情形时基金管理人提前终止基金合同的风险；投资科创板股票的特定风险；投资本基金特有的其他风险等等。</w:t>
      </w:r>
    </w:p>
    <w:p w14:paraId="64F7402A" w14:textId="77777777" w:rsidR="00F27890" w:rsidRDefault="0002797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本基金投资于可转换债券（含可交换债券、可分离交易可转债）的比例不低于非现金基金资产的</w:t>
      </w:r>
      <w:r>
        <w:rPr>
          <w:rFonts w:ascii="Times New Roman" w:hAnsi="Times New Roman"/>
          <w:kern w:val="0"/>
          <w:sz w:val="24"/>
        </w:rPr>
        <w:t>80%</w:t>
      </w:r>
      <w:r>
        <w:rPr>
          <w:rFonts w:ascii="Times New Roman" w:hAnsi="Times New Roman"/>
          <w:kern w:val="0"/>
          <w:sz w:val="24"/>
        </w:rPr>
        <w:t>，需要承担可转换债券和可交换债券市场的流动性风险、债券价格受所对应股票价格波动影响而波动的风险以及在转股期或换股期不能转股或换股的风险等。</w:t>
      </w:r>
    </w:p>
    <w:p w14:paraId="7C657C3F" w14:textId="77777777" w:rsidR="00F27890" w:rsidRDefault="00027971">
      <w:pPr>
        <w:autoSpaceDE w:val="0"/>
        <w:autoSpaceDN w:val="0"/>
        <w:adjustRightInd w:val="0"/>
        <w:snapToGrid w:val="0"/>
        <w:spacing w:line="360" w:lineRule="auto"/>
        <w:ind w:leftChars="50" w:left="105" w:firstLineChars="200" w:firstLine="480"/>
        <w:rPr>
          <w:rFonts w:ascii="Times New Roman" w:hAnsi="Times New Roman"/>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w:t>
      </w:r>
      <w:r>
        <w:rPr>
          <w:rFonts w:ascii="Times New Roman" w:hAnsi="Times New Roman"/>
          <w:kern w:val="0"/>
          <w:sz w:val="24"/>
        </w:rPr>
        <w:lastRenderedPageBreak/>
        <w:t>波动在内的各项风险。</w:t>
      </w:r>
    </w:p>
    <w:p w14:paraId="5C5C79CA" w14:textId="77777777" w:rsidR="003414DF" w:rsidRPr="003414DF" w:rsidRDefault="003414DF" w:rsidP="003414DF">
      <w:pPr>
        <w:autoSpaceDE w:val="0"/>
        <w:autoSpaceDN w:val="0"/>
        <w:adjustRightInd w:val="0"/>
        <w:snapToGrid w:val="0"/>
        <w:spacing w:line="360" w:lineRule="auto"/>
        <w:ind w:leftChars="50" w:left="105" w:firstLineChars="200" w:firstLine="480"/>
        <w:rPr>
          <w:rFonts w:ascii="宋体" w:hAnsi="宋体"/>
          <w:kern w:val="0"/>
          <w:sz w:val="24"/>
        </w:rPr>
      </w:pPr>
      <w:r w:rsidRPr="003414DF">
        <w:rPr>
          <w:rFonts w:ascii="宋体" w:hAnsi="宋体" w:hint="eastAsia"/>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14:paraId="62B932CA" w14:textId="77777777" w:rsidR="003414DF" w:rsidRDefault="003414DF" w:rsidP="003414DF">
      <w:pPr>
        <w:autoSpaceDE w:val="0"/>
        <w:autoSpaceDN w:val="0"/>
        <w:adjustRightInd w:val="0"/>
        <w:snapToGrid w:val="0"/>
        <w:spacing w:line="360" w:lineRule="auto"/>
        <w:ind w:leftChars="50" w:left="105" w:firstLineChars="200" w:firstLine="480"/>
        <w:rPr>
          <w:rFonts w:ascii="宋体" w:hAnsi="宋体"/>
          <w:kern w:val="0"/>
          <w:sz w:val="24"/>
        </w:rPr>
      </w:pPr>
      <w:r w:rsidRPr="003414DF">
        <w:rPr>
          <w:rFonts w:ascii="宋体" w:hAnsi="宋体" w:hint="eastAsia"/>
          <w:kern w:val="0"/>
          <w:sz w:val="24"/>
        </w:rPr>
        <w:t>本基金可根据投资策略需要或市场环境的变化，选择将部分基金资产投资于存托凭证或选择不将基金资产投资于存托凭证，基金资产并非必然投资存托凭证。</w:t>
      </w:r>
    </w:p>
    <w:p w14:paraId="75DE6B9C" w14:textId="77777777" w:rsidR="00F27890" w:rsidRDefault="0002797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本基金是一只债券型基金，其预期风险与预期收益高于货币市场基金，低于混合型基金和股票型基金。</w:t>
      </w:r>
    </w:p>
    <w:p w14:paraId="70D34604" w14:textId="77777777" w:rsidR="00F27890" w:rsidRDefault="0002797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14:paraId="7431FB84" w14:textId="77777777" w:rsidR="00F27890" w:rsidRDefault="0002797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14:paraId="3C8ADEBB" w14:textId="56287317" w:rsidR="00F27890" w:rsidRDefault="00E2327F">
      <w:pPr>
        <w:autoSpaceDE w:val="0"/>
        <w:autoSpaceDN w:val="0"/>
        <w:adjustRightInd w:val="0"/>
        <w:snapToGrid w:val="0"/>
        <w:spacing w:line="360" w:lineRule="auto"/>
        <w:ind w:leftChars="50" w:left="105" w:firstLineChars="200" w:firstLine="480"/>
        <w:rPr>
          <w:rFonts w:ascii="宋体" w:hAnsi="宋体"/>
          <w:kern w:val="0"/>
          <w:sz w:val="24"/>
        </w:rPr>
      </w:pPr>
      <w:r w:rsidRPr="00E2327F">
        <w:rPr>
          <w:rFonts w:ascii="Times New Roman" w:hAnsi="Times New Roman" w:hint="eastAsia"/>
          <w:kern w:val="0"/>
          <w:sz w:val="24"/>
        </w:rPr>
        <w:t>本次更新招募说明书主要对投资范围增加存托凭证</w:t>
      </w:r>
      <w:r w:rsidR="002A0ACD">
        <w:rPr>
          <w:rFonts w:ascii="Times New Roman" w:hAnsi="Times New Roman" w:hint="eastAsia"/>
          <w:kern w:val="0"/>
          <w:sz w:val="24"/>
        </w:rPr>
        <w:t>、修改</w:t>
      </w:r>
      <w:r w:rsidR="003414DF">
        <w:rPr>
          <w:rFonts w:ascii="Times New Roman" w:hAnsi="Times New Roman" w:hint="eastAsia"/>
          <w:kern w:val="0"/>
          <w:sz w:val="24"/>
        </w:rPr>
        <w:t>基金转换</w:t>
      </w:r>
      <w:r w:rsidRPr="00E2327F">
        <w:rPr>
          <w:rFonts w:ascii="Times New Roman" w:hAnsi="Times New Roman" w:hint="eastAsia"/>
          <w:kern w:val="0"/>
          <w:sz w:val="24"/>
        </w:rPr>
        <w:t>的相关事项进行更新，更新截止日为</w:t>
      </w:r>
      <w:r w:rsidRPr="00E2327F">
        <w:rPr>
          <w:rFonts w:ascii="Times New Roman" w:hAnsi="Times New Roman" w:hint="eastAsia"/>
          <w:kern w:val="0"/>
          <w:sz w:val="24"/>
        </w:rPr>
        <w:t>2025</w:t>
      </w:r>
      <w:r w:rsidRPr="00E2327F">
        <w:rPr>
          <w:rFonts w:ascii="Times New Roman" w:hAnsi="Times New Roman" w:hint="eastAsia"/>
          <w:kern w:val="0"/>
          <w:sz w:val="24"/>
        </w:rPr>
        <w:t>年</w:t>
      </w:r>
      <w:r w:rsidRPr="00E2327F">
        <w:rPr>
          <w:rFonts w:ascii="Times New Roman" w:hAnsi="Times New Roman" w:hint="eastAsia"/>
          <w:kern w:val="0"/>
          <w:sz w:val="24"/>
        </w:rPr>
        <w:t>12</w:t>
      </w:r>
      <w:r w:rsidRPr="00E2327F">
        <w:rPr>
          <w:rFonts w:ascii="Times New Roman" w:hAnsi="Times New Roman" w:hint="eastAsia"/>
          <w:kern w:val="0"/>
          <w:sz w:val="24"/>
        </w:rPr>
        <w:t>月</w:t>
      </w:r>
      <w:r w:rsidR="000C3970">
        <w:rPr>
          <w:rFonts w:ascii="Times New Roman" w:hAnsi="Times New Roman"/>
          <w:kern w:val="0"/>
          <w:sz w:val="24"/>
        </w:rPr>
        <w:t>23</w:t>
      </w:r>
      <w:r w:rsidRPr="00E2327F">
        <w:rPr>
          <w:rFonts w:ascii="Times New Roman" w:hAnsi="Times New Roman" w:hint="eastAsia"/>
          <w:kern w:val="0"/>
          <w:sz w:val="24"/>
        </w:rPr>
        <w:t>日，除非另有说明，</w:t>
      </w:r>
      <w:r w:rsidR="00027971">
        <w:rPr>
          <w:rFonts w:ascii="Times New Roman" w:hAnsi="Times New Roman"/>
          <w:kern w:val="0"/>
          <w:sz w:val="24"/>
        </w:rPr>
        <w:t>本招募说明书</w:t>
      </w:r>
      <w:r w:rsidR="002A0ACD">
        <w:rPr>
          <w:rFonts w:ascii="Times New Roman" w:hAnsi="Times New Roman" w:hint="eastAsia"/>
          <w:kern w:val="0"/>
          <w:sz w:val="24"/>
        </w:rPr>
        <w:t>其他</w:t>
      </w:r>
      <w:r w:rsidR="00027971">
        <w:rPr>
          <w:rFonts w:ascii="Times New Roman" w:hAnsi="Times New Roman"/>
          <w:kern w:val="0"/>
          <w:sz w:val="24"/>
        </w:rPr>
        <w:t>所载内容截止日为</w:t>
      </w:r>
      <w:r w:rsidR="00027971">
        <w:rPr>
          <w:rFonts w:ascii="Times New Roman" w:hAnsi="Times New Roman"/>
          <w:kern w:val="0"/>
          <w:sz w:val="24"/>
        </w:rPr>
        <w:t>2025</w:t>
      </w:r>
      <w:r w:rsidR="00027971">
        <w:rPr>
          <w:rFonts w:ascii="Times New Roman" w:hAnsi="Times New Roman"/>
          <w:kern w:val="0"/>
          <w:sz w:val="24"/>
        </w:rPr>
        <w:t>年</w:t>
      </w:r>
      <w:r w:rsidR="00027971">
        <w:rPr>
          <w:rFonts w:ascii="Times New Roman" w:hAnsi="Times New Roman"/>
          <w:kern w:val="0"/>
          <w:sz w:val="24"/>
        </w:rPr>
        <w:t>05</w:t>
      </w:r>
      <w:r w:rsidR="00027971">
        <w:rPr>
          <w:rFonts w:ascii="Times New Roman" w:hAnsi="Times New Roman"/>
          <w:kern w:val="0"/>
          <w:sz w:val="24"/>
        </w:rPr>
        <w:t>月</w:t>
      </w:r>
      <w:r w:rsidR="00027971">
        <w:rPr>
          <w:rFonts w:ascii="Times New Roman" w:hAnsi="Times New Roman"/>
          <w:kern w:val="0"/>
          <w:sz w:val="24"/>
        </w:rPr>
        <w:t>26</w:t>
      </w:r>
      <w:r w:rsidR="00027971">
        <w:rPr>
          <w:rFonts w:ascii="Times New Roman" w:hAnsi="Times New Roman"/>
          <w:kern w:val="0"/>
          <w:sz w:val="24"/>
        </w:rPr>
        <w:t>日，有关财务数据和净值表现截止日为</w:t>
      </w:r>
      <w:r w:rsidR="00027971">
        <w:rPr>
          <w:rFonts w:ascii="Times New Roman" w:hAnsi="Times New Roman"/>
          <w:kern w:val="0"/>
          <w:sz w:val="24"/>
        </w:rPr>
        <w:t>2025</w:t>
      </w:r>
      <w:r w:rsidR="00027971">
        <w:rPr>
          <w:rFonts w:ascii="Times New Roman" w:hAnsi="Times New Roman"/>
          <w:kern w:val="0"/>
          <w:sz w:val="24"/>
        </w:rPr>
        <w:t>年</w:t>
      </w:r>
      <w:r w:rsidR="00027971">
        <w:rPr>
          <w:rFonts w:ascii="Times New Roman" w:hAnsi="Times New Roman"/>
          <w:kern w:val="0"/>
          <w:sz w:val="24"/>
        </w:rPr>
        <w:t>03</w:t>
      </w:r>
      <w:r w:rsidR="00027971">
        <w:rPr>
          <w:rFonts w:ascii="Times New Roman" w:hAnsi="Times New Roman"/>
          <w:kern w:val="0"/>
          <w:sz w:val="24"/>
        </w:rPr>
        <w:t>月</w:t>
      </w:r>
      <w:r w:rsidR="00027971">
        <w:rPr>
          <w:rFonts w:ascii="Times New Roman" w:hAnsi="Times New Roman"/>
          <w:kern w:val="0"/>
          <w:sz w:val="24"/>
        </w:rPr>
        <w:t>31</w:t>
      </w:r>
      <w:r w:rsidR="00027971">
        <w:rPr>
          <w:rFonts w:ascii="Times New Roman" w:hAnsi="Times New Roman"/>
          <w:kern w:val="0"/>
          <w:sz w:val="24"/>
        </w:rPr>
        <w:t>日。本招募说明书所载的财务数据未经审计。</w:t>
      </w:r>
    </w:p>
    <w:p w14:paraId="368F7570" w14:textId="77777777" w:rsidR="00F27890" w:rsidRDefault="00F27890">
      <w:pPr>
        <w:autoSpaceDE w:val="0"/>
        <w:autoSpaceDN w:val="0"/>
        <w:adjustRightInd w:val="0"/>
        <w:snapToGrid w:val="0"/>
        <w:spacing w:before="51" w:line="360" w:lineRule="auto"/>
        <w:ind w:left="120" w:rightChars="6" w:right="13" w:firstLine="480"/>
        <w:rPr>
          <w:rFonts w:ascii="宋体" w:hAnsi="宋体"/>
          <w:kern w:val="0"/>
          <w:szCs w:val="24"/>
        </w:rPr>
        <w:sectPr w:rsidR="00F27890">
          <w:headerReference w:type="default" r:id="rId16"/>
          <w:pgSz w:w="11920" w:h="16840"/>
          <w:pgMar w:top="1440" w:right="1680" w:bottom="280" w:left="1680" w:header="0" w:footer="1073" w:gutter="0"/>
          <w:pgNumType w:start="1"/>
          <w:cols w:space="720"/>
        </w:sectPr>
      </w:pPr>
    </w:p>
    <w:p w14:paraId="38992ACC" w14:textId="77777777" w:rsidR="00F27890" w:rsidRDefault="00027971">
      <w:pPr>
        <w:pStyle w:val="Style19"/>
        <w:snapToGrid w:val="0"/>
        <w:spacing w:after="240" w:line="360" w:lineRule="auto"/>
        <w:jc w:val="center"/>
        <w:rPr>
          <w:rFonts w:ascii="宋体" w:hAnsi="宋体"/>
          <w:noProof/>
          <w:sz w:val="24"/>
        </w:rPr>
      </w:pPr>
      <w:r>
        <w:rPr>
          <w:rFonts w:ascii="宋体" w:hAnsi="宋体"/>
          <w:color w:val="000000"/>
          <w:position w:val="-4"/>
          <w:sz w:val="24"/>
          <w:szCs w:val="30"/>
        </w:rPr>
        <w:lastRenderedPageBreak/>
        <w:t>目</w:t>
      </w:r>
      <w:r>
        <w:rPr>
          <w:rFonts w:ascii="宋体" w:hAnsi="宋体"/>
          <w:color w:val="000000"/>
          <w:position w:val="-4"/>
          <w:sz w:val="24"/>
          <w:szCs w:val="30"/>
        </w:rPr>
        <w:tab/>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14:paraId="670B972B" w14:textId="41255EFB" w:rsidR="00F27890" w:rsidRPr="00027971" w:rsidRDefault="00182014">
      <w:pPr>
        <w:pStyle w:val="11"/>
        <w:tabs>
          <w:tab w:val="right" w:leader="dot" w:pos="8550"/>
        </w:tabs>
        <w:spacing w:line="360" w:lineRule="auto"/>
        <w:rPr>
          <w:rFonts w:ascii="宋体" w:hAnsi="宋体"/>
          <w:noProof/>
          <w:sz w:val="24"/>
        </w:rPr>
      </w:pPr>
      <w:hyperlink w:anchor="_Toc200977047" w:history="1">
        <w:r w:rsidR="00027971">
          <w:rPr>
            <w:rStyle w:val="af1"/>
            <w:rFonts w:ascii="宋体" w:hAnsi="宋体" w:hint="eastAsia"/>
            <w:noProof/>
            <w:kern w:val="0"/>
            <w:sz w:val="24"/>
          </w:rPr>
          <w:t>重要提示</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_Toc200977047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1</w:t>
        </w:r>
        <w:r w:rsidR="00027971">
          <w:rPr>
            <w:rFonts w:ascii="宋体" w:hAnsi="宋体"/>
            <w:noProof/>
            <w:sz w:val="24"/>
          </w:rPr>
          <w:fldChar w:fldCharType="end"/>
        </w:r>
      </w:hyperlink>
    </w:p>
    <w:p w14:paraId="42B33C44" w14:textId="10682B0C" w:rsidR="00F27890" w:rsidRPr="00027971" w:rsidRDefault="00182014">
      <w:pPr>
        <w:pStyle w:val="11"/>
        <w:tabs>
          <w:tab w:val="right" w:leader="dot" w:pos="8550"/>
        </w:tabs>
        <w:spacing w:line="360" w:lineRule="auto"/>
        <w:rPr>
          <w:rFonts w:ascii="宋体" w:hAnsi="宋体"/>
          <w:noProof/>
          <w:sz w:val="24"/>
        </w:rPr>
      </w:pPr>
      <w:hyperlink w:anchor="_Toc200977048" w:history="1">
        <w:r w:rsidR="00027971">
          <w:rPr>
            <w:rStyle w:val="af1"/>
            <w:rFonts w:ascii="宋体" w:hAnsi="宋体" w:hint="eastAsia"/>
            <w:noProof/>
            <w:sz w:val="24"/>
          </w:rPr>
          <w:t>一、绪言</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_Toc200977048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5</w:t>
        </w:r>
        <w:r w:rsidR="00027971">
          <w:rPr>
            <w:rFonts w:ascii="宋体" w:hAnsi="宋体"/>
            <w:noProof/>
            <w:sz w:val="24"/>
          </w:rPr>
          <w:fldChar w:fldCharType="end"/>
        </w:r>
      </w:hyperlink>
    </w:p>
    <w:p w14:paraId="711BC8E7" w14:textId="24EB7C34" w:rsidR="00F27890" w:rsidRPr="00027971" w:rsidRDefault="00182014">
      <w:pPr>
        <w:pStyle w:val="11"/>
        <w:tabs>
          <w:tab w:val="right" w:leader="dot" w:pos="8550"/>
        </w:tabs>
        <w:spacing w:line="360" w:lineRule="auto"/>
        <w:rPr>
          <w:rFonts w:ascii="宋体" w:hAnsi="宋体"/>
          <w:noProof/>
          <w:sz w:val="24"/>
        </w:rPr>
      </w:pPr>
      <w:hyperlink w:anchor="_Toc200977049" w:history="1">
        <w:r w:rsidR="00027971">
          <w:rPr>
            <w:rStyle w:val="af1"/>
            <w:rFonts w:ascii="宋体" w:hAnsi="宋体" w:hint="eastAsia"/>
            <w:noProof/>
            <w:sz w:val="24"/>
          </w:rPr>
          <w:t>二、释义</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_Toc200977049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6</w:t>
        </w:r>
        <w:r w:rsidR="00027971">
          <w:rPr>
            <w:rFonts w:ascii="宋体" w:hAnsi="宋体"/>
            <w:noProof/>
            <w:sz w:val="24"/>
          </w:rPr>
          <w:fldChar w:fldCharType="end"/>
        </w:r>
      </w:hyperlink>
    </w:p>
    <w:p w14:paraId="51F73BB4" w14:textId="39885A46" w:rsidR="00F27890" w:rsidRPr="00027971" w:rsidRDefault="00182014">
      <w:pPr>
        <w:pStyle w:val="11"/>
        <w:tabs>
          <w:tab w:val="right" w:leader="dot" w:pos="8550"/>
        </w:tabs>
        <w:spacing w:line="360" w:lineRule="auto"/>
        <w:rPr>
          <w:rFonts w:ascii="宋体" w:hAnsi="宋体"/>
          <w:noProof/>
          <w:sz w:val="24"/>
        </w:rPr>
      </w:pPr>
      <w:hyperlink w:anchor="_Toc200977050" w:history="1">
        <w:r w:rsidR="00027971">
          <w:rPr>
            <w:rStyle w:val="af1"/>
            <w:rFonts w:ascii="宋体" w:hAnsi="宋体" w:hint="eastAsia"/>
            <w:noProof/>
            <w:sz w:val="24"/>
          </w:rPr>
          <w:t>三、基金管理人</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_Toc200977050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11</w:t>
        </w:r>
        <w:r w:rsidR="00027971">
          <w:rPr>
            <w:rFonts w:ascii="宋体" w:hAnsi="宋体"/>
            <w:noProof/>
            <w:sz w:val="24"/>
          </w:rPr>
          <w:fldChar w:fldCharType="end"/>
        </w:r>
      </w:hyperlink>
    </w:p>
    <w:p w14:paraId="14BA56EA" w14:textId="4B76D8D8" w:rsidR="00F27890" w:rsidRPr="00027971" w:rsidRDefault="00182014">
      <w:pPr>
        <w:pStyle w:val="11"/>
        <w:tabs>
          <w:tab w:val="right" w:leader="dot" w:pos="8550"/>
        </w:tabs>
        <w:spacing w:line="360" w:lineRule="auto"/>
        <w:rPr>
          <w:rFonts w:ascii="宋体" w:hAnsi="宋体"/>
          <w:noProof/>
          <w:sz w:val="24"/>
        </w:rPr>
      </w:pPr>
      <w:hyperlink w:anchor="_Toc200977051" w:history="1">
        <w:r w:rsidR="00027971">
          <w:rPr>
            <w:rStyle w:val="af1"/>
            <w:rFonts w:ascii="宋体" w:hAnsi="宋体" w:hint="eastAsia"/>
            <w:noProof/>
            <w:sz w:val="24"/>
          </w:rPr>
          <w:t>四、基金托管人</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_Toc200977051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19</w:t>
        </w:r>
        <w:r w:rsidR="00027971">
          <w:rPr>
            <w:rFonts w:ascii="宋体" w:hAnsi="宋体"/>
            <w:noProof/>
            <w:sz w:val="24"/>
          </w:rPr>
          <w:fldChar w:fldCharType="end"/>
        </w:r>
      </w:hyperlink>
    </w:p>
    <w:p w14:paraId="4BA4FF69" w14:textId="18395BD8" w:rsidR="00F27890" w:rsidRPr="00027971" w:rsidRDefault="00182014">
      <w:pPr>
        <w:pStyle w:val="11"/>
        <w:tabs>
          <w:tab w:val="right" w:leader="dot" w:pos="8550"/>
        </w:tabs>
        <w:spacing w:line="360" w:lineRule="auto"/>
        <w:rPr>
          <w:rFonts w:ascii="宋体" w:hAnsi="宋体"/>
          <w:noProof/>
          <w:sz w:val="24"/>
        </w:rPr>
      </w:pPr>
      <w:hyperlink w:anchor="_Toc200977052" w:history="1">
        <w:r w:rsidR="00027971">
          <w:rPr>
            <w:rStyle w:val="af1"/>
            <w:rFonts w:ascii="宋体" w:hAnsi="宋体" w:hint="eastAsia"/>
            <w:noProof/>
            <w:sz w:val="24"/>
          </w:rPr>
          <w:t>五、相关服务机构</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_Toc200977052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22</w:t>
        </w:r>
        <w:r w:rsidR="00027971">
          <w:rPr>
            <w:rFonts w:ascii="宋体" w:hAnsi="宋体"/>
            <w:noProof/>
            <w:sz w:val="24"/>
          </w:rPr>
          <w:fldChar w:fldCharType="end"/>
        </w:r>
      </w:hyperlink>
    </w:p>
    <w:p w14:paraId="13E74606" w14:textId="3B203D9C" w:rsidR="00F27890" w:rsidRPr="00027971" w:rsidRDefault="00182014">
      <w:pPr>
        <w:pStyle w:val="11"/>
        <w:tabs>
          <w:tab w:val="right" w:leader="dot" w:pos="8550"/>
        </w:tabs>
        <w:spacing w:line="360" w:lineRule="auto"/>
        <w:rPr>
          <w:rFonts w:ascii="宋体" w:hAnsi="宋体"/>
          <w:noProof/>
          <w:sz w:val="24"/>
        </w:rPr>
      </w:pPr>
      <w:hyperlink w:anchor="_Toc200977053" w:history="1">
        <w:r w:rsidR="00027971">
          <w:rPr>
            <w:rStyle w:val="af1"/>
            <w:rFonts w:ascii="宋体" w:hAnsi="宋体" w:hint="eastAsia"/>
            <w:noProof/>
            <w:sz w:val="24"/>
          </w:rPr>
          <w:t>六、基金的募集</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_Toc200977053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45</w:t>
        </w:r>
        <w:r w:rsidR="00027971">
          <w:rPr>
            <w:rFonts w:ascii="宋体" w:hAnsi="宋体"/>
            <w:noProof/>
            <w:sz w:val="24"/>
          </w:rPr>
          <w:fldChar w:fldCharType="end"/>
        </w:r>
      </w:hyperlink>
    </w:p>
    <w:p w14:paraId="2A7616B8" w14:textId="35B19D9A" w:rsidR="00F27890" w:rsidRPr="00027971" w:rsidRDefault="00182014">
      <w:pPr>
        <w:pStyle w:val="11"/>
        <w:tabs>
          <w:tab w:val="right" w:leader="dot" w:pos="8550"/>
        </w:tabs>
        <w:spacing w:line="360" w:lineRule="auto"/>
        <w:rPr>
          <w:rFonts w:ascii="宋体" w:hAnsi="宋体"/>
          <w:noProof/>
          <w:sz w:val="24"/>
        </w:rPr>
      </w:pPr>
      <w:hyperlink w:anchor="_Toc200977054" w:history="1">
        <w:r w:rsidR="00027971">
          <w:rPr>
            <w:rStyle w:val="af1"/>
            <w:rFonts w:ascii="宋体" w:hAnsi="宋体" w:hint="eastAsia"/>
            <w:noProof/>
            <w:sz w:val="24"/>
          </w:rPr>
          <w:t>七、基金合同的生效</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_Toc200977054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46</w:t>
        </w:r>
        <w:r w:rsidR="00027971">
          <w:rPr>
            <w:rFonts w:ascii="宋体" w:hAnsi="宋体"/>
            <w:noProof/>
            <w:sz w:val="24"/>
          </w:rPr>
          <w:fldChar w:fldCharType="end"/>
        </w:r>
      </w:hyperlink>
    </w:p>
    <w:p w14:paraId="0F524FB6" w14:textId="6CDB7817" w:rsidR="00F27890" w:rsidRPr="00027971" w:rsidRDefault="00182014">
      <w:pPr>
        <w:pStyle w:val="11"/>
        <w:tabs>
          <w:tab w:val="right" w:leader="dot" w:pos="8550"/>
        </w:tabs>
        <w:spacing w:line="360" w:lineRule="auto"/>
        <w:rPr>
          <w:rFonts w:ascii="宋体" w:hAnsi="宋体"/>
          <w:noProof/>
          <w:sz w:val="24"/>
        </w:rPr>
      </w:pPr>
      <w:hyperlink w:anchor="_Toc200977055" w:history="1">
        <w:r w:rsidR="00027971">
          <w:rPr>
            <w:rStyle w:val="af1"/>
            <w:rFonts w:ascii="宋体" w:hAnsi="宋体" w:hint="eastAsia"/>
            <w:noProof/>
            <w:sz w:val="24"/>
          </w:rPr>
          <w:t>八、基金份额的申购与赎回</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_Toc200977055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47</w:t>
        </w:r>
        <w:r w:rsidR="00027971">
          <w:rPr>
            <w:rFonts w:ascii="宋体" w:hAnsi="宋体"/>
            <w:noProof/>
            <w:sz w:val="24"/>
          </w:rPr>
          <w:fldChar w:fldCharType="end"/>
        </w:r>
      </w:hyperlink>
    </w:p>
    <w:p w14:paraId="63C8BBCD" w14:textId="50E45050" w:rsidR="00F27890" w:rsidRPr="00027971" w:rsidRDefault="00182014">
      <w:pPr>
        <w:pStyle w:val="11"/>
        <w:tabs>
          <w:tab w:val="right" w:leader="dot" w:pos="8550"/>
        </w:tabs>
        <w:spacing w:line="360" w:lineRule="auto"/>
        <w:rPr>
          <w:rFonts w:ascii="宋体" w:hAnsi="宋体"/>
          <w:noProof/>
          <w:sz w:val="24"/>
        </w:rPr>
      </w:pPr>
      <w:hyperlink w:anchor="_Toc200977056" w:history="1">
        <w:r w:rsidR="00027971">
          <w:rPr>
            <w:rStyle w:val="af1"/>
            <w:rFonts w:ascii="宋体" w:hAnsi="宋体" w:hint="eastAsia"/>
            <w:noProof/>
            <w:sz w:val="24"/>
          </w:rPr>
          <w:t>九、基金的转换</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_Toc200977056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61</w:t>
        </w:r>
        <w:r w:rsidR="00027971">
          <w:rPr>
            <w:rFonts w:ascii="宋体" w:hAnsi="宋体"/>
            <w:noProof/>
            <w:sz w:val="24"/>
          </w:rPr>
          <w:fldChar w:fldCharType="end"/>
        </w:r>
      </w:hyperlink>
    </w:p>
    <w:p w14:paraId="26D99AA4" w14:textId="3D574E55" w:rsidR="00F27890" w:rsidRPr="00027971" w:rsidRDefault="00182014">
      <w:pPr>
        <w:pStyle w:val="11"/>
        <w:tabs>
          <w:tab w:val="right" w:leader="dot" w:pos="8550"/>
        </w:tabs>
        <w:spacing w:line="360" w:lineRule="auto"/>
        <w:rPr>
          <w:rFonts w:ascii="宋体" w:hAnsi="宋体"/>
          <w:noProof/>
          <w:sz w:val="24"/>
        </w:rPr>
      </w:pPr>
      <w:hyperlink w:anchor="_Toc200977057" w:history="1">
        <w:r w:rsidR="00027971">
          <w:rPr>
            <w:rStyle w:val="af1"/>
            <w:rFonts w:ascii="宋体" w:hAnsi="宋体" w:hint="eastAsia"/>
            <w:noProof/>
            <w:sz w:val="24"/>
          </w:rPr>
          <w:t>十、基金的投资</w:t>
        </w:r>
        <w:bookmarkStart w:id="3" w:name="_GoBack"/>
        <w:bookmarkEnd w:id="3"/>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_Toc200977057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68</w:t>
        </w:r>
        <w:r w:rsidR="00027971">
          <w:rPr>
            <w:rFonts w:ascii="宋体" w:hAnsi="宋体"/>
            <w:noProof/>
            <w:sz w:val="24"/>
          </w:rPr>
          <w:fldChar w:fldCharType="end"/>
        </w:r>
      </w:hyperlink>
    </w:p>
    <w:p w14:paraId="050E4007" w14:textId="595A4BC5" w:rsidR="00F27890" w:rsidRPr="00027971" w:rsidRDefault="00182014">
      <w:pPr>
        <w:pStyle w:val="11"/>
        <w:tabs>
          <w:tab w:val="right" w:leader="dot" w:pos="8550"/>
        </w:tabs>
        <w:spacing w:line="360" w:lineRule="auto"/>
        <w:rPr>
          <w:rFonts w:ascii="宋体" w:hAnsi="宋体"/>
          <w:noProof/>
          <w:sz w:val="24"/>
        </w:rPr>
      </w:pPr>
      <w:hyperlink w:anchor="_Toc200977058" w:history="1">
        <w:r w:rsidR="00027971">
          <w:rPr>
            <w:rStyle w:val="af1"/>
            <w:rFonts w:ascii="宋体" w:hAnsi="宋体" w:hint="eastAsia"/>
            <w:noProof/>
            <w:sz w:val="24"/>
          </w:rPr>
          <w:t>十一、基金的业绩</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_Toc200977058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82</w:t>
        </w:r>
        <w:r w:rsidR="00027971">
          <w:rPr>
            <w:rFonts w:ascii="宋体" w:hAnsi="宋体"/>
            <w:noProof/>
            <w:sz w:val="24"/>
          </w:rPr>
          <w:fldChar w:fldCharType="end"/>
        </w:r>
      </w:hyperlink>
    </w:p>
    <w:p w14:paraId="0EBAF3BC" w14:textId="7A3303BF" w:rsidR="00F27890" w:rsidRPr="00027971" w:rsidRDefault="00182014">
      <w:pPr>
        <w:pStyle w:val="11"/>
        <w:tabs>
          <w:tab w:val="right" w:leader="dot" w:pos="8550"/>
        </w:tabs>
        <w:spacing w:line="360" w:lineRule="auto"/>
        <w:rPr>
          <w:rFonts w:ascii="宋体" w:hAnsi="宋体"/>
          <w:noProof/>
          <w:sz w:val="24"/>
        </w:rPr>
      </w:pPr>
      <w:hyperlink w:anchor="_Toc200977059" w:history="1">
        <w:r w:rsidR="00027971">
          <w:rPr>
            <w:rStyle w:val="af1"/>
            <w:rFonts w:ascii="宋体" w:hAnsi="宋体" w:hint="eastAsia"/>
            <w:noProof/>
            <w:sz w:val="24"/>
          </w:rPr>
          <w:t>十二、基金的财产</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_Toc200977059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85</w:t>
        </w:r>
        <w:r w:rsidR="00027971">
          <w:rPr>
            <w:rFonts w:ascii="宋体" w:hAnsi="宋体"/>
            <w:noProof/>
            <w:sz w:val="24"/>
          </w:rPr>
          <w:fldChar w:fldCharType="end"/>
        </w:r>
      </w:hyperlink>
    </w:p>
    <w:p w14:paraId="352526B3" w14:textId="71C9F219" w:rsidR="00F27890" w:rsidRPr="00027971" w:rsidRDefault="00182014">
      <w:pPr>
        <w:pStyle w:val="11"/>
        <w:tabs>
          <w:tab w:val="right" w:leader="dot" w:pos="8550"/>
        </w:tabs>
        <w:spacing w:line="360" w:lineRule="auto"/>
        <w:rPr>
          <w:rFonts w:ascii="宋体" w:hAnsi="宋体"/>
          <w:noProof/>
          <w:sz w:val="24"/>
        </w:rPr>
      </w:pPr>
      <w:hyperlink w:anchor="_Toc200977060" w:history="1">
        <w:r w:rsidR="00027971">
          <w:rPr>
            <w:rStyle w:val="af1"/>
            <w:rFonts w:ascii="宋体" w:hAnsi="宋体" w:hint="eastAsia"/>
            <w:noProof/>
            <w:sz w:val="24"/>
          </w:rPr>
          <w:t>十三、基金资产的估值</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_Toc200977060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86</w:t>
        </w:r>
        <w:r w:rsidR="00027971">
          <w:rPr>
            <w:rFonts w:ascii="宋体" w:hAnsi="宋体"/>
            <w:noProof/>
            <w:sz w:val="24"/>
          </w:rPr>
          <w:fldChar w:fldCharType="end"/>
        </w:r>
      </w:hyperlink>
    </w:p>
    <w:p w14:paraId="6D4A6BBA" w14:textId="75DC88CF" w:rsidR="00F27890" w:rsidRPr="00027971" w:rsidRDefault="00182014">
      <w:pPr>
        <w:pStyle w:val="11"/>
        <w:tabs>
          <w:tab w:val="right" w:leader="dot" w:pos="8550"/>
        </w:tabs>
        <w:spacing w:line="360" w:lineRule="auto"/>
        <w:rPr>
          <w:rFonts w:ascii="宋体" w:hAnsi="宋体"/>
          <w:noProof/>
          <w:sz w:val="24"/>
        </w:rPr>
      </w:pPr>
      <w:hyperlink w:anchor="_Toc200977061" w:history="1">
        <w:r w:rsidR="00027971">
          <w:rPr>
            <w:rStyle w:val="af1"/>
            <w:rFonts w:ascii="宋体" w:hAnsi="宋体" w:hint="eastAsia"/>
            <w:noProof/>
            <w:sz w:val="24"/>
          </w:rPr>
          <w:t>十四、基金收益与分配</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_Toc200977061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92</w:t>
        </w:r>
        <w:r w:rsidR="00027971">
          <w:rPr>
            <w:rFonts w:ascii="宋体" w:hAnsi="宋体"/>
            <w:noProof/>
            <w:sz w:val="24"/>
          </w:rPr>
          <w:fldChar w:fldCharType="end"/>
        </w:r>
      </w:hyperlink>
    </w:p>
    <w:p w14:paraId="5B13C271" w14:textId="563AC5A7" w:rsidR="00F27890" w:rsidRPr="00027971" w:rsidRDefault="00182014">
      <w:pPr>
        <w:pStyle w:val="11"/>
        <w:tabs>
          <w:tab w:val="right" w:leader="dot" w:pos="8550"/>
        </w:tabs>
        <w:spacing w:line="360" w:lineRule="auto"/>
        <w:rPr>
          <w:rFonts w:ascii="宋体" w:hAnsi="宋体"/>
          <w:noProof/>
          <w:sz w:val="24"/>
        </w:rPr>
      </w:pPr>
      <w:hyperlink w:anchor="_Toc200977062" w:history="1">
        <w:r w:rsidR="00027971">
          <w:rPr>
            <w:rStyle w:val="af1"/>
            <w:rFonts w:ascii="宋体" w:hAnsi="宋体" w:hint="eastAsia"/>
            <w:noProof/>
            <w:sz w:val="24"/>
          </w:rPr>
          <w:t>十五、基金的费用与税收</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_Toc200977062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94</w:t>
        </w:r>
        <w:r w:rsidR="00027971">
          <w:rPr>
            <w:rFonts w:ascii="宋体" w:hAnsi="宋体"/>
            <w:noProof/>
            <w:sz w:val="24"/>
          </w:rPr>
          <w:fldChar w:fldCharType="end"/>
        </w:r>
      </w:hyperlink>
    </w:p>
    <w:p w14:paraId="20175D44" w14:textId="453B41CD" w:rsidR="00F27890" w:rsidRPr="00027971" w:rsidRDefault="00182014">
      <w:pPr>
        <w:pStyle w:val="11"/>
        <w:tabs>
          <w:tab w:val="right" w:leader="dot" w:pos="8550"/>
        </w:tabs>
        <w:spacing w:line="360" w:lineRule="auto"/>
        <w:rPr>
          <w:rFonts w:ascii="宋体" w:hAnsi="宋体"/>
          <w:noProof/>
          <w:sz w:val="24"/>
        </w:rPr>
      </w:pPr>
      <w:hyperlink w:anchor="_Toc200977063" w:history="1">
        <w:r w:rsidR="00027971">
          <w:rPr>
            <w:rStyle w:val="af1"/>
            <w:rFonts w:ascii="宋体" w:hAnsi="宋体" w:hint="eastAsia"/>
            <w:noProof/>
            <w:sz w:val="24"/>
          </w:rPr>
          <w:t>十六、基金的会计与审计</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_Toc200977063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97</w:t>
        </w:r>
        <w:r w:rsidR="00027971">
          <w:rPr>
            <w:rFonts w:ascii="宋体" w:hAnsi="宋体"/>
            <w:noProof/>
            <w:sz w:val="24"/>
          </w:rPr>
          <w:fldChar w:fldCharType="end"/>
        </w:r>
      </w:hyperlink>
    </w:p>
    <w:p w14:paraId="3B61C8FA" w14:textId="14E658DA" w:rsidR="00F27890" w:rsidRPr="00027971" w:rsidRDefault="00182014">
      <w:pPr>
        <w:pStyle w:val="11"/>
        <w:tabs>
          <w:tab w:val="right" w:leader="dot" w:pos="8550"/>
        </w:tabs>
        <w:spacing w:line="360" w:lineRule="auto"/>
        <w:rPr>
          <w:rFonts w:ascii="宋体" w:hAnsi="宋体"/>
          <w:noProof/>
          <w:sz w:val="24"/>
        </w:rPr>
      </w:pPr>
      <w:hyperlink w:anchor="_Toc200977064" w:history="1">
        <w:r w:rsidR="00027971">
          <w:rPr>
            <w:rStyle w:val="af1"/>
            <w:rFonts w:ascii="宋体" w:hAnsi="宋体" w:hint="eastAsia"/>
            <w:noProof/>
            <w:sz w:val="24"/>
          </w:rPr>
          <w:t>十七、基金的信息披露</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_Toc200977064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98</w:t>
        </w:r>
        <w:r w:rsidR="00027971">
          <w:rPr>
            <w:rFonts w:ascii="宋体" w:hAnsi="宋体"/>
            <w:noProof/>
            <w:sz w:val="24"/>
          </w:rPr>
          <w:fldChar w:fldCharType="end"/>
        </w:r>
      </w:hyperlink>
    </w:p>
    <w:p w14:paraId="3167FF67" w14:textId="72D6BFBE" w:rsidR="00F27890" w:rsidRPr="00027971" w:rsidRDefault="00182014">
      <w:pPr>
        <w:pStyle w:val="11"/>
        <w:tabs>
          <w:tab w:val="right" w:leader="dot" w:pos="8550"/>
        </w:tabs>
        <w:spacing w:line="360" w:lineRule="auto"/>
        <w:rPr>
          <w:rFonts w:ascii="宋体" w:hAnsi="宋体"/>
          <w:noProof/>
          <w:sz w:val="24"/>
        </w:rPr>
      </w:pPr>
      <w:hyperlink w:anchor="_Toc200977065" w:history="1">
        <w:r w:rsidR="00027971">
          <w:rPr>
            <w:rStyle w:val="af1"/>
            <w:rFonts w:ascii="宋体" w:hAnsi="宋体" w:hint="eastAsia"/>
            <w:noProof/>
            <w:sz w:val="24"/>
          </w:rPr>
          <w:t>十八、侧袋机制</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_Toc200977065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105</w:t>
        </w:r>
        <w:r w:rsidR="00027971">
          <w:rPr>
            <w:rFonts w:ascii="宋体" w:hAnsi="宋体"/>
            <w:noProof/>
            <w:sz w:val="24"/>
          </w:rPr>
          <w:fldChar w:fldCharType="end"/>
        </w:r>
      </w:hyperlink>
    </w:p>
    <w:p w14:paraId="7DBDF16C" w14:textId="5509A46A" w:rsidR="00F27890" w:rsidRPr="00027971" w:rsidRDefault="00182014">
      <w:pPr>
        <w:pStyle w:val="11"/>
        <w:tabs>
          <w:tab w:val="right" w:leader="dot" w:pos="8550"/>
        </w:tabs>
        <w:spacing w:line="360" w:lineRule="auto"/>
        <w:rPr>
          <w:rFonts w:ascii="宋体" w:hAnsi="宋体"/>
          <w:noProof/>
          <w:sz w:val="24"/>
        </w:rPr>
      </w:pPr>
      <w:hyperlink w:anchor="_Toc200977066" w:history="1">
        <w:r w:rsidR="00027971">
          <w:rPr>
            <w:rStyle w:val="af1"/>
            <w:rFonts w:ascii="宋体" w:hAnsi="宋体" w:hint="eastAsia"/>
            <w:noProof/>
            <w:sz w:val="24"/>
          </w:rPr>
          <w:t>十九、风险揭示</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_Toc200977066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108</w:t>
        </w:r>
        <w:r w:rsidR="00027971">
          <w:rPr>
            <w:rFonts w:ascii="宋体" w:hAnsi="宋体"/>
            <w:noProof/>
            <w:sz w:val="24"/>
          </w:rPr>
          <w:fldChar w:fldCharType="end"/>
        </w:r>
      </w:hyperlink>
    </w:p>
    <w:p w14:paraId="7AE3C8B9" w14:textId="102126CD" w:rsidR="00F27890" w:rsidRPr="00027971" w:rsidRDefault="00182014">
      <w:pPr>
        <w:pStyle w:val="11"/>
        <w:tabs>
          <w:tab w:val="right" w:leader="dot" w:pos="8550"/>
        </w:tabs>
        <w:spacing w:line="360" w:lineRule="auto"/>
        <w:rPr>
          <w:rFonts w:ascii="宋体" w:hAnsi="宋体"/>
          <w:noProof/>
          <w:sz w:val="24"/>
        </w:rPr>
      </w:pPr>
      <w:hyperlink w:anchor="_Toc200977067" w:history="1">
        <w:r w:rsidR="00027971">
          <w:rPr>
            <w:rStyle w:val="af1"/>
            <w:rFonts w:ascii="宋体" w:hAnsi="宋体" w:hint="eastAsia"/>
            <w:noProof/>
            <w:sz w:val="24"/>
          </w:rPr>
          <w:t>二十、基金合同的变更、终止与基金财产的清算</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_Toc200977067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117</w:t>
        </w:r>
        <w:r w:rsidR="00027971">
          <w:rPr>
            <w:rFonts w:ascii="宋体" w:hAnsi="宋体"/>
            <w:noProof/>
            <w:sz w:val="24"/>
          </w:rPr>
          <w:fldChar w:fldCharType="end"/>
        </w:r>
      </w:hyperlink>
    </w:p>
    <w:p w14:paraId="0F98513A" w14:textId="0B4173AC" w:rsidR="00F27890" w:rsidRPr="00027971" w:rsidRDefault="00182014">
      <w:pPr>
        <w:pStyle w:val="11"/>
        <w:tabs>
          <w:tab w:val="right" w:leader="dot" w:pos="8550"/>
        </w:tabs>
        <w:spacing w:line="360" w:lineRule="auto"/>
        <w:rPr>
          <w:rFonts w:ascii="宋体" w:hAnsi="宋体"/>
          <w:noProof/>
          <w:sz w:val="24"/>
        </w:rPr>
      </w:pPr>
      <w:hyperlink w:anchor="_Toc200977068" w:history="1">
        <w:r w:rsidR="00027971">
          <w:rPr>
            <w:rStyle w:val="af1"/>
            <w:rFonts w:ascii="宋体" w:hAnsi="宋体" w:hint="eastAsia"/>
            <w:noProof/>
            <w:sz w:val="24"/>
          </w:rPr>
          <w:t>二十一、基金合同内容摘要</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_Toc200977068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119</w:t>
        </w:r>
        <w:r w:rsidR="00027971">
          <w:rPr>
            <w:rFonts w:ascii="宋体" w:hAnsi="宋体"/>
            <w:noProof/>
            <w:sz w:val="24"/>
          </w:rPr>
          <w:fldChar w:fldCharType="end"/>
        </w:r>
      </w:hyperlink>
    </w:p>
    <w:p w14:paraId="6170E6D3" w14:textId="3A1C0EF8" w:rsidR="00F27890" w:rsidRPr="00027971" w:rsidRDefault="00182014">
      <w:pPr>
        <w:pStyle w:val="11"/>
        <w:tabs>
          <w:tab w:val="right" w:leader="dot" w:pos="8550"/>
        </w:tabs>
        <w:spacing w:line="360" w:lineRule="auto"/>
        <w:rPr>
          <w:rFonts w:ascii="宋体" w:hAnsi="宋体"/>
          <w:noProof/>
          <w:sz w:val="24"/>
        </w:rPr>
      </w:pPr>
      <w:hyperlink w:anchor="_Toc200977069" w:history="1">
        <w:r w:rsidR="00027971">
          <w:rPr>
            <w:rStyle w:val="af1"/>
            <w:rFonts w:ascii="宋体" w:hAnsi="宋体" w:hint="eastAsia"/>
            <w:noProof/>
            <w:sz w:val="24"/>
          </w:rPr>
          <w:t>二十二、托管协议的内容摘要</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_Toc200977069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136</w:t>
        </w:r>
        <w:r w:rsidR="00027971">
          <w:rPr>
            <w:rFonts w:ascii="宋体" w:hAnsi="宋体"/>
            <w:noProof/>
            <w:sz w:val="24"/>
          </w:rPr>
          <w:fldChar w:fldCharType="end"/>
        </w:r>
      </w:hyperlink>
    </w:p>
    <w:p w14:paraId="435414CE" w14:textId="4CA93E40" w:rsidR="00F27890" w:rsidRPr="00027971" w:rsidRDefault="00182014">
      <w:pPr>
        <w:pStyle w:val="11"/>
        <w:tabs>
          <w:tab w:val="right" w:leader="dot" w:pos="8550"/>
        </w:tabs>
        <w:spacing w:line="360" w:lineRule="auto"/>
        <w:rPr>
          <w:rFonts w:ascii="宋体" w:hAnsi="宋体"/>
          <w:noProof/>
          <w:sz w:val="24"/>
        </w:rPr>
      </w:pPr>
      <w:hyperlink w:anchor="_Toc200977070" w:history="1">
        <w:r w:rsidR="00027971">
          <w:rPr>
            <w:rStyle w:val="af1"/>
            <w:rFonts w:ascii="宋体" w:hAnsi="宋体" w:hint="eastAsia"/>
            <w:noProof/>
            <w:sz w:val="24"/>
          </w:rPr>
          <w:t>二十三、对基金份额持有人的服务</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_Toc200977070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155</w:t>
        </w:r>
        <w:r w:rsidR="00027971">
          <w:rPr>
            <w:rFonts w:ascii="宋体" w:hAnsi="宋体"/>
            <w:noProof/>
            <w:sz w:val="24"/>
          </w:rPr>
          <w:fldChar w:fldCharType="end"/>
        </w:r>
      </w:hyperlink>
    </w:p>
    <w:p w14:paraId="0BAEE8BF" w14:textId="74A90C78" w:rsidR="00F27890" w:rsidRPr="00027971" w:rsidRDefault="00182014">
      <w:pPr>
        <w:pStyle w:val="11"/>
        <w:tabs>
          <w:tab w:val="right" w:leader="dot" w:pos="8550"/>
        </w:tabs>
        <w:spacing w:line="360" w:lineRule="auto"/>
        <w:rPr>
          <w:rFonts w:ascii="宋体" w:hAnsi="宋体"/>
          <w:noProof/>
          <w:sz w:val="24"/>
        </w:rPr>
      </w:pPr>
      <w:hyperlink w:anchor="_Toc200977071" w:history="1">
        <w:r w:rsidR="00027971">
          <w:rPr>
            <w:rStyle w:val="af1"/>
            <w:rFonts w:ascii="宋体" w:hAnsi="宋体" w:hint="eastAsia"/>
            <w:noProof/>
            <w:sz w:val="24"/>
          </w:rPr>
          <w:t>二十四、其他应披露事项</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_Toc200977071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157</w:t>
        </w:r>
        <w:r w:rsidR="00027971">
          <w:rPr>
            <w:rFonts w:ascii="宋体" w:hAnsi="宋体"/>
            <w:noProof/>
            <w:sz w:val="24"/>
          </w:rPr>
          <w:fldChar w:fldCharType="end"/>
        </w:r>
      </w:hyperlink>
    </w:p>
    <w:p w14:paraId="5023ACEB" w14:textId="1F09FC9A" w:rsidR="00F27890" w:rsidRPr="00027971" w:rsidRDefault="00182014">
      <w:pPr>
        <w:pStyle w:val="11"/>
        <w:tabs>
          <w:tab w:val="right" w:leader="dot" w:pos="8550"/>
        </w:tabs>
        <w:spacing w:line="360" w:lineRule="auto"/>
        <w:rPr>
          <w:rFonts w:ascii="宋体" w:hAnsi="宋体"/>
          <w:noProof/>
          <w:sz w:val="24"/>
        </w:rPr>
      </w:pPr>
      <w:hyperlink w:anchor="_Toc200977072" w:history="1">
        <w:r w:rsidR="00027971">
          <w:rPr>
            <w:rStyle w:val="af1"/>
            <w:rFonts w:ascii="宋体" w:hAnsi="宋体" w:hint="eastAsia"/>
            <w:noProof/>
            <w:sz w:val="24"/>
          </w:rPr>
          <w:t>二十五、招募说明书的存放及查阅方式</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_Toc200977072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160</w:t>
        </w:r>
        <w:r w:rsidR="00027971">
          <w:rPr>
            <w:rFonts w:ascii="宋体" w:hAnsi="宋体"/>
            <w:noProof/>
            <w:sz w:val="24"/>
          </w:rPr>
          <w:fldChar w:fldCharType="end"/>
        </w:r>
      </w:hyperlink>
    </w:p>
    <w:p w14:paraId="03ADA2CB" w14:textId="5D299316" w:rsidR="00F27890" w:rsidRPr="00027971" w:rsidRDefault="00182014">
      <w:pPr>
        <w:pStyle w:val="11"/>
        <w:tabs>
          <w:tab w:val="right" w:leader="dot" w:pos="8550"/>
        </w:tabs>
        <w:spacing w:line="360" w:lineRule="auto"/>
        <w:rPr>
          <w:rFonts w:ascii="宋体" w:hAnsi="宋体"/>
          <w:noProof/>
          <w:sz w:val="24"/>
        </w:rPr>
      </w:pPr>
      <w:hyperlink w:anchor="_Toc200977073" w:history="1">
        <w:r w:rsidR="00027971">
          <w:rPr>
            <w:rStyle w:val="af1"/>
            <w:rFonts w:ascii="宋体" w:hAnsi="宋体" w:hint="eastAsia"/>
            <w:noProof/>
            <w:sz w:val="24"/>
          </w:rPr>
          <w:t>二十六、备查文件</w:t>
        </w:r>
        <w:r w:rsidR="00027971">
          <w:rPr>
            <w:rFonts w:ascii="宋体" w:hAnsi="宋体"/>
            <w:noProof/>
            <w:sz w:val="24"/>
          </w:rPr>
          <w:tab/>
        </w:r>
        <w:r w:rsidR="00027971">
          <w:rPr>
            <w:rFonts w:ascii="宋体" w:hAnsi="宋体"/>
            <w:noProof/>
            <w:sz w:val="24"/>
          </w:rPr>
          <w:fldChar w:fldCharType="begin"/>
        </w:r>
        <w:r w:rsidR="00027971">
          <w:rPr>
            <w:rFonts w:ascii="宋体" w:hAnsi="宋体"/>
            <w:noProof/>
            <w:sz w:val="24"/>
          </w:rPr>
          <w:instrText xml:space="preserve"> PAGEREF _Toc200977073 \h </w:instrText>
        </w:r>
        <w:r w:rsidR="00027971">
          <w:rPr>
            <w:rFonts w:ascii="宋体" w:hAnsi="宋体"/>
            <w:noProof/>
            <w:sz w:val="24"/>
          </w:rPr>
        </w:r>
        <w:r w:rsidR="00027971">
          <w:rPr>
            <w:rFonts w:ascii="宋体" w:hAnsi="宋体"/>
            <w:noProof/>
            <w:sz w:val="24"/>
          </w:rPr>
          <w:fldChar w:fldCharType="separate"/>
        </w:r>
        <w:r w:rsidR="00355B93">
          <w:rPr>
            <w:rFonts w:ascii="宋体" w:hAnsi="宋体"/>
            <w:noProof/>
            <w:sz w:val="24"/>
          </w:rPr>
          <w:t>161</w:t>
        </w:r>
        <w:r w:rsidR="00027971">
          <w:rPr>
            <w:rFonts w:ascii="宋体" w:hAnsi="宋体"/>
            <w:noProof/>
            <w:sz w:val="24"/>
          </w:rPr>
          <w:fldChar w:fldCharType="end"/>
        </w:r>
      </w:hyperlink>
    </w:p>
    <w:p w14:paraId="374AFD0B" w14:textId="77777777" w:rsidR="00F27890" w:rsidRDefault="00027971">
      <w:pPr>
        <w:pStyle w:val="Style19"/>
        <w:snapToGrid w:val="0"/>
        <w:spacing w:after="240" w:line="360" w:lineRule="auto"/>
        <w:jc w:val="center"/>
        <w:rPr>
          <w:rFonts w:ascii="宋体" w:hAnsi="宋体"/>
          <w:color w:val="000000"/>
          <w:sz w:val="24"/>
        </w:rPr>
      </w:pPr>
      <w:r>
        <w:rPr>
          <w:rFonts w:ascii="宋体" w:hAnsi="宋体"/>
          <w:color w:val="000000"/>
          <w:position w:val="-4"/>
          <w:sz w:val="24"/>
          <w:szCs w:val="30"/>
        </w:rPr>
        <w:lastRenderedPageBreak/>
        <w:fldChar w:fldCharType="end"/>
      </w:r>
    </w:p>
    <w:p w14:paraId="52DA6AC8" w14:textId="77777777" w:rsidR="00F27890" w:rsidRDefault="00F27890">
      <w:pPr>
        <w:autoSpaceDE w:val="0"/>
        <w:autoSpaceDN w:val="0"/>
        <w:adjustRightInd w:val="0"/>
        <w:snapToGrid w:val="0"/>
        <w:spacing w:line="360" w:lineRule="auto"/>
        <w:ind w:left="120" w:rightChars="6" w:right="13"/>
        <w:rPr>
          <w:rFonts w:ascii="宋体" w:hAnsi="宋体"/>
          <w:kern w:val="0"/>
          <w:szCs w:val="24"/>
        </w:rPr>
        <w:sectPr w:rsidR="00F27890">
          <w:pgSz w:w="11920" w:h="16840"/>
          <w:pgMar w:top="1480" w:right="1680" w:bottom="280" w:left="1680" w:header="0" w:footer="1073" w:gutter="0"/>
          <w:cols w:space="720"/>
        </w:sectPr>
      </w:pPr>
    </w:p>
    <w:p w14:paraId="203F680E" w14:textId="77777777" w:rsidR="00F27890" w:rsidRDefault="00027971">
      <w:pPr>
        <w:pStyle w:val="1"/>
        <w:snapToGrid w:val="0"/>
        <w:spacing w:beforeLines="0" w:before="240" w:after="240"/>
        <w:rPr>
          <w:rFonts w:ascii="宋体" w:hAnsi="宋体"/>
          <w:szCs w:val="30"/>
        </w:rPr>
      </w:pPr>
      <w:bookmarkStart w:id="4" w:name="_Toc200977048"/>
      <w:r>
        <w:rPr>
          <w:rFonts w:ascii="Times New Roman" w:hAnsi="Times New Roman"/>
          <w:sz w:val="30"/>
        </w:rPr>
        <w:lastRenderedPageBreak/>
        <w:t>一、绪言</w:t>
      </w:r>
      <w:bookmarkEnd w:id="4"/>
    </w:p>
    <w:p w14:paraId="3B879C0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可转债债券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可转债债券型证券投资基金基金合同》（以下简称“基金合同”）编写。</w:t>
      </w:r>
    </w:p>
    <w:p w14:paraId="5C7A9D0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14:paraId="66E7DF0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14:paraId="6862F6B0" w14:textId="77777777" w:rsidR="00F27890" w:rsidRDefault="00027971">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379EA929" w14:textId="77777777" w:rsidR="00F27890" w:rsidRDefault="00027971">
      <w:pPr>
        <w:pStyle w:val="1"/>
        <w:snapToGrid w:val="0"/>
        <w:spacing w:beforeLines="0" w:before="240" w:after="240"/>
        <w:rPr>
          <w:rFonts w:ascii="宋体" w:hAnsi="宋体"/>
          <w:szCs w:val="30"/>
        </w:rPr>
      </w:pPr>
      <w:bookmarkStart w:id="5" w:name="_Toc200977049"/>
      <w:r>
        <w:rPr>
          <w:rFonts w:ascii="Times New Roman" w:hAnsi="Times New Roman"/>
          <w:sz w:val="30"/>
        </w:rPr>
        <w:t>二、释义</w:t>
      </w:r>
      <w:bookmarkEnd w:id="5"/>
    </w:p>
    <w:p w14:paraId="5CCC60F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14:paraId="27B099C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1、基金或本基金：指交银施罗德可转债债券型证券投资基金</w:t>
      </w:r>
    </w:p>
    <w:p w14:paraId="3D07598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14:paraId="5E0276C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3、基金托管人：指中国农业银行股份有限公司</w:t>
      </w:r>
    </w:p>
    <w:p w14:paraId="1F933E8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4、基金合同：指《交银施罗德可转债债券型证券投资基金基金合同》及对基金合同的任何有效修订和补充</w:t>
      </w:r>
    </w:p>
    <w:p w14:paraId="6ED2AE8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5、托管协议：指基金管理人与基金托管人就本基金签订之《交银施罗德可转债债券型证券投资基金托管协议》及对该托管协议的任何有效修订和补充</w:t>
      </w:r>
    </w:p>
    <w:p w14:paraId="237DBFE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6、招募说明书或本招募说明书：指《交银施罗德可转债债券型证券投资基金招募说明书》及其更新</w:t>
      </w:r>
    </w:p>
    <w:p w14:paraId="2A3761A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7、基金份额发售公告：指《交银施罗德可转债债券型证券投资基金基金份额发售公告》</w:t>
      </w:r>
    </w:p>
    <w:p w14:paraId="29AAE72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8、基金产品资料概要：指《交银施罗德可转债债券型证券投资基金基金产品资料概要》及其更新</w:t>
      </w:r>
    </w:p>
    <w:p w14:paraId="1C7219E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14:paraId="6057C9B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14:paraId="22E270C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14:paraId="640D99C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14:paraId="78D20B9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14:paraId="2D13699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14:paraId="5CC66F2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14:paraId="43A2952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16、银行业监督管理机构：指中国人民银行和/或中国银行保险监督管理委员会</w:t>
      </w:r>
    </w:p>
    <w:p w14:paraId="4F40507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14:paraId="715C66A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14:paraId="00DC25E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14:paraId="18A7297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14:paraId="5FEFBC6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21、人民币合格境外机构投资者：指按照《人民币合格境外机构投资者境内证券投资试点办法》及相关法律法规规定，运用来自境外的人民币资金进行境内证券投资的境外法人</w:t>
      </w:r>
    </w:p>
    <w:p w14:paraId="0B1BF43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22、投资人、投资者：指个人投资者、机构投资者、合格境外机构投资者和人民币合格境外机构投资者以及法律法规或中国证监会允许购买证券投资基金的其他投资人的合称</w:t>
      </w:r>
    </w:p>
    <w:p w14:paraId="4A7542C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14:paraId="0F8F300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14:paraId="033303D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14:paraId="572733E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14:paraId="15FE4AB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27、登记机构：指办理登记业务的机构。基金的登记机构为交银施罗德基金管理有限公司或接受交银施罗德基金管理有限公司委托代为办理登记业务的机构</w:t>
      </w:r>
    </w:p>
    <w:p w14:paraId="5784D7E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14:paraId="1E5C4E3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29、基金交易账户：指销售机构为投资人开立的、记录投资人通过该销售机构办理认购、申购、赎回、转换及转托管等业务而引起的基金份额变动及结余情况的账户</w:t>
      </w:r>
    </w:p>
    <w:p w14:paraId="5631EA9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14:paraId="5400EBA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14:paraId="425C84B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14:paraId="725C124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14:paraId="5137328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14:paraId="4D99FFA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14:paraId="27F122E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14:paraId="68D5AA9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w:t>
      </w:r>
    </w:p>
    <w:p w14:paraId="67FE9AE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14:paraId="2D8887C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14:paraId="69CD8F3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14:paraId="0DFB49F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14:paraId="7C50F8D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14:paraId="4967633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w:t>
      </w:r>
      <w:r w:rsidR="00CA2AC0" w:rsidRPr="00CA2AC0">
        <w:rPr>
          <w:rFonts w:ascii="宋体" w:hAnsi="宋体" w:hint="eastAsia"/>
          <w:sz w:val="24"/>
        </w:rPr>
        <w:t>该基金其他份额（如有）或</w:t>
      </w:r>
      <w:r>
        <w:rPr>
          <w:rFonts w:ascii="宋体" w:hAnsi="宋体"/>
          <w:sz w:val="24"/>
        </w:rPr>
        <w:t>基金管理人管理的其他基金基金份额的行为</w:t>
      </w:r>
    </w:p>
    <w:p w14:paraId="1E5517D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44、转托管：指基金份额持有人在本基金的不同销售机构之间实施的变更所持基金份额销售机构的操作</w:t>
      </w:r>
    </w:p>
    <w:p w14:paraId="41810A3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14:paraId="0E71E22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14:paraId="41FCF96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47、元：指人民币元</w:t>
      </w:r>
    </w:p>
    <w:p w14:paraId="20F805F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14:paraId="660879C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49、基金资产总值：指基金拥有的各类有价证券、银行存款本息、基金应收申购款及其他资产的价值总和</w:t>
      </w:r>
    </w:p>
    <w:p w14:paraId="6E351DA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50、基金资产净值：指基金资产总值减去基金负债后的价值</w:t>
      </w:r>
    </w:p>
    <w:p w14:paraId="06BFD01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51、基金份额净值：指计算日基金资产净值除以计算日基金份额总数</w:t>
      </w:r>
    </w:p>
    <w:p w14:paraId="079EA0D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52、基金资产估值：指计算评估基金资产和负债的价值，以确定基金资产净值和基金份额净值的过程</w:t>
      </w:r>
    </w:p>
    <w:p w14:paraId="6B8DA24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53、指定媒介：指中国证监会指定的用以进行信息披露的全国性报刊及指定互联网网站（包括基金管理人网站、基金托管人网站、中国证监会基金电子披露网站）等媒介</w:t>
      </w:r>
    </w:p>
    <w:p w14:paraId="3396C0B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54、销售服务费：指从基金财产中计提的，用于本基金市场推广、销售以及基金份额持有人服务的费用</w:t>
      </w:r>
    </w:p>
    <w:p w14:paraId="396C781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55、A类基金份额：指在投资人认购/申购时收取认购/申购费用、赎回时收取赎回费用且不从本类别基金资产中计提销售服务费的基金份额</w:t>
      </w:r>
    </w:p>
    <w:p w14:paraId="1146C52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56、C类基金份额：指在投资人认购/申购时不收取认购/申购费用、赎回时收取赎回费用，并从本类别基金资产中计提销售服务费的基金份额</w:t>
      </w:r>
    </w:p>
    <w:p w14:paraId="6305F34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w:t>
      </w:r>
      <w:r>
        <w:rPr>
          <w:rFonts w:ascii="宋体" w:hAnsi="宋体"/>
          <w:sz w:val="24"/>
        </w:rPr>
        <w:lastRenderedPageBreak/>
        <w:t>等</w:t>
      </w:r>
    </w:p>
    <w:p w14:paraId="7652FF0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690D87C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14:paraId="471EC2F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14:paraId="022A909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61、不可抗力：指基金合同当事人不能预见、不能避免且不能克服的客观事件</w:t>
      </w:r>
    </w:p>
    <w:p w14:paraId="35F9CB4B" w14:textId="77777777" w:rsidR="00F27890" w:rsidRDefault="00027971">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4AF8DF4E" w14:textId="77777777" w:rsidR="00F27890" w:rsidRDefault="00027971">
      <w:pPr>
        <w:pStyle w:val="1"/>
        <w:snapToGrid w:val="0"/>
        <w:spacing w:beforeLines="0" w:before="240" w:after="240"/>
        <w:rPr>
          <w:rFonts w:ascii="宋体" w:hAnsi="宋体"/>
          <w:szCs w:val="30"/>
        </w:rPr>
      </w:pPr>
      <w:bookmarkStart w:id="6" w:name="_Toc200977050"/>
      <w:r>
        <w:rPr>
          <w:rFonts w:ascii="Times New Roman" w:hAnsi="Times New Roman"/>
          <w:sz w:val="30"/>
        </w:rPr>
        <w:t>三、基金管理人</w:t>
      </w:r>
      <w:bookmarkEnd w:id="6"/>
    </w:p>
    <w:p w14:paraId="489B82C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14:paraId="10F43B0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14:paraId="04881F6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14:paraId="7529994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14:paraId="57EABB2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14:paraId="631A5FA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14:paraId="05D50C2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14:paraId="5940C0C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14:paraId="2430BFD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14:paraId="7D3BF59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14:paraId="0048957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14:paraId="7B99DAE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14:paraId="586FBB5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4A0" w:firstRow="1" w:lastRow="0" w:firstColumn="1" w:lastColumn="0" w:noHBand="0" w:noVBand="1"/>
      </w:tblPr>
      <w:tblGrid>
        <w:gridCol w:w="2167"/>
        <w:gridCol w:w="6503"/>
      </w:tblGrid>
      <w:tr w:rsidR="00F27890" w14:paraId="0BBE270D"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173D924"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14:paraId="645E2BA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F27890" w14:paraId="1B30CE87"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8ECCEBA"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14:paraId="4FC3877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F27890" w14:paraId="28B6754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A6FD2E8"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14:paraId="6EFADB2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F27890" w14:paraId="1D852810"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ABF2133"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14:paraId="1169A900"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14:paraId="185EB71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14:paraId="7A9D3850" w14:textId="77777777" w:rsidR="002A0DA3" w:rsidRPr="002A0DA3" w:rsidRDefault="002A0DA3" w:rsidP="002A0DA3">
      <w:pPr>
        <w:widowControl/>
        <w:adjustRightInd w:val="0"/>
        <w:snapToGrid w:val="0"/>
        <w:spacing w:line="360" w:lineRule="auto"/>
        <w:ind w:firstLineChars="200" w:firstLine="480"/>
        <w:rPr>
          <w:bCs/>
          <w:sz w:val="24"/>
        </w:rPr>
      </w:pPr>
      <w:r w:rsidRPr="002A0DA3">
        <w:rPr>
          <w:rFonts w:hint="eastAsia"/>
          <w:bCs/>
          <w:sz w:val="24"/>
        </w:rPr>
        <w:t>1</w:t>
      </w:r>
      <w:r w:rsidRPr="002A0DA3">
        <w:rPr>
          <w:rFonts w:hint="eastAsia"/>
          <w:bCs/>
          <w:sz w:val="24"/>
        </w:rPr>
        <w:t>、基金管理人董事会成员</w:t>
      </w:r>
      <w:r w:rsidRPr="002A0DA3">
        <w:rPr>
          <w:rFonts w:hint="eastAsia"/>
          <w:bCs/>
          <w:sz w:val="24"/>
        </w:rPr>
        <w:t xml:space="preserve"> </w:t>
      </w:r>
    </w:p>
    <w:p w14:paraId="7C865C28" w14:textId="77777777" w:rsidR="002A0DA3" w:rsidRPr="002A0DA3" w:rsidRDefault="002A0DA3" w:rsidP="002A0DA3">
      <w:pPr>
        <w:widowControl/>
        <w:adjustRightInd w:val="0"/>
        <w:snapToGrid w:val="0"/>
        <w:spacing w:line="360" w:lineRule="auto"/>
        <w:ind w:firstLineChars="200" w:firstLine="480"/>
        <w:rPr>
          <w:bCs/>
          <w:sz w:val="24"/>
        </w:rPr>
      </w:pPr>
      <w:r w:rsidRPr="002A0DA3">
        <w:rPr>
          <w:rFonts w:hint="eastAsia"/>
          <w:bCs/>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14:paraId="498A578D" w14:textId="77777777" w:rsidR="002A0DA3" w:rsidRPr="002A0DA3" w:rsidRDefault="002A0DA3" w:rsidP="002A0DA3">
      <w:pPr>
        <w:widowControl/>
        <w:adjustRightInd w:val="0"/>
        <w:snapToGrid w:val="0"/>
        <w:spacing w:line="360" w:lineRule="auto"/>
        <w:ind w:firstLineChars="200" w:firstLine="480"/>
        <w:rPr>
          <w:bCs/>
          <w:sz w:val="24"/>
        </w:rPr>
      </w:pPr>
      <w:r w:rsidRPr="002A0DA3">
        <w:rPr>
          <w:rFonts w:hint="eastAsia"/>
          <w:bCs/>
          <w:sz w:val="24"/>
        </w:rPr>
        <w:lastRenderedPageBreak/>
        <w:t>袁庆伟女士，董事，总经理，硕士。历任交通银行乌鲁木齐分行财务会计处副处长、会计结算部高级经理，交通银行总行资产托管业务中心（资产托管部）副总裁、总裁，交通银行总行金融机构部总经理、资产管理业务中心总裁等职务。</w:t>
      </w:r>
      <w:r w:rsidRPr="002A0DA3">
        <w:rPr>
          <w:rFonts w:hint="eastAsia"/>
          <w:bCs/>
          <w:sz w:val="24"/>
        </w:rPr>
        <w:t xml:space="preserve">  </w:t>
      </w:r>
    </w:p>
    <w:p w14:paraId="5B4DA126" w14:textId="77777777" w:rsidR="002A0DA3" w:rsidRPr="002A0DA3" w:rsidRDefault="002A0DA3" w:rsidP="002A0DA3">
      <w:pPr>
        <w:widowControl/>
        <w:adjustRightInd w:val="0"/>
        <w:snapToGrid w:val="0"/>
        <w:spacing w:line="360" w:lineRule="auto"/>
        <w:ind w:firstLineChars="200" w:firstLine="480"/>
        <w:rPr>
          <w:bCs/>
          <w:sz w:val="24"/>
        </w:rPr>
      </w:pPr>
      <w:r w:rsidRPr="002A0DA3">
        <w:rPr>
          <w:rFonts w:hint="eastAsia"/>
          <w:bCs/>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14:paraId="4C2C2258" w14:textId="77777777" w:rsidR="002A0DA3" w:rsidRPr="002A0DA3" w:rsidRDefault="002A0DA3" w:rsidP="002A0DA3">
      <w:pPr>
        <w:widowControl/>
        <w:adjustRightInd w:val="0"/>
        <w:snapToGrid w:val="0"/>
        <w:spacing w:line="360" w:lineRule="auto"/>
        <w:ind w:firstLineChars="200" w:firstLine="480"/>
        <w:rPr>
          <w:bCs/>
          <w:sz w:val="24"/>
        </w:rPr>
      </w:pPr>
      <w:r w:rsidRPr="002A0DA3">
        <w:rPr>
          <w:rFonts w:hint="eastAsia"/>
          <w:bCs/>
          <w:sz w:val="24"/>
        </w:rPr>
        <w:t>Karine Szenberg</w:t>
      </w:r>
      <w:r w:rsidRPr="002A0DA3">
        <w:rPr>
          <w:rFonts w:hint="eastAsia"/>
          <w:bCs/>
          <w:sz w:val="24"/>
        </w:rPr>
        <w:t>女士，董事，硕士。现任施罗德投资集团执行副主席、集团执行委员会成员和施罗德投资管理（瑞士）股份有限公司董事会主席。历任施罗德投资法国主管、欧洲主管、全球产品和营销主管等。</w:t>
      </w:r>
    </w:p>
    <w:p w14:paraId="542E6741" w14:textId="77777777" w:rsidR="002A0DA3" w:rsidRPr="002A0DA3" w:rsidRDefault="002A0DA3" w:rsidP="002A0DA3">
      <w:pPr>
        <w:widowControl/>
        <w:adjustRightInd w:val="0"/>
        <w:snapToGrid w:val="0"/>
        <w:spacing w:line="360" w:lineRule="auto"/>
        <w:ind w:firstLineChars="200" w:firstLine="480"/>
        <w:rPr>
          <w:bCs/>
          <w:sz w:val="24"/>
        </w:rPr>
      </w:pPr>
      <w:r w:rsidRPr="002A0DA3">
        <w:rPr>
          <w:rFonts w:hint="eastAsia"/>
          <w:bCs/>
          <w:sz w:val="24"/>
        </w:rPr>
        <w:t>章骏翔先生，副董事长，硕士，美国特许金融分析师</w:t>
      </w:r>
      <w:r w:rsidRPr="002A0DA3">
        <w:rPr>
          <w:rFonts w:hint="eastAsia"/>
          <w:bCs/>
          <w:sz w:val="24"/>
        </w:rPr>
        <w:t>(CFA)</w:t>
      </w:r>
      <w:r w:rsidRPr="002A0DA3">
        <w:rPr>
          <w:rFonts w:hint="eastAsia"/>
          <w:bCs/>
          <w:sz w:val="24"/>
        </w:rPr>
        <w:t>持证人。现任施罗德投资管理（香港）有限公司亚洲投资风险主管。历任渣打银行（香港）交易风险监控，华宝兴业基金风险管理部总经理，法国安盛投资管理（香港）有限公司亚洲风险经理等。</w:t>
      </w:r>
    </w:p>
    <w:p w14:paraId="133C07ED" w14:textId="77777777" w:rsidR="002A0DA3" w:rsidRPr="002A0DA3" w:rsidRDefault="002A0DA3" w:rsidP="002A0DA3">
      <w:pPr>
        <w:widowControl/>
        <w:adjustRightInd w:val="0"/>
        <w:snapToGrid w:val="0"/>
        <w:spacing w:line="360" w:lineRule="auto"/>
        <w:ind w:firstLineChars="200" w:firstLine="480"/>
        <w:rPr>
          <w:bCs/>
          <w:sz w:val="24"/>
        </w:rPr>
      </w:pPr>
      <w:r w:rsidRPr="002A0DA3">
        <w:rPr>
          <w:rFonts w:hint="eastAsia"/>
          <w:bCs/>
          <w:sz w:val="24"/>
        </w:rPr>
        <w:t>单锋先生，独立董事，博士。现任南京大学法学教授职务。历任南京大学法学院助教、讲师、副教授。</w:t>
      </w:r>
    </w:p>
    <w:p w14:paraId="0108C460" w14:textId="77777777" w:rsidR="002A0DA3" w:rsidRPr="002A0DA3" w:rsidRDefault="002A0DA3" w:rsidP="002A0DA3">
      <w:pPr>
        <w:widowControl/>
        <w:adjustRightInd w:val="0"/>
        <w:snapToGrid w:val="0"/>
        <w:spacing w:line="360" w:lineRule="auto"/>
        <w:ind w:firstLineChars="200" w:firstLine="480"/>
        <w:rPr>
          <w:bCs/>
          <w:sz w:val="24"/>
        </w:rPr>
      </w:pPr>
      <w:r w:rsidRPr="002A0DA3">
        <w:rPr>
          <w:rFonts w:hint="eastAsia"/>
          <w:bCs/>
          <w:sz w:val="24"/>
        </w:rPr>
        <w:t>刘凤元先生，独立董事，博士。现任华东政法大学国际金融法律学院教授，资本市场研究中心主任，兼任多家香港和大陆上市公司（非证券基金经营机构）独立董事。</w:t>
      </w:r>
    </w:p>
    <w:p w14:paraId="62EF9D21" w14:textId="48624FF8" w:rsidR="004F125D" w:rsidRPr="00097433" w:rsidRDefault="002A0DA3" w:rsidP="002A0DA3">
      <w:pPr>
        <w:widowControl/>
        <w:adjustRightInd w:val="0"/>
        <w:snapToGrid w:val="0"/>
        <w:spacing w:line="360" w:lineRule="auto"/>
        <w:ind w:firstLineChars="200" w:firstLine="480"/>
        <w:rPr>
          <w:bCs/>
          <w:sz w:val="24"/>
        </w:rPr>
      </w:pPr>
      <w:r w:rsidRPr="002A0DA3">
        <w:rPr>
          <w:rFonts w:hint="eastAsia"/>
          <w:bCs/>
          <w:sz w:val="24"/>
        </w:rPr>
        <w:t>宋若坤女士，独立董事，学士。英格兰及威尔士特许会计师协会和香港会计师公会特许会计师、注册金融分析师。历任毕马威会计师事务所香港分所审计部主管副经理，摩根资产管理（香港）亚太区资产管理合规主管、董事总经理等。</w:t>
      </w:r>
    </w:p>
    <w:p w14:paraId="1D6BDD4C" w14:textId="77777777" w:rsidR="004F125D" w:rsidRPr="00097433" w:rsidRDefault="004F125D" w:rsidP="004F125D">
      <w:pPr>
        <w:widowControl/>
        <w:adjustRightInd w:val="0"/>
        <w:snapToGrid w:val="0"/>
        <w:spacing w:line="360" w:lineRule="auto"/>
        <w:ind w:firstLineChars="200" w:firstLine="480"/>
        <w:rPr>
          <w:bCs/>
          <w:sz w:val="24"/>
        </w:rPr>
      </w:pPr>
      <w:r w:rsidRPr="00097433">
        <w:rPr>
          <w:rFonts w:hint="eastAsia"/>
          <w:bCs/>
          <w:sz w:val="24"/>
        </w:rPr>
        <w:t>2</w:t>
      </w:r>
      <w:r w:rsidRPr="00097433">
        <w:rPr>
          <w:rFonts w:hint="eastAsia"/>
          <w:bCs/>
          <w:sz w:val="24"/>
        </w:rPr>
        <w:t>、基金管理人高级管理人员</w:t>
      </w:r>
    </w:p>
    <w:p w14:paraId="4E156C13" w14:textId="77777777" w:rsidR="004F125D" w:rsidRPr="00097433" w:rsidRDefault="004F125D" w:rsidP="004F125D">
      <w:pPr>
        <w:widowControl/>
        <w:adjustRightInd w:val="0"/>
        <w:snapToGrid w:val="0"/>
        <w:spacing w:line="360" w:lineRule="auto"/>
        <w:ind w:firstLineChars="200" w:firstLine="480"/>
        <w:rPr>
          <w:bCs/>
          <w:sz w:val="24"/>
        </w:rPr>
      </w:pPr>
      <w:r w:rsidRPr="00097433">
        <w:rPr>
          <w:rFonts w:hint="eastAsia"/>
          <w:bCs/>
          <w:sz w:val="24"/>
        </w:rPr>
        <w:t>袁庆伟女士，总经理。简历同上。</w:t>
      </w:r>
    </w:p>
    <w:p w14:paraId="26DFE8F9" w14:textId="77777777" w:rsidR="004F125D" w:rsidRPr="00097433" w:rsidRDefault="004F125D" w:rsidP="004F125D">
      <w:pPr>
        <w:widowControl/>
        <w:adjustRightInd w:val="0"/>
        <w:snapToGrid w:val="0"/>
        <w:spacing w:line="360" w:lineRule="auto"/>
        <w:ind w:firstLineChars="200" w:firstLine="480"/>
        <w:rPr>
          <w:bCs/>
          <w:sz w:val="24"/>
        </w:rPr>
      </w:pPr>
      <w:r w:rsidRPr="00097433">
        <w:rPr>
          <w:rFonts w:hint="eastAsia"/>
          <w:bCs/>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14:paraId="76F96AA6" w14:textId="77777777" w:rsidR="004F125D" w:rsidRPr="00097433" w:rsidRDefault="004F125D" w:rsidP="004F125D">
      <w:pPr>
        <w:widowControl/>
        <w:adjustRightInd w:val="0"/>
        <w:snapToGrid w:val="0"/>
        <w:spacing w:line="360" w:lineRule="auto"/>
        <w:ind w:firstLineChars="200" w:firstLine="480"/>
        <w:rPr>
          <w:bCs/>
          <w:sz w:val="24"/>
        </w:rPr>
      </w:pPr>
      <w:r w:rsidRPr="00097433">
        <w:rPr>
          <w:rFonts w:hint="eastAsia"/>
          <w:bCs/>
          <w:sz w:val="24"/>
        </w:rPr>
        <w:lastRenderedPageBreak/>
        <w:t>马俊先生，副总经理，硕士。历任交通银行总行投资管理部高级投资分析、副高级经理，交银施罗德基金管理有限公司总裁办公室总经理、研究部副总经理、研究总监、综合管理部总经理。</w:t>
      </w:r>
    </w:p>
    <w:p w14:paraId="28016D0D" w14:textId="7BFB86D7" w:rsidR="00F27890" w:rsidRDefault="004F125D">
      <w:pPr>
        <w:autoSpaceDE w:val="0"/>
        <w:autoSpaceDN w:val="0"/>
        <w:adjustRightInd w:val="0"/>
        <w:snapToGrid w:val="0"/>
        <w:spacing w:line="360" w:lineRule="auto"/>
        <w:ind w:firstLineChars="200" w:firstLine="480"/>
        <w:jc w:val="left"/>
        <w:rPr>
          <w:rFonts w:ascii="宋体" w:hAnsi="宋体"/>
          <w:szCs w:val="24"/>
        </w:rPr>
      </w:pPr>
      <w:r w:rsidRPr="00097433">
        <w:rPr>
          <w:rFonts w:hint="eastAsia"/>
          <w:bCs/>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14:paraId="59C164D0" w14:textId="7B70CFC0" w:rsidR="00F27890" w:rsidRDefault="00D42EE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w:t>
      </w:r>
      <w:r w:rsidR="00027971">
        <w:rPr>
          <w:rFonts w:ascii="宋体" w:hAnsi="宋体"/>
          <w:sz w:val="24"/>
        </w:rPr>
        <w:t>、本基金基金经理</w:t>
      </w:r>
    </w:p>
    <w:p w14:paraId="6B455846" w14:textId="19BCC394" w:rsidR="00F27890" w:rsidRPr="000C3970" w:rsidRDefault="004F125D">
      <w:pPr>
        <w:autoSpaceDE w:val="0"/>
        <w:autoSpaceDN w:val="0"/>
        <w:adjustRightInd w:val="0"/>
        <w:snapToGrid w:val="0"/>
        <w:spacing w:line="360" w:lineRule="auto"/>
        <w:ind w:firstLineChars="200" w:firstLine="480"/>
        <w:jc w:val="left"/>
        <w:rPr>
          <w:rFonts w:ascii="宋体" w:hAnsi="宋体"/>
          <w:sz w:val="24"/>
        </w:rPr>
      </w:pPr>
      <w:bookmarkStart w:id="7" w:name="OLE_LINK16"/>
      <w:bookmarkStart w:id="8" w:name="OLE_LINK17"/>
      <w:r w:rsidRPr="000C3970">
        <w:rPr>
          <w:rFonts w:ascii="宋体" w:hAnsi="宋体" w:hint="eastAsia"/>
          <w:sz w:val="24"/>
        </w:rPr>
        <w:t>魏玉敏</w:t>
      </w:r>
      <w:bookmarkEnd w:id="7"/>
      <w:bookmarkEnd w:id="8"/>
      <w:r w:rsidRPr="000C3970">
        <w:rPr>
          <w:rFonts w:ascii="宋体" w:hAnsi="宋体" w:hint="eastAsia"/>
          <w:sz w:val="24"/>
        </w:rPr>
        <w:t>女士：基金经理。厦门大学金融学硕士、学士，13年证券投资行业从业经验。2012年至2013年任招商证券固定收益研究员，2013年至2016年任国信证券固定收益高级分析师。2016年加入交银施罗德基金管理有限公司，曾任固定收益部基金经理，现任混合资产投资部基金经理。曾任交银施罗德丰晟收益债券型证券投资基金(2018年08月29日至2020年10月16日)、交银施罗德纯债债券型发起式证券投资基金(2018年08月29日至2025年01月15日)、交银施罗德裕如纯债债券型证券投资基金(2018年08月29日至2023年09月11日)、交银施罗德丰润收益债券型证券投资基金(2018年11月02日至2021年12月16日)、交银施罗德中债1-3年农发行债券指数证券投资基金(2019年01月23日至2021年12月16日)、交银施罗德裕泰两年定期开放债券型证券投资基金(2019年12月10日至2025年01月07日)、交银施罗德鑫选回报混合型证券投资基金(2021年04月29日至2024年05月22日)的基金经理。现任交银施罗德增利债券证券投资基金(2018年08月29日至今)、交银施罗德增利增强债券型证券投资基金(2018年11月02日至今)、交银施罗德可转债债券型证券投资基金(2019年07月11日至今)、交银施罗德安心收益债券型证券投资基金(2022年01月27日至今)、交银施罗德双利债券证券投资基金(2022年08月18日至今)、交银施罗德强化回报债券型证券投资基金(2023年04月15日至今)、交银施罗德定期支付月月丰债券型证券投资基金(2024年12月27日至今)、交银施罗德优选回报灵活配置混合型证券投资基金(2025年03月22日至今)、交银施罗德180天持有期债券型证券投资基金(2025年0</w:t>
      </w:r>
      <w:r w:rsidRPr="000C3970">
        <w:rPr>
          <w:rFonts w:ascii="宋体" w:hAnsi="宋体"/>
          <w:sz w:val="24"/>
        </w:rPr>
        <w:t>7</w:t>
      </w:r>
      <w:r w:rsidRPr="000C3970">
        <w:rPr>
          <w:rFonts w:ascii="宋体" w:hAnsi="宋体" w:hint="eastAsia"/>
          <w:sz w:val="24"/>
        </w:rPr>
        <w:t>月</w:t>
      </w:r>
      <w:r w:rsidRPr="000C3970">
        <w:rPr>
          <w:rFonts w:ascii="宋体" w:hAnsi="宋体"/>
          <w:sz w:val="24"/>
        </w:rPr>
        <w:t>18</w:t>
      </w:r>
      <w:r w:rsidRPr="000C3970">
        <w:rPr>
          <w:rFonts w:ascii="宋体" w:hAnsi="宋体" w:hint="eastAsia"/>
          <w:sz w:val="24"/>
        </w:rPr>
        <w:t>日至今)的基金经理。</w:t>
      </w:r>
    </w:p>
    <w:p w14:paraId="5E58780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丽婧女士:基金经理。上海财经大学数量经济学硕士、学士。8年证券投资行业从业经验，2017年至2018年任华商基金管理有限公司研究员。2018年加入交银施罗德基金管理有限公司，曾任固定收益部研究员、基金经理助理，现任混合资产投</w:t>
      </w:r>
      <w:r>
        <w:rPr>
          <w:rFonts w:ascii="宋体" w:hAnsi="宋体"/>
          <w:sz w:val="24"/>
        </w:rPr>
        <w:lastRenderedPageBreak/>
        <w:t>资部基金经理。现任交银施罗德可转债债券型证券投资基金(2025年01月08日至今)、交银施罗德鸿福六个月持有期混合型证券投资基金(2025年01月24日至今)、交银施罗德稳进回报六个月持有期混合型证券投资基金(2025年03月15日至今)的基金经理。</w:t>
      </w:r>
    </w:p>
    <w:p w14:paraId="03019577" w14:textId="79A7D11D" w:rsidR="00F27890" w:rsidRDefault="00D42EE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w:t>
      </w:r>
      <w:r w:rsidR="00027971">
        <w:rPr>
          <w:rFonts w:ascii="宋体" w:hAnsi="宋体"/>
          <w:sz w:val="24"/>
        </w:rPr>
        <w:t>、投资决策委员会成员</w:t>
      </w:r>
    </w:p>
    <w:p w14:paraId="6ECF9F7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14:paraId="2E24882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马俊（副总经理）</w:t>
      </w:r>
    </w:p>
    <w:p w14:paraId="589B80A7" w14:textId="487C07DF"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14:paraId="60A3695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14:paraId="780D5DA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14:paraId="33CE1C0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14:paraId="0516A62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14:paraId="50F08C3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14:paraId="3741063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14:paraId="5497F75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14:paraId="64F9C25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14:paraId="5CA2553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14:paraId="5AACA46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14:paraId="2C2BF9C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14:paraId="2E1B2D6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14:paraId="63A8980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14:paraId="55DD7B2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14:paraId="2CCA072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14:paraId="5D81D67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14:paraId="590D3E8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14:paraId="6C250D8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w:t>
      </w:r>
      <w:r>
        <w:rPr>
          <w:rFonts w:ascii="宋体" w:hAnsi="宋体"/>
          <w:sz w:val="24"/>
        </w:rPr>
        <w:lastRenderedPageBreak/>
        <w:t>发生；</w:t>
      </w:r>
    </w:p>
    <w:p w14:paraId="64849BE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14:paraId="4E5DDF0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14:paraId="0242284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14:paraId="3F0ED9C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14:paraId="37C52F1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14:paraId="22AC4BA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14:paraId="46DE949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14:paraId="63F73FA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14:paraId="1F5262A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14:paraId="369F913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14:paraId="229297B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14:paraId="6CD30BD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14:paraId="77791D9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14:paraId="7C7089B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14:paraId="045FE7F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14:paraId="6E52579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14:paraId="67F69DBB"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1</w:t>
      </w:r>
      <w:r w:rsidRPr="00D501C6">
        <w:rPr>
          <w:rFonts w:hint="eastAsia"/>
          <w:kern w:val="0"/>
          <w:sz w:val="24"/>
          <w:szCs w:val="24"/>
        </w:rPr>
        <w:t>、内部控制的原则</w:t>
      </w:r>
    </w:p>
    <w:p w14:paraId="7B0E0E88"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w:t>
      </w:r>
      <w:r w:rsidRPr="00D501C6">
        <w:rPr>
          <w:rFonts w:hint="eastAsia"/>
          <w:kern w:val="0"/>
          <w:sz w:val="24"/>
          <w:szCs w:val="24"/>
        </w:rPr>
        <w:t>1</w:t>
      </w:r>
      <w:r w:rsidRPr="00D501C6">
        <w:rPr>
          <w:rFonts w:hint="eastAsia"/>
          <w:kern w:val="0"/>
          <w:sz w:val="24"/>
          <w:szCs w:val="24"/>
        </w:rPr>
        <w:t>）健全性原则</w:t>
      </w:r>
    </w:p>
    <w:p w14:paraId="6550846B"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内部控制应当包括公司的各项业务、各个部门或机构和各级人员</w:t>
      </w:r>
      <w:r>
        <w:rPr>
          <w:rFonts w:hint="eastAsia"/>
          <w:kern w:val="0"/>
          <w:sz w:val="24"/>
          <w:szCs w:val="24"/>
        </w:rPr>
        <w:t>，</w:t>
      </w:r>
      <w:r w:rsidRPr="00D501C6">
        <w:rPr>
          <w:rFonts w:hint="eastAsia"/>
          <w:kern w:val="0"/>
          <w:sz w:val="24"/>
          <w:szCs w:val="24"/>
        </w:rPr>
        <w:t>并涵盖到决策、执行、监督、反馈等各个环节。</w:t>
      </w:r>
    </w:p>
    <w:p w14:paraId="5CF4F761"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w:t>
      </w:r>
      <w:r w:rsidRPr="00D501C6">
        <w:rPr>
          <w:rFonts w:hint="eastAsia"/>
          <w:kern w:val="0"/>
          <w:sz w:val="24"/>
          <w:szCs w:val="24"/>
        </w:rPr>
        <w:t>2</w:t>
      </w:r>
      <w:r w:rsidRPr="00D501C6">
        <w:rPr>
          <w:rFonts w:hint="eastAsia"/>
          <w:kern w:val="0"/>
          <w:sz w:val="24"/>
          <w:szCs w:val="24"/>
        </w:rPr>
        <w:t>）有效性原则</w:t>
      </w:r>
    </w:p>
    <w:p w14:paraId="3CC31D67"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通过科学的内控手段和方法，建立合理的内控程序，维护内控制度的有效执行。</w:t>
      </w:r>
    </w:p>
    <w:p w14:paraId="244BD81A"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lastRenderedPageBreak/>
        <w:t>（</w:t>
      </w:r>
      <w:r w:rsidRPr="00D501C6">
        <w:rPr>
          <w:rFonts w:hint="eastAsia"/>
          <w:kern w:val="0"/>
          <w:sz w:val="24"/>
          <w:szCs w:val="24"/>
        </w:rPr>
        <w:t>3</w:t>
      </w:r>
      <w:r w:rsidRPr="00D501C6">
        <w:rPr>
          <w:rFonts w:hint="eastAsia"/>
          <w:kern w:val="0"/>
          <w:sz w:val="24"/>
          <w:szCs w:val="24"/>
        </w:rPr>
        <w:t>）独立性原则</w:t>
      </w:r>
    </w:p>
    <w:p w14:paraId="0CAE3590"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公司各机构、部门和岗位职责应当保持相对独立，除非法律法规另有规定，公司基金资产、自有资产、其他资产的运作应当分离。</w:t>
      </w:r>
    </w:p>
    <w:p w14:paraId="1249A02B"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w:t>
      </w:r>
      <w:r w:rsidRPr="00D501C6">
        <w:rPr>
          <w:rFonts w:hint="eastAsia"/>
          <w:kern w:val="0"/>
          <w:sz w:val="24"/>
          <w:szCs w:val="24"/>
        </w:rPr>
        <w:t>4</w:t>
      </w:r>
      <w:r w:rsidRPr="00D501C6">
        <w:rPr>
          <w:rFonts w:hint="eastAsia"/>
          <w:kern w:val="0"/>
          <w:sz w:val="24"/>
          <w:szCs w:val="24"/>
        </w:rPr>
        <w:t>）相互制约原则</w:t>
      </w:r>
    </w:p>
    <w:p w14:paraId="2D9256B5"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公司内部部门和岗位的设置应当体现权责分明、相互制衡。</w:t>
      </w:r>
    </w:p>
    <w:p w14:paraId="6215235C"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w:t>
      </w:r>
      <w:r w:rsidRPr="00D501C6">
        <w:rPr>
          <w:rFonts w:hint="eastAsia"/>
          <w:kern w:val="0"/>
          <w:sz w:val="24"/>
          <w:szCs w:val="24"/>
        </w:rPr>
        <w:t>5</w:t>
      </w:r>
      <w:r w:rsidRPr="00D501C6">
        <w:rPr>
          <w:rFonts w:hint="eastAsia"/>
          <w:kern w:val="0"/>
          <w:sz w:val="24"/>
          <w:szCs w:val="24"/>
        </w:rPr>
        <w:t>）成本效益原则</w:t>
      </w:r>
    </w:p>
    <w:p w14:paraId="5FFA76CF"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公司运用科学化的经营管理方法降低运作成本，提高经济效益，力争以合理的控制成本达到最佳的内部控制效果。</w:t>
      </w:r>
    </w:p>
    <w:p w14:paraId="26ACBCBE"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2</w:t>
      </w:r>
      <w:r w:rsidRPr="00D501C6">
        <w:rPr>
          <w:rFonts w:hint="eastAsia"/>
          <w:kern w:val="0"/>
          <w:sz w:val="24"/>
          <w:szCs w:val="24"/>
        </w:rPr>
        <w:t>、风险管理和内部风险控制体系结构</w:t>
      </w:r>
    </w:p>
    <w:p w14:paraId="4BD17AD2"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14:paraId="3E61B42A"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w:t>
      </w:r>
      <w:r w:rsidRPr="00D501C6">
        <w:rPr>
          <w:rFonts w:hint="eastAsia"/>
          <w:kern w:val="0"/>
          <w:sz w:val="24"/>
          <w:szCs w:val="24"/>
        </w:rPr>
        <w:t>1</w:t>
      </w:r>
      <w:r w:rsidRPr="00D501C6">
        <w:rPr>
          <w:rFonts w:hint="eastAsia"/>
          <w:kern w:val="0"/>
          <w:sz w:val="24"/>
          <w:szCs w:val="24"/>
        </w:rPr>
        <w:t>）董事会</w:t>
      </w:r>
    </w:p>
    <w:p w14:paraId="45497BFC"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负责制定公司风险偏好（含风险容忍度）、风险管理和内部控制政策，审议并通过与公司内部风险管理和合规有关的重大事项。</w:t>
      </w:r>
    </w:p>
    <w:p w14:paraId="2F264C63"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w:t>
      </w:r>
      <w:r w:rsidRPr="00D501C6">
        <w:rPr>
          <w:rFonts w:hint="eastAsia"/>
          <w:kern w:val="0"/>
          <w:sz w:val="24"/>
          <w:szCs w:val="24"/>
        </w:rPr>
        <w:t>2</w:t>
      </w:r>
      <w:r w:rsidRPr="00D501C6">
        <w:rPr>
          <w:rFonts w:hint="eastAsia"/>
          <w:kern w:val="0"/>
          <w:sz w:val="24"/>
          <w:szCs w:val="24"/>
        </w:rPr>
        <w:t>）合规风险及审计委员会</w:t>
      </w:r>
    </w:p>
    <w:p w14:paraId="6B4D43A2"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14:paraId="0E289D9C"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w:t>
      </w:r>
      <w:r w:rsidRPr="00D501C6">
        <w:rPr>
          <w:rFonts w:hint="eastAsia"/>
          <w:kern w:val="0"/>
          <w:sz w:val="24"/>
          <w:szCs w:val="24"/>
        </w:rPr>
        <w:t>3</w:t>
      </w:r>
      <w:r w:rsidRPr="00D501C6">
        <w:rPr>
          <w:rFonts w:hint="eastAsia"/>
          <w:kern w:val="0"/>
          <w:sz w:val="24"/>
          <w:szCs w:val="24"/>
        </w:rPr>
        <w:t>）风险控制委员会</w:t>
      </w:r>
    </w:p>
    <w:p w14:paraId="4733119C"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14:paraId="0D376065"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w:t>
      </w:r>
      <w:r w:rsidRPr="00D501C6">
        <w:rPr>
          <w:rFonts w:hint="eastAsia"/>
          <w:kern w:val="0"/>
          <w:sz w:val="24"/>
          <w:szCs w:val="24"/>
        </w:rPr>
        <w:t>4</w:t>
      </w:r>
      <w:r w:rsidRPr="00D501C6">
        <w:rPr>
          <w:rFonts w:hint="eastAsia"/>
          <w:kern w:val="0"/>
          <w:sz w:val="24"/>
          <w:szCs w:val="24"/>
        </w:rPr>
        <w:t>）督察长</w:t>
      </w:r>
    </w:p>
    <w:p w14:paraId="2079CA8D"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独立行使督察权利；直接对董事会负责；就内部控制制度和执行情况独立地履行检查、评价、报告、建议职能；定期和不定期地向董事会报告公司内部控制执行情况。</w:t>
      </w:r>
    </w:p>
    <w:p w14:paraId="7B5C3E1D"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w:t>
      </w:r>
      <w:r w:rsidRPr="00D501C6">
        <w:rPr>
          <w:rFonts w:hint="eastAsia"/>
          <w:kern w:val="0"/>
          <w:sz w:val="24"/>
          <w:szCs w:val="24"/>
        </w:rPr>
        <w:t>5</w:t>
      </w:r>
      <w:r w:rsidRPr="00D501C6">
        <w:rPr>
          <w:rFonts w:hint="eastAsia"/>
          <w:kern w:val="0"/>
          <w:sz w:val="24"/>
          <w:szCs w:val="24"/>
        </w:rPr>
        <w:t>）风险管理部</w:t>
      </w:r>
    </w:p>
    <w:p w14:paraId="1CC7D5E6"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lastRenderedPageBreak/>
        <w:t>风险管理部负责制定公司风险管理政策和防范及控制措施，汇总公司业务所有的风险信息，独立识别、评估各类风险，提出风险控制建议，使公司在一种风险管理和控制的环境中实现业务目标。</w:t>
      </w:r>
    </w:p>
    <w:p w14:paraId="396599AB"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w:t>
      </w:r>
      <w:r w:rsidRPr="00D501C6">
        <w:rPr>
          <w:rFonts w:hint="eastAsia"/>
          <w:kern w:val="0"/>
          <w:sz w:val="24"/>
          <w:szCs w:val="24"/>
        </w:rPr>
        <w:t>6</w:t>
      </w:r>
      <w:r w:rsidRPr="00D501C6">
        <w:rPr>
          <w:rFonts w:hint="eastAsia"/>
          <w:kern w:val="0"/>
          <w:sz w:val="24"/>
          <w:szCs w:val="24"/>
        </w:rPr>
        <w:t>）审计部</w:t>
      </w:r>
    </w:p>
    <w:p w14:paraId="09C5090B"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14:paraId="66F8AF41"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w:t>
      </w:r>
      <w:r w:rsidRPr="00D501C6">
        <w:rPr>
          <w:rFonts w:hint="eastAsia"/>
          <w:kern w:val="0"/>
          <w:sz w:val="24"/>
          <w:szCs w:val="24"/>
        </w:rPr>
        <w:t>7</w:t>
      </w:r>
      <w:r w:rsidRPr="00D501C6">
        <w:rPr>
          <w:rFonts w:hint="eastAsia"/>
          <w:kern w:val="0"/>
          <w:sz w:val="24"/>
          <w:szCs w:val="24"/>
        </w:rPr>
        <w:t>）内控合规及法律事务部</w:t>
      </w:r>
    </w:p>
    <w:p w14:paraId="6D683CA8"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14:paraId="52EBF663"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w:t>
      </w:r>
      <w:r w:rsidRPr="00D501C6">
        <w:rPr>
          <w:rFonts w:hint="eastAsia"/>
          <w:kern w:val="0"/>
          <w:sz w:val="24"/>
          <w:szCs w:val="24"/>
        </w:rPr>
        <w:t>8</w:t>
      </w:r>
      <w:r w:rsidRPr="00D501C6">
        <w:rPr>
          <w:rFonts w:hint="eastAsia"/>
          <w:kern w:val="0"/>
          <w:sz w:val="24"/>
          <w:szCs w:val="24"/>
        </w:rPr>
        <w:t>）业务部门</w:t>
      </w:r>
    </w:p>
    <w:p w14:paraId="41580975"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风险管理是每一个业务部门首要的责任。部门负责人对本部门的风险负全部责任，负责履行公司的风险管理程序，负责本部门的风险管理系统的开发、执行和维护，用于识别、监控和降低风险。</w:t>
      </w:r>
    </w:p>
    <w:p w14:paraId="696FB102"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3</w:t>
      </w:r>
      <w:r w:rsidRPr="00D501C6">
        <w:rPr>
          <w:rFonts w:hint="eastAsia"/>
          <w:kern w:val="0"/>
          <w:sz w:val="24"/>
          <w:szCs w:val="24"/>
        </w:rPr>
        <w:t>、风险管理和内部风险控制的措施</w:t>
      </w:r>
    </w:p>
    <w:p w14:paraId="7CE67BF4"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w:t>
      </w:r>
      <w:r w:rsidRPr="00D501C6">
        <w:rPr>
          <w:rFonts w:hint="eastAsia"/>
          <w:kern w:val="0"/>
          <w:sz w:val="24"/>
          <w:szCs w:val="24"/>
        </w:rPr>
        <w:t>1</w:t>
      </w:r>
      <w:r w:rsidRPr="00D501C6">
        <w:rPr>
          <w:rFonts w:hint="eastAsia"/>
          <w:kern w:val="0"/>
          <w:sz w:val="24"/>
          <w:szCs w:val="24"/>
        </w:rPr>
        <w:t>）建立内控体系，完善内控制度</w:t>
      </w:r>
    </w:p>
    <w:p w14:paraId="312E44DD"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公司建立、健全了内控体系，通过高管人员关于内控的明确分工，确保各项业务活动有恰当的组织和授权，确保监察活动独立，并得到高管人员的支持，同时置备操作手册，并定期更新。</w:t>
      </w:r>
    </w:p>
    <w:p w14:paraId="5714AAA0"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w:t>
      </w:r>
      <w:r w:rsidRPr="00D501C6">
        <w:rPr>
          <w:rFonts w:hint="eastAsia"/>
          <w:kern w:val="0"/>
          <w:sz w:val="24"/>
          <w:szCs w:val="24"/>
        </w:rPr>
        <w:t>2</w:t>
      </w:r>
      <w:r w:rsidRPr="00D501C6">
        <w:rPr>
          <w:rFonts w:hint="eastAsia"/>
          <w:kern w:val="0"/>
          <w:sz w:val="24"/>
          <w:szCs w:val="24"/>
        </w:rPr>
        <w:t>）建立相互分离、相互制衡的内控机制</w:t>
      </w:r>
    </w:p>
    <w:p w14:paraId="4EE29BE2"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建立、健全了各项制度，做到基金经理分开，投资决策分开，基金交易集中，形成不同部门、不同岗位之间的制衡机制，从制度上减少和防范风险。</w:t>
      </w:r>
    </w:p>
    <w:p w14:paraId="66830C2F"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w:t>
      </w:r>
      <w:r w:rsidRPr="00D501C6">
        <w:rPr>
          <w:rFonts w:hint="eastAsia"/>
          <w:kern w:val="0"/>
          <w:sz w:val="24"/>
          <w:szCs w:val="24"/>
        </w:rPr>
        <w:t>3</w:t>
      </w:r>
      <w:r w:rsidRPr="00D501C6">
        <w:rPr>
          <w:rFonts w:hint="eastAsia"/>
          <w:kern w:val="0"/>
          <w:sz w:val="24"/>
          <w:szCs w:val="24"/>
        </w:rPr>
        <w:t>）建立、健全岗位责任制</w:t>
      </w:r>
    </w:p>
    <w:p w14:paraId="4C77542B"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建立、健全了岗位责任制，使每个员工都明确自己的任务、职责，并及时将各自工作领域中的风险隐患上报，以防范和减少风险。</w:t>
      </w:r>
    </w:p>
    <w:p w14:paraId="18E4E172"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w:t>
      </w:r>
      <w:r w:rsidRPr="00D501C6">
        <w:rPr>
          <w:rFonts w:hint="eastAsia"/>
          <w:kern w:val="0"/>
          <w:sz w:val="24"/>
          <w:szCs w:val="24"/>
        </w:rPr>
        <w:t>4</w:t>
      </w:r>
      <w:r w:rsidRPr="00D501C6">
        <w:rPr>
          <w:rFonts w:hint="eastAsia"/>
          <w:kern w:val="0"/>
          <w:sz w:val="24"/>
          <w:szCs w:val="24"/>
        </w:rPr>
        <w:t>）建立风险分类、识别、评估、报告、提示程序</w:t>
      </w:r>
    </w:p>
    <w:p w14:paraId="1FA99481"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14:paraId="47B2D448"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lastRenderedPageBreak/>
        <w:t>（</w:t>
      </w:r>
      <w:r w:rsidRPr="00D501C6">
        <w:rPr>
          <w:rFonts w:hint="eastAsia"/>
          <w:kern w:val="0"/>
          <w:sz w:val="24"/>
          <w:szCs w:val="24"/>
        </w:rPr>
        <w:t>5</w:t>
      </w:r>
      <w:r w:rsidRPr="00D501C6">
        <w:rPr>
          <w:rFonts w:hint="eastAsia"/>
          <w:kern w:val="0"/>
          <w:sz w:val="24"/>
          <w:szCs w:val="24"/>
        </w:rPr>
        <w:t>）建立有效的内部监控系统</w:t>
      </w:r>
    </w:p>
    <w:p w14:paraId="3286A992"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建立了足够、有效的内部监控系统，对可能出现的各种风险进行全面和实时的监控。</w:t>
      </w:r>
    </w:p>
    <w:p w14:paraId="73241097"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w:t>
      </w:r>
      <w:r w:rsidRPr="00D501C6">
        <w:rPr>
          <w:rFonts w:hint="eastAsia"/>
          <w:kern w:val="0"/>
          <w:sz w:val="24"/>
          <w:szCs w:val="24"/>
        </w:rPr>
        <w:t>6</w:t>
      </w:r>
      <w:r w:rsidRPr="00D501C6">
        <w:rPr>
          <w:rFonts w:hint="eastAsia"/>
          <w:kern w:val="0"/>
          <w:sz w:val="24"/>
          <w:szCs w:val="24"/>
        </w:rPr>
        <w:t>）使用数量化的风险管理手段</w:t>
      </w:r>
    </w:p>
    <w:p w14:paraId="499D66CB"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采取数量化、技术化的风险控制手段，建立数量化的风险管理模型，用以提示指数趋势、行业及个券的风险，以便公司及时采取有效的措施，对风险进行分散、控制和规避，尽可能地减少损失。</w:t>
      </w:r>
    </w:p>
    <w:p w14:paraId="367D4FFD" w14:textId="77777777" w:rsidR="004F125D" w:rsidRPr="00D501C6" w:rsidRDefault="004F125D" w:rsidP="004F125D">
      <w:pPr>
        <w:widowControl/>
        <w:adjustRightInd w:val="0"/>
        <w:snapToGrid w:val="0"/>
        <w:spacing w:line="360" w:lineRule="auto"/>
        <w:ind w:firstLineChars="200" w:firstLine="480"/>
        <w:rPr>
          <w:kern w:val="0"/>
          <w:sz w:val="24"/>
          <w:szCs w:val="24"/>
        </w:rPr>
      </w:pPr>
      <w:r w:rsidRPr="00D501C6">
        <w:rPr>
          <w:rFonts w:hint="eastAsia"/>
          <w:kern w:val="0"/>
          <w:sz w:val="24"/>
          <w:szCs w:val="24"/>
        </w:rPr>
        <w:t>（</w:t>
      </w:r>
      <w:r w:rsidRPr="00D501C6">
        <w:rPr>
          <w:rFonts w:hint="eastAsia"/>
          <w:kern w:val="0"/>
          <w:sz w:val="24"/>
          <w:szCs w:val="24"/>
        </w:rPr>
        <w:t>7</w:t>
      </w:r>
      <w:r w:rsidRPr="00D501C6">
        <w:rPr>
          <w:rFonts w:hint="eastAsia"/>
          <w:kern w:val="0"/>
          <w:sz w:val="24"/>
          <w:szCs w:val="24"/>
        </w:rPr>
        <w:t>）提供足够的培训</w:t>
      </w:r>
    </w:p>
    <w:p w14:paraId="55E109C2" w14:textId="51FBC032" w:rsidR="00F27890" w:rsidRDefault="004F125D">
      <w:pPr>
        <w:autoSpaceDE w:val="0"/>
        <w:autoSpaceDN w:val="0"/>
        <w:adjustRightInd w:val="0"/>
        <w:snapToGrid w:val="0"/>
        <w:spacing w:line="360" w:lineRule="auto"/>
        <w:ind w:firstLineChars="200" w:firstLine="480"/>
        <w:jc w:val="left"/>
        <w:rPr>
          <w:rFonts w:ascii="宋体" w:hAnsi="宋体"/>
          <w:szCs w:val="24"/>
        </w:rPr>
      </w:pPr>
      <w:r w:rsidRPr="00D501C6">
        <w:rPr>
          <w:rFonts w:hint="eastAsia"/>
          <w:kern w:val="0"/>
          <w:sz w:val="24"/>
          <w:szCs w:val="24"/>
        </w:rPr>
        <w:t>制定了完整的培训计划，为所有员工提供足够和适当的培训，使员工明确其职责所在，控制风险。</w:t>
      </w:r>
    </w:p>
    <w:p w14:paraId="354033F0" w14:textId="77777777" w:rsidR="00F27890" w:rsidRDefault="00027971">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7B155D91" w14:textId="77777777" w:rsidR="00F27890" w:rsidRDefault="00027971">
      <w:pPr>
        <w:pStyle w:val="1"/>
        <w:snapToGrid w:val="0"/>
        <w:spacing w:beforeLines="0" w:before="240" w:after="240"/>
        <w:rPr>
          <w:rFonts w:ascii="宋体" w:hAnsi="宋体"/>
          <w:szCs w:val="30"/>
        </w:rPr>
      </w:pPr>
      <w:bookmarkStart w:id="9" w:name="_Toc200977051"/>
      <w:r>
        <w:rPr>
          <w:rFonts w:ascii="Times New Roman" w:hAnsi="Times New Roman"/>
          <w:sz w:val="30"/>
        </w:rPr>
        <w:t>四、基金托管人</w:t>
      </w:r>
      <w:bookmarkEnd w:id="9"/>
    </w:p>
    <w:p w14:paraId="7DB38CA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（一）基金托管人情况</w:t>
      </w:r>
    </w:p>
    <w:p w14:paraId="6C27714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14:paraId="40319AD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14:paraId="4A0D1EA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14:paraId="745E385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14:paraId="5DA3967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14:paraId="67CFB2E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14:paraId="2610700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14:paraId="5FA6003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14:paraId="7E63827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14:paraId="4A900CE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14:paraId="134CE54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14:paraId="0803731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14:paraId="0763CF1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14:paraId="1B0D727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14:paraId="6DEDEEE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w:t>
      </w:r>
      <w:r>
        <w:rPr>
          <w:rFonts w:ascii="宋体" w:hAnsi="宋体"/>
          <w:sz w:val="24"/>
        </w:rPr>
        <w:lastRenderedPageBreak/>
        <w:t>质，业绩突出，2004年被英国《全球托管人》评为中国“最佳托管银行”。2007年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14:paraId="5BF3681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14:paraId="23EE09F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14:paraId="7E00EBA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14:paraId="045D0B8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14:paraId="008F49BB" w14:textId="220BBBFD"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截止到2025年</w:t>
      </w:r>
      <w:r w:rsidR="00FA127C" w:rsidRPr="00FA127C">
        <w:rPr>
          <w:rFonts w:ascii="宋体" w:hAnsi="宋体" w:hint="eastAsia"/>
          <w:sz w:val="24"/>
        </w:rPr>
        <w:t>9月30日</w:t>
      </w:r>
      <w:r>
        <w:rPr>
          <w:rFonts w:ascii="宋体" w:hAnsi="宋体"/>
          <w:sz w:val="24"/>
        </w:rPr>
        <w:t>，中国农业银行托管的封闭式证券投资基金和开放式证券投资基金共</w:t>
      </w:r>
      <w:r w:rsidR="00FA127C" w:rsidRPr="00FA127C">
        <w:rPr>
          <w:rFonts w:ascii="宋体" w:hAnsi="宋体" w:hint="eastAsia"/>
          <w:sz w:val="24"/>
        </w:rPr>
        <w:t>982只</w:t>
      </w:r>
      <w:r>
        <w:rPr>
          <w:rFonts w:ascii="宋体" w:hAnsi="宋体"/>
          <w:sz w:val="24"/>
        </w:rPr>
        <w:t>。</w:t>
      </w:r>
    </w:p>
    <w:p w14:paraId="140C33B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（二）基金托管人的内部风险控制制度说明</w:t>
      </w:r>
    </w:p>
    <w:p w14:paraId="3328065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14:paraId="2186F77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w:t>
      </w:r>
      <w:r>
        <w:rPr>
          <w:rFonts w:ascii="宋体" w:hAnsi="宋体"/>
          <w:sz w:val="24"/>
        </w:rPr>
        <w:lastRenderedPageBreak/>
        <w:t>守法经营、规范运作、严格监察，确保业务的稳健运行，保证基金财产的安全完整，确保有关信息的真实、准确、完整、及时，保护基金份额持有人的合法权益。</w:t>
      </w:r>
    </w:p>
    <w:p w14:paraId="51CFEAC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14:paraId="306FB1D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14:paraId="48078FA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14:paraId="651FCD9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14:paraId="1020043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（三）基金托管人对基金管理人运作基金进行监督的方法和程序</w:t>
      </w:r>
    </w:p>
    <w:p w14:paraId="374E4EF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14:paraId="5238B1F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14:paraId="64107F8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14:paraId="67F9A20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14:paraId="6ECAD38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14:paraId="76216663" w14:textId="77777777" w:rsidR="00F27890" w:rsidRDefault="00027971">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7A61D27B" w14:textId="77777777" w:rsidR="00F27890" w:rsidRDefault="00027971">
      <w:pPr>
        <w:pStyle w:val="1"/>
        <w:snapToGrid w:val="0"/>
        <w:spacing w:beforeLines="0" w:before="240" w:after="240"/>
        <w:rPr>
          <w:rFonts w:ascii="宋体" w:hAnsi="宋体"/>
          <w:szCs w:val="30"/>
        </w:rPr>
      </w:pPr>
      <w:bookmarkStart w:id="10" w:name="_Toc200977052"/>
      <w:r>
        <w:rPr>
          <w:rFonts w:ascii="Times New Roman" w:hAnsi="Times New Roman"/>
          <w:sz w:val="30"/>
        </w:rPr>
        <w:t>五、相关服务机构</w:t>
      </w:r>
      <w:bookmarkEnd w:id="10"/>
    </w:p>
    <w:p w14:paraId="15D4B5E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14:paraId="1C52B36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14:paraId="2BB8A25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14:paraId="653911D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14:paraId="596D3E7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14:paraId="4F02364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14:paraId="22E8C32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14:paraId="5693204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14:paraId="6549583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14:paraId="49C9564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14:paraId="4C007D2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14:paraId="49CED97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14:paraId="1F79E4A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14:paraId="2245B18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14:paraId="66B7B612" w14:textId="38AAA81A"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14:paraId="30D0B55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14:paraId="51C8CA0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14:paraId="1EFB541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14:paraId="2AD5151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14:paraId="4B9742C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14:paraId="04E9152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14:paraId="7CDD124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14:paraId="4812B52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14:paraId="10BBD21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14:paraId="10767B3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14:paraId="2C60D64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（2）名称：中国农业银行股份有限公司</w:t>
      </w:r>
    </w:p>
    <w:p w14:paraId="1A0A171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14:paraId="1024ECB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14:paraId="739A82D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14:paraId="099997A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14:paraId="645C4BD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14:paraId="43D582D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14:paraId="7108695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14:paraId="6ABEDBA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14:paraId="36FE02A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（3）名称：宁波银行股份有限公司</w:t>
      </w:r>
    </w:p>
    <w:p w14:paraId="49B921E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14:paraId="5E56753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14:paraId="35DB476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14:paraId="384DEE8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14:paraId="20C4F49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14:paraId="3EE8BB4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14:paraId="0166160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14:paraId="4468901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（4）名称：兴业银行股份有限公司</w:t>
      </w:r>
    </w:p>
    <w:p w14:paraId="7A6DACD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14:paraId="5C8D50AF" w14:textId="651DA8FA"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办公地址：上海市浦东新区银城路167号兴业银行大厦</w:t>
      </w:r>
    </w:p>
    <w:p w14:paraId="345D1E9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14:paraId="736C737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14:paraId="2296241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14:paraId="74F3AFC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14:paraId="43AAE67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14:paraId="0E59460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（5）名称：西部证券股份有限公司</w:t>
      </w:r>
    </w:p>
    <w:p w14:paraId="11DFE3EB" w14:textId="1A89479C"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住所：陕西省西安市新城区东新街319号8幢10000室</w:t>
      </w:r>
    </w:p>
    <w:p w14:paraId="55376764" w14:textId="279ABBDC"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办公地址：陕西省西安市新城区东新街319号8幢10000室</w:t>
      </w:r>
    </w:p>
    <w:p w14:paraId="498649E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14:paraId="3FCF312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14:paraId="0A9DDBD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联系人：张吉安</w:t>
      </w:r>
    </w:p>
    <w:p w14:paraId="6507C12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14:paraId="758A3DF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14:paraId="537871D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（6）名称：广发证券股份有限公司</w:t>
      </w:r>
    </w:p>
    <w:p w14:paraId="4EB5279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14:paraId="16BCB2C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14:paraId="602478B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法定代表人：孙树明</w:t>
      </w:r>
    </w:p>
    <w:p w14:paraId="7237727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14:paraId="54305B8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14:paraId="5E356CA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联系人：马梦洁</w:t>
      </w:r>
    </w:p>
    <w:p w14:paraId="4296AF4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14:paraId="29CF9B8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14:paraId="1C8F38C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（7）名称：中航证券有限公司</w:t>
      </w:r>
    </w:p>
    <w:p w14:paraId="3D81175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14:paraId="1C69F6B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14:paraId="2829CF1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14:paraId="66F9DF8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14:paraId="1B00E66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14:paraId="0C94E02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14:paraId="4667277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14:paraId="7E627D2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14:paraId="23697CA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（8）名称：中邮证券有限责任公司</w:t>
      </w:r>
    </w:p>
    <w:p w14:paraId="20E08B0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注册地址：陕西省西安市唐延路5号（陕西邮政信息大厦9-11层）</w:t>
      </w:r>
    </w:p>
    <w:p w14:paraId="6143773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14:paraId="7442799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法定代表人：郭成林</w:t>
      </w:r>
    </w:p>
    <w:p w14:paraId="353F573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14:paraId="5A00DBA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14:paraId="6DF6676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联系人：史蕾</w:t>
      </w:r>
    </w:p>
    <w:p w14:paraId="20E907C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14:paraId="26DC036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网址：www.cnpsec.com</w:t>
      </w:r>
    </w:p>
    <w:p w14:paraId="617C7E4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（9）名称：中信建投证券股份有限公司</w:t>
      </w:r>
    </w:p>
    <w:p w14:paraId="0004880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14:paraId="48E2B35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14:paraId="3C0782D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法定代表人：王常青</w:t>
      </w:r>
    </w:p>
    <w:p w14:paraId="0733AFE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电话：（010）85130588</w:t>
      </w:r>
    </w:p>
    <w:p w14:paraId="64EFE81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传真：（010）65182261</w:t>
      </w:r>
    </w:p>
    <w:p w14:paraId="62A6A20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联系人：魏明</w:t>
      </w:r>
    </w:p>
    <w:p w14:paraId="2DA2B5D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14:paraId="5625F38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14:paraId="08FBA13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（10）名称：开源证券股份有限公司</w:t>
      </w:r>
    </w:p>
    <w:p w14:paraId="386560E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14:paraId="24442DA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14:paraId="66992DE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14:paraId="1D839C0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14:paraId="5D05F54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14:paraId="489FE09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14:paraId="3876D57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14:paraId="41E9332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（11）名称：华泰证券股份有限公司</w:t>
      </w:r>
    </w:p>
    <w:p w14:paraId="2A5CBDC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14:paraId="42E96E3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14:paraId="1036BFB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14:paraId="1F650FF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14:paraId="0321693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14:paraId="33CD521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联系人：胡子豪</w:t>
      </w:r>
    </w:p>
    <w:p w14:paraId="66D24B2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14:paraId="2C99835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14:paraId="184F68B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（12）名称：华西证券股份有限公司</w:t>
      </w:r>
    </w:p>
    <w:p w14:paraId="3971B18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14:paraId="59B3D7C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14:paraId="636A3B1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14:paraId="7D6AECD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电话：（028）86135991</w:t>
      </w:r>
    </w:p>
    <w:p w14:paraId="0A0C4F5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14:paraId="154BA93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14:paraId="12A7BE8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14:paraId="4845448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14:paraId="246359D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（13）名称：国金证券股份有限公司</w:t>
      </w:r>
    </w:p>
    <w:p w14:paraId="127B7D8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14:paraId="268B82C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14:paraId="5123F05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14:paraId="6AC9203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14:paraId="40E59E3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14:paraId="43F2B14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14:paraId="5087540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14:paraId="72AF273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14:paraId="4481772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（14）名称：申万宏源证券有限公司</w:t>
      </w:r>
    </w:p>
    <w:p w14:paraId="35C4CFF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14:paraId="5A69E99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14:paraId="2C329FD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14:paraId="2D2BDDF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14:paraId="06EF302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14:paraId="2117702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14:paraId="1B36918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14:paraId="1779266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（15）名称：申万宏源西部证券有限公司</w:t>
      </w:r>
    </w:p>
    <w:p w14:paraId="1DC3392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14:paraId="6573563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14:paraId="14BE804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14:paraId="6B4BDB8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14:paraId="58321C5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14:paraId="157716E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14:paraId="14B6136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14:paraId="28122EF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网址：www.hysec.com</w:t>
      </w:r>
    </w:p>
    <w:p w14:paraId="5CA021C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（16）名称：中信证券（山东）有限责任公司</w:t>
      </w:r>
    </w:p>
    <w:p w14:paraId="063BBE2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14:paraId="3CFAE49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14:paraId="0020497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法定代表人：姜晓林</w:t>
      </w:r>
    </w:p>
    <w:p w14:paraId="71AE9D6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14:paraId="52D8CC4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14:paraId="6221F55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联系人：焦刚</w:t>
      </w:r>
    </w:p>
    <w:p w14:paraId="4BCE0F3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14:paraId="3B2B113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14:paraId="7E4143F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（17）名称：中信证券股份有限公司</w:t>
      </w:r>
    </w:p>
    <w:p w14:paraId="28D8A59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14:paraId="1A560D8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14:paraId="725245F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14:paraId="5953F97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14:paraId="05961C2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14:paraId="6AC1E5E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14:paraId="2B9E509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（18）名称：中信证券华南股份有限公司</w:t>
      </w:r>
    </w:p>
    <w:p w14:paraId="7386CA7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14:paraId="1511D24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14:paraId="67BCDDA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法定代表人：胡伏云</w:t>
      </w:r>
    </w:p>
    <w:p w14:paraId="53907D8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14:paraId="692B80E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14:paraId="44FDCD6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联系人：陈靖</w:t>
      </w:r>
    </w:p>
    <w:p w14:paraId="57BCCE7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14:paraId="0148947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14:paraId="5874D47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（19）名称：申港证券股份有限公司</w:t>
      </w:r>
    </w:p>
    <w:p w14:paraId="1508231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住所：中国（上海）自由贸易实验区世纪大道1589号长泰国际金融大厦16/22/23楼</w:t>
      </w:r>
    </w:p>
    <w:p w14:paraId="7436F55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办公地址：中国（上海）自由贸易试验区世纪大道1589号长泰国际金融大厦</w:t>
      </w:r>
      <w:r>
        <w:rPr>
          <w:rFonts w:ascii="宋体" w:hAnsi="宋体"/>
          <w:sz w:val="24"/>
        </w:rPr>
        <w:lastRenderedPageBreak/>
        <w:t>16/19/22/23/26楼</w:t>
      </w:r>
    </w:p>
    <w:p w14:paraId="7B6E9EC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法定代表人：邵亚良</w:t>
      </w:r>
    </w:p>
    <w:p w14:paraId="5DCD736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电话：021-20639666</w:t>
      </w:r>
    </w:p>
    <w:p w14:paraId="2DD2460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传真：021-20639696</w:t>
      </w:r>
    </w:p>
    <w:p w14:paraId="76D4AF0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联系人：金燕</w:t>
      </w:r>
    </w:p>
    <w:p w14:paraId="584B02B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客户服务电话：956029/021-80229999</w:t>
      </w:r>
    </w:p>
    <w:p w14:paraId="50B3433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网址：www.shgsec.com</w:t>
      </w:r>
    </w:p>
    <w:p w14:paraId="0825E1E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（20）名称：招商证券股份有限公司</w:t>
      </w:r>
    </w:p>
    <w:p w14:paraId="3057533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14:paraId="21208D6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14:paraId="78DE284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14:paraId="7DBCD10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14:paraId="4FAD2A8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14:paraId="4146580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14:paraId="42AC31E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14:paraId="6304371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14:paraId="33C1B5E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（21）名称：山西证券股份有限公司</w:t>
      </w:r>
    </w:p>
    <w:p w14:paraId="296C759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14:paraId="40E8532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14:paraId="2BCA366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14:paraId="07964C0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14:paraId="2BEFD2B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14:paraId="2A7330A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14:paraId="201DB09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14:paraId="2E0D30E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（22）名称：国新证券股份有限公司</w:t>
      </w:r>
    </w:p>
    <w:p w14:paraId="4B190A4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14:paraId="1AABCD7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14:paraId="4BF5096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14:paraId="12763B0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14:paraId="5CC2BB5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14:paraId="35996C2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联系人：黄恒</w:t>
      </w:r>
    </w:p>
    <w:p w14:paraId="59D7819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14:paraId="3B9455A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14:paraId="44A5C30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（23）名称：深圳市新兰德证券投资咨询有限公司</w:t>
      </w:r>
    </w:p>
    <w:p w14:paraId="2638A11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14:paraId="6588C14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14:paraId="4A6AA28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14:paraId="77EA96B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14:paraId="7DA5041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14:paraId="3E9A818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14:paraId="4868FC0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14:paraId="7E99716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14:paraId="5FA08CF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（24）名称：大连网金基金销售有限公司</w:t>
      </w:r>
    </w:p>
    <w:p w14:paraId="2D4C5551" w14:textId="73C3C60B"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住所：辽宁省大连市沙河口区体坛路22号诺德大厦2层202室</w:t>
      </w:r>
    </w:p>
    <w:p w14:paraId="6471D4BF" w14:textId="7C98C6E9"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办公地址：辽宁省大连市沙河口区体坛路22号诺德大厦2层202室</w:t>
      </w:r>
    </w:p>
    <w:p w14:paraId="7DFB98CC" w14:textId="6087CBA9"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法定代表人：樊怀东</w:t>
      </w:r>
    </w:p>
    <w:p w14:paraId="3821BC2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14:paraId="013BE95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14:paraId="72730817" w14:textId="27464636"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联系人：于秀</w:t>
      </w:r>
    </w:p>
    <w:p w14:paraId="420A4C9F" w14:textId="1D546EFC"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客户服务电话：4000-899-100</w:t>
      </w:r>
    </w:p>
    <w:p w14:paraId="202A554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14:paraId="1316D67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（25）名称：阳光人寿保险股份有限公司</w:t>
      </w:r>
    </w:p>
    <w:p w14:paraId="6E2D8FB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14:paraId="64EFDB3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14:paraId="60BA98F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14:paraId="718BF5F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14:paraId="2168706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14:paraId="3EAC1D1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14:paraId="6BE5E69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14:paraId="6DCCB8E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14:paraId="61DF363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（26）名称：玄元保险代理有限公司</w:t>
      </w:r>
    </w:p>
    <w:p w14:paraId="4B30896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14:paraId="20149DB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14:paraId="51F473F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14:paraId="2A12955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14:paraId="25F7073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14:paraId="10DB903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14:paraId="52381DF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14:paraId="4DE1747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（27）名称：京东肯特瑞基金销售有限公司</w:t>
      </w:r>
    </w:p>
    <w:p w14:paraId="5D3E4290" w14:textId="531AEF96"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住所：北京市海淀区西三旗建材城中路12号17号平房157</w:t>
      </w:r>
    </w:p>
    <w:p w14:paraId="388C6AC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14:paraId="7DE90D4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14:paraId="70B098A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14:paraId="41DDB37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14:paraId="713A798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14:paraId="6B550AB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14:paraId="3888938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14:paraId="6A8F75E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（28）名称：上海大智慧基金销售有限公司</w:t>
      </w:r>
    </w:p>
    <w:p w14:paraId="1CAC22E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14:paraId="12C3999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14:paraId="74E6F22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14:paraId="5AE43E3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14:paraId="0132EC6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14:paraId="19A3853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14:paraId="313A03A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14:paraId="19AB8C0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14:paraId="6528B78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（29）名称：珠海盈米基金销售有限公司</w:t>
      </w:r>
    </w:p>
    <w:p w14:paraId="6614E42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14:paraId="4A82BB1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14:paraId="145016E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法定代表人：肖雯</w:t>
      </w:r>
    </w:p>
    <w:p w14:paraId="5F8C7D6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14:paraId="2BB4BE0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14:paraId="4FEBD17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14:paraId="24CE91E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14:paraId="23C0FB9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14:paraId="3D80255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（30）名称：上海华夏财富投资管理有限公司</w:t>
      </w:r>
    </w:p>
    <w:p w14:paraId="782687B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14:paraId="7931B8B8" w14:textId="2E220055"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办公地址：北京市西城区金融大街33号通泰大厦B座8层</w:t>
      </w:r>
    </w:p>
    <w:p w14:paraId="03885612" w14:textId="6B106E02"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法定代表人：毛淮平</w:t>
      </w:r>
    </w:p>
    <w:p w14:paraId="205AA15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14:paraId="4FEB83C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14:paraId="192B63F4" w14:textId="59554D92"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联系人：张静怡</w:t>
      </w:r>
    </w:p>
    <w:p w14:paraId="30A6486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14:paraId="763388AD" w14:textId="32C0576B"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网址：www.amcfortune.com</w:t>
      </w:r>
    </w:p>
    <w:p w14:paraId="320F541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（31）名称：嘉实财富管理有限公司</w:t>
      </w:r>
    </w:p>
    <w:p w14:paraId="1119473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14:paraId="11CE4C3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14:paraId="324FCE00" w14:textId="1E81EBEB"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法定代表人:张峰</w:t>
      </w:r>
    </w:p>
    <w:p w14:paraId="3A9EA9EC" w14:textId="23D2395A"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电话：010-85097302</w:t>
      </w:r>
    </w:p>
    <w:p w14:paraId="73E986F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14:paraId="60ECAA5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14:paraId="724EE2E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14:paraId="5764A7D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（32）名称：北京汇成基金销售有限公司</w:t>
      </w:r>
    </w:p>
    <w:p w14:paraId="4B86D15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14:paraId="0E1AF83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14:paraId="3BB018A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14:paraId="6DADFED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14:paraId="4715EE2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14:paraId="2F5DE74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联系人：张林</w:t>
      </w:r>
    </w:p>
    <w:p w14:paraId="407E162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客户服务电话：400-619-9059</w:t>
      </w:r>
    </w:p>
    <w:p w14:paraId="40240EE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14:paraId="425CE47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（33）名称：上海利得基金销售有限公司</w:t>
      </w:r>
    </w:p>
    <w:p w14:paraId="00B4E786" w14:textId="42EA4814"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住所：上海浦东新区峨山路91弄61号陆家嘴软件园10号楼12楼</w:t>
      </w:r>
    </w:p>
    <w:p w14:paraId="3722A7B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14:paraId="47880AF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14:paraId="491A817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14:paraId="18E5D89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14:paraId="44B23C2B" w14:textId="70F2C0BB"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联系人：伍豪</w:t>
      </w:r>
    </w:p>
    <w:p w14:paraId="04BB236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14:paraId="1A48E6F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14:paraId="79D1DB2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（34）名称：北京虹点基金销售有限公司</w:t>
      </w:r>
    </w:p>
    <w:p w14:paraId="02D0B12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14:paraId="1B28B3C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14:paraId="0385C33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14:paraId="3DA00C3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14:paraId="4001B35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14:paraId="1C4AA34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14:paraId="76674A0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14:paraId="73903AA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14:paraId="7F26C40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（35）名称：上海陆金所基金销售有限公司</w:t>
      </w:r>
    </w:p>
    <w:p w14:paraId="0D3C072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14:paraId="52EB5AA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14:paraId="2A02943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14:paraId="3FFBBA2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14:paraId="37210CF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14:paraId="09FA117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14:paraId="597C66C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14:paraId="1480DA9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14:paraId="2E4F4A1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（36）名称：上海挖财基金销售有限公司</w:t>
      </w:r>
    </w:p>
    <w:p w14:paraId="32DB4AA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14:paraId="21CA9AE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14:paraId="74A5E51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14:paraId="1B52744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14:paraId="4543A83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14:paraId="4F998A2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14:paraId="5055757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14:paraId="7987859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14:paraId="5F1D7A6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14:paraId="08EE8FD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（37）名称：万家财富基金销售（天津）有限公司</w:t>
      </w:r>
    </w:p>
    <w:p w14:paraId="43105E8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14:paraId="660748D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14:paraId="408169B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14:paraId="3FC191F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14:paraId="000A37B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14:paraId="2308C9D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14:paraId="23340CD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14:paraId="1EDD12A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14:paraId="22228C1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（38）名称：上海万得基金销售有限公司</w:t>
      </w:r>
    </w:p>
    <w:p w14:paraId="2265BB0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14:paraId="33C5DA5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14:paraId="4856BFD5" w14:textId="3AF9D8AD"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法定代表人：宋晓言</w:t>
      </w:r>
    </w:p>
    <w:p w14:paraId="430A220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14:paraId="76C728B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14:paraId="517323EB" w14:textId="6CA2E6C0"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联系人：马烨莹</w:t>
      </w:r>
    </w:p>
    <w:p w14:paraId="4935C40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14:paraId="2EAD9888" w14:textId="570B0524"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网址：www.520fund.com.cn</w:t>
      </w:r>
    </w:p>
    <w:p w14:paraId="54C1736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（39）名称：格上富信投资顾问有限公司</w:t>
      </w:r>
    </w:p>
    <w:p w14:paraId="1C74C94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14:paraId="475B601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办公地址：北京市朝阳区东三环北路19号楼701内09室</w:t>
      </w:r>
    </w:p>
    <w:p w14:paraId="1783543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14:paraId="24436CD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14:paraId="49B4702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14:paraId="2A3EF9B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14:paraId="4CFE6C6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14:paraId="579232A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14:paraId="1EAD9B6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（40）名称：深圳市金斧子基金销售有限公司</w:t>
      </w:r>
    </w:p>
    <w:p w14:paraId="052F0EB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14:paraId="79535B1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14:paraId="0DDA637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14:paraId="0E2590B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14:paraId="522C70F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14:paraId="0DF6F3C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14:paraId="55F2BB4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14:paraId="5C08B15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14:paraId="5489640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（41）名称：北京雪球基金销售有限公司</w:t>
      </w:r>
    </w:p>
    <w:p w14:paraId="35CF2434" w14:textId="7FE0E69B"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住所：北京市朝阳区创远路34号院6号楼15层1501室</w:t>
      </w:r>
    </w:p>
    <w:p w14:paraId="66ACB98D" w14:textId="0AA0AEB5"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办公地址：北京市朝阳区创远路34号院融新科技中心C座17层</w:t>
      </w:r>
    </w:p>
    <w:p w14:paraId="0B574E3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14:paraId="2F5F337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14:paraId="7247617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14:paraId="37739D6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14:paraId="696B2E3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14:paraId="4FDA03F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14:paraId="79D64BA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（42）名称：北京新浪仓石基金销售有限公司</w:t>
      </w:r>
    </w:p>
    <w:p w14:paraId="2D223A3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14:paraId="152007F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14:paraId="08DDE96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法定代表人：穆飞虎</w:t>
      </w:r>
    </w:p>
    <w:p w14:paraId="4450762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14:paraId="5DD2810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14:paraId="6FADAE5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14:paraId="7506C2B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14:paraId="1F68781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（43）名称：中证金牛（北京）基金销售有限公司</w:t>
      </w:r>
    </w:p>
    <w:p w14:paraId="05D3D836" w14:textId="19F73815"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住所：北京市丰台区东管头1号2号楼2-45室</w:t>
      </w:r>
    </w:p>
    <w:p w14:paraId="2B1A3888" w14:textId="17FE2780"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办公地址：北京市西城区宣武门外大街甲一号环球财讯中心A座5层</w:t>
      </w:r>
    </w:p>
    <w:p w14:paraId="27F773A1" w14:textId="1A3FFA7C"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法定代表人：钱昊旻</w:t>
      </w:r>
    </w:p>
    <w:p w14:paraId="5B1BA02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14:paraId="4DDB1E7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14:paraId="6A2D1E43" w14:textId="54D471D6"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联系人：沈晨</w:t>
      </w:r>
    </w:p>
    <w:p w14:paraId="5FEED86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14:paraId="68F13FCF" w14:textId="6BECDFB8"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网址：www.jnlc.com</w:t>
      </w:r>
    </w:p>
    <w:p w14:paraId="0A29D83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（44）名称：上海云湾基金销售有限公司</w:t>
      </w:r>
    </w:p>
    <w:p w14:paraId="0258A507" w14:textId="6231E30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住所：中国（上海）自由贸易试验区新金桥路27号1号1层</w:t>
      </w:r>
    </w:p>
    <w:p w14:paraId="1DBFB85D" w14:textId="3B26A97D"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办公地址：上海市浦东新区新金桥路27号1号楼</w:t>
      </w:r>
    </w:p>
    <w:p w14:paraId="5F1091D1" w14:textId="122A109B"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法定代表人：冯轶明</w:t>
      </w:r>
    </w:p>
    <w:p w14:paraId="19B6DB1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14:paraId="16FFC4D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14:paraId="6D30455F" w14:textId="7D2F633D"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联系人：范泽杰</w:t>
      </w:r>
    </w:p>
    <w:p w14:paraId="6FE24DB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客户服务电话：400-820-1515</w:t>
      </w:r>
    </w:p>
    <w:p w14:paraId="57CC373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网址：www.zhengtongfunds.com</w:t>
      </w:r>
    </w:p>
    <w:p w14:paraId="506F8C8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（45）名称：北京创金启富基金销售有限公司</w:t>
      </w:r>
    </w:p>
    <w:p w14:paraId="626E01EF" w14:textId="045F18C4"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住所：北京市西城区白纸坊东街2号院6号楼712室</w:t>
      </w:r>
    </w:p>
    <w:p w14:paraId="314D1C32" w14:textId="70CED189"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办公地址：北京市西城区白纸坊东街2号院6号楼712室</w:t>
      </w:r>
    </w:p>
    <w:p w14:paraId="763F72FE" w14:textId="680558C4"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法定代表人：梁蓉</w:t>
      </w:r>
    </w:p>
    <w:p w14:paraId="7B2B696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14:paraId="4B77098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14:paraId="30B6598A" w14:textId="67C93150"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联系人：魏素清</w:t>
      </w:r>
    </w:p>
    <w:p w14:paraId="5E95CB8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客户服务电话：010-66154828</w:t>
      </w:r>
    </w:p>
    <w:p w14:paraId="33AD4C43" w14:textId="342D63C2"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网址：https://www.5irich.com</w:t>
      </w:r>
    </w:p>
    <w:p w14:paraId="1A5380D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（46）名称：奕丰基金销售有限公司</w:t>
      </w:r>
    </w:p>
    <w:p w14:paraId="1083153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14:paraId="0FD1E00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14:paraId="018B7E5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14:paraId="5F7A089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14:paraId="67A7C1B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14:paraId="29C0B99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14:paraId="619CC3B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14:paraId="560C8EC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14:paraId="3ACF5A7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（47）名称：上海天天基金销售有限公司</w:t>
      </w:r>
    </w:p>
    <w:p w14:paraId="3FCD603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14:paraId="44F0FC8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14:paraId="6C151CD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14:paraId="00FF39D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14:paraId="5A5BDF7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14:paraId="11991F6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14:paraId="3A561CF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14:paraId="14A2F1B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14:paraId="4A1F270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（48）名称：和讯信息科技有限公司</w:t>
      </w:r>
    </w:p>
    <w:p w14:paraId="282A4BC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14:paraId="79AA0F9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14:paraId="0C262A0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14:paraId="2F27B56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14:paraId="2166D5E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14:paraId="0128120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14:paraId="7949331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14:paraId="083B012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14:paraId="5AA8394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（49）名称：诺亚正行基金销售有限公司</w:t>
      </w:r>
    </w:p>
    <w:p w14:paraId="02A9C87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14:paraId="467C19C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14:paraId="21F5C90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14:paraId="6D2CF07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14:paraId="7011316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14:paraId="5EA0731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14:paraId="4C6B0D6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14:paraId="41EDBAB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14:paraId="58204B2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（50）名称：上海好买基金销售有限公司</w:t>
      </w:r>
    </w:p>
    <w:p w14:paraId="69F0071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14:paraId="384DA54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14:paraId="15C9473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14:paraId="65BCEC7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14:paraId="1BC80D3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14:paraId="64AEA54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14:paraId="1B069F0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14:paraId="680ED4E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（51）名称：上海长量基金销售有限公司</w:t>
      </w:r>
    </w:p>
    <w:p w14:paraId="1C09D50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14:paraId="403ED2E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14:paraId="452D9B7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14:paraId="01B2233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14:paraId="29FE8A1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14:paraId="25037CC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14:paraId="11D6BD8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14:paraId="7631B8B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14:paraId="6C8801B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（52）名称：深圳众禄基金销售股份有限公司</w:t>
      </w:r>
    </w:p>
    <w:p w14:paraId="38B5F2F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14:paraId="3735C2F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14:paraId="24857F8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14:paraId="307968C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电话：（0755）33227953</w:t>
      </w:r>
    </w:p>
    <w:p w14:paraId="3CB5903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14:paraId="1C6AFD8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14:paraId="4F8CF29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14:paraId="6D428C4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14:paraId="2D0D47D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（53）名称：蚂蚁（杭州）基金销售有限公司</w:t>
      </w:r>
    </w:p>
    <w:p w14:paraId="7189728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14:paraId="40FC393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14:paraId="272C544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14:paraId="6AAA7C2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14:paraId="2969421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14:paraId="4618BA4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14:paraId="3DB00F4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14:paraId="2647524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14:paraId="192BC00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（54）名称：上海基煜基金销售有限公司</w:t>
      </w:r>
    </w:p>
    <w:p w14:paraId="3E720D9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14:paraId="3880B6F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14:paraId="3CF822C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14:paraId="165A3E1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14:paraId="1F0C315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14:paraId="31CD0F8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14:paraId="22D86CE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14:paraId="63D5C33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14:paraId="1AAFCA4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（55）名称：浙江同花顺基金销售有限公司</w:t>
      </w:r>
    </w:p>
    <w:p w14:paraId="64F0252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14:paraId="6BCEA38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14:paraId="7163979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14:paraId="14BBE60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14:paraId="0773A65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14:paraId="7AC0C8E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联系人：吴强</w:t>
      </w:r>
    </w:p>
    <w:p w14:paraId="50E8C87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14:paraId="0D6083F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14:paraId="4AB417D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（56）名称：宜信普泽（北京）基金销售有限公司</w:t>
      </w:r>
    </w:p>
    <w:p w14:paraId="7A035CE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14:paraId="6E102D4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14:paraId="7DA53C4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14:paraId="4706610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电话：400-6099-200</w:t>
      </w:r>
    </w:p>
    <w:p w14:paraId="5AC4753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14:paraId="3DD2E4D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14:paraId="5EA164E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14:paraId="70A9654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14:paraId="2D9F7A2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（57）名称：上海联泰基金销售有限公司</w:t>
      </w:r>
    </w:p>
    <w:p w14:paraId="5A1E4C3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14:paraId="575F95B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14:paraId="08FFEB0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14:paraId="5CE8E31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14:paraId="6D5D620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14:paraId="328714A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14:paraId="0330A17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14:paraId="7BB0092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14:paraId="2B5D229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（58）名称：泛华普益基金销售有限公司</w:t>
      </w:r>
    </w:p>
    <w:p w14:paraId="2F042B5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14:paraId="4E00269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14:paraId="76D625B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14:paraId="107268D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14:paraId="102C441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14:paraId="0D3CED3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14:paraId="7566108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14:paraId="6795F7C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14:paraId="7F50094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（59）名称：北京展恒基金销售股份有限公司</w:t>
      </w:r>
    </w:p>
    <w:p w14:paraId="3C80BD2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14:paraId="31E5BC1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14:paraId="556E85C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14:paraId="0C0F8DB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14:paraId="4BBD996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14:paraId="43B3B78D" w14:textId="565CA991"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联系人：马林</w:t>
      </w:r>
    </w:p>
    <w:p w14:paraId="6095649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14:paraId="5E41539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14:paraId="0B31AEE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（60）名称：北京度小满基金销售有限公司</w:t>
      </w:r>
    </w:p>
    <w:p w14:paraId="0C100AA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14:paraId="5E761CC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14:paraId="743B1C9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14:paraId="1AC5ABD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14:paraId="2C5D69A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14:paraId="16AA5D9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14:paraId="20D55FB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14:paraId="34C5E4F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14:paraId="26EDD0B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（61）名称：和耕传承基金销售有限公司</w:t>
      </w:r>
    </w:p>
    <w:p w14:paraId="0C6DC9E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14:paraId="6AE7D50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14:paraId="5AE417C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14:paraId="7B71FE6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14:paraId="5F394A3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14:paraId="33E23FE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14:paraId="09BA8C2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14:paraId="549EE0E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14:paraId="6E279F2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（62）名称：南京苏宁基金销售有限公司</w:t>
      </w:r>
    </w:p>
    <w:p w14:paraId="0111070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14:paraId="0546DD5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办公地址：南京市玄武区苏宁大道1-5号</w:t>
      </w:r>
    </w:p>
    <w:p w14:paraId="0AA58DD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14:paraId="0C3EA05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14:paraId="599B000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14:paraId="2A5C322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14:paraId="2DFD2E5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14:paraId="64E81C4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14:paraId="37915A4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（63）名称：腾安基金销售（深圳）有限公司</w:t>
      </w:r>
    </w:p>
    <w:p w14:paraId="5E41667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14:paraId="0E054CD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14:paraId="7C62550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14:paraId="63650E3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14:paraId="36DE321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14:paraId="0533558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14:paraId="1D63C02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14:paraId="16CE876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（64）名称：济安财富（北京）基金销售有限公司</w:t>
      </w:r>
    </w:p>
    <w:p w14:paraId="0C2D7D5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14:paraId="482D72C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14:paraId="12991AC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14:paraId="16A5200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14:paraId="57C9ACC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14:paraId="6EF6A6D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14:paraId="076B375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14:paraId="37369EC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14:paraId="45753B0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（65）名称：博时财富基金销售有限公司</w:t>
      </w:r>
    </w:p>
    <w:p w14:paraId="3D65C75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14:paraId="049C577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14:paraId="7CD4B01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14:paraId="0675761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14:paraId="633F5E1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传真：0755-83195220</w:t>
      </w:r>
    </w:p>
    <w:p w14:paraId="1109721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14:paraId="326BD9F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14:paraId="6E95B63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14:paraId="007D366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（66）名称：上海中欧财富基金销售有限公司</w:t>
      </w:r>
    </w:p>
    <w:p w14:paraId="5E9BD03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14:paraId="1A90024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14:paraId="21B3845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14:paraId="7EE868F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14:paraId="351100B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14:paraId="68552C8B" w14:textId="11C3CAF9"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联系人：刘弘义</w:t>
      </w:r>
    </w:p>
    <w:p w14:paraId="269AB5F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14:paraId="184302D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14:paraId="5DD1E57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（67）名称：深圳前海微众银行股份有限公司</w:t>
      </w:r>
    </w:p>
    <w:p w14:paraId="585C4EB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14:paraId="68445F1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14:paraId="2201511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14:paraId="2791E29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14:paraId="22AE638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14:paraId="172D972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14:paraId="4B0D5E5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14:paraId="5AE9AE1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14:paraId="51C76FF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（68）名称：中信期货有限公司</w:t>
      </w:r>
    </w:p>
    <w:p w14:paraId="6B1EE32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14:paraId="1AFDC84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14:paraId="14FA308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14:paraId="5D247CD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14:paraId="5BD7119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传真：021-60819988</w:t>
      </w:r>
    </w:p>
    <w:p w14:paraId="64CB7A0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14:paraId="6D14DE5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14:paraId="54A1B4B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14:paraId="5A9EFB3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14:paraId="201951C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14:paraId="06638B2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14:paraId="33DEFA3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14:paraId="0C30F02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14:paraId="4C7A1DE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14:paraId="03D8F11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14:paraId="34A4F91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14:paraId="37F487A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14:paraId="3B04D02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14:paraId="42B27B1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14:paraId="542975D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14:paraId="559B0B2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14:paraId="3806D02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14:paraId="786C0F8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14:paraId="649BAF9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14:paraId="43AB102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14:paraId="1496ECF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14:paraId="7D0DF9A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14:paraId="1C2E61E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14:paraId="3A6F325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14:paraId="56EAEF6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14:paraId="0DEEF3F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14:paraId="2311673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14:paraId="6DB1ED8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14:paraId="5DF1CBC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联系人：侯雯</w:t>
      </w:r>
    </w:p>
    <w:p w14:paraId="2024523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14:paraId="2C72BA2F" w14:textId="77777777" w:rsidR="00F27890" w:rsidRDefault="00027971">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485D6B60" w14:textId="77777777" w:rsidR="00F27890" w:rsidRDefault="00027971">
      <w:pPr>
        <w:pStyle w:val="1"/>
        <w:snapToGrid w:val="0"/>
        <w:spacing w:beforeLines="0" w:before="240" w:after="240"/>
        <w:rPr>
          <w:rFonts w:ascii="宋体" w:hAnsi="宋体"/>
          <w:szCs w:val="30"/>
        </w:rPr>
      </w:pPr>
      <w:bookmarkStart w:id="11" w:name="_Toc200977053"/>
      <w:r>
        <w:rPr>
          <w:rFonts w:ascii="Times New Roman" w:hAnsi="Times New Roman"/>
          <w:sz w:val="30"/>
        </w:rPr>
        <w:t>六、基金的募集</w:t>
      </w:r>
      <w:bookmarkEnd w:id="11"/>
    </w:p>
    <w:p w14:paraId="42ED149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本基金由基金管理人依照《基金法》、《运作办法》、《销售办法》、基金合同及其他有关规定，并经中国证监会2019年4月2日证监许可【2019】546号文准予募集注册。</w:t>
      </w:r>
    </w:p>
    <w:p w14:paraId="1C3BF97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本基金为契约型开放式债券型证券投资基金。基金的存续期间为不定期。</w:t>
      </w:r>
    </w:p>
    <w:p w14:paraId="43DD1EF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14:paraId="14F8FAE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本基金自2019年6月5日至2019年7月5日进行发售，本基金设立募集期共募集611,837,975.69份基金份额，有效认购户数为8,083户。</w:t>
      </w:r>
    </w:p>
    <w:p w14:paraId="2EBEA40C" w14:textId="77777777" w:rsidR="00F27890" w:rsidRDefault="00027971">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62A82D4F" w14:textId="77777777" w:rsidR="00F27890" w:rsidRDefault="00027971">
      <w:pPr>
        <w:pStyle w:val="1"/>
        <w:snapToGrid w:val="0"/>
        <w:spacing w:beforeLines="0" w:before="240" w:after="240"/>
        <w:rPr>
          <w:rFonts w:ascii="宋体" w:hAnsi="宋体"/>
          <w:szCs w:val="30"/>
        </w:rPr>
      </w:pPr>
      <w:bookmarkStart w:id="12" w:name="_Toc200977054"/>
      <w:r>
        <w:rPr>
          <w:rFonts w:ascii="Times New Roman" w:hAnsi="Times New Roman"/>
          <w:sz w:val="30"/>
        </w:rPr>
        <w:t>七、基金合同的生效</w:t>
      </w:r>
      <w:bookmarkEnd w:id="12"/>
    </w:p>
    <w:p w14:paraId="68DF1E7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根据有关规定，本基金满足基金合同生效条件，基金合同已于2019年7月11日正式生效。自基金合同生效之日起，本基金管理人正式开始管理本基金。</w:t>
      </w:r>
    </w:p>
    <w:p w14:paraId="529FC0B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60个工作日出现前述情形的，基金管理人提前终止基金合同，不需召开基金份额持有人大会。</w:t>
      </w:r>
    </w:p>
    <w:p w14:paraId="55B153B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14:paraId="0EE5A3DF" w14:textId="77777777" w:rsidR="00F27890" w:rsidRDefault="00027971">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1ACC5650" w14:textId="77777777" w:rsidR="00F27890" w:rsidRDefault="00027971">
      <w:pPr>
        <w:pStyle w:val="1"/>
        <w:snapToGrid w:val="0"/>
        <w:spacing w:beforeLines="0" w:before="240" w:after="240"/>
        <w:rPr>
          <w:rFonts w:ascii="宋体" w:hAnsi="宋体"/>
          <w:szCs w:val="30"/>
        </w:rPr>
      </w:pPr>
      <w:bookmarkStart w:id="13" w:name="_Toc200977055"/>
      <w:r>
        <w:rPr>
          <w:rFonts w:ascii="Times New Roman" w:hAnsi="Times New Roman"/>
          <w:sz w:val="30"/>
        </w:rPr>
        <w:t>八、基金份额的申购与赎回</w:t>
      </w:r>
      <w:bookmarkEnd w:id="13"/>
    </w:p>
    <w:p w14:paraId="2C180CA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14:paraId="31AA81D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14:paraId="7543014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14:paraId="2694A5C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14:paraId="2FA9C5D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14:paraId="1F17F2E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14:paraId="74CE059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14:paraId="1EB9803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14:paraId="4D78C2A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14:paraId="2CD15AF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14:paraId="769C643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14:paraId="68BD76A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14:paraId="477EF63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个人投资者可以通过基金管理人网上直销交易平台办理开户、本基金的申购、赎回、转换、定期定额投资等业务，具体交易细则请参阅基金管理人网站。网上直销交易平台网址：www.fund001.com</w:t>
      </w:r>
    </w:p>
    <w:p w14:paraId="6CB838E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14:paraId="726BD41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14:paraId="2DB4CFB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14:paraId="0C91C3C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14:paraId="4F114FE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14:paraId="66337F9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14:paraId="60B213C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w:t>
      </w:r>
      <w:r>
        <w:rPr>
          <w:rFonts w:ascii="宋体" w:hAnsi="宋体"/>
          <w:sz w:val="24"/>
        </w:rPr>
        <w:lastRenderedPageBreak/>
        <w:t>证监会的要求或基金合同的规定公告暂停申购、赎回时除外。</w:t>
      </w:r>
    </w:p>
    <w:p w14:paraId="2AAC956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14:paraId="39ED46E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14:paraId="5EC69AC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本基金已于2019年8月12日起开放申购、赎回业务。</w:t>
      </w:r>
    </w:p>
    <w:p w14:paraId="042CDCB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14:paraId="481B840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14:paraId="62A5324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14:paraId="76867B9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14:paraId="203F8F9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14:paraId="41738D8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14:paraId="09089A4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14:paraId="2A137EC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14:paraId="48F3116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14:paraId="2FEF5AF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14:paraId="0C8242B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w:t>
      </w:r>
      <w:r>
        <w:rPr>
          <w:rFonts w:ascii="宋体" w:hAnsi="宋体"/>
          <w:sz w:val="24"/>
        </w:rPr>
        <w:lastRenderedPageBreak/>
        <w:t>元。本基金直销机构单笔申购最低金额可由基金管理人酌情调整。其他销售机构接受申购申请的最低金额为单笔1元，如果销售机构业务规则规定的最低单笔申购金额高于1元，以该销售机构的规定为准。</w:t>
      </w:r>
    </w:p>
    <w:p w14:paraId="7C46907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14:paraId="3A22111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14:paraId="47F62E4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14:paraId="4A59C62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14:paraId="7113FC7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14:paraId="26C95ED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5、基金管理人可在法律法规允许的情况下，调整上述规定申购金额和赎回份额的数量限制。基金管理人必须在调整实施前依照《信息披露办法》的有关规定在指定媒介上公告并报中国证监会备案。</w:t>
      </w:r>
    </w:p>
    <w:p w14:paraId="1647158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14:paraId="401185D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14:paraId="7B48E3A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14:paraId="3653116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14:paraId="2BCF870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14:paraId="537C76A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w:t>
      </w:r>
      <w:r>
        <w:rPr>
          <w:rFonts w:ascii="宋体" w:hAnsi="宋体"/>
          <w:sz w:val="24"/>
        </w:rPr>
        <w:lastRenderedPageBreak/>
        <w:t>项。在发生巨额赎回或基金合同载明的其他暂停赎回或延缓支付赎回款项的情形时，款项的支付办法参照基金合同有关条款处理。</w:t>
      </w:r>
    </w:p>
    <w:p w14:paraId="68E1C83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14:paraId="38CA484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14:paraId="4344DB3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14:paraId="439B732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14:paraId="3D9D574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14:paraId="582A8D9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14:paraId="7386E6A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14:paraId="194B2D6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14:paraId="7419536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14:paraId="0AA297B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14:paraId="1AA287D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赎回时收取赎回费用；申购C类基金份额不支付申购费用、赎回时收取赎回费用，并从该类别基金资产中计提销售服务费。</w:t>
      </w:r>
    </w:p>
    <w:p w14:paraId="6843215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A类基金份额的申购费用由A类基金份额申购人承担，不列入基金财产，主要用于本基金的市场推广、销售、登记结算等各项费用。</w:t>
      </w:r>
    </w:p>
    <w:p w14:paraId="7262202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投资人可以多次申购本基金，申购费用按每笔申购申请单独计算。</w:t>
      </w:r>
    </w:p>
    <w:p w14:paraId="397952F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4A0" w:firstRow="1" w:lastRow="0" w:firstColumn="1" w:lastColumn="0" w:noHBand="0" w:noVBand="1"/>
      </w:tblPr>
      <w:tblGrid>
        <w:gridCol w:w="2167"/>
        <w:gridCol w:w="6503"/>
      </w:tblGrid>
      <w:tr w:rsidR="00F27890" w14:paraId="526CAD13"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E6F8CF0"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14:paraId="187EC58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F27890" w14:paraId="61C91C7A"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E38945C"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14:paraId="4BA05AD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F27890" w14:paraId="6D68EA4B"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B566DA0"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14:paraId="3DB89640"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F27890" w14:paraId="44EA91E3"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CF11F4D"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14:paraId="794AC814"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F27890" w14:paraId="61EC7096"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5EB9D9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14:paraId="6B09617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F27890" w14:paraId="761403AE"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6A8156A"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14:paraId="394A6511"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14:paraId="78DE277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14:paraId="7D9DDB3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14:paraId="2BEFFA7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14:paraId="306787B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14:paraId="0ECE0F9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14:paraId="123999E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14:paraId="46D12E2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14:paraId="61E4206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14:paraId="07BAE20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如将来出现经养老基金监管部门认可的新的养老基金类型，基金管理人可在招募说明书更新或发布临时公告将其纳入养老金客户范围，并按规定向中国证监会备案。</w:t>
      </w:r>
    </w:p>
    <w:p w14:paraId="277E40F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4A0" w:firstRow="1" w:lastRow="0" w:firstColumn="1" w:lastColumn="0" w:noHBand="0" w:noVBand="1"/>
      </w:tblPr>
      <w:tblGrid>
        <w:gridCol w:w="2167"/>
        <w:gridCol w:w="6503"/>
      </w:tblGrid>
      <w:tr w:rsidR="00F27890" w14:paraId="0FABDC4D"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18F51C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14:paraId="6241C192"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F27890" w14:paraId="2239B6F6"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F2F3CC7"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14:paraId="623B9115"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F27890" w14:paraId="24AF3655"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B2CB72A"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14:paraId="1D7B77CA"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F27890" w14:paraId="694775BC"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0C42C53"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14:paraId="30E55700"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F27890" w14:paraId="40A33E4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57CAC39"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14:paraId="4AE7FB5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F27890" w14:paraId="52B4734C"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19A2B86"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14:paraId="228490D1"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14:paraId="6FB80E7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14:paraId="0310B02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14:paraId="32415F8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或C类基金份额收取赎回费用，该费用随基金份额的持有时间递减。本基金A类基金份额和C类基金份额的赎回费用由该类基金份额的基金份额持有人承担，对于持续持有期间少于7日的投资人收取的赎回费全额计入基金财产，对于持续持有期间大于等于7日的投资人收取的赎回费总额的25%应归基金财产，其余用于支付登记费和其他必要的手续费。</w:t>
      </w:r>
    </w:p>
    <w:p w14:paraId="10FA250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4A0" w:firstRow="1" w:lastRow="0" w:firstColumn="1" w:lastColumn="0" w:noHBand="0" w:noVBand="1"/>
      </w:tblPr>
      <w:tblGrid>
        <w:gridCol w:w="1238"/>
        <w:gridCol w:w="3716"/>
        <w:gridCol w:w="3716"/>
      </w:tblGrid>
      <w:tr w:rsidR="00F27890" w14:paraId="30A0B9C9" w14:textId="7777777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14:paraId="676B080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14:paraId="1020053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14:paraId="3775789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F27890" w14:paraId="56DD40E1" w14:textId="777777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14:paraId="210427F1" w14:textId="77777777" w:rsidR="00F27890" w:rsidRDefault="00F2789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14:paraId="377D0CD0"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14:paraId="53614D3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F27890" w14:paraId="59988307" w14:textId="777777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14:paraId="010ECD29" w14:textId="77777777" w:rsidR="00F27890" w:rsidRDefault="00F2789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14:paraId="2FE15412"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14:paraId="7262F68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F27890" w14:paraId="729ACB87" w14:textId="777777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14:paraId="4AE78E04" w14:textId="77777777" w:rsidR="00F27890" w:rsidRDefault="00F2789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14:paraId="30400D90"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日（含）以上</w:t>
            </w:r>
          </w:p>
        </w:tc>
        <w:tc>
          <w:tcPr>
            <w:tcW w:w="750" w:type="pct"/>
            <w:tcBorders>
              <w:top w:val="single" w:sz="4" w:space="0" w:color="auto"/>
              <w:left w:val="single" w:sz="4" w:space="0" w:color="auto"/>
              <w:bottom w:val="single" w:sz="4" w:space="0" w:color="auto"/>
              <w:right w:val="single" w:sz="4" w:space="0" w:color="auto"/>
            </w:tcBorders>
            <w:vAlign w:val="center"/>
          </w:tcPr>
          <w:p w14:paraId="24552C8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14:paraId="377EDDA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4A0" w:firstRow="1" w:lastRow="0" w:firstColumn="1" w:lastColumn="0" w:noHBand="0" w:noVBand="1"/>
      </w:tblPr>
      <w:tblGrid>
        <w:gridCol w:w="1238"/>
        <w:gridCol w:w="3716"/>
        <w:gridCol w:w="3716"/>
      </w:tblGrid>
      <w:tr w:rsidR="00F27890" w14:paraId="7458E660" w14:textId="7777777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14:paraId="1909060A"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14:paraId="0A3968F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14:paraId="577D134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F27890" w14:paraId="77A97E16" w14:textId="777777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14:paraId="118AE671" w14:textId="77777777" w:rsidR="00F27890" w:rsidRDefault="00F2789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14:paraId="18B73061"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14:paraId="46C7BCF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F27890" w14:paraId="1DAAC90E" w14:textId="777777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14:paraId="3C5705D5" w14:textId="77777777" w:rsidR="00F27890" w:rsidRDefault="00F2789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14:paraId="71878F52"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14:paraId="78923FE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F27890" w14:paraId="6C4F2484" w14:textId="777777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14:paraId="3BEFD7DB" w14:textId="77777777" w:rsidR="00F27890" w:rsidRDefault="00F2789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14:paraId="7B38C81E"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日（含）以上</w:t>
            </w:r>
          </w:p>
        </w:tc>
        <w:tc>
          <w:tcPr>
            <w:tcW w:w="750" w:type="pct"/>
            <w:tcBorders>
              <w:top w:val="single" w:sz="4" w:space="0" w:color="auto"/>
              <w:left w:val="single" w:sz="4" w:space="0" w:color="auto"/>
              <w:bottom w:val="single" w:sz="4" w:space="0" w:color="auto"/>
              <w:right w:val="single" w:sz="4" w:space="0" w:color="auto"/>
            </w:tcBorders>
            <w:vAlign w:val="center"/>
          </w:tcPr>
          <w:p w14:paraId="4C6225C0"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14:paraId="3338E02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14:paraId="27FB155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14:paraId="666EDC7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5、基金管理人可以在不违背法律法规规定及基金合同约定、且对现有基金份额持有人利益无实质性不利影响的情况下，根据市场情况制定基金促销计划，针对</w:t>
      </w:r>
      <w:r>
        <w:rPr>
          <w:rFonts w:ascii="宋体" w:hAnsi="宋体"/>
          <w:sz w:val="24"/>
        </w:rPr>
        <w:lastRenderedPageBreak/>
        <w:t>投资人定期和不定期地开展基金促销活动。在基金促销活动期间，基金管理人可以按中国证监会要求履行必要手续后，对投资人适当调低基金销售费用。</w:t>
      </w:r>
    </w:p>
    <w:p w14:paraId="460D632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14:paraId="0AA0B9E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14:paraId="5309001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14:paraId="1B54D05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C类基金份额的赎回金额为按实际确认的有效赎回份额乘以当日该类基金份额的基金份额净值并扣除相应的费用（如有），赎回金额单位为元。赎回金额计算结果按四舍五入方法，保留到小数点后2位，由此产生的收益或损失由基金财产承担。</w:t>
      </w:r>
    </w:p>
    <w:p w14:paraId="1FC9619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14:paraId="0BB28CD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14:paraId="5BD2E96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14:paraId="4550FC9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14:paraId="4EF632F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14:paraId="560D59C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14:paraId="593B499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14:paraId="5284100F" w14:textId="08940A93"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14:paraId="2F68EB3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例四：某投资者（非养老金客户）投资100,000元申购本基金的A类基金份额，假设申购当日A类基金份额净值为1.0400元，申购费率为0.8%，则其可得到的申购份额为：</w:t>
      </w:r>
    </w:p>
    <w:p w14:paraId="67154A3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14:paraId="36CC1B2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14:paraId="4F39BF5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14:paraId="756D69B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14:paraId="017D121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即：某投资者（非养老金客户）投资100,000元申购本基金，假设申购当日A类基金份额净值为1.0400元，如果其选择申购A类基金份额，则其可得到95,390.72份A类基金份额。</w:t>
      </w:r>
    </w:p>
    <w:p w14:paraId="362B747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例五：某养老金客户投资100,000元通过基金管理人的直销柜台申购本基金的A类基金份额，假设申购当日A类基金份额净值为1.0400元，申购费率为0.32%，则其可得到的申购份额为：</w:t>
      </w:r>
    </w:p>
    <w:p w14:paraId="3C20B67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14:paraId="4E054E2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净申购金额=100,000/（1+0.32%）=99,681.02元</w:t>
      </w:r>
    </w:p>
    <w:p w14:paraId="3C94BE6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申购费用=100,000-99,681.02=318.98元</w:t>
      </w:r>
    </w:p>
    <w:p w14:paraId="31588B9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申购份额=（100,000-318.98）/1.0400=95,847.13份</w:t>
      </w:r>
    </w:p>
    <w:p w14:paraId="2CF11A5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即：该养老金客户投资100,000元通过基金管理人的直销柜台申购本基金的A类基金份额，假设申购当日A类基金份额净值为1.0400元，则其可得到95,847.13份A类基金份额。</w:t>
      </w:r>
    </w:p>
    <w:p w14:paraId="388B812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14:paraId="5AE7567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14:paraId="77ECF92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14:paraId="591E686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14:paraId="7E97927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14:paraId="17DB3D7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14:paraId="50D1F4D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14:paraId="21AACA8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14:paraId="3029530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或C类基金份额的赎回金额为按实际确认的有效赎回份额乘以当日该类基金份额的基金份额净值并扣除相应的费用（如有），赎回金额单位为元，计算结果保留到小数点后两位，第三位四舍五入，由此产生的收益或损失由基金财产承担。</w:t>
      </w:r>
    </w:p>
    <w:p w14:paraId="3C62D1D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14:paraId="3618011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14:paraId="51EE91B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14:paraId="4859FD5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14:paraId="3F57D75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例七：某投资者赎回100,000份A类基金份额，持有20日，对应的赎回费率为0.1%，假设赎回当日A类基金份额净值是1.0160元，则其可得到的赎回金额为：</w:t>
      </w:r>
    </w:p>
    <w:p w14:paraId="27ED8A1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赎回费用=100,000×1.0160×0.1%＝101.60元</w:t>
      </w:r>
    </w:p>
    <w:p w14:paraId="5ED83C0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赎回金额=100,000×1.0160-101.60＝101,498.40元</w:t>
      </w:r>
    </w:p>
    <w:p w14:paraId="2883829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即：投资者赎回100,000份A类基金份额，持有20日，对应的赎回费率为0.1%，假设赎回当日A类基金份额净值是1.0160元，则其可得到的赎回金额为101,498.40元。</w:t>
      </w:r>
    </w:p>
    <w:p w14:paraId="58353DC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14:paraId="0D900F9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14:paraId="6AB2662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14:paraId="5905A14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14:paraId="4809536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例八：某投资者赎回100,000份C类基金份额，持有50日，对应的赎回费率为0，假设赎回当日C类基金份额净值是1.0160元，则其可得到的赎回金额为：</w:t>
      </w:r>
    </w:p>
    <w:p w14:paraId="28D2314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赎回费用=100,000×1.0160×0＝0.00元</w:t>
      </w:r>
    </w:p>
    <w:p w14:paraId="22B9188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赎回金额=100,000×1.0160-0.00＝101,600.00元</w:t>
      </w:r>
    </w:p>
    <w:p w14:paraId="31EDF10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即：投资者赎回100,000份C类基金份额，持有50日，对应的赎回费率为0，假设赎回当日C类基金份额净值是1.0160元，则其可得到的赎回金额为101,600.00元。</w:t>
      </w:r>
    </w:p>
    <w:p w14:paraId="1045073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14:paraId="4332A91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14:paraId="098E991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14:paraId="3E942C9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的份额净值的计算，保留到小数点后4位，小数点后第5位四舍五入，由此产生的收益或损失由基金财产承担。T日的基金份额净值在当天收市后计算，并在T+1日（包括该日）内公告。遇特殊情况，经履行适当程序，可以适当延迟计算或公告。</w:t>
      </w:r>
    </w:p>
    <w:p w14:paraId="557ECAB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14:paraId="7C34652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14:paraId="0118DD9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14:paraId="31F89BE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14:paraId="2980D3E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3、证券交易所交易时间非正常停市，导致基金管理人无法计算当日基金资产净值。</w:t>
      </w:r>
    </w:p>
    <w:p w14:paraId="4E4EA0C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14:paraId="397B79B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14:paraId="50F8CA6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14:paraId="7379AD5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14:paraId="1DFC510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14:paraId="73BD52C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14:paraId="411DA94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指定媒介上刊登暂停申购公告。如果投资人的申购申请被拒绝，被拒绝的申购款项将退还给投资人。在暂停申购的情况消除时，基金管理人应及时恢复申购业务的办理。</w:t>
      </w:r>
    </w:p>
    <w:p w14:paraId="29F50FD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（九）暂停赎回或延缓支付赎回款项的情形</w:t>
      </w:r>
    </w:p>
    <w:p w14:paraId="396DAAA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14:paraId="3F37E88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14:paraId="5EE0A7E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14:paraId="6B957A5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14:paraId="608260D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14:paraId="04CB372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14:paraId="030EF15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14:paraId="6F4C5B5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7、基金合同约定、法律法规规定或中国证监会认定的其他情形。</w:t>
      </w:r>
    </w:p>
    <w:p w14:paraId="5F59B55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14:paraId="0F8E77C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14:paraId="6796482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14:paraId="0B5B4D8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14:paraId="48BAC8F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14:paraId="40BD05D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14:paraId="2E96264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14:paraId="51485B5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w:t>
      </w:r>
      <w:r>
        <w:rPr>
          <w:rFonts w:ascii="宋体" w:hAnsi="宋体"/>
          <w:sz w:val="24"/>
        </w:rPr>
        <w:lastRenderedPageBreak/>
        <w:t>止。如投资人在提交赎回申请时未作明确选择，投资人未能赎回部分作自动延期赎回处理。</w:t>
      </w:r>
    </w:p>
    <w:p w14:paraId="5FE4429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14:paraId="52DB609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14:paraId="451644F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未超过上述比例的部分，基金管理人认为有能力支付投资人的全部赎回申请时，按正常赎回程序执行；基金管理人认为支付投资人的赎回申请有困难或认为因支付投资人的赎回申请而进行的财产变现可能会对基金资产净值造成较大波动时，基金管理人在当日接受赎回比例不低于上一开放日基金总份额的10%的前提下，对当日的赎回申请按单个账户赎回申请量占赎回申请总量的比例，确定当日受理的赎回份额；对于未能赎回部分，基金管理人可对其赎回申请进行延期办理，延期的赎回申请转入下一个开放日继续赎回，直到全部赎回为止。但是，如该类基金份额持有人在当日选择取消赎回，则其当日未获受理的部分赎回申请将被撤销。</w:t>
      </w:r>
    </w:p>
    <w:p w14:paraId="0261BBF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14:paraId="7A739CB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14:paraId="4050BB2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当发生上述巨额赎回并延期办理时，基金管理人应当通过邮寄、传真、刊登公告或者通知销售机构代为告知等方式在3个交易日内通知基金份额持有人，说明有关处理方法，并在2日内在指定媒介上刊登公告。</w:t>
      </w:r>
    </w:p>
    <w:p w14:paraId="7427C1D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14:paraId="34455C8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14:paraId="63FBA30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2、暂停结束，基金重新开放申购或赎回时，基金管理人应依照《信息披露办法》的有关规定，不迟于重新开放日，在指定媒介上刊登基金重新开放申购或赎回公告，并公布最近一个开放日的基金份额净值。</w:t>
      </w:r>
    </w:p>
    <w:p w14:paraId="47AAF4C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（十二）基金的非交易过户</w:t>
      </w:r>
    </w:p>
    <w:p w14:paraId="047E367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14:paraId="78FC2C7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7D43157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（十三）基金的转托管</w:t>
      </w:r>
    </w:p>
    <w:p w14:paraId="119B6BA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14:paraId="127D64B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（十四）定期定额投资计划</w:t>
      </w:r>
    </w:p>
    <w:p w14:paraId="6F8CCCA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14:paraId="0793907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本基金2019年8月8日刊登公告自2019年8月12日起开通定期定额投资计划业务，具体开通销售机构名单和业务规则参见相关公告。</w:t>
      </w:r>
    </w:p>
    <w:p w14:paraId="4319D37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（十五）基金份额的冻结和解冻</w:t>
      </w:r>
    </w:p>
    <w:p w14:paraId="50D2327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14:paraId="2AE75FA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（十六）基金份额的转让</w:t>
      </w:r>
    </w:p>
    <w:p w14:paraId="094CF0F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w:t>
      </w:r>
      <w:r>
        <w:rPr>
          <w:rFonts w:ascii="宋体" w:hAnsi="宋体"/>
          <w:sz w:val="24"/>
        </w:rPr>
        <w:lastRenderedPageBreak/>
        <w:t>额持有人应根据基金管理人公告的业务规则办理基金份额转让业务。</w:t>
      </w:r>
    </w:p>
    <w:p w14:paraId="67C429A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（十七）实施侧袋机制期间本基金的申购与赎回</w:t>
      </w:r>
    </w:p>
    <w:p w14:paraId="6B7E351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14:paraId="63C8B71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（十八）其他业务</w:t>
      </w:r>
    </w:p>
    <w:p w14:paraId="262586B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14:paraId="08ADD048" w14:textId="77777777" w:rsidR="00F27890" w:rsidRDefault="00027971">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0F1C1DAC" w14:textId="77777777" w:rsidR="00F27890" w:rsidRDefault="00027971">
      <w:pPr>
        <w:pStyle w:val="1"/>
        <w:snapToGrid w:val="0"/>
        <w:spacing w:beforeLines="0" w:before="240" w:after="240"/>
        <w:rPr>
          <w:rFonts w:ascii="宋体" w:hAnsi="宋体"/>
          <w:szCs w:val="30"/>
        </w:rPr>
      </w:pPr>
      <w:bookmarkStart w:id="14" w:name="_Toc200977056"/>
      <w:r>
        <w:rPr>
          <w:rFonts w:ascii="Times New Roman" w:hAnsi="Times New Roman"/>
          <w:sz w:val="30"/>
        </w:rPr>
        <w:t>九、基金的转换</w:t>
      </w:r>
      <w:bookmarkEnd w:id="14"/>
    </w:p>
    <w:p w14:paraId="44AAF5D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14:paraId="6DA65FA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w:t>
      </w:r>
      <w:r w:rsidR="00D325B3" w:rsidRPr="00D325B3">
        <w:rPr>
          <w:rFonts w:ascii="宋体" w:hAnsi="宋体" w:hint="eastAsia"/>
          <w:sz w:val="24"/>
        </w:rPr>
        <w:t>该基金其他份额（如有）或</w:t>
      </w:r>
      <w:r>
        <w:rPr>
          <w:rFonts w:ascii="宋体" w:hAnsi="宋体"/>
          <w:sz w:val="24"/>
        </w:rPr>
        <w:t>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14:paraId="22B11B2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14:paraId="7F6BA71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2019年8月16日刊登公告自2019年8月20日起开放日常转换业务。办理基金间转换的时间为上海证券交易所、深圳证券交易所交易日。若出现新的证券交易市场或交易所交易时间更改或其它原因，基金管理人将视情况进行相应的调整并公告。</w:t>
      </w:r>
    </w:p>
    <w:p w14:paraId="5FF539B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14:paraId="5DB3720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14:paraId="482B376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14:paraId="3CF8A29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14:paraId="298140B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14:paraId="5E9D3EA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14:paraId="51790B5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14:paraId="2BB4184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14:paraId="37149E0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（四）基金转换的数额限制</w:t>
      </w:r>
    </w:p>
    <w:p w14:paraId="2CFE856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14:paraId="3B4F74C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14:paraId="723F423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14:paraId="7FDC2EF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14:paraId="3D02A4A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14:paraId="29737C4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14:paraId="4E74637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14:paraId="6218059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14:paraId="4E9AA73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14:paraId="1E0E393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14:paraId="22B577A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w:t>
      </w:r>
      <w:r>
        <w:rPr>
          <w:rFonts w:ascii="宋体" w:hAnsi="宋体"/>
          <w:sz w:val="24"/>
        </w:rPr>
        <w:lastRenderedPageBreak/>
        <w:t>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14:paraId="26BB190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14:paraId="72BB1A1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14:paraId="0EE4152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6、本基金管理人可以根据法律法规及基金合同的规定对上述转换费用收费方式和费率进行调整，并应于调整后的收费方式和费率实施前依照《信息披露办法》的有关规定在中国证监会指定媒介上公告。</w:t>
      </w:r>
    </w:p>
    <w:p w14:paraId="5F0C79A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14:paraId="7CA482A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14:paraId="4E35A30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14:paraId="7ABC135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14:paraId="1C3EDB9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14:paraId="327B8B7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14:paraId="48A2635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14:paraId="18C9FE4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14:paraId="182C1B4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14:paraId="6F1EF21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14:paraId="113B50C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14:paraId="2B95A64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转入基金确认份额的计算精确到小数点后两位，小数点后两位以后的部分四舍五入，误差部分归基金财产。</w:t>
      </w:r>
    </w:p>
    <w:p w14:paraId="2719959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14:paraId="1B8B9AF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14:paraId="55C5C86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14:paraId="1FA6183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14:paraId="41FBFF6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14:paraId="7B81CAD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14:paraId="3D4F6B5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14:paraId="2AD54B7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14:paraId="53BCAE7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14:paraId="087D880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14:paraId="52D795D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14:paraId="339BF5C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14:paraId="0131A91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14:paraId="6931B01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14:paraId="323DA4D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14:paraId="01EAD2A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14:paraId="289F5F9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14:paraId="05236D1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14:paraId="3B1DDE0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w:t>
      </w:r>
      <w:r>
        <w:rPr>
          <w:rFonts w:ascii="宋体" w:hAnsi="宋体"/>
          <w:sz w:val="24"/>
        </w:rPr>
        <w:lastRenderedPageBreak/>
        <w:t>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14:paraId="03DBB35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14:paraId="1E7C1A0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14:paraId="19FF36F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14:paraId="6EEC72F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14:paraId="0002D09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14:paraId="0708CB2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14:paraId="77668E0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14:paraId="3462A72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14:paraId="47B4895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14:paraId="7404E10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14:paraId="7A3AE73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14:paraId="40C5496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14:paraId="6B9DCA3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14:paraId="1F6352A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14:paraId="4065E29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14:paraId="1FB2E7F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14:paraId="2D78D2A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14:paraId="0F36432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14:paraId="2FBB445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14:paraId="3E39FCF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14:paraId="51AAB2D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14:paraId="1C9C193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14:paraId="2B80C39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14:paraId="05DBC1C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14:paraId="5AA503C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14:paraId="078E83A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14:paraId="015E0E9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14:paraId="1061832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14:paraId="07F23F8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14:paraId="737BC56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14:paraId="6E5171D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14:paraId="458A721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14:paraId="6B46F25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14:paraId="1BCB7FE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14:paraId="68F645F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14:paraId="4AE5E88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14:paraId="71170CF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14:paraId="1C592BD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14:paraId="23F45F6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14:paraId="70FBD88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w:t>
      </w:r>
      <w:r>
        <w:rPr>
          <w:rFonts w:ascii="宋体" w:hAnsi="宋体"/>
          <w:sz w:val="24"/>
        </w:rPr>
        <w:lastRenderedPageBreak/>
        <w:t>理基金转换业务时，转出方的基金必须处于可赎回状态，转入方的基金必须处于可申购状态。</w:t>
      </w:r>
    </w:p>
    <w:p w14:paraId="08AE165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14:paraId="199C187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14:paraId="1462852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14:paraId="229B552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14:paraId="3C1DA7A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14:paraId="58B5BB9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14:paraId="4EEB38D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14:paraId="30F19DC0" w14:textId="77777777" w:rsidR="00F27890" w:rsidRDefault="00027971">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403DA751" w14:textId="77777777" w:rsidR="00F27890" w:rsidRDefault="00027971">
      <w:pPr>
        <w:pStyle w:val="1"/>
        <w:snapToGrid w:val="0"/>
        <w:spacing w:beforeLines="0" w:before="240" w:after="240"/>
        <w:rPr>
          <w:rFonts w:ascii="宋体" w:hAnsi="宋体"/>
          <w:szCs w:val="30"/>
        </w:rPr>
      </w:pPr>
      <w:bookmarkStart w:id="15" w:name="_Toc200977057"/>
      <w:r>
        <w:rPr>
          <w:rFonts w:ascii="Times New Roman" w:hAnsi="Times New Roman"/>
          <w:sz w:val="30"/>
        </w:rPr>
        <w:t>十、基金的投资</w:t>
      </w:r>
      <w:bookmarkEnd w:id="15"/>
    </w:p>
    <w:p w14:paraId="18489CB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14:paraId="34B15E4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本基金主要利用可转债品种兼具债券和股票的特性，在合理控制风险、保持适当流动性的基础上，力争取得超越基金业绩比较基准的收益。</w:t>
      </w:r>
    </w:p>
    <w:p w14:paraId="137B2B1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14:paraId="773165B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w:t>
      </w:r>
      <w:r w:rsidR="00CA2AC0" w:rsidRPr="00CA2AC0">
        <w:rPr>
          <w:rFonts w:ascii="宋体" w:hAnsi="宋体" w:hint="eastAsia"/>
          <w:sz w:val="24"/>
        </w:rPr>
        <w:t>、存托凭证</w:t>
      </w:r>
      <w:r>
        <w:rPr>
          <w:rFonts w:ascii="宋体" w:hAnsi="宋体"/>
          <w:sz w:val="24"/>
        </w:rPr>
        <w:t>）、债券（包括国债、金融债、央行票据、地方政府债、政府支持机构债、企业债、公司债、短期融资券、超短期融资券、中期票据、可转换债券（含可交换债券、可分离交易可转债）、次级债等）、资产支持证券、债券回购、银行存款（包括定期存款、协议存款等）、同业存单、货币市场工具以及法律法规或中国证监会允许基金投资的其他金融工具（但须符合中国证监会相关规定）。</w:t>
      </w:r>
    </w:p>
    <w:p w14:paraId="3D177B6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14:paraId="48E56C7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其中，投资于可转换债券（含可交换债券、可分离交易可转债）的比例不低于非现金基金资产的80%；本基金持有的现金或到期日在一年以内的政府债券的投资比例合计不低于基金资产净值的5%，其中现金不包括结算备付金、存出保证金、应收申购款等。</w:t>
      </w:r>
    </w:p>
    <w:p w14:paraId="247DFEF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14:paraId="10AB5AB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14:paraId="18C40A8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14:paraId="33D4B40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分析和判断国内外宏观经济形势的基础上，利用经交银施罗德研究团队修正后的投资时钟分析框架，结合定性分析和定量分析的方法，形成对各大类资产的预测和判断，在基金合同约定的范围内确定债券资产、权益类资产和现金类资产的配置比例，并根据市场运行状况以及各类资产预期表现的相对变化，动态调整大类资产的配置比例，有效控制基金资产运作风险，提高基金资产风险调整后收</w:t>
      </w:r>
      <w:r>
        <w:rPr>
          <w:rFonts w:ascii="宋体" w:hAnsi="宋体"/>
          <w:sz w:val="24"/>
        </w:rPr>
        <w:lastRenderedPageBreak/>
        <w:t>益。</w:t>
      </w:r>
    </w:p>
    <w:p w14:paraId="020B92B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2、债券投资策略</w:t>
      </w:r>
    </w:p>
    <w:p w14:paraId="1107467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（1）可转换债券投资策略</w:t>
      </w:r>
    </w:p>
    <w:p w14:paraId="5F27764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可转换债券（含可交换债券、可分离交易可转债）通过赋予债券投资者某种期权的形式，兼具债性与股性双重属性，比普通债券更加灵活。债性是指投资者可以选择持有可转换债券至到期以获取票面价值和票面利息；股性是指投资者可以在转股期间以约定的转股价格将可转换债券转换成对应的股票。本基金将综合研究该类投资品种的特性，充分挖掘其投资价值，债券价值方面综合考虑票面利率、久期、信用资质、发行主体财务状况、行业特征及公司治理等因素；权益价值方面通过对可转换债券所对应个股的价值分析，包括估值水平、盈利能力、业绩预期及个体竞争优势等分析。此外，还需结合对含权条款的研究，综合判断内含期权的价值。投资可转换债券的具体策略包括：</w:t>
      </w:r>
    </w:p>
    <w:p w14:paraId="07F2AA3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1）行业配置策略</w:t>
      </w:r>
    </w:p>
    <w:p w14:paraId="0377C61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综合考虑各种宏观因素，以宏观经济走势、经济周期特征和阶段性市场投资主题的研究为基础，综合考量可转债市场的供给和需求情况，实现最优行业配置。同时，结合经济和市场阶段性特征，动态调整不同行业的可转换债券进行投资。</w:t>
      </w:r>
    </w:p>
    <w:p w14:paraId="24F6FAE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2）个券精选策略</w:t>
      </w:r>
    </w:p>
    <w:p w14:paraId="32036F1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可转换债券的投资价值包含纯债价值和可转换为正股的转股价值两部分。对于纯债价值，本基金将借鉴信用债的基本面研究，从行业基本面、公司的信用资质、行业地位、财务状况等方面，精选财务稳健、信用违约风险小的个券；对于可转换为正股的转股价值，将通过盈利能力指标（如市盈率、市现率、股价与每股息税前利润比率等）、经营效率指标（如净资产收益率、资产收益率、经营资产回报率等）、财务状况指标（如资产负债率、流动比率等）等进行分析，选择基本面优质且估值合理的正股。综上所述，本基金将结合可转债自身的信用评估和其正股的价值分析来进行个券的筛选。</w:t>
      </w:r>
    </w:p>
    <w:p w14:paraId="48CAA28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3）条款价值发现策略</w:t>
      </w:r>
    </w:p>
    <w:p w14:paraId="20C9B33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可转换债券通常设置一些特殊条款，包括修正转股价条款、回售条款、赎回条款等，如果市场环境发生变化或可转换债券的正股价格出现较大波动，可能触发这些特殊条款，对可转换债券的价值产生较大影响。本基金将深入分析发行人的经营</w:t>
      </w:r>
      <w:r>
        <w:rPr>
          <w:rFonts w:ascii="宋体" w:hAnsi="宋体"/>
          <w:sz w:val="24"/>
        </w:rPr>
        <w:lastRenderedPageBreak/>
        <w:t>状况、及时地了解发行人实施特殊条款的意愿以及市场的变化趋势，发掘特殊条款给可转换债券带来的投资机会或规避不利条款可能带来的投资风险。</w:t>
      </w:r>
    </w:p>
    <w:p w14:paraId="74EE0CB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4）套利策略</w:t>
      </w:r>
    </w:p>
    <w:p w14:paraId="6B6AB55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可转换债券的条款设计，投资者在转股期内可按事先约定的转股价格将所持可转换债券换为一定数量的股票，因此存在可转换债券和正股之间的套利空间。因此，在市场运行过程中，当可转换债券的转股溢价率为负时，买入可转换债券并卖出股票获得价差收益；反之，买入股票的同时卖出可转换债券也可以获取反向套利价差。本基金将密切关注可转换债券与正股之间的关系，把握套利机会，增强投资组合收益。</w:t>
      </w:r>
    </w:p>
    <w:p w14:paraId="77BC14A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（2）普通债券投资策略</w:t>
      </w:r>
    </w:p>
    <w:p w14:paraId="0572796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普通债券指本基金投资范围中除可转换债券（含可交换债券、可分离交易可转债）以外的债券资产。</w:t>
      </w:r>
    </w:p>
    <w:p w14:paraId="13A9548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1）久期管理策略</w:t>
      </w:r>
    </w:p>
    <w:p w14:paraId="621D1B5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债券基金最基本的投资策略，久期管理策略本质上是一种自上而下，通过灵活的久期策略对管理利率风险的策略。在全球经济的框架下，本基金管理人根据对市场利率变化趋势的预期，密切跟踪CPI、PPI、汇率、M2等利率敏感指标和宏观经济运行关键指标，运用数量化工具对宏观经济运行及货币财政政策变化跟踪与分析，对未来市场利率趋势进行分析预测，据此确定合理的债券组合目标久期。</w:t>
      </w:r>
    </w:p>
    <w:p w14:paraId="11AE669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2）期限结构配置策略</w:t>
      </w:r>
    </w:p>
    <w:p w14:paraId="6AA393F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14:paraId="2070390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3）债券的类别配置策略</w:t>
      </w:r>
    </w:p>
    <w:p w14:paraId="0C48BAA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不同类别债券的信用风险、税赋水平、市场流动性、市场风险等因素进行分析，综合评估相同期限的国债、金融债、企业债、交易所和银行间市场投资品种的利差和变化趋势，通过不同类别资产的风险调整后收益比较，确定组合的类别资产配置。</w:t>
      </w:r>
    </w:p>
    <w:p w14:paraId="5D2C7A5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4）骑乘策略</w:t>
      </w:r>
    </w:p>
    <w:p w14:paraId="0E5E633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骑乘策略，通过对债券收益曲线形状变动的预期为依据来建立和调整组合。当</w:t>
      </w:r>
      <w:r>
        <w:rPr>
          <w:rFonts w:ascii="宋体" w:hAnsi="宋体"/>
          <w:sz w:val="24"/>
        </w:rPr>
        <w:lastRenderedPageBreak/>
        <w:t>债券收益率曲线比较陡峭时，买入位于收益率曲线陡峭处的债券，持有一段时间后，伴随债券剩余期限的缩短与收益率水平的下降，获得一定的资本利得收益。</w:t>
      </w:r>
    </w:p>
    <w:p w14:paraId="5611791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5）杠杆放大策略</w:t>
      </w:r>
    </w:p>
    <w:p w14:paraId="775E689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14:paraId="7BDEC2B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6）信用债券投资</w:t>
      </w:r>
    </w:p>
    <w:p w14:paraId="2BE0D54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通过交银施罗德的信用债券信用评级指标体系，对信用债券进行信用评级，并在信用评级的基础上，建立本基金的信用债券池。基金经理从信用债券池中精选债券构建信用债券投资组合。</w:t>
      </w:r>
    </w:p>
    <w:p w14:paraId="6B63B75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构建和管理信用债券投资组合时主要考虑以下因素：①信用债券信用评级的变化；②不同信用等级的信用债券，以及同一信用等级不同标的债券之间的信用利差变化。原则上，购买信用（拟）增级的信用债券，减持信用（拟）降级的信用债券；购买信用利差扩大后存在收窄趋势的信用债券，减持信用利差缩小后存在放宽趋势的信用债券。</w:t>
      </w:r>
    </w:p>
    <w:p w14:paraId="6B7CC88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3、股票投资策略</w:t>
      </w:r>
    </w:p>
    <w:p w14:paraId="2D253005" w14:textId="77777777" w:rsidR="00CA2AC0" w:rsidRDefault="00027971" w:rsidP="00CA2AC0">
      <w:pPr>
        <w:autoSpaceDE w:val="0"/>
        <w:autoSpaceDN w:val="0"/>
        <w:adjustRightInd w:val="0"/>
        <w:snapToGrid w:val="0"/>
        <w:spacing w:line="360" w:lineRule="auto"/>
        <w:ind w:firstLineChars="200" w:firstLine="480"/>
        <w:jc w:val="left"/>
        <w:rPr>
          <w:rFonts w:ascii="宋体" w:hAnsi="宋体"/>
          <w:sz w:val="24"/>
        </w:rPr>
      </w:pPr>
      <w:r>
        <w:rPr>
          <w:rFonts w:ascii="宋体" w:hAnsi="宋体"/>
          <w:sz w:val="24"/>
        </w:rPr>
        <w:t>本基金将在严格控制投资风险前提下适度参与股票资产投资。本基金将综合运用交银施罗德股票研究分析方法和其它投资分析工具，在把握宏观经济运行趋势和股票市场行业轮动的基础上，充分发挥公司股票研究团队“自下而上”的主动选股能力，基于对个股深入的基本面研究和细致的实地调研，精选股票构建股票投资组合。</w:t>
      </w:r>
    </w:p>
    <w:p w14:paraId="06AFEEFC" w14:textId="77777777" w:rsidR="00CA2AC0" w:rsidRPr="003473E8" w:rsidRDefault="00CA2AC0" w:rsidP="00CA2AC0">
      <w:pPr>
        <w:autoSpaceDE w:val="0"/>
        <w:autoSpaceDN w:val="0"/>
        <w:adjustRightInd w:val="0"/>
        <w:snapToGrid w:val="0"/>
        <w:spacing w:line="360" w:lineRule="auto"/>
        <w:ind w:firstLineChars="200" w:firstLine="480"/>
        <w:jc w:val="left"/>
        <w:rPr>
          <w:rFonts w:ascii="宋体" w:hAnsi="宋体"/>
          <w:sz w:val="24"/>
        </w:rPr>
      </w:pPr>
      <w:r w:rsidRPr="00CA2AC0">
        <w:rPr>
          <w:rFonts w:ascii="宋体" w:hAnsi="宋体" w:hint="eastAsia"/>
          <w:sz w:val="24"/>
        </w:rPr>
        <w:t>本基金投资存托凭证的策略依照境内上市交易的股票投资策略执行。</w:t>
      </w:r>
    </w:p>
    <w:p w14:paraId="266FF1B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14:paraId="2F99E8B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14:paraId="3E8123B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14:paraId="7B43497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14:paraId="5F673AD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14:paraId="164942D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（1）本基金投资于债券资产的比例不低于基金资产的80%，其中，投资于可转换债券（含可交换债券、可分离交易可转债）的比例不低于非现金基金资产的</w:t>
      </w:r>
      <w:r>
        <w:rPr>
          <w:rFonts w:ascii="宋体" w:hAnsi="宋体"/>
          <w:sz w:val="24"/>
        </w:rPr>
        <w:lastRenderedPageBreak/>
        <w:t>80%；</w:t>
      </w:r>
    </w:p>
    <w:p w14:paraId="1395174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（2）本基金持有的现金或者到期日在一年以内的政府债券的投资比例合计不低于基金资产净值的5%，其中现金不包括结算备付金、存出保证金和应收申购款等；</w:t>
      </w:r>
    </w:p>
    <w:p w14:paraId="59ABDAD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（3）本基金持有一家公司发行的证券，其市值不超过基金资产净值的10％，本基金投资于可转债（含可交换债券、可分离交易可转债）部分不受此条款限制；</w:t>
      </w:r>
    </w:p>
    <w:p w14:paraId="30F712D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（4）本基金管理人管理的全部基金持有一家公司发行的证券，不超过该证券的10％，完全按照有关指数的构成比例进行证券投资的基金品种可以不受此条款规定的比例限制；</w:t>
      </w:r>
    </w:p>
    <w:p w14:paraId="119BA14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14:paraId="1A87A180" w14:textId="6BB34A9E"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14:paraId="604B6A8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14:paraId="48421A9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14:paraId="2B02645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14:paraId="15CFA5B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14:paraId="5A14FDA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14:paraId="7252BA0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14:paraId="6AB8067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14:paraId="30DC242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（14）本基金进入全国银行间同业市场进行债券回购的资金余额不得超过基金资产净值的40%，进入全国银行间同业市场进行债券回购的最长期限为1年，债券回购到期后不得展期；</w:t>
      </w:r>
    </w:p>
    <w:p w14:paraId="08638C6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14:paraId="6E0D8FD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14:paraId="1954688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（17）本基金与私募类证券资管产品及中国证监会认定的其他主体为交易对手开展逆回购交易的，可接受质押品的资质要求应当与基金合同约定的投资范围保持一致；</w:t>
      </w:r>
    </w:p>
    <w:p w14:paraId="563ABDB6" w14:textId="77777777" w:rsidR="00F27890" w:rsidRDefault="00027971">
      <w:pPr>
        <w:autoSpaceDE w:val="0"/>
        <w:autoSpaceDN w:val="0"/>
        <w:adjustRightInd w:val="0"/>
        <w:snapToGrid w:val="0"/>
        <w:spacing w:line="360" w:lineRule="auto"/>
        <w:ind w:firstLineChars="200" w:firstLine="480"/>
        <w:jc w:val="left"/>
        <w:rPr>
          <w:rFonts w:ascii="宋体" w:hAnsi="宋体"/>
          <w:sz w:val="24"/>
        </w:rPr>
      </w:pPr>
      <w:r>
        <w:rPr>
          <w:rFonts w:ascii="宋体" w:hAnsi="宋体"/>
          <w:sz w:val="24"/>
        </w:rPr>
        <w:t>（18）本基金资产总值不超过基金资产净值的140%；</w:t>
      </w:r>
    </w:p>
    <w:p w14:paraId="268CD193" w14:textId="77777777" w:rsidR="007C641E" w:rsidRDefault="007C6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w:t>
      </w:r>
      <w:r w:rsidRPr="007C641E">
        <w:rPr>
          <w:rFonts w:ascii="宋体" w:hAnsi="宋体" w:hint="eastAsia"/>
          <w:sz w:val="24"/>
        </w:rPr>
        <w:t>本基金投资存托凭证的比例限制依照境内上市交易的股票执行；</w:t>
      </w:r>
    </w:p>
    <w:p w14:paraId="0350C1CF" w14:textId="3737A14B"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w:t>
      </w:r>
      <w:r w:rsidR="007C641E">
        <w:rPr>
          <w:rFonts w:ascii="宋体" w:hAnsi="宋体"/>
          <w:sz w:val="24"/>
        </w:rPr>
        <w:t>20</w:t>
      </w:r>
      <w:r>
        <w:rPr>
          <w:rFonts w:ascii="宋体" w:hAnsi="宋体"/>
          <w:sz w:val="24"/>
        </w:rPr>
        <w:t>）法律法规及中国证监会规定的和《基金合同》约定的其他投资限制。</w:t>
      </w:r>
    </w:p>
    <w:p w14:paraId="4C27C7A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12）、（16）、（17）情形之外，因证券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14:paraId="2D2397B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497FC82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14:paraId="462E725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14:paraId="7EE6065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14:paraId="598F20E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14:paraId="62EE5FB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14:paraId="6DD9C2F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14:paraId="561A853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（4）买卖其他基金份额，但是中国证监会另有规定的除外；</w:t>
      </w:r>
    </w:p>
    <w:p w14:paraId="5276051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14:paraId="14AF443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14:paraId="22D7BBA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14:paraId="4947DEA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65364BD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14:paraId="6F09664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14:paraId="56A4A6F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中证可转换债券指数收益率*70%+中债综合全价指数收益率*20%+沪深300指数收益率*10%</w:t>
      </w:r>
    </w:p>
    <w:p w14:paraId="05A5A24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中证可转换债券指数由中证指数有限公司编制并发布，其指数样本由在沪深证券交易所上市的可转换债券组成，以反映国内市场可转换债券的总体表现。</w:t>
      </w:r>
    </w:p>
    <w:p w14:paraId="3E503EA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各类券种，综合反映了债券市场整体价格和回报情况，是目前市场上较为权威的反映债券市场整体走势的基准指数之一。</w:t>
      </w:r>
    </w:p>
    <w:p w14:paraId="277FC4D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14:paraId="6BAE31F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w:t>
      </w:r>
      <w:r>
        <w:rPr>
          <w:rFonts w:ascii="宋体" w:hAnsi="宋体"/>
          <w:sz w:val="24"/>
        </w:rPr>
        <w:lastRenderedPageBreak/>
        <w:t>反映本基金的风险收益特征。</w:t>
      </w:r>
    </w:p>
    <w:p w14:paraId="14C062E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在按照监管部门要求履行适当程序后，调整或变更本基金的业绩比较基准并及时公告，而无需召开基金份额持有人大会。</w:t>
      </w:r>
    </w:p>
    <w:p w14:paraId="339EB6A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14:paraId="6AD1AE6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本基金是一只债券型基金，其预期风险与预期收益高于货币市场基金，低于混合型基金和股票型基金。</w:t>
      </w:r>
    </w:p>
    <w:p w14:paraId="091CBD2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（七）基金管理人代表基金行使股东或债权人权利的处理原则及方法</w:t>
      </w:r>
    </w:p>
    <w:p w14:paraId="2E912DE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14:paraId="129ABB4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14:paraId="550E794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14:paraId="274EF89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14:paraId="1BA2F53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（八）侧袋机制的实施和投资运作安排</w:t>
      </w:r>
    </w:p>
    <w:p w14:paraId="55A5582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4334AE7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14:paraId="57159ED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14:paraId="737C4E6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（九）基金投资组合报告</w:t>
      </w:r>
    </w:p>
    <w:p w14:paraId="02D81E7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14:paraId="381536F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本基金托管人中国农业银行股份有限公司根据本基金合同规定，于2025年04月18日复核了本报告中的财务指标、净值表现和投资组合报告等内容，保证复核内容不存在虚假记载、误导性陈述或者重大遗漏。</w:t>
      </w:r>
    </w:p>
    <w:p w14:paraId="20EA47A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本报告期为2025年01月01日起至03月31日。本报告财务资料未经审计师审计。</w:t>
      </w:r>
    </w:p>
    <w:p w14:paraId="56CB725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4A0" w:firstRow="1" w:lastRow="0" w:firstColumn="1" w:lastColumn="0" w:noHBand="0" w:noVBand="1"/>
      </w:tblPr>
      <w:tblGrid>
        <w:gridCol w:w="1008"/>
        <w:gridCol w:w="3025"/>
        <w:gridCol w:w="3024"/>
        <w:gridCol w:w="1613"/>
      </w:tblGrid>
      <w:tr w:rsidR="00F27890" w14:paraId="156FCAB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14:paraId="55EE2E9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2D7D955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45D81A6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14:paraId="0E7ABB4A"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27890" w14:paraId="25652B5D"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CC1B21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14:paraId="2DD9F8BE"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14:paraId="1E286984"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23,722,164.39</w:t>
            </w:r>
          </w:p>
        </w:tc>
        <w:tc>
          <w:tcPr>
            <w:tcW w:w="400" w:type="pct"/>
            <w:tcBorders>
              <w:top w:val="single" w:sz="4" w:space="0" w:color="auto"/>
              <w:left w:val="single" w:sz="4" w:space="0" w:color="auto"/>
              <w:bottom w:val="single" w:sz="4" w:space="0" w:color="auto"/>
              <w:right w:val="single" w:sz="4" w:space="0" w:color="auto"/>
            </w:tcBorders>
            <w:vAlign w:val="center"/>
          </w:tcPr>
          <w:p w14:paraId="0F64B44A"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24.64</w:t>
            </w:r>
          </w:p>
        </w:tc>
      </w:tr>
      <w:tr w:rsidR="00F27890" w14:paraId="58A0FBEB"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53D5645"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14:paraId="0D23537C"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14:paraId="1F467B4A"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23,722,164.39</w:t>
            </w:r>
          </w:p>
        </w:tc>
        <w:tc>
          <w:tcPr>
            <w:tcW w:w="400" w:type="pct"/>
            <w:tcBorders>
              <w:top w:val="single" w:sz="4" w:space="0" w:color="auto"/>
              <w:left w:val="single" w:sz="4" w:space="0" w:color="auto"/>
              <w:bottom w:val="single" w:sz="4" w:space="0" w:color="auto"/>
              <w:right w:val="single" w:sz="4" w:space="0" w:color="auto"/>
            </w:tcBorders>
            <w:vAlign w:val="center"/>
          </w:tcPr>
          <w:p w14:paraId="6DF4850B"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24.64</w:t>
            </w:r>
          </w:p>
        </w:tc>
      </w:tr>
      <w:tr w:rsidR="00F27890" w14:paraId="7600690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2ED4934"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14:paraId="541E19C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14:paraId="21CF7827"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2F4144FD"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308EF83E"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8CB6BC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14:paraId="7EF24033"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14:paraId="2E95EA5A"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70,660,865.77</w:t>
            </w:r>
          </w:p>
        </w:tc>
        <w:tc>
          <w:tcPr>
            <w:tcW w:w="400" w:type="pct"/>
            <w:tcBorders>
              <w:top w:val="single" w:sz="4" w:space="0" w:color="auto"/>
              <w:left w:val="single" w:sz="4" w:space="0" w:color="auto"/>
              <w:bottom w:val="single" w:sz="4" w:space="0" w:color="auto"/>
              <w:right w:val="single" w:sz="4" w:space="0" w:color="auto"/>
            </w:tcBorders>
            <w:vAlign w:val="center"/>
          </w:tcPr>
          <w:p w14:paraId="484C420E"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73.39</w:t>
            </w:r>
          </w:p>
        </w:tc>
      </w:tr>
      <w:tr w:rsidR="00F27890" w14:paraId="3215AF2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7D61E3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14:paraId="6C530172"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14:paraId="476B52D9"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70,660,865.77</w:t>
            </w:r>
          </w:p>
        </w:tc>
        <w:tc>
          <w:tcPr>
            <w:tcW w:w="400" w:type="pct"/>
            <w:tcBorders>
              <w:top w:val="single" w:sz="4" w:space="0" w:color="auto"/>
              <w:left w:val="single" w:sz="4" w:space="0" w:color="auto"/>
              <w:bottom w:val="single" w:sz="4" w:space="0" w:color="auto"/>
              <w:right w:val="single" w:sz="4" w:space="0" w:color="auto"/>
            </w:tcBorders>
            <w:vAlign w:val="center"/>
          </w:tcPr>
          <w:p w14:paraId="7B561FFA"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73.39</w:t>
            </w:r>
          </w:p>
        </w:tc>
      </w:tr>
      <w:tr w:rsidR="00F27890" w14:paraId="317F5DDD"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4ED7CC2"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14:paraId="25D7CF2F"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14:paraId="6333F418"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5B283B7F"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4698E240"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E40C23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14:paraId="1568D85C"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14:paraId="7241036E"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432D9423"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5DFEB33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22C7B6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14:paraId="2F87FE0F"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14:paraId="0F2A49DD"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6460508A"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4F4EA478"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F2F4E0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14:paraId="24D2449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14:paraId="319DC546"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0CA5CA4D"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0C2B895B"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70867CA"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14:paraId="38825BD8"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14:paraId="7C0A2E6E"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2DA41E4F"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2808151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D411490"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14:paraId="44BED478"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14:paraId="67E9D8AE"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1,464,519.62</w:t>
            </w:r>
          </w:p>
        </w:tc>
        <w:tc>
          <w:tcPr>
            <w:tcW w:w="400" w:type="pct"/>
            <w:tcBorders>
              <w:top w:val="single" w:sz="4" w:space="0" w:color="auto"/>
              <w:left w:val="single" w:sz="4" w:space="0" w:color="auto"/>
              <w:bottom w:val="single" w:sz="4" w:space="0" w:color="auto"/>
              <w:right w:val="single" w:sz="4" w:space="0" w:color="auto"/>
            </w:tcBorders>
            <w:vAlign w:val="center"/>
          </w:tcPr>
          <w:p w14:paraId="112A8A4B"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1.52</w:t>
            </w:r>
          </w:p>
        </w:tc>
      </w:tr>
      <w:tr w:rsidR="00F27890" w14:paraId="1A1B835C"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91F10B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14:paraId="17D211A2"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14:paraId="70FB27B3"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430,342.58</w:t>
            </w:r>
          </w:p>
        </w:tc>
        <w:tc>
          <w:tcPr>
            <w:tcW w:w="400" w:type="pct"/>
            <w:tcBorders>
              <w:top w:val="single" w:sz="4" w:space="0" w:color="auto"/>
              <w:left w:val="single" w:sz="4" w:space="0" w:color="auto"/>
              <w:bottom w:val="single" w:sz="4" w:space="0" w:color="auto"/>
              <w:right w:val="single" w:sz="4" w:space="0" w:color="auto"/>
            </w:tcBorders>
            <w:vAlign w:val="center"/>
          </w:tcPr>
          <w:p w14:paraId="6E2EF28A"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0.45</w:t>
            </w:r>
          </w:p>
        </w:tc>
      </w:tr>
      <w:tr w:rsidR="00F27890" w14:paraId="0405AE10"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C8B1134"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14:paraId="6E1FB4E1"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14:paraId="516B1665"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96,277,892.36</w:t>
            </w:r>
          </w:p>
        </w:tc>
        <w:tc>
          <w:tcPr>
            <w:tcW w:w="400" w:type="pct"/>
            <w:tcBorders>
              <w:top w:val="single" w:sz="4" w:space="0" w:color="auto"/>
              <w:left w:val="single" w:sz="4" w:space="0" w:color="auto"/>
              <w:bottom w:val="single" w:sz="4" w:space="0" w:color="auto"/>
              <w:right w:val="single" w:sz="4" w:space="0" w:color="auto"/>
            </w:tcBorders>
            <w:vAlign w:val="center"/>
          </w:tcPr>
          <w:p w14:paraId="144707DF"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14:paraId="68F34A3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14:paraId="5872245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4A0" w:firstRow="1" w:lastRow="0" w:firstColumn="1" w:lastColumn="0" w:noHBand="0" w:noVBand="1"/>
      </w:tblPr>
      <w:tblGrid>
        <w:gridCol w:w="1008"/>
        <w:gridCol w:w="3025"/>
        <w:gridCol w:w="3024"/>
        <w:gridCol w:w="1613"/>
      </w:tblGrid>
      <w:tr w:rsidR="00F27890" w14:paraId="13F0DC1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14:paraId="2DE94F6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6A984A41"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6F659B05"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14:paraId="27F8EEE0"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27890" w14:paraId="07F9134A"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A39557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14:paraId="248FDB7F"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14:paraId="3DE44BE3"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7A401881"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3A09BD7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965AC4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14:paraId="4C8E70E3"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14:paraId="0F8D99B2"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464E045A"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05CB57DC"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2B791F2"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14:paraId="7766BE76"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14:paraId="3BA5B4FF"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17,789,623.35</w:t>
            </w:r>
          </w:p>
        </w:tc>
        <w:tc>
          <w:tcPr>
            <w:tcW w:w="400" w:type="pct"/>
            <w:tcBorders>
              <w:top w:val="single" w:sz="4" w:space="0" w:color="auto"/>
              <w:left w:val="single" w:sz="4" w:space="0" w:color="auto"/>
              <w:bottom w:val="single" w:sz="4" w:space="0" w:color="auto"/>
              <w:right w:val="single" w:sz="4" w:space="0" w:color="auto"/>
            </w:tcBorders>
            <w:vAlign w:val="center"/>
          </w:tcPr>
          <w:p w14:paraId="5F1D657D"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21.68</w:t>
            </w:r>
          </w:p>
        </w:tc>
      </w:tr>
      <w:tr w:rsidR="00F27890" w14:paraId="77826944"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4F6588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14:paraId="59AF296E"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14:paraId="2FD53A80"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670,062.00</w:t>
            </w:r>
          </w:p>
        </w:tc>
        <w:tc>
          <w:tcPr>
            <w:tcW w:w="400" w:type="pct"/>
            <w:tcBorders>
              <w:top w:val="single" w:sz="4" w:space="0" w:color="auto"/>
              <w:left w:val="single" w:sz="4" w:space="0" w:color="auto"/>
              <w:bottom w:val="single" w:sz="4" w:space="0" w:color="auto"/>
              <w:right w:val="single" w:sz="4" w:space="0" w:color="auto"/>
            </w:tcBorders>
            <w:vAlign w:val="center"/>
          </w:tcPr>
          <w:p w14:paraId="22321CAA"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0.82</w:t>
            </w:r>
          </w:p>
        </w:tc>
      </w:tr>
      <w:tr w:rsidR="00F27890" w14:paraId="22D48F88"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10D48C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14:paraId="55AE6D96"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14:paraId="1FAEE52B"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139A55A6"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405A3FC3"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F93202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14:paraId="5A4590DF"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14:paraId="39D39BE5"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131,486.00</w:t>
            </w:r>
          </w:p>
        </w:tc>
        <w:tc>
          <w:tcPr>
            <w:tcW w:w="400" w:type="pct"/>
            <w:tcBorders>
              <w:top w:val="single" w:sz="4" w:space="0" w:color="auto"/>
              <w:left w:val="single" w:sz="4" w:space="0" w:color="auto"/>
              <w:bottom w:val="single" w:sz="4" w:space="0" w:color="auto"/>
              <w:right w:val="single" w:sz="4" w:space="0" w:color="auto"/>
            </w:tcBorders>
            <w:vAlign w:val="center"/>
          </w:tcPr>
          <w:p w14:paraId="061074B7"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F27890" w14:paraId="49FC280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14CE6E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14:paraId="5E439F5C"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14:paraId="63456C07"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794E400D"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66A8EFB8"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999B2A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14:paraId="4868478D"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14:paraId="638DC89B"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5155E116"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430BBDF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A0140C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14:paraId="1D200C4F"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14:paraId="7184F4B5"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3,867,937.04</w:t>
            </w:r>
          </w:p>
        </w:tc>
        <w:tc>
          <w:tcPr>
            <w:tcW w:w="400" w:type="pct"/>
            <w:tcBorders>
              <w:top w:val="single" w:sz="4" w:space="0" w:color="auto"/>
              <w:left w:val="single" w:sz="4" w:space="0" w:color="auto"/>
              <w:bottom w:val="single" w:sz="4" w:space="0" w:color="auto"/>
              <w:right w:val="single" w:sz="4" w:space="0" w:color="auto"/>
            </w:tcBorders>
            <w:vAlign w:val="center"/>
          </w:tcPr>
          <w:p w14:paraId="14ACC4EF"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4.71</w:t>
            </w:r>
          </w:p>
        </w:tc>
      </w:tr>
      <w:tr w:rsidR="00F27890" w14:paraId="5A3FFD2E"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484A9D1"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14:paraId="60738A0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14:paraId="4B82CC84"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934,374.00</w:t>
            </w:r>
          </w:p>
        </w:tc>
        <w:tc>
          <w:tcPr>
            <w:tcW w:w="400" w:type="pct"/>
            <w:tcBorders>
              <w:top w:val="single" w:sz="4" w:space="0" w:color="auto"/>
              <w:left w:val="single" w:sz="4" w:space="0" w:color="auto"/>
              <w:bottom w:val="single" w:sz="4" w:space="0" w:color="auto"/>
              <w:right w:val="single" w:sz="4" w:space="0" w:color="auto"/>
            </w:tcBorders>
            <w:vAlign w:val="center"/>
          </w:tcPr>
          <w:p w14:paraId="73ECB09A"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1.14</w:t>
            </w:r>
          </w:p>
        </w:tc>
      </w:tr>
      <w:tr w:rsidR="00F27890" w14:paraId="259B14A0"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3E0A3A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14:paraId="3BF3249F"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14:paraId="79D0B143"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562D5ECF"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4F7553E0"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973076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14:paraId="5CEFECFB"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14:paraId="7B634EF8"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231,820.00</w:t>
            </w:r>
          </w:p>
        </w:tc>
        <w:tc>
          <w:tcPr>
            <w:tcW w:w="400" w:type="pct"/>
            <w:tcBorders>
              <w:top w:val="single" w:sz="4" w:space="0" w:color="auto"/>
              <w:left w:val="single" w:sz="4" w:space="0" w:color="auto"/>
              <w:bottom w:val="single" w:sz="4" w:space="0" w:color="auto"/>
              <w:right w:val="single" w:sz="4" w:space="0" w:color="auto"/>
            </w:tcBorders>
            <w:vAlign w:val="center"/>
          </w:tcPr>
          <w:p w14:paraId="2BD96E9D"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0.28</w:t>
            </w:r>
          </w:p>
        </w:tc>
      </w:tr>
      <w:tr w:rsidR="00F27890" w14:paraId="350F6E1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31FA63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14:paraId="5038971F"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14:paraId="260A65DE"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85,750.00</w:t>
            </w:r>
          </w:p>
        </w:tc>
        <w:tc>
          <w:tcPr>
            <w:tcW w:w="400" w:type="pct"/>
            <w:tcBorders>
              <w:top w:val="single" w:sz="4" w:space="0" w:color="auto"/>
              <w:left w:val="single" w:sz="4" w:space="0" w:color="auto"/>
              <w:bottom w:val="single" w:sz="4" w:space="0" w:color="auto"/>
              <w:right w:val="single" w:sz="4" w:space="0" w:color="auto"/>
            </w:tcBorders>
            <w:vAlign w:val="center"/>
          </w:tcPr>
          <w:p w14:paraId="77F2B4CF"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F27890" w14:paraId="77765333"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C007E1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N</w:t>
            </w:r>
          </w:p>
        </w:tc>
        <w:tc>
          <w:tcPr>
            <w:tcW w:w="750" w:type="pct"/>
            <w:tcBorders>
              <w:top w:val="single" w:sz="4" w:space="0" w:color="auto"/>
              <w:left w:val="single" w:sz="4" w:space="0" w:color="auto"/>
              <w:bottom w:val="single" w:sz="4" w:space="0" w:color="auto"/>
              <w:right w:val="single" w:sz="4" w:space="0" w:color="auto"/>
            </w:tcBorders>
            <w:vAlign w:val="center"/>
          </w:tcPr>
          <w:p w14:paraId="29F2289A"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14:paraId="4A0C532B"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11,112.00</w:t>
            </w:r>
          </w:p>
        </w:tc>
        <w:tc>
          <w:tcPr>
            <w:tcW w:w="400" w:type="pct"/>
            <w:tcBorders>
              <w:top w:val="single" w:sz="4" w:space="0" w:color="auto"/>
              <w:left w:val="single" w:sz="4" w:space="0" w:color="auto"/>
              <w:bottom w:val="single" w:sz="4" w:space="0" w:color="auto"/>
              <w:right w:val="single" w:sz="4" w:space="0" w:color="auto"/>
            </w:tcBorders>
            <w:vAlign w:val="center"/>
          </w:tcPr>
          <w:p w14:paraId="55DF6D70"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F27890" w14:paraId="6B1D6BD3"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162D2DA"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14:paraId="173FAA79"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14:paraId="007B9D0E"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2144E54C"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424A1F30"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2BE737A"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14:paraId="3F60EE41"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14:paraId="04A112C7"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325A03A2"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0DA60977"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09B5D4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14:paraId="5355B199"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14:paraId="198B27C1"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0A80E38B"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05728B6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5C5D60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14:paraId="01B07C13"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14:paraId="6A949AD9"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62056EA5"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2C4E231B"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65BCC7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14:paraId="5AC07C80"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14:paraId="257510F8"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1718C51A"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76904C00"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CA5802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14:paraId="04330F20"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14:paraId="35D7EAC2"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23,722,164.39</w:t>
            </w:r>
          </w:p>
        </w:tc>
        <w:tc>
          <w:tcPr>
            <w:tcW w:w="400" w:type="pct"/>
            <w:tcBorders>
              <w:top w:val="single" w:sz="4" w:space="0" w:color="auto"/>
              <w:left w:val="single" w:sz="4" w:space="0" w:color="auto"/>
              <w:bottom w:val="single" w:sz="4" w:space="0" w:color="auto"/>
              <w:right w:val="single" w:sz="4" w:space="0" w:color="auto"/>
            </w:tcBorders>
            <w:vAlign w:val="center"/>
          </w:tcPr>
          <w:p w14:paraId="3755EDCB"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28.92</w:t>
            </w:r>
          </w:p>
        </w:tc>
      </w:tr>
    </w:tbl>
    <w:p w14:paraId="18C0923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14:paraId="2EB6F9E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14:paraId="3C9E51F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14:paraId="20BC116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4A0" w:firstRow="1" w:lastRow="0" w:firstColumn="1" w:lastColumn="0" w:noHBand="0" w:noVBand="1"/>
      </w:tblPr>
      <w:tblGrid>
        <w:gridCol w:w="542"/>
        <w:gridCol w:w="1625"/>
        <w:gridCol w:w="1625"/>
        <w:gridCol w:w="1626"/>
        <w:gridCol w:w="1626"/>
        <w:gridCol w:w="1626"/>
      </w:tblGrid>
      <w:tr w:rsidR="00F27890" w14:paraId="2CD3134D" w14:textId="777777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14:paraId="69F57D7A"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09DBAD55"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4B953A9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36F5B335"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0AE8D7D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21AE0A6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27890" w14:paraId="78AFAAF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89835A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14:paraId="425043B4"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601208</w:t>
            </w:r>
          </w:p>
        </w:tc>
        <w:tc>
          <w:tcPr>
            <w:tcW w:w="750" w:type="pct"/>
            <w:tcBorders>
              <w:top w:val="single" w:sz="4" w:space="0" w:color="auto"/>
              <w:left w:val="single" w:sz="4" w:space="0" w:color="auto"/>
              <w:bottom w:val="single" w:sz="4" w:space="0" w:color="auto"/>
              <w:right w:val="single" w:sz="4" w:space="0" w:color="auto"/>
            </w:tcBorders>
            <w:vAlign w:val="center"/>
          </w:tcPr>
          <w:p w14:paraId="1C42350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东材科技</w:t>
            </w:r>
          </w:p>
        </w:tc>
        <w:tc>
          <w:tcPr>
            <w:tcW w:w="750" w:type="pct"/>
            <w:tcBorders>
              <w:top w:val="single" w:sz="4" w:space="0" w:color="auto"/>
              <w:left w:val="single" w:sz="4" w:space="0" w:color="auto"/>
              <w:bottom w:val="single" w:sz="4" w:space="0" w:color="auto"/>
              <w:right w:val="single" w:sz="4" w:space="0" w:color="auto"/>
            </w:tcBorders>
            <w:vAlign w:val="center"/>
          </w:tcPr>
          <w:p w14:paraId="32F8D87C"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90,300</w:t>
            </w:r>
          </w:p>
        </w:tc>
        <w:tc>
          <w:tcPr>
            <w:tcW w:w="750" w:type="pct"/>
            <w:tcBorders>
              <w:top w:val="single" w:sz="4" w:space="0" w:color="auto"/>
              <w:left w:val="single" w:sz="4" w:space="0" w:color="auto"/>
              <w:bottom w:val="single" w:sz="4" w:space="0" w:color="auto"/>
              <w:right w:val="single" w:sz="4" w:space="0" w:color="auto"/>
            </w:tcBorders>
            <w:vAlign w:val="center"/>
          </w:tcPr>
          <w:p w14:paraId="0F95D475"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870,492.00</w:t>
            </w:r>
          </w:p>
        </w:tc>
        <w:tc>
          <w:tcPr>
            <w:tcW w:w="750" w:type="pct"/>
            <w:tcBorders>
              <w:top w:val="single" w:sz="4" w:space="0" w:color="auto"/>
              <w:left w:val="single" w:sz="4" w:space="0" w:color="auto"/>
              <w:bottom w:val="single" w:sz="4" w:space="0" w:color="auto"/>
              <w:right w:val="single" w:sz="4" w:space="0" w:color="auto"/>
            </w:tcBorders>
            <w:vAlign w:val="center"/>
          </w:tcPr>
          <w:p w14:paraId="020443F4"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1.06</w:t>
            </w:r>
          </w:p>
        </w:tc>
      </w:tr>
      <w:tr w:rsidR="00F27890" w14:paraId="1239DBC0"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640042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14:paraId="60EC455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605166</w:t>
            </w:r>
          </w:p>
        </w:tc>
        <w:tc>
          <w:tcPr>
            <w:tcW w:w="750" w:type="pct"/>
            <w:tcBorders>
              <w:top w:val="single" w:sz="4" w:space="0" w:color="auto"/>
              <w:left w:val="single" w:sz="4" w:space="0" w:color="auto"/>
              <w:bottom w:val="single" w:sz="4" w:space="0" w:color="auto"/>
              <w:right w:val="single" w:sz="4" w:space="0" w:color="auto"/>
            </w:tcBorders>
            <w:vAlign w:val="center"/>
          </w:tcPr>
          <w:p w14:paraId="632C765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聚合顺</w:t>
            </w:r>
          </w:p>
        </w:tc>
        <w:tc>
          <w:tcPr>
            <w:tcW w:w="750" w:type="pct"/>
            <w:tcBorders>
              <w:top w:val="single" w:sz="4" w:space="0" w:color="auto"/>
              <w:left w:val="single" w:sz="4" w:space="0" w:color="auto"/>
              <w:bottom w:val="single" w:sz="4" w:space="0" w:color="auto"/>
              <w:right w:val="single" w:sz="4" w:space="0" w:color="auto"/>
            </w:tcBorders>
            <w:vAlign w:val="center"/>
          </w:tcPr>
          <w:p w14:paraId="3BC4C4BE"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60,100</w:t>
            </w:r>
          </w:p>
        </w:tc>
        <w:tc>
          <w:tcPr>
            <w:tcW w:w="750" w:type="pct"/>
            <w:tcBorders>
              <w:top w:val="single" w:sz="4" w:space="0" w:color="auto"/>
              <w:left w:val="single" w:sz="4" w:space="0" w:color="auto"/>
              <w:bottom w:val="single" w:sz="4" w:space="0" w:color="auto"/>
              <w:right w:val="single" w:sz="4" w:space="0" w:color="auto"/>
            </w:tcBorders>
            <w:vAlign w:val="center"/>
          </w:tcPr>
          <w:p w14:paraId="06BC7E66"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786,108.00</w:t>
            </w:r>
          </w:p>
        </w:tc>
        <w:tc>
          <w:tcPr>
            <w:tcW w:w="750" w:type="pct"/>
            <w:tcBorders>
              <w:top w:val="single" w:sz="4" w:space="0" w:color="auto"/>
              <w:left w:val="single" w:sz="4" w:space="0" w:color="auto"/>
              <w:bottom w:val="single" w:sz="4" w:space="0" w:color="auto"/>
              <w:right w:val="single" w:sz="4" w:space="0" w:color="auto"/>
            </w:tcBorders>
            <w:vAlign w:val="center"/>
          </w:tcPr>
          <w:p w14:paraId="0849CC93"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0.96</w:t>
            </w:r>
          </w:p>
        </w:tc>
      </w:tr>
      <w:tr w:rsidR="00F27890" w14:paraId="3A7924DE"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0B01F01"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14:paraId="0FA2436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300910</w:t>
            </w:r>
          </w:p>
        </w:tc>
        <w:tc>
          <w:tcPr>
            <w:tcW w:w="750" w:type="pct"/>
            <w:tcBorders>
              <w:top w:val="single" w:sz="4" w:space="0" w:color="auto"/>
              <w:left w:val="single" w:sz="4" w:space="0" w:color="auto"/>
              <w:bottom w:val="single" w:sz="4" w:space="0" w:color="auto"/>
              <w:right w:val="single" w:sz="4" w:space="0" w:color="auto"/>
            </w:tcBorders>
            <w:vAlign w:val="center"/>
          </w:tcPr>
          <w:p w14:paraId="5F01932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瑞丰新材</w:t>
            </w:r>
          </w:p>
        </w:tc>
        <w:tc>
          <w:tcPr>
            <w:tcW w:w="750" w:type="pct"/>
            <w:tcBorders>
              <w:top w:val="single" w:sz="4" w:space="0" w:color="auto"/>
              <w:left w:val="single" w:sz="4" w:space="0" w:color="auto"/>
              <w:bottom w:val="single" w:sz="4" w:space="0" w:color="auto"/>
              <w:right w:val="single" w:sz="4" w:space="0" w:color="auto"/>
            </w:tcBorders>
            <w:vAlign w:val="center"/>
          </w:tcPr>
          <w:p w14:paraId="5A77F25F"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13,500</w:t>
            </w:r>
          </w:p>
        </w:tc>
        <w:tc>
          <w:tcPr>
            <w:tcW w:w="750" w:type="pct"/>
            <w:tcBorders>
              <w:top w:val="single" w:sz="4" w:space="0" w:color="auto"/>
              <w:left w:val="single" w:sz="4" w:space="0" w:color="auto"/>
              <w:bottom w:val="single" w:sz="4" w:space="0" w:color="auto"/>
              <w:right w:val="single" w:sz="4" w:space="0" w:color="auto"/>
            </w:tcBorders>
            <w:vAlign w:val="center"/>
          </w:tcPr>
          <w:p w14:paraId="469A1C39"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772,335.00</w:t>
            </w:r>
          </w:p>
        </w:tc>
        <w:tc>
          <w:tcPr>
            <w:tcW w:w="750" w:type="pct"/>
            <w:tcBorders>
              <w:top w:val="single" w:sz="4" w:space="0" w:color="auto"/>
              <w:left w:val="single" w:sz="4" w:space="0" w:color="auto"/>
              <w:bottom w:val="single" w:sz="4" w:space="0" w:color="auto"/>
              <w:right w:val="single" w:sz="4" w:space="0" w:color="auto"/>
            </w:tcBorders>
            <w:vAlign w:val="center"/>
          </w:tcPr>
          <w:p w14:paraId="21399E43"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0.94</w:t>
            </w:r>
          </w:p>
        </w:tc>
      </w:tr>
      <w:tr w:rsidR="00F27890" w14:paraId="0449117A"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48818C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14:paraId="042BC372"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002034</w:t>
            </w:r>
          </w:p>
        </w:tc>
        <w:tc>
          <w:tcPr>
            <w:tcW w:w="750" w:type="pct"/>
            <w:tcBorders>
              <w:top w:val="single" w:sz="4" w:space="0" w:color="auto"/>
              <w:left w:val="single" w:sz="4" w:space="0" w:color="auto"/>
              <w:bottom w:val="single" w:sz="4" w:space="0" w:color="auto"/>
              <w:right w:val="single" w:sz="4" w:space="0" w:color="auto"/>
            </w:tcBorders>
            <w:vAlign w:val="center"/>
          </w:tcPr>
          <w:p w14:paraId="1DF5998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旺能环境</w:t>
            </w:r>
          </w:p>
        </w:tc>
        <w:tc>
          <w:tcPr>
            <w:tcW w:w="750" w:type="pct"/>
            <w:tcBorders>
              <w:top w:val="single" w:sz="4" w:space="0" w:color="auto"/>
              <w:left w:val="single" w:sz="4" w:space="0" w:color="auto"/>
              <w:bottom w:val="single" w:sz="4" w:space="0" w:color="auto"/>
              <w:right w:val="single" w:sz="4" w:space="0" w:color="auto"/>
            </w:tcBorders>
            <w:vAlign w:val="center"/>
          </w:tcPr>
          <w:p w14:paraId="720F6A7D"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36,200</w:t>
            </w:r>
          </w:p>
        </w:tc>
        <w:tc>
          <w:tcPr>
            <w:tcW w:w="750" w:type="pct"/>
            <w:tcBorders>
              <w:top w:val="single" w:sz="4" w:space="0" w:color="auto"/>
              <w:left w:val="single" w:sz="4" w:space="0" w:color="auto"/>
              <w:bottom w:val="single" w:sz="4" w:space="0" w:color="auto"/>
              <w:right w:val="single" w:sz="4" w:space="0" w:color="auto"/>
            </w:tcBorders>
            <w:vAlign w:val="center"/>
          </w:tcPr>
          <w:p w14:paraId="5475422F"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670,062.00</w:t>
            </w:r>
          </w:p>
        </w:tc>
        <w:tc>
          <w:tcPr>
            <w:tcW w:w="750" w:type="pct"/>
            <w:tcBorders>
              <w:top w:val="single" w:sz="4" w:space="0" w:color="auto"/>
              <w:left w:val="single" w:sz="4" w:space="0" w:color="auto"/>
              <w:bottom w:val="single" w:sz="4" w:space="0" w:color="auto"/>
              <w:right w:val="single" w:sz="4" w:space="0" w:color="auto"/>
            </w:tcBorders>
            <w:vAlign w:val="center"/>
          </w:tcPr>
          <w:p w14:paraId="3178D9D2"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0.82</w:t>
            </w:r>
          </w:p>
        </w:tc>
      </w:tr>
      <w:tr w:rsidR="00F27890" w14:paraId="58558996"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230340A"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14:paraId="0E49186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688111</w:t>
            </w:r>
          </w:p>
        </w:tc>
        <w:tc>
          <w:tcPr>
            <w:tcW w:w="750" w:type="pct"/>
            <w:tcBorders>
              <w:top w:val="single" w:sz="4" w:space="0" w:color="auto"/>
              <w:left w:val="single" w:sz="4" w:space="0" w:color="auto"/>
              <w:bottom w:val="single" w:sz="4" w:space="0" w:color="auto"/>
              <w:right w:val="single" w:sz="4" w:space="0" w:color="auto"/>
            </w:tcBorders>
            <w:vAlign w:val="center"/>
          </w:tcPr>
          <w:p w14:paraId="25393CA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金山办公</w:t>
            </w:r>
          </w:p>
        </w:tc>
        <w:tc>
          <w:tcPr>
            <w:tcW w:w="750" w:type="pct"/>
            <w:tcBorders>
              <w:top w:val="single" w:sz="4" w:space="0" w:color="auto"/>
              <w:left w:val="single" w:sz="4" w:space="0" w:color="auto"/>
              <w:bottom w:val="single" w:sz="4" w:space="0" w:color="auto"/>
              <w:right w:val="single" w:sz="4" w:space="0" w:color="auto"/>
            </w:tcBorders>
            <w:vAlign w:val="center"/>
          </w:tcPr>
          <w:p w14:paraId="1FD87D01"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w:t>
            </w:r>
          </w:p>
        </w:tc>
        <w:tc>
          <w:tcPr>
            <w:tcW w:w="750" w:type="pct"/>
            <w:tcBorders>
              <w:top w:val="single" w:sz="4" w:space="0" w:color="auto"/>
              <w:left w:val="single" w:sz="4" w:space="0" w:color="auto"/>
              <w:bottom w:val="single" w:sz="4" w:space="0" w:color="auto"/>
              <w:right w:val="single" w:sz="4" w:space="0" w:color="auto"/>
            </w:tcBorders>
            <w:vAlign w:val="center"/>
          </w:tcPr>
          <w:p w14:paraId="4F405AE4"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598,240.00</w:t>
            </w:r>
          </w:p>
        </w:tc>
        <w:tc>
          <w:tcPr>
            <w:tcW w:w="750" w:type="pct"/>
            <w:tcBorders>
              <w:top w:val="single" w:sz="4" w:space="0" w:color="auto"/>
              <w:left w:val="single" w:sz="4" w:space="0" w:color="auto"/>
              <w:bottom w:val="single" w:sz="4" w:space="0" w:color="auto"/>
              <w:right w:val="single" w:sz="4" w:space="0" w:color="auto"/>
            </w:tcBorders>
            <w:vAlign w:val="center"/>
          </w:tcPr>
          <w:p w14:paraId="72EBBA43"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0.73</w:t>
            </w:r>
          </w:p>
        </w:tc>
      </w:tr>
      <w:tr w:rsidR="00F27890" w14:paraId="57BCD4C6"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48C130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14:paraId="6CC32E6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600398</w:t>
            </w:r>
          </w:p>
        </w:tc>
        <w:tc>
          <w:tcPr>
            <w:tcW w:w="750" w:type="pct"/>
            <w:tcBorders>
              <w:top w:val="single" w:sz="4" w:space="0" w:color="auto"/>
              <w:left w:val="single" w:sz="4" w:space="0" w:color="auto"/>
              <w:bottom w:val="single" w:sz="4" w:space="0" w:color="auto"/>
              <w:right w:val="single" w:sz="4" w:space="0" w:color="auto"/>
            </w:tcBorders>
            <w:vAlign w:val="center"/>
          </w:tcPr>
          <w:p w14:paraId="16D872C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海澜之家</w:t>
            </w:r>
          </w:p>
        </w:tc>
        <w:tc>
          <w:tcPr>
            <w:tcW w:w="750" w:type="pct"/>
            <w:tcBorders>
              <w:top w:val="single" w:sz="4" w:space="0" w:color="auto"/>
              <w:left w:val="single" w:sz="4" w:space="0" w:color="auto"/>
              <w:bottom w:val="single" w:sz="4" w:space="0" w:color="auto"/>
              <w:right w:val="single" w:sz="4" w:space="0" w:color="auto"/>
            </w:tcBorders>
            <w:vAlign w:val="center"/>
          </w:tcPr>
          <w:p w14:paraId="08B8D14E"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75,600</w:t>
            </w:r>
          </w:p>
        </w:tc>
        <w:tc>
          <w:tcPr>
            <w:tcW w:w="750" w:type="pct"/>
            <w:tcBorders>
              <w:top w:val="single" w:sz="4" w:space="0" w:color="auto"/>
              <w:left w:val="single" w:sz="4" w:space="0" w:color="auto"/>
              <w:bottom w:val="single" w:sz="4" w:space="0" w:color="auto"/>
              <w:right w:val="single" w:sz="4" w:space="0" w:color="auto"/>
            </w:tcBorders>
            <w:vAlign w:val="center"/>
          </w:tcPr>
          <w:p w14:paraId="354264F8"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597,996.00</w:t>
            </w:r>
          </w:p>
        </w:tc>
        <w:tc>
          <w:tcPr>
            <w:tcW w:w="750" w:type="pct"/>
            <w:tcBorders>
              <w:top w:val="single" w:sz="4" w:space="0" w:color="auto"/>
              <w:left w:val="single" w:sz="4" w:space="0" w:color="auto"/>
              <w:bottom w:val="single" w:sz="4" w:space="0" w:color="auto"/>
              <w:right w:val="single" w:sz="4" w:space="0" w:color="auto"/>
            </w:tcBorders>
            <w:vAlign w:val="center"/>
          </w:tcPr>
          <w:p w14:paraId="4F284A72"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0.73</w:t>
            </w:r>
          </w:p>
        </w:tc>
      </w:tr>
      <w:tr w:rsidR="00F27890" w14:paraId="16E55460"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23B963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14:paraId="42FE46C5"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300218</w:t>
            </w:r>
          </w:p>
        </w:tc>
        <w:tc>
          <w:tcPr>
            <w:tcW w:w="750" w:type="pct"/>
            <w:tcBorders>
              <w:top w:val="single" w:sz="4" w:space="0" w:color="auto"/>
              <w:left w:val="single" w:sz="4" w:space="0" w:color="auto"/>
              <w:bottom w:val="single" w:sz="4" w:space="0" w:color="auto"/>
              <w:right w:val="single" w:sz="4" w:space="0" w:color="auto"/>
            </w:tcBorders>
            <w:vAlign w:val="center"/>
          </w:tcPr>
          <w:p w14:paraId="2FEDD36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安利股份</w:t>
            </w:r>
          </w:p>
        </w:tc>
        <w:tc>
          <w:tcPr>
            <w:tcW w:w="750" w:type="pct"/>
            <w:tcBorders>
              <w:top w:val="single" w:sz="4" w:space="0" w:color="auto"/>
              <w:left w:val="single" w:sz="4" w:space="0" w:color="auto"/>
              <w:bottom w:val="single" w:sz="4" w:space="0" w:color="auto"/>
              <w:right w:val="single" w:sz="4" w:space="0" w:color="auto"/>
            </w:tcBorders>
            <w:vAlign w:val="center"/>
          </w:tcPr>
          <w:p w14:paraId="51D3ED1C"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33,800</w:t>
            </w:r>
          </w:p>
        </w:tc>
        <w:tc>
          <w:tcPr>
            <w:tcW w:w="750" w:type="pct"/>
            <w:tcBorders>
              <w:top w:val="single" w:sz="4" w:space="0" w:color="auto"/>
              <w:left w:val="single" w:sz="4" w:space="0" w:color="auto"/>
              <w:bottom w:val="single" w:sz="4" w:space="0" w:color="auto"/>
              <w:right w:val="single" w:sz="4" w:space="0" w:color="auto"/>
            </w:tcBorders>
            <w:vAlign w:val="center"/>
          </w:tcPr>
          <w:p w14:paraId="4A3C2B14"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550,940.00</w:t>
            </w:r>
          </w:p>
        </w:tc>
        <w:tc>
          <w:tcPr>
            <w:tcW w:w="750" w:type="pct"/>
            <w:tcBorders>
              <w:top w:val="single" w:sz="4" w:space="0" w:color="auto"/>
              <w:left w:val="single" w:sz="4" w:space="0" w:color="auto"/>
              <w:bottom w:val="single" w:sz="4" w:space="0" w:color="auto"/>
              <w:right w:val="single" w:sz="4" w:space="0" w:color="auto"/>
            </w:tcBorders>
            <w:vAlign w:val="center"/>
          </w:tcPr>
          <w:p w14:paraId="014D8B4A"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0.67</w:t>
            </w:r>
          </w:p>
        </w:tc>
      </w:tr>
      <w:tr w:rsidR="00F27890" w14:paraId="70567B6A"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6E2AD15"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14:paraId="7116EB8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600522</w:t>
            </w:r>
          </w:p>
        </w:tc>
        <w:tc>
          <w:tcPr>
            <w:tcW w:w="750" w:type="pct"/>
            <w:tcBorders>
              <w:top w:val="single" w:sz="4" w:space="0" w:color="auto"/>
              <w:left w:val="single" w:sz="4" w:space="0" w:color="auto"/>
              <w:bottom w:val="single" w:sz="4" w:space="0" w:color="auto"/>
              <w:right w:val="single" w:sz="4" w:space="0" w:color="auto"/>
            </w:tcBorders>
            <w:vAlign w:val="center"/>
          </w:tcPr>
          <w:p w14:paraId="1756D464"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中天科技</w:t>
            </w:r>
          </w:p>
        </w:tc>
        <w:tc>
          <w:tcPr>
            <w:tcW w:w="750" w:type="pct"/>
            <w:tcBorders>
              <w:top w:val="single" w:sz="4" w:space="0" w:color="auto"/>
              <w:left w:val="single" w:sz="4" w:space="0" w:color="auto"/>
              <w:bottom w:val="single" w:sz="4" w:space="0" w:color="auto"/>
              <w:right w:val="single" w:sz="4" w:space="0" w:color="auto"/>
            </w:tcBorders>
            <w:vAlign w:val="center"/>
          </w:tcPr>
          <w:p w14:paraId="791ED046"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36,500</w:t>
            </w:r>
          </w:p>
        </w:tc>
        <w:tc>
          <w:tcPr>
            <w:tcW w:w="750" w:type="pct"/>
            <w:tcBorders>
              <w:top w:val="single" w:sz="4" w:space="0" w:color="auto"/>
              <w:left w:val="single" w:sz="4" w:space="0" w:color="auto"/>
              <w:bottom w:val="single" w:sz="4" w:space="0" w:color="auto"/>
              <w:right w:val="single" w:sz="4" w:space="0" w:color="auto"/>
            </w:tcBorders>
            <w:vAlign w:val="center"/>
          </w:tcPr>
          <w:p w14:paraId="2E29065E"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531,440.00</w:t>
            </w:r>
          </w:p>
        </w:tc>
        <w:tc>
          <w:tcPr>
            <w:tcW w:w="750" w:type="pct"/>
            <w:tcBorders>
              <w:top w:val="single" w:sz="4" w:space="0" w:color="auto"/>
              <w:left w:val="single" w:sz="4" w:space="0" w:color="auto"/>
              <w:bottom w:val="single" w:sz="4" w:space="0" w:color="auto"/>
              <w:right w:val="single" w:sz="4" w:space="0" w:color="auto"/>
            </w:tcBorders>
            <w:vAlign w:val="center"/>
          </w:tcPr>
          <w:p w14:paraId="76E5FE37"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0.65</w:t>
            </w:r>
          </w:p>
        </w:tc>
      </w:tr>
      <w:tr w:rsidR="00F27890" w14:paraId="52B9417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0C9800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14:paraId="0D41636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300661</w:t>
            </w:r>
          </w:p>
        </w:tc>
        <w:tc>
          <w:tcPr>
            <w:tcW w:w="750" w:type="pct"/>
            <w:tcBorders>
              <w:top w:val="single" w:sz="4" w:space="0" w:color="auto"/>
              <w:left w:val="single" w:sz="4" w:space="0" w:color="auto"/>
              <w:bottom w:val="single" w:sz="4" w:space="0" w:color="auto"/>
              <w:right w:val="single" w:sz="4" w:space="0" w:color="auto"/>
            </w:tcBorders>
            <w:vAlign w:val="center"/>
          </w:tcPr>
          <w:p w14:paraId="208E947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圣邦股份</w:t>
            </w:r>
          </w:p>
        </w:tc>
        <w:tc>
          <w:tcPr>
            <w:tcW w:w="750" w:type="pct"/>
            <w:tcBorders>
              <w:top w:val="single" w:sz="4" w:space="0" w:color="auto"/>
              <w:left w:val="single" w:sz="4" w:space="0" w:color="auto"/>
              <w:bottom w:val="single" w:sz="4" w:space="0" w:color="auto"/>
              <w:right w:val="single" w:sz="4" w:space="0" w:color="auto"/>
            </w:tcBorders>
            <w:vAlign w:val="center"/>
          </w:tcPr>
          <w:p w14:paraId="18E1BE32"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w:t>
            </w:r>
          </w:p>
        </w:tc>
        <w:tc>
          <w:tcPr>
            <w:tcW w:w="750" w:type="pct"/>
            <w:tcBorders>
              <w:top w:val="single" w:sz="4" w:space="0" w:color="auto"/>
              <w:left w:val="single" w:sz="4" w:space="0" w:color="auto"/>
              <w:bottom w:val="single" w:sz="4" w:space="0" w:color="auto"/>
              <w:right w:val="single" w:sz="4" w:space="0" w:color="auto"/>
            </w:tcBorders>
            <w:vAlign w:val="center"/>
          </w:tcPr>
          <w:p w14:paraId="274A4368"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523,560.00</w:t>
            </w:r>
          </w:p>
        </w:tc>
        <w:tc>
          <w:tcPr>
            <w:tcW w:w="750" w:type="pct"/>
            <w:tcBorders>
              <w:top w:val="single" w:sz="4" w:space="0" w:color="auto"/>
              <w:left w:val="single" w:sz="4" w:space="0" w:color="auto"/>
              <w:bottom w:val="single" w:sz="4" w:space="0" w:color="auto"/>
              <w:right w:val="single" w:sz="4" w:space="0" w:color="auto"/>
            </w:tcBorders>
            <w:vAlign w:val="center"/>
          </w:tcPr>
          <w:p w14:paraId="6708ABF2"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0.64</w:t>
            </w:r>
          </w:p>
        </w:tc>
      </w:tr>
      <w:tr w:rsidR="00F27890" w14:paraId="0F3D4666"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811A1A4"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14:paraId="4772CC85"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000528</w:t>
            </w:r>
          </w:p>
        </w:tc>
        <w:tc>
          <w:tcPr>
            <w:tcW w:w="750" w:type="pct"/>
            <w:tcBorders>
              <w:top w:val="single" w:sz="4" w:space="0" w:color="auto"/>
              <w:left w:val="single" w:sz="4" w:space="0" w:color="auto"/>
              <w:bottom w:val="single" w:sz="4" w:space="0" w:color="auto"/>
              <w:right w:val="single" w:sz="4" w:space="0" w:color="auto"/>
            </w:tcBorders>
            <w:vAlign w:val="center"/>
          </w:tcPr>
          <w:p w14:paraId="1A1CF02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柳　　　　工</w:t>
            </w:r>
          </w:p>
        </w:tc>
        <w:tc>
          <w:tcPr>
            <w:tcW w:w="750" w:type="pct"/>
            <w:tcBorders>
              <w:top w:val="single" w:sz="4" w:space="0" w:color="auto"/>
              <w:left w:val="single" w:sz="4" w:space="0" w:color="auto"/>
              <w:bottom w:val="single" w:sz="4" w:space="0" w:color="auto"/>
              <w:right w:val="single" w:sz="4" w:space="0" w:color="auto"/>
            </w:tcBorders>
            <w:vAlign w:val="center"/>
          </w:tcPr>
          <w:p w14:paraId="63358F82"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46,300</w:t>
            </w:r>
          </w:p>
        </w:tc>
        <w:tc>
          <w:tcPr>
            <w:tcW w:w="750" w:type="pct"/>
            <w:tcBorders>
              <w:top w:val="single" w:sz="4" w:space="0" w:color="auto"/>
              <w:left w:val="single" w:sz="4" w:space="0" w:color="auto"/>
              <w:bottom w:val="single" w:sz="4" w:space="0" w:color="auto"/>
              <w:right w:val="single" w:sz="4" w:space="0" w:color="auto"/>
            </w:tcBorders>
            <w:vAlign w:val="center"/>
          </w:tcPr>
          <w:p w14:paraId="18CF66CA"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517,634.00</w:t>
            </w:r>
          </w:p>
        </w:tc>
        <w:tc>
          <w:tcPr>
            <w:tcW w:w="750" w:type="pct"/>
            <w:tcBorders>
              <w:top w:val="single" w:sz="4" w:space="0" w:color="auto"/>
              <w:left w:val="single" w:sz="4" w:space="0" w:color="auto"/>
              <w:bottom w:val="single" w:sz="4" w:space="0" w:color="auto"/>
              <w:right w:val="single" w:sz="4" w:space="0" w:color="auto"/>
            </w:tcBorders>
            <w:vAlign w:val="center"/>
          </w:tcPr>
          <w:p w14:paraId="67A710D2"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0.63</w:t>
            </w:r>
          </w:p>
        </w:tc>
      </w:tr>
    </w:tbl>
    <w:p w14:paraId="3CC25F1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4A0" w:firstRow="1" w:lastRow="0" w:firstColumn="1" w:lastColumn="0" w:noHBand="0" w:noVBand="1"/>
      </w:tblPr>
      <w:tblGrid>
        <w:gridCol w:w="1008"/>
        <w:gridCol w:w="3025"/>
        <w:gridCol w:w="3024"/>
        <w:gridCol w:w="1613"/>
      </w:tblGrid>
      <w:tr w:rsidR="00F27890" w14:paraId="0EE6783B" w14:textId="777777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14:paraId="07C5E8D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4E835062"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1EAFA13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14:paraId="52C9484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27890" w14:paraId="5E8FE2AD"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A9F17E5"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14:paraId="0464895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14:paraId="1FF52CE4"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4,778,914.93</w:t>
            </w:r>
          </w:p>
        </w:tc>
        <w:tc>
          <w:tcPr>
            <w:tcW w:w="400" w:type="pct"/>
            <w:tcBorders>
              <w:top w:val="single" w:sz="4" w:space="0" w:color="auto"/>
              <w:left w:val="single" w:sz="4" w:space="0" w:color="auto"/>
              <w:bottom w:val="single" w:sz="4" w:space="0" w:color="auto"/>
              <w:right w:val="single" w:sz="4" w:space="0" w:color="auto"/>
            </w:tcBorders>
            <w:vAlign w:val="center"/>
          </w:tcPr>
          <w:p w14:paraId="1BC7E459"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5.83</w:t>
            </w:r>
          </w:p>
        </w:tc>
      </w:tr>
      <w:tr w:rsidR="00F27890" w14:paraId="43194E8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0F7F77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14:paraId="53DD6A4B"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14:paraId="7043A5D2"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6E3D5CAD"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5BC33281"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CE7AB9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14:paraId="1EAE0843"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14:paraId="157FAE5C"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5E50C5DA"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500F47C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A7577C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14:paraId="3781AD6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14:paraId="04E5BED5"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7CD69B43"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4BF36040"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541B9F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14:paraId="758831A9"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14:paraId="04E62732"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0C7A53F4"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5AD84258"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2C06252"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14:paraId="3988D348"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14:paraId="511E55C9"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13CDD7B0"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69E24A40"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57607C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14:paraId="0C15470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14:paraId="2752499C"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1ADEA164"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63A76DF2"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94759A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14:paraId="31485FA6"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14:paraId="408A2B50"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65,881,950.84</w:t>
            </w:r>
          </w:p>
        </w:tc>
        <w:tc>
          <w:tcPr>
            <w:tcW w:w="400" w:type="pct"/>
            <w:tcBorders>
              <w:top w:val="single" w:sz="4" w:space="0" w:color="auto"/>
              <w:left w:val="single" w:sz="4" w:space="0" w:color="auto"/>
              <w:bottom w:val="single" w:sz="4" w:space="0" w:color="auto"/>
              <w:right w:val="single" w:sz="4" w:space="0" w:color="auto"/>
            </w:tcBorders>
            <w:vAlign w:val="center"/>
          </w:tcPr>
          <w:p w14:paraId="0FAC64E5"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80.30</w:t>
            </w:r>
          </w:p>
        </w:tc>
      </w:tr>
      <w:tr w:rsidR="00F27890" w14:paraId="0512D8B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931C511"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8</w:t>
            </w:r>
          </w:p>
        </w:tc>
        <w:tc>
          <w:tcPr>
            <w:tcW w:w="750" w:type="pct"/>
            <w:tcBorders>
              <w:top w:val="single" w:sz="4" w:space="0" w:color="auto"/>
              <w:left w:val="single" w:sz="4" w:space="0" w:color="auto"/>
              <w:bottom w:val="single" w:sz="4" w:space="0" w:color="auto"/>
              <w:right w:val="single" w:sz="4" w:space="0" w:color="auto"/>
            </w:tcBorders>
            <w:vAlign w:val="center"/>
          </w:tcPr>
          <w:p w14:paraId="7561E31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14:paraId="47518887"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1DEF6C1A"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74EFB7B7"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F11CCD0"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14:paraId="28EB0E99"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14:paraId="5C9BBE8D"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5DE9FF30"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40D35F06"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B67DB2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14:paraId="4A4FEBD8"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14:paraId="77179488"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70,660,865.77</w:t>
            </w:r>
          </w:p>
        </w:tc>
        <w:tc>
          <w:tcPr>
            <w:tcW w:w="400" w:type="pct"/>
            <w:tcBorders>
              <w:top w:val="single" w:sz="4" w:space="0" w:color="auto"/>
              <w:left w:val="single" w:sz="4" w:space="0" w:color="auto"/>
              <w:bottom w:val="single" w:sz="4" w:space="0" w:color="auto"/>
              <w:right w:val="single" w:sz="4" w:space="0" w:color="auto"/>
            </w:tcBorders>
            <w:vAlign w:val="center"/>
          </w:tcPr>
          <w:p w14:paraId="5EAA2828"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86.13</w:t>
            </w:r>
          </w:p>
        </w:tc>
      </w:tr>
    </w:tbl>
    <w:p w14:paraId="07F1308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4A0" w:firstRow="1" w:lastRow="0" w:firstColumn="1" w:lastColumn="0" w:noHBand="0" w:noVBand="1"/>
      </w:tblPr>
      <w:tblGrid>
        <w:gridCol w:w="542"/>
        <w:gridCol w:w="1625"/>
        <w:gridCol w:w="1625"/>
        <w:gridCol w:w="1626"/>
        <w:gridCol w:w="1626"/>
        <w:gridCol w:w="1626"/>
      </w:tblGrid>
      <w:tr w:rsidR="00F27890" w14:paraId="57C95FC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14:paraId="4ADEE86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6487B1C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44BD109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24333CA4"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5CAA1EB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056A3D9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27890" w14:paraId="0322ECE7"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36D6A81"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14:paraId="779BBCB0"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110085</w:t>
            </w:r>
          </w:p>
        </w:tc>
        <w:tc>
          <w:tcPr>
            <w:tcW w:w="750" w:type="pct"/>
            <w:tcBorders>
              <w:top w:val="single" w:sz="4" w:space="0" w:color="auto"/>
              <w:left w:val="single" w:sz="4" w:space="0" w:color="auto"/>
              <w:bottom w:val="single" w:sz="4" w:space="0" w:color="auto"/>
              <w:right w:val="single" w:sz="4" w:space="0" w:color="auto"/>
            </w:tcBorders>
            <w:vAlign w:val="center"/>
          </w:tcPr>
          <w:p w14:paraId="2CA2A65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通</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14:paraId="76D55CDB"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73,470</w:t>
            </w:r>
          </w:p>
        </w:tc>
        <w:tc>
          <w:tcPr>
            <w:tcW w:w="750" w:type="pct"/>
            <w:tcBorders>
              <w:top w:val="single" w:sz="4" w:space="0" w:color="auto"/>
              <w:left w:val="single" w:sz="4" w:space="0" w:color="auto"/>
              <w:bottom w:val="single" w:sz="4" w:space="0" w:color="auto"/>
              <w:right w:val="single" w:sz="4" w:space="0" w:color="auto"/>
            </w:tcBorders>
            <w:vAlign w:val="center"/>
          </w:tcPr>
          <w:p w14:paraId="72582F4C"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8,200,600.63</w:t>
            </w:r>
          </w:p>
        </w:tc>
        <w:tc>
          <w:tcPr>
            <w:tcW w:w="750" w:type="pct"/>
            <w:tcBorders>
              <w:top w:val="single" w:sz="4" w:space="0" w:color="auto"/>
              <w:left w:val="single" w:sz="4" w:space="0" w:color="auto"/>
              <w:bottom w:val="single" w:sz="4" w:space="0" w:color="auto"/>
              <w:right w:val="single" w:sz="4" w:space="0" w:color="auto"/>
            </w:tcBorders>
            <w:vAlign w:val="center"/>
          </w:tcPr>
          <w:p w14:paraId="3C1B6C9F"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w:t>
            </w:r>
          </w:p>
        </w:tc>
      </w:tr>
      <w:tr w:rsidR="00F27890" w14:paraId="0F04AFD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DE704E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14:paraId="52B4DBF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110059</w:t>
            </w:r>
          </w:p>
        </w:tc>
        <w:tc>
          <w:tcPr>
            <w:tcW w:w="750" w:type="pct"/>
            <w:tcBorders>
              <w:top w:val="single" w:sz="4" w:space="0" w:color="auto"/>
              <w:left w:val="single" w:sz="4" w:space="0" w:color="auto"/>
              <w:bottom w:val="single" w:sz="4" w:space="0" w:color="auto"/>
              <w:right w:val="single" w:sz="4" w:space="0" w:color="auto"/>
            </w:tcBorders>
            <w:vAlign w:val="center"/>
          </w:tcPr>
          <w:p w14:paraId="7F67FB8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浦发转债</w:t>
            </w:r>
          </w:p>
        </w:tc>
        <w:tc>
          <w:tcPr>
            <w:tcW w:w="750" w:type="pct"/>
            <w:tcBorders>
              <w:top w:val="single" w:sz="4" w:space="0" w:color="auto"/>
              <w:left w:val="single" w:sz="4" w:space="0" w:color="auto"/>
              <w:bottom w:val="single" w:sz="4" w:space="0" w:color="auto"/>
              <w:right w:val="single" w:sz="4" w:space="0" w:color="auto"/>
            </w:tcBorders>
            <w:vAlign w:val="center"/>
          </w:tcPr>
          <w:p w14:paraId="532977F5"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68,570</w:t>
            </w:r>
          </w:p>
        </w:tc>
        <w:tc>
          <w:tcPr>
            <w:tcW w:w="750" w:type="pct"/>
            <w:tcBorders>
              <w:top w:val="single" w:sz="4" w:space="0" w:color="auto"/>
              <w:left w:val="single" w:sz="4" w:space="0" w:color="auto"/>
              <w:bottom w:val="single" w:sz="4" w:space="0" w:color="auto"/>
              <w:right w:val="single" w:sz="4" w:space="0" w:color="auto"/>
            </w:tcBorders>
            <w:vAlign w:val="center"/>
          </w:tcPr>
          <w:p w14:paraId="78EBCD0A"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7,465,140.75</w:t>
            </w:r>
          </w:p>
        </w:tc>
        <w:tc>
          <w:tcPr>
            <w:tcW w:w="750" w:type="pct"/>
            <w:tcBorders>
              <w:top w:val="single" w:sz="4" w:space="0" w:color="auto"/>
              <w:left w:val="single" w:sz="4" w:space="0" w:color="auto"/>
              <w:bottom w:val="single" w:sz="4" w:space="0" w:color="auto"/>
              <w:right w:val="single" w:sz="4" w:space="0" w:color="auto"/>
            </w:tcBorders>
            <w:vAlign w:val="center"/>
          </w:tcPr>
          <w:p w14:paraId="0925ED13"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9.10</w:t>
            </w:r>
          </w:p>
        </w:tc>
      </w:tr>
      <w:tr w:rsidR="00F27890" w14:paraId="38B3A87D"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1DBB9C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14:paraId="2573EBB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019706</w:t>
            </w:r>
          </w:p>
        </w:tc>
        <w:tc>
          <w:tcPr>
            <w:tcW w:w="750" w:type="pct"/>
            <w:tcBorders>
              <w:top w:val="single" w:sz="4" w:space="0" w:color="auto"/>
              <w:left w:val="single" w:sz="4" w:space="0" w:color="auto"/>
              <w:bottom w:val="single" w:sz="4" w:space="0" w:color="auto"/>
              <w:right w:val="single" w:sz="4" w:space="0" w:color="auto"/>
            </w:tcBorders>
            <w:vAlign w:val="center"/>
          </w:tcPr>
          <w:p w14:paraId="6B271AE1"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14:paraId="563F218C"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47,000</w:t>
            </w:r>
          </w:p>
        </w:tc>
        <w:tc>
          <w:tcPr>
            <w:tcW w:w="750" w:type="pct"/>
            <w:tcBorders>
              <w:top w:val="single" w:sz="4" w:space="0" w:color="auto"/>
              <w:left w:val="single" w:sz="4" w:space="0" w:color="auto"/>
              <w:bottom w:val="single" w:sz="4" w:space="0" w:color="auto"/>
              <w:right w:val="single" w:sz="4" w:space="0" w:color="auto"/>
            </w:tcBorders>
            <w:vAlign w:val="center"/>
          </w:tcPr>
          <w:p w14:paraId="4EF6E2C8"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4,778,914.93</w:t>
            </w:r>
          </w:p>
        </w:tc>
        <w:tc>
          <w:tcPr>
            <w:tcW w:w="750" w:type="pct"/>
            <w:tcBorders>
              <w:top w:val="single" w:sz="4" w:space="0" w:color="auto"/>
              <w:left w:val="single" w:sz="4" w:space="0" w:color="auto"/>
              <w:bottom w:val="single" w:sz="4" w:space="0" w:color="auto"/>
              <w:right w:val="single" w:sz="4" w:space="0" w:color="auto"/>
            </w:tcBorders>
            <w:vAlign w:val="center"/>
          </w:tcPr>
          <w:p w14:paraId="7066F436"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5.83</w:t>
            </w:r>
          </w:p>
        </w:tc>
      </w:tr>
      <w:tr w:rsidR="00F27890" w14:paraId="57ECDDA0"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F539A6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14:paraId="255736D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113664</w:t>
            </w:r>
          </w:p>
        </w:tc>
        <w:tc>
          <w:tcPr>
            <w:tcW w:w="750" w:type="pct"/>
            <w:tcBorders>
              <w:top w:val="single" w:sz="4" w:space="0" w:color="auto"/>
              <w:left w:val="single" w:sz="4" w:space="0" w:color="auto"/>
              <w:bottom w:val="single" w:sz="4" w:space="0" w:color="auto"/>
              <w:right w:val="single" w:sz="4" w:space="0" w:color="auto"/>
            </w:tcBorders>
            <w:vAlign w:val="center"/>
          </w:tcPr>
          <w:p w14:paraId="1DDF8C4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大元转债</w:t>
            </w:r>
          </w:p>
        </w:tc>
        <w:tc>
          <w:tcPr>
            <w:tcW w:w="750" w:type="pct"/>
            <w:tcBorders>
              <w:top w:val="single" w:sz="4" w:space="0" w:color="auto"/>
              <w:left w:val="single" w:sz="4" w:space="0" w:color="auto"/>
              <w:bottom w:val="single" w:sz="4" w:space="0" w:color="auto"/>
              <w:right w:val="single" w:sz="4" w:space="0" w:color="auto"/>
            </w:tcBorders>
            <w:vAlign w:val="center"/>
          </w:tcPr>
          <w:p w14:paraId="24156626"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14,450</w:t>
            </w:r>
          </w:p>
        </w:tc>
        <w:tc>
          <w:tcPr>
            <w:tcW w:w="750" w:type="pct"/>
            <w:tcBorders>
              <w:top w:val="single" w:sz="4" w:space="0" w:color="auto"/>
              <w:left w:val="single" w:sz="4" w:space="0" w:color="auto"/>
              <w:bottom w:val="single" w:sz="4" w:space="0" w:color="auto"/>
              <w:right w:val="single" w:sz="4" w:space="0" w:color="auto"/>
            </w:tcBorders>
            <w:vAlign w:val="center"/>
          </w:tcPr>
          <w:p w14:paraId="63FC77ED"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1,864,143.03</w:t>
            </w:r>
          </w:p>
        </w:tc>
        <w:tc>
          <w:tcPr>
            <w:tcW w:w="750" w:type="pct"/>
            <w:tcBorders>
              <w:top w:val="single" w:sz="4" w:space="0" w:color="auto"/>
              <w:left w:val="single" w:sz="4" w:space="0" w:color="auto"/>
              <w:bottom w:val="single" w:sz="4" w:space="0" w:color="auto"/>
              <w:right w:val="single" w:sz="4" w:space="0" w:color="auto"/>
            </w:tcBorders>
            <w:vAlign w:val="center"/>
          </w:tcPr>
          <w:p w14:paraId="67919ACF"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2.27</w:t>
            </w:r>
          </w:p>
        </w:tc>
      </w:tr>
      <w:tr w:rsidR="00F27890" w14:paraId="746F4E32"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4FF2894"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14:paraId="3BC48D5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118023</w:t>
            </w:r>
          </w:p>
        </w:tc>
        <w:tc>
          <w:tcPr>
            <w:tcW w:w="750" w:type="pct"/>
            <w:tcBorders>
              <w:top w:val="single" w:sz="4" w:space="0" w:color="auto"/>
              <w:left w:val="single" w:sz="4" w:space="0" w:color="auto"/>
              <w:bottom w:val="single" w:sz="4" w:space="0" w:color="auto"/>
              <w:right w:val="single" w:sz="4" w:space="0" w:color="auto"/>
            </w:tcBorders>
            <w:vAlign w:val="center"/>
          </w:tcPr>
          <w:p w14:paraId="7E6FC2D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广大转债</w:t>
            </w:r>
          </w:p>
        </w:tc>
        <w:tc>
          <w:tcPr>
            <w:tcW w:w="750" w:type="pct"/>
            <w:tcBorders>
              <w:top w:val="single" w:sz="4" w:space="0" w:color="auto"/>
              <w:left w:val="single" w:sz="4" w:space="0" w:color="auto"/>
              <w:bottom w:val="single" w:sz="4" w:space="0" w:color="auto"/>
              <w:right w:val="single" w:sz="4" w:space="0" w:color="auto"/>
            </w:tcBorders>
            <w:vAlign w:val="center"/>
          </w:tcPr>
          <w:p w14:paraId="209353DB"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13,700</w:t>
            </w:r>
          </w:p>
        </w:tc>
        <w:tc>
          <w:tcPr>
            <w:tcW w:w="750" w:type="pct"/>
            <w:tcBorders>
              <w:top w:val="single" w:sz="4" w:space="0" w:color="auto"/>
              <w:left w:val="single" w:sz="4" w:space="0" w:color="auto"/>
              <w:bottom w:val="single" w:sz="4" w:space="0" w:color="auto"/>
              <w:right w:val="single" w:sz="4" w:space="0" w:color="auto"/>
            </w:tcBorders>
            <w:vAlign w:val="center"/>
          </w:tcPr>
          <w:p w14:paraId="4F04BB9E"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1,716,234.66</w:t>
            </w:r>
          </w:p>
        </w:tc>
        <w:tc>
          <w:tcPr>
            <w:tcW w:w="750" w:type="pct"/>
            <w:tcBorders>
              <w:top w:val="single" w:sz="4" w:space="0" w:color="auto"/>
              <w:left w:val="single" w:sz="4" w:space="0" w:color="auto"/>
              <w:bottom w:val="single" w:sz="4" w:space="0" w:color="auto"/>
              <w:right w:val="single" w:sz="4" w:space="0" w:color="auto"/>
            </w:tcBorders>
            <w:vAlign w:val="center"/>
          </w:tcPr>
          <w:p w14:paraId="039E8C0C"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2.09</w:t>
            </w:r>
          </w:p>
        </w:tc>
      </w:tr>
    </w:tbl>
    <w:p w14:paraId="6D17C9F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14:paraId="44AB5DC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14:paraId="7D3A31F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14:paraId="3C9B251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14:paraId="26EBFB3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14:paraId="461053F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14:paraId="7B727B1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14:paraId="71E99A1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14:paraId="29CA4C8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14:paraId="50E7034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14:paraId="4976918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14:paraId="64B9480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14:paraId="330DDF0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14:paraId="36330F1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14:paraId="5FD72B5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14:paraId="5CA5983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14:paraId="57CD755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14:paraId="001C1C2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基金投资的前十名股票中，没有超出基金合同规定的备选股票库之外的股票。</w:t>
      </w:r>
    </w:p>
    <w:p w14:paraId="51717DF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4A0" w:firstRow="1" w:lastRow="0" w:firstColumn="1" w:lastColumn="0" w:noHBand="0" w:noVBand="1"/>
      </w:tblPr>
      <w:tblGrid>
        <w:gridCol w:w="1547"/>
        <w:gridCol w:w="4645"/>
        <w:gridCol w:w="2478"/>
      </w:tblGrid>
      <w:tr w:rsidR="00F27890" w14:paraId="743FEC37" w14:textId="777777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14:paraId="09FAD04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76158165"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14:paraId="3211E9B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F27890" w14:paraId="2F8856DB"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355F8E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14:paraId="243AD119"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14:paraId="7F74665F"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31,943.91</w:t>
            </w:r>
          </w:p>
        </w:tc>
      </w:tr>
      <w:tr w:rsidR="00F27890" w14:paraId="541D8914"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C78CB4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14:paraId="611B33B7"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14:paraId="6B9BD3E9"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55,857.40</w:t>
            </w:r>
          </w:p>
        </w:tc>
      </w:tr>
      <w:tr w:rsidR="00F27890" w14:paraId="30DCE218"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C20B2CA"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14:paraId="5D779FC9"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14:paraId="5139C8E5"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36CDE97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4DA719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14:paraId="6B444A2D"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14:paraId="35DE9383"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78538156"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4829B7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14:paraId="71936CF6"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14:paraId="3FC80ACF"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342,541.27</w:t>
            </w:r>
          </w:p>
        </w:tc>
      </w:tr>
      <w:tr w:rsidR="00F27890" w14:paraId="02BBDF20"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695ADCA"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14:paraId="2738E771"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14:paraId="4D139159"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7CF8EB82"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C6B6F4A"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14:paraId="4099719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14:paraId="59A729BC"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7890" w14:paraId="1B74D9E2"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46FCEB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14:paraId="005B13E3"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14:paraId="41169C3E"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430,342.58</w:t>
            </w:r>
          </w:p>
        </w:tc>
      </w:tr>
    </w:tbl>
    <w:p w14:paraId="6CD76F6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tbl>
      <w:tblPr>
        <w:tblW w:w="5000" w:type="pct"/>
        <w:tblCellMar>
          <w:left w:w="0" w:type="dxa"/>
          <w:right w:w="0" w:type="dxa"/>
        </w:tblCellMar>
        <w:tblLook w:val="04A0" w:firstRow="1" w:lastRow="0" w:firstColumn="1" w:lastColumn="0" w:noHBand="0" w:noVBand="1"/>
      </w:tblPr>
      <w:tblGrid>
        <w:gridCol w:w="667"/>
        <w:gridCol w:w="2000"/>
        <w:gridCol w:w="2001"/>
        <w:gridCol w:w="2001"/>
        <w:gridCol w:w="2001"/>
      </w:tblGrid>
      <w:tr w:rsidR="00F27890" w14:paraId="46A8DEED" w14:textId="777777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14:paraId="1FDA3E2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12902A2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3FAED46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3117DF12"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7BD572FA"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27890" w14:paraId="39AE6A2D"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77CF88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14:paraId="7057F384"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110085</w:t>
            </w:r>
          </w:p>
        </w:tc>
        <w:tc>
          <w:tcPr>
            <w:tcW w:w="750" w:type="pct"/>
            <w:tcBorders>
              <w:top w:val="single" w:sz="4" w:space="0" w:color="auto"/>
              <w:left w:val="single" w:sz="4" w:space="0" w:color="auto"/>
              <w:bottom w:val="single" w:sz="4" w:space="0" w:color="auto"/>
              <w:right w:val="single" w:sz="4" w:space="0" w:color="auto"/>
            </w:tcBorders>
            <w:vAlign w:val="center"/>
          </w:tcPr>
          <w:p w14:paraId="7925F4E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通</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14:paraId="4032308B"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8,200,600.63</w:t>
            </w:r>
          </w:p>
        </w:tc>
        <w:tc>
          <w:tcPr>
            <w:tcW w:w="750" w:type="pct"/>
            <w:tcBorders>
              <w:top w:val="single" w:sz="4" w:space="0" w:color="auto"/>
              <w:left w:val="single" w:sz="4" w:space="0" w:color="auto"/>
              <w:bottom w:val="single" w:sz="4" w:space="0" w:color="auto"/>
              <w:right w:val="single" w:sz="4" w:space="0" w:color="auto"/>
            </w:tcBorders>
            <w:vAlign w:val="center"/>
          </w:tcPr>
          <w:p w14:paraId="607D157E"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w:t>
            </w:r>
          </w:p>
        </w:tc>
      </w:tr>
      <w:tr w:rsidR="00F27890" w14:paraId="2D3589D5"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32C0D4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14:paraId="7C070B5A"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110059</w:t>
            </w:r>
          </w:p>
        </w:tc>
        <w:tc>
          <w:tcPr>
            <w:tcW w:w="750" w:type="pct"/>
            <w:tcBorders>
              <w:top w:val="single" w:sz="4" w:space="0" w:color="auto"/>
              <w:left w:val="single" w:sz="4" w:space="0" w:color="auto"/>
              <w:bottom w:val="single" w:sz="4" w:space="0" w:color="auto"/>
              <w:right w:val="single" w:sz="4" w:space="0" w:color="auto"/>
            </w:tcBorders>
            <w:vAlign w:val="center"/>
          </w:tcPr>
          <w:p w14:paraId="354B6785"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浦发转债</w:t>
            </w:r>
          </w:p>
        </w:tc>
        <w:tc>
          <w:tcPr>
            <w:tcW w:w="750" w:type="pct"/>
            <w:tcBorders>
              <w:top w:val="single" w:sz="4" w:space="0" w:color="auto"/>
              <w:left w:val="single" w:sz="4" w:space="0" w:color="auto"/>
              <w:bottom w:val="single" w:sz="4" w:space="0" w:color="auto"/>
              <w:right w:val="single" w:sz="4" w:space="0" w:color="auto"/>
            </w:tcBorders>
            <w:vAlign w:val="center"/>
          </w:tcPr>
          <w:p w14:paraId="28CF1B7B"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7,465,140.75</w:t>
            </w:r>
          </w:p>
        </w:tc>
        <w:tc>
          <w:tcPr>
            <w:tcW w:w="750" w:type="pct"/>
            <w:tcBorders>
              <w:top w:val="single" w:sz="4" w:space="0" w:color="auto"/>
              <w:left w:val="single" w:sz="4" w:space="0" w:color="auto"/>
              <w:bottom w:val="single" w:sz="4" w:space="0" w:color="auto"/>
              <w:right w:val="single" w:sz="4" w:space="0" w:color="auto"/>
            </w:tcBorders>
            <w:vAlign w:val="center"/>
          </w:tcPr>
          <w:p w14:paraId="2C5E0012"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9.10</w:t>
            </w:r>
          </w:p>
        </w:tc>
      </w:tr>
      <w:tr w:rsidR="00F27890" w14:paraId="7D0C58AB"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9F57B4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14:paraId="598851C0"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113664</w:t>
            </w:r>
          </w:p>
        </w:tc>
        <w:tc>
          <w:tcPr>
            <w:tcW w:w="750" w:type="pct"/>
            <w:tcBorders>
              <w:top w:val="single" w:sz="4" w:space="0" w:color="auto"/>
              <w:left w:val="single" w:sz="4" w:space="0" w:color="auto"/>
              <w:bottom w:val="single" w:sz="4" w:space="0" w:color="auto"/>
              <w:right w:val="single" w:sz="4" w:space="0" w:color="auto"/>
            </w:tcBorders>
            <w:vAlign w:val="center"/>
          </w:tcPr>
          <w:p w14:paraId="5DB51AA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大元转债</w:t>
            </w:r>
          </w:p>
        </w:tc>
        <w:tc>
          <w:tcPr>
            <w:tcW w:w="750" w:type="pct"/>
            <w:tcBorders>
              <w:top w:val="single" w:sz="4" w:space="0" w:color="auto"/>
              <w:left w:val="single" w:sz="4" w:space="0" w:color="auto"/>
              <w:bottom w:val="single" w:sz="4" w:space="0" w:color="auto"/>
              <w:right w:val="single" w:sz="4" w:space="0" w:color="auto"/>
            </w:tcBorders>
            <w:vAlign w:val="center"/>
          </w:tcPr>
          <w:p w14:paraId="07CD3638"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1,864,143.03</w:t>
            </w:r>
          </w:p>
        </w:tc>
        <w:tc>
          <w:tcPr>
            <w:tcW w:w="750" w:type="pct"/>
            <w:tcBorders>
              <w:top w:val="single" w:sz="4" w:space="0" w:color="auto"/>
              <w:left w:val="single" w:sz="4" w:space="0" w:color="auto"/>
              <w:bottom w:val="single" w:sz="4" w:space="0" w:color="auto"/>
              <w:right w:val="single" w:sz="4" w:space="0" w:color="auto"/>
            </w:tcBorders>
            <w:vAlign w:val="center"/>
          </w:tcPr>
          <w:p w14:paraId="66A5ADE0"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2.27</w:t>
            </w:r>
          </w:p>
        </w:tc>
      </w:tr>
      <w:tr w:rsidR="00F27890" w14:paraId="65C72327"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DB2805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14:paraId="23F2A34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118023</w:t>
            </w:r>
          </w:p>
        </w:tc>
        <w:tc>
          <w:tcPr>
            <w:tcW w:w="750" w:type="pct"/>
            <w:tcBorders>
              <w:top w:val="single" w:sz="4" w:space="0" w:color="auto"/>
              <w:left w:val="single" w:sz="4" w:space="0" w:color="auto"/>
              <w:bottom w:val="single" w:sz="4" w:space="0" w:color="auto"/>
              <w:right w:val="single" w:sz="4" w:space="0" w:color="auto"/>
            </w:tcBorders>
            <w:vAlign w:val="center"/>
          </w:tcPr>
          <w:p w14:paraId="2E6EEFE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广大转债</w:t>
            </w:r>
          </w:p>
        </w:tc>
        <w:tc>
          <w:tcPr>
            <w:tcW w:w="750" w:type="pct"/>
            <w:tcBorders>
              <w:top w:val="single" w:sz="4" w:space="0" w:color="auto"/>
              <w:left w:val="single" w:sz="4" w:space="0" w:color="auto"/>
              <w:bottom w:val="single" w:sz="4" w:space="0" w:color="auto"/>
              <w:right w:val="single" w:sz="4" w:space="0" w:color="auto"/>
            </w:tcBorders>
            <w:vAlign w:val="center"/>
          </w:tcPr>
          <w:p w14:paraId="70F63639"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1,716,234.66</w:t>
            </w:r>
          </w:p>
        </w:tc>
        <w:tc>
          <w:tcPr>
            <w:tcW w:w="750" w:type="pct"/>
            <w:tcBorders>
              <w:top w:val="single" w:sz="4" w:space="0" w:color="auto"/>
              <w:left w:val="single" w:sz="4" w:space="0" w:color="auto"/>
              <w:bottom w:val="single" w:sz="4" w:space="0" w:color="auto"/>
              <w:right w:val="single" w:sz="4" w:space="0" w:color="auto"/>
            </w:tcBorders>
            <w:vAlign w:val="center"/>
          </w:tcPr>
          <w:p w14:paraId="308B2996"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2.09</w:t>
            </w:r>
          </w:p>
        </w:tc>
      </w:tr>
      <w:tr w:rsidR="00F27890" w14:paraId="300783D5"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39C69D5"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14:paraId="4294E1FA"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113640</w:t>
            </w:r>
          </w:p>
        </w:tc>
        <w:tc>
          <w:tcPr>
            <w:tcW w:w="750" w:type="pct"/>
            <w:tcBorders>
              <w:top w:val="single" w:sz="4" w:space="0" w:color="auto"/>
              <w:left w:val="single" w:sz="4" w:space="0" w:color="auto"/>
              <w:bottom w:val="single" w:sz="4" w:space="0" w:color="auto"/>
              <w:right w:val="single" w:sz="4" w:space="0" w:color="auto"/>
            </w:tcBorders>
            <w:vAlign w:val="center"/>
          </w:tcPr>
          <w:p w14:paraId="64AE063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苏利转债</w:t>
            </w:r>
          </w:p>
        </w:tc>
        <w:tc>
          <w:tcPr>
            <w:tcW w:w="750" w:type="pct"/>
            <w:tcBorders>
              <w:top w:val="single" w:sz="4" w:space="0" w:color="auto"/>
              <w:left w:val="single" w:sz="4" w:space="0" w:color="auto"/>
              <w:bottom w:val="single" w:sz="4" w:space="0" w:color="auto"/>
              <w:right w:val="single" w:sz="4" w:space="0" w:color="auto"/>
            </w:tcBorders>
            <w:vAlign w:val="center"/>
          </w:tcPr>
          <w:p w14:paraId="03324AE0"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1,667,453.71</w:t>
            </w:r>
          </w:p>
        </w:tc>
        <w:tc>
          <w:tcPr>
            <w:tcW w:w="750" w:type="pct"/>
            <w:tcBorders>
              <w:top w:val="single" w:sz="4" w:space="0" w:color="auto"/>
              <w:left w:val="single" w:sz="4" w:space="0" w:color="auto"/>
              <w:bottom w:val="single" w:sz="4" w:space="0" w:color="auto"/>
              <w:right w:val="single" w:sz="4" w:space="0" w:color="auto"/>
            </w:tcBorders>
            <w:vAlign w:val="center"/>
          </w:tcPr>
          <w:p w14:paraId="3B6F1864"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2.03</w:t>
            </w:r>
          </w:p>
        </w:tc>
      </w:tr>
      <w:tr w:rsidR="00F27890" w14:paraId="19DC816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B594225"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14:paraId="1A4B4F0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111005</w:t>
            </w:r>
          </w:p>
        </w:tc>
        <w:tc>
          <w:tcPr>
            <w:tcW w:w="750" w:type="pct"/>
            <w:tcBorders>
              <w:top w:val="single" w:sz="4" w:space="0" w:color="auto"/>
              <w:left w:val="single" w:sz="4" w:space="0" w:color="auto"/>
              <w:bottom w:val="single" w:sz="4" w:space="0" w:color="auto"/>
              <w:right w:val="single" w:sz="4" w:space="0" w:color="auto"/>
            </w:tcBorders>
            <w:vAlign w:val="center"/>
          </w:tcPr>
          <w:p w14:paraId="56235AE4"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富春转债</w:t>
            </w:r>
          </w:p>
        </w:tc>
        <w:tc>
          <w:tcPr>
            <w:tcW w:w="750" w:type="pct"/>
            <w:tcBorders>
              <w:top w:val="single" w:sz="4" w:space="0" w:color="auto"/>
              <w:left w:val="single" w:sz="4" w:space="0" w:color="auto"/>
              <w:bottom w:val="single" w:sz="4" w:space="0" w:color="auto"/>
              <w:right w:val="single" w:sz="4" w:space="0" w:color="auto"/>
            </w:tcBorders>
            <w:vAlign w:val="center"/>
          </w:tcPr>
          <w:p w14:paraId="2562C222"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1,634,479.35</w:t>
            </w:r>
          </w:p>
        </w:tc>
        <w:tc>
          <w:tcPr>
            <w:tcW w:w="750" w:type="pct"/>
            <w:tcBorders>
              <w:top w:val="single" w:sz="4" w:space="0" w:color="auto"/>
              <w:left w:val="single" w:sz="4" w:space="0" w:color="auto"/>
              <w:bottom w:val="single" w:sz="4" w:space="0" w:color="auto"/>
              <w:right w:val="single" w:sz="4" w:space="0" w:color="auto"/>
            </w:tcBorders>
            <w:vAlign w:val="center"/>
          </w:tcPr>
          <w:p w14:paraId="58BE5C01"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1.99</w:t>
            </w:r>
          </w:p>
        </w:tc>
      </w:tr>
      <w:tr w:rsidR="00F27890" w14:paraId="0138450A"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B5D53F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14:paraId="066AF4C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111015</w:t>
            </w:r>
          </w:p>
        </w:tc>
        <w:tc>
          <w:tcPr>
            <w:tcW w:w="750" w:type="pct"/>
            <w:tcBorders>
              <w:top w:val="single" w:sz="4" w:space="0" w:color="auto"/>
              <w:left w:val="single" w:sz="4" w:space="0" w:color="auto"/>
              <w:bottom w:val="single" w:sz="4" w:space="0" w:color="auto"/>
              <w:right w:val="single" w:sz="4" w:space="0" w:color="auto"/>
            </w:tcBorders>
            <w:vAlign w:val="center"/>
          </w:tcPr>
          <w:p w14:paraId="503CA1F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东亚转债</w:t>
            </w:r>
          </w:p>
        </w:tc>
        <w:tc>
          <w:tcPr>
            <w:tcW w:w="750" w:type="pct"/>
            <w:tcBorders>
              <w:top w:val="single" w:sz="4" w:space="0" w:color="auto"/>
              <w:left w:val="single" w:sz="4" w:space="0" w:color="auto"/>
              <w:bottom w:val="single" w:sz="4" w:space="0" w:color="auto"/>
              <w:right w:val="single" w:sz="4" w:space="0" w:color="auto"/>
            </w:tcBorders>
            <w:vAlign w:val="center"/>
          </w:tcPr>
          <w:p w14:paraId="411FA694"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1,368,368.77</w:t>
            </w:r>
          </w:p>
        </w:tc>
        <w:tc>
          <w:tcPr>
            <w:tcW w:w="750" w:type="pct"/>
            <w:tcBorders>
              <w:top w:val="single" w:sz="4" w:space="0" w:color="auto"/>
              <w:left w:val="single" w:sz="4" w:space="0" w:color="auto"/>
              <w:bottom w:val="single" w:sz="4" w:space="0" w:color="auto"/>
              <w:right w:val="single" w:sz="4" w:space="0" w:color="auto"/>
            </w:tcBorders>
            <w:vAlign w:val="center"/>
          </w:tcPr>
          <w:p w14:paraId="764647AA"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1.67</w:t>
            </w:r>
          </w:p>
        </w:tc>
      </w:tr>
      <w:tr w:rsidR="00F27890" w14:paraId="51D85372"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6BD42E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14:paraId="05BCB9E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113676</w:t>
            </w:r>
          </w:p>
        </w:tc>
        <w:tc>
          <w:tcPr>
            <w:tcW w:w="750" w:type="pct"/>
            <w:tcBorders>
              <w:top w:val="single" w:sz="4" w:space="0" w:color="auto"/>
              <w:left w:val="single" w:sz="4" w:space="0" w:color="auto"/>
              <w:bottom w:val="single" w:sz="4" w:space="0" w:color="auto"/>
              <w:right w:val="single" w:sz="4" w:space="0" w:color="auto"/>
            </w:tcBorders>
            <w:vAlign w:val="center"/>
          </w:tcPr>
          <w:p w14:paraId="3435201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荣</w:t>
            </w:r>
            <w:r>
              <w:rPr>
                <w:rFonts w:ascii="Times New Roman" w:hAnsi="Times New Roman"/>
                <w:color w:val="000000"/>
                <w:kern w:val="0"/>
                <w:sz w:val="25"/>
                <w:szCs w:val="24"/>
              </w:rPr>
              <w:t>23</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14:paraId="751C391D"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1,354,491.85</w:t>
            </w:r>
          </w:p>
        </w:tc>
        <w:tc>
          <w:tcPr>
            <w:tcW w:w="750" w:type="pct"/>
            <w:tcBorders>
              <w:top w:val="single" w:sz="4" w:space="0" w:color="auto"/>
              <w:left w:val="single" w:sz="4" w:space="0" w:color="auto"/>
              <w:bottom w:val="single" w:sz="4" w:space="0" w:color="auto"/>
              <w:right w:val="single" w:sz="4" w:space="0" w:color="auto"/>
            </w:tcBorders>
            <w:vAlign w:val="center"/>
          </w:tcPr>
          <w:p w14:paraId="56C800EC"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1.65</w:t>
            </w:r>
          </w:p>
        </w:tc>
      </w:tr>
      <w:tr w:rsidR="00F27890" w14:paraId="37EA6F43"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30623F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14:paraId="4D9E959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127075</w:t>
            </w:r>
          </w:p>
        </w:tc>
        <w:tc>
          <w:tcPr>
            <w:tcW w:w="750" w:type="pct"/>
            <w:tcBorders>
              <w:top w:val="single" w:sz="4" w:space="0" w:color="auto"/>
              <w:left w:val="single" w:sz="4" w:space="0" w:color="auto"/>
              <w:bottom w:val="single" w:sz="4" w:space="0" w:color="auto"/>
              <w:right w:val="single" w:sz="4" w:space="0" w:color="auto"/>
            </w:tcBorders>
            <w:vAlign w:val="center"/>
          </w:tcPr>
          <w:p w14:paraId="57DEB4F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百川转</w:t>
            </w: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14:paraId="15D1A7D9"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1,344,134.27</w:t>
            </w:r>
          </w:p>
        </w:tc>
        <w:tc>
          <w:tcPr>
            <w:tcW w:w="750" w:type="pct"/>
            <w:tcBorders>
              <w:top w:val="single" w:sz="4" w:space="0" w:color="auto"/>
              <w:left w:val="single" w:sz="4" w:space="0" w:color="auto"/>
              <w:bottom w:val="single" w:sz="4" w:space="0" w:color="auto"/>
              <w:right w:val="single" w:sz="4" w:space="0" w:color="auto"/>
            </w:tcBorders>
            <w:vAlign w:val="center"/>
          </w:tcPr>
          <w:p w14:paraId="2720FF2F"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1.64</w:t>
            </w:r>
          </w:p>
        </w:tc>
      </w:tr>
      <w:tr w:rsidR="00F27890" w14:paraId="170F7B4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7BB383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14:paraId="2468EF9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111018</w:t>
            </w:r>
          </w:p>
        </w:tc>
        <w:tc>
          <w:tcPr>
            <w:tcW w:w="750" w:type="pct"/>
            <w:tcBorders>
              <w:top w:val="single" w:sz="4" w:space="0" w:color="auto"/>
              <w:left w:val="single" w:sz="4" w:space="0" w:color="auto"/>
              <w:bottom w:val="single" w:sz="4" w:space="0" w:color="auto"/>
              <w:right w:val="single" w:sz="4" w:space="0" w:color="auto"/>
            </w:tcBorders>
            <w:vAlign w:val="center"/>
          </w:tcPr>
          <w:p w14:paraId="68BBA075"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华康转债</w:t>
            </w:r>
          </w:p>
        </w:tc>
        <w:tc>
          <w:tcPr>
            <w:tcW w:w="750" w:type="pct"/>
            <w:tcBorders>
              <w:top w:val="single" w:sz="4" w:space="0" w:color="auto"/>
              <w:left w:val="single" w:sz="4" w:space="0" w:color="auto"/>
              <w:bottom w:val="single" w:sz="4" w:space="0" w:color="auto"/>
              <w:right w:val="single" w:sz="4" w:space="0" w:color="auto"/>
            </w:tcBorders>
            <w:vAlign w:val="center"/>
          </w:tcPr>
          <w:p w14:paraId="0107A257"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1,287,980.50</w:t>
            </w:r>
          </w:p>
        </w:tc>
        <w:tc>
          <w:tcPr>
            <w:tcW w:w="750" w:type="pct"/>
            <w:tcBorders>
              <w:top w:val="single" w:sz="4" w:space="0" w:color="auto"/>
              <w:left w:val="single" w:sz="4" w:space="0" w:color="auto"/>
              <w:bottom w:val="single" w:sz="4" w:space="0" w:color="auto"/>
              <w:right w:val="single" w:sz="4" w:space="0" w:color="auto"/>
            </w:tcBorders>
            <w:vAlign w:val="center"/>
          </w:tcPr>
          <w:p w14:paraId="1CEBA46C"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1.57</w:t>
            </w:r>
          </w:p>
        </w:tc>
      </w:tr>
      <w:tr w:rsidR="00F27890" w14:paraId="2CF43F7B"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7F9596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14:paraId="43E79740"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113658</w:t>
            </w:r>
          </w:p>
        </w:tc>
        <w:tc>
          <w:tcPr>
            <w:tcW w:w="750" w:type="pct"/>
            <w:tcBorders>
              <w:top w:val="single" w:sz="4" w:space="0" w:color="auto"/>
              <w:left w:val="single" w:sz="4" w:space="0" w:color="auto"/>
              <w:bottom w:val="single" w:sz="4" w:space="0" w:color="auto"/>
              <w:right w:val="single" w:sz="4" w:space="0" w:color="auto"/>
            </w:tcBorders>
            <w:vAlign w:val="center"/>
          </w:tcPr>
          <w:p w14:paraId="26A257B4"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密卫转债</w:t>
            </w:r>
          </w:p>
        </w:tc>
        <w:tc>
          <w:tcPr>
            <w:tcW w:w="750" w:type="pct"/>
            <w:tcBorders>
              <w:top w:val="single" w:sz="4" w:space="0" w:color="auto"/>
              <w:left w:val="single" w:sz="4" w:space="0" w:color="auto"/>
              <w:bottom w:val="single" w:sz="4" w:space="0" w:color="auto"/>
              <w:right w:val="single" w:sz="4" w:space="0" w:color="auto"/>
            </w:tcBorders>
            <w:vAlign w:val="center"/>
          </w:tcPr>
          <w:p w14:paraId="3D0B6BFB"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1,234,409.07</w:t>
            </w:r>
          </w:p>
        </w:tc>
        <w:tc>
          <w:tcPr>
            <w:tcW w:w="750" w:type="pct"/>
            <w:tcBorders>
              <w:top w:val="single" w:sz="4" w:space="0" w:color="auto"/>
              <w:left w:val="single" w:sz="4" w:space="0" w:color="auto"/>
              <w:bottom w:val="single" w:sz="4" w:space="0" w:color="auto"/>
              <w:right w:val="single" w:sz="4" w:space="0" w:color="auto"/>
            </w:tcBorders>
            <w:vAlign w:val="center"/>
          </w:tcPr>
          <w:p w14:paraId="7A3A62FB"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1.50</w:t>
            </w:r>
          </w:p>
        </w:tc>
      </w:tr>
      <w:tr w:rsidR="00F27890" w14:paraId="5C433480"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13414B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14:paraId="360CACA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113652</w:t>
            </w:r>
          </w:p>
        </w:tc>
        <w:tc>
          <w:tcPr>
            <w:tcW w:w="750" w:type="pct"/>
            <w:tcBorders>
              <w:top w:val="single" w:sz="4" w:space="0" w:color="auto"/>
              <w:left w:val="single" w:sz="4" w:space="0" w:color="auto"/>
              <w:bottom w:val="single" w:sz="4" w:space="0" w:color="auto"/>
              <w:right w:val="single" w:sz="4" w:space="0" w:color="auto"/>
            </w:tcBorders>
            <w:vAlign w:val="center"/>
          </w:tcPr>
          <w:p w14:paraId="1F48E85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伟</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14:paraId="4B058793"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1,220,388.79</w:t>
            </w:r>
          </w:p>
        </w:tc>
        <w:tc>
          <w:tcPr>
            <w:tcW w:w="750" w:type="pct"/>
            <w:tcBorders>
              <w:top w:val="single" w:sz="4" w:space="0" w:color="auto"/>
              <w:left w:val="single" w:sz="4" w:space="0" w:color="auto"/>
              <w:bottom w:val="single" w:sz="4" w:space="0" w:color="auto"/>
              <w:right w:val="single" w:sz="4" w:space="0" w:color="auto"/>
            </w:tcBorders>
            <w:vAlign w:val="center"/>
          </w:tcPr>
          <w:p w14:paraId="2E2F00EC"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1.49</w:t>
            </w:r>
          </w:p>
        </w:tc>
      </w:tr>
      <w:tr w:rsidR="00F27890" w14:paraId="18971F5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941F961"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14:paraId="1308C0C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123185</w:t>
            </w:r>
          </w:p>
        </w:tc>
        <w:tc>
          <w:tcPr>
            <w:tcW w:w="750" w:type="pct"/>
            <w:tcBorders>
              <w:top w:val="single" w:sz="4" w:space="0" w:color="auto"/>
              <w:left w:val="single" w:sz="4" w:space="0" w:color="auto"/>
              <w:bottom w:val="single" w:sz="4" w:space="0" w:color="auto"/>
              <w:right w:val="single" w:sz="4" w:space="0" w:color="auto"/>
            </w:tcBorders>
            <w:vAlign w:val="center"/>
          </w:tcPr>
          <w:p w14:paraId="51D8512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能辉转债</w:t>
            </w:r>
          </w:p>
        </w:tc>
        <w:tc>
          <w:tcPr>
            <w:tcW w:w="750" w:type="pct"/>
            <w:tcBorders>
              <w:top w:val="single" w:sz="4" w:space="0" w:color="auto"/>
              <w:left w:val="single" w:sz="4" w:space="0" w:color="auto"/>
              <w:bottom w:val="single" w:sz="4" w:space="0" w:color="auto"/>
              <w:right w:val="single" w:sz="4" w:space="0" w:color="auto"/>
            </w:tcBorders>
            <w:vAlign w:val="center"/>
          </w:tcPr>
          <w:p w14:paraId="72AE5494"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1,175,006.36</w:t>
            </w:r>
          </w:p>
        </w:tc>
        <w:tc>
          <w:tcPr>
            <w:tcW w:w="750" w:type="pct"/>
            <w:tcBorders>
              <w:top w:val="single" w:sz="4" w:space="0" w:color="auto"/>
              <w:left w:val="single" w:sz="4" w:space="0" w:color="auto"/>
              <w:bottom w:val="single" w:sz="4" w:space="0" w:color="auto"/>
              <w:right w:val="single" w:sz="4" w:space="0" w:color="auto"/>
            </w:tcBorders>
            <w:vAlign w:val="center"/>
          </w:tcPr>
          <w:p w14:paraId="24EFA4EF"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1.43</w:t>
            </w:r>
          </w:p>
        </w:tc>
      </w:tr>
      <w:tr w:rsidR="00F27890" w14:paraId="073ED67E"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89A477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14:paraId="51B55C0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127043</w:t>
            </w:r>
          </w:p>
        </w:tc>
        <w:tc>
          <w:tcPr>
            <w:tcW w:w="750" w:type="pct"/>
            <w:tcBorders>
              <w:top w:val="single" w:sz="4" w:space="0" w:color="auto"/>
              <w:left w:val="single" w:sz="4" w:space="0" w:color="auto"/>
              <w:bottom w:val="single" w:sz="4" w:space="0" w:color="auto"/>
              <w:right w:val="single" w:sz="4" w:space="0" w:color="auto"/>
            </w:tcBorders>
            <w:vAlign w:val="center"/>
          </w:tcPr>
          <w:p w14:paraId="3599503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川恒转债</w:t>
            </w:r>
          </w:p>
        </w:tc>
        <w:tc>
          <w:tcPr>
            <w:tcW w:w="750" w:type="pct"/>
            <w:tcBorders>
              <w:top w:val="single" w:sz="4" w:space="0" w:color="auto"/>
              <w:left w:val="single" w:sz="4" w:space="0" w:color="auto"/>
              <w:bottom w:val="single" w:sz="4" w:space="0" w:color="auto"/>
              <w:right w:val="single" w:sz="4" w:space="0" w:color="auto"/>
            </w:tcBorders>
            <w:vAlign w:val="center"/>
          </w:tcPr>
          <w:p w14:paraId="55A8151E"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1,158,906.87</w:t>
            </w:r>
          </w:p>
        </w:tc>
        <w:tc>
          <w:tcPr>
            <w:tcW w:w="750" w:type="pct"/>
            <w:tcBorders>
              <w:top w:val="single" w:sz="4" w:space="0" w:color="auto"/>
              <w:left w:val="single" w:sz="4" w:space="0" w:color="auto"/>
              <w:bottom w:val="single" w:sz="4" w:space="0" w:color="auto"/>
              <w:right w:val="single" w:sz="4" w:space="0" w:color="auto"/>
            </w:tcBorders>
            <w:vAlign w:val="center"/>
          </w:tcPr>
          <w:p w14:paraId="2C3EFB63"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1.41</w:t>
            </w:r>
          </w:p>
        </w:tc>
      </w:tr>
      <w:tr w:rsidR="00F27890" w14:paraId="0104D93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0B744D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14:paraId="61D9A8C0"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127078</w:t>
            </w:r>
          </w:p>
        </w:tc>
        <w:tc>
          <w:tcPr>
            <w:tcW w:w="750" w:type="pct"/>
            <w:tcBorders>
              <w:top w:val="single" w:sz="4" w:space="0" w:color="auto"/>
              <w:left w:val="single" w:sz="4" w:space="0" w:color="auto"/>
              <w:bottom w:val="single" w:sz="4" w:space="0" w:color="auto"/>
              <w:right w:val="single" w:sz="4" w:space="0" w:color="auto"/>
            </w:tcBorders>
            <w:vAlign w:val="center"/>
          </w:tcPr>
          <w:p w14:paraId="762BBF1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优彩转债</w:t>
            </w:r>
          </w:p>
        </w:tc>
        <w:tc>
          <w:tcPr>
            <w:tcW w:w="750" w:type="pct"/>
            <w:tcBorders>
              <w:top w:val="single" w:sz="4" w:space="0" w:color="auto"/>
              <w:left w:val="single" w:sz="4" w:space="0" w:color="auto"/>
              <w:bottom w:val="single" w:sz="4" w:space="0" w:color="auto"/>
              <w:right w:val="single" w:sz="4" w:space="0" w:color="auto"/>
            </w:tcBorders>
            <w:vAlign w:val="center"/>
          </w:tcPr>
          <w:p w14:paraId="074FB4EC"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1,154,555.18</w:t>
            </w:r>
          </w:p>
        </w:tc>
        <w:tc>
          <w:tcPr>
            <w:tcW w:w="750" w:type="pct"/>
            <w:tcBorders>
              <w:top w:val="single" w:sz="4" w:space="0" w:color="auto"/>
              <w:left w:val="single" w:sz="4" w:space="0" w:color="auto"/>
              <w:bottom w:val="single" w:sz="4" w:space="0" w:color="auto"/>
              <w:right w:val="single" w:sz="4" w:space="0" w:color="auto"/>
            </w:tcBorders>
            <w:vAlign w:val="center"/>
          </w:tcPr>
          <w:p w14:paraId="17DC7F1A"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1.41</w:t>
            </w:r>
          </w:p>
        </w:tc>
      </w:tr>
      <w:tr w:rsidR="00F27890" w14:paraId="3DABEAC1"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20E0BD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14:paraId="5FE9106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118029</w:t>
            </w:r>
          </w:p>
        </w:tc>
        <w:tc>
          <w:tcPr>
            <w:tcW w:w="750" w:type="pct"/>
            <w:tcBorders>
              <w:top w:val="single" w:sz="4" w:space="0" w:color="auto"/>
              <w:left w:val="single" w:sz="4" w:space="0" w:color="auto"/>
              <w:bottom w:val="single" w:sz="4" w:space="0" w:color="auto"/>
              <w:right w:val="single" w:sz="4" w:space="0" w:color="auto"/>
            </w:tcBorders>
            <w:vAlign w:val="center"/>
          </w:tcPr>
          <w:p w14:paraId="0B27D1F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富淼转债</w:t>
            </w:r>
          </w:p>
        </w:tc>
        <w:tc>
          <w:tcPr>
            <w:tcW w:w="750" w:type="pct"/>
            <w:tcBorders>
              <w:top w:val="single" w:sz="4" w:space="0" w:color="auto"/>
              <w:left w:val="single" w:sz="4" w:space="0" w:color="auto"/>
              <w:bottom w:val="single" w:sz="4" w:space="0" w:color="auto"/>
              <w:right w:val="single" w:sz="4" w:space="0" w:color="auto"/>
            </w:tcBorders>
            <w:vAlign w:val="center"/>
          </w:tcPr>
          <w:p w14:paraId="11AFDBD6"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1,154,536.87</w:t>
            </w:r>
          </w:p>
        </w:tc>
        <w:tc>
          <w:tcPr>
            <w:tcW w:w="750" w:type="pct"/>
            <w:tcBorders>
              <w:top w:val="single" w:sz="4" w:space="0" w:color="auto"/>
              <w:left w:val="single" w:sz="4" w:space="0" w:color="auto"/>
              <w:bottom w:val="single" w:sz="4" w:space="0" w:color="auto"/>
              <w:right w:val="single" w:sz="4" w:space="0" w:color="auto"/>
            </w:tcBorders>
            <w:vAlign w:val="center"/>
          </w:tcPr>
          <w:p w14:paraId="22915D10"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1.41</w:t>
            </w:r>
          </w:p>
        </w:tc>
      </w:tr>
      <w:tr w:rsidR="00F27890" w14:paraId="36131300"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759D3F2"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14:paraId="1C24989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113665</w:t>
            </w:r>
          </w:p>
        </w:tc>
        <w:tc>
          <w:tcPr>
            <w:tcW w:w="750" w:type="pct"/>
            <w:tcBorders>
              <w:top w:val="single" w:sz="4" w:space="0" w:color="auto"/>
              <w:left w:val="single" w:sz="4" w:space="0" w:color="auto"/>
              <w:bottom w:val="single" w:sz="4" w:space="0" w:color="auto"/>
              <w:right w:val="single" w:sz="4" w:space="0" w:color="auto"/>
            </w:tcBorders>
            <w:vAlign w:val="center"/>
          </w:tcPr>
          <w:p w14:paraId="42FFDDF5"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汇通转债</w:t>
            </w:r>
          </w:p>
        </w:tc>
        <w:tc>
          <w:tcPr>
            <w:tcW w:w="750" w:type="pct"/>
            <w:tcBorders>
              <w:top w:val="single" w:sz="4" w:space="0" w:color="auto"/>
              <w:left w:val="single" w:sz="4" w:space="0" w:color="auto"/>
              <w:bottom w:val="single" w:sz="4" w:space="0" w:color="auto"/>
              <w:right w:val="single" w:sz="4" w:space="0" w:color="auto"/>
            </w:tcBorders>
            <w:vAlign w:val="center"/>
          </w:tcPr>
          <w:p w14:paraId="6CF2E3CE"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1,150,665.27</w:t>
            </w:r>
          </w:p>
        </w:tc>
        <w:tc>
          <w:tcPr>
            <w:tcW w:w="750" w:type="pct"/>
            <w:tcBorders>
              <w:top w:val="single" w:sz="4" w:space="0" w:color="auto"/>
              <w:left w:val="single" w:sz="4" w:space="0" w:color="auto"/>
              <w:bottom w:val="single" w:sz="4" w:space="0" w:color="auto"/>
              <w:right w:val="single" w:sz="4" w:space="0" w:color="auto"/>
            </w:tcBorders>
            <w:vAlign w:val="center"/>
          </w:tcPr>
          <w:p w14:paraId="3D1A53F1"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1.40</w:t>
            </w:r>
          </w:p>
        </w:tc>
      </w:tr>
      <w:tr w:rsidR="00F27890" w14:paraId="62042888"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4CCC7A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14:paraId="0F145E0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113628</w:t>
            </w:r>
          </w:p>
        </w:tc>
        <w:tc>
          <w:tcPr>
            <w:tcW w:w="750" w:type="pct"/>
            <w:tcBorders>
              <w:top w:val="single" w:sz="4" w:space="0" w:color="auto"/>
              <w:left w:val="single" w:sz="4" w:space="0" w:color="auto"/>
              <w:bottom w:val="single" w:sz="4" w:space="0" w:color="auto"/>
              <w:right w:val="single" w:sz="4" w:space="0" w:color="auto"/>
            </w:tcBorders>
            <w:vAlign w:val="center"/>
          </w:tcPr>
          <w:p w14:paraId="1B6754B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晨丰转债</w:t>
            </w:r>
          </w:p>
        </w:tc>
        <w:tc>
          <w:tcPr>
            <w:tcW w:w="750" w:type="pct"/>
            <w:tcBorders>
              <w:top w:val="single" w:sz="4" w:space="0" w:color="auto"/>
              <w:left w:val="single" w:sz="4" w:space="0" w:color="auto"/>
              <w:bottom w:val="single" w:sz="4" w:space="0" w:color="auto"/>
              <w:right w:val="single" w:sz="4" w:space="0" w:color="auto"/>
            </w:tcBorders>
            <w:vAlign w:val="center"/>
          </w:tcPr>
          <w:p w14:paraId="662A7A40"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1,080,682.40</w:t>
            </w:r>
          </w:p>
        </w:tc>
        <w:tc>
          <w:tcPr>
            <w:tcW w:w="750" w:type="pct"/>
            <w:tcBorders>
              <w:top w:val="single" w:sz="4" w:space="0" w:color="auto"/>
              <w:left w:val="single" w:sz="4" w:space="0" w:color="auto"/>
              <w:bottom w:val="single" w:sz="4" w:space="0" w:color="auto"/>
              <w:right w:val="single" w:sz="4" w:space="0" w:color="auto"/>
            </w:tcBorders>
            <w:vAlign w:val="center"/>
          </w:tcPr>
          <w:p w14:paraId="06A0CDCF"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1.32</w:t>
            </w:r>
          </w:p>
        </w:tc>
      </w:tr>
      <w:tr w:rsidR="00F27890" w14:paraId="2995F660"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493DB4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14:paraId="4750D00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111010</w:t>
            </w:r>
          </w:p>
        </w:tc>
        <w:tc>
          <w:tcPr>
            <w:tcW w:w="750" w:type="pct"/>
            <w:tcBorders>
              <w:top w:val="single" w:sz="4" w:space="0" w:color="auto"/>
              <w:left w:val="single" w:sz="4" w:space="0" w:color="auto"/>
              <w:bottom w:val="single" w:sz="4" w:space="0" w:color="auto"/>
              <w:right w:val="single" w:sz="4" w:space="0" w:color="auto"/>
            </w:tcBorders>
            <w:vAlign w:val="center"/>
          </w:tcPr>
          <w:p w14:paraId="024A233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立昂转债</w:t>
            </w:r>
          </w:p>
        </w:tc>
        <w:tc>
          <w:tcPr>
            <w:tcW w:w="750" w:type="pct"/>
            <w:tcBorders>
              <w:top w:val="single" w:sz="4" w:space="0" w:color="auto"/>
              <w:left w:val="single" w:sz="4" w:space="0" w:color="auto"/>
              <w:bottom w:val="single" w:sz="4" w:space="0" w:color="auto"/>
              <w:right w:val="single" w:sz="4" w:space="0" w:color="auto"/>
            </w:tcBorders>
            <w:vAlign w:val="center"/>
          </w:tcPr>
          <w:p w14:paraId="7136D4EA"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1,017,652.19</w:t>
            </w:r>
          </w:p>
        </w:tc>
        <w:tc>
          <w:tcPr>
            <w:tcW w:w="750" w:type="pct"/>
            <w:tcBorders>
              <w:top w:val="single" w:sz="4" w:space="0" w:color="auto"/>
              <w:left w:val="single" w:sz="4" w:space="0" w:color="auto"/>
              <w:bottom w:val="single" w:sz="4" w:space="0" w:color="auto"/>
              <w:right w:val="single" w:sz="4" w:space="0" w:color="auto"/>
            </w:tcBorders>
            <w:vAlign w:val="center"/>
          </w:tcPr>
          <w:p w14:paraId="5F931B94"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1.24</w:t>
            </w:r>
          </w:p>
        </w:tc>
      </w:tr>
      <w:tr w:rsidR="00F27890" w14:paraId="5A047F13"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9199325"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14:paraId="652EDD3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123158</w:t>
            </w:r>
          </w:p>
        </w:tc>
        <w:tc>
          <w:tcPr>
            <w:tcW w:w="750" w:type="pct"/>
            <w:tcBorders>
              <w:top w:val="single" w:sz="4" w:space="0" w:color="auto"/>
              <w:left w:val="single" w:sz="4" w:space="0" w:color="auto"/>
              <w:bottom w:val="single" w:sz="4" w:space="0" w:color="auto"/>
              <w:right w:val="single" w:sz="4" w:space="0" w:color="auto"/>
            </w:tcBorders>
            <w:vAlign w:val="center"/>
          </w:tcPr>
          <w:p w14:paraId="51E95AA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宙邦转债</w:t>
            </w:r>
          </w:p>
        </w:tc>
        <w:tc>
          <w:tcPr>
            <w:tcW w:w="750" w:type="pct"/>
            <w:tcBorders>
              <w:top w:val="single" w:sz="4" w:space="0" w:color="auto"/>
              <w:left w:val="single" w:sz="4" w:space="0" w:color="auto"/>
              <w:bottom w:val="single" w:sz="4" w:space="0" w:color="auto"/>
              <w:right w:val="single" w:sz="4" w:space="0" w:color="auto"/>
            </w:tcBorders>
            <w:vAlign w:val="center"/>
          </w:tcPr>
          <w:p w14:paraId="00487492"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991,033.25</w:t>
            </w:r>
          </w:p>
        </w:tc>
        <w:tc>
          <w:tcPr>
            <w:tcW w:w="750" w:type="pct"/>
            <w:tcBorders>
              <w:top w:val="single" w:sz="4" w:space="0" w:color="auto"/>
              <w:left w:val="single" w:sz="4" w:space="0" w:color="auto"/>
              <w:bottom w:val="single" w:sz="4" w:space="0" w:color="auto"/>
              <w:right w:val="single" w:sz="4" w:space="0" w:color="auto"/>
            </w:tcBorders>
            <w:vAlign w:val="center"/>
          </w:tcPr>
          <w:p w14:paraId="76ACB0B8"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1.21</w:t>
            </w:r>
          </w:p>
        </w:tc>
      </w:tr>
      <w:tr w:rsidR="00F27890" w14:paraId="175FFA45"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98BEA45"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14:paraId="07A74844"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123236</w:t>
            </w:r>
          </w:p>
        </w:tc>
        <w:tc>
          <w:tcPr>
            <w:tcW w:w="750" w:type="pct"/>
            <w:tcBorders>
              <w:top w:val="single" w:sz="4" w:space="0" w:color="auto"/>
              <w:left w:val="single" w:sz="4" w:space="0" w:color="auto"/>
              <w:bottom w:val="single" w:sz="4" w:space="0" w:color="auto"/>
              <w:right w:val="single" w:sz="4" w:space="0" w:color="auto"/>
            </w:tcBorders>
            <w:vAlign w:val="center"/>
          </w:tcPr>
          <w:p w14:paraId="378BFB1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家联转债</w:t>
            </w:r>
          </w:p>
        </w:tc>
        <w:tc>
          <w:tcPr>
            <w:tcW w:w="750" w:type="pct"/>
            <w:tcBorders>
              <w:top w:val="single" w:sz="4" w:space="0" w:color="auto"/>
              <w:left w:val="single" w:sz="4" w:space="0" w:color="auto"/>
              <w:bottom w:val="single" w:sz="4" w:space="0" w:color="auto"/>
              <w:right w:val="single" w:sz="4" w:space="0" w:color="auto"/>
            </w:tcBorders>
            <w:vAlign w:val="center"/>
          </w:tcPr>
          <w:p w14:paraId="102CAFDF"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956,393.62</w:t>
            </w:r>
          </w:p>
        </w:tc>
        <w:tc>
          <w:tcPr>
            <w:tcW w:w="750" w:type="pct"/>
            <w:tcBorders>
              <w:top w:val="single" w:sz="4" w:space="0" w:color="auto"/>
              <w:left w:val="single" w:sz="4" w:space="0" w:color="auto"/>
              <w:bottom w:val="single" w:sz="4" w:space="0" w:color="auto"/>
              <w:right w:val="single" w:sz="4" w:space="0" w:color="auto"/>
            </w:tcBorders>
            <w:vAlign w:val="center"/>
          </w:tcPr>
          <w:p w14:paraId="1D63C3EC"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1.17</w:t>
            </w:r>
          </w:p>
        </w:tc>
      </w:tr>
      <w:tr w:rsidR="00F27890" w14:paraId="6B737ABE"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810F21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14:paraId="1D256CE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127103</w:t>
            </w:r>
          </w:p>
        </w:tc>
        <w:tc>
          <w:tcPr>
            <w:tcW w:w="750" w:type="pct"/>
            <w:tcBorders>
              <w:top w:val="single" w:sz="4" w:space="0" w:color="auto"/>
              <w:left w:val="single" w:sz="4" w:space="0" w:color="auto"/>
              <w:bottom w:val="single" w:sz="4" w:space="0" w:color="auto"/>
              <w:right w:val="single" w:sz="4" w:space="0" w:color="auto"/>
            </w:tcBorders>
            <w:vAlign w:val="center"/>
          </w:tcPr>
          <w:p w14:paraId="3FD0758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东南转债</w:t>
            </w:r>
          </w:p>
        </w:tc>
        <w:tc>
          <w:tcPr>
            <w:tcW w:w="750" w:type="pct"/>
            <w:tcBorders>
              <w:top w:val="single" w:sz="4" w:space="0" w:color="auto"/>
              <w:left w:val="single" w:sz="4" w:space="0" w:color="auto"/>
              <w:bottom w:val="single" w:sz="4" w:space="0" w:color="auto"/>
              <w:right w:val="single" w:sz="4" w:space="0" w:color="auto"/>
            </w:tcBorders>
            <w:vAlign w:val="center"/>
          </w:tcPr>
          <w:p w14:paraId="3B395CB6"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946,916.39</w:t>
            </w:r>
          </w:p>
        </w:tc>
        <w:tc>
          <w:tcPr>
            <w:tcW w:w="750" w:type="pct"/>
            <w:tcBorders>
              <w:top w:val="single" w:sz="4" w:space="0" w:color="auto"/>
              <w:left w:val="single" w:sz="4" w:space="0" w:color="auto"/>
              <w:bottom w:val="single" w:sz="4" w:space="0" w:color="auto"/>
              <w:right w:val="single" w:sz="4" w:space="0" w:color="auto"/>
            </w:tcBorders>
            <w:vAlign w:val="center"/>
          </w:tcPr>
          <w:p w14:paraId="22A69373"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1.15</w:t>
            </w:r>
          </w:p>
        </w:tc>
      </w:tr>
      <w:tr w:rsidR="00F27890" w14:paraId="270D870E"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838AE4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23</w:t>
            </w:r>
          </w:p>
        </w:tc>
        <w:tc>
          <w:tcPr>
            <w:tcW w:w="750" w:type="pct"/>
            <w:tcBorders>
              <w:top w:val="single" w:sz="4" w:space="0" w:color="auto"/>
              <w:left w:val="single" w:sz="4" w:space="0" w:color="auto"/>
              <w:bottom w:val="single" w:sz="4" w:space="0" w:color="auto"/>
              <w:right w:val="single" w:sz="4" w:space="0" w:color="auto"/>
            </w:tcBorders>
            <w:vAlign w:val="center"/>
          </w:tcPr>
          <w:p w14:paraId="4183B3B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118008</w:t>
            </w:r>
          </w:p>
        </w:tc>
        <w:tc>
          <w:tcPr>
            <w:tcW w:w="750" w:type="pct"/>
            <w:tcBorders>
              <w:top w:val="single" w:sz="4" w:space="0" w:color="auto"/>
              <w:left w:val="single" w:sz="4" w:space="0" w:color="auto"/>
              <w:bottom w:val="single" w:sz="4" w:space="0" w:color="auto"/>
              <w:right w:val="single" w:sz="4" w:space="0" w:color="auto"/>
            </w:tcBorders>
            <w:vAlign w:val="center"/>
          </w:tcPr>
          <w:p w14:paraId="7493257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海优转债</w:t>
            </w:r>
          </w:p>
        </w:tc>
        <w:tc>
          <w:tcPr>
            <w:tcW w:w="750" w:type="pct"/>
            <w:tcBorders>
              <w:top w:val="single" w:sz="4" w:space="0" w:color="auto"/>
              <w:left w:val="single" w:sz="4" w:space="0" w:color="auto"/>
              <w:bottom w:val="single" w:sz="4" w:space="0" w:color="auto"/>
              <w:right w:val="single" w:sz="4" w:space="0" w:color="auto"/>
            </w:tcBorders>
            <w:vAlign w:val="center"/>
          </w:tcPr>
          <w:p w14:paraId="4C11FF5B"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924,581.42</w:t>
            </w:r>
          </w:p>
        </w:tc>
        <w:tc>
          <w:tcPr>
            <w:tcW w:w="750" w:type="pct"/>
            <w:tcBorders>
              <w:top w:val="single" w:sz="4" w:space="0" w:color="auto"/>
              <w:left w:val="single" w:sz="4" w:space="0" w:color="auto"/>
              <w:bottom w:val="single" w:sz="4" w:space="0" w:color="auto"/>
              <w:right w:val="single" w:sz="4" w:space="0" w:color="auto"/>
            </w:tcBorders>
            <w:vAlign w:val="center"/>
          </w:tcPr>
          <w:p w14:paraId="697E22E4"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1.13</w:t>
            </w:r>
          </w:p>
        </w:tc>
      </w:tr>
      <w:tr w:rsidR="00F27890" w14:paraId="7093CA32"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D02F21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14:paraId="050E1335"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118030</w:t>
            </w:r>
          </w:p>
        </w:tc>
        <w:tc>
          <w:tcPr>
            <w:tcW w:w="750" w:type="pct"/>
            <w:tcBorders>
              <w:top w:val="single" w:sz="4" w:space="0" w:color="auto"/>
              <w:left w:val="single" w:sz="4" w:space="0" w:color="auto"/>
              <w:bottom w:val="single" w:sz="4" w:space="0" w:color="auto"/>
              <w:right w:val="single" w:sz="4" w:space="0" w:color="auto"/>
            </w:tcBorders>
            <w:vAlign w:val="center"/>
          </w:tcPr>
          <w:p w14:paraId="08038A3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睿创转债</w:t>
            </w:r>
          </w:p>
        </w:tc>
        <w:tc>
          <w:tcPr>
            <w:tcW w:w="750" w:type="pct"/>
            <w:tcBorders>
              <w:top w:val="single" w:sz="4" w:space="0" w:color="auto"/>
              <w:left w:val="single" w:sz="4" w:space="0" w:color="auto"/>
              <w:bottom w:val="single" w:sz="4" w:space="0" w:color="auto"/>
              <w:right w:val="single" w:sz="4" w:space="0" w:color="auto"/>
            </w:tcBorders>
            <w:vAlign w:val="center"/>
          </w:tcPr>
          <w:p w14:paraId="0ADAD932"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897,051.74</w:t>
            </w:r>
          </w:p>
        </w:tc>
        <w:tc>
          <w:tcPr>
            <w:tcW w:w="750" w:type="pct"/>
            <w:tcBorders>
              <w:top w:val="single" w:sz="4" w:space="0" w:color="auto"/>
              <w:left w:val="single" w:sz="4" w:space="0" w:color="auto"/>
              <w:bottom w:val="single" w:sz="4" w:space="0" w:color="auto"/>
              <w:right w:val="single" w:sz="4" w:space="0" w:color="auto"/>
            </w:tcBorders>
            <w:vAlign w:val="center"/>
          </w:tcPr>
          <w:p w14:paraId="08CB0BE3"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1.09</w:t>
            </w:r>
          </w:p>
        </w:tc>
      </w:tr>
      <w:tr w:rsidR="00F27890" w14:paraId="5FDAC51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0C0CBF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14:paraId="2F5E6B1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127061</w:t>
            </w:r>
          </w:p>
        </w:tc>
        <w:tc>
          <w:tcPr>
            <w:tcW w:w="750" w:type="pct"/>
            <w:tcBorders>
              <w:top w:val="single" w:sz="4" w:space="0" w:color="auto"/>
              <w:left w:val="single" w:sz="4" w:space="0" w:color="auto"/>
              <w:bottom w:val="single" w:sz="4" w:space="0" w:color="auto"/>
              <w:right w:val="single" w:sz="4" w:space="0" w:color="auto"/>
            </w:tcBorders>
            <w:vAlign w:val="center"/>
          </w:tcPr>
          <w:p w14:paraId="543E7A5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美锦转债</w:t>
            </w:r>
          </w:p>
        </w:tc>
        <w:tc>
          <w:tcPr>
            <w:tcW w:w="750" w:type="pct"/>
            <w:tcBorders>
              <w:top w:val="single" w:sz="4" w:space="0" w:color="auto"/>
              <w:left w:val="single" w:sz="4" w:space="0" w:color="auto"/>
              <w:bottom w:val="single" w:sz="4" w:space="0" w:color="auto"/>
              <w:right w:val="single" w:sz="4" w:space="0" w:color="auto"/>
            </w:tcBorders>
            <w:vAlign w:val="center"/>
          </w:tcPr>
          <w:p w14:paraId="7BE9200B"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858,516.22</w:t>
            </w:r>
          </w:p>
        </w:tc>
        <w:tc>
          <w:tcPr>
            <w:tcW w:w="750" w:type="pct"/>
            <w:tcBorders>
              <w:top w:val="single" w:sz="4" w:space="0" w:color="auto"/>
              <w:left w:val="single" w:sz="4" w:space="0" w:color="auto"/>
              <w:bottom w:val="single" w:sz="4" w:space="0" w:color="auto"/>
              <w:right w:val="single" w:sz="4" w:space="0" w:color="auto"/>
            </w:tcBorders>
            <w:vAlign w:val="center"/>
          </w:tcPr>
          <w:p w14:paraId="397F332B"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1.05</w:t>
            </w:r>
          </w:p>
        </w:tc>
      </w:tr>
      <w:tr w:rsidR="00F27890" w14:paraId="1E11DA47"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6C9218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14:paraId="4D1948F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110079</w:t>
            </w:r>
          </w:p>
        </w:tc>
        <w:tc>
          <w:tcPr>
            <w:tcW w:w="750" w:type="pct"/>
            <w:tcBorders>
              <w:top w:val="single" w:sz="4" w:space="0" w:color="auto"/>
              <w:left w:val="single" w:sz="4" w:space="0" w:color="auto"/>
              <w:bottom w:val="single" w:sz="4" w:space="0" w:color="auto"/>
              <w:right w:val="single" w:sz="4" w:space="0" w:color="auto"/>
            </w:tcBorders>
            <w:vAlign w:val="center"/>
          </w:tcPr>
          <w:p w14:paraId="5E11C3D0"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杭银转债</w:t>
            </w:r>
          </w:p>
        </w:tc>
        <w:tc>
          <w:tcPr>
            <w:tcW w:w="750" w:type="pct"/>
            <w:tcBorders>
              <w:top w:val="single" w:sz="4" w:space="0" w:color="auto"/>
              <w:left w:val="single" w:sz="4" w:space="0" w:color="auto"/>
              <w:bottom w:val="single" w:sz="4" w:space="0" w:color="auto"/>
              <w:right w:val="single" w:sz="4" w:space="0" w:color="auto"/>
            </w:tcBorders>
            <w:vAlign w:val="center"/>
          </w:tcPr>
          <w:p w14:paraId="6A91DB5A"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842,522.73</w:t>
            </w:r>
          </w:p>
        </w:tc>
        <w:tc>
          <w:tcPr>
            <w:tcW w:w="750" w:type="pct"/>
            <w:tcBorders>
              <w:top w:val="single" w:sz="4" w:space="0" w:color="auto"/>
              <w:left w:val="single" w:sz="4" w:space="0" w:color="auto"/>
              <w:bottom w:val="single" w:sz="4" w:space="0" w:color="auto"/>
              <w:right w:val="single" w:sz="4" w:space="0" w:color="auto"/>
            </w:tcBorders>
            <w:vAlign w:val="center"/>
          </w:tcPr>
          <w:p w14:paraId="7898EEE6"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1.03</w:t>
            </w:r>
          </w:p>
        </w:tc>
      </w:tr>
      <w:tr w:rsidR="00F27890" w14:paraId="11DDFB04"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DEF9ED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14:paraId="5CADC87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123212</w:t>
            </w:r>
          </w:p>
        </w:tc>
        <w:tc>
          <w:tcPr>
            <w:tcW w:w="750" w:type="pct"/>
            <w:tcBorders>
              <w:top w:val="single" w:sz="4" w:space="0" w:color="auto"/>
              <w:left w:val="single" w:sz="4" w:space="0" w:color="auto"/>
              <w:bottom w:val="single" w:sz="4" w:space="0" w:color="auto"/>
              <w:right w:val="single" w:sz="4" w:space="0" w:color="auto"/>
            </w:tcBorders>
            <w:vAlign w:val="center"/>
          </w:tcPr>
          <w:p w14:paraId="11F16590"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立中转债</w:t>
            </w:r>
          </w:p>
        </w:tc>
        <w:tc>
          <w:tcPr>
            <w:tcW w:w="750" w:type="pct"/>
            <w:tcBorders>
              <w:top w:val="single" w:sz="4" w:space="0" w:color="auto"/>
              <w:left w:val="single" w:sz="4" w:space="0" w:color="auto"/>
              <w:bottom w:val="single" w:sz="4" w:space="0" w:color="auto"/>
              <w:right w:val="single" w:sz="4" w:space="0" w:color="auto"/>
            </w:tcBorders>
            <w:vAlign w:val="center"/>
          </w:tcPr>
          <w:p w14:paraId="74D20C57"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798,718.66</w:t>
            </w:r>
          </w:p>
        </w:tc>
        <w:tc>
          <w:tcPr>
            <w:tcW w:w="750" w:type="pct"/>
            <w:tcBorders>
              <w:top w:val="single" w:sz="4" w:space="0" w:color="auto"/>
              <w:left w:val="single" w:sz="4" w:space="0" w:color="auto"/>
              <w:bottom w:val="single" w:sz="4" w:space="0" w:color="auto"/>
              <w:right w:val="single" w:sz="4" w:space="0" w:color="auto"/>
            </w:tcBorders>
            <w:vAlign w:val="center"/>
          </w:tcPr>
          <w:p w14:paraId="39306D4D"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0.97</w:t>
            </w:r>
          </w:p>
        </w:tc>
      </w:tr>
      <w:tr w:rsidR="00F27890" w14:paraId="560A94B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BF38C5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14:paraId="195BAED0"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127090</w:t>
            </w:r>
          </w:p>
        </w:tc>
        <w:tc>
          <w:tcPr>
            <w:tcW w:w="750" w:type="pct"/>
            <w:tcBorders>
              <w:top w:val="single" w:sz="4" w:space="0" w:color="auto"/>
              <w:left w:val="single" w:sz="4" w:space="0" w:color="auto"/>
              <w:bottom w:val="single" w:sz="4" w:space="0" w:color="auto"/>
              <w:right w:val="single" w:sz="4" w:space="0" w:color="auto"/>
            </w:tcBorders>
            <w:vAlign w:val="center"/>
          </w:tcPr>
          <w:p w14:paraId="6D4E26C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兴瑞转债</w:t>
            </w:r>
          </w:p>
        </w:tc>
        <w:tc>
          <w:tcPr>
            <w:tcW w:w="750" w:type="pct"/>
            <w:tcBorders>
              <w:top w:val="single" w:sz="4" w:space="0" w:color="auto"/>
              <w:left w:val="single" w:sz="4" w:space="0" w:color="auto"/>
              <w:bottom w:val="single" w:sz="4" w:space="0" w:color="auto"/>
              <w:right w:val="single" w:sz="4" w:space="0" w:color="auto"/>
            </w:tcBorders>
            <w:vAlign w:val="center"/>
          </w:tcPr>
          <w:p w14:paraId="6A3333A7"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747,173.15</w:t>
            </w:r>
          </w:p>
        </w:tc>
        <w:tc>
          <w:tcPr>
            <w:tcW w:w="750" w:type="pct"/>
            <w:tcBorders>
              <w:top w:val="single" w:sz="4" w:space="0" w:color="auto"/>
              <w:left w:val="single" w:sz="4" w:space="0" w:color="auto"/>
              <w:bottom w:val="single" w:sz="4" w:space="0" w:color="auto"/>
              <w:right w:val="single" w:sz="4" w:space="0" w:color="auto"/>
            </w:tcBorders>
            <w:vAlign w:val="center"/>
          </w:tcPr>
          <w:p w14:paraId="49517BE3"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0.91</w:t>
            </w:r>
          </w:p>
        </w:tc>
      </w:tr>
      <w:tr w:rsidR="00F27890" w14:paraId="50368427"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EF84E34"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sz="4" w:space="0" w:color="auto"/>
              <w:left w:val="single" w:sz="4" w:space="0" w:color="auto"/>
              <w:bottom w:val="single" w:sz="4" w:space="0" w:color="auto"/>
              <w:right w:val="single" w:sz="4" w:space="0" w:color="auto"/>
            </w:tcBorders>
            <w:vAlign w:val="center"/>
          </w:tcPr>
          <w:p w14:paraId="46DD084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113043</w:t>
            </w:r>
          </w:p>
        </w:tc>
        <w:tc>
          <w:tcPr>
            <w:tcW w:w="750" w:type="pct"/>
            <w:tcBorders>
              <w:top w:val="single" w:sz="4" w:space="0" w:color="auto"/>
              <w:left w:val="single" w:sz="4" w:space="0" w:color="auto"/>
              <w:bottom w:val="single" w:sz="4" w:space="0" w:color="auto"/>
              <w:right w:val="single" w:sz="4" w:space="0" w:color="auto"/>
            </w:tcBorders>
            <w:vAlign w:val="center"/>
          </w:tcPr>
          <w:p w14:paraId="2893F23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财通转债</w:t>
            </w:r>
          </w:p>
        </w:tc>
        <w:tc>
          <w:tcPr>
            <w:tcW w:w="750" w:type="pct"/>
            <w:tcBorders>
              <w:top w:val="single" w:sz="4" w:space="0" w:color="auto"/>
              <w:left w:val="single" w:sz="4" w:space="0" w:color="auto"/>
              <w:bottom w:val="single" w:sz="4" w:space="0" w:color="auto"/>
              <w:right w:val="single" w:sz="4" w:space="0" w:color="auto"/>
            </w:tcBorders>
            <w:vAlign w:val="center"/>
          </w:tcPr>
          <w:p w14:paraId="4EBF56E8"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741,513.77</w:t>
            </w:r>
          </w:p>
        </w:tc>
        <w:tc>
          <w:tcPr>
            <w:tcW w:w="750" w:type="pct"/>
            <w:tcBorders>
              <w:top w:val="single" w:sz="4" w:space="0" w:color="auto"/>
              <w:left w:val="single" w:sz="4" w:space="0" w:color="auto"/>
              <w:bottom w:val="single" w:sz="4" w:space="0" w:color="auto"/>
              <w:right w:val="single" w:sz="4" w:space="0" w:color="auto"/>
            </w:tcBorders>
            <w:vAlign w:val="center"/>
          </w:tcPr>
          <w:p w14:paraId="1D75EDF5"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0.90</w:t>
            </w:r>
          </w:p>
        </w:tc>
      </w:tr>
      <w:tr w:rsidR="00F27890" w14:paraId="60E1FA8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678B631"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sz="4" w:space="0" w:color="auto"/>
              <w:left w:val="single" w:sz="4" w:space="0" w:color="auto"/>
              <w:bottom w:val="single" w:sz="4" w:space="0" w:color="auto"/>
              <w:right w:val="single" w:sz="4" w:space="0" w:color="auto"/>
            </w:tcBorders>
            <w:vAlign w:val="center"/>
          </w:tcPr>
          <w:p w14:paraId="6FF2507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123233</w:t>
            </w:r>
          </w:p>
        </w:tc>
        <w:tc>
          <w:tcPr>
            <w:tcW w:w="750" w:type="pct"/>
            <w:tcBorders>
              <w:top w:val="single" w:sz="4" w:space="0" w:color="auto"/>
              <w:left w:val="single" w:sz="4" w:space="0" w:color="auto"/>
              <w:bottom w:val="single" w:sz="4" w:space="0" w:color="auto"/>
              <w:right w:val="single" w:sz="4" w:space="0" w:color="auto"/>
            </w:tcBorders>
            <w:vAlign w:val="center"/>
          </w:tcPr>
          <w:p w14:paraId="3E05B6D4"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凯盛转债</w:t>
            </w:r>
          </w:p>
        </w:tc>
        <w:tc>
          <w:tcPr>
            <w:tcW w:w="750" w:type="pct"/>
            <w:tcBorders>
              <w:top w:val="single" w:sz="4" w:space="0" w:color="auto"/>
              <w:left w:val="single" w:sz="4" w:space="0" w:color="auto"/>
              <w:bottom w:val="single" w:sz="4" w:space="0" w:color="auto"/>
              <w:right w:val="single" w:sz="4" w:space="0" w:color="auto"/>
            </w:tcBorders>
            <w:vAlign w:val="center"/>
          </w:tcPr>
          <w:p w14:paraId="7C43B582"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740,341.13</w:t>
            </w:r>
          </w:p>
        </w:tc>
        <w:tc>
          <w:tcPr>
            <w:tcW w:w="750" w:type="pct"/>
            <w:tcBorders>
              <w:top w:val="single" w:sz="4" w:space="0" w:color="auto"/>
              <w:left w:val="single" w:sz="4" w:space="0" w:color="auto"/>
              <w:bottom w:val="single" w:sz="4" w:space="0" w:color="auto"/>
              <w:right w:val="single" w:sz="4" w:space="0" w:color="auto"/>
            </w:tcBorders>
            <w:vAlign w:val="center"/>
          </w:tcPr>
          <w:p w14:paraId="4C973BE7"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0.90</w:t>
            </w:r>
          </w:p>
        </w:tc>
      </w:tr>
      <w:tr w:rsidR="00F27890" w14:paraId="159059F8"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8555001"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14:paraId="5BEB2854"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113681</w:t>
            </w:r>
          </w:p>
        </w:tc>
        <w:tc>
          <w:tcPr>
            <w:tcW w:w="750" w:type="pct"/>
            <w:tcBorders>
              <w:top w:val="single" w:sz="4" w:space="0" w:color="auto"/>
              <w:left w:val="single" w:sz="4" w:space="0" w:color="auto"/>
              <w:bottom w:val="single" w:sz="4" w:space="0" w:color="auto"/>
              <w:right w:val="single" w:sz="4" w:space="0" w:color="auto"/>
            </w:tcBorders>
            <w:vAlign w:val="center"/>
          </w:tcPr>
          <w:p w14:paraId="677702E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镇洋转债</w:t>
            </w:r>
          </w:p>
        </w:tc>
        <w:tc>
          <w:tcPr>
            <w:tcW w:w="750" w:type="pct"/>
            <w:tcBorders>
              <w:top w:val="single" w:sz="4" w:space="0" w:color="auto"/>
              <w:left w:val="single" w:sz="4" w:space="0" w:color="auto"/>
              <w:bottom w:val="single" w:sz="4" w:space="0" w:color="auto"/>
              <w:right w:val="single" w:sz="4" w:space="0" w:color="auto"/>
            </w:tcBorders>
            <w:vAlign w:val="center"/>
          </w:tcPr>
          <w:p w14:paraId="5BB7DA7E"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723,839.30</w:t>
            </w:r>
          </w:p>
        </w:tc>
        <w:tc>
          <w:tcPr>
            <w:tcW w:w="750" w:type="pct"/>
            <w:tcBorders>
              <w:top w:val="single" w:sz="4" w:space="0" w:color="auto"/>
              <w:left w:val="single" w:sz="4" w:space="0" w:color="auto"/>
              <w:bottom w:val="single" w:sz="4" w:space="0" w:color="auto"/>
              <w:right w:val="single" w:sz="4" w:space="0" w:color="auto"/>
            </w:tcBorders>
            <w:vAlign w:val="center"/>
          </w:tcPr>
          <w:p w14:paraId="37460DE8"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0.88</w:t>
            </w:r>
          </w:p>
        </w:tc>
      </w:tr>
      <w:tr w:rsidR="00F27890" w14:paraId="49E44024"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DD84D05"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sz="4" w:space="0" w:color="auto"/>
              <w:left w:val="single" w:sz="4" w:space="0" w:color="auto"/>
              <w:bottom w:val="single" w:sz="4" w:space="0" w:color="auto"/>
              <w:right w:val="single" w:sz="4" w:space="0" w:color="auto"/>
            </w:tcBorders>
            <w:vAlign w:val="center"/>
          </w:tcPr>
          <w:p w14:paraId="4E0F8F0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118040</w:t>
            </w:r>
          </w:p>
        </w:tc>
        <w:tc>
          <w:tcPr>
            <w:tcW w:w="750" w:type="pct"/>
            <w:tcBorders>
              <w:top w:val="single" w:sz="4" w:space="0" w:color="auto"/>
              <w:left w:val="single" w:sz="4" w:space="0" w:color="auto"/>
              <w:bottom w:val="single" w:sz="4" w:space="0" w:color="auto"/>
              <w:right w:val="single" w:sz="4" w:space="0" w:color="auto"/>
            </w:tcBorders>
            <w:vAlign w:val="center"/>
          </w:tcPr>
          <w:p w14:paraId="45F00EE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宏微转债</w:t>
            </w:r>
          </w:p>
        </w:tc>
        <w:tc>
          <w:tcPr>
            <w:tcW w:w="750" w:type="pct"/>
            <w:tcBorders>
              <w:top w:val="single" w:sz="4" w:space="0" w:color="auto"/>
              <w:left w:val="single" w:sz="4" w:space="0" w:color="auto"/>
              <w:bottom w:val="single" w:sz="4" w:space="0" w:color="auto"/>
              <w:right w:val="single" w:sz="4" w:space="0" w:color="auto"/>
            </w:tcBorders>
            <w:vAlign w:val="center"/>
          </w:tcPr>
          <w:p w14:paraId="2578E008"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702,843.88</w:t>
            </w:r>
          </w:p>
        </w:tc>
        <w:tc>
          <w:tcPr>
            <w:tcW w:w="750" w:type="pct"/>
            <w:tcBorders>
              <w:top w:val="single" w:sz="4" w:space="0" w:color="auto"/>
              <w:left w:val="single" w:sz="4" w:space="0" w:color="auto"/>
              <w:bottom w:val="single" w:sz="4" w:space="0" w:color="auto"/>
              <w:right w:val="single" w:sz="4" w:space="0" w:color="auto"/>
            </w:tcBorders>
            <w:vAlign w:val="center"/>
          </w:tcPr>
          <w:p w14:paraId="29374F26"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0.86</w:t>
            </w:r>
          </w:p>
        </w:tc>
      </w:tr>
      <w:tr w:rsidR="00F27890" w14:paraId="7B5B3998"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47D8F0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sz="4" w:space="0" w:color="auto"/>
              <w:left w:val="single" w:sz="4" w:space="0" w:color="auto"/>
              <w:bottom w:val="single" w:sz="4" w:space="0" w:color="auto"/>
              <w:right w:val="single" w:sz="4" w:space="0" w:color="auto"/>
            </w:tcBorders>
            <w:vAlign w:val="center"/>
          </w:tcPr>
          <w:p w14:paraId="6FE4D33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123230</w:t>
            </w:r>
          </w:p>
        </w:tc>
        <w:tc>
          <w:tcPr>
            <w:tcW w:w="750" w:type="pct"/>
            <w:tcBorders>
              <w:top w:val="single" w:sz="4" w:space="0" w:color="auto"/>
              <w:left w:val="single" w:sz="4" w:space="0" w:color="auto"/>
              <w:bottom w:val="single" w:sz="4" w:space="0" w:color="auto"/>
              <w:right w:val="single" w:sz="4" w:space="0" w:color="auto"/>
            </w:tcBorders>
            <w:vAlign w:val="center"/>
          </w:tcPr>
          <w:p w14:paraId="3888A0E1"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金钟转债</w:t>
            </w:r>
          </w:p>
        </w:tc>
        <w:tc>
          <w:tcPr>
            <w:tcW w:w="750" w:type="pct"/>
            <w:tcBorders>
              <w:top w:val="single" w:sz="4" w:space="0" w:color="auto"/>
              <w:left w:val="single" w:sz="4" w:space="0" w:color="auto"/>
              <w:bottom w:val="single" w:sz="4" w:space="0" w:color="auto"/>
              <w:right w:val="single" w:sz="4" w:space="0" w:color="auto"/>
            </w:tcBorders>
            <w:vAlign w:val="center"/>
          </w:tcPr>
          <w:p w14:paraId="6C90A9C8"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680,178.83</w:t>
            </w:r>
          </w:p>
        </w:tc>
        <w:tc>
          <w:tcPr>
            <w:tcW w:w="750" w:type="pct"/>
            <w:tcBorders>
              <w:top w:val="single" w:sz="4" w:space="0" w:color="auto"/>
              <w:left w:val="single" w:sz="4" w:space="0" w:color="auto"/>
              <w:bottom w:val="single" w:sz="4" w:space="0" w:color="auto"/>
              <w:right w:val="single" w:sz="4" w:space="0" w:color="auto"/>
            </w:tcBorders>
            <w:vAlign w:val="center"/>
          </w:tcPr>
          <w:p w14:paraId="04CE59E4"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0.83</w:t>
            </w:r>
          </w:p>
        </w:tc>
      </w:tr>
      <w:tr w:rsidR="00F27890" w14:paraId="1606850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5BD7E24"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sz="4" w:space="0" w:color="auto"/>
              <w:left w:val="single" w:sz="4" w:space="0" w:color="auto"/>
              <w:bottom w:val="single" w:sz="4" w:space="0" w:color="auto"/>
              <w:right w:val="single" w:sz="4" w:space="0" w:color="auto"/>
            </w:tcBorders>
            <w:vAlign w:val="center"/>
          </w:tcPr>
          <w:p w14:paraId="019D2A1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113657</w:t>
            </w:r>
          </w:p>
        </w:tc>
        <w:tc>
          <w:tcPr>
            <w:tcW w:w="750" w:type="pct"/>
            <w:tcBorders>
              <w:top w:val="single" w:sz="4" w:space="0" w:color="auto"/>
              <w:left w:val="single" w:sz="4" w:space="0" w:color="auto"/>
              <w:bottom w:val="single" w:sz="4" w:space="0" w:color="auto"/>
              <w:right w:val="single" w:sz="4" w:space="0" w:color="auto"/>
            </w:tcBorders>
            <w:vAlign w:val="center"/>
          </w:tcPr>
          <w:p w14:paraId="05643CFA"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再</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14:paraId="7183F206"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658,282.07</w:t>
            </w:r>
          </w:p>
        </w:tc>
        <w:tc>
          <w:tcPr>
            <w:tcW w:w="750" w:type="pct"/>
            <w:tcBorders>
              <w:top w:val="single" w:sz="4" w:space="0" w:color="auto"/>
              <w:left w:val="single" w:sz="4" w:space="0" w:color="auto"/>
              <w:bottom w:val="single" w:sz="4" w:space="0" w:color="auto"/>
              <w:right w:val="single" w:sz="4" w:space="0" w:color="auto"/>
            </w:tcBorders>
            <w:vAlign w:val="center"/>
          </w:tcPr>
          <w:p w14:paraId="6DE8C626"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0.80</w:t>
            </w:r>
          </w:p>
        </w:tc>
      </w:tr>
      <w:tr w:rsidR="00F27890" w14:paraId="20BC53B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32A6D0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35</w:t>
            </w:r>
          </w:p>
        </w:tc>
        <w:tc>
          <w:tcPr>
            <w:tcW w:w="750" w:type="pct"/>
            <w:tcBorders>
              <w:top w:val="single" w:sz="4" w:space="0" w:color="auto"/>
              <w:left w:val="single" w:sz="4" w:space="0" w:color="auto"/>
              <w:bottom w:val="single" w:sz="4" w:space="0" w:color="auto"/>
              <w:right w:val="single" w:sz="4" w:space="0" w:color="auto"/>
            </w:tcBorders>
            <w:vAlign w:val="center"/>
          </w:tcPr>
          <w:p w14:paraId="5DA59FA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128144</w:t>
            </w:r>
          </w:p>
        </w:tc>
        <w:tc>
          <w:tcPr>
            <w:tcW w:w="750" w:type="pct"/>
            <w:tcBorders>
              <w:top w:val="single" w:sz="4" w:space="0" w:color="auto"/>
              <w:left w:val="single" w:sz="4" w:space="0" w:color="auto"/>
              <w:bottom w:val="single" w:sz="4" w:space="0" w:color="auto"/>
              <w:right w:val="single" w:sz="4" w:space="0" w:color="auto"/>
            </w:tcBorders>
            <w:vAlign w:val="center"/>
          </w:tcPr>
          <w:p w14:paraId="35EB8C8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利民转债</w:t>
            </w:r>
          </w:p>
        </w:tc>
        <w:tc>
          <w:tcPr>
            <w:tcW w:w="750" w:type="pct"/>
            <w:tcBorders>
              <w:top w:val="single" w:sz="4" w:space="0" w:color="auto"/>
              <w:left w:val="single" w:sz="4" w:space="0" w:color="auto"/>
              <w:bottom w:val="single" w:sz="4" w:space="0" w:color="auto"/>
              <w:right w:val="single" w:sz="4" w:space="0" w:color="auto"/>
            </w:tcBorders>
            <w:vAlign w:val="center"/>
          </w:tcPr>
          <w:p w14:paraId="287B31B2"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651,509.59</w:t>
            </w:r>
          </w:p>
        </w:tc>
        <w:tc>
          <w:tcPr>
            <w:tcW w:w="750" w:type="pct"/>
            <w:tcBorders>
              <w:top w:val="single" w:sz="4" w:space="0" w:color="auto"/>
              <w:left w:val="single" w:sz="4" w:space="0" w:color="auto"/>
              <w:bottom w:val="single" w:sz="4" w:space="0" w:color="auto"/>
              <w:right w:val="single" w:sz="4" w:space="0" w:color="auto"/>
            </w:tcBorders>
            <w:vAlign w:val="center"/>
          </w:tcPr>
          <w:p w14:paraId="192E4FE9"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0.79</w:t>
            </w:r>
          </w:p>
        </w:tc>
      </w:tr>
      <w:tr w:rsidR="00F27890" w14:paraId="0D1169A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3E57F6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36</w:t>
            </w:r>
          </w:p>
        </w:tc>
        <w:tc>
          <w:tcPr>
            <w:tcW w:w="750" w:type="pct"/>
            <w:tcBorders>
              <w:top w:val="single" w:sz="4" w:space="0" w:color="auto"/>
              <w:left w:val="single" w:sz="4" w:space="0" w:color="auto"/>
              <w:bottom w:val="single" w:sz="4" w:space="0" w:color="auto"/>
              <w:right w:val="single" w:sz="4" w:space="0" w:color="auto"/>
            </w:tcBorders>
            <w:vAlign w:val="center"/>
          </w:tcPr>
          <w:p w14:paraId="46559B6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113647</w:t>
            </w:r>
          </w:p>
        </w:tc>
        <w:tc>
          <w:tcPr>
            <w:tcW w:w="750" w:type="pct"/>
            <w:tcBorders>
              <w:top w:val="single" w:sz="4" w:space="0" w:color="auto"/>
              <w:left w:val="single" w:sz="4" w:space="0" w:color="auto"/>
              <w:bottom w:val="single" w:sz="4" w:space="0" w:color="auto"/>
              <w:right w:val="single" w:sz="4" w:space="0" w:color="auto"/>
            </w:tcBorders>
            <w:vAlign w:val="center"/>
          </w:tcPr>
          <w:p w14:paraId="5D37004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禾丰转债</w:t>
            </w:r>
          </w:p>
        </w:tc>
        <w:tc>
          <w:tcPr>
            <w:tcW w:w="750" w:type="pct"/>
            <w:tcBorders>
              <w:top w:val="single" w:sz="4" w:space="0" w:color="auto"/>
              <w:left w:val="single" w:sz="4" w:space="0" w:color="auto"/>
              <w:bottom w:val="single" w:sz="4" w:space="0" w:color="auto"/>
              <w:right w:val="single" w:sz="4" w:space="0" w:color="auto"/>
            </w:tcBorders>
            <w:vAlign w:val="center"/>
          </w:tcPr>
          <w:p w14:paraId="221373EC"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626,315.13</w:t>
            </w:r>
          </w:p>
        </w:tc>
        <w:tc>
          <w:tcPr>
            <w:tcW w:w="750" w:type="pct"/>
            <w:tcBorders>
              <w:top w:val="single" w:sz="4" w:space="0" w:color="auto"/>
              <w:left w:val="single" w:sz="4" w:space="0" w:color="auto"/>
              <w:bottom w:val="single" w:sz="4" w:space="0" w:color="auto"/>
              <w:right w:val="single" w:sz="4" w:space="0" w:color="auto"/>
            </w:tcBorders>
            <w:vAlign w:val="center"/>
          </w:tcPr>
          <w:p w14:paraId="5F52F86D"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0.76</w:t>
            </w:r>
          </w:p>
        </w:tc>
      </w:tr>
      <w:tr w:rsidR="00F27890" w14:paraId="1861A92E"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0100A41"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37</w:t>
            </w:r>
          </w:p>
        </w:tc>
        <w:tc>
          <w:tcPr>
            <w:tcW w:w="750" w:type="pct"/>
            <w:tcBorders>
              <w:top w:val="single" w:sz="4" w:space="0" w:color="auto"/>
              <w:left w:val="single" w:sz="4" w:space="0" w:color="auto"/>
              <w:bottom w:val="single" w:sz="4" w:space="0" w:color="auto"/>
              <w:right w:val="single" w:sz="4" w:space="0" w:color="auto"/>
            </w:tcBorders>
            <w:vAlign w:val="center"/>
          </w:tcPr>
          <w:p w14:paraId="32665BD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110086</w:t>
            </w:r>
          </w:p>
        </w:tc>
        <w:tc>
          <w:tcPr>
            <w:tcW w:w="750" w:type="pct"/>
            <w:tcBorders>
              <w:top w:val="single" w:sz="4" w:space="0" w:color="auto"/>
              <w:left w:val="single" w:sz="4" w:space="0" w:color="auto"/>
              <w:bottom w:val="single" w:sz="4" w:space="0" w:color="auto"/>
              <w:right w:val="single" w:sz="4" w:space="0" w:color="auto"/>
            </w:tcBorders>
            <w:vAlign w:val="center"/>
          </w:tcPr>
          <w:p w14:paraId="1BDE4D9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精工转债</w:t>
            </w:r>
          </w:p>
        </w:tc>
        <w:tc>
          <w:tcPr>
            <w:tcW w:w="750" w:type="pct"/>
            <w:tcBorders>
              <w:top w:val="single" w:sz="4" w:space="0" w:color="auto"/>
              <w:left w:val="single" w:sz="4" w:space="0" w:color="auto"/>
              <w:bottom w:val="single" w:sz="4" w:space="0" w:color="auto"/>
              <w:right w:val="single" w:sz="4" w:space="0" w:color="auto"/>
            </w:tcBorders>
            <w:vAlign w:val="center"/>
          </w:tcPr>
          <w:p w14:paraId="3A53E882"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590,306.61</w:t>
            </w:r>
          </w:p>
        </w:tc>
        <w:tc>
          <w:tcPr>
            <w:tcW w:w="750" w:type="pct"/>
            <w:tcBorders>
              <w:top w:val="single" w:sz="4" w:space="0" w:color="auto"/>
              <w:left w:val="single" w:sz="4" w:space="0" w:color="auto"/>
              <w:bottom w:val="single" w:sz="4" w:space="0" w:color="auto"/>
              <w:right w:val="single" w:sz="4" w:space="0" w:color="auto"/>
            </w:tcBorders>
            <w:vAlign w:val="center"/>
          </w:tcPr>
          <w:p w14:paraId="400B9BB8"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0.72</w:t>
            </w:r>
          </w:p>
        </w:tc>
      </w:tr>
      <w:tr w:rsidR="00F27890" w14:paraId="315AC697"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5A3FA30"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38</w:t>
            </w:r>
          </w:p>
        </w:tc>
        <w:tc>
          <w:tcPr>
            <w:tcW w:w="750" w:type="pct"/>
            <w:tcBorders>
              <w:top w:val="single" w:sz="4" w:space="0" w:color="auto"/>
              <w:left w:val="single" w:sz="4" w:space="0" w:color="auto"/>
              <w:bottom w:val="single" w:sz="4" w:space="0" w:color="auto"/>
              <w:right w:val="single" w:sz="4" w:space="0" w:color="auto"/>
            </w:tcBorders>
            <w:vAlign w:val="center"/>
          </w:tcPr>
          <w:p w14:paraId="2EC1F14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113685</w:t>
            </w:r>
          </w:p>
        </w:tc>
        <w:tc>
          <w:tcPr>
            <w:tcW w:w="750" w:type="pct"/>
            <w:tcBorders>
              <w:top w:val="single" w:sz="4" w:space="0" w:color="auto"/>
              <w:left w:val="single" w:sz="4" w:space="0" w:color="auto"/>
              <w:bottom w:val="single" w:sz="4" w:space="0" w:color="auto"/>
              <w:right w:val="single" w:sz="4" w:space="0" w:color="auto"/>
            </w:tcBorders>
            <w:vAlign w:val="center"/>
          </w:tcPr>
          <w:p w14:paraId="61523C15"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升</w:t>
            </w:r>
            <w:r>
              <w:rPr>
                <w:rFonts w:ascii="Times New Roman" w:hAnsi="Times New Roman"/>
                <w:color w:val="000000"/>
                <w:kern w:val="0"/>
                <w:sz w:val="25"/>
                <w:szCs w:val="24"/>
              </w:rPr>
              <w:t>24</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14:paraId="2AD7E52C"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560,868.88</w:t>
            </w:r>
          </w:p>
        </w:tc>
        <w:tc>
          <w:tcPr>
            <w:tcW w:w="750" w:type="pct"/>
            <w:tcBorders>
              <w:top w:val="single" w:sz="4" w:space="0" w:color="auto"/>
              <w:left w:val="single" w:sz="4" w:space="0" w:color="auto"/>
              <w:bottom w:val="single" w:sz="4" w:space="0" w:color="auto"/>
              <w:right w:val="single" w:sz="4" w:space="0" w:color="auto"/>
            </w:tcBorders>
            <w:vAlign w:val="center"/>
          </w:tcPr>
          <w:p w14:paraId="377F7FE8"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0.68</w:t>
            </w:r>
          </w:p>
        </w:tc>
      </w:tr>
      <w:tr w:rsidR="00F27890" w14:paraId="1B0FDC22"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2816A7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39</w:t>
            </w:r>
          </w:p>
        </w:tc>
        <w:tc>
          <w:tcPr>
            <w:tcW w:w="750" w:type="pct"/>
            <w:tcBorders>
              <w:top w:val="single" w:sz="4" w:space="0" w:color="auto"/>
              <w:left w:val="single" w:sz="4" w:space="0" w:color="auto"/>
              <w:bottom w:val="single" w:sz="4" w:space="0" w:color="auto"/>
              <w:right w:val="single" w:sz="4" w:space="0" w:color="auto"/>
            </w:tcBorders>
            <w:vAlign w:val="center"/>
          </w:tcPr>
          <w:p w14:paraId="39DF433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111019</w:t>
            </w:r>
          </w:p>
        </w:tc>
        <w:tc>
          <w:tcPr>
            <w:tcW w:w="750" w:type="pct"/>
            <w:tcBorders>
              <w:top w:val="single" w:sz="4" w:space="0" w:color="auto"/>
              <w:left w:val="single" w:sz="4" w:space="0" w:color="auto"/>
              <w:bottom w:val="single" w:sz="4" w:space="0" w:color="auto"/>
              <w:right w:val="single" w:sz="4" w:space="0" w:color="auto"/>
            </w:tcBorders>
            <w:vAlign w:val="center"/>
          </w:tcPr>
          <w:p w14:paraId="4523180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宏柏转债</w:t>
            </w:r>
          </w:p>
        </w:tc>
        <w:tc>
          <w:tcPr>
            <w:tcW w:w="750" w:type="pct"/>
            <w:tcBorders>
              <w:top w:val="single" w:sz="4" w:space="0" w:color="auto"/>
              <w:left w:val="single" w:sz="4" w:space="0" w:color="auto"/>
              <w:bottom w:val="single" w:sz="4" w:space="0" w:color="auto"/>
              <w:right w:val="single" w:sz="4" w:space="0" w:color="auto"/>
            </w:tcBorders>
            <w:vAlign w:val="center"/>
          </w:tcPr>
          <w:p w14:paraId="6E5CF2F2"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538,150.98</w:t>
            </w:r>
          </w:p>
        </w:tc>
        <w:tc>
          <w:tcPr>
            <w:tcW w:w="750" w:type="pct"/>
            <w:tcBorders>
              <w:top w:val="single" w:sz="4" w:space="0" w:color="auto"/>
              <w:left w:val="single" w:sz="4" w:space="0" w:color="auto"/>
              <w:bottom w:val="single" w:sz="4" w:space="0" w:color="auto"/>
              <w:right w:val="single" w:sz="4" w:space="0" w:color="auto"/>
            </w:tcBorders>
            <w:vAlign w:val="center"/>
          </w:tcPr>
          <w:p w14:paraId="7EE10F2B"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0.66</w:t>
            </w:r>
          </w:p>
        </w:tc>
      </w:tr>
      <w:tr w:rsidR="00F27890" w14:paraId="42EA01EA"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A7CD36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40</w:t>
            </w:r>
          </w:p>
        </w:tc>
        <w:tc>
          <w:tcPr>
            <w:tcW w:w="750" w:type="pct"/>
            <w:tcBorders>
              <w:top w:val="single" w:sz="4" w:space="0" w:color="auto"/>
              <w:left w:val="single" w:sz="4" w:space="0" w:color="auto"/>
              <w:bottom w:val="single" w:sz="4" w:space="0" w:color="auto"/>
              <w:right w:val="single" w:sz="4" w:space="0" w:color="auto"/>
            </w:tcBorders>
            <w:vAlign w:val="center"/>
          </w:tcPr>
          <w:p w14:paraId="31C6E21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123217</w:t>
            </w:r>
          </w:p>
        </w:tc>
        <w:tc>
          <w:tcPr>
            <w:tcW w:w="750" w:type="pct"/>
            <w:tcBorders>
              <w:top w:val="single" w:sz="4" w:space="0" w:color="auto"/>
              <w:left w:val="single" w:sz="4" w:space="0" w:color="auto"/>
              <w:bottom w:val="single" w:sz="4" w:space="0" w:color="auto"/>
              <w:right w:val="single" w:sz="4" w:space="0" w:color="auto"/>
            </w:tcBorders>
            <w:vAlign w:val="center"/>
          </w:tcPr>
          <w:p w14:paraId="35DC9E1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富仕转债</w:t>
            </w:r>
          </w:p>
        </w:tc>
        <w:tc>
          <w:tcPr>
            <w:tcW w:w="750" w:type="pct"/>
            <w:tcBorders>
              <w:top w:val="single" w:sz="4" w:space="0" w:color="auto"/>
              <w:left w:val="single" w:sz="4" w:space="0" w:color="auto"/>
              <w:bottom w:val="single" w:sz="4" w:space="0" w:color="auto"/>
              <w:right w:val="single" w:sz="4" w:space="0" w:color="auto"/>
            </w:tcBorders>
            <w:vAlign w:val="center"/>
          </w:tcPr>
          <w:p w14:paraId="6BA9BD5B"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520,355.26</w:t>
            </w:r>
          </w:p>
        </w:tc>
        <w:tc>
          <w:tcPr>
            <w:tcW w:w="750" w:type="pct"/>
            <w:tcBorders>
              <w:top w:val="single" w:sz="4" w:space="0" w:color="auto"/>
              <w:left w:val="single" w:sz="4" w:space="0" w:color="auto"/>
              <w:bottom w:val="single" w:sz="4" w:space="0" w:color="auto"/>
              <w:right w:val="single" w:sz="4" w:space="0" w:color="auto"/>
            </w:tcBorders>
            <w:vAlign w:val="center"/>
          </w:tcPr>
          <w:p w14:paraId="69D24690"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0.63</w:t>
            </w:r>
          </w:p>
        </w:tc>
      </w:tr>
      <w:tr w:rsidR="00F27890" w14:paraId="7CA685E6"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65854A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41</w:t>
            </w:r>
          </w:p>
        </w:tc>
        <w:tc>
          <w:tcPr>
            <w:tcW w:w="750" w:type="pct"/>
            <w:tcBorders>
              <w:top w:val="single" w:sz="4" w:space="0" w:color="auto"/>
              <w:left w:val="single" w:sz="4" w:space="0" w:color="auto"/>
              <w:bottom w:val="single" w:sz="4" w:space="0" w:color="auto"/>
              <w:right w:val="single" w:sz="4" w:space="0" w:color="auto"/>
            </w:tcBorders>
            <w:vAlign w:val="center"/>
          </w:tcPr>
          <w:p w14:paraId="25B4AB64"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127081</w:t>
            </w:r>
          </w:p>
        </w:tc>
        <w:tc>
          <w:tcPr>
            <w:tcW w:w="750" w:type="pct"/>
            <w:tcBorders>
              <w:top w:val="single" w:sz="4" w:space="0" w:color="auto"/>
              <w:left w:val="single" w:sz="4" w:space="0" w:color="auto"/>
              <w:bottom w:val="single" w:sz="4" w:space="0" w:color="auto"/>
              <w:right w:val="single" w:sz="4" w:space="0" w:color="auto"/>
            </w:tcBorders>
            <w:vAlign w:val="center"/>
          </w:tcPr>
          <w:p w14:paraId="1F1FE68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中旗转债</w:t>
            </w:r>
          </w:p>
        </w:tc>
        <w:tc>
          <w:tcPr>
            <w:tcW w:w="750" w:type="pct"/>
            <w:tcBorders>
              <w:top w:val="single" w:sz="4" w:space="0" w:color="auto"/>
              <w:left w:val="single" w:sz="4" w:space="0" w:color="auto"/>
              <w:bottom w:val="single" w:sz="4" w:space="0" w:color="auto"/>
              <w:right w:val="single" w:sz="4" w:space="0" w:color="auto"/>
            </w:tcBorders>
            <w:vAlign w:val="center"/>
          </w:tcPr>
          <w:p w14:paraId="25DCBD83"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518,377.91</w:t>
            </w:r>
          </w:p>
        </w:tc>
        <w:tc>
          <w:tcPr>
            <w:tcW w:w="750" w:type="pct"/>
            <w:tcBorders>
              <w:top w:val="single" w:sz="4" w:space="0" w:color="auto"/>
              <w:left w:val="single" w:sz="4" w:space="0" w:color="auto"/>
              <w:bottom w:val="single" w:sz="4" w:space="0" w:color="auto"/>
              <w:right w:val="single" w:sz="4" w:space="0" w:color="auto"/>
            </w:tcBorders>
            <w:vAlign w:val="center"/>
          </w:tcPr>
          <w:p w14:paraId="205F21F5"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0.63</w:t>
            </w:r>
          </w:p>
        </w:tc>
      </w:tr>
      <w:tr w:rsidR="00F27890" w14:paraId="05F6D1F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B6BB6DA"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42</w:t>
            </w:r>
          </w:p>
        </w:tc>
        <w:tc>
          <w:tcPr>
            <w:tcW w:w="750" w:type="pct"/>
            <w:tcBorders>
              <w:top w:val="single" w:sz="4" w:space="0" w:color="auto"/>
              <w:left w:val="single" w:sz="4" w:space="0" w:color="auto"/>
              <w:bottom w:val="single" w:sz="4" w:space="0" w:color="auto"/>
              <w:right w:val="single" w:sz="4" w:space="0" w:color="auto"/>
            </w:tcBorders>
            <w:vAlign w:val="center"/>
          </w:tcPr>
          <w:p w14:paraId="0E528B10"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118011</w:t>
            </w:r>
          </w:p>
        </w:tc>
        <w:tc>
          <w:tcPr>
            <w:tcW w:w="750" w:type="pct"/>
            <w:tcBorders>
              <w:top w:val="single" w:sz="4" w:space="0" w:color="auto"/>
              <w:left w:val="single" w:sz="4" w:space="0" w:color="auto"/>
              <w:bottom w:val="single" w:sz="4" w:space="0" w:color="auto"/>
              <w:right w:val="single" w:sz="4" w:space="0" w:color="auto"/>
            </w:tcBorders>
            <w:vAlign w:val="center"/>
          </w:tcPr>
          <w:p w14:paraId="0FAD8B54"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银微转债</w:t>
            </w:r>
          </w:p>
        </w:tc>
        <w:tc>
          <w:tcPr>
            <w:tcW w:w="750" w:type="pct"/>
            <w:tcBorders>
              <w:top w:val="single" w:sz="4" w:space="0" w:color="auto"/>
              <w:left w:val="single" w:sz="4" w:space="0" w:color="auto"/>
              <w:bottom w:val="single" w:sz="4" w:space="0" w:color="auto"/>
              <w:right w:val="single" w:sz="4" w:space="0" w:color="auto"/>
            </w:tcBorders>
            <w:vAlign w:val="center"/>
          </w:tcPr>
          <w:p w14:paraId="0FC6D6EE"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516,996.50</w:t>
            </w:r>
          </w:p>
        </w:tc>
        <w:tc>
          <w:tcPr>
            <w:tcW w:w="750" w:type="pct"/>
            <w:tcBorders>
              <w:top w:val="single" w:sz="4" w:space="0" w:color="auto"/>
              <w:left w:val="single" w:sz="4" w:space="0" w:color="auto"/>
              <w:bottom w:val="single" w:sz="4" w:space="0" w:color="auto"/>
              <w:right w:val="single" w:sz="4" w:space="0" w:color="auto"/>
            </w:tcBorders>
            <w:vAlign w:val="center"/>
          </w:tcPr>
          <w:p w14:paraId="5A3031E4"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0.63</w:t>
            </w:r>
          </w:p>
        </w:tc>
      </w:tr>
      <w:tr w:rsidR="00F27890" w14:paraId="697272B6"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8E1DE4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43</w:t>
            </w:r>
          </w:p>
        </w:tc>
        <w:tc>
          <w:tcPr>
            <w:tcW w:w="750" w:type="pct"/>
            <w:tcBorders>
              <w:top w:val="single" w:sz="4" w:space="0" w:color="auto"/>
              <w:left w:val="single" w:sz="4" w:space="0" w:color="auto"/>
              <w:bottom w:val="single" w:sz="4" w:space="0" w:color="auto"/>
              <w:right w:val="single" w:sz="4" w:space="0" w:color="auto"/>
            </w:tcBorders>
            <w:vAlign w:val="center"/>
          </w:tcPr>
          <w:p w14:paraId="3C1912B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123196</w:t>
            </w:r>
          </w:p>
        </w:tc>
        <w:tc>
          <w:tcPr>
            <w:tcW w:w="750" w:type="pct"/>
            <w:tcBorders>
              <w:top w:val="single" w:sz="4" w:space="0" w:color="auto"/>
              <w:left w:val="single" w:sz="4" w:space="0" w:color="auto"/>
              <w:bottom w:val="single" w:sz="4" w:space="0" w:color="auto"/>
              <w:right w:val="single" w:sz="4" w:space="0" w:color="auto"/>
            </w:tcBorders>
            <w:vAlign w:val="center"/>
          </w:tcPr>
          <w:p w14:paraId="28EF2CC1"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正元转</w:t>
            </w:r>
            <w:r>
              <w:rPr>
                <w:rFonts w:ascii="Times New Roman" w:hAnsi="Times New Roman"/>
                <w:color w:val="000000"/>
                <w:kern w:val="0"/>
                <w:sz w:val="25"/>
                <w:szCs w:val="24"/>
              </w:rPr>
              <w:t>02</w:t>
            </w:r>
          </w:p>
        </w:tc>
        <w:tc>
          <w:tcPr>
            <w:tcW w:w="750" w:type="pct"/>
            <w:tcBorders>
              <w:top w:val="single" w:sz="4" w:space="0" w:color="auto"/>
              <w:left w:val="single" w:sz="4" w:space="0" w:color="auto"/>
              <w:bottom w:val="single" w:sz="4" w:space="0" w:color="auto"/>
              <w:right w:val="single" w:sz="4" w:space="0" w:color="auto"/>
            </w:tcBorders>
            <w:vAlign w:val="center"/>
          </w:tcPr>
          <w:p w14:paraId="7A94A5C7"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496,985.37</w:t>
            </w:r>
          </w:p>
        </w:tc>
        <w:tc>
          <w:tcPr>
            <w:tcW w:w="750" w:type="pct"/>
            <w:tcBorders>
              <w:top w:val="single" w:sz="4" w:space="0" w:color="auto"/>
              <w:left w:val="single" w:sz="4" w:space="0" w:color="auto"/>
              <w:bottom w:val="single" w:sz="4" w:space="0" w:color="auto"/>
              <w:right w:val="single" w:sz="4" w:space="0" w:color="auto"/>
            </w:tcBorders>
            <w:vAlign w:val="center"/>
          </w:tcPr>
          <w:p w14:paraId="33A8AFF1"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0.61</w:t>
            </w:r>
          </w:p>
        </w:tc>
      </w:tr>
      <w:tr w:rsidR="00F27890" w14:paraId="30CA9B5B"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6A798D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44</w:t>
            </w:r>
          </w:p>
        </w:tc>
        <w:tc>
          <w:tcPr>
            <w:tcW w:w="750" w:type="pct"/>
            <w:tcBorders>
              <w:top w:val="single" w:sz="4" w:space="0" w:color="auto"/>
              <w:left w:val="single" w:sz="4" w:space="0" w:color="auto"/>
              <w:bottom w:val="single" w:sz="4" w:space="0" w:color="auto"/>
              <w:right w:val="single" w:sz="4" w:space="0" w:color="auto"/>
            </w:tcBorders>
            <w:vAlign w:val="center"/>
          </w:tcPr>
          <w:p w14:paraId="46A053F1"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123207</w:t>
            </w:r>
          </w:p>
        </w:tc>
        <w:tc>
          <w:tcPr>
            <w:tcW w:w="750" w:type="pct"/>
            <w:tcBorders>
              <w:top w:val="single" w:sz="4" w:space="0" w:color="auto"/>
              <w:left w:val="single" w:sz="4" w:space="0" w:color="auto"/>
              <w:bottom w:val="single" w:sz="4" w:space="0" w:color="auto"/>
              <w:right w:val="single" w:sz="4" w:space="0" w:color="auto"/>
            </w:tcBorders>
            <w:vAlign w:val="center"/>
          </w:tcPr>
          <w:p w14:paraId="0FC10F7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冠中转债</w:t>
            </w:r>
          </w:p>
        </w:tc>
        <w:tc>
          <w:tcPr>
            <w:tcW w:w="750" w:type="pct"/>
            <w:tcBorders>
              <w:top w:val="single" w:sz="4" w:space="0" w:color="auto"/>
              <w:left w:val="single" w:sz="4" w:space="0" w:color="auto"/>
              <w:bottom w:val="single" w:sz="4" w:space="0" w:color="auto"/>
              <w:right w:val="single" w:sz="4" w:space="0" w:color="auto"/>
            </w:tcBorders>
            <w:vAlign w:val="center"/>
          </w:tcPr>
          <w:p w14:paraId="7C7BADBC"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480,122.04</w:t>
            </w:r>
          </w:p>
        </w:tc>
        <w:tc>
          <w:tcPr>
            <w:tcW w:w="750" w:type="pct"/>
            <w:tcBorders>
              <w:top w:val="single" w:sz="4" w:space="0" w:color="auto"/>
              <w:left w:val="single" w:sz="4" w:space="0" w:color="auto"/>
              <w:bottom w:val="single" w:sz="4" w:space="0" w:color="auto"/>
              <w:right w:val="single" w:sz="4" w:space="0" w:color="auto"/>
            </w:tcBorders>
            <w:vAlign w:val="center"/>
          </w:tcPr>
          <w:p w14:paraId="2FC4ED26"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0.59</w:t>
            </w:r>
          </w:p>
        </w:tc>
      </w:tr>
      <w:tr w:rsidR="00F27890" w14:paraId="7D11F913"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7B6AFA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45</w:t>
            </w:r>
          </w:p>
        </w:tc>
        <w:tc>
          <w:tcPr>
            <w:tcW w:w="750" w:type="pct"/>
            <w:tcBorders>
              <w:top w:val="single" w:sz="4" w:space="0" w:color="auto"/>
              <w:left w:val="single" w:sz="4" w:space="0" w:color="auto"/>
              <w:bottom w:val="single" w:sz="4" w:space="0" w:color="auto"/>
              <w:right w:val="single" w:sz="4" w:space="0" w:color="auto"/>
            </w:tcBorders>
            <w:vAlign w:val="center"/>
          </w:tcPr>
          <w:p w14:paraId="667D58F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113045</w:t>
            </w:r>
          </w:p>
        </w:tc>
        <w:tc>
          <w:tcPr>
            <w:tcW w:w="750" w:type="pct"/>
            <w:tcBorders>
              <w:top w:val="single" w:sz="4" w:space="0" w:color="auto"/>
              <w:left w:val="single" w:sz="4" w:space="0" w:color="auto"/>
              <w:bottom w:val="single" w:sz="4" w:space="0" w:color="auto"/>
              <w:right w:val="single" w:sz="4" w:space="0" w:color="auto"/>
            </w:tcBorders>
            <w:vAlign w:val="center"/>
          </w:tcPr>
          <w:p w14:paraId="71CB81A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环旭转债</w:t>
            </w:r>
          </w:p>
        </w:tc>
        <w:tc>
          <w:tcPr>
            <w:tcW w:w="750" w:type="pct"/>
            <w:tcBorders>
              <w:top w:val="single" w:sz="4" w:space="0" w:color="auto"/>
              <w:left w:val="single" w:sz="4" w:space="0" w:color="auto"/>
              <w:bottom w:val="single" w:sz="4" w:space="0" w:color="auto"/>
              <w:right w:val="single" w:sz="4" w:space="0" w:color="auto"/>
            </w:tcBorders>
            <w:vAlign w:val="center"/>
          </w:tcPr>
          <w:p w14:paraId="273ACAA7"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452,739.25</w:t>
            </w:r>
          </w:p>
        </w:tc>
        <w:tc>
          <w:tcPr>
            <w:tcW w:w="750" w:type="pct"/>
            <w:tcBorders>
              <w:top w:val="single" w:sz="4" w:space="0" w:color="auto"/>
              <w:left w:val="single" w:sz="4" w:space="0" w:color="auto"/>
              <w:bottom w:val="single" w:sz="4" w:space="0" w:color="auto"/>
              <w:right w:val="single" w:sz="4" w:space="0" w:color="auto"/>
            </w:tcBorders>
            <w:vAlign w:val="center"/>
          </w:tcPr>
          <w:p w14:paraId="157D2570"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0.55</w:t>
            </w:r>
          </w:p>
        </w:tc>
      </w:tr>
      <w:tr w:rsidR="00F27890" w14:paraId="1A9B8147"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58D415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46</w:t>
            </w:r>
          </w:p>
        </w:tc>
        <w:tc>
          <w:tcPr>
            <w:tcW w:w="750" w:type="pct"/>
            <w:tcBorders>
              <w:top w:val="single" w:sz="4" w:space="0" w:color="auto"/>
              <w:left w:val="single" w:sz="4" w:space="0" w:color="auto"/>
              <w:bottom w:val="single" w:sz="4" w:space="0" w:color="auto"/>
              <w:right w:val="single" w:sz="4" w:space="0" w:color="auto"/>
            </w:tcBorders>
            <w:vAlign w:val="center"/>
          </w:tcPr>
          <w:p w14:paraId="0711898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127079</w:t>
            </w:r>
          </w:p>
        </w:tc>
        <w:tc>
          <w:tcPr>
            <w:tcW w:w="750" w:type="pct"/>
            <w:tcBorders>
              <w:top w:val="single" w:sz="4" w:space="0" w:color="auto"/>
              <w:left w:val="single" w:sz="4" w:space="0" w:color="auto"/>
              <w:bottom w:val="single" w:sz="4" w:space="0" w:color="auto"/>
              <w:right w:val="single" w:sz="4" w:space="0" w:color="auto"/>
            </w:tcBorders>
            <w:vAlign w:val="center"/>
          </w:tcPr>
          <w:p w14:paraId="46D65D8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华亚转债</w:t>
            </w:r>
          </w:p>
        </w:tc>
        <w:tc>
          <w:tcPr>
            <w:tcW w:w="750" w:type="pct"/>
            <w:tcBorders>
              <w:top w:val="single" w:sz="4" w:space="0" w:color="auto"/>
              <w:left w:val="single" w:sz="4" w:space="0" w:color="auto"/>
              <w:bottom w:val="single" w:sz="4" w:space="0" w:color="auto"/>
              <w:right w:val="single" w:sz="4" w:space="0" w:color="auto"/>
            </w:tcBorders>
            <w:vAlign w:val="center"/>
          </w:tcPr>
          <w:p w14:paraId="28CF018D"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433,914.53</w:t>
            </w:r>
          </w:p>
        </w:tc>
        <w:tc>
          <w:tcPr>
            <w:tcW w:w="750" w:type="pct"/>
            <w:tcBorders>
              <w:top w:val="single" w:sz="4" w:space="0" w:color="auto"/>
              <w:left w:val="single" w:sz="4" w:space="0" w:color="auto"/>
              <w:bottom w:val="single" w:sz="4" w:space="0" w:color="auto"/>
              <w:right w:val="single" w:sz="4" w:space="0" w:color="auto"/>
            </w:tcBorders>
            <w:vAlign w:val="center"/>
          </w:tcPr>
          <w:p w14:paraId="287B3B37"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0.53</w:t>
            </w:r>
          </w:p>
        </w:tc>
      </w:tr>
      <w:tr w:rsidR="00F27890" w14:paraId="71A84752"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ABB418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47</w:t>
            </w:r>
          </w:p>
        </w:tc>
        <w:tc>
          <w:tcPr>
            <w:tcW w:w="750" w:type="pct"/>
            <w:tcBorders>
              <w:top w:val="single" w:sz="4" w:space="0" w:color="auto"/>
              <w:left w:val="single" w:sz="4" w:space="0" w:color="auto"/>
              <w:bottom w:val="single" w:sz="4" w:space="0" w:color="auto"/>
              <w:right w:val="single" w:sz="4" w:space="0" w:color="auto"/>
            </w:tcBorders>
            <w:vAlign w:val="center"/>
          </w:tcPr>
          <w:p w14:paraId="5CCDD5D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113643</w:t>
            </w:r>
          </w:p>
        </w:tc>
        <w:tc>
          <w:tcPr>
            <w:tcW w:w="750" w:type="pct"/>
            <w:tcBorders>
              <w:top w:val="single" w:sz="4" w:space="0" w:color="auto"/>
              <w:left w:val="single" w:sz="4" w:space="0" w:color="auto"/>
              <w:bottom w:val="single" w:sz="4" w:space="0" w:color="auto"/>
              <w:right w:val="single" w:sz="4" w:space="0" w:color="auto"/>
            </w:tcBorders>
            <w:vAlign w:val="center"/>
          </w:tcPr>
          <w:p w14:paraId="5F91BEB2"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风语转债</w:t>
            </w:r>
          </w:p>
        </w:tc>
        <w:tc>
          <w:tcPr>
            <w:tcW w:w="750" w:type="pct"/>
            <w:tcBorders>
              <w:top w:val="single" w:sz="4" w:space="0" w:color="auto"/>
              <w:left w:val="single" w:sz="4" w:space="0" w:color="auto"/>
              <w:bottom w:val="single" w:sz="4" w:space="0" w:color="auto"/>
              <w:right w:val="single" w:sz="4" w:space="0" w:color="auto"/>
            </w:tcBorders>
            <w:vAlign w:val="center"/>
          </w:tcPr>
          <w:p w14:paraId="754D9CD6"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419,781.68</w:t>
            </w:r>
          </w:p>
        </w:tc>
        <w:tc>
          <w:tcPr>
            <w:tcW w:w="750" w:type="pct"/>
            <w:tcBorders>
              <w:top w:val="single" w:sz="4" w:space="0" w:color="auto"/>
              <w:left w:val="single" w:sz="4" w:space="0" w:color="auto"/>
              <w:bottom w:val="single" w:sz="4" w:space="0" w:color="auto"/>
              <w:right w:val="single" w:sz="4" w:space="0" w:color="auto"/>
            </w:tcBorders>
            <w:vAlign w:val="center"/>
          </w:tcPr>
          <w:p w14:paraId="3D86A658"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0.51</w:t>
            </w:r>
          </w:p>
        </w:tc>
      </w:tr>
      <w:tr w:rsidR="00F27890" w14:paraId="66935837"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FC50E52"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48</w:t>
            </w:r>
          </w:p>
        </w:tc>
        <w:tc>
          <w:tcPr>
            <w:tcW w:w="750" w:type="pct"/>
            <w:tcBorders>
              <w:top w:val="single" w:sz="4" w:space="0" w:color="auto"/>
              <w:left w:val="single" w:sz="4" w:space="0" w:color="auto"/>
              <w:bottom w:val="single" w:sz="4" w:space="0" w:color="auto"/>
              <w:right w:val="single" w:sz="4" w:space="0" w:color="auto"/>
            </w:tcBorders>
            <w:vAlign w:val="center"/>
          </w:tcPr>
          <w:p w14:paraId="25C3519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113638</w:t>
            </w:r>
          </w:p>
        </w:tc>
        <w:tc>
          <w:tcPr>
            <w:tcW w:w="750" w:type="pct"/>
            <w:tcBorders>
              <w:top w:val="single" w:sz="4" w:space="0" w:color="auto"/>
              <w:left w:val="single" w:sz="4" w:space="0" w:color="auto"/>
              <w:bottom w:val="single" w:sz="4" w:space="0" w:color="auto"/>
              <w:right w:val="single" w:sz="4" w:space="0" w:color="auto"/>
            </w:tcBorders>
            <w:vAlign w:val="center"/>
          </w:tcPr>
          <w:p w14:paraId="511E7DC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台</w:t>
            </w:r>
            <w:r>
              <w:rPr>
                <w:rFonts w:ascii="Times New Roman" w:hAnsi="Times New Roman"/>
                <w:color w:val="000000"/>
                <w:kern w:val="0"/>
                <w:sz w:val="25"/>
                <w:szCs w:val="24"/>
              </w:rPr>
              <w:t>21</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14:paraId="19CC064D"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391,815.59</w:t>
            </w:r>
          </w:p>
        </w:tc>
        <w:tc>
          <w:tcPr>
            <w:tcW w:w="750" w:type="pct"/>
            <w:tcBorders>
              <w:top w:val="single" w:sz="4" w:space="0" w:color="auto"/>
              <w:left w:val="single" w:sz="4" w:space="0" w:color="auto"/>
              <w:bottom w:val="single" w:sz="4" w:space="0" w:color="auto"/>
              <w:right w:val="single" w:sz="4" w:space="0" w:color="auto"/>
            </w:tcBorders>
            <w:vAlign w:val="center"/>
          </w:tcPr>
          <w:p w14:paraId="431A64A1"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0.48</w:t>
            </w:r>
          </w:p>
        </w:tc>
      </w:tr>
      <w:tr w:rsidR="00F27890" w14:paraId="783102D5"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DAC2D1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49</w:t>
            </w:r>
          </w:p>
        </w:tc>
        <w:tc>
          <w:tcPr>
            <w:tcW w:w="750" w:type="pct"/>
            <w:tcBorders>
              <w:top w:val="single" w:sz="4" w:space="0" w:color="auto"/>
              <w:left w:val="single" w:sz="4" w:space="0" w:color="auto"/>
              <w:bottom w:val="single" w:sz="4" w:space="0" w:color="auto"/>
              <w:right w:val="single" w:sz="4" w:space="0" w:color="auto"/>
            </w:tcBorders>
            <w:vAlign w:val="center"/>
          </w:tcPr>
          <w:p w14:paraId="114BAA6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127091</w:t>
            </w:r>
          </w:p>
        </w:tc>
        <w:tc>
          <w:tcPr>
            <w:tcW w:w="750" w:type="pct"/>
            <w:tcBorders>
              <w:top w:val="single" w:sz="4" w:space="0" w:color="auto"/>
              <w:left w:val="single" w:sz="4" w:space="0" w:color="auto"/>
              <w:bottom w:val="single" w:sz="4" w:space="0" w:color="auto"/>
              <w:right w:val="single" w:sz="4" w:space="0" w:color="auto"/>
            </w:tcBorders>
            <w:vAlign w:val="center"/>
          </w:tcPr>
          <w:p w14:paraId="1ED4BE02"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科数转债</w:t>
            </w:r>
          </w:p>
        </w:tc>
        <w:tc>
          <w:tcPr>
            <w:tcW w:w="750" w:type="pct"/>
            <w:tcBorders>
              <w:top w:val="single" w:sz="4" w:space="0" w:color="auto"/>
              <w:left w:val="single" w:sz="4" w:space="0" w:color="auto"/>
              <w:bottom w:val="single" w:sz="4" w:space="0" w:color="auto"/>
              <w:right w:val="single" w:sz="4" w:space="0" w:color="auto"/>
            </w:tcBorders>
            <w:vAlign w:val="center"/>
          </w:tcPr>
          <w:p w14:paraId="628A19FB"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387,902.24</w:t>
            </w:r>
          </w:p>
        </w:tc>
        <w:tc>
          <w:tcPr>
            <w:tcW w:w="750" w:type="pct"/>
            <w:tcBorders>
              <w:top w:val="single" w:sz="4" w:space="0" w:color="auto"/>
              <w:left w:val="single" w:sz="4" w:space="0" w:color="auto"/>
              <w:bottom w:val="single" w:sz="4" w:space="0" w:color="auto"/>
              <w:right w:val="single" w:sz="4" w:space="0" w:color="auto"/>
            </w:tcBorders>
            <w:vAlign w:val="center"/>
          </w:tcPr>
          <w:p w14:paraId="6713A86B"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0.47</w:t>
            </w:r>
          </w:p>
        </w:tc>
      </w:tr>
      <w:tr w:rsidR="00F27890" w14:paraId="6FF585C0"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B46B02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p>
        </w:tc>
        <w:tc>
          <w:tcPr>
            <w:tcW w:w="750" w:type="pct"/>
            <w:tcBorders>
              <w:top w:val="single" w:sz="4" w:space="0" w:color="auto"/>
              <w:left w:val="single" w:sz="4" w:space="0" w:color="auto"/>
              <w:bottom w:val="single" w:sz="4" w:space="0" w:color="auto"/>
              <w:right w:val="single" w:sz="4" w:space="0" w:color="auto"/>
            </w:tcBorders>
            <w:vAlign w:val="center"/>
          </w:tcPr>
          <w:p w14:paraId="31E06491"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118048</w:t>
            </w:r>
          </w:p>
        </w:tc>
        <w:tc>
          <w:tcPr>
            <w:tcW w:w="750" w:type="pct"/>
            <w:tcBorders>
              <w:top w:val="single" w:sz="4" w:space="0" w:color="auto"/>
              <w:left w:val="single" w:sz="4" w:space="0" w:color="auto"/>
              <w:bottom w:val="single" w:sz="4" w:space="0" w:color="auto"/>
              <w:right w:val="single" w:sz="4" w:space="0" w:color="auto"/>
            </w:tcBorders>
            <w:vAlign w:val="center"/>
          </w:tcPr>
          <w:p w14:paraId="087EE27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利扬转债</w:t>
            </w:r>
          </w:p>
        </w:tc>
        <w:tc>
          <w:tcPr>
            <w:tcW w:w="750" w:type="pct"/>
            <w:tcBorders>
              <w:top w:val="single" w:sz="4" w:space="0" w:color="auto"/>
              <w:left w:val="single" w:sz="4" w:space="0" w:color="auto"/>
              <w:bottom w:val="single" w:sz="4" w:space="0" w:color="auto"/>
              <w:right w:val="single" w:sz="4" w:space="0" w:color="auto"/>
            </w:tcBorders>
            <w:vAlign w:val="center"/>
          </w:tcPr>
          <w:p w14:paraId="06C20C1B"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384,854.54</w:t>
            </w:r>
          </w:p>
        </w:tc>
        <w:tc>
          <w:tcPr>
            <w:tcW w:w="750" w:type="pct"/>
            <w:tcBorders>
              <w:top w:val="single" w:sz="4" w:space="0" w:color="auto"/>
              <w:left w:val="single" w:sz="4" w:space="0" w:color="auto"/>
              <w:bottom w:val="single" w:sz="4" w:space="0" w:color="auto"/>
              <w:right w:val="single" w:sz="4" w:space="0" w:color="auto"/>
            </w:tcBorders>
            <w:vAlign w:val="center"/>
          </w:tcPr>
          <w:p w14:paraId="5D570F5F"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0.47</w:t>
            </w:r>
          </w:p>
        </w:tc>
      </w:tr>
      <w:tr w:rsidR="00F27890" w14:paraId="2786395C"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919199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51</w:t>
            </w:r>
          </w:p>
        </w:tc>
        <w:tc>
          <w:tcPr>
            <w:tcW w:w="750" w:type="pct"/>
            <w:tcBorders>
              <w:top w:val="single" w:sz="4" w:space="0" w:color="auto"/>
              <w:left w:val="single" w:sz="4" w:space="0" w:color="auto"/>
              <w:bottom w:val="single" w:sz="4" w:space="0" w:color="auto"/>
              <w:right w:val="single" w:sz="4" w:space="0" w:color="auto"/>
            </w:tcBorders>
            <w:vAlign w:val="center"/>
          </w:tcPr>
          <w:p w14:paraId="12F6FBF0"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113649</w:t>
            </w:r>
          </w:p>
        </w:tc>
        <w:tc>
          <w:tcPr>
            <w:tcW w:w="750" w:type="pct"/>
            <w:tcBorders>
              <w:top w:val="single" w:sz="4" w:space="0" w:color="auto"/>
              <w:left w:val="single" w:sz="4" w:space="0" w:color="auto"/>
              <w:bottom w:val="single" w:sz="4" w:space="0" w:color="auto"/>
              <w:right w:val="single" w:sz="4" w:space="0" w:color="auto"/>
            </w:tcBorders>
            <w:vAlign w:val="center"/>
          </w:tcPr>
          <w:p w14:paraId="282BF05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丰山转债</w:t>
            </w:r>
          </w:p>
        </w:tc>
        <w:tc>
          <w:tcPr>
            <w:tcW w:w="750" w:type="pct"/>
            <w:tcBorders>
              <w:top w:val="single" w:sz="4" w:space="0" w:color="auto"/>
              <w:left w:val="single" w:sz="4" w:space="0" w:color="auto"/>
              <w:bottom w:val="single" w:sz="4" w:space="0" w:color="auto"/>
              <w:right w:val="single" w:sz="4" w:space="0" w:color="auto"/>
            </w:tcBorders>
            <w:vAlign w:val="center"/>
          </w:tcPr>
          <w:p w14:paraId="38B1193F"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360,435.30</w:t>
            </w:r>
          </w:p>
        </w:tc>
        <w:tc>
          <w:tcPr>
            <w:tcW w:w="750" w:type="pct"/>
            <w:tcBorders>
              <w:top w:val="single" w:sz="4" w:space="0" w:color="auto"/>
              <w:left w:val="single" w:sz="4" w:space="0" w:color="auto"/>
              <w:bottom w:val="single" w:sz="4" w:space="0" w:color="auto"/>
              <w:right w:val="single" w:sz="4" w:space="0" w:color="auto"/>
            </w:tcBorders>
            <w:vAlign w:val="center"/>
          </w:tcPr>
          <w:p w14:paraId="7D224A38"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0.44</w:t>
            </w:r>
          </w:p>
        </w:tc>
      </w:tr>
      <w:tr w:rsidR="00F27890" w14:paraId="021FD3A5"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353515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52</w:t>
            </w:r>
          </w:p>
        </w:tc>
        <w:tc>
          <w:tcPr>
            <w:tcW w:w="750" w:type="pct"/>
            <w:tcBorders>
              <w:top w:val="single" w:sz="4" w:space="0" w:color="auto"/>
              <w:left w:val="single" w:sz="4" w:space="0" w:color="auto"/>
              <w:bottom w:val="single" w:sz="4" w:space="0" w:color="auto"/>
              <w:right w:val="single" w:sz="4" w:space="0" w:color="auto"/>
            </w:tcBorders>
            <w:vAlign w:val="center"/>
          </w:tcPr>
          <w:p w14:paraId="0E655FEA"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113637</w:t>
            </w:r>
          </w:p>
        </w:tc>
        <w:tc>
          <w:tcPr>
            <w:tcW w:w="750" w:type="pct"/>
            <w:tcBorders>
              <w:top w:val="single" w:sz="4" w:space="0" w:color="auto"/>
              <w:left w:val="single" w:sz="4" w:space="0" w:color="auto"/>
              <w:bottom w:val="single" w:sz="4" w:space="0" w:color="auto"/>
              <w:right w:val="single" w:sz="4" w:space="0" w:color="auto"/>
            </w:tcBorders>
            <w:vAlign w:val="center"/>
          </w:tcPr>
          <w:p w14:paraId="621D428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华翔转债</w:t>
            </w:r>
          </w:p>
        </w:tc>
        <w:tc>
          <w:tcPr>
            <w:tcW w:w="750" w:type="pct"/>
            <w:tcBorders>
              <w:top w:val="single" w:sz="4" w:space="0" w:color="auto"/>
              <w:left w:val="single" w:sz="4" w:space="0" w:color="auto"/>
              <w:bottom w:val="single" w:sz="4" w:space="0" w:color="auto"/>
              <w:right w:val="single" w:sz="4" w:space="0" w:color="auto"/>
            </w:tcBorders>
            <w:vAlign w:val="center"/>
          </w:tcPr>
          <w:p w14:paraId="178E7A42"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358,465.76</w:t>
            </w:r>
          </w:p>
        </w:tc>
        <w:tc>
          <w:tcPr>
            <w:tcW w:w="750" w:type="pct"/>
            <w:tcBorders>
              <w:top w:val="single" w:sz="4" w:space="0" w:color="auto"/>
              <w:left w:val="single" w:sz="4" w:space="0" w:color="auto"/>
              <w:bottom w:val="single" w:sz="4" w:space="0" w:color="auto"/>
              <w:right w:val="single" w:sz="4" w:space="0" w:color="auto"/>
            </w:tcBorders>
            <w:vAlign w:val="center"/>
          </w:tcPr>
          <w:p w14:paraId="4FF4EC73"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0.44</w:t>
            </w:r>
          </w:p>
        </w:tc>
      </w:tr>
      <w:tr w:rsidR="00F27890" w14:paraId="7A095317"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A070895"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53</w:t>
            </w:r>
          </w:p>
        </w:tc>
        <w:tc>
          <w:tcPr>
            <w:tcW w:w="750" w:type="pct"/>
            <w:tcBorders>
              <w:top w:val="single" w:sz="4" w:space="0" w:color="auto"/>
              <w:left w:val="single" w:sz="4" w:space="0" w:color="auto"/>
              <w:bottom w:val="single" w:sz="4" w:space="0" w:color="auto"/>
              <w:right w:val="single" w:sz="4" w:space="0" w:color="auto"/>
            </w:tcBorders>
            <w:vAlign w:val="center"/>
          </w:tcPr>
          <w:p w14:paraId="1AE0F2F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111016</w:t>
            </w:r>
          </w:p>
        </w:tc>
        <w:tc>
          <w:tcPr>
            <w:tcW w:w="750" w:type="pct"/>
            <w:tcBorders>
              <w:top w:val="single" w:sz="4" w:space="0" w:color="auto"/>
              <w:left w:val="single" w:sz="4" w:space="0" w:color="auto"/>
              <w:bottom w:val="single" w:sz="4" w:space="0" w:color="auto"/>
              <w:right w:val="single" w:sz="4" w:space="0" w:color="auto"/>
            </w:tcBorders>
            <w:vAlign w:val="center"/>
          </w:tcPr>
          <w:p w14:paraId="42D6502A"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神通转债</w:t>
            </w:r>
          </w:p>
        </w:tc>
        <w:tc>
          <w:tcPr>
            <w:tcW w:w="750" w:type="pct"/>
            <w:tcBorders>
              <w:top w:val="single" w:sz="4" w:space="0" w:color="auto"/>
              <w:left w:val="single" w:sz="4" w:space="0" w:color="auto"/>
              <w:bottom w:val="single" w:sz="4" w:space="0" w:color="auto"/>
              <w:right w:val="single" w:sz="4" w:space="0" w:color="auto"/>
            </w:tcBorders>
            <w:vAlign w:val="center"/>
          </w:tcPr>
          <w:p w14:paraId="32CE31F3"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353,878.12</w:t>
            </w:r>
          </w:p>
        </w:tc>
        <w:tc>
          <w:tcPr>
            <w:tcW w:w="750" w:type="pct"/>
            <w:tcBorders>
              <w:top w:val="single" w:sz="4" w:space="0" w:color="auto"/>
              <w:left w:val="single" w:sz="4" w:space="0" w:color="auto"/>
              <w:bottom w:val="single" w:sz="4" w:space="0" w:color="auto"/>
              <w:right w:val="single" w:sz="4" w:space="0" w:color="auto"/>
            </w:tcBorders>
            <w:vAlign w:val="center"/>
          </w:tcPr>
          <w:p w14:paraId="2B5F1730"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0.43</w:t>
            </w:r>
          </w:p>
        </w:tc>
      </w:tr>
      <w:tr w:rsidR="00F27890" w14:paraId="6CAEB4AC"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2C5A492"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54</w:t>
            </w:r>
          </w:p>
        </w:tc>
        <w:tc>
          <w:tcPr>
            <w:tcW w:w="750" w:type="pct"/>
            <w:tcBorders>
              <w:top w:val="single" w:sz="4" w:space="0" w:color="auto"/>
              <w:left w:val="single" w:sz="4" w:space="0" w:color="auto"/>
              <w:bottom w:val="single" w:sz="4" w:space="0" w:color="auto"/>
              <w:right w:val="single" w:sz="4" w:space="0" w:color="auto"/>
            </w:tcBorders>
            <w:vAlign w:val="center"/>
          </w:tcPr>
          <w:p w14:paraId="034761C4"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127105</w:t>
            </w:r>
          </w:p>
        </w:tc>
        <w:tc>
          <w:tcPr>
            <w:tcW w:w="750" w:type="pct"/>
            <w:tcBorders>
              <w:top w:val="single" w:sz="4" w:space="0" w:color="auto"/>
              <w:left w:val="single" w:sz="4" w:space="0" w:color="auto"/>
              <w:bottom w:val="single" w:sz="4" w:space="0" w:color="auto"/>
              <w:right w:val="single" w:sz="4" w:space="0" w:color="auto"/>
            </w:tcBorders>
            <w:vAlign w:val="center"/>
          </w:tcPr>
          <w:p w14:paraId="647E3ED1"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龙星转债</w:t>
            </w:r>
          </w:p>
        </w:tc>
        <w:tc>
          <w:tcPr>
            <w:tcW w:w="750" w:type="pct"/>
            <w:tcBorders>
              <w:top w:val="single" w:sz="4" w:space="0" w:color="auto"/>
              <w:left w:val="single" w:sz="4" w:space="0" w:color="auto"/>
              <w:bottom w:val="single" w:sz="4" w:space="0" w:color="auto"/>
              <w:right w:val="single" w:sz="4" w:space="0" w:color="auto"/>
            </w:tcBorders>
            <w:vAlign w:val="center"/>
          </w:tcPr>
          <w:p w14:paraId="5A3CD4FB"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350,144.95</w:t>
            </w:r>
          </w:p>
        </w:tc>
        <w:tc>
          <w:tcPr>
            <w:tcW w:w="750" w:type="pct"/>
            <w:tcBorders>
              <w:top w:val="single" w:sz="4" w:space="0" w:color="auto"/>
              <w:left w:val="single" w:sz="4" w:space="0" w:color="auto"/>
              <w:bottom w:val="single" w:sz="4" w:space="0" w:color="auto"/>
              <w:right w:val="single" w:sz="4" w:space="0" w:color="auto"/>
            </w:tcBorders>
            <w:vAlign w:val="center"/>
          </w:tcPr>
          <w:p w14:paraId="6AC39818"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0.43</w:t>
            </w:r>
          </w:p>
        </w:tc>
      </w:tr>
      <w:tr w:rsidR="00F27890" w14:paraId="3255EC4E"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556102A"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55</w:t>
            </w:r>
          </w:p>
        </w:tc>
        <w:tc>
          <w:tcPr>
            <w:tcW w:w="750" w:type="pct"/>
            <w:tcBorders>
              <w:top w:val="single" w:sz="4" w:space="0" w:color="auto"/>
              <w:left w:val="single" w:sz="4" w:space="0" w:color="auto"/>
              <w:bottom w:val="single" w:sz="4" w:space="0" w:color="auto"/>
              <w:right w:val="single" w:sz="4" w:space="0" w:color="auto"/>
            </w:tcBorders>
            <w:vAlign w:val="center"/>
          </w:tcPr>
          <w:p w14:paraId="51B6E17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123165</w:t>
            </w:r>
          </w:p>
        </w:tc>
        <w:tc>
          <w:tcPr>
            <w:tcW w:w="750" w:type="pct"/>
            <w:tcBorders>
              <w:top w:val="single" w:sz="4" w:space="0" w:color="auto"/>
              <w:left w:val="single" w:sz="4" w:space="0" w:color="auto"/>
              <w:bottom w:val="single" w:sz="4" w:space="0" w:color="auto"/>
              <w:right w:val="single" w:sz="4" w:space="0" w:color="auto"/>
            </w:tcBorders>
            <w:vAlign w:val="center"/>
          </w:tcPr>
          <w:p w14:paraId="6FF473A2"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回天转债</w:t>
            </w:r>
          </w:p>
        </w:tc>
        <w:tc>
          <w:tcPr>
            <w:tcW w:w="750" w:type="pct"/>
            <w:tcBorders>
              <w:top w:val="single" w:sz="4" w:space="0" w:color="auto"/>
              <w:left w:val="single" w:sz="4" w:space="0" w:color="auto"/>
              <w:bottom w:val="single" w:sz="4" w:space="0" w:color="auto"/>
              <w:right w:val="single" w:sz="4" w:space="0" w:color="auto"/>
            </w:tcBorders>
            <w:vAlign w:val="center"/>
          </w:tcPr>
          <w:p w14:paraId="10051327"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340,345.91</w:t>
            </w:r>
          </w:p>
        </w:tc>
        <w:tc>
          <w:tcPr>
            <w:tcW w:w="750" w:type="pct"/>
            <w:tcBorders>
              <w:top w:val="single" w:sz="4" w:space="0" w:color="auto"/>
              <w:left w:val="single" w:sz="4" w:space="0" w:color="auto"/>
              <w:bottom w:val="single" w:sz="4" w:space="0" w:color="auto"/>
              <w:right w:val="single" w:sz="4" w:space="0" w:color="auto"/>
            </w:tcBorders>
            <w:vAlign w:val="center"/>
          </w:tcPr>
          <w:p w14:paraId="2DBC780A"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0.41</w:t>
            </w:r>
          </w:p>
        </w:tc>
      </w:tr>
      <w:tr w:rsidR="00F27890" w14:paraId="1DAF2268"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557298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56</w:t>
            </w:r>
          </w:p>
        </w:tc>
        <w:tc>
          <w:tcPr>
            <w:tcW w:w="750" w:type="pct"/>
            <w:tcBorders>
              <w:top w:val="single" w:sz="4" w:space="0" w:color="auto"/>
              <w:left w:val="single" w:sz="4" w:space="0" w:color="auto"/>
              <w:bottom w:val="single" w:sz="4" w:space="0" w:color="auto"/>
              <w:right w:val="single" w:sz="4" w:space="0" w:color="auto"/>
            </w:tcBorders>
            <w:vAlign w:val="center"/>
          </w:tcPr>
          <w:p w14:paraId="1BE1EF6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123173</w:t>
            </w:r>
          </w:p>
        </w:tc>
        <w:tc>
          <w:tcPr>
            <w:tcW w:w="750" w:type="pct"/>
            <w:tcBorders>
              <w:top w:val="single" w:sz="4" w:space="0" w:color="auto"/>
              <w:left w:val="single" w:sz="4" w:space="0" w:color="auto"/>
              <w:bottom w:val="single" w:sz="4" w:space="0" w:color="auto"/>
              <w:right w:val="single" w:sz="4" w:space="0" w:color="auto"/>
            </w:tcBorders>
            <w:vAlign w:val="center"/>
          </w:tcPr>
          <w:p w14:paraId="45AADCF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恒锋转债</w:t>
            </w:r>
          </w:p>
        </w:tc>
        <w:tc>
          <w:tcPr>
            <w:tcW w:w="750" w:type="pct"/>
            <w:tcBorders>
              <w:top w:val="single" w:sz="4" w:space="0" w:color="auto"/>
              <w:left w:val="single" w:sz="4" w:space="0" w:color="auto"/>
              <w:bottom w:val="single" w:sz="4" w:space="0" w:color="auto"/>
              <w:right w:val="single" w:sz="4" w:space="0" w:color="auto"/>
            </w:tcBorders>
            <w:vAlign w:val="center"/>
          </w:tcPr>
          <w:p w14:paraId="46EC1506"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332,504.37</w:t>
            </w:r>
          </w:p>
        </w:tc>
        <w:tc>
          <w:tcPr>
            <w:tcW w:w="750" w:type="pct"/>
            <w:tcBorders>
              <w:top w:val="single" w:sz="4" w:space="0" w:color="auto"/>
              <w:left w:val="single" w:sz="4" w:space="0" w:color="auto"/>
              <w:bottom w:val="single" w:sz="4" w:space="0" w:color="auto"/>
              <w:right w:val="single" w:sz="4" w:space="0" w:color="auto"/>
            </w:tcBorders>
            <w:vAlign w:val="center"/>
          </w:tcPr>
          <w:p w14:paraId="69EF557A"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0.41</w:t>
            </w:r>
          </w:p>
        </w:tc>
      </w:tr>
      <w:tr w:rsidR="00F27890" w14:paraId="1195A7A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2C7B7A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57</w:t>
            </w:r>
          </w:p>
        </w:tc>
        <w:tc>
          <w:tcPr>
            <w:tcW w:w="750" w:type="pct"/>
            <w:tcBorders>
              <w:top w:val="single" w:sz="4" w:space="0" w:color="auto"/>
              <w:left w:val="single" w:sz="4" w:space="0" w:color="auto"/>
              <w:bottom w:val="single" w:sz="4" w:space="0" w:color="auto"/>
              <w:right w:val="single" w:sz="4" w:space="0" w:color="auto"/>
            </w:tcBorders>
            <w:vAlign w:val="center"/>
          </w:tcPr>
          <w:p w14:paraId="22DCC97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123188</w:t>
            </w:r>
          </w:p>
        </w:tc>
        <w:tc>
          <w:tcPr>
            <w:tcW w:w="750" w:type="pct"/>
            <w:tcBorders>
              <w:top w:val="single" w:sz="4" w:space="0" w:color="auto"/>
              <w:left w:val="single" w:sz="4" w:space="0" w:color="auto"/>
              <w:bottom w:val="single" w:sz="4" w:space="0" w:color="auto"/>
              <w:right w:val="single" w:sz="4" w:space="0" w:color="auto"/>
            </w:tcBorders>
            <w:vAlign w:val="center"/>
          </w:tcPr>
          <w:p w14:paraId="0B29F7F5"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水羊转债</w:t>
            </w:r>
          </w:p>
        </w:tc>
        <w:tc>
          <w:tcPr>
            <w:tcW w:w="750" w:type="pct"/>
            <w:tcBorders>
              <w:top w:val="single" w:sz="4" w:space="0" w:color="auto"/>
              <w:left w:val="single" w:sz="4" w:space="0" w:color="auto"/>
              <w:bottom w:val="single" w:sz="4" w:space="0" w:color="auto"/>
              <w:right w:val="single" w:sz="4" w:space="0" w:color="auto"/>
            </w:tcBorders>
            <w:vAlign w:val="center"/>
          </w:tcPr>
          <w:p w14:paraId="641A330A"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329,739.09</w:t>
            </w:r>
          </w:p>
        </w:tc>
        <w:tc>
          <w:tcPr>
            <w:tcW w:w="750" w:type="pct"/>
            <w:tcBorders>
              <w:top w:val="single" w:sz="4" w:space="0" w:color="auto"/>
              <w:left w:val="single" w:sz="4" w:space="0" w:color="auto"/>
              <w:bottom w:val="single" w:sz="4" w:space="0" w:color="auto"/>
              <w:right w:val="single" w:sz="4" w:space="0" w:color="auto"/>
            </w:tcBorders>
            <w:vAlign w:val="center"/>
          </w:tcPr>
          <w:p w14:paraId="5C24F9F2"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0.40</w:t>
            </w:r>
          </w:p>
        </w:tc>
      </w:tr>
      <w:tr w:rsidR="00F27890" w14:paraId="188D9831"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54DC3B4"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58</w:t>
            </w:r>
          </w:p>
        </w:tc>
        <w:tc>
          <w:tcPr>
            <w:tcW w:w="750" w:type="pct"/>
            <w:tcBorders>
              <w:top w:val="single" w:sz="4" w:space="0" w:color="auto"/>
              <w:left w:val="single" w:sz="4" w:space="0" w:color="auto"/>
              <w:bottom w:val="single" w:sz="4" w:space="0" w:color="auto"/>
              <w:right w:val="single" w:sz="4" w:space="0" w:color="auto"/>
            </w:tcBorders>
            <w:vAlign w:val="center"/>
          </w:tcPr>
          <w:p w14:paraId="0359AAE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127024</w:t>
            </w:r>
          </w:p>
        </w:tc>
        <w:tc>
          <w:tcPr>
            <w:tcW w:w="750" w:type="pct"/>
            <w:tcBorders>
              <w:top w:val="single" w:sz="4" w:space="0" w:color="auto"/>
              <w:left w:val="single" w:sz="4" w:space="0" w:color="auto"/>
              <w:bottom w:val="single" w:sz="4" w:space="0" w:color="auto"/>
              <w:right w:val="single" w:sz="4" w:space="0" w:color="auto"/>
            </w:tcBorders>
            <w:vAlign w:val="center"/>
          </w:tcPr>
          <w:p w14:paraId="21FE49F2"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盈峰转债</w:t>
            </w:r>
          </w:p>
        </w:tc>
        <w:tc>
          <w:tcPr>
            <w:tcW w:w="750" w:type="pct"/>
            <w:tcBorders>
              <w:top w:val="single" w:sz="4" w:space="0" w:color="auto"/>
              <w:left w:val="single" w:sz="4" w:space="0" w:color="auto"/>
              <w:bottom w:val="single" w:sz="4" w:space="0" w:color="auto"/>
              <w:right w:val="single" w:sz="4" w:space="0" w:color="auto"/>
            </w:tcBorders>
            <w:vAlign w:val="center"/>
          </w:tcPr>
          <w:p w14:paraId="33677D37"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323,160.93</w:t>
            </w:r>
          </w:p>
        </w:tc>
        <w:tc>
          <w:tcPr>
            <w:tcW w:w="750" w:type="pct"/>
            <w:tcBorders>
              <w:top w:val="single" w:sz="4" w:space="0" w:color="auto"/>
              <w:left w:val="single" w:sz="4" w:space="0" w:color="auto"/>
              <w:bottom w:val="single" w:sz="4" w:space="0" w:color="auto"/>
              <w:right w:val="single" w:sz="4" w:space="0" w:color="auto"/>
            </w:tcBorders>
            <w:vAlign w:val="center"/>
          </w:tcPr>
          <w:p w14:paraId="243B7894"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0.39</w:t>
            </w:r>
          </w:p>
        </w:tc>
      </w:tr>
      <w:tr w:rsidR="00F27890" w14:paraId="79D63F16"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B143BCA"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59</w:t>
            </w:r>
          </w:p>
        </w:tc>
        <w:tc>
          <w:tcPr>
            <w:tcW w:w="750" w:type="pct"/>
            <w:tcBorders>
              <w:top w:val="single" w:sz="4" w:space="0" w:color="auto"/>
              <w:left w:val="single" w:sz="4" w:space="0" w:color="auto"/>
              <w:bottom w:val="single" w:sz="4" w:space="0" w:color="auto"/>
              <w:right w:val="single" w:sz="4" w:space="0" w:color="auto"/>
            </w:tcBorders>
            <w:vAlign w:val="center"/>
          </w:tcPr>
          <w:p w14:paraId="2246596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113687</w:t>
            </w:r>
          </w:p>
        </w:tc>
        <w:tc>
          <w:tcPr>
            <w:tcW w:w="750" w:type="pct"/>
            <w:tcBorders>
              <w:top w:val="single" w:sz="4" w:space="0" w:color="auto"/>
              <w:left w:val="single" w:sz="4" w:space="0" w:color="auto"/>
              <w:bottom w:val="single" w:sz="4" w:space="0" w:color="auto"/>
              <w:right w:val="single" w:sz="4" w:space="0" w:color="auto"/>
            </w:tcBorders>
            <w:vAlign w:val="center"/>
          </w:tcPr>
          <w:p w14:paraId="7FE06D8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振华转债</w:t>
            </w:r>
          </w:p>
        </w:tc>
        <w:tc>
          <w:tcPr>
            <w:tcW w:w="750" w:type="pct"/>
            <w:tcBorders>
              <w:top w:val="single" w:sz="4" w:space="0" w:color="auto"/>
              <w:left w:val="single" w:sz="4" w:space="0" w:color="auto"/>
              <w:bottom w:val="single" w:sz="4" w:space="0" w:color="auto"/>
              <w:right w:val="single" w:sz="4" w:space="0" w:color="auto"/>
            </w:tcBorders>
            <w:vAlign w:val="center"/>
          </w:tcPr>
          <w:p w14:paraId="5FD7AFB5"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282,259.99</w:t>
            </w:r>
          </w:p>
        </w:tc>
        <w:tc>
          <w:tcPr>
            <w:tcW w:w="750" w:type="pct"/>
            <w:tcBorders>
              <w:top w:val="single" w:sz="4" w:space="0" w:color="auto"/>
              <w:left w:val="single" w:sz="4" w:space="0" w:color="auto"/>
              <w:bottom w:val="single" w:sz="4" w:space="0" w:color="auto"/>
              <w:right w:val="single" w:sz="4" w:space="0" w:color="auto"/>
            </w:tcBorders>
            <w:vAlign w:val="center"/>
          </w:tcPr>
          <w:p w14:paraId="707CABC3"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0.34</w:t>
            </w:r>
          </w:p>
        </w:tc>
      </w:tr>
      <w:tr w:rsidR="00F27890" w14:paraId="3870FB11"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B3F3AE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60</w:t>
            </w:r>
          </w:p>
        </w:tc>
        <w:tc>
          <w:tcPr>
            <w:tcW w:w="750" w:type="pct"/>
            <w:tcBorders>
              <w:top w:val="single" w:sz="4" w:space="0" w:color="auto"/>
              <w:left w:val="single" w:sz="4" w:space="0" w:color="auto"/>
              <w:bottom w:val="single" w:sz="4" w:space="0" w:color="auto"/>
              <w:right w:val="single" w:sz="4" w:space="0" w:color="auto"/>
            </w:tcBorders>
            <w:vAlign w:val="center"/>
          </w:tcPr>
          <w:p w14:paraId="33C2CEB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127019</w:t>
            </w:r>
          </w:p>
        </w:tc>
        <w:tc>
          <w:tcPr>
            <w:tcW w:w="750" w:type="pct"/>
            <w:tcBorders>
              <w:top w:val="single" w:sz="4" w:space="0" w:color="auto"/>
              <w:left w:val="single" w:sz="4" w:space="0" w:color="auto"/>
              <w:bottom w:val="single" w:sz="4" w:space="0" w:color="auto"/>
              <w:right w:val="single" w:sz="4" w:space="0" w:color="auto"/>
            </w:tcBorders>
            <w:vAlign w:val="center"/>
          </w:tcPr>
          <w:p w14:paraId="5381EBF2"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国城转债</w:t>
            </w:r>
          </w:p>
        </w:tc>
        <w:tc>
          <w:tcPr>
            <w:tcW w:w="750" w:type="pct"/>
            <w:tcBorders>
              <w:top w:val="single" w:sz="4" w:space="0" w:color="auto"/>
              <w:left w:val="single" w:sz="4" w:space="0" w:color="auto"/>
              <w:bottom w:val="single" w:sz="4" w:space="0" w:color="auto"/>
              <w:right w:val="single" w:sz="4" w:space="0" w:color="auto"/>
            </w:tcBorders>
            <w:vAlign w:val="center"/>
          </w:tcPr>
          <w:p w14:paraId="3A458119"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277,717.81</w:t>
            </w:r>
          </w:p>
        </w:tc>
        <w:tc>
          <w:tcPr>
            <w:tcW w:w="750" w:type="pct"/>
            <w:tcBorders>
              <w:top w:val="single" w:sz="4" w:space="0" w:color="auto"/>
              <w:left w:val="single" w:sz="4" w:space="0" w:color="auto"/>
              <w:bottom w:val="single" w:sz="4" w:space="0" w:color="auto"/>
              <w:right w:val="single" w:sz="4" w:space="0" w:color="auto"/>
            </w:tcBorders>
            <w:vAlign w:val="center"/>
          </w:tcPr>
          <w:p w14:paraId="17768249"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0.34</w:t>
            </w:r>
          </w:p>
        </w:tc>
      </w:tr>
      <w:tr w:rsidR="00F27890" w14:paraId="78262213"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15C9F21"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61</w:t>
            </w:r>
          </w:p>
        </w:tc>
        <w:tc>
          <w:tcPr>
            <w:tcW w:w="750" w:type="pct"/>
            <w:tcBorders>
              <w:top w:val="single" w:sz="4" w:space="0" w:color="auto"/>
              <w:left w:val="single" w:sz="4" w:space="0" w:color="auto"/>
              <w:bottom w:val="single" w:sz="4" w:space="0" w:color="auto"/>
              <w:right w:val="single" w:sz="4" w:space="0" w:color="auto"/>
            </w:tcBorders>
            <w:vAlign w:val="center"/>
          </w:tcPr>
          <w:p w14:paraId="39519AA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118012</w:t>
            </w:r>
          </w:p>
        </w:tc>
        <w:tc>
          <w:tcPr>
            <w:tcW w:w="750" w:type="pct"/>
            <w:tcBorders>
              <w:top w:val="single" w:sz="4" w:space="0" w:color="auto"/>
              <w:left w:val="single" w:sz="4" w:space="0" w:color="auto"/>
              <w:bottom w:val="single" w:sz="4" w:space="0" w:color="auto"/>
              <w:right w:val="single" w:sz="4" w:space="0" w:color="auto"/>
            </w:tcBorders>
            <w:vAlign w:val="center"/>
          </w:tcPr>
          <w:p w14:paraId="0AA75842"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微芯转债</w:t>
            </w:r>
          </w:p>
        </w:tc>
        <w:tc>
          <w:tcPr>
            <w:tcW w:w="750" w:type="pct"/>
            <w:tcBorders>
              <w:top w:val="single" w:sz="4" w:space="0" w:color="auto"/>
              <w:left w:val="single" w:sz="4" w:space="0" w:color="auto"/>
              <w:bottom w:val="single" w:sz="4" w:space="0" w:color="auto"/>
              <w:right w:val="single" w:sz="4" w:space="0" w:color="auto"/>
            </w:tcBorders>
            <w:vAlign w:val="center"/>
          </w:tcPr>
          <w:p w14:paraId="50F1900D"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269,161.52</w:t>
            </w:r>
          </w:p>
        </w:tc>
        <w:tc>
          <w:tcPr>
            <w:tcW w:w="750" w:type="pct"/>
            <w:tcBorders>
              <w:top w:val="single" w:sz="4" w:space="0" w:color="auto"/>
              <w:left w:val="single" w:sz="4" w:space="0" w:color="auto"/>
              <w:bottom w:val="single" w:sz="4" w:space="0" w:color="auto"/>
              <w:right w:val="single" w:sz="4" w:space="0" w:color="auto"/>
            </w:tcBorders>
            <w:vAlign w:val="center"/>
          </w:tcPr>
          <w:p w14:paraId="5E3025C7"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0.33</w:t>
            </w:r>
          </w:p>
        </w:tc>
      </w:tr>
      <w:tr w:rsidR="00F27890" w14:paraId="553B0AC2"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9F62A7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62</w:t>
            </w:r>
          </w:p>
        </w:tc>
        <w:tc>
          <w:tcPr>
            <w:tcW w:w="750" w:type="pct"/>
            <w:tcBorders>
              <w:top w:val="single" w:sz="4" w:space="0" w:color="auto"/>
              <w:left w:val="single" w:sz="4" w:space="0" w:color="auto"/>
              <w:bottom w:val="single" w:sz="4" w:space="0" w:color="auto"/>
              <w:right w:val="single" w:sz="4" w:space="0" w:color="auto"/>
            </w:tcBorders>
            <w:vAlign w:val="center"/>
          </w:tcPr>
          <w:p w14:paraId="23C8D35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123201</w:t>
            </w:r>
          </w:p>
        </w:tc>
        <w:tc>
          <w:tcPr>
            <w:tcW w:w="750" w:type="pct"/>
            <w:tcBorders>
              <w:top w:val="single" w:sz="4" w:space="0" w:color="auto"/>
              <w:left w:val="single" w:sz="4" w:space="0" w:color="auto"/>
              <w:bottom w:val="single" w:sz="4" w:space="0" w:color="auto"/>
              <w:right w:val="single" w:sz="4" w:space="0" w:color="auto"/>
            </w:tcBorders>
            <w:vAlign w:val="center"/>
          </w:tcPr>
          <w:p w14:paraId="6A610AA5"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纽泰转债</w:t>
            </w:r>
          </w:p>
        </w:tc>
        <w:tc>
          <w:tcPr>
            <w:tcW w:w="750" w:type="pct"/>
            <w:tcBorders>
              <w:top w:val="single" w:sz="4" w:space="0" w:color="auto"/>
              <w:left w:val="single" w:sz="4" w:space="0" w:color="auto"/>
              <w:bottom w:val="single" w:sz="4" w:space="0" w:color="auto"/>
              <w:right w:val="single" w:sz="4" w:space="0" w:color="auto"/>
            </w:tcBorders>
            <w:vAlign w:val="center"/>
          </w:tcPr>
          <w:p w14:paraId="27E24BD0"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269,113.50</w:t>
            </w:r>
          </w:p>
        </w:tc>
        <w:tc>
          <w:tcPr>
            <w:tcW w:w="750" w:type="pct"/>
            <w:tcBorders>
              <w:top w:val="single" w:sz="4" w:space="0" w:color="auto"/>
              <w:left w:val="single" w:sz="4" w:space="0" w:color="auto"/>
              <w:bottom w:val="single" w:sz="4" w:space="0" w:color="auto"/>
              <w:right w:val="single" w:sz="4" w:space="0" w:color="auto"/>
            </w:tcBorders>
            <w:vAlign w:val="center"/>
          </w:tcPr>
          <w:p w14:paraId="2F83254F"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0.33</w:t>
            </w:r>
          </w:p>
        </w:tc>
      </w:tr>
      <w:tr w:rsidR="00F27890" w14:paraId="45E73FC4"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518A41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63</w:t>
            </w:r>
          </w:p>
        </w:tc>
        <w:tc>
          <w:tcPr>
            <w:tcW w:w="750" w:type="pct"/>
            <w:tcBorders>
              <w:top w:val="single" w:sz="4" w:space="0" w:color="auto"/>
              <w:left w:val="single" w:sz="4" w:space="0" w:color="auto"/>
              <w:bottom w:val="single" w:sz="4" w:space="0" w:color="auto"/>
              <w:right w:val="single" w:sz="4" w:space="0" w:color="auto"/>
            </w:tcBorders>
            <w:vAlign w:val="center"/>
          </w:tcPr>
          <w:p w14:paraId="2D5D057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123216</w:t>
            </w:r>
          </w:p>
        </w:tc>
        <w:tc>
          <w:tcPr>
            <w:tcW w:w="750" w:type="pct"/>
            <w:tcBorders>
              <w:top w:val="single" w:sz="4" w:space="0" w:color="auto"/>
              <w:left w:val="single" w:sz="4" w:space="0" w:color="auto"/>
              <w:bottom w:val="single" w:sz="4" w:space="0" w:color="auto"/>
              <w:right w:val="single" w:sz="4" w:space="0" w:color="auto"/>
            </w:tcBorders>
            <w:vAlign w:val="center"/>
          </w:tcPr>
          <w:p w14:paraId="64A775A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科顺转债</w:t>
            </w:r>
          </w:p>
        </w:tc>
        <w:tc>
          <w:tcPr>
            <w:tcW w:w="750" w:type="pct"/>
            <w:tcBorders>
              <w:top w:val="single" w:sz="4" w:space="0" w:color="auto"/>
              <w:left w:val="single" w:sz="4" w:space="0" w:color="auto"/>
              <w:bottom w:val="single" w:sz="4" w:space="0" w:color="auto"/>
              <w:right w:val="single" w:sz="4" w:space="0" w:color="auto"/>
            </w:tcBorders>
            <w:vAlign w:val="center"/>
          </w:tcPr>
          <w:p w14:paraId="07597631"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248,856.78</w:t>
            </w:r>
          </w:p>
        </w:tc>
        <w:tc>
          <w:tcPr>
            <w:tcW w:w="750" w:type="pct"/>
            <w:tcBorders>
              <w:top w:val="single" w:sz="4" w:space="0" w:color="auto"/>
              <w:left w:val="single" w:sz="4" w:space="0" w:color="auto"/>
              <w:bottom w:val="single" w:sz="4" w:space="0" w:color="auto"/>
              <w:right w:val="single" w:sz="4" w:space="0" w:color="auto"/>
            </w:tcBorders>
            <w:vAlign w:val="center"/>
          </w:tcPr>
          <w:p w14:paraId="0E17E635"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0.30</w:t>
            </w:r>
          </w:p>
        </w:tc>
      </w:tr>
      <w:tr w:rsidR="00F27890" w14:paraId="5FE08762"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3862B1A"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64</w:t>
            </w:r>
          </w:p>
        </w:tc>
        <w:tc>
          <w:tcPr>
            <w:tcW w:w="750" w:type="pct"/>
            <w:tcBorders>
              <w:top w:val="single" w:sz="4" w:space="0" w:color="auto"/>
              <w:left w:val="single" w:sz="4" w:space="0" w:color="auto"/>
              <w:bottom w:val="single" w:sz="4" w:space="0" w:color="auto"/>
              <w:right w:val="single" w:sz="4" w:space="0" w:color="auto"/>
            </w:tcBorders>
            <w:vAlign w:val="center"/>
          </w:tcPr>
          <w:p w14:paraId="5D3069A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127049</w:t>
            </w:r>
          </w:p>
        </w:tc>
        <w:tc>
          <w:tcPr>
            <w:tcW w:w="750" w:type="pct"/>
            <w:tcBorders>
              <w:top w:val="single" w:sz="4" w:space="0" w:color="auto"/>
              <w:left w:val="single" w:sz="4" w:space="0" w:color="auto"/>
              <w:bottom w:val="single" w:sz="4" w:space="0" w:color="auto"/>
              <w:right w:val="single" w:sz="4" w:space="0" w:color="auto"/>
            </w:tcBorders>
            <w:vAlign w:val="center"/>
          </w:tcPr>
          <w:p w14:paraId="2552D48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希望转</w:t>
            </w: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14:paraId="75B05891"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247,304.06</w:t>
            </w:r>
          </w:p>
        </w:tc>
        <w:tc>
          <w:tcPr>
            <w:tcW w:w="750" w:type="pct"/>
            <w:tcBorders>
              <w:top w:val="single" w:sz="4" w:space="0" w:color="auto"/>
              <w:left w:val="single" w:sz="4" w:space="0" w:color="auto"/>
              <w:bottom w:val="single" w:sz="4" w:space="0" w:color="auto"/>
              <w:right w:val="single" w:sz="4" w:space="0" w:color="auto"/>
            </w:tcBorders>
            <w:vAlign w:val="center"/>
          </w:tcPr>
          <w:p w14:paraId="0942B9DA"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0.30</w:t>
            </w:r>
          </w:p>
        </w:tc>
      </w:tr>
      <w:tr w:rsidR="00F27890" w14:paraId="6FCE1ADC"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3B6945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c>
          <w:tcPr>
            <w:tcW w:w="750" w:type="pct"/>
            <w:tcBorders>
              <w:top w:val="single" w:sz="4" w:space="0" w:color="auto"/>
              <w:left w:val="single" w:sz="4" w:space="0" w:color="auto"/>
              <w:bottom w:val="single" w:sz="4" w:space="0" w:color="auto"/>
              <w:right w:val="single" w:sz="4" w:space="0" w:color="auto"/>
            </w:tcBorders>
            <w:vAlign w:val="center"/>
          </w:tcPr>
          <w:p w14:paraId="4E66A4DA"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127047</w:t>
            </w:r>
          </w:p>
        </w:tc>
        <w:tc>
          <w:tcPr>
            <w:tcW w:w="750" w:type="pct"/>
            <w:tcBorders>
              <w:top w:val="single" w:sz="4" w:space="0" w:color="auto"/>
              <w:left w:val="single" w:sz="4" w:space="0" w:color="auto"/>
              <w:bottom w:val="single" w:sz="4" w:space="0" w:color="auto"/>
              <w:right w:val="single" w:sz="4" w:space="0" w:color="auto"/>
            </w:tcBorders>
            <w:vAlign w:val="center"/>
          </w:tcPr>
          <w:p w14:paraId="52CF1CB4"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帝欧转债</w:t>
            </w:r>
          </w:p>
        </w:tc>
        <w:tc>
          <w:tcPr>
            <w:tcW w:w="750" w:type="pct"/>
            <w:tcBorders>
              <w:top w:val="single" w:sz="4" w:space="0" w:color="auto"/>
              <w:left w:val="single" w:sz="4" w:space="0" w:color="auto"/>
              <w:bottom w:val="single" w:sz="4" w:space="0" w:color="auto"/>
              <w:right w:val="single" w:sz="4" w:space="0" w:color="auto"/>
            </w:tcBorders>
            <w:vAlign w:val="center"/>
          </w:tcPr>
          <w:p w14:paraId="6E8D199A"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235,383.82</w:t>
            </w:r>
          </w:p>
        </w:tc>
        <w:tc>
          <w:tcPr>
            <w:tcW w:w="750" w:type="pct"/>
            <w:tcBorders>
              <w:top w:val="single" w:sz="4" w:space="0" w:color="auto"/>
              <w:left w:val="single" w:sz="4" w:space="0" w:color="auto"/>
              <w:bottom w:val="single" w:sz="4" w:space="0" w:color="auto"/>
              <w:right w:val="single" w:sz="4" w:space="0" w:color="auto"/>
            </w:tcBorders>
            <w:vAlign w:val="center"/>
          </w:tcPr>
          <w:p w14:paraId="361C1E95"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rsidR="00F27890" w14:paraId="4FBB386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0E956D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66</w:t>
            </w:r>
          </w:p>
        </w:tc>
        <w:tc>
          <w:tcPr>
            <w:tcW w:w="750" w:type="pct"/>
            <w:tcBorders>
              <w:top w:val="single" w:sz="4" w:space="0" w:color="auto"/>
              <w:left w:val="single" w:sz="4" w:space="0" w:color="auto"/>
              <w:bottom w:val="single" w:sz="4" w:space="0" w:color="auto"/>
              <w:right w:val="single" w:sz="4" w:space="0" w:color="auto"/>
            </w:tcBorders>
            <w:vAlign w:val="center"/>
          </w:tcPr>
          <w:p w14:paraId="22B660B0"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123120</w:t>
            </w:r>
          </w:p>
        </w:tc>
        <w:tc>
          <w:tcPr>
            <w:tcW w:w="750" w:type="pct"/>
            <w:tcBorders>
              <w:top w:val="single" w:sz="4" w:space="0" w:color="auto"/>
              <w:left w:val="single" w:sz="4" w:space="0" w:color="auto"/>
              <w:bottom w:val="single" w:sz="4" w:space="0" w:color="auto"/>
              <w:right w:val="single" w:sz="4" w:space="0" w:color="auto"/>
            </w:tcBorders>
            <w:vAlign w:val="center"/>
          </w:tcPr>
          <w:p w14:paraId="49A7F1D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隆华转债</w:t>
            </w:r>
          </w:p>
        </w:tc>
        <w:tc>
          <w:tcPr>
            <w:tcW w:w="750" w:type="pct"/>
            <w:tcBorders>
              <w:top w:val="single" w:sz="4" w:space="0" w:color="auto"/>
              <w:left w:val="single" w:sz="4" w:space="0" w:color="auto"/>
              <w:bottom w:val="single" w:sz="4" w:space="0" w:color="auto"/>
              <w:right w:val="single" w:sz="4" w:space="0" w:color="auto"/>
            </w:tcBorders>
            <w:vAlign w:val="center"/>
          </w:tcPr>
          <w:p w14:paraId="4AF59DE5"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222,824.59</w:t>
            </w:r>
          </w:p>
        </w:tc>
        <w:tc>
          <w:tcPr>
            <w:tcW w:w="750" w:type="pct"/>
            <w:tcBorders>
              <w:top w:val="single" w:sz="4" w:space="0" w:color="auto"/>
              <w:left w:val="single" w:sz="4" w:space="0" w:color="auto"/>
              <w:bottom w:val="single" w:sz="4" w:space="0" w:color="auto"/>
              <w:right w:val="single" w:sz="4" w:space="0" w:color="auto"/>
            </w:tcBorders>
            <w:vAlign w:val="center"/>
          </w:tcPr>
          <w:p w14:paraId="4BB73D65"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0.27</w:t>
            </w:r>
          </w:p>
        </w:tc>
      </w:tr>
      <w:tr w:rsidR="00F27890" w14:paraId="0BAD5974"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C70037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67</w:t>
            </w:r>
          </w:p>
        </w:tc>
        <w:tc>
          <w:tcPr>
            <w:tcW w:w="750" w:type="pct"/>
            <w:tcBorders>
              <w:top w:val="single" w:sz="4" w:space="0" w:color="auto"/>
              <w:left w:val="single" w:sz="4" w:space="0" w:color="auto"/>
              <w:bottom w:val="single" w:sz="4" w:space="0" w:color="auto"/>
              <w:right w:val="single" w:sz="4" w:space="0" w:color="auto"/>
            </w:tcBorders>
            <w:vAlign w:val="center"/>
          </w:tcPr>
          <w:p w14:paraId="5042A91A"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113677</w:t>
            </w:r>
          </w:p>
        </w:tc>
        <w:tc>
          <w:tcPr>
            <w:tcW w:w="750" w:type="pct"/>
            <w:tcBorders>
              <w:top w:val="single" w:sz="4" w:space="0" w:color="auto"/>
              <w:left w:val="single" w:sz="4" w:space="0" w:color="auto"/>
              <w:bottom w:val="single" w:sz="4" w:space="0" w:color="auto"/>
              <w:right w:val="single" w:sz="4" w:space="0" w:color="auto"/>
            </w:tcBorders>
            <w:vAlign w:val="center"/>
          </w:tcPr>
          <w:p w14:paraId="285E2A5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华懋转债</w:t>
            </w:r>
          </w:p>
        </w:tc>
        <w:tc>
          <w:tcPr>
            <w:tcW w:w="750" w:type="pct"/>
            <w:tcBorders>
              <w:top w:val="single" w:sz="4" w:space="0" w:color="auto"/>
              <w:left w:val="single" w:sz="4" w:space="0" w:color="auto"/>
              <w:bottom w:val="single" w:sz="4" w:space="0" w:color="auto"/>
              <w:right w:val="single" w:sz="4" w:space="0" w:color="auto"/>
            </w:tcBorders>
            <w:vAlign w:val="center"/>
          </w:tcPr>
          <w:p w14:paraId="3F8BABB7"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209,488.82</w:t>
            </w:r>
          </w:p>
        </w:tc>
        <w:tc>
          <w:tcPr>
            <w:tcW w:w="750" w:type="pct"/>
            <w:tcBorders>
              <w:top w:val="single" w:sz="4" w:space="0" w:color="auto"/>
              <w:left w:val="single" w:sz="4" w:space="0" w:color="auto"/>
              <w:bottom w:val="single" w:sz="4" w:space="0" w:color="auto"/>
              <w:right w:val="single" w:sz="4" w:space="0" w:color="auto"/>
            </w:tcBorders>
            <w:vAlign w:val="center"/>
          </w:tcPr>
          <w:p w14:paraId="6C477055"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0.26</w:t>
            </w:r>
          </w:p>
        </w:tc>
      </w:tr>
      <w:tr w:rsidR="00F27890" w14:paraId="5FBCD203"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44D724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68</w:t>
            </w:r>
          </w:p>
        </w:tc>
        <w:tc>
          <w:tcPr>
            <w:tcW w:w="750" w:type="pct"/>
            <w:tcBorders>
              <w:top w:val="single" w:sz="4" w:space="0" w:color="auto"/>
              <w:left w:val="single" w:sz="4" w:space="0" w:color="auto"/>
              <w:bottom w:val="single" w:sz="4" w:space="0" w:color="auto"/>
              <w:right w:val="single" w:sz="4" w:space="0" w:color="auto"/>
            </w:tcBorders>
            <w:vAlign w:val="center"/>
          </w:tcPr>
          <w:p w14:paraId="7A2533E0"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113625</w:t>
            </w:r>
          </w:p>
        </w:tc>
        <w:tc>
          <w:tcPr>
            <w:tcW w:w="750" w:type="pct"/>
            <w:tcBorders>
              <w:top w:val="single" w:sz="4" w:space="0" w:color="auto"/>
              <w:left w:val="single" w:sz="4" w:space="0" w:color="auto"/>
              <w:bottom w:val="single" w:sz="4" w:space="0" w:color="auto"/>
              <w:right w:val="single" w:sz="4" w:space="0" w:color="auto"/>
            </w:tcBorders>
            <w:vAlign w:val="center"/>
          </w:tcPr>
          <w:p w14:paraId="004419C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江山转债</w:t>
            </w:r>
          </w:p>
        </w:tc>
        <w:tc>
          <w:tcPr>
            <w:tcW w:w="750" w:type="pct"/>
            <w:tcBorders>
              <w:top w:val="single" w:sz="4" w:space="0" w:color="auto"/>
              <w:left w:val="single" w:sz="4" w:space="0" w:color="auto"/>
              <w:bottom w:val="single" w:sz="4" w:space="0" w:color="auto"/>
              <w:right w:val="single" w:sz="4" w:space="0" w:color="auto"/>
            </w:tcBorders>
            <w:vAlign w:val="center"/>
          </w:tcPr>
          <w:p w14:paraId="4F9DB571"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197,806.18</w:t>
            </w:r>
          </w:p>
        </w:tc>
        <w:tc>
          <w:tcPr>
            <w:tcW w:w="750" w:type="pct"/>
            <w:tcBorders>
              <w:top w:val="single" w:sz="4" w:space="0" w:color="auto"/>
              <w:left w:val="single" w:sz="4" w:space="0" w:color="auto"/>
              <w:bottom w:val="single" w:sz="4" w:space="0" w:color="auto"/>
              <w:right w:val="single" w:sz="4" w:space="0" w:color="auto"/>
            </w:tcBorders>
            <w:vAlign w:val="center"/>
          </w:tcPr>
          <w:p w14:paraId="70469B32"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0.24</w:t>
            </w:r>
          </w:p>
        </w:tc>
      </w:tr>
      <w:tr w:rsidR="00F27890" w14:paraId="1D6242E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9D198E0"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69</w:t>
            </w:r>
          </w:p>
        </w:tc>
        <w:tc>
          <w:tcPr>
            <w:tcW w:w="750" w:type="pct"/>
            <w:tcBorders>
              <w:top w:val="single" w:sz="4" w:space="0" w:color="auto"/>
              <w:left w:val="single" w:sz="4" w:space="0" w:color="auto"/>
              <w:bottom w:val="single" w:sz="4" w:space="0" w:color="auto"/>
              <w:right w:val="single" w:sz="4" w:space="0" w:color="auto"/>
            </w:tcBorders>
            <w:vAlign w:val="center"/>
          </w:tcPr>
          <w:p w14:paraId="28E2B6C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123247</w:t>
            </w:r>
          </w:p>
        </w:tc>
        <w:tc>
          <w:tcPr>
            <w:tcW w:w="750" w:type="pct"/>
            <w:tcBorders>
              <w:top w:val="single" w:sz="4" w:space="0" w:color="auto"/>
              <w:left w:val="single" w:sz="4" w:space="0" w:color="auto"/>
              <w:bottom w:val="single" w:sz="4" w:space="0" w:color="auto"/>
              <w:right w:val="single" w:sz="4" w:space="0" w:color="auto"/>
            </w:tcBorders>
            <w:vAlign w:val="center"/>
          </w:tcPr>
          <w:p w14:paraId="1C8A84E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万凯转债</w:t>
            </w:r>
          </w:p>
        </w:tc>
        <w:tc>
          <w:tcPr>
            <w:tcW w:w="750" w:type="pct"/>
            <w:tcBorders>
              <w:top w:val="single" w:sz="4" w:space="0" w:color="auto"/>
              <w:left w:val="single" w:sz="4" w:space="0" w:color="auto"/>
              <w:bottom w:val="single" w:sz="4" w:space="0" w:color="auto"/>
              <w:right w:val="single" w:sz="4" w:space="0" w:color="auto"/>
            </w:tcBorders>
            <w:vAlign w:val="center"/>
          </w:tcPr>
          <w:p w14:paraId="09194386"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192,958.37</w:t>
            </w:r>
          </w:p>
        </w:tc>
        <w:tc>
          <w:tcPr>
            <w:tcW w:w="750" w:type="pct"/>
            <w:tcBorders>
              <w:top w:val="single" w:sz="4" w:space="0" w:color="auto"/>
              <w:left w:val="single" w:sz="4" w:space="0" w:color="auto"/>
              <w:bottom w:val="single" w:sz="4" w:space="0" w:color="auto"/>
              <w:right w:val="single" w:sz="4" w:space="0" w:color="auto"/>
            </w:tcBorders>
            <w:vAlign w:val="center"/>
          </w:tcPr>
          <w:p w14:paraId="29402899"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0.24</w:t>
            </w:r>
          </w:p>
        </w:tc>
      </w:tr>
      <w:tr w:rsidR="00F27890" w14:paraId="73872FF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DADA981"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70</w:t>
            </w:r>
          </w:p>
        </w:tc>
        <w:tc>
          <w:tcPr>
            <w:tcW w:w="750" w:type="pct"/>
            <w:tcBorders>
              <w:top w:val="single" w:sz="4" w:space="0" w:color="auto"/>
              <w:left w:val="single" w:sz="4" w:space="0" w:color="auto"/>
              <w:bottom w:val="single" w:sz="4" w:space="0" w:color="auto"/>
              <w:right w:val="single" w:sz="4" w:space="0" w:color="auto"/>
            </w:tcBorders>
            <w:vAlign w:val="center"/>
          </w:tcPr>
          <w:p w14:paraId="6A4C90E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123215</w:t>
            </w:r>
          </w:p>
        </w:tc>
        <w:tc>
          <w:tcPr>
            <w:tcW w:w="750" w:type="pct"/>
            <w:tcBorders>
              <w:top w:val="single" w:sz="4" w:space="0" w:color="auto"/>
              <w:left w:val="single" w:sz="4" w:space="0" w:color="auto"/>
              <w:bottom w:val="single" w:sz="4" w:space="0" w:color="auto"/>
              <w:right w:val="single" w:sz="4" w:space="0" w:color="auto"/>
            </w:tcBorders>
            <w:vAlign w:val="center"/>
          </w:tcPr>
          <w:p w14:paraId="1660D6DA"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铭利转债</w:t>
            </w:r>
          </w:p>
        </w:tc>
        <w:tc>
          <w:tcPr>
            <w:tcW w:w="750" w:type="pct"/>
            <w:tcBorders>
              <w:top w:val="single" w:sz="4" w:space="0" w:color="auto"/>
              <w:left w:val="single" w:sz="4" w:space="0" w:color="auto"/>
              <w:bottom w:val="single" w:sz="4" w:space="0" w:color="auto"/>
              <w:right w:val="single" w:sz="4" w:space="0" w:color="auto"/>
            </w:tcBorders>
            <w:vAlign w:val="center"/>
          </w:tcPr>
          <w:p w14:paraId="1C1F1B40"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188,948.93</w:t>
            </w:r>
          </w:p>
        </w:tc>
        <w:tc>
          <w:tcPr>
            <w:tcW w:w="750" w:type="pct"/>
            <w:tcBorders>
              <w:top w:val="single" w:sz="4" w:space="0" w:color="auto"/>
              <w:left w:val="single" w:sz="4" w:space="0" w:color="auto"/>
              <w:bottom w:val="single" w:sz="4" w:space="0" w:color="auto"/>
              <w:right w:val="single" w:sz="4" w:space="0" w:color="auto"/>
            </w:tcBorders>
            <w:vAlign w:val="center"/>
          </w:tcPr>
          <w:p w14:paraId="7065269C"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0.23</w:t>
            </w:r>
          </w:p>
        </w:tc>
      </w:tr>
      <w:tr w:rsidR="00F27890" w14:paraId="72213B9E"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4493742"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71</w:t>
            </w:r>
          </w:p>
        </w:tc>
        <w:tc>
          <w:tcPr>
            <w:tcW w:w="750" w:type="pct"/>
            <w:tcBorders>
              <w:top w:val="single" w:sz="4" w:space="0" w:color="auto"/>
              <w:left w:val="single" w:sz="4" w:space="0" w:color="auto"/>
              <w:bottom w:val="single" w:sz="4" w:space="0" w:color="auto"/>
              <w:right w:val="single" w:sz="4" w:space="0" w:color="auto"/>
            </w:tcBorders>
            <w:vAlign w:val="center"/>
          </w:tcPr>
          <w:p w14:paraId="27D9AEE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127084</w:t>
            </w:r>
          </w:p>
        </w:tc>
        <w:tc>
          <w:tcPr>
            <w:tcW w:w="750" w:type="pct"/>
            <w:tcBorders>
              <w:top w:val="single" w:sz="4" w:space="0" w:color="auto"/>
              <w:left w:val="single" w:sz="4" w:space="0" w:color="auto"/>
              <w:bottom w:val="single" w:sz="4" w:space="0" w:color="auto"/>
              <w:right w:val="single" w:sz="4" w:space="0" w:color="auto"/>
            </w:tcBorders>
            <w:vAlign w:val="center"/>
          </w:tcPr>
          <w:p w14:paraId="65188CA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柳工转</w:t>
            </w: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14:paraId="79D95C67"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174,700.96</w:t>
            </w:r>
          </w:p>
        </w:tc>
        <w:tc>
          <w:tcPr>
            <w:tcW w:w="750" w:type="pct"/>
            <w:tcBorders>
              <w:top w:val="single" w:sz="4" w:space="0" w:color="auto"/>
              <w:left w:val="single" w:sz="4" w:space="0" w:color="auto"/>
              <w:bottom w:val="single" w:sz="4" w:space="0" w:color="auto"/>
              <w:right w:val="single" w:sz="4" w:space="0" w:color="auto"/>
            </w:tcBorders>
            <w:vAlign w:val="center"/>
          </w:tcPr>
          <w:p w14:paraId="22BAC4EB"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rsidR="00F27890" w14:paraId="5C90556E"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FF90AD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72</w:t>
            </w:r>
          </w:p>
        </w:tc>
        <w:tc>
          <w:tcPr>
            <w:tcW w:w="750" w:type="pct"/>
            <w:tcBorders>
              <w:top w:val="single" w:sz="4" w:space="0" w:color="auto"/>
              <w:left w:val="single" w:sz="4" w:space="0" w:color="auto"/>
              <w:bottom w:val="single" w:sz="4" w:space="0" w:color="auto"/>
              <w:right w:val="single" w:sz="4" w:space="0" w:color="auto"/>
            </w:tcBorders>
            <w:vAlign w:val="center"/>
          </w:tcPr>
          <w:p w14:paraId="1021D06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113629</w:t>
            </w:r>
          </w:p>
        </w:tc>
        <w:tc>
          <w:tcPr>
            <w:tcW w:w="750" w:type="pct"/>
            <w:tcBorders>
              <w:top w:val="single" w:sz="4" w:space="0" w:color="auto"/>
              <w:left w:val="single" w:sz="4" w:space="0" w:color="auto"/>
              <w:bottom w:val="single" w:sz="4" w:space="0" w:color="auto"/>
              <w:right w:val="single" w:sz="4" w:space="0" w:color="auto"/>
            </w:tcBorders>
            <w:vAlign w:val="center"/>
          </w:tcPr>
          <w:p w14:paraId="7C456B8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泉峰转债</w:t>
            </w:r>
          </w:p>
        </w:tc>
        <w:tc>
          <w:tcPr>
            <w:tcW w:w="750" w:type="pct"/>
            <w:tcBorders>
              <w:top w:val="single" w:sz="4" w:space="0" w:color="auto"/>
              <w:left w:val="single" w:sz="4" w:space="0" w:color="auto"/>
              <w:bottom w:val="single" w:sz="4" w:space="0" w:color="auto"/>
              <w:right w:val="single" w:sz="4" w:space="0" w:color="auto"/>
            </w:tcBorders>
            <w:vAlign w:val="center"/>
          </w:tcPr>
          <w:p w14:paraId="0E3A8E35"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136,316.53</w:t>
            </w:r>
          </w:p>
        </w:tc>
        <w:tc>
          <w:tcPr>
            <w:tcW w:w="750" w:type="pct"/>
            <w:tcBorders>
              <w:top w:val="single" w:sz="4" w:space="0" w:color="auto"/>
              <w:left w:val="single" w:sz="4" w:space="0" w:color="auto"/>
              <w:bottom w:val="single" w:sz="4" w:space="0" w:color="auto"/>
              <w:right w:val="single" w:sz="4" w:space="0" w:color="auto"/>
            </w:tcBorders>
            <w:vAlign w:val="center"/>
          </w:tcPr>
          <w:p w14:paraId="776E466A"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rsidR="00F27890" w14:paraId="373B0374"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82A3FC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73</w:t>
            </w:r>
          </w:p>
        </w:tc>
        <w:tc>
          <w:tcPr>
            <w:tcW w:w="750" w:type="pct"/>
            <w:tcBorders>
              <w:top w:val="single" w:sz="4" w:space="0" w:color="auto"/>
              <w:left w:val="single" w:sz="4" w:space="0" w:color="auto"/>
              <w:bottom w:val="single" w:sz="4" w:space="0" w:color="auto"/>
              <w:right w:val="single" w:sz="4" w:space="0" w:color="auto"/>
            </w:tcBorders>
            <w:vAlign w:val="center"/>
          </w:tcPr>
          <w:p w14:paraId="77DE189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118043</w:t>
            </w:r>
          </w:p>
        </w:tc>
        <w:tc>
          <w:tcPr>
            <w:tcW w:w="750" w:type="pct"/>
            <w:tcBorders>
              <w:top w:val="single" w:sz="4" w:space="0" w:color="auto"/>
              <w:left w:val="single" w:sz="4" w:space="0" w:color="auto"/>
              <w:bottom w:val="single" w:sz="4" w:space="0" w:color="auto"/>
              <w:right w:val="single" w:sz="4" w:space="0" w:color="auto"/>
            </w:tcBorders>
            <w:vAlign w:val="center"/>
          </w:tcPr>
          <w:p w14:paraId="1E638FB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福立转债</w:t>
            </w:r>
          </w:p>
        </w:tc>
        <w:tc>
          <w:tcPr>
            <w:tcW w:w="750" w:type="pct"/>
            <w:tcBorders>
              <w:top w:val="single" w:sz="4" w:space="0" w:color="auto"/>
              <w:left w:val="single" w:sz="4" w:space="0" w:color="auto"/>
              <w:bottom w:val="single" w:sz="4" w:space="0" w:color="auto"/>
              <w:right w:val="single" w:sz="4" w:space="0" w:color="auto"/>
            </w:tcBorders>
            <w:vAlign w:val="center"/>
          </w:tcPr>
          <w:p w14:paraId="6C8D0E02"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130,402.36</w:t>
            </w:r>
          </w:p>
        </w:tc>
        <w:tc>
          <w:tcPr>
            <w:tcW w:w="750" w:type="pct"/>
            <w:tcBorders>
              <w:top w:val="single" w:sz="4" w:space="0" w:color="auto"/>
              <w:left w:val="single" w:sz="4" w:space="0" w:color="auto"/>
              <w:bottom w:val="single" w:sz="4" w:space="0" w:color="auto"/>
              <w:right w:val="single" w:sz="4" w:space="0" w:color="auto"/>
            </w:tcBorders>
            <w:vAlign w:val="center"/>
          </w:tcPr>
          <w:p w14:paraId="7A5F5B35"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F27890" w14:paraId="03FB0D2A"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E00551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74</w:t>
            </w:r>
          </w:p>
        </w:tc>
        <w:tc>
          <w:tcPr>
            <w:tcW w:w="750" w:type="pct"/>
            <w:tcBorders>
              <w:top w:val="single" w:sz="4" w:space="0" w:color="auto"/>
              <w:left w:val="single" w:sz="4" w:space="0" w:color="auto"/>
              <w:bottom w:val="single" w:sz="4" w:space="0" w:color="auto"/>
              <w:right w:val="single" w:sz="4" w:space="0" w:color="auto"/>
            </w:tcBorders>
            <w:vAlign w:val="center"/>
          </w:tcPr>
          <w:p w14:paraId="1DCCB53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118045</w:t>
            </w:r>
          </w:p>
        </w:tc>
        <w:tc>
          <w:tcPr>
            <w:tcW w:w="750" w:type="pct"/>
            <w:tcBorders>
              <w:top w:val="single" w:sz="4" w:space="0" w:color="auto"/>
              <w:left w:val="single" w:sz="4" w:space="0" w:color="auto"/>
              <w:bottom w:val="single" w:sz="4" w:space="0" w:color="auto"/>
              <w:right w:val="single" w:sz="4" w:space="0" w:color="auto"/>
            </w:tcBorders>
            <w:vAlign w:val="center"/>
          </w:tcPr>
          <w:p w14:paraId="5151980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盟升转债</w:t>
            </w:r>
          </w:p>
        </w:tc>
        <w:tc>
          <w:tcPr>
            <w:tcW w:w="750" w:type="pct"/>
            <w:tcBorders>
              <w:top w:val="single" w:sz="4" w:space="0" w:color="auto"/>
              <w:left w:val="single" w:sz="4" w:space="0" w:color="auto"/>
              <w:bottom w:val="single" w:sz="4" w:space="0" w:color="auto"/>
              <w:right w:val="single" w:sz="4" w:space="0" w:color="auto"/>
            </w:tcBorders>
            <w:vAlign w:val="center"/>
          </w:tcPr>
          <w:p w14:paraId="424277EC"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123,045.73</w:t>
            </w:r>
          </w:p>
        </w:tc>
        <w:tc>
          <w:tcPr>
            <w:tcW w:w="750" w:type="pct"/>
            <w:tcBorders>
              <w:top w:val="single" w:sz="4" w:space="0" w:color="auto"/>
              <w:left w:val="single" w:sz="4" w:space="0" w:color="auto"/>
              <w:bottom w:val="single" w:sz="4" w:space="0" w:color="auto"/>
              <w:right w:val="single" w:sz="4" w:space="0" w:color="auto"/>
            </w:tcBorders>
            <w:vAlign w:val="center"/>
          </w:tcPr>
          <w:p w14:paraId="0AFF6CBC"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rsidR="00F27890" w14:paraId="793FAA5A"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134C5D2"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75</w:t>
            </w:r>
          </w:p>
        </w:tc>
        <w:tc>
          <w:tcPr>
            <w:tcW w:w="750" w:type="pct"/>
            <w:tcBorders>
              <w:top w:val="single" w:sz="4" w:space="0" w:color="auto"/>
              <w:left w:val="single" w:sz="4" w:space="0" w:color="auto"/>
              <w:bottom w:val="single" w:sz="4" w:space="0" w:color="auto"/>
              <w:right w:val="single" w:sz="4" w:space="0" w:color="auto"/>
            </w:tcBorders>
            <w:vAlign w:val="center"/>
          </w:tcPr>
          <w:p w14:paraId="7095E0A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128141</w:t>
            </w:r>
          </w:p>
        </w:tc>
        <w:tc>
          <w:tcPr>
            <w:tcW w:w="750" w:type="pct"/>
            <w:tcBorders>
              <w:top w:val="single" w:sz="4" w:space="0" w:color="auto"/>
              <w:left w:val="single" w:sz="4" w:space="0" w:color="auto"/>
              <w:bottom w:val="single" w:sz="4" w:space="0" w:color="auto"/>
              <w:right w:val="single" w:sz="4" w:space="0" w:color="auto"/>
            </w:tcBorders>
            <w:vAlign w:val="center"/>
          </w:tcPr>
          <w:p w14:paraId="40D85EE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旺能转债</w:t>
            </w:r>
          </w:p>
        </w:tc>
        <w:tc>
          <w:tcPr>
            <w:tcW w:w="750" w:type="pct"/>
            <w:tcBorders>
              <w:top w:val="single" w:sz="4" w:space="0" w:color="auto"/>
              <w:left w:val="single" w:sz="4" w:space="0" w:color="auto"/>
              <w:bottom w:val="single" w:sz="4" w:space="0" w:color="auto"/>
              <w:right w:val="single" w:sz="4" w:space="0" w:color="auto"/>
            </w:tcBorders>
            <w:vAlign w:val="center"/>
          </w:tcPr>
          <w:p w14:paraId="47BE9878"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115,635.74</w:t>
            </w:r>
          </w:p>
        </w:tc>
        <w:tc>
          <w:tcPr>
            <w:tcW w:w="750" w:type="pct"/>
            <w:tcBorders>
              <w:top w:val="single" w:sz="4" w:space="0" w:color="auto"/>
              <w:left w:val="single" w:sz="4" w:space="0" w:color="auto"/>
              <w:bottom w:val="single" w:sz="4" w:space="0" w:color="auto"/>
              <w:right w:val="single" w:sz="4" w:space="0" w:color="auto"/>
            </w:tcBorders>
            <w:vAlign w:val="center"/>
          </w:tcPr>
          <w:p w14:paraId="75EBFC6C"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rsidR="00F27890" w14:paraId="1D134D3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A7726E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76</w:t>
            </w:r>
          </w:p>
        </w:tc>
        <w:tc>
          <w:tcPr>
            <w:tcW w:w="750" w:type="pct"/>
            <w:tcBorders>
              <w:top w:val="single" w:sz="4" w:space="0" w:color="auto"/>
              <w:left w:val="single" w:sz="4" w:space="0" w:color="auto"/>
              <w:bottom w:val="single" w:sz="4" w:space="0" w:color="auto"/>
              <w:right w:val="single" w:sz="4" w:space="0" w:color="auto"/>
            </w:tcBorders>
            <w:vAlign w:val="center"/>
          </w:tcPr>
          <w:p w14:paraId="681CF8A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113678</w:t>
            </w:r>
          </w:p>
        </w:tc>
        <w:tc>
          <w:tcPr>
            <w:tcW w:w="750" w:type="pct"/>
            <w:tcBorders>
              <w:top w:val="single" w:sz="4" w:space="0" w:color="auto"/>
              <w:left w:val="single" w:sz="4" w:space="0" w:color="auto"/>
              <w:bottom w:val="single" w:sz="4" w:space="0" w:color="auto"/>
              <w:right w:val="single" w:sz="4" w:space="0" w:color="auto"/>
            </w:tcBorders>
            <w:vAlign w:val="center"/>
          </w:tcPr>
          <w:p w14:paraId="3A7D4052"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中贝转债</w:t>
            </w:r>
          </w:p>
        </w:tc>
        <w:tc>
          <w:tcPr>
            <w:tcW w:w="750" w:type="pct"/>
            <w:tcBorders>
              <w:top w:val="single" w:sz="4" w:space="0" w:color="auto"/>
              <w:left w:val="single" w:sz="4" w:space="0" w:color="auto"/>
              <w:bottom w:val="single" w:sz="4" w:space="0" w:color="auto"/>
              <w:right w:val="single" w:sz="4" w:space="0" w:color="auto"/>
            </w:tcBorders>
            <w:vAlign w:val="center"/>
          </w:tcPr>
          <w:p w14:paraId="72194F18"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114,526.54</w:t>
            </w:r>
          </w:p>
        </w:tc>
        <w:tc>
          <w:tcPr>
            <w:tcW w:w="750" w:type="pct"/>
            <w:tcBorders>
              <w:top w:val="single" w:sz="4" w:space="0" w:color="auto"/>
              <w:left w:val="single" w:sz="4" w:space="0" w:color="auto"/>
              <w:bottom w:val="single" w:sz="4" w:space="0" w:color="auto"/>
              <w:right w:val="single" w:sz="4" w:space="0" w:color="auto"/>
            </w:tcBorders>
            <w:vAlign w:val="center"/>
          </w:tcPr>
          <w:p w14:paraId="4FFC4C98"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rsidR="00F27890" w14:paraId="2A9D5013"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8871E31"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77</w:t>
            </w:r>
          </w:p>
        </w:tc>
        <w:tc>
          <w:tcPr>
            <w:tcW w:w="750" w:type="pct"/>
            <w:tcBorders>
              <w:top w:val="single" w:sz="4" w:space="0" w:color="auto"/>
              <w:left w:val="single" w:sz="4" w:space="0" w:color="auto"/>
              <w:bottom w:val="single" w:sz="4" w:space="0" w:color="auto"/>
              <w:right w:val="single" w:sz="4" w:space="0" w:color="auto"/>
            </w:tcBorders>
            <w:vAlign w:val="center"/>
          </w:tcPr>
          <w:p w14:paraId="429DE90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113058</w:t>
            </w:r>
          </w:p>
        </w:tc>
        <w:tc>
          <w:tcPr>
            <w:tcW w:w="750" w:type="pct"/>
            <w:tcBorders>
              <w:top w:val="single" w:sz="4" w:space="0" w:color="auto"/>
              <w:left w:val="single" w:sz="4" w:space="0" w:color="auto"/>
              <w:bottom w:val="single" w:sz="4" w:space="0" w:color="auto"/>
              <w:right w:val="single" w:sz="4" w:space="0" w:color="auto"/>
            </w:tcBorders>
            <w:vAlign w:val="center"/>
          </w:tcPr>
          <w:p w14:paraId="3F01D0B1"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XD</w:t>
            </w:r>
            <w:r>
              <w:rPr>
                <w:rFonts w:ascii="Times New Roman" w:hAnsi="Times New Roman"/>
                <w:color w:val="000000"/>
                <w:kern w:val="0"/>
                <w:sz w:val="25"/>
                <w:szCs w:val="24"/>
              </w:rPr>
              <w:t>友发转</w:t>
            </w:r>
          </w:p>
        </w:tc>
        <w:tc>
          <w:tcPr>
            <w:tcW w:w="750" w:type="pct"/>
            <w:tcBorders>
              <w:top w:val="single" w:sz="4" w:space="0" w:color="auto"/>
              <w:left w:val="single" w:sz="4" w:space="0" w:color="auto"/>
              <w:bottom w:val="single" w:sz="4" w:space="0" w:color="auto"/>
              <w:right w:val="single" w:sz="4" w:space="0" w:color="auto"/>
            </w:tcBorders>
            <w:vAlign w:val="center"/>
          </w:tcPr>
          <w:p w14:paraId="43AFE8A6"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107,535.65</w:t>
            </w:r>
          </w:p>
        </w:tc>
        <w:tc>
          <w:tcPr>
            <w:tcW w:w="750" w:type="pct"/>
            <w:tcBorders>
              <w:top w:val="single" w:sz="4" w:space="0" w:color="auto"/>
              <w:left w:val="single" w:sz="4" w:space="0" w:color="auto"/>
              <w:bottom w:val="single" w:sz="4" w:space="0" w:color="auto"/>
              <w:right w:val="single" w:sz="4" w:space="0" w:color="auto"/>
            </w:tcBorders>
            <w:vAlign w:val="center"/>
          </w:tcPr>
          <w:p w14:paraId="4E7CF3AF" w14:textId="77777777" w:rsidR="00F27890" w:rsidRDefault="00027971">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bl>
    <w:p w14:paraId="7015B80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14:paraId="0C41B73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14:paraId="501D93C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14:paraId="19BA8C3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14:paraId="24A0D9F1" w14:textId="77777777" w:rsidR="00F27890" w:rsidRDefault="00027971">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49D5B77C" w14:textId="77777777" w:rsidR="00F27890" w:rsidRDefault="00027971">
      <w:pPr>
        <w:pStyle w:val="1"/>
        <w:snapToGrid w:val="0"/>
        <w:spacing w:beforeLines="0" w:before="240" w:after="240"/>
        <w:rPr>
          <w:rFonts w:ascii="宋体" w:hAnsi="宋体"/>
          <w:szCs w:val="30"/>
        </w:rPr>
      </w:pPr>
      <w:bookmarkStart w:id="16" w:name="_Toc200977058"/>
      <w:r>
        <w:rPr>
          <w:rFonts w:ascii="Times New Roman" w:hAnsi="Times New Roman"/>
          <w:sz w:val="30"/>
        </w:rPr>
        <w:t>十一、基金的业绩</w:t>
      </w:r>
      <w:bookmarkEnd w:id="16"/>
    </w:p>
    <w:p w14:paraId="26ECEE1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基金业绩截止日为2025年03月31日，所载财务数据未经审计师审计。</w:t>
      </w:r>
    </w:p>
    <w:p w14:paraId="6A7673E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14:paraId="5D48F0F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14:paraId="5251B06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（1）交银可转债债券A：</w:t>
      </w:r>
    </w:p>
    <w:tbl>
      <w:tblPr>
        <w:tblW w:w="5000" w:type="pct"/>
        <w:tblCellMar>
          <w:left w:w="0" w:type="dxa"/>
          <w:right w:w="0" w:type="dxa"/>
        </w:tblCellMar>
        <w:tblLook w:val="04A0" w:firstRow="1" w:lastRow="0" w:firstColumn="1" w:lastColumn="0" w:noHBand="0" w:noVBand="1"/>
      </w:tblPr>
      <w:tblGrid>
        <w:gridCol w:w="1300"/>
        <w:gridCol w:w="1300"/>
        <w:gridCol w:w="1300"/>
        <w:gridCol w:w="1301"/>
        <w:gridCol w:w="1301"/>
        <w:gridCol w:w="1301"/>
        <w:gridCol w:w="867"/>
      </w:tblGrid>
      <w:tr w:rsidR="00F27890" w14:paraId="48C9D3AB"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22E8B2B0"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14:paraId="541BD2EB"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14:paraId="4A775810"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14:paraId="5F7A3DB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14:paraId="6F9EA8D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14:paraId="34C10B24"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14:paraId="6CD52A6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F27890" w14:paraId="55ACE0B9"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01CA1DF8"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14:paraId="41EC5436"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5.23%</w:t>
            </w:r>
          </w:p>
        </w:tc>
        <w:tc>
          <w:tcPr>
            <w:tcW w:w="750" w:type="pct"/>
            <w:tcBorders>
              <w:top w:val="single" w:sz="4" w:space="0" w:color="auto"/>
              <w:left w:val="single" w:sz="4" w:space="0" w:color="auto"/>
              <w:bottom w:val="single" w:sz="4" w:space="0" w:color="auto"/>
              <w:right w:val="single" w:sz="4" w:space="0" w:color="auto"/>
            </w:tcBorders>
            <w:vAlign w:val="center"/>
          </w:tcPr>
          <w:p w14:paraId="22678066"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c>
          <w:tcPr>
            <w:tcW w:w="750" w:type="pct"/>
            <w:tcBorders>
              <w:top w:val="single" w:sz="4" w:space="0" w:color="auto"/>
              <w:left w:val="single" w:sz="4" w:space="0" w:color="auto"/>
              <w:bottom w:val="single" w:sz="4" w:space="0" w:color="auto"/>
              <w:right w:val="single" w:sz="4" w:space="0" w:color="auto"/>
            </w:tcBorders>
            <w:vAlign w:val="center"/>
          </w:tcPr>
          <w:p w14:paraId="77B59F4B"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1.84%</w:t>
            </w:r>
          </w:p>
        </w:tc>
        <w:tc>
          <w:tcPr>
            <w:tcW w:w="750" w:type="pct"/>
            <w:tcBorders>
              <w:top w:val="single" w:sz="4" w:space="0" w:color="auto"/>
              <w:left w:val="single" w:sz="4" w:space="0" w:color="auto"/>
              <w:bottom w:val="single" w:sz="4" w:space="0" w:color="auto"/>
              <w:right w:val="single" w:sz="4" w:space="0" w:color="auto"/>
            </w:tcBorders>
            <w:vAlign w:val="center"/>
          </w:tcPr>
          <w:p w14:paraId="0DAD0313"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c>
          <w:tcPr>
            <w:tcW w:w="750" w:type="pct"/>
            <w:tcBorders>
              <w:top w:val="single" w:sz="4" w:space="0" w:color="auto"/>
              <w:left w:val="single" w:sz="4" w:space="0" w:color="auto"/>
              <w:bottom w:val="single" w:sz="4" w:space="0" w:color="auto"/>
              <w:right w:val="single" w:sz="4" w:space="0" w:color="auto"/>
            </w:tcBorders>
            <w:vAlign w:val="center"/>
          </w:tcPr>
          <w:p w14:paraId="415BA913"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3.39%</w:t>
            </w:r>
          </w:p>
        </w:tc>
        <w:tc>
          <w:tcPr>
            <w:tcW w:w="750" w:type="pct"/>
            <w:tcBorders>
              <w:top w:val="single" w:sz="4" w:space="0" w:color="auto"/>
              <w:left w:val="single" w:sz="4" w:space="0" w:color="auto"/>
              <w:bottom w:val="single" w:sz="4" w:space="0" w:color="auto"/>
              <w:right w:val="single" w:sz="4" w:space="0" w:color="auto"/>
            </w:tcBorders>
            <w:vAlign w:val="center"/>
          </w:tcPr>
          <w:p w14:paraId="74720814"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r>
      <w:tr w:rsidR="00F27890" w14:paraId="6E347A02"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643603FA"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074387CF"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7.06%</w:t>
            </w:r>
          </w:p>
        </w:tc>
        <w:tc>
          <w:tcPr>
            <w:tcW w:w="750" w:type="pct"/>
            <w:tcBorders>
              <w:top w:val="single" w:sz="4" w:space="0" w:color="auto"/>
              <w:left w:val="single" w:sz="4" w:space="0" w:color="auto"/>
              <w:bottom w:val="single" w:sz="4" w:space="0" w:color="auto"/>
              <w:right w:val="single" w:sz="4" w:space="0" w:color="auto"/>
            </w:tcBorders>
            <w:vAlign w:val="center"/>
          </w:tcPr>
          <w:p w14:paraId="44BDB896"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1.23%</w:t>
            </w:r>
          </w:p>
        </w:tc>
        <w:tc>
          <w:tcPr>
            <w:tcW w:w="750" w:type="pct"/>
            <w:tcBorders>
              <w:top w:val="single" w:sz="4" w:space="0" w:color="auto"/>
              <w:left w:val="single" w:sz="4" w:space="0" w:color="auto"/>
              <w:bottom w:val="single" w:sz="4" w:space="0" w:color="auto"/>
              <w:right w:val="single" w:sz="4" w:space="0" w:color="auto"/>
            </w:tcBorders>
            <w:vAlign w:val="center"/>
          </w:tcPr>
          <w:p w14:paraId="3D5F28A9"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6.89%</w:t>
            </w:r>
          </w:p>
        </w:tc>
        <w:tc>
          <w:tcPr>
            <w:tcW w:w="750" w:type="pct"/>
            <w:tcBorders>
              <w:top w:val="single" w:sz="4" w:space="0" w:color="auto"/>
              <w:left w:val="single" w:sz="4" w:space="0" w:color="auto"/>
              <w:bottom w:val="single" w:sz="4" w:space="0" w:color="auto"/>
              <w:right w:val="single" w:sz="4" w:space="0" w:color="auto"/>
            </w:tcBorders>
            <w:vAlign w:val="center"/>
          </w:tcPr>
          <w:p w14:paraId="06A7B0E4"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sz="4" w:space="0" w:color="auto"/>
              <w:left w:val="single" w:sz="4" w:space="0" w:color="auto"/>
              <w:bottom w:val="single" w:sz="4" w:space="0" w:color="auto"/>
              <w:right w:val="single" w:sz="4" w:space="0" w:color="auto"/>
            </w:tcBorders>
            <w:vAlign w:val="center"/>
          </w:tcPr>
          <w:p w14:paraId="6A39D7F8"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14:paraId="481F2753"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r>
      <w:tr w:rsidR="00F27890" w14:paraId="11D7CFC3"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6E399D47"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3353A50E"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-3.02%</w:t>
            </w:r>
          </w:p>
        </w:tc>
        <w:tc>
          <w:tcPr>
            <w:tcW w:w="750" w:type="pct"/>
            <w:tcBorders>
              <w:top w:val="single" w:sz="4" w:space="0" w:color="auto"/>
              <w:left w:val="single" w:sz="4" w:space="0" w:color="auto"/>
              <w:bottom w:val="single" w:sz="4" w:space="0" w:color="auto"/>
              <w:right w:val="single" w:sz="4" w:space="0" w:color="auto"/>
            </w:tcBorders>
            <w:vAlign w:val="center"/>
          </w:tcPr>
          <w:p w14:paraId="2AEFD218"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14:paraId="4D5BAB8C"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-1.06%</w:t>
            </w:r>
          </w:p>
        </w:tc>
        <w:tc>
          <w:tcPr>
            <w:tcW w:w="750" w:type="pct"/>
            <w:tcBorders>
              <w:top w:val="single" w:sz="4" w:space="0" w:color="auto"/>
              <w:left w:val="single" w:sz="4" w:space="0" w:color="auto"/>
              <w:bottom w:val="single" w:sz="4" w:space="0" w:color="auto"/>
              <w:right w:val="single" w:sz="4" w:space="0" w:color="auto"/>
            </w:tcBorders>
            <w:vAlign w:val="center"/>
          </w:tcPr>
          <w:p w14:paraId="50D108FA"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14:paraId="7E5246F8"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-1.96%</w:t>
            </w:r>
          </w:p>
        </w:tc>
        <w:tc>
          <w:tcPr>
            <w:tcW w:w="750" w:type="pct"/>
            <w:tcBorders>
              <w:top w:val="single" w:sz="4" w:space="0" w:color="auto"/>
              <w:left w:val="single" w:sz="4" w:space="0" w:color="auto"/>
              <w:bottom w:val="single" w:sz="4" w:space="0" w:color="auto"/>
              <w:right w:val="single" w:sz="4" w:space="0" w:color="auto"/>
            </w:tcBorders>
            <w:vAlign w:val="center"/>
          </w:tcPr>
          <w:p w14:paraId="3579845E"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r>
      <w:tr w:rsidR="00F27890" w14:paraId="106AEFDD"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1F4A1581"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7827A909"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-17.82%</w:t>
            </w:r>
          </w:p>
        </w:tc>
        <w:tc>
          <w:tcPr>
            <w:tcW w:w="750" w:type="pct"/>
            <w:tcBorders>
              <w:top w:val="single" w:sz="4" w:space="0" w:color="auto"/>
              <w:left w:val="single" w:sz="4" w:space="0" w:color="auto"/>
              <w:bottom w:val="single" w:sz="4" w:space="0" w:color="auto"/>
              <w:right w:val="single" w:sz="4" w:space="0" w:color="auto"/>
            </w:tcBorders>
            <w:vAlign w:val="center"/>
          </w:tcPr>
          <w:p w14:paraId="248CC0CC"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14:paraId="46CD15C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-9.11%</w:t>
            </w:r>
          </w:p>
        </w:tc>
        <w:tc>
          <w:tcPr>
            <w:tcW w:w="750" w:type="pct"/>
            <w:tcBorders>
              <w:top w:val="single" w:sz="4" w:space="0" w:color="auto"/>
              <w:left w:val="single" w:sz="4" w:space="0" w:color="auto"/>
              <w:bottom w:val="single" w:sz="4" w:space="0" w:color="auto"/>
              <w:right w:val="single" w:sz="4" w:space="0" w:color="auto"/>
            </w:tcBorders>
            <w:vAlign w:val="center"/>
          </w:tcPr>
          <w:p w14:paraId="44C9013B"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sz="4" w:space="0" w:color="auto"/>
              <w:left w:val="single" w:sz="4" w:space="0" w:color="auto"/>
              <w:bottom w:val="single" w:sz="4" w:space="0" w:color="auto"/>
              <w:right w:val="single" w:sz="4" w:space="0" w:color="auto"/>
            </w:tcBorders>
            <w:vAlign w:val="center"/>
          </w:tcPr>
          <w:p w14:paraId="6E410607"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-8.71%</w:t>
            </w:r>
          </w:p>
        </w:tc>
        <w:tc>
          <w:tcPr>
            <w:tcW w:w="750" w:type="pct"/>
            <w:tcBorders>
              <w:top w:val="single" w:sz="4" w:space="0" w:color="auto"/>
              <w:left w:val="single" w:sz="4" w:space="0" w:color="auto"/>
              <w:bottom w:val="single" w:sz="4" w:space="0" w:color="auto"/>
              <w:right w:val="single" w:sz="4" w:space="0" w:color="auto"/>
            </w:tcBorders>
            <w:vAlign w:val="center"/>
          </w:tcPr>
          <w:p w14:paraId="4F913354"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r>
      <w:tr w:rsidR="00F27890" w14:paraId="50685304"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7180BCA9"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72D29541"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25.54%</w:t>
            </w:r>
          </w:p>
        </w:tc>
        <w:tc>
          <w:tcPr>
            <w:tcW w:w="750" w:type="pct"/>
            <w:tcBorders>
              <w:top w:val="single" w:sz="4" w:space="0" w:color="auto"/>
              <w:left w:val="single" w:sz="4" w:space="0" w:color="auto"/>
              <w:bottom w:val="single" w:sz="4" w:space="0" w:color="auto"/>
              <w:right w:val="single" w:sz="4" w:space="0" w:color="auto"/>
            </w:tcBorders>
            <w:vAlign w:val="center"/>
          </w:tcPr>
          <w:p w14:paraId="13B4D42E"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0.90%</w:t>
            </w:r>
          </w:p>
        </w:tc>
        <w:tc>
          <w:tcPr>
            <w:tcW w:w="750" w:type="pct"/>
            <w:tcBorders>
              <w:top w:val="single" w:sz="4" w:space="0" w:color="auto"/>
              <w:left w:val="single" w:sz="4" w:space="0" w:color="auto"/>
              <w:bottom w:val="single" w:sz="4" w:space="0" w:color="auto"/>
              <w:right w:val="single" w:sz="4" w:space="0" w:color="auto"/>
            </w:tcBorders>
            <w:vAlign w:val="center"/>
          </w:tcPr>
          <w:p w14:paraId="1B3C9C0A"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12.66%</w:t>
            </w:r>
          </w:p>
        </w:tc>
        <w:tc>
          <w:tcPr>
            <w:tcW w:w="750" w:type="pct"/>
            <w:tcBorders>
              <w:top w:val="single" w:sz="4" w:space="0" w:color="auto"/>
              <w:left w:val="single" w:sz="4" w:space="0" w:color="auto"/>
              <w:bottom w:val="single" w:sz="4" w:space="0" w:color="auto"/>
              <w:right w:val="single" w:sz="4" w:space="0" w:color="auto"/>
            </w:tcBorders>
            <w:vAlign w:val="center"/>
          </w:tcPr>
          <w:p w14:paraId="7F3AEF5D"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14:paraId="12FDCAC8"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12.88%</w:t>
            </w:r>
          </w:p>
        </w:tc>
        <w:tc>
          <w:tcPr>
            <w:tcW w:w="750" w:type="pct"/>
            <w:tcBorders>
              <w:top w:val="single" w:sz="4" w:space="0" w:color="auto"/>
              <w:left w:val="single" w:sz="4" w:space="0" w:color="auto"/>
              <w:bottom w:val="single" w:sz="4" w:space="0" w:color="auto"/>
              <w:right w:val="single" w:sz="4" w:space="0" w:color="auto"/>
            </w:tcBorders>
            <w:vAlign w:val="center"/>
          </w:tcPr>
          <w:p w14:paraId="2D59283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r>
      <w:tr w:rsidR="00F27890" w14:paraId="772F5D27"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4D45B18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05B818D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20.83%</w:t>
            </w:r>
          </w:p>
        </w:tc>
        <w:tc>
          <w:tcPr>
            <w:tcW w:w="750" w:type="pct"/>
            <w:tcBorders>
              <w:top w:val="single" w:sz="4" w:space="0" w:color="auto"/>
              <w:left w:val="single" w:sz="4" w:space="0" w:color="auto"/>
              <w:bottom w:val="single" w:sz="4" w:space="0" w:color="auto"/>
              <w:right w:val="single" w:sz="4" w:space="0" w:color="auto"/>
            </w:tcBorders>
            <w:vAlign w:val="center"/>
          </w:tcPr>
          <w:p w14:paraId="029D4ADF"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14:paraId="674DF5EC"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6.39%</w:t>
            </w:r>
          </w:p>
        </w:tc>
        <w:tc>
          <w:tcPr>
            <w:tcW w:w="750" w:type="pct"/>
            <w:tcBorders>
              <w:top w:val="single" w:sz="4" w:space="0" w:color="auto"/>
              <w:left w:val="single" w:sz="4" w:space="0" w:color="auto"/>
              <w:bottom w:val="single" w:sz="4" w:space="0" w:color="auto"/>
              <w:right w:val="single" w:sz="4" w:space="0" w:color="auto"/>
            </w:tcBorders>
            <w:vAlign w:val="center"/>
          </w:tcPr>
          <w:p w14:paraId="34E03F52"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14:paraId="19E9FC71"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14.44%</w:t>
            </w:r>
          </w:p>
        </w:tc>
        <w:tc>
          <w:tcPr>
            <w:tcW w:w="750" w:type="pct"/>
            <w:tcBorders>
              <w:top w:val="single" w:sz="4" w:space="0" w:color="auto"/>
              <w:left w:val="single" w:sz="4" w:space="0" w:color="auto"/>
              <w:bottom w:val="single" w:sz="4" w:space="0" w:color="auto"/>
              <w:right w:val="single" w:sz="4" w:space="0" w:color="auto"/>
            </w:tcBorders>
            <w:vAlign w:val="center"/>
          </w:tcPr>
          <w:p w14:paraId="408631C0"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r>
      <w:tr w:rsidR="00F27890" w14:paraId="1DA1CFF2"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6F15892A"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14:paraId="283C14F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6.13%</w:t>
            </w:r>
          </w:p>
        </w:tc>
        <w:tc>
          <w:tcPr>
            <w:tcW w:w="750" w:type="pct"/>
            <w:tcBorders>
              <w:top w:val="single" w:sz="4" w:space="0" w:color="auto"/>
              <w:left w:val="single" w:sz="4" w:space="0" w:color="auto"/>
              <w:bottom w:val="single" w:sz="4" w:space="0" w:color="auto"/>
              <w:right w:val="single" w:sz="4" w:space="0" w:color="auto"/>
            </w:tcBorders>
            <w:vAlign w:val="center"/>
          </w:tcPr>
          <w:p w14:paraId="23FCC8DB"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14:paraId="33B248D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8.57%</w:t>
            </w:r>
          </w:p>
        </w:tc>
        <w:tc>
          <w:tcPr>
            <w:tcW w:w="750" w:type="pct"/>
            <w:tcBorders>
              <w:top w:val="single" w:sz="4" w:space="0" w:color="auto"/>
              <w:left w:val="single" w:sz="4" w:space="0" w:color="auto"/>
              <w:bottom w:val="single" w:sz="4" w:space="0" w:color="auto"/>
              <w:right w:val="single" w:sz="4" w:space="0" w:color="auto"/>
            </w:tcBorders>
            <w:vAlign w:val="center"/>
          </w:tcPr>
          <w:p w14:paraId="59A0F3F6"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14:paraId="0EBC0361"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-2.44%</w:t>
            </w:r>
          </w:p>
        </w:tc>
        <w:tc>
          <w:tcPr>
            <w:tcW w:w="750" w:type="pct"/>
            <w:tcBorders>
              <w:top w:val="single" w:sz="4" w:space="0" w:color="auto"/>
              <w:left w:val="single" w:sz="4" w:space="0" w:color="auto"/>
              <w:bottom w:val="single" w:sz="4" w:space="0" w:color="auto"/>
              <w:right w:val="single" w:sz="4" w:space="0" w:color="auto"/>
            </w:tcBorders>
            <w:vAlign w:val="center"/>
          </w:tcPr>
          <w:p w14:paraId="5DDA6000"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bl>
    <w:p w14:paraId="63B338A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（2）交银可转债债券C：</w:t>
      </w:r>
    </w:p>
    <w:tbl>
      <w:tblPr>
        <w:tblW w:w="5000" w:type="pct"/>
        <w:tblCellMar>
          <w:left w:w="0" w:type="dxa"/>
          <w:right w:w="0" w:type="dxa"/>
        </w:tblCellMar>
        <w:tblLook w:val="04A0" w:firstRow="1" w:lastRow="0" w:firstColumn="1" w:lastColumn="0" w:noHBand="0" w:noVBand="1"/>
      </w:tblPr>
      <w:tblGrid>
        <w:gridCol w:w="1300"/>
        <w:gridCol w:w="1300"/>
        <w:gridCol w:w="1300"/>
        <w:gridCol w:w="1301"/>
        <w:gridCol w:w="1301"/>
        <w:gridCol w:w="1301"/>
        <w:gridCol w:w="867"/>
      </w:tblGrid>
      <w:tr w:rsidR="00F27890" w14:paraId="03999DD0"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6D90376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14:paraId="50AB409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14:paraId="54DAB62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14:paraId="658ADE51"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14:paraId="1B7FB5B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14:paraId="0D6A5990"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14:paraId="43FAB25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F27890" w14:paraId="5208DC4D"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3747E9FD"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14:paraId="5CE855F1"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5.13%</w:t>
            </w:r>
          </w:p>
        </w:tc>
        <w:tc>
          <w:tcPr>
            <w:tcW w:w="750" w:type="pct"/>
            <w:tcBorders>
              <w:top w:val="single" w:sz="4" w:space="0" w:color="auto"/>
              <w:left w:val="single" w:sz="4" w:space="0" w:color="auto"/>
              <w:bottom w:val="single" w:sz="4" w:space="0" w:color="auto"/>
              <w:right w:val="single" w:sz="4" w:space="0" w:color="auto"/>
            </w:tcBorders>
            <w:vAlign w:val="center"/>
          </w:tcPr>
          <w:p w14:paraId="5835DFE2"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c>
          <w:tcPr>
            <w:tcW w:w="750" w:type="pct"/>
            <w:tcBorders>
              <w:top w:val="single" w:sz="4" w:space="0" w:color="auto"/>
              <w:left w:val="single" w:sz="4" w:space="0" w:color="auto"/>
              <w:bottom w:val="single" w:sz="4" w:space="0" w:color="auto"/>
              <w:right w:val="single" w:sz="4" w:space="0" w:color="auto"/>
            </w:tcBorders>
            <w:vAlign w:val="center"/>
          </w:tcPr>
          <w:p w14:paraId="25DAB912"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1.84%</w:t>
            </w:r>
          </w:p>
        </w:tc>
        <w:tc>
          <w:tcPr>
            <w:tcW w:w="750" w:type="pct"/>
            <w:tcBorders>
              <w:top w:val="single" w:sz="4" w:space="0" w:color="auto"/>
              <w:left w:val="single" w:sz="4" w:space="0" w:color="auto"/>
              <w:bottom w:val="single" w:sz="4" w:space="0" w:color="auto"/>
              <w:right w:val="single" w:sz="4" w:space="0" w:color="auto"/>
            </w:tcBorders>
            <w:vAlign w:val="center"/>
          </w:tcPr>
          <w:p w14:paraId="52FAA474"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c>
          <w:tcPr>
            <w:tcW w:w="750" w:type="pct"/>
            <w:tcBorders>
              <w:top w:val="single" w:sz="4" w:space="0" w:color="auto"/>
              <w:left w:val="single" w:sz="4" w:space="0" w:color="auto"/>
              <w:bottom w:val="single" w:sz="4" w:space="0" w:color="auto"/>
              <w:right w:val="single" w:sz="4" w:space="0" w:color="auto"/>
            </w:tcBorders>
            <w:vAlign w:val="center"/>
          </w:tcPr>
          <w:p w14:paraId="7483E9D4"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3.29%</w:t>
            </w:r>
          </w:p>
        </w:tc>
        <w:tc>
          <w:tcPr>
            <w:tcW w:w="750" w:type="pct"/>
            <w:tcBorders>
              <w:top w:val="single" w:sz="4" w:space="0" w:color="auto"/>
              <w:left w:val="single" w:sz="4" w:space="0" w:color="auto"/>
              <w:bottom w:val="single" w:sz="4" w:space="0" w:color="auto"/>
              <w:right w:val="single" w:sz="4" w:space="0" w:color="auto"/>
            </w:tcBorders>
            <w:vAlign w:val="center"/>
          </w:tcPr>
          <w:p w14:paraId="03AE553E"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r>
      <w:tr w:rsidR="00F27890" w14:paraId="1BB6B2B4"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38F85954"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2A87BFD0"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6.63%</w:t>
            </w:r>
          </w:p>
        </w:tc>
        <w:tc>
          <w:tcPr>
            <w:tcW w:w="750" w:type="pct"/>
            <w:tcBorders>
              <w:top w:val="single" w:sz="4" w:space="0" w:color="auto"/>
              <w:left w:val="single" w:sz="4" w:space="0" w:color="auto"/>
              <w:bottom w:val="single" w:sz="4" w:space="0" w:color="auto"/>
              <w:right w:val="single" w:sz="4" w:space="0" w:color="auto"/>
            </w:tcBorders>
            <w:vAlign w:val="center"/>
          </w:tcPr>
          <w:p w14:paraId="34D64F4D"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1.23%</w:t>
            </w:r>
          </w:p>
        </w:tc>
        <w:tc>
          <w:tcPr>
            <w:tcW w:w="750" w:type="pct"/>
            <w:tcBorders>
              <w:top w:val="single" w:sz="4" w:space="0" w:color="auto"/>
              <w:left w:val="single" w:sz="4" w:space="0" w:color="auto"/>
              <w:bottom w:val="single" w:sz="4" w:space="0" w:color="auto"/>
              <w:right w:val="single" w:sz="4" w:space="0" w:color="auto"/>
            </w:tcBorders>
            <w:vAlign w:val="center"/>
          </w:tcPr>
          <w:p w14:paraId="1CAD146B"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6.89%</w:t>
            </w:r>
          </w:p>
        </w:tc>
        <w:tc>
          <w:tcPr>
            <w:tcW w:w="750" w:type="pct"/>
            <w:tcBorders>
              <w:top w:val="single" w:sz="4" w:space="0" w:color="auto"/>
              <w:left w:val="single" w:sz="4" w:space="0" w:color="auto"/>
              <w:bottom w:val="single" w:sz="4" w:space="0" w:color="auto"/>
              <w:right w:val="single" w:sz="4" w:space="0" w:color="auto"/>
            </w:tcBorders>
            <w:vAlign w:val="center"/>
          </w:tcPr>
          <w:p w14:paraId="36F4FF60"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sz="4" w:space="0" w:color="auto"/>
              <w:left w:val="single" w:sz="4" w:space="0" w:color="auto"/>
              <w:bottom w:val="single" w:sz="4" w:space="0" w:color="auto"/>
              <w:right w:val="single" w:sz="4" w:space="0" w:color="auto"/>
            </w:tcBorders>
            <w:vAlign w:val="center"/>
          </w:tcPr>
          <w:p w14:paraId="6FF5C9AF"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14:paraId="4347272D"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r>
      <w:tr w:rsidR="00F27890" w14:paraId="4FD2DA4B"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4AF27690"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52BB3D9D"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-3.40%</w:t>
            </w:r>
          </w:p>
        </w:tc>
        <w:tc>
          <w:tcPr>
            <w:tcW w:w="750" w:type="pct"/>
            <w:tcBorders>
              <w:top w:val="single" w:sz="4" w:space="0" w:color="auto"/>
              <w:left w:val="single" w:sz="4" w:space="0" w:color="auto"/>
              <w:bottom w:val="single" w:sz="4" w:space="0" w:color="auto"/>
              <w:right w:val="single" w:sz="4" w:space="0" w:color="auto"/>
            </w:tcBorders>
            <w:vAlign w:val="center"/>
          </w:tcPr>
          <w:p w14:paraId="74379EED"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14:paraId="14D8E3B6"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-1.06%</w:t>
            </w:r>
          </w:p>
        </w:tc>
        <w:tc>
          <w:tcPr>
            <w:tcW w:w="750" w:type="pct"/>
            <w:tcBorders>
              <w:top w:val="single" w:sz="4" w:space="0" w:color="auto"/>
              <w:left w:val="single" w:sz="4" w:space="0" w:color="auto"/>
              <w:bottom w:val="single" w:sz="4" w:space="0" w:color="auto"/>
              <w:right w:val="single" w:sz="4" w:space="0" w:color="auto"/>
            </w:tcBorders>
            <w:vAlign w:val="center"/>
          </w:tcPr>
          <w:p w14:paraId="5FA46919"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14:paraId="4160D5D3"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-2.34%</w:t>
            </w:r>
          </w:p>
        </w:tc>
        <w:tc>
          <w:tcPr>
            <w:tcW w:w="750" w:type="pct"/>
            <w:tcBorders>
              <w:top w:val="single" w:sz="4" w:space="0" w:color="auto"/>
              <w:left w:val="single" w:sz="4" w:space="0" w:color="auto"/>
              <w:bottom w:val="single" w:sz="4" w:space="0" w:color="auto"/>
              <w:right w:val="single" w:sz="4" w:space="0" w:color="auto"/>
            </w:tcBorders>
            <w:vAlign w:val="center"/>
          </w:tcPr>
          <w:p w14:paraId="3AF7CF27"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r>
      <w:tr w:rsidR="00F27890" w14:paraId="47384BD7"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670D41E4"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02A5AF1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-18.15%</w:t>
            </w:r>
          </w:p>
        </w:tc>
        <w:tc>
          <w:tcPr>
            <w:tcW w:w="750" w:type="pct"/>
            <w:tcBorders>
              <w:top w:val="single" w:sz="4" w:space="0" w:color="auto"/>
              <w:left w:val="single" w:sz="4" w:space="0" w:color="auto"/>
              <w:bottom w:val="single" w:sz="4" w:space="0" w:color="auto"/>
              <w:right w:val="single" w:sz="4" w:space="0" w:color="auto"/>
            </w:tcBorders>
            <w:vAlign w:val="center"/>
          </w:tcPr>
          <w:p w14:paraId="293A77A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14:paraId="430CC591"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-9.11%</w:t>
            </w:r>
          </w:p>
        </w:tc>
        <w:tc>
          <w:tcPr>
            <w:tcW w:w="750" w:type="pct"/>
            <w:tcBorders>
              <w:top w:val="single" w:sz="4" w:space="0" w:color="auto"/>
              <w:left w:val="single" w:sz="4" w:space="0" w:color="auto"/>
              <w:bottom w:val="single" w:sz="4" w:space="0" w:color="auto"/>
              <w:right w:val="single" w:sz="4" w:space="0" w:color="auto"/>
            </w:tcBorders>
            <w:vAlign w:val="center"/>
          </w:tcPr>
          <w:p w14:paraId="5C04273D"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sz="4" w:space="0" w:color="auto"/>
              <w:left w:val="single" w:sz="4" w:space="0" w:color="auto"/>
              <w:bottom w:val="single" w:sz="4" w:space="0" w:color="auto"/>
              <w:right w:val="single" w:sz="4" w:space="0" w:color="auto"/>
            </w:tcBorders>
            <w:vAlign w:val="center"/>
          </w:tcPr>
          <w:p w14:paraId="266227A7"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-9.04%</w:t>
            </w:r>
          </w:p>
        </w:tc>
        <w:tc>
          <w:tcPr>
            <w:tcW w:w="750" w:type="pct"/>
            <w:tcBorders>
              <w:top w:val="single" w:sz="4" w:space="0" w:color="auto"/>
              <w:left w:val="single" w:sz="4" w:space="0" w:color="auto"/>
              <w:bottom w:val="single" w:sz="4" w:space="0" w:color="auto"/>
              <w:right w:val="single" w:sz="4" w:space="0" w:color="auto"/>
            </w:tcBorders>
            <w:vAlign w:val="center"/>
          </w:tcPr>
          <w:p w14:paraId="1E97F901"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r>
      <w:tr w:rsidR="00F27890" w14:paraId="5E34D9B9"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55C264F3"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1DA7A30F"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25.05%</w:t>
            </w:r>
          </w:p>
        </w:tc>
        <w:tc>
          <w:tcPr>
            <w:tcW w:w="750" w:type="pct"/>
            <w:tcBorders>
              <w:top w:val="single" w:sz="4" w:space="0" w:color="auto"/>
              <w:left w:val="single" w:sz="4" w:space="0" w:color="auto"/>
              <w:bottom w:val="single" w:sz="4" w:space="0" w:color="auto"/>
              <w:right w:val="single" w:sz="4" w:space="0" w:color="auto"/>
            </w:tcBorders>
            <w:vAlign w:val="center"/>
          </w:tcPr>
          <w:p w14:paraId="432735B0"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0.90%</w:t>
            </w:r>
          </w:p>
        </w:tc>
        <w:tc>
          <w:tcPr>
            <w:tcW w:w="750" w:type="pct"/>
            <w:tcBorders>
              <w:top w:val="single" w:sz="4" w:space="0" w:color="auto"/>
              <w:left w:val="single" w:sz="4" w:space="0" w:color="auto"/>
              <w:bottom w:val="single" w:sz="4" w:space="0" w:color="auto"/>
              <w:right w:val="single" w:sz="4" w:space="0" w:color="auto"/>
            </w:tcBorders>
            <w:vAlign w:val="center"/>
          </w:tcPr>
          <w:p w14:paraId="52438677"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12.66%</w:t>
            </w:r>
          </w:p>
        </w:tc>
        <w:tc>
          <w:tcPr>
            <w:tcW w:w="750" w:type="pct"/>
            <w:tcBorders>
              <w:top w:val="single" w:sz="4" w:space="0" w:color="auto"/>
              <w:left w:val="single" w:sz="4" w:space="0" w:color="auto"/>
              <w:bottom w:val="single" w:sz="4" w:space="0" w:color="auto"/>
              <w:right w:val="single" w:sz="4" w:space="0" w:color="auto"/>
            </w:tcBorders>
            <w:vAlign w:val="center"/>
          </w:tcPr>
          <w:p w14:paraId="038A61CB"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14:paraId="6ED66510"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12.39%</w:t>
            </w:r>
          </w:p>
        </w:tc>
        <w:tc>
          <w:tcPr>
            <w:tcW w:w="750" w:type="pct"/>
            <w:tcBorders>
              <w:top w:val="single" w:sz="4" w:space="0" w:color="auto"/>
              <w:left w:val="single" w:sz="4" w:space="0" w:color="auto"/>
              <w:bottom w:val="single" w:sz="4" w:space="0" w:color="auto"/>
              <w:right w:val="single" w:sz="4" w:space="0" w:color="auto"/>
            </w:tcBorders>
            <w:vAlign w:val="center"/>
          </w:tcPr>
          <w:p w14:paraId="31EFF91F"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r>
      <w:tr w:rsidR="00F27890" w14:paraId="61EE4FE2"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2C9188A4"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6633CDC6"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20.35%</w:t>
            </w:r>
          </w:p>
        </w:tc>
        <w:tc>
          <w:tcPr>
            <w:tcW w:w="750" w:type="pct"/>
            <w:tcBorders>
              <w:top w:val="single" w:sz="4" w:space="0" w:color="auto"/>
              <w:left w:val="single" w:sz="4" w:space="0" w:color="auto"/>
              <w:bottom w:val="single" w:sz="4" w:space="0" w:color="auto"/>
              <w:right w:val="single" w:sz="4" w:space="0" w:color="auto"/>
            </w:tcBorders>
            <w:vAlign w:val="center"/>
          </w:tcPr>
          <w:p w14:paraId="6C6A08BB"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14:paraId="3ADDEC0A"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6.39%</w:t>
            </w:r>
          </w:p>
        </w:tc>
        <w:tc>
          <w:tcPr>
            <w:tcW w:w="750" w:type="pct"/>
            <w:tcBorders>
              <w:top w:val="single" w:sz="4" w:space="0" w:color="auto"/>
              <w:left w:val="single" w:sz="4" w:space="0" w:color="auto"/>
              <w:bottom w:val="single" w:sz="4" w:space="0" w:color="auto"/>
              <w:right w:val="single" w:sz="4" w:space="0" w:color="auto"/>
            </w:tcBorders>
            <w:vAlign w:val="center"/>
          </w:tcPr>
          <w:p w14:paraId="6EB50A1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14:paraId="3250A84A"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13.96%</w:t>
            </w:r>
          </w:p>
        </w:tc>
        <w:tc>
          <w:tcPr>
            <w:tcW w:w="750" w:type="pct"/>
            <w:tcBorders>
              <w:top w:val="single" w:sz="4" w:space="0" w:color="auto"/>
              <w:left w:val="single" w:sz="4" w:space="0" w:color="auto"/>
              <w:bottom w:val="single" w:sz="4" w:space="0" w:color="auto"/>
              <w:right w:val="single" w:sz="4" w:space="0" w:color="auto"/>
            </w:tcBorders>
            <w:vAlign w:val="center"/>
          </w:tcPr>
          <w:p w14:paraId="5B54DEA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r>
      <w:tr w:rsidR="00F27890" w14:paraId="557BF353"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0E7B792E"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2019</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14:paraId="31E498A7"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5.93%</w:t>
            </w:r>
          </w:p>
        </w:tc>
        <w:tc>
          <w:tcPr>
            <w:tcW w:w="750" w:type="pct"/>
            <w:tcBorders>
              <w:top w:val="single" w:sz="4" w:space="0" w:color="auto"/>
              <w:left w:val="single" w:sz="4" w:space="0" w:color="auto"/>
              <w:bottom w:val="single" w:sz="4" w:space="0" w:color="auto"/>
              <w:right w:val="single" w:sz="4" w:space="0" w:color="auto"/>
            </w:tcBorders>
            <w:vAlign w:val="center"/>
          </w:tcPr>
          <w:p w14:paraId="29C10853"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14:paraId="6D6920D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8.57%</w:t>
            </w:r>
          </w:p>
        </w:tc>
        <w:tc>
          <w:tcPr>
            <w:tcW w:w="750" w:type="pct"/>
            <w:tcBorders>
              <w:top w:val="single" w:sz="4" w:space="0" w:color="auto"/>
              <w:left w:val="single" w:sz="4" w:space="0" w:color="auto"/>
              <w:bottom w:val="single" w:sz="4" w:space="0" w:color="auto"/>
              <w:right w:val="single" w:sz="4" w:space="0" w:color="auto"/>
            </w:tcBorders>
            <w:vAlign w:val="center"/>
          </w:tcPr>
          <w:p w14:paraId="751D6C8F"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14:paraId="04DA9A6C"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14:paraId="5162C713"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bl>
    <w:p w14:paraId="0F32A5A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14:paraId="250A8E41" w14:textId="77777777" w:rsidR="00F27890" w:rsidRDefault="00027971">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交银施罗德可转债债券型证券投资基金</w:t>
      </w:r>
    </w:p>
    <w:p w14:paraId="21001421" w14:textId="77777777" w:rsidR="00F27890" w:rsidRDefault="00027971">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14:paraId="1B10F887" w14:textId="77777777" w:rsidR="00F27890" w:rsidRDefault="00027971">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（2019年7月11日至2025年03月31日）</w:t>
      </w:r>
    </w:p>
    <w:p w14:paraId="751B11E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（1）交银可转债债券A：</w:t>
      </w:r>
    </w:p>
    <w:p w14:paraId="2A8ADA55" w14:textId="77777777" w:rsidR="00F27890" w:rsidRDefault="00355B93">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w14:anchorId="20ED3F24">
          <v:shape id="_x0000_i1026" type="#_x0000_t75" style="width:439.5pt;height:358.5pt">
            <v:imagedata r:id="rId17" o:title="1521256610242020828"/>
          </v:shape>
        </w:pict>
      </w:r>
    </w:p>
    <w:p w14:paraId="2BE6BBD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（2）交银可转债债券C：</w:t>
      </w:r>
    </w:p>
    <w:p w14:paraId="4DC0A2C2" w14:textId="77777777" w:rsidR="00F27890" w:rsidRDefault="00355B93">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w14:anchorId="489C1840">
          <v:shape id="_x0000_i1027" type="#_x0000_t75" style="width:439.5pt;height:358.5pt">
            <v:imagedata r:id="rId18" o:title="1521256610242020828"/>
          </v:shape>
        </w:pict>
      </w:r>
    </w:p>
    <w:p w14:paraId="7230D82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14:paraId="56E10451" w14:textId="77777777" w:rsidR="00F27890" w:rsidRDefault="00027971">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116F8174" w14:textId="77777777" w:rsidR="00F27890" w:rsidRDefault="00027971">
      <w:pPr>
        <w:pStyle w:val="1"/>
        <w:snapToGrid w:val="0"/>
        <w:spacing w:beforeLines="0" w:before="240" w:after="240"/>
        <w:rPr>
          <w:rFonts w:ascii="宋体" w:hAnsi="宋体"/>
          <w:szCs w:val="30"/>
        </w:rPr>
      </w:pPr>
      <w:bookmarkStart w:id="17" w:name="_Toc200977059"/>
      <w:r>
        <w:rPr>
          <w:rFonts w:ascii="Times New Roman" w:hAnsi="Times New Roman"/>
          <w:sz w:val="30"/>
        </w:rPr>
        <w:t>十二、基金的财产</w:t>
      </w:r>
      <w:bookmarkEnd w:id="17"/>
    </w:p>
    <w:p w14:paraId="7DC5F37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14:paraId="2E1907A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14:paraId="11473DC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14:paraId="751ABAC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14:paraId="1D7C9EA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14:paraId="50DEC98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14:paraId="0DE6129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14:paraId="4E64F15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118A99E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14:paraId="0D3FE959" w14:textId="77777777" w:rsidR="00F27890" w:rsidRDefault="00027971">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67E7C369" w14:textId="77777777" w:rsidR="00F27890" w:rsidRDefault="00027971">
      <w:pPr>
        <w:pStyle w:val="1"/>
        <w:snapToGrid w:val="0"/>
        <w:spacing w:beforeLines="0" w:before="240" w:after="240"/>
        <w:rPr>
          <w:rFonts w:ascii="宋体" w:hAnsi="宋体"/>
          <w:szCs w:val="30"/>
        </w:rPr>
      </w:pPr>
      <w:bookmarkStart w:id="18" w:name="_Toc200977060"/>
      <w:r>
        <w:rPr>
          <w:rFonts w:ascii="Times New Roman" w:hAnsi="Times New Roman"/>
          <w:sz w:val="30"/>
        </w:rPr>
        <w:t>十三、基金资产的估值</w:t>
      </w:r>
      <w:bookmarkEnd w:id="18"/>
    </w:p>
    <w:p w14:paraId="4140894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14:paraId="63E0605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14:paraId="31DC856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14:paraId="73F6A92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基金所拥有的股票、债券和其他投资等持续以公允价值计量的金融资产及负债。</w:t>
      </w:r>
    </w:p>
    <w:p w14:paraId="58C4ADE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（三）估值原则</w:t>
      </w:r>
    </w:p>
    <w:p w14:paraId="0C50B50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14:paraId="0F3D071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3346A0E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形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37978EB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4C49EEC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14:paraId="4B5AE16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（四）估值方法</w:t>
      </w:r>
    </w:p>
    <w:p w14:paraId="7886D9D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1、证券交易所上市的有价证券的估值</w:t>
      </w:r>
    </w:p>
    <w:p w14:paraId="6860766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57AC4C1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（2）交易所上市交易或挂牌转让的不含权固定收益品种（另有规定的除外），选取估值日第三方估值机构提供的相应品种当日的估值净价进行估值；</w:t>
      </w:r>
    </w:p>
    <w:p w14:paraId="07EF673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（3）交易所上市交易或挂牌转让的含权固定收益品种（另有规定的除外），选取估值日第三方估值机构提供的相应品种当日的唯一估值净价或推荐估值净价进行估值；</w:t>
      </w:r>
    </w:p>
    <w:p w14:paraId="0658966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（4）交易所上市交易的可转换债券以每日收盘价作为估值全价；</w:t>
      </w:r>
    </w:p>
    <w:p w14:paraId="0F8EE84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14:paraId="7872A79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14:paraId="6195237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14:paraId="317ED97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14:paraId="6A694B0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（2）首次公开发行未上市的股票、债券，采用估值技术确定公允价值，在估值技术难以可靠计量公允价值的情况下，按成本估值。</w:t>
      </w:r>
    </w:p>
    <w:p w14:paraId="6470FAA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5D4BC236" w14:textId="77777777" w:rsidR="000D25F8" w:rsidRDefault="00027971" w:rsidP="000D25F8">
      <w:pPr>
        <w:autoSpaceDE w:val="0"/>
        <w:autoSpaceDN w:val="0"/>
        <w:adjustRightInd w:val="0"/>
        <w:snapToGrid w:val="0"/>
        <w:spacing w:line="360" w:lineRule="auto"/>
        <w:ind w:firstLineChars="200" w:firstLine="480"/>
        <w:jc w:val="left"/>
        <w:rPr>
          <w:rFonts w:ascii="宋体" w:hAnsi="宋体"/>
          <w:sz w:val="24"/>
        </w:rPr>
      </w:pPr>
      <w:r>
        <w:rPr>
          <w:rFonts w:ascii="宋体" w:hAnsi="宋体"/>
          <w:sz w:val="24"/>
        </w:rPr>
        <w:t>3、对全国银行间市场上不含权的固定收益品种，按照第三方估值机构提供的</w:t>
      </w:r>
      <w:r>
        <w:rPr>
          <w:rFonts w:ascii="宋体" w:hAnsi="宋体"/>
          <w:sz w:val="24"/>
        </w:rPr>
        <w:lastRenderedPageBreak/>
        <w:t>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14:paraId="3E6675A6" w14:textId="77777777" w:rsidR="000D25F8" w:rsidRPr="003473E8" w:rsidRDefault="000D25F8" w:rsidP="000D25F8">
      <w:pPr>
        <w:autoSpaceDE w:val="0"/>
        <w:autoSpaceDN w:val="0"/>
        <w:adjustRightInd w:val="0"/>
        <w:snapToGrid w:val="0"/>
        <w:spacing w:line="360" w:lineRule="auto"/>
        <w:ind w:firstLineChars="200" w:firstLine="480"/>
        <w:jc w:val="left"/>
        <w:rPr>
          <w:rFonts w:ascii="宋体" w:hAnsi="宋体"/>
          <w:sz w:val="24"/>
        </w:rPr>
      </w:pPr>
      <w:r w:rsidRPr="000D25F8">
        <w:rPr>
          <w:rFonts w:ascii="宋体" w:hAnsi="宋体" w:hint="eastAsia"/>
          <w:sz w:val="24"/>
        </w:rPr>
        <w:t>4、本基金投资存托凭证的估值核算依照境内上市交易的股票执行。</w:t>
      </w:r>
    </w:p>
    <w:p w14:paraId="7BBC2796" w14:textId="6C337F8D" w:rsidR="00F27890" w:rsidRDefault="000D25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w:t>
      </w:r>
      <w:r w:rsidR="00027971">
        <w:rPr>
          <w:rFonts w:ascii="宋体" w:hAnsi="宋体"/>
          <w:sz w:val="24"/>
        </w:rPr>
        <w:t>、如有确凿证据表明按上述方法进行估值不能客观反映其公允价值的，基金管理人可根据具体情况与基金托管人商定后，按最能反映公允价值的价格估值。</w:t>
      </w:r>
    </w:p>
    <w:p w14:paraId="7C478DDD" w14:textId="0EB1451A" w:rsidR="00F27890" w:rsidRDefault="000D25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w:t>
      </w:r>
      <w:r w:rsidR="00027971">
        <w:rPr>
          <w:rFonts w:ascii="宋体" w:hAnsi="宋体"/>
          <w:sz w:val="24"/>
        </w:rPr>
        <w:t>、当发生大额申购或赎回情形时，基金管理人可以采用摆动定价机制，以确保基金估值的公平性。</w:t>
      </w:r>
    </w:p>
    <w:p w14:paraId="601A5889" w14:textId="41B4BA1B" w:rsidR="00F27890" w:rsidRDefault="000D25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w:t>
      </w:r>
      <w:r w:rsidR="00027971">
        <w:rPr>
          <w:rFonts w:ascii="宋体" w:hAnsi="宋体"/>
          <w:sz w:val="24"/>
        </w:rPr>
        <w:t>、相关法律法规以及监管部门有强制规定的，从其规定。如有新增事项，按国家最新规定估值。</w:t>
      </w:r>
    </w:p>
    <w:p w14:paraId="6DC3665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7C3A315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14:paraId="5F8465C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14:paraId="75411E3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基金份额的余额数量计算，精确到0.0001元，小数点后第5位四舍五入。基金管理人可以设立大额赎回情形下的净值精度应急调整机制，具体可参见相关公告。国家另有规定的，从其规定。</w:t>
      </w:r>
    </w:p>
    <w:p w14:paraId="5E301FA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基金管理人于每个工作日计算各类基金份额的基金资产净值及基金份额净值，并按规定公告。如遇特殊情况，经中国证监会同意，可以适当延迟计算或公告。</w:t>
      </w:r>
    </w:p>
    <w:p w14:paraId="773B528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w:t>
      </w:r>
      <w:r>
        <w:rPr>
          <w:rFonts w:ascii="宋体" w:hAnsi="宋体"/>
          <w:sz w:val="24"/>
        </w:rPr>
        <w:lastRenderedPageBreak/>
        <w:t>据基金合同和相关法律法规的规定对外公布。</w:t>
      </w:r>
    </w:p>
    <w:p w14:paraId="39DB32A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（六）估值错误的处理</w:t>
      </w:r>
    </w:p>
    <w:p w14:paraId="29342B6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14:paraId="5172FC3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14:paraId="4342C15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14:paraId="73000E0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64262FA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14:paraId="27FFEEA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14:paraId="2073E26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14:paraId="18C1397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14:paraId="47C5B4D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06B666B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14:paraId="1E8EEAB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w:t>
      </w:r>
      <w:r>
        <w:rPr>
          <w:rFonts w:ascii="宋体" w:hAnsi="宋体"/>
          <w:sz w:val="24"/>
        </w:rPr>
        <w:lastRenderedPageBreak/>
        <w:t>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6BD075A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14:paraId="373F7B5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14:paraId="196A838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14:paraId="2643C4B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14:paraId="10DEFDB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14:paraId="55B94A9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14:paraId="4070A57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14:paraId="3C8932D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14:paraId="7670C6D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14:paraId="5F89D4D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14:paraId="45B6292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14:paraId="78564F4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14:paraId="222B5B6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14:paraId="745DB8A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14:paraId="4A82011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14:paraId="7871879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14:paraId="366B34F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14:paraId="49DCFAC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（八）基金净值的确认</w:t>
      </w:r>
    </w:p>
    <w:p w14:paraId="3D8D332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用于基金信息披露的各类基金份额的基金资产净值和基金份额净值由基金管理人负责计算，基金托管人负责进行复核。基金管理人应于每个开放日交易结束后计算当日的各类基金份额的基金资产净值和基金份额净值并发送给基金托管人。基金托管人对净值计算结果复核确认后发送给基金管理人，由基金管理人依据基金合同和相关法律法规的规定对基金净值予以公布。</w:t>
      </w:r>
    </w:p>
    <w:p w14:paraId="6CEF517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（九）特殊情形的处理</w:t>
      </w:r>
    </w:p>
    <w:p w14:paraId="3415A304" w14:textId="4D547879"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w:t>
      </w:r>
      <w:r w:rsidR="000D25F8">
        <w:rPr>
          <w:rFonts w:ascii="宋体" w:hAnsi="宋体"/>
          <w:sz w:val="24"/>
        </w:rPr>
        <w:t>5</w:t>
      </w:r>
      <w:r>
        <w:rPr>
          <w:rFonts w:ascii="宋体" w:hAnsi="宋体"/>
          <w:sz w:val="24"/>
        </w:rPr>
        <w:t>项进行估值时，所造成的误差不作为基金资产估值错误处理。</w:t>
      </w:r>
    </w:p>
    <w:p w14:paraId="3D1BA74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14:paraId="68EDD61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（十）实施侧袋机制期间的基金资产估值</w:t>
      </w:r>
    </w:p>
    <w:p w14:paraId="073B152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14:paraId="00A69EF5" w14:textId="77777777" w:rsidR="00F27890" w:rsidRDefault="00027971">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132CDC2C" w14:textId="77777777" w:rsidR="00F27890" w:rsidRDefault="00027971">
      <w:pPr>
        <w:pStyle w:val="1"/>
        <w:snapToGrid w:val="0"/>
        <w:spacing w:beforeLines="0" w:before="240" w:after="240"/>
        <w:rPr>
          <w:rFonts w:ascii="宋体" w:hAnsi="宋体"/>
          <w:szCs w:val="30"/>
        </w:rPr>
      </w:pPr>
      <w:bookmarkStart w:id="19" w:name="_Toc200977061"/>
      <w:r>
        <w:rPr>
          <w:rFonts w:ascii="Times New Roman" w:hAnsi="Times New Roman"/>
          <w:sz w:val="30"/>
        </w:rPr>
        <w:t>十四、基金收益与分配</w:t>
      </w:r>
      <w:bookmarkEnd w:id="19"/>
    </w:p>
    <w:p w14:paraId="3B073C2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14:paraId="1F9C9EE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14:paraId="568881D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14:paraId="4DE92BD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14:paraId="05435C5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14:paraId="043AB79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14:paraId="5BA2265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14:paraId="76A50B6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14:paraId="34B352A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14:paraId="5E776BD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14:paraId="2670413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14:paraId="3B8394D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14:paraId="41F26B4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14:paraId="0C0A54D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14:paraId="036591F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14:paraId="6A9DDD7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14:paraId="454505A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（六）基金收益分配中发生的费用</w:t>
      </w:r>
    </w:p>
    <w:p w14:paraId="03F79E9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14:paraId="4D8B80B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14:paraId="7BD5A40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14:paraId="4E0184B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14:paraId="2B4C5B5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14:paraId="2B58AE5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14:paraId="0424E6A6" w14:textId="77777777" w:rsidR="00F27890" w:rsidRDefault="00027971">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16B113C6" w14:textId="77777777" w:rsidR="00F27890" w:rsidRDefault="00027971">
      <w:pPr>
        <w:pStyle w:val="1"/>
        <w:snapToGrid w:val="0"/>
        <w:spacing w:beforeLines="0" w:before="240" w:after="240"/>
        <w:rPr>
          <w:rFonts w:ascii="宋体" w:hAnsi="宋体"/>
          <w:szCs w:val="30"/>
        </w:rPr>
      </w:pPr>
      <w:bookmarkStart w:id="20" w:name="_Toc200977062"/>
      <w:r>
        <w:rPr>
          <w:rFonts w:ascii="Times New Roman" w:hAnsi="Times New Roman"/>
          <w:sz w:val="30"/>
        </w:rPr>
        <w:t>十五、基金的费用与税收</w:t>
      </w:r>
      <w:bookmarkEnd w:id="20"/>
    </w:p>
    <w:p w14:paraId="22503F8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14:paraId="7BA1615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14:paraId="79208E9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14:paraId="710B090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14:paraId="4F671B9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14:paraId="419AC1B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14:paraId="6906F42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14:paraId="4AD1787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14:paraId="6107A0E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14:paraId="7CB4D42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14:paraId="403B96E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14:paraId="4919521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14:paraId="6B6E45D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14:paraId="0079557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14:paraId="49D1924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本基金的管理费按前一日基金资产净值的0.7%年费率计提。管理费的计算方法如下：</w:t>
      </w:r>
    </w:p>
    <w:p w14:paraId="07E5568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H＝E×0.7%÷当年天数</w:t>
      </w:r>
    </w:p>
    <w:p w14:paraId="043663B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14:paraId="359B82E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14:paraId="29F9863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基金管理费每日计提，按月支付。由基金管理人向基金托管人发送基金管理费划付指令，经基金托管人复核后于次月首日起3个工作日内从基金资产中一次性支付给基金管理人。</w:t>
      </w:r>
    </w:p>
    <w:p w14:paraId="649F1C4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14:paraId="470D05B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14:paraId="59A13E9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w:t>
      </w:r>
      <w:r>
        <w:rPr>
          <w:rFonts w:ascii="宋体" w:hAnsi="宋体"/>
          <w:sz w:val="24"/>
        </w:rPr>
        <w:lastRenderedPageBreak/>
        <w:t>法如下：</w:t>
      </w:r>
    </w:p>
    <w:p w14:paraId="19EAB2B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14:paraId="5BD624F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14:paraId="4154EA7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14:paraId="71B32BF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w:t>
      </w:r>
    </w:p>
    <w:p w14:paraId="01ABB6E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14:paraId="3394405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14:paraId="5975189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本基金A类基金份额不收取销售服务费，C类基金份额的销售服务费按前一日C类基金资产净值的0.4%年费率计提。计算方法如下：</w:t>
      </w:r>
    </w:p>
    <w:p w14:paraId="7C3CE7D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14:paraId="4797098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14:paraId="08558BF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14:paraId="54E62E6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向基金托管人发送销售服务费划付指令，经基金托管人复核后于次月首日起3个工作日内从基金资产中一次性支付给基金管理人，由基金管理人代付给销售机构。若遇法定节假日、休息日或不可抗力致使无法按时支付的，顺延至最近可支付日支付。</w:t>
      </w:r>
    </w:p>
    <w:p w14:paraId="1D8E484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14:paraId="7677D47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14:paraId="6E1E98B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14:paraId="26D4B8C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14:paraId="49C2B67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14:paraId="4DDDCD5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14:paraId="511B569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w:t>
      </w:r>
      <w:r>
        <w:rPr>
          <w:rFonts w:ascii="宋体" w:hAnsi="宋体"/>
          <w:sz w:val="24"/>
        </w:rPr>
        <w:lastRenderedPageBreak/>
        <w:t>回”一章。</w:t>
      </w:r>
    </w:p>
    <w:p w14:paraId="20D61D2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14:paraId="512A08E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14:paraId="54A4AA0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14:paraId="4C1B06F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14:paraId="43E7DFD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14:paraId="3183235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14:paraId="0EEF40C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和基金托管人可根据基金发展情况，在履行适当程序后调整基金管理费率、基金托管费率等相关费率。降低C类基金份额销售服务费率，无须召开基金份额持有人大会。基金管理人必须依照有关规定于新的费率实施日前在指定媒介上刊登公告。</w:t>
      </w:r>
    </w:p>
    <w:p w14:paraId="0B9413E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（五）实施侧袋机制期间的基金费用</w:t>
      </w:r>
    </w:p>
    <w:p w14:paraId="4ACBDB4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14:paraId="09A74D1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14:paraId="72463F1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0BEED18A" w14:textId="77777777" w:rsidR="00F27890" w:rsidRDefault="00027971">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63E94491" w14:textId="77777777" w:rsidR="00F27890" w:rsidRDefault="00027971">
      <w:pPr>
        <w:pStyle w:val="1"/>
        <w:snapToGrid w:val="0"/>
        <w:spacing w:beforeLines="0" w:before="240" w:after="240"/>
        <w:rPr>
          <w:rFonts w:ascii="宋体" w:hAnsi="宋体"/>
          <w:szCs w:val="30"/>
        </w:rPr>
      </w:pPr>
      <w:bookmarkStart w:id="21" w:name="_Toc200977063"/>
      <w:r>
        <w:rPr>
          <w:rFonts w:ascii="Times New Roman" w:hAnsi="Times New Roman"/>
          <w:sz w:val="30"/>
        </w:rPr>
        <w:t>十六、基金的会计与审计</w:t>
      </w:r>
      <w:bookmarkEnd w:id="21"/>
    </w:p>
    <w:p w14:paraId="06F859A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14:paraId="0095040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14:paraId="6FC7A97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14:paraId="59BD849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14:paraId="5695519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14:paraId="39676CB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14:paraId="4FC35D8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14:paraId="14E91B0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14:paraId="4DBFB55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14:paraId="4E9C887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14:paraId="662D4B5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14:paraId="72AF8B2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14:paraId="537AA632" w14:textId="77777777" w:rsidR="00F27890" w:rsidRDefault="00027971">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2346A136" w14:textId="77777777" w:rsidR="00F27890" w:rsidRDefault="00027971">
      <w:pPr>
        <w:pStyle w:val="1"/>
        <w:snapToGrid w:val="0"/>
        <w:spacing w:beforeLines="0" w:before="240" w:after="240"/>
        <w:rPr>
          <w:rFonts w:ascii="宋体" w:hAnsi="宋体"/>
          <w:szCs w:val="30"/>
        </w:rPr>
      </w:pPr>
      <w:bookmarkStart w:id="22" w:name="_Toc200977064"/>
      <w:r>
        <w:rPr>
          <w:rFonts w:ascii="Times New Roman" w:hAnsi="Times New Roman"/>
          <w:sz w:val="30"/>
        </w:rPr>
        <w:t>十七、基金的信息披露</w:t>
      </w:r>
      <w:bookmarkEnd w:id="22"/>
    </w:p>
    <w:p w14:paraId="67A34E4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14:paraId="7F0027A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14:paraId="43FE34A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14:paraId="0A3664E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14:paraId="63C9A5E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14:paraId="49EF047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14:paraId="718ADF6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14:paraId="77A98FF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14:paraId="3F05DCD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14:paraId="5EF4F3C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14:paraId="7639C9F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14:paraId="22055E4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14:paraId="42FD712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14:paraId="0FEBA07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14:paraId="5D77DC4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14:paraId="5A49A07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14:paraId="559D38C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14:paraId="0B977AA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14:paraId="4D48AB5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14:paraId="77E1E03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14:paraId="2F62FC3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14:paraId="03719A6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14:paraId="383E0B0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14:paraId="3F3A1E0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14:paraId="339ED08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14:paraId="6EB1B62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14:paraId="32A61FC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14:paraId="2A1F04A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《基金合同》生效后，在开始办理基金份额申购或者赎回前，基金管理人应当至少每周在指定网站披露一次A类基金份额和C类基金份额所对应的基金份额净值和基金份额累计净值。</w:t>
      </w:r>
    </w:p>
    <w:p w14:paraId="0302DE0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开始办理基金份额申购或者赎回后，基金管理人应当在不晚于每个开放日的次日，通过指定网站、基金销售机构网站或者营业网点披露开放日的A类基金份额和C类基金份额所对应的基金份额净值和基金份额累计净值。</w:t>
      </w:r>
    </w:p>
    <w:p w14:paraId="200B839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基金管理人应当在不晚于半年度和年度最后一日的次日，在指定网站披露半年度和年度最后一日的A类基金份额和C类基金份额所对应的基金份额净值和基金份额累计净值。</w:t>
      </w:r>
    </w:p>
    <w:p w14:paraId="74C3E64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14:paraId="1A676D3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14:paraId="0CD5D56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14:paraId="0267FAD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14:paraId="6A0F466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14:paraId="670CA2A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14:paraId="6AC8CB3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14:paraId="3428E20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1F7534A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14:paraId="6E712D3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14:paraId="06E0E60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14:paraId="7CE4AFC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w:t>
      </w:r>
      <w:r>
        <w:rPr>
          <w:rFonts w:ascii="宋体" w:hAnsi="宋体"/>
          <w:sz w:val="24"/>
        </w:rPr>
        <w:lastRenderedPageBreak/>
        <w:t>重大影响的下列事件：</w:t>
      </w:r>
    </w:p>
    <w:p w14:paraId="6C37F89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14:paraId="3A49E6D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14:paraId="402ABD4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14:paraId="42ABEC1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14:paraId="588DEB8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14:paraId="57916F7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14:paraId="016DDE6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14:paraId="6EF9FBC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14:paraId="073C930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14:paraId="39E2410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14:paraId="37E655B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14:paraId="1A72CD4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14:paraId="413921E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14:paraId="47D6C5A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14:paraId="156A7C7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14:paraId="31362D1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14:paraId="066D6E6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14:paraId="2F30459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14:paraId="69EAC78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（19）本基金连续发生巨额赎回并暂停接受赎回申请或延缓支付赎回款项；</w:t>
      </w:r>
    </w:p>
    <w:p w14:paraId="6EF6B60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14:paraId="09B1244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14:paraId="6BC9581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14:paraId="264528D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14:paraId="463CD33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14:paraId="267EC7C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（25）《基金合同》生效后，连续40个工作日、50个工作日、55个工作日出现基金份额持有人数量不满200人或者基金资产净值低于5000万元情形的，基金管理人应当发布提示性公告；</w:t>
      </w:r>
    </w:p>
    <w:p w14:paraId="68C31A5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（26）基金信息披露义务人认为可能对基金份额持有人权益或者基金份额的价格产生重大影响的其他事项或中国证监会规定的其他事项。</w:t>
      </w:r>
    </w:p>
    <w:p w14:paraId="1FD6A83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14:paraId="0901192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14:paraId="0A2FDE9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14:paraId="697A26E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14:paraId="0E328D8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14:paraId="446B932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14:paraId="6DF96B0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14:paraId="148CC5C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11、基金投资资产支持证券情况</w:t>
      </w:r>
    </w:p>
    <w:p w14:paraId="778C97C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w:t>
      </w:r>
      <w:r>
        <w:rPr>
          <w:rFonts w:ascii="宋体" w:hAnsi="宋体"/>
          <w:sz w:val="24"/>
        </w:rPr>
        <w:lastRenderedPageBreak/>
        <w:t>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67A8368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12、实施侧袋机制期间的信息披露</w:t>
      </w:r>
    </w:p>
    <w:p w14:paraId="3B41264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14:paraId="4D66129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13、中国证监会规定的其他信息。</w:t>
      </w:r>
    </w:p>
    <w:p w14:paraId="5FE4D9F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14:paraId="6989C24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14:paraId="64EEDB7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14:paraId="3A66042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14:paraId="76BA0E2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14:paraId="5ABED58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14:paraId="6612553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14:paraId="685BE92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290C9CF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14:paraId="63EF809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依法必须披露的信息发布后，基金管理人、基金托管人应当按照相关法律法规规定将信息置备于各自住所，供社会公众查阅、复制。</w:t>
      </w:r>
    </w:p>
    <w:p w14:paraId="7625AD5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（八）本基金信息披露事项以法律法规规定及本章节约定的内容为准。</w:t>
      </w:r>
    </w:p>
    <w:p w14:paraId="1E771C07" w14:textId="77777777" w:rsidR="00F27890" w:rsidRDefault="00027971">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5A7AE81F" w14:textId="77777777" w:rsidR="00F27890" w:rsidRDefault="00027971">
      <w:pPr>
        <w:pStyle w:val="1"/>
        <w:snapToGrid w:val="0"/>
        <w:spacing w:beforeLines="0" w:before="240" w:after="240"/>
        <w:rPr>
          <w:rFonts w:ascii="宋体" w:hAnsi="宋体"/>
          <w:szCs w:val="30"/>
        </w:rPr>
      </w:pPr>
      <w:bookmarkStart w:id="23" w:name="_Toc200977065"/>
      <w:r>
        <w:rPr>
          <w:rFonts w:ascii="Times New Roman" w:hAnsi="Times New Roman"/>
          <w:sz w:val="30"/>
        </w:rPr>
        <w:t>十八、侧袋机制</w:t>
      </w:r>
      <w:bookmarkEnd w:id="23"/>
    </w:p>
    <w:p w14:paraId="3827D43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（一）侧袋机制的实施条件</w:t>
      </w:r>
    </w:p>
    <w:p w14:paraId="6B050B7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3B96752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14:paraId="1619429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（二）实施侧袋机制期间基金份额的申购与赎回</w:t>
      </w:r>
    </w:p>
    <w:p w14:paraId="621C8A7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14:paraId="7BFA1CB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14:paraId="452BF4D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14:paraId="425BBE1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（三）实施侧袋机制期间的基金投资</w:t>
      </w:r>
    </w:p>
    <w:p w14:paraId="5498026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14:paraId="66A0C39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14:paraId="407B7A9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14:paraId="5C1A3EA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（四）实施侧袋机制期间的基金估值</w:t>
      </w:r>
    </w:p>
    <w:p w14:paraId="75E18F8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本基金实施侧袋机制的，基金管理人和基金托管人应对主袋账户资产进行估值并披露主袋账户的基金净值信息，暂停披露侧袋账户份额净值。侧袋账户的会计核算应符合《企业会计准则》的相关要求。</w:t>
      </w:r>
    </w:p>
    <w:p w14:paraId="694C6DE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（五）实施侧袋账户期间的基金费用</w:t>
      </w:r>
    </w:p>
    <w:p w14:paraId="34224AB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14:paraId="2298D64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14:paraId="5C61111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（六）侧袋账户中特定资产的处置变现和支付</w:t>
      </w:r>
    </w:p>
    <w:p w14:paraId="12D8D0F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14:paraId="22D6072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14:paraId="07DE029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14:paraId="6B16525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（七）侧袋机制的信息披露</w:t>
      </w:r>
    </w:p>
    <w:p w14:paraId="5262AF1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14:paraId="2EE5237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14:paraId="278F231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14:paraId="3942EBE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14:paraId="5761952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14:paraId="55A3B98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w:t>
      </w:r>
      <w:r>
        <w:rPr>
          <w:rFonts w:ascii="宋体" w:hAnsi="宋体"/>
          <w:sz w:val="24"/>
        </w:rPr>
        <w:lastRenderedPageBreak/>
        <w:t>和年度报告披露等发表审计意见。</w:t>
      </w:r>
    </w:p>
    <w:p w14:paraId="05117160" w14:textId="77777777" w:rsidR="00F27890" w:rsidRDefault="00027971">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0937109F" w14:textId="77777777" w:rsidR="00F27890" w:rsidRDefault="00027971">
      <w:pPr>
        <w:pStyle w:val="1"/>
        <w:snapToGrid w:val="0"/>
        <w:spacing w:beforeLines="0" w:before="240" w:after="240"/>
        <w:rPr>
          <w:rFonts w:ascii="宋体" w:hAnsi="宋体"/>
          <w:szCs w:val="30"/>
        </w:rPr>
      </w:pPr>
      <w:bookmarkStart w:id="24" w:name="_Toc200977066"/>
      <w:r>
        <w:rPr>
          <w:rFonts w:ascii="Times New Roman" w:hAnsi="Times New Roman"/>
          <w:sz w:val="30"/>
        </w:rPr>
        <w:t>十九、风险揭示</w:t>
      </w:r>
      <w:bookmarkEnd w:id="24"/>
    </w:p>
    <w:p w14:paraId="208565B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14:paraId="389B57D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14:paraId="3A86E9A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14:paraId="64BF0EE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14:paraId="10AC70B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14:paraId="426CF56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14:paraId="690FFB0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w:t>
      </w:r>
      <w:r>
        <w:rPr>
          <w:rFonts w:ascii="宋体" w:hAnsi="宋体"/>
          <w:sz w:val="24"/>
        </w:rPr>
        <w:lastRenderedPageBreak/>
        <w:t>做出投资决策后，基金运营状况与基金净值变化引致的投资风险，由投资人自行负担。</w:t>
      </w:r>
    </w:p>
    <w:p w14:paraId="251D869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14:paraId="78C058C4" w14:textId="77777777" w:rsidR="00F27890" w:rsidRPr="005D2BA4" w:rsidRDefault="00027971">
      <w:pPr>
        <w:autoSpaceDE w:val="0"/>
        <w:autoSpaceDN w:val="0"/>
        <w:adjustRightInd w:val="0"/>
        <w:snapToGrid w:val="0"/>
        <w:spacing w:line="360" w:lineRule="auto"/>
        <w:ind w:firstLineChars="200" w:firstLine="480"/>
        <w:jc w:val="left"/>
        <w:rPr>
          <w:rFonts w:ascii="宋体" w:hAnsi="宋体"/>
          <w:szCs w:val="24"/>
        </w:rPr>
      </w:pPr>
      <w:r w:rsidRPr="005D2BA4">
        <w:rPr>
          <w:rFonts w:ascii="宋体" w:hAnsi="宋体"/>
          <w:sz w:val="24"/>
        </w:rPr>
        <w:t>（一）市场风险</w:t>
      </w:r>
    </w:p>
    <w:p w14:paraId="061A4D3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14:paraId="3A11141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14:paraId="3C3D944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14:paraId="216DFEF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14:paraId="13DA68A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14:paraId="3CEC8C6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14:paraId="59D23F4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14:paraId="71D3538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14:paraId="5339154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14:paraId="4FF1079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9、上市公司经营风险。上市公司的经营状况受多种因素影响，如管理能力、</w:t>
      </w:r>
      <w:r>
        <w:rPr>
          <w:rFonts w:ascii="宋体" w:hAnsi="宋体"/>
          <w:sz w:val="24"/>
        </w:rPr>
        <w:lastRenderedPageBreak/>
        <w:t>财务状况、市场前景、行业竞争、人员素质等，这些都会导致企业的盈利发生变化。虽然基金可以通过投资多样化来分散这种非系统风险，但不能完全规避。</w:t>
      </w:r>
    </w:p>
    <w:p w14:paraId="6CBD602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14:paraId="381DD33E" w14:textId="77777777" w:rsidR="00F27890" w:rsidRPr="005D2BA4" w:rsidRDefault="00027971">
      <w:pPr>
        <w:autoSpaceDE w:val="0"/>
        <w:autoSpaceDN w:val="0"/>
        <w:adjustRightInd w:val="0"/>
        <w:snapToGrid w:val="0"/>
        <w:spacing w:line="360" w:lineRule="auto"/>
        <w:ind w:firstLineChars="200" w:firstLine="480"/>
        <w:jc w:val="left"/>
        <w:rPr>
          <w:rFonts w:ascii="宋体" w:hAnsi="宋体"/>
          <w:szCs w:val="24"/>
        </w:rPr>
      </w:pPr>
      <w:r w:rsidRPr="005D2BA4">
        <w:rPr>
          <w:rFonts w:ascii="宋体" w:hAnsi="宋体"/>
          <w:sz w:val="24"/>
        </w:rPr>
        <w:t>（二）管理风险</w:t>
      </w:r>
    </w:p>
    <w:p w14:paraId="6B3DB1B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14:paraId="38D86CB0" w14:textId="77777777" w:rsidR="00F27890" w:rsidRPr="005D2BA4" w:rsidRDefault="00027971">
      <w:pPr>
        <w:autoSpaceDE w:val="0"/>
        <w:autoSpaceDN w:val="0"/>
        <w:adjustRightInd w:val="0"/>
        <w:snapToGrid w:val="0"/>
        <w:spacing w:line="360" w:lineRule="auto"/>
        <w:ind w:firstLineChars="200" w:firstLine="480"/>
        <w:jc w:val="left"/>
        <w:rPr>
          <w:rFonts w:ascii="宋体" w:hAnsi="宋体"/>
          <w:szCs w:val="24"/>
        </w:rPr>
      </w:pPr>
      <w:r w:rsidRPr="005D2BA4">
        <w:rPr>
          <w:rFonts w:ascii="宋体" w:hAnsi="宋体"/>
          <w:sz w:val="24"/>
        </w:rPr>
        <w:t>（三）流动性风险</w:t>
      </w:r>
    </w:p>
    <w:p w14:paraId="61CE6B4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14:paraId="46F6B71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14:paraId="01DA086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14:paraId="2482241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14:paraId="2FAFBF8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w:t>
      </w:r>
      <w:r>
        <w:rPr>
          <w:rFonts w:ascii="宋体" w:hAnsi="宋体"/>
          <w:sz w:val="24"/>
        </w:rPr>
        <w:lastRenderedPageBreak/>
        <w:t>范型交易场所，主要投资对象为具有良好流动性的金融工具（包括国内依法发行上市的股票、债券和货币市场工具等），同时本基金基于分散投资的原则在个券方面未有高集中度的特征，综合评估在正常市场环境下本基金的流动性风险适中。</w:t>
      </w:r>
    </w:p>
    <w:p w14:paraId="0452A25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14:paraId="712A9B5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14:paraId="0A96AAE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14:paraId="5128413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14:paraId="105A527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14:paraId="741977C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14:paraId="1014755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w:t>
      </w:r>
      <w:r>
        <w:rPr>
          <w:rFonts w:ascii="宋体" w:hAnsi="宋体"/>
          <w:sz w:val="24"/>
        </w:rPr>
        <w:lastRenderedPageBreak/>
        <w:t>额，以此类推，直到全部赎回为止。</w:t>
      </w:r>
    </w:p>
    <w:p w14:paraId="7BE5797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未超过上述比例的部分，基金管理人认为有能力支付投资人的全部赎回申请时，按正常赎回程序执行；基金管理人认为支付投资人的赎回申请有困难或认为因支付投资人的赎回申请而进行的财产变现可能会对基金资产净值造成较大波动时，基金管理人在当日接受赎回比例不低于上一开放日基金总份额的10%的前提下，对当日的赎回申请按单个账户赎回申请量占赎回申请总量的比例，确定当日受理的赎回份额；对于未能赎回部分，基金管理人可对其赎回申请进行延期办理，延期的赎回申请转入下一个开放日继续赎回，直到全部赎回为止。但是，如该类基金份额持有人在当日选择取消赎回，则其当日未获受理的部分赎回申请将被撤销。</w:t>
      </w:r>
    </w:p>
    <w:p w14:paraId="2D71D0A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14:paraId="025E6B6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14:paraId="7B4B85B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14:paraId="1B54BC6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暂停接受赎回申请、部分延期赎回、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14:paraId="1CCBC75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14:paraId="50ABBA0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w:t>
      </w:r>
      <w:r>
        <w:rPr>
          <w:rFonts w:ascii="宋体" w:hAnsi="宋体"/>
          <w:sz w:val="24"/>
        </w:rPr>
        <w:lastRenderedPageBreak/>
        <w:t>基金定期报告中披露报告期末特定资产可变现净值或净值区间的，也不作为特定资产最终变现价格的承诺，因此对于特定资产的公允价值和最终变现价格，基金管理人不承担任何保证和承诺的责任。</w:t>
      </w:r>
    </w:p>
    <w:p w14:paraId="670CCC2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14:paraId="7100C8A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14:paraId="461FDD95" w14:textId="77777777" w:rsidR="00F27890" w:rsidRPr="005D2BA4" w:rsidRDefault="00027971">
      <w:pPr>
        <w:autoSpaceDE w:val="0"/>
        <w:autoSpaceDN w:val="0"/>
        <w:adjustRightInd w:val="0"/>
        <w:snapToGrid w:val="0"/>
        <w:spacing w:line="360" w:lineRule="auto"/>
        <w:ind w:firstLineChars="200" w:firstLine="480"/>
        <w:jc w:val="left"/>
        <w:rPr>
          <w:rFonts w:ascii="宋体" w:hAnsi="宋体"/>
          <w:szCs w:val="24"/>
        </w:rPr>
      </w:pPr>
      <w:r w:rsidRPr="005D2BA4">
        <w:rPr>
          <w:rFonts w:ascii="宋体" w:hAnsi="宋体"/>
          <w:sz w:val="24"/>
        </w:rPr>
        <w:t>（四）交易对手违约风险</w:t>
      </w:r>
    </w:p>
    <w:p w14:paraId="4F84684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14:paraId="25A1731E" w14:textId="77777777" w:rsidR="00F27890" w:rsidRPr="005D2BA4" w:rsidRDefault="00027971">
      <w:pPr>
        <w:autoSpaceDE w:val="0"/>
        <w:autoSpaceDN w:val="0"/>
        <w:adjustRightInd w:val="0"/>
        <w:snapToGrid w:val="0"/>
        <w:spacing w:line="360" w:lineRule="auto"/>
        <w:ind w:firstLineChars="200" w:firstLine="480"/>
        <w:jc w:val="left"/>
        <w:rPr>
          <w:rFonts w:ascii="宋体" w:hAnsi="宋体"/>
          <w:szCs w:val="24"/>
        </w:rPr>
      </w:pPr>
      <w:r w:rsidRPr="005D2BA4">
        <w:rPr>
          <w:rFonts w:ascii="宋体" w:hAnsi="宋体"/>
          <w:sz w:val="24"/>
        </w:rPr>
        <w:t>（五）本基金的特有风险</w:t>
      </w:r>
    </w:p>
    <w:p w14:paraId="3DC9FB0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债券型基金，投资于债券资产的比例不低于基金资产的80%，因投资固定收益类资产而面临固定收益类资产市场的系统性风险和个券风险；投资于可转换债券（含可交换债券、可分离交易可转债）的比例不低于非现金基金资产的80%，需要承担可转换债券和可交换债券市场的流动性风险、债券价格受所对应股票价格波动影响而波动的风险以及在转股期或换股期不能转股或换股的风险等。</w:t>
      </w:r>
    </w:p>
    <w:p w14:paraId="08AFE6B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14:paraId="5F3252D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3、本基金在主要投资于债券类资产的同时也积极关注股票市场的投资机会，会因投资权益类资产而面临的权益类资产市场的系统性风险和个券风险；</w:t>
      </w:r>
    </w:p>
    <w:p w14:paraId="28A0FEF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14:paraId="4361083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5、基金合同提前终止风险。连续六十个工作日出现基金份额持有人数量不满200人或者基金资产净值低于5000万元情形的，基金管理人提前终止基金合同，不需召开基金份额持有人大会。</w:t>
      </w:r>
    </w:p>
    <w:p w14:paraId="7C8412D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6、本基金可投资创业板股票，创业板个股上市后的前五个交易日不设价格涨</w:t>
      </w:r>
      <w:r>
        <w:rPr>
          <w:rFonts w:ascii="宋体" w:hAnsi="宋体"/>
          <w:sz w:val="24"/>
        </w:rPr>
        <w:lastRenderedPageBreak/>
        <w:t>跌幅限制，第六个交易日开始涨跌幅限制比例为20%。</w:t>
      </w:r>
    </w:p>
    <w:p w14:paraId="71D2E604" w14:textId="77777777" w:rsidR="00F27890" w:rsidRPr="005D2BA4" w:rsidRDefault="00027971">
      <w:pPr>
        <w:autoSpaceDE w:val="0"/>
        <w:autoSpaceDN w:val="0"/>
        <w:adjustRightInd w:val="0"/>
        <w:snapToGrid w:val="0"/>
        <w:spacing w:line="360" w:lineRule="auto"/>
        <w:ind w:firstLineChars="200" w:firstLine="480"/>
        <w:jc w:val="left"/>
        <w:rPr>
          <w:rFonts w:ascii="宋体" w:hAnsi="宋体"/>
          <w:szCs w:val="24"/>
        </w:rPr>
      </w:pPr>
      <w:r w:rsidRPr="005D2BA4">
        <w:rPr>
          <w:rFonts w:ascii="宋体" w:hAnsi="宋体"/>
          <w:sz w:val="24"/>
        </w:rPr>
        <w:t>（六）投资科创板股票的特定风险</w:t>
      </w:r>
    </w:p>
    <w:p w14:paraId="42CF1EA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14:paraId="1ED8394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14:paraId="681AF4C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14:paraId="6D2D137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14:paraId="754FA2C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14:paraId="0B24862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14:paraId="133A981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14:paraId="49E9D77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14:paraId="2AFAD42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14:paraId="73A9CEA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14:paraId="5469F1D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14:paraId="7F70048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14:paraId="076B4C39" w14:textId="77777777" w:rsidR="00F27890" w:rsidRPr="005D2BA4" w:rsidRDefault="00027971">
      <w:pPr>
        <w:autoSpaceDE w:val="0"/>
        <w:autoSpaceDN w:val="0"/>
        <w:adjustRightInd w:val="0"/>
        <w:snapToGrid w:val="0"/>
        <w:spacing w:line="360" w:lineRule="auto"/>
        <w:ind w:firstLineChars="200" w:firstLine="480"/>
        <w:jc w:val="left"/>
        <w:rPr>
          <w:rFonts w:ascii="宋体" w:hAnsi="宋体"/>
          <w:szCs w:val="24"/>
        </w:rPr>
      </w:pPr>
      <w:r w:rsidRPr="00CA762D">
        <w:rPr>
          <w:rFonts w:ascii="宋体" w:hAnsi="宋体" w:hint="eastAsia"/>
          <w:kern w:val="0"/>
          <w:sz w:val="24"/>
        </w:rPr>
        <w:lastRenderedPageBreak/>
        <w:t>（七）本基金法律文件风险收益特征表述与销售机构基金风险评价可能不一致的风险</w:t>
      </w:r>
    </w:p>
    <w:p w14:paraId="3A57E6C5" w14:textId="77777777" w:rsidR="00283B12" w:rsidRDefault="00027971" w:rsidP="00283B12">
      <w:pPr>
        <w:autoSpaceDE w:val="0"/>
        <w:autoSpaceDN w:val="0"/>
        <w:adjustRightInd w:val="0"/>
        <w:snapToGrid w:val="0"/>
        <w:spacing w:line="360" w:lineRule="auto"/>
        <w:ind w:firstLineChars="200" w:firstLine="480"/>
        <w:jc w:val="left"/>
        <w:rPr>
          <w:rFonts w:ascii="宋体" w:hAnsi="宋体"/>
          <w:sz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593CF905" w14:textId="77777777" w:rsidR="00283B12" w:rsidRPr="005D2BA4" w:rsidRDefault="00283B12" w:rsidP="00283B12">
      <w:pPr>
        <w:autoSpaceDE w:val="0"/>
        <w:autoSpaceDN w:val="0"/>
        <w:adjustRightInd w:val="0"/>
        <w:snapToGrid w:val="0"/>
        <w:spacing w:line="360" w:lineRule="auto"/>
        <w:ind w:firstLineChars="200" w:firstLine="480"/>
        <w:jc w:val="left"/>
        <w:rPr>
          <w:rFonts w:ascii="宋体" w:hAnsi="宋体"/>
          <w:sz w:val="24"/>
        </w:rPr>
      </w:pPr>
      <w:r w:rsidRPr="005D2BA4">
        <w:rPr>
          <w:rFonts w:ascii="宋体" w:hAnsi="宋体" w:hint="eastAsia"/>
          <w:sz w:val="24"/>
        </w:rPr>
        <w:t>（八）投资存托凭证的特定风险</w:t>
      </w:r>
    </w:p>
    <w:p w14:paraId="132A0C69" w14:textId="77777777" w:rsidR="00283B12" w:rsidRPr="00283B12" w:rsidRDefault="00283B12" w:rsidP="00283B12">
      <w:pPr>
        <w:autoSpaceDE w:val="0"/>
        <w:autoSpaceDN w:val="0"/>
        <w:adjustRightInd w:val="0"/>
        <w:snapToGrid w:val="0"/>
        <w:spacing w:line="360" w:lineRule="auto"/>
        <w:ind w:firstLineChars="200" w:firstLine="480"/>
        <w:jc w:val="left"/>
        <w:rPr>
          <w:rFonts w:ascii="宋体" w:hAnsi="宋体"/>
          <w:sz w:val="24"/>
        </w:rPr>
      </w:pPr>
      <w:r w:rsidRPr="00283B12">
        <w:rPr>
          <w:rFonts w:ascii="宋体" w:hAnsi="宋体" w:hint="eastAsia"/>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14:paraId="4F2AD895" w14:textId="77777777" w:rsidR="00283B12" w:rsidRPr="00283B12" w:rsidRDefault="00283B12" w:rsidP="00283B12">
      <w:pPr>
        <w:autoSpaceDE w:val="0"/>
        <w:autoSpaceDN w:val="0"/>
        <w:adjustRightInd w:val="0"/>
        <w:snapToGrid w:val="0"/>
        <w:spacing w:line="360" w:lineRule="auto"/>
        <w:ind w:firstLineChars="200" w:firstLine="480"/>
        <w:jc w:val="left"/>
        <w:rPr>
          <w:rFonts w:ascii="宋体" w:hAnsi="宋体"/>
          <w:sz w:val="24"/>
        </w:rPr>
      </w:pPr>
      <w:r w:rsidRPr="00283B12">
        <w:rPr>
          <w:rFonts w:ascii="宋体" w:hAnsi="宋体" w:hint="eastAsia"/>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39C3AE10" w14:textId="77777777" w:rsidR="00283B12" w:rsidRPr="00CA762D" w:rsidRDefault="00283B12" w:rsidP="00283B12">
      <w:pPr>
        <w:autoSpaceDE w:val="0"/>
        <w:autoSpaceDN w:val="0"/>
        <w:adjustRightInd w:val="0"/>
        <w:snapToGrid w:val="0"/>
        <w:spacing w:line="360" w:lineRule="auto"/>
        <w:ind w:firstLineChars="200" w:firstLine="480"/>
        <w:jc w:val="left"/>
        <w:rPr>
          <w:rFonts w:ascii="宋体" w:hAnsi="宋体"/>
          <w:sz w:val="24"/>
        </w:rPr>
      </w:pPr>
      <w:r w:rsidRPr="00283B12">
        <w:rPr>
          <w:rFonts w:ascii="宋体" w:hAnsi="宋体" w:hint="eastAsia"/>
          <w:sz w:val="24"/>
        </w:rPr>
        <w:t>本基金可根据投资策略需要或市场环境的变化，选择将部分基金资产投资于存托凭证或选择不将基金资产投资于存托凭证，基金资产并非必然投资存托凭证。</w:t>
      </w:r>
    </w:p>
    <w:p w14:paraId="22F95ECD" w14:textId="3C9E8B8E" w:rsidR="00F27890" w:rsidRPr="005D2BA4" w:rsidRDefault="00027971">
      <w:pPr>
        <w:autoSpaceDE w:val="0"/>
        <w:autoSpaceDN w:val="0"/>
        <w:adjustRightInd w:val="0"/>
        <w:snapToGrid w:val="0"/>
        <w:spacing w:line="360" w:lineRule="auto"/>
        <w:ind w:firstLineChars="200" w:firstLine="480"/>
        <w:jc w:val="left"/>
        <w:rPr>
          <w:rFonts w:ascii="宋体" w:hAnsi="宋体"/>
          <w:szCs w:val="24"/>
        </w:rPr>
      </w:pPr>
      <w:r w:rsidRPr="005D2BA4">
        <w:rPr>
          <w:rFonts w:ascii="宋体" w:hAnsi="宋体"/>
          <w:sz w:val="24"/>
        </w:rPr>
        <w:t>（</w:t>
      </w:r>
      <w:r w:rsidR="00283B12" w:rsidRPr="005D2BA4">
        <w:rPr>
          <w:rFonts w:ascii="宋体" w:hAnsi="宋体" w:hint="eastAsia"/>
          <w:sz w:val="24"/>
        </w:rPr>
        <w:t>九</w:t>
      </w:r>
      <w:r w:rsidRPr="005D2BA4">
        <w:rPr>
          <w:rFonts w:ascii="宋体" w:hAnsi="宋体"/>
          <w:sz w:val="24"/>
        </w:rPr>
        <w:t>）其他风险</w:t>
      </w:r>
    </w:p>
    <w:p w14:paraId="53B6A0C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14:paraId="20430F5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14:paraId="47B0720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14:paraId="5712F57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14:paraId="0D60CE2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14:paraId="55D1467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w:t>
      </w:r>
      <w:r>
        <w:rPr>
          <w:rFonts w:ascii="宋体" w:hAnsi="宋体"/>
          <w:sz w:val="24"/>
        </w:rPr>
        <w:lastRenderedPageBreak/>
        <w:t>平，从而带来风险；</w:t>
      </w:r>
    </w:p>
    <w:p w14:paraId="5888578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14:paraId="0193E21E" w14:textId="77777777" w:rsidR="00F27890" w:rsidRDefault="00027971">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21565239" w14:textId="77777777" w:rsidR="00F27890" w:rsidRDefault="00027971">
      <w:pPr>
        <w:pStyle w:val="1"/>
        <w:snapToGrid w:val="0"/>
        <w:spacing w:beforeLines="0" w:before="240" w:after="240"/>
        <w:rPr>
          <w:rFonts w:ascii="宋体" w:hAnsi="宋体"/>
          <w:szCs w:val="30"/>
        </w:rPr>
      </w:pPr>
      <w:bookmarkStart w:id="25" w:name="_Toc200977067"/>
      <w:r>
        <w:rPr>
          <w:rFonts w:ascii="Times New Roman" w:hAnsi="Times New Roman"/>
          <w:sz w:val="30"/>
        </w:rPr>
        <w:t>二十、基金合同的变更、终止与基金财产的清算</w:t>
      </w:r>
      <w:bookmarkEnd w:id="25"/>
    </w:p>
    <w:p w14:paraId="079D067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14:paraId="2E0DB33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5EA1657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2、关于《基金合同》变更的基金份额持有人大会决议自生效后方可执行，并自决议生效后依照《信息披露办法》的规定在指定媒介公告。</w:t>
      </w:r>
    </w:p>
    <w:p w14:paraId="70BD661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14:paraId="2D01A3B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14:paraId="32F39CB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14:paraId="46D1145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14:paraId="5E0730D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3、连续60个工作日出现基金份额持有人数量不满200人或者基金资产净值低于5000万元情形的，基金管理人提前终止基金合同，不需召开基金份额持有人大会；</w:t>
      </w:r>
    </w:p>
    <w:p w14:paraId="54E9880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14:paraId="1E13C81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14:paraId="77F0BF0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14:paraId="69DD35C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14:paraId="6663E83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14:paraId="21D1055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14:paraId="6AC68F4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14:paraId="5E738B3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14:paraId="11B13AC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（2）对基金财产和债权债务进行清理和确认；</w:t>
      </w:r>
    </w:p>
    <w:p w14:paraId="57282CF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14:paraId="3B530A8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14:paraId="7BC7B95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14:paraId="381EA98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14:paraId="0B59A4C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14:paraId="0913949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14:paraId="4F37B84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14:paraId="27A52C5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14:paraId="06A320C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14:paraId="3B2D795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14:paraId="5A93D80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14:paraId="74D3D9A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14:paraId="7E51328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14:paraId="0C0C700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14:paraId="5432E102" w14:textId="77777777" w:rsidR="00F27890" w:rsidRDefault="00027971">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3EEEFE77" w14:textId="77777777" w:rsidR="00F27890" w:rsidRDefault="00027971">
      <w:pPr>
        <w:pStyle w:val="1"/>
        <w:snapToGrid w:val="0"/>
        <w:spacing w:beforeLines="0" w:before="240" w:after="240"/>
        <w:rPr>
          <w:rFonts w:ascii="宋体" w:hAnsi="宋体"/>
          <w:szCs w:val="30"/>
        </w:rPr>
      </w:pPr>
      <w:bookmarkStart w:id="26" w:name="_Toc200977068"/>
      <w:r>
        <w:rPr>
          <w:rFonts w:ascii="Times New Roman" w:hAnsi="Times New Roman"/>
          <w:sz w:val="30"/>
        </w:rPr>
        <w:t>二十一、基金合同内容摘要</w:t>
      </w:r>
      <w:bookmarkEnd w:id="26"/>
    </w:p>
    <w:p w14:paraId="71A4F4E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14:paraId="6054C57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14:paraId="2F286E3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14:paraId="3D19748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14:paraId="1498F1A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14:paraId="4A7B88D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14:paraId="003E16B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14:paraId="68F97C0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14:paraId="4618492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14:paraId="2CBB23E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14:paraId="225D1A6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14:paraId="68C9BD5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14:paraId="1E70FAF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14:paraId="6F577E3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14:paraId="0A92B4B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14:paraId="392BA02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14:paraId="59AAEF0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14:paraId="0DA1902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14:paraId="0A2303A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14:paraId="7C4EEF7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14:paraId="7B454FA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14:paraId="2D0D356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14:paraId="6EC6566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14:paraId="49EDB12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14:paraId="3EB1988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14:paraId="3E34725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14:paraId="7D12650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14:paraId="45BA314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14:paraId="13006C8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14:paraId="1250F9D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14:paraId="478DBC2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14:paraId="2377A7C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14:paraId="406BD94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14:paraId="047A5E4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14:paraId="6580284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14:paraId="00952A9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14:paraId="7590C38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14:paraId="4DAA84A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21B0329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14:paraId="7F92AE7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14:paraId="393BE79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14:paraId="4A3170E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14:paraId="65C4A22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14:paraId="438DD5B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14:paraId="334D7B2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14:paraId="3E79F8D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14:paraId="684CCF2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14:paraId="65B43D6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14:paraId="4EA536C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14:paraId="3333EC6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14:paraId="6A01F3E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14:paraId="67F6CAB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14:paraId="01CCD57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2A25BBB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14:paraId="049EA5D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14:paraId="554CCB1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14:paraId="7E194FE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14:paraId="2C1C5E5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14:paraId="575BF34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14:paraId="7D90525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14:paraId="24B4B1B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4313BEE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14:paraId="678EBD6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14:paraId="6A05792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14:paraId="6F04B6D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14:paraId="22E807E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w:t>
      </w:r>
    </w:p>
    <w:p w14:paraId="3A8373F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9）办理与基金托管业务活动有关的信息披露事项；</w:t>
      </w:r>
    </w:p>
    <w:p w14:paraId="6003D4A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0E018D9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14:paraId="6CA1B6E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14:paraId="12F31FC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14:paraId="1416D70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14:paraId="4B4326A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14:paraId="6A2F37C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14:paraId="307B95F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14:paraId="103552A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14:paraId="68B0279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14:paraId="48EC50D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14:paraId="2CE5C7F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14:paraId="0634CDE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14:paraId="32CC173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14:paraId="5AA2B1C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14:paraId="2E8C011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14:paraId="4C13376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（1）根据《基金法》、《运作办法》及其他有关规定，基金份额持有人的权利包括但不限于：</w:t>
      </w:r>
    </w:p>
    <w:p w14:paraId="18417F6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14:paraId="23C0639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14:paraId="26BA3A6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14:paraId="516050D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14:paraId="770B5CB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14:paraId="09F0D34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14:paraId="76E68CA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14:paraId="05ADF90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14:paraId="7E370A7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14:paraId="20991BF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14:paraId="2CD1ED0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14:paraId="0C7FF94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14:paraId="248A94F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14:paraId="7381E42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14:paraId="591B9CB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14:paraId="1358EB6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14:paraId="554AD79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14:paraId="333D45D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14:paraId="50AC693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14:paraId="014C903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14:paraId="71443FE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11）法律法规及中国证监会规定的和《基金合同》约定的其他义务。</w:t>
      </w:r>
    </w:p>
    <w:p w14:paraId="625553A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（二）基金份额持有人大会召集、议事及表决的程序和规则</w:t>
      </w:r>
    </w:p>
    <w:p w14:paraId="7E77B42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14:paraId="5146ADE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14:paraId="1F8B702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14:paraId="435B840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（1）当出现或需要决定下列事由之一的，应当召开基金份额持有人大会，法律法规和中国证监会另有规定的除外：</w:t>
      </w:r>
    </w:p>
    <w:p w14:paraId="28E5E3C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1）终止《基金合同》，基金合同另有规定的除外；</w:t>
      </w:r>
    </w:p>
    <w:p w14:paraId="1660293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14:paraId="0219768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14:paraId="25E5BDB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14:paraId="79ABDBB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14:paraId="5117E75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14:paraId="1D13174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14:paraId="0070BF6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8）变更基金投资目标、范围或策略，基金合同另有规定的除外；</w:t>
      </w:r>
    </w:p>
    <w:p w14:paraId="006ADC1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9）变更基金份额持有人大会程序，基金合同另有规定的除外；</w:t>
      </w:r>
    </w:p>
    <w:p w14:paraId="1E8AD8E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14:paraId="4FB07DE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14:paraId="40DBFAC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14:paraId="522F6D7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14:paraId="008766A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14:paraId="6579777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w:t>
      </w:r>
    </w:p>
    <w:p w14:paraId="7FE8306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14:paraId="0995922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3）在法律法规和《基金合同》规定的范围内调整本基金的申购费率、调低赎回费率、在对现有基金份额持有人利益无实质性不利影响的前提下变更收费方式；</w:t>
      </w:r>
    </w:p>
    <w:p w14:paraId="4A146E3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14:paraId="0CD5B0A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14:paraId="7CE649E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14:paraId="29AF452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14:paraId="43FD597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14:paraId="695DF1B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14:paraId="540EB7E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14:paraId="53B1B1C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14:paraId="62FE9E4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（2）基金管理人未按规定召集或不能召开时，由基金托管人召集；</w:t>
      </w:r>
    </w:p>
    <w:p w14:paraId="5D0AC1FD" w14:textId="3EA40B39"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00C0E99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w:t>
      </w:r>
      <w:r>
        <w:rPr>
          <w:rFonts w:ascii="宋体" w:hAnsi="宋体"/>
          <w:sz w:val="24"/>
        </w:rPr>
        <w:lastRenderedPageBreak/>
        <w:t>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03CE282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16E792B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14:paraId="4CF4A2C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14:paraId="60155F2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14:paraId="2EF0235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14:paraId="4D87FDE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14:paraId="7525073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14:paraId="2893E4C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14:paraId="4CBCD83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14:paraId="03C0D1F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14:paraId="1742B0F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14:paraId="748CBAB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55E3F26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w:t>
      </w:r>
      <w:r>
        <w:rPr>
          <w:rFonts w:ascii="宋体" w:hAnsi="宋体"/>
          <w:sz w:val="24"/>
        </w:rPr>
        <w:lastRenderedPageBreak/>
        <w:t>力。</w:t>
      </w:r>
    </w:p>
    <w:p w14:paraId="24D6E68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14:paraId="6356C11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14:paraId="1239F5A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5491FC4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7F873BB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020B40E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14:paraId="04C60BA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14:paraId="3CBACE4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14:paraId="65896AB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3D061C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w:t>
      </w:r>
      <w:r>
        <w:rPr>
          <w:rFonts w:ascii="宋体" w:hAnsi="宋体"/>
          <w:sz w:val="24"/>
        </w:rPr>
        <w:lastRenderedPageBreak/>
        <w:t>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14:paraId="4C43BA9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5D5A7F5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14:paraId="73D3D47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14:paraId="208ACB5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14:paraId="07A7E16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14:paraId="4E7E547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14:paraId="5F7AB68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14:paraId="01B9A22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14:paraId="498E79B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14:paraId="79E099F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w:t>
      </w:r>
      <w:r>
        <w:rPr>
          <w:rFonts w:ascii="宋体" w:hAnsi="宋体"/>
          <w:sz w:val="24"/>
        </w:rPr>
        <w:lastRenderedPageBreak/>
        <w:t>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14:paraId="387F1E2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14:paraId="7FB38E7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14:paraId="266D20B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14:paraId="438D741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14:paraId="24AB34C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14:paraId="5714866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14:paraId="49748AD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16FF0BC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14:paraId="5173E1E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14:paraId="65AE4A7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6A6C62A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14:paraId="5B11277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14:paraId="3C24AE3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（1）现场开会</w:t>
      </w:r>
    </w:p>
    <w:p w14:paraId="663B681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14:paraId="10150F7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14:paraId="12FF7BF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6E44430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14:paraId="4BCBF3C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14:paraId="6A54E95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5688C80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14:paraId="586FC14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14:paraId="5257058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14:paraId="6F7CF1F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基金份额持有人大会决议自生效之日起依照《信息披露办法》的规定在指定媒介上公告。如果采用通讯方式进行表决，在公告基金份额持有人大会决议时，必须将公证书全文、公证机构、公证员姓名等一同公告。</w:t>
      </w:r>
    </w:p>
    <w:p w14:paraId="275BD20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w:t>
      </w:r>
      <w:r>
        <w:rPr>
          <w:rFonts w:ascii="宋体" w:hAnsi="宋体"/>
          <w:sz w:val="24"/>
        </w:rPr>
        <w:lastRenderedPageBreak/>
        <w:t>基金托管人均有约束力。</w:t>
      </w:r>
    </w:p>
    <w:p w14:paraId="0895E21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14:paraId="79103E8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7F3B087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14:paraId="16C0DE8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14:paraId="0026A3E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14:paraId="656AEF9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52758A4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14:paraId="0246D70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14:paraId="72B31BF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14:paraId="5C442A4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14:paraId="3E1686B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14:paraId="0139DDD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（三）基金合同解除和终止的事由、程序</w:t>
      </w:r>
    </w:p>
    <w:p w14:paraId="23FF402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14:paraId="124D6FA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3FC19B0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（2）关于《基金合同》变更的基金份额持有人大会决议自生效后方可执行，并自决议生效后依照《信息披露办法》的规定在指定媒介公告。</w:t>
      </w:r>
    </w:p>
    <w:p w14:paraId="0164F13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14:paraId="188767D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14:paraId="1DA82D5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14:paraId="57DFBCA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14:paraId="3D553FA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（3）连续60个工作日出现基金份额持有人数量不满200人或者基金资产净值低于5000万元情形的，基金管理人提前终止基金合同，不需召开基金份额持有人大会；</w:t>
      </w:r>
    </w:p>
    <w:p w14:paraId="0A77B7E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14:paraId="2DD697F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14:paraId="1C8FEAE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14:paraId="58330DB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14:paraId="39A1D3A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14:paraId="1040E9D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14:paraId="2558680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14:paraId="4B9AA1F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14:paraId="0645468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14:paraId="2AAF2D7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14:paraId="1D6FFD3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14:paraId="6C519EF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14:paraId="124C32D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14:paraId="1048068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14:paraId="363026E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14:paraId="7050C03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14:paraId="64EB9B9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14:paraId="3DBD730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14:paraId="27F2DF1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14:paraId="2B64248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14:paraId="3BDA465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14:paraId="3FC8E4F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14:paraId="19040F5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14:paraId="4BCDB7B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14:paraId="2E0D3D39" w14:textId="77777777" w:rsidR="00F27890" w:rsidRPr="00355B93" w:rsidRDefault="00027971">
      <w:pPr>
        <w:autoSpaceDE w:val="0"/>
        <w:autoSpaceDN w:val="0"/>
        <w:adjustRightInd w:val="0"/>
        <w:snapToGrid w:val="0"/>
        <w:spacing w:line="360" w:lineRule="auto"/>
        <w:ind w:firstLineChars="200" w:firstLine="480"/>
        <w:jc w:val="left"/>
        <w:rPr>
          <w:rFonts w:ascii="宋体" w:hAnsi="宋体"/>
          <w:b/>
          <w:szCs w:val="24"/>
        </w:rPr>
      </w:pPr>
      <w:r w:rsidRPr="00355B93">
        <w:rPr>
          <w:rFonts w:ascii="宋体" w:hAnsi="宋体"/>
          <w:b/>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14:paraId="4CF27C7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14:paraId="0D9DA30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《基金合同》受中国法律管辖。</w:t>
      </w:r>
    </w:p>
    <w:p w14:paraId="7383BCB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（五）基金合同存放及投资者取得基金合同的方式</w:t>
      </w:r>
    </w:p>
    <w:p w14:paraId="1FEBF11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14:paraId="398D61D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14:paraId="7FF038F1" w14:textId="77777777" w:rsidR="00F27890" w:rsidRDefault="00027971">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3DC577B4" w14:textId="77777777" w:rsidR="00F27890" w:rsidRDefault="00027971">
      <w:pPr>
        <w:pStyle w:val="1"/>
        <w:snapToGrid w:val="0"/>
        <w:spacing w:beforeLines="0" w:before="240" w:after="240"/>
        <w:rPr>
          <w:rFonts w:ascii="宋体" w:hAnsi="宋体"/>
          <w:szCs w:val="30"/>
        </w:rPr>
      </w:pPr>
      <w:bookmarkStart w:id="27" w:name="_Toc200977069"/>
      <w:r>
        <w:rPr>
          <w:rFonts w:ascii="Times New Roman" w:hAnsi="Times New Roman"/>
          <w:sz w:val="30"/>
        </w:rPr>
        <w:t>二十二、托管协议的内容摘要</w:t>
      </w:r>
      <w:bookmarkEnd w:id="27"/>
    </w:p>
    <w:p w14:paraId="5B8DFB7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14:paraId="70F61F6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14:paraId="2D20DF8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14:paraId="612C482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14:paraId="7AD8377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14:paraId="53D588E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14:paraId="41F205A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14:paraId="7CD065B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14:paraId="61DAC2D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14:paraId="2072B11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14:paraId="6AFF9AA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14:paraId="6ADD3C2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14:paraId="4459A0A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14:paraId="3D73E8B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14:paraId="22B3EFC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14:paraId="6C03693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14:paraId="59E7F90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办公地址：北京市西城区复兴门内大街28号凯晨世贸中心东座九层</w:t>
      </w:r>
    </w:p>
    <w:p w14:paraId="3348AB2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14:paraId="05DAC074" w14:textId="295C9902"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w:t>
      </w:r>
      <w:r w:rsidR="00CA762D" w:rsidRPr="00CA762D">
        <w:rPr>
          <w:rFonts w:ascii="宋体" w:hAnsi="宋体" w:hint="eastAsia"/>
          <w:sz w:val="24"/>
        </w:rPr>
        <w:t>谷澍</w:t>
      </w:r>
    </w:p>
    <w:p w14:paraId="3415C7F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14:paraId="42A5B79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基金托管资格批准文号：中国证监会证监基字[1998]23号</w:t>
      </w:r>
    </w:p>
    <w:p w14:paraId="6A81A3D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14:paraId="0A76D2C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14:paraId="0B81298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14:paraId="75232F4E" w14:textId="5F17084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w:t>
      </w:r>
      <w:r w:rsidR="00CA762D" w:rsidRPr="00CA762D">
        <w:rPr>
          <w:rFonts w:ascii="宋体" w:hAnsi="宋体" w:hint="eastAsia"/>
          <w:sz w:val="24"/>
        </w:rPr>
        <w:t>吸收公众存款；发放短期、中期、长期贷款；办理国内外结算；办理票据承兑与贴现；发行金融债券；代理发行、代理兑付、承销政府债券；买卖政</w:t>
      </w:r>
      <w:r w:rsidR="00CA762D" w:rsidRPr="00CA762D">
        <w:rPr>
          <w:rFonts w:ascii="宋体" w:hAnsi="宋体" w:hint="eastAsia"/>
          <w:sz w:val="24"/>
        </w:rPr>
        <w:lastRenderedPageBreak/>
        <w:t>府债券、金融债券；从事同业拆借；买卖、代理买卖外汇；结汇、售汇；从事银行卡业务；提供信用证服务及担保；代理收付款项；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保险兼业代理业务。</w:t>
      </w:r>
    </w:p>
    <w:p w14:paraId="61DAA89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14:paraId="1C81857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14:paraId="2FE8ED7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w:t>
      </w:r>
      <w:r w:rsidR="00CA4D05" w:rsidRPr="00CA4D05">
        <w:rPr>
          <w:rFonts w:ascii="宋体" w:hAnsi="宋体" w:hint="eastAsia"/>
          <w:sz w:val="24"/>
        </w:rPr>
        <w:t>、存托凭证</w:t>
      </w:r>
      <w:r>
        <w:rPr>
          <w:rFonts w:ascii="宋体" w:hAnsi="宋体"/>
          <w:sz w:val="24"/>
        </w:rPr>
        <w:t>）、债券（包括国债、金融债、央行票据、地方政府债、政府支持机构债、企业债、公司债、短期融资券、超短期融资券、中期票据、可转换债券（含可交换债券、可分离交易可转债）、次级债等）、资产支持证券、债券回购、银行存款（包括定期存款、协议存款等）、同业存单、货币市场工具以及法律法规或中国证监会允许基金投资的其他金融工具（但须符合中国证监会相关规定）。</w:t>
      </w:r>
    </w:p>
    <w:p w14:paraId="15EA7E3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14:paraId="5FF7EBB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其中，投资于可转换债券（含可交换债券、可分离交易可转债）的比例不低于非现金基金资产的80%；本基金持有的现金或到期日在一年以内的政府债券的投资比例合计不低于基金资产净值的5%，其中现金不包括结算备付金、存出保证金、</w:t>
      </w:r>
      <w:r>
        <w:rPr>
          <w:rFonts w:ascii="宋体" w:hAnsi="宋体"/>
          <w:sz w:val="24"/>
        </w:rPr>
        <w:lastRenderedPageBreak/>
        <w:t>应收申购款等。</w:t>
      </w:r>
    </w:p>
    <w:p w14:paraId="451B14D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14:paraId="3AFA4C0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14:paraId="2F43619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（1）本基金投资于债券资产的比例不低于基金资产的80%，其中，投资于可转换债券（含可交换债券、可分离交易可转债）的比例不低于非现金基金资产的80%；</w:t>
      </w:r>
    </w:p>
    <w:p w14:paraId="4702B3E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（2）本基金持有的现金或者到期日在一年以内的政府债券的投资比例合计不低于基金资产净值的5%，其中现金不包括结算备付金、存出保证金和应收申购款等；</w:t>
      </w:r>
    </w:p>
    <w:p w14:paraId="4DBD19B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（3）本基金持有一家公司发行的证券，其市值不超过基金资产净值的10％,本基金投资于可转债（含可交换债券、可分离交易可转债）部分不受此条款限制；</w:t>
      </w:r>
    </w:p>
    <w:p w14:paraId="6A901EB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（4）本基金管理人管理的、且由本基金托管人托管的全部基金持有一家公司发行的证券，不超过该证券的10％，完全按照有关指数的构成比例进行证券投资的基金品种可以不受此条款规定的比例限制；</w:t>
      </w:r>
    </w:p>
    <w:p w14:paraId="35F6B31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14:paraId="544128B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（6）本基金管理人管理的、且由本基金托管人托管的全部基金持有的同一权证，不得超过该权证的10％；</w:t>
      </w:r>
    </w:p>
    <w:p w14:paraId="62C3A02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14:paraId="05E4412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14:paraId="20A3489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14:paraId="3325564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14:paraId="3A6C825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（11）本基金管理人管理的、且由本基金托管人托管的全部基金投资于同一原始权益人的各类资产支持证券，不得超过其各类资产支持证券合计规模的10％；</w:t>
      </w:r>
    </w:p>
    <w:p w14:paraId="6FD1308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w:t>
      </w:r>
      <w:r>
        <w:rPr>
          <w:rFonts w:ascii="宋体" w:hAnsi="宋体"/>
          <w:sz w:val="24"/>
        </w:rPr>
        <w:lastRenderedPageBreak/>
        <w:t>金持有资产支持证券期间，如果其信用等级下降、不再符合投资标准，应在评级报告发布之日起3个月内予以全部卖出；</w:t>
      </w:r>
    </w:p>
    <w:p w14:paraId="47406F1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14:paraId="0DF34F9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（14）、本基金进入全国银行间同业市场进行债券回购的资金余额不得超过基金资产净值的40%，进入全国银行间同业市场进行债券回购的最长期限为1年，债券回购到期后不得展期；</w:t>
      </w:r>
    </w:p>
    <w:p w14:paraId="4A40A26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完全按照有关指数的构成比例进行证券投资的开放式基金以及中国证监会认定的特殊投资组合可不受前述比例限制；</w:t>
      </w:r>
    </w:p>
    <w:p w14:paraId="2CA327C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14:paraId="0A38E4E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（17）本基金与私募类证券资管产品及中国证监会认定的其他主体为交易对手开展逆回购交易的，可接受质押品的资质要求应当与基金合同约定的投资范围保持一致；</w:t>
      </w:r>
    </w:p>
    <w:p w14:paraId="43B1C722" w14:textId="77777777" w:rsidR="00F27890" w:rsidRDefault="00027971">
      <w:pPr>
        <w:autoSpaceDE w:val="0"/>
        <w:autoSpaceDN w:val="0"/>
        <w:adjustRightInd w:val="0"/>
        <w:snapToGrid w:val="0"/>
        <w:spacing w:line="360" w:lineRule="auto"/>
        <w:ind w:firstLineChars="200" w:firstLine="480"/>
        <w:jc w:val="left"/>
        <w:rPr>
          <w:rFonts w:ascii="宋体" w:hAnsi="宋体"/>
          <w:sz w:val="24"/>
        </w:rPr>
      </w:pPr>
      <w:r>
        <w:rPr>
          <w:rFonts w:ascii="宋体" w:hAnsi="宋体"/>
          <w:sz w:val="24"/>
        </w:rPr>
        <w:t>（18）本基金资产总值不超过基金资产净值的140%；</w:t>
      </w:r>
    </w:p>
    <w:p w14:paraId="1631480F" w14:textId="77777777" w:rsidR="005D2BA4" w:rsidRDefault="005D2B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w:t>
      </w:r>
      <w:r w:rsidRPr="005D2BA4">
        <w:rPr>
          <w:rFonts w:ascii="宋体" w:hAnsi="宋体" w:hint="eastAsia"/>
          <w:sz w:val="24"/>
        </w:rPr>
        <w:t>本基金投资存托凭证的比例限制依照境内上市交易的股票执行；</w:t>
      </w:r>
    </w:p>
    <w:p w14:paraId="7BA61FB8" w14:textId="11A581A9"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w:t>
      </w:r>
      <w:r w:rsidR="005D2BA4">
        <w:rPr>
          <w:rFonts w:ascii="宋体" w:hAnsi="宋体"/>
          <w:sz w:val="24"/>
        </w:rPr>
        <w:t>20</w:t>
      </w:r>
      <w:r>
        <w:rPr>
          <w:rFonts w:ascii="宋体" w:hAnsi="宋体"/>
          <w:sz w:val="24"/>
        </w:rPr>
        <w:t>）法律法规及中国证监会规定的和《基金合同》约定的其他投资限制。</w:t>
      </w:r>
    </w:p>
    <w:p w14:paraId="2F1BBF7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12）、（16）、（17）项以外，因证券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14:paraId="568E231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25E5B6F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法律法规对上述投资组合比例限制进行变更的，以变更后的规定为准。法律法规或监管部门取消上述限制，如适用于本基金，基金管理人在履行适当程序后，则本基金投资不再受相关限制。</w:t>
      </w:r>
    </w:p>
    <w:p w14:paraId="78A8509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3、基金托管人根据有关法律法规的规定及基金合同的约定，对本协议第（十五）条第11项基金投资禁止行为进行监督。</w:t>
      </w:r>
    </w:p>
    <w:p w14:paraId="6C2848D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仍违规进行关联交易，并造成基金资产损失的，由基金管理人承担责任，基金托管人并有权向中国证监会报告。</w:t>
      </w:r>
    </w:p>
    <w:p w14:paraId="607EF20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011746D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2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w:t>
      </w:r>
      <w:r>
        <w:rPr>
          <w:rFonts w:ascii="宋体" w:hAnsi="宋体"/>
          <w:sz w:val="24"/>
        </w:rPr>
        <w:lastRenderedPageBreak/>
        <w:t>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14:paraId="75047EB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5、基金托管人根据有关法律法规的规定及基金合同的约定，对基金管理人投资银行存款进行监督。</w:t>
      </w:r>
    </w:p>
    <w:p w14:paraId="487E149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基金投资银行存款的，基金管理人应根据法律法规的规定及基金合同的约定，建立投资制度、审慎选择存款银行，做好风险控制；并按照基金托管人的要求配合基金托管人完成相关业务办理。</w:t>
      </w:r>
    </w:p>
    <w:p w14:paraId="27E7B4D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14:paraId="7F11CF2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14:paraId="69461C8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14:paraId="41C275B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14:paraId="5C2B9AB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14:paraId="0FDA59A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14:paraId="46AD73D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（4）在投资流通受限证券之前，基金管理人应至少提前一个交易日向基金托管人提供有关流通受限证券的相关信息，具体应当包括但不限于如下文件（如有）：</w:t>
      </w:r>
    </w:p>
    <w:p w14:paraId="0740FC3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14:paraId="63184A9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14:paraId="35F1FAF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14:paraId="1F3692F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14:paraId="0BB15D3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w:t>
      </w:r>
      <w:r>
        <w:rPr>
          <w:rFonts w:ascii="宋体" w:hAnsi="宋体"/>
          <w:sz w:val="24"/>
        </w:rPr>
        <w:lastRenderedPageBreak/>
        <w:t>报告中国证监会。</w:t>
      </w:r>
    </w:p>
    <w:p w14:paraId="2E5192A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14:paraId="0A7490D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14:paraId="34E5AFC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14:paraId="6A95EC3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基金资产净值和各类基金份额净值、根据基金管理人指令办理清算交收、相关信息披露和监督基金投资运作等行为。</w:t>
      </w:r>
    </w:p>
    <w:p w14:paraId="1493E24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14:paraId="085CB80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14:paraId="680BBBA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（四）基金财产保管</w:t>
      </w:r>
    </w:p>
    <w:p w14:paraId="252AE5D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14:paraId="79C0195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14:paraId="5999B75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14:paraId="791C35A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（3）基金托管人按照规定开设基金财产的资金账户、证券账户等投资所需账户。</w:t>
      </w:r>
    </w:p>
    <w:p w14:paraId="4A4299A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14:paraId="780DD48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14:paraId="459EA9E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14:paraId="72E9477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14:paraId="7A6717F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14:paraId="60101FA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（1）基金募集期间的认购款项应存于专用账户。该账户由基金管理人或基金管理人委托的登记机构开立并管理。</w:t>
      </w:r>
    </w:p>
    <w:p w14:paraId="659AFBF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托管资金账户，同时在规定时间内，聘请具有从事证券相关业务资格的会计师事务所进行验资，出具验资报告。出具的验资报告由参加验资的2名或2名以上中国注册会计师签字方为有效。</w:t>
      </w:r>
    </w:p>
    <w:p w14:paraId="05C0483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（3）若基金募集期限届满，未能达到基金备案的条件，由基金管理人按规定办理退款等事宜，基金托管人应提供充分协助。</w:t>
      </w:r>
    </w:p>
    <w:p w14:paraId="3C9E01A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14:paraId="14B3121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14:paraId="34C9670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托管人应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14:paraId="2D814DC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14:paraId="5490CE6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14:paraId="524A8DA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14:paraId="1129D3E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14:paraId="0CB4202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14:paraId="7541ADE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14:paraId="73B9C39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14:paraId="38928DE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14:paraId="695A49A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14:paraId="47C8861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14:paraId="72CD65A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银行间市场清算所股份有限公司的有关规定，以本基金的名义在中央国债登记结算有限责任公司、银行间市场清算所股份有限公司开立债券托管与结算账户，并代表基金进行银行间市场债券的结算。基金管理人和基金托管人同时代表基金签</w:t>
      </w:r>
      <w:r>
        <w:rPr>
          <w:rFonts w:ascii="宋体" w:hAnsi="宋体"/>
          <w:sz w:val="24"/>
        </w:rPr>
        <w:lastRenderedPageBreak/>
        <w:t>订全国银行间债券市场债券回购主协议。</w:t>
      </w:r>
    </w:p>
    <w:p w14:paraId="4CC1286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14:paraId="29370F5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14:paraId="4054715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14:paraId="028D16A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14:paraId="79AB152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14:paraId="335674A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14:paraId="16C4DC3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14:paraId="1942004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（五）基金资产净值计算、估值和会计核算</w:t>
      </w:r>
    </w:p>
    <w:p w14:paraId="14108D4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1、基金资产净值的计算及复核程序</w:t>
      </w:r>
    </w:p>
    <w:p w14:paraId="5A08206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14:paraId="04CFD9D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14:paraId="34E4354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按照每个工作日闭市后，该类基金份额的基金资产净值除以当日基金份额的余额数量计算。基金份额净值的计算，精确到0.0001元，小数点后第五位四舍五入，由此产生的误差计入基金财产。基金管理人可以设立大额赎回情形下的净值精度应急调整机制，具体可参见相关公告。国家另有规定的，从其规定。</w:t>
      </w:r>
    </w:p>
    <w:p w14:paraId="31DD363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基金管理人于每工作日计算各类基金份额的基金资产净值及基金份额净值，并按规定公告，如遇特殊情况，经中国证监会同意，可以适当延迟计算或公告。</w:t>
      </w:r>
    </w:p>
    <w:p w14:paraId="0E75D01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14:paraId="58BDFD9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基金管理人应每个工作日对基金资产估值。但基金管理人根据法律法规或基金</w:t>
      </w:r>
      <w:r>
        <w:rPr>
          <w:rFonts w:ascii="宋体" w:hAnsi="宋体"/>
          <w:sz w:val="24"/>
        </w:rPr>
        <w:lastRenderedPageBreak/>
        <w:t>合同的规定暂停估值时除外。基金管理人每个工作日对基金资产进行估值后，将各类基金份额净值结果发送基金托管人，经基金托管人复核无误后，由基金管理人依据基金合同和相关法律法规的规定对外公布。月末、年中和年末估值复核与基金会计账目的核对同时进行。</w:t>
      </w:r>
    </w:p>
    <w:p w14:paraId="0BB5886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2、基金资产估值方法和特殊情形的处理</w:t>
      </w:r>
    </w:p>
    <w:p w14:paraId="4E3DCFD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14:paraId="345C87A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基金所拥有的股票、债券和其他投资等持续以公允价值计量的金融资产及负债。</w:t>
      </w:r>
    </w:p>
    <w:p w14:paraId="5CCD3C9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14:paraId="4899DFF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14:paraId="5231FDA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62DC608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②交易所上市交易或挂牌转让的不含权固定收益品种（另有规定的除外），选取估值日第三方估值机构提供的相应品种当日的估值净价进行估值；</w:t>
      </w:r>
    </w:p>
    <w:p w14:paraId="3B70271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③交易所上市交易或挂牌转让的含权固定收益品种（另有规定的除外），选取估值日第三方估值机构提供的相应品种当日的唯一估值净价或推荐估值净价进行估值；</w:t>
      </w:r>
    </w:p>
    <w:p w14:paraId="58983D2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④交易所上市交易的可转换债券以每日收盘价作为估值全价；</w:t>
      </w:r>
    </w:p>
    <w:p w14:paraId="636DCF1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⑤交易所上市不存在活跃市场的有价证券，采用估值技术确定公允价值。交易所市场挂牌转让的资产支持证券，采用估值技术确定公允价值；</w:t>
      </w:r>
    </w:p>
    <w:p w14:paraId="06AD7BD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14:paraId="4875D26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14:paraId="6B16BD8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①送股、转增股、配股和公开增发的新股，按估值日在证券交易所挂牌的同一股票的估值方法估值；该日无交易的，以最近一日的市价（收盘价）估值；</w:t>
      </w:r>
    </w:p>
    <w:p w14:paraId="627279C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②首次公开发行未上市的股票、债券，采用估值技术确定公允价值，在估值技术难以可靠计量公允价值的情况下，按成本估值。</w:t>
      </w:r>
    </w:p>
    <w:p w14:paraId="5CB7947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09C8C2F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14:paraId="7A90E8D9" w14:textId="77777777" w:rsidR="00026CC6" w:rsidRDefault="00027971">
      <w:pPr>
        <w:autoSpaceDE w:val="0"/>
        <w:autoSpaceDN w:val="0"/>
        <w:adjustRightInd w:val="0"/>
        <w:snapToGrid w:val="0"/>
        <w:spacing w:line="360" w:lineRule="auto"/>
        <w:ind w:firstLineChars="200" w:firstLine="480"/>
        <w:jc w:val="left"/>
        <w:rPr>
          <w:rFonts w:ascii="宋体" w:hAnsi="宋体"/>
          <w:sz w:val="24"/>
        </w:rPr>
      </w:pPr>
      <w:r>
        <w:rPr>
          <w:rFonts w:ascii="宋体" w:hAnsi="宋体"/>
          <w:sz w:val="24"/>
        </w:rPr>
        <w:t>4）</w:t>
      </w:r>
      <w:r w:rsidR="00026CC6" w:rsidRPr="00026CC6">
        <w:rPr>
          <w:rFonts w:ascii="宋体" w:hAnsi="宋体" w:hint="eastAsia"/>
          <w:sz w:val="24"/>
        </w:rPr>
        <w:t>本基金投资存托凭证的估值核算依照境内上市交易的股票执行。</w:t>
      </w:r>
    </w:p>
    <w:p w14:paraId="75ECA771" w14:textId="61829D1C" w:rsidR="00F27890" w:rsidRDefault="00026CC6">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sz w:val="24"/>
        </w:rPr>
        <w:t>5</w:t>
      </w:r>
      <w:r>
        <w:rPr>
          <w:rFonts w:ascii="宋体" w:hAnsi="宋体"/>
          <w:sz w:val="24"/>
        </w:rPr>
        <w:t>）</w:t>
      </w:r>
      <w:r w:rsidR="00027971">
        <w:rPr>
          <w:rFonts w:ascii="宋体" w:hAnsi="宋体"/>
          <w:sz w:val="24"/>
        </w:rPr>
        <w:t>如有确凿证据表明按上述方法进行估值不能客观反映其公允价值的，基金管理人可根据具体情况与基金托管人商定后，按最能反映公允价值的价格估值。</w:t>
      </w:r>
    </w:p>
    <w:p w14:paraId="12E083DA" w14:textId="156BD929" w:rsidR="00F27890" w:rsidRDefault="00026CC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w:t>
      </w:r>
      <w:r w:rsidR="00027971">
        <w:rPr>
          <w:rFonts w:ascii="宋体" w:hAnsi="宋体"/>
          <w:sz w:val="24"/>
        </w:rPr>
        <w:t>）当发生大额申购或赎回情形时，基金管理人可以采用摆动定价机制，以确保基金估值的公平性。</w:t>
      </w:r>
    </w:p>
    <w:p w14:paraId="4A2F07F4" w14:textId="6576A62D" w:rsidR="00F27890" w:rsidRDefault="00026CC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w:t>
      </w:r>
      <w:r w:rsidR="00027971">
        <w:rPr>
          <w:rFonts w:ascii="宋体" w:hAnsi="宋体"/>
          <w:sz w:val="24"/>
        </w:rPr>
        <w:t>）相关法律法规以及监管部门有强制规定的，从其规定。如有新增事项，按国家最新规定估值。</w:t>
      </w:r>
    </w:p>
    <w:p w14:paraId="0950F99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02845A3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14:paraId="2A86D97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14:paraId="12505A29" w14:textId="13D1F39A"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1）基金管理人或基金托管人按估值方法的第</w:t>
      </w:r>
      <w:r w:rsidR="00026CC6">
        <w:rPr>
          <w:rFonts w:ascii="宋体" w:hAnsi="宋体" w:hint="eastAsia"/>
          <w:sz w:val="24"/>
        </w:rPr>
        <w:t>5</w:t>
      </w:r>
      <w:r>
        <w:rPr>
          <w:rFonts w:ascii="宋体" w:hAnsi="宋体"/>
          <w:sz w:val="24"/>
        </w:rPr>
        <w:t>）项进行估值时，所造成的误差不作为基金资产估值错误处理。</w:t>
      </w:r>
    </w:p>
    <w:p w14:paraId="2F9F916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14:paraId="179A640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3、基金估值错误的处理方式</w:t>
      </w:r>
    </w:p>
    <w:p w14:paraId="18FC363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第4位以内（含第4位）发生估值错误时，视为基金份额净值错误；基金份额净值出现错误时，基金管理人应当立即予以纠正，通报基金托管人，并采取合理的措施防止损失进一步扩大；错误偏差达到该类基金份额净值的0.25%时，基金管理人应当通报基金托管人并报中国证监会备案；错误偏差达到该类基金份额净值的0.5%时，基金管理人应当公告并报中国证监会备案；当发生基金份额净值错误时，由基金管理人负责处理，由此给基金份额持有人和基金造成损失的，应由基金管理人先行赔付，基金管理人按差错情形，有权向其他当事人追偿。</w:t>
      </w:r>
    </w:p>
    <w:p w14:paraId="1EB79A8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（2）当基金份额净值错误给基金和基金份额持有人造成损失需要进行赔偿时，基金管理人和基金托管人应根据实际情况界定双方承担的责任，经确认后按以下条款进行赔偿：</w:t>
      </w:r>
    </w:p>
    <w:p w14:paraId="04AF93F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14:paraId="5ECB642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管理人计算的基金份额净值已由基金托管人复核确认后公告，而且基金托管人未对计算过程提出疑义或要求基金管理人书面说明，基金份额净值错误且造成基金份额持有人损失的，应根据法律法规的规定对基金份额持有人或基金支付赔偿金，就实际向基金份额持有人或基金支付的赔偿金额，其中基金管理人承担50%，基金托管人承担50%。</w:t>
      </w:r>
    </w:p>
    <w:p w14:paraId="3BCE4A0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w:t>
      </w:r>
      <w:r>
        <w:rPr>
          <w:rFonts w:ascii="宋体" w:hAnsi="宋体"/>
          <w:sz w:val="24"/>
        </w:rPr>
        <w:lastRenderedPageBreak/>
        <w:t>理人负责赔付。</w:t>
      </w:r>
    </w:p>
    <w:p w14:paraId="73FB56F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基金管理人提供的信息错误（包括但不限于基金申购或赎回金额等），基金托管人在履行正常的复核程序后仍不能发现该错误，进而导致基金份额净值错误而引起的基金份额持有人和基金财产的损失，由基金管理人负责赔付。</w:t>
      </w:r>
    </w:p>
    <w:p w14:paraId="0C44532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（3）基金管理人和基金托管人由于各自技术系统设置而产生的净值计算尾差，以基金管理人计算结果为准。</w:t>
      </w:r>
    </w:p>
    <w:p w14:paraId="343761D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（4）前述内容如法律法规或监管机构另有规定的，从其规定处理。如果行业有通行做法，双方当事人应本着平等和保护基金份额持有人利益的原则进行协商。</w:t>
      </w:r>
    </w:p>
    <w:p w14:paraId="4BB0C74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4、暂停估值与公告基金份额净值的情形</w:t>
      </w:r>
    </w:p>
    <w:p w14:paraId="57D8B5C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14:paraId="2FC31AE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14:paraId="6AEB771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（3）当前一估值日基金资产净值50%以上的资产出现无可参考的活跃市场价格且采用估值技术仍导致公允价值存在重大不确定性时，经与基金托管人协商确认后，基金管理人应当暂停估值；</w:t>
      </w:r>
    </w:p>
    <w:p w14:paraId="66458F0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14:paraId="158C737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5、基金会计制度</w:t>
      </w:r>
    </w:p>
    <w:p w14:paraId="4837062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14:paraId="01F4098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14:paraId="0A1DF6C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w:t>
      </w:r>
    </w:p>
    <w:p w14:paraId="3A900FE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7、基金财务报表与报告的编制和复核</w:t>
      </w:r>
    </w:p>
    <w:p w14:paraId="43BDD2F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14:paraId="64532D0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编制并对外提供真实、完整的基金财务会计报告。月度报表的编制，基金管理人应于每月终了后5个工作日内完成；季度报告应在季度结束之日起15个工作日内编制完毕并予以公告；中期报告在会计年度半年终了后两个月</w:t>
      </w:r>
      <w:r>
        <w:rPr>
          <w:rFonts w:ascii="宋体" w:hAnsi="宋体"/>
          <w:sz w:val="24"/>
        </w:rPr>
        <w:lastRenderedPageBreak/>
        <w:t>内编制完毕并予以公告；年度报告在会计年度结束后三个月内编制完毕并予以公告。基金合同生效不足2个月的，基金管理人可以不编制当期季度报告、中期报告或者年度报告。</w:t>
      </w:r>
    </w:p>
    <w:p w14:paraId="65F3B44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14:paraId="51579A8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基金管理人在报表或定期报告完成当日，对报表盖章后，以加密传真方式或双方书面商定的其他方式将有关报表提供基金托管人复核。</w:t>
      </w:r>
    </w:p>
    <w:p w14:paraId="28CFF04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表完成当日，将报表盖章后提供给基金托管人复核；基金托管人在收到后应在3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日内完成复核，并将复核结果书面通知基金管理人。基金管理人在年度报告完成当日，将有关报告提供基金托管人复核，基金托管人应在收到后45日内完成复核，并将复核结果书面通知基金管理人。基金管理人和基金托管人之间的上述文件往来均以传真的方式或双方商定的其他方式进行。</w:t>
      </w:r>
    </w:p>
    <w:p w14:paraId="4C40C4D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托管业务专用章或者出具加盖托管业务专用章的复核意见书，双方各自留存一份。如果基金管理人与基金托管人不能于应当发布公告之日之前就相关报表达成一致，基金管理人有权按照其编制的报表对外发布公告，基金托管人有权就相关情况报中国证监会备案。</w:t>
      </w:r>
    </w:p>
    <w:p w14:paraId="6BCBE35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8、基金管理人应每季向基金托管人提供基金业绩比较基准的基础数据和编制结果。</w:t>
      </w:r>
    </w:p>
    <w:p w14:paraId="07DD50C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（六）基金份额持有人名册的保管</w:t>
      </w:r>
    </w:p>
    <w:p w14:paraId="5070C9E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14:paraId="11FF1E3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w:t>
      </w:r>
      <w:r>
        <w:rPr>
          <w:rFonts w:ascii="宋体" w:hAnsi="宋体"/>
          <w:sz w:val="24"/>
        </w:rPr>
        <w:lastRenderedPageBreak/>
        <w:t>管。基金托管人有权要求基金管理人提供任意一个交易日或全部交易日的基金份额持有人名册，基金管理人应及时提供，不得拖延或拒绝提供。</w:t>
      </w:r>
    </w:p>
    <w:p w14:paraId="0337797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14:paraId="023B1D9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14:paraId="30EA605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14:paraId="2A7F4644" w14:textId="77777777" w:rsidR="00F27890" w:rsidRPr="00355B93" w:rsidRDefault="00027971">
      <w:pPr>
        <w:autoSpaceDE w:val="0"/>
        <w:autoSpaceDN w:val="0"/>
        <w:adjustRightInd w:val="0"/>
        <w:snapToGrid w:val="0"/>
        <w:spacing w:line="360" w:lineRule="auto"/>
        <w:ind w:firstLineChars="200" w:firstLine="480"/>
        <w:jc w:val="left"/>
        <w:rPr>
          <w:rFonts w:ascii="宋体" w:hAnsi="宋体"/>
          <w:b/>
          <w:szCs w:val="24"/>
        </w:rPr>
      </w:pPr>
      <w:r w:rsidRPr="00355B93">
        <w:rPr>
          <w:rFonts w:ascii="宋体" w:hAnsi="宋体"/>
          <w:b/>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由败诉方承担。</w:t>
      </w:r>
    </w:p>
    <w:p w14:paraId="6FB76E4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14:paraId="6B0E6FE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本协议适用中华人民共和国法律并从其解释。</w:t>
      </w:r>
    </w:p>
    <w:p w14:paraId="23E7261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（八）托管协议的变更、终止与基金财产的清算</w:t>
      </w:r>
    </w:p>
    <w:p w14:paraId="75AC227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14:paraId="67B3AD6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14:paraId="730F8D9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14:paraId="36B8103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14:paraId="4E5385C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14:paraId="753FA45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14:paraId="25908C4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（4）发生法律法规、中国证监会或基金合同规定的其他终止事项。</w:t>
      </w:r>
    </w:p>
    <w:p w14:paraId="35623E3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14:paraId="14F95CD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w:t>
      </w:r>
    </w:p>
    <w:p w14:paraId="3D6C231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1）自出现《基金合同》终止事由之日起30个工作日内成立基金财产清算小组，基金管理人组织基金财产清算小组并在中国证监会的监督下进行基金清算。</w:t>
      </w:r>
    </w:p>
    <w:p w14:paraId="788AE18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2）基金财产清算小组成员由基金管理人、基金托管人、具有从事证券相关业务资格的注册会计师、律师以及中国证监会指定的人员组成。基金财产清算小组可以聘用必要的工作人员。</w:t>
      </w:r>
    </w:p>
    <w:p w14:paraId="02FBC0E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3）在基金财产清算过程中，基金管理人和基金托管人应各自履行职责，继续忠实、勤勉、尽责地履行基金合同和本托管协议规定的义务，维护基金份额持有人的合法权益。</w:t>
      </w:r>
    </w:p>
    <w:p w14:paraId="0F24404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4）基金财产清算小组负责基金财产的保管、清理、估价、变现和分配。基金财产清算小组可以依法进行必要的民事活动。</w:t>
      </w:r>
    </w:p>
    <w:p w14:paraId="7CC3906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（2）基金财产清算程序</w:t>
      </w:r>
    </w:p>
    <w:p w14:paraId="7587CCB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14:paraId="75C611F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14:paraId="4AAB866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14:paraId="314FB8E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4）编制清算报告；</w:t>
      </w:r>
    </w:p>
    <w:p w14:paraId="5A75DC3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w:t>
      </w:r>
    </w:p>
    <w:p w14:paraId="768F44A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6）聘请律师事务所对清算报告出具法律意见书；</w:t>
      </w:r>
    </w:p>
    <w:p w14:paraId="7149F72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7）将清算报告报中国证监会备案；</w:t>
      </w:r>
    </w:p>
    <w:p w14:paraId="3D9CC69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8）公告基金清算报告；</w:t>
      </w:r>
    </w:p>
    <w:p w14:paraId="427AE30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9）对基金剩余财产进行分配。</w:t>
      </w:r>
    </w:p>
    <w:p w14:paraId="7F642D0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基金财产清算的期限为6个月，但因本基金所持证券的流动性受到限制而不能及时变现的，清算期限相应顺延。</w:t>
      </w:r>
    </w:p>
    <w:p w14:paraId="41213DB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（3）清算费用</w:t>
      </w:r>
    </w:p>
    <w:p w14:paraId="33486D6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14:paraId="7C9A6B9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（4）基金财产按下列顺序清偿：</w:t>
      </w:r>
    </w:p>
    <w:p w14:paraId="4B1EC29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14:paraId="761C1E5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2）交纳所欠税款；</w:t>
      </w:r>
    </w:p>
    <w:p w14:paraId="2FC55A6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14:paraId="412B11F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14:paraId="2C5E038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14:paraId="2DBB46F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（5）基金财产清算的公告</w:t>
      </w:r>
    </w:p>
    <w:p w14:paraId="049E262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律师事务所出具法律意见书后，由基金财产清算小组报中国证监会备案并公告。基金财产清算公告于基金财产清算报告报中国证监会备案后5个工作日内由基金财产清算小组进行公告。</w:t>
      </w:r>
    </w:p>
    <w:p w14:paraId="422B923F"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14:paraId="1C96451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14:paraId="4BE47045" w14:textId="77777777" w:rsidR="00F27890" w:rsidRDefault="00027971">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15B3F1C4" w14:textId="77777777" w:rsidR="00F27890" w:rsidRDefault="00027971">
      <w:pPr>
        <w:pStyle w:val="1"/>
        <w:snapToGrid w:val="0"/>
        <w:spacing w:beforeLines="0" w:before="240" w:after="240"/>
        <w:rPr>
          <w:rFonts w:ascii="宋体" w:hAnsi="宋体"/>
          <w:szCs w:val="30"/>
        </w:rPr>
      </w:pPr>
      <w:bookmarkStart w:id="28" w:name="_Toc200977070"/>
      <w:r>
        <w:rPr>
          <w:rFonts w:ascii="Times New Roman" w:hAnsi="Times New Roman"/>
          <w:sz w:val="30"/>
        </w:rPr>
        <w:t>二十三、对基金份额持有人的服务</w:t>
      </w:r>
      <w:bookmarkEnd w:id="28"/>
    </w:p>
    <w:p w14:paraId="334EB8D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14:paraId="6E167C6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14:paraId="6FB05DC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14:paraId="5C098E3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14:paraId="75A139A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14:paraId="452EAB6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转换及定期定额投资等业务。通过网上直销交易平台办理本基金A类基金份额的申购和定期定额投资业务的个人投资者将享受前端申购费率的优惠。具体优惠费率请参见公司网站列示的网上直销交易平台申购、定期定额投资费率表或相关公告。</w:t>
      </w:r>
    </w:p>
    <w:p w14:paraId="2A72EE3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基金网上直销交易平台已开通的银行卡及各银行卡交易金额限额请参阅本基金管理人网站。</w:t>
      </w:r>
    </w:p>
    <w:p w14:paraId="162A166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14:paraId="67AAB73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14:paraId="1B42FF7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14:paraId="744E325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14:paraId="76EE3ED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14:paraId="2CECEB0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14:paraId="18009B26"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收益分配时，基金份额持有人持有的基金份额可选择现金红利或选择红利再投将现金红利自动转为基金份额进行再投资，若投资人不选择，本基金默认的收益分配方式是现金分红；基金份额持有人可对其持有的A类以及C类基金份额分别选择不同的收益分配方式。再投资红利按红利再投日（即除息日）除息后的基金份额净值自动转为基金份额，并免收申购费用。</w:t>
      </w:r>
    </w:p>
    <w:p w14:paraId="6A4CB819"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（五）基金转换业务</w:t>
      </w:r>
    </w:p>
    <w:p w14:paraId="1C3F993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14:paraId="4EE659D4"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（六）定期定额投资计划</w:t>
      </w:r>
    </w:p>
    <w:p w14:paraId="7610FB58"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本基金已开通定期定额投资计划，具体实施方法请参见相关公告。服务联系方式：</w:t>
      </w:r>
    </w:p>
    <w:p w14:paraId="04875D4D"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14:paraId="5813100A"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14:paraId="6E5B2AE5"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14:paraId="3A89762C"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14:paraId="46874DE0"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14:paraId="4FC366B0" w14:textId="77777777" w:rsidR="00F27890" w:rsidRDefault="00027971">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16473F63" w14:textId="77777777" w:rsidR="00F27890" w:rsidRDefault="00027971">
      <w:pPr>
        <w:pStyle w:val="1"/>
        <w:snapToGrid w:val="0"/>
        <w:spacing w:beforeLines="0" w:before="240" w:after="240"/>
        <w:rPr>
          <w:rFonts w:ascii="宋体" w:hAnsi="宋体"/>
          <w:szCs w:val="30"/>
        </w:rPr>
      </w:pPr>
      <w:bookmarkStart w:id="29" w:name="_Toc200977071"/>
      <w:r>
        <w:rPr>
          <w:rFonts w:ascii="Times New Roman" w:hAnsi="Times New Roman"/>
          <w:sz w:val="30"/>
        </w:rPr>
        <w:t>二十四、其他应披露事项</w:t>
      </w:r>
      <w:bookmarkEnd w:id="29"/>
    </w:p>
    <w:p w14:paraId="46577D7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4A0" w:firstRow="1" w:lastRow="0" w:firstColumn="1" w:lastColumn="0" w:noHBand="0" w:noVBand="1"/>
      </w:tblPr>
      <w:tblGrid>
        <w:gridCol w:w="1008"/>
        <w:gridCol w:w="3025"/>
        <w:gridCol w:w="3024"/>
        <w:gridCol w:w="1613"/>
      </w:tblGrid>
      <w:tr w:rsidR="00F27890" w14:paraId="4869B4E2"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5747F5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14:paraId="014703C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14:paraId="1C68BFD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14:paraId="799446B6"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F27890" w14:paraId="125055C6"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A4D0E9B"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14:paraId="1936153F"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w:t>
            </w:r>
            <w:r>
              <w:rPr>
                <w:rFonts w:ascii="Times New Roman" w:hAnsi="Times New Roman"/>
                <w:color w:val="000000"/>
                <w:kern w:val="0"/>
                <w:sz w:val="25"/>
                <w:szCs w:val="24"/>
              </w:rPr>
              <w:t>更新</w:t>
            </w:r>
            <w:r>
              <w:rPr>
                <w:rFonts w:ascii="Times New Roman" w:hAnsi="Times New Roman"/>
                <w:color w:val="000000"/>
                <w:kern w:val="0"/>
                <w:sz w:val="25"/>
                <w:szCs w:val="24"/>
              </w:rPr>
              <w:t>)</w:t>
            </w:r>
            <w:r>
              <w:rPr>
                <w:rFonts w:ascii="Times New Roman" w:hAnsi="Times New Roman"/>
                <w:color w:val="000000"/>
                <w:kern w:val="0"/>
                <w:sz w:val="25"/>
                <w:szCs w:val="24"/>
              </w:rPr>
              <w:t>招募说明书</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号</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14:paraId="4AD9C98F"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20164B3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2024-06-21</w:t>
            </w:r>
          </w:p>
        </w:tc>
      </w:tr>
      <w:tr w:rsidR="00F27890" w14:paraId="30A2E4BB"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EF749C6"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14:paraId="5FD5F749"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号</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14:paraId="2E7C9ADD"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7D4DE6F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2024-06-21</w:t>
            </w:r>
          </w:p>
        </w:tc>
      </w:tr>
      <w:tr w:rsidR="00F27890" w14:paraId="046E32AB"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42DA097"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14:paraId="1576A5B6"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号</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14:paraId="03BFFD7B"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776BFA4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2024-06-21</w:t>
            </w:r>
          </w:p>
        </w:tc>
      </w:tr>
      <w:tr w:rsidR="00F27890" w14:paraId="702263DD"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29A83BE"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14:paraId="4CBCDDA6"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交银施罗德基金管理有限公司关于增加国金证券股份有限公司为旗下基金的销售机构的公告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14:paraId="04900A0B"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24DDE83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2024-07-08</w:t>
            </w:r>
          </w:p>
        </w:tc>
      </w:tr>
      <w:tr w:rsidR="00F27890" w14:paraId="12216943"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25E05F9"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14:paraId="1C1828DB"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14:paraId="65E415B9"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7A2254F0"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2024-07-18</w:t>
            </w:r>
          </w:p>
        </w:tc>
      </w:tr>
      <w:tr w:rsidR="00F27890" w14:paraId="14E6389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6CFDC60"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14:paraId="0F4608B9"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交银施罗德基金管理有限公司旗下全部基金</w:t>
            </w:r>
            <w:r>
              <w:rPr>
                <w:rFonts w:ascii="Times New Roman" w:hAnsi="Times New Roman"/>
                <w:color w:val="000000"/>
                <w:kern w:val="0"/>
                <w:sz w:val="25"/>
                <w:szCs w:val="24"/>
              </w:rPr>
              <w:t>2024</w:t>
            </w:r>
            <w:r>
              <w:rPr>
                <w:rFonts w:ascii="Times New Roman" w:hAnsi="Times New Roman"/>
                <w:color w:val="000000"/>
                <w:kern w:val="0"/>
                <w:sz w:val="25"/>
                <w:szCs w:val="24"/>
              </w:rPr>
              <w:t>年第二季度报告提示性公告</w:t>
            </w:r>
          </w:p>
        </w:tc>
        <w:tc>
          <w:tcPr>
            <w:tcW w:w="750" w:type="pct"/>
            <w:tcBorders>
              <w:top w:val="single" w:sz="4" w:space="0" w:color="auto"/>
              <w:left w:val="single" w:sz="4" w:space="0" w:color="auto"/>
              <w:bottom w:val="single" w:sz="4" w:space="0" w:color="auto"/>
              <w:right w:val="single" w:sz="4" w:space="0" w:color="auto"/>
            </w:tcBorders>
            <w:vAlign w:val="center"/>
          </w:tcPr>
          <w:p w14:paraId="0CC95D61"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2410003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2024-07-18</w:t>
            </w:r>
          </w:p>
        </w:tc>
      </w:tr>
      <w:tr w:rsidR="00F27890" w14:paraId="69307BD7"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F15F28A"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14:paraId="6806715F"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交银施罗德基金管理有限公司关于董事长离任及代任董事长（法定代表人）的公告</w:t>
            </w:r>
          </w:p>
        </w:tc>
        <w:tc>
          <w:tcPr>
            <w:tcW w:w="750" w:type="pct"/>
            <w:tcBorders>
              <w:top w:val="single" w:sz="4" w:space="0" w:color="auto"/>
              <w:left w:val="single" w:sz="4" w:space="0" w:color="auto"/>
              <w:bottom w:val="single" w:sz="4" w:space="0" w:color="auto"/>
              <w:right w:val="single" w:sz="4" w:space="0" w:color="auto"/>
            </w:tcBorders>
            <w:vAlign w:val="center"/>
          </w:tcPr>
          <w:p w14:paraId="5A38302A"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389C8F41"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2024-08-17</w:t>
            </w:r>
          </w:p>
        </w:tc>
      </w:tr>
      <w:tr w:rsidR="00F27890" w14:paraId="4DEC5BA4"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40BCF09"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14:paraId="54123D46"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14:paraId="5AC57853"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64A5F672"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2024-08-30</w:t>
            </w:r>
          </w:p>
        </w:tc>
      </w:tr>
      <w:tr w:rsidR="00F27890" w14:paraId="4801CE1C"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F846F73"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14:paraId="16B49CEB"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交银施罗德基金管理有限公司旗下全部基金</w:t>
            </w:r>
            <w:r>
              <w:rPr>
                <w:rFonts w:ascii="Times New Roman" w:hAnsi="Times New Roman"/>
                <w:color w:val="000000"/>
                <w:kern w:val="0"/>
                <w:sz w:val="25"/>
                <w:szCs w:val="24"/>
              </w:rPr>
              <w:t>2024</w:t>
            </w:r>
            <w:r>
              <w:rPr>
                <w:rFonts w:ascii="Times New Roman" w:hAnsi="Times New Roman"/>
                <w:color w:val="000000"/>
                <w:kern w:val="0"/>
                <w:sz w:val="25"/>
                <w:szCs w:val="24"/>
              </w:rPr>
              <w:t>年中期报告提示性公告</w:t>
            </w:r>
          </w:p>
        </w:tc>
        <w:tc>
          <w:tcPr>
            <w:tcW w:w="750" w:type="pct"/>
            <w:tcBorders>
              <w:top w:val="single" w:sz="4" w:space="0" w:color="auto"/>
              <w:left w:val="single" w:sz="4" w:space="0" w:color="auto"/>
              <w:bottom w:val="single" w:sz="4" w:space="0" w:color="auto"/>
              <w:right w:val="single" w:sz="4" w:space="0" w:color="auto"/>
            </w:tcBorders>
            <w:vAlign w:val="center"/>
          </w:tcPr>
          <w:p w14:paraId="29F4ACE1"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2A98EE7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2024-08-30</w:t>
            </w:r>
          </w:p>
        </w:tc>
      </w:tr>
      <w:tr w:rsidR="00F27890" w14:paraId="270E1B9A"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84CD17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14:paraId="060C1B59"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14:paraId="1981CE6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23D7C0D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F27890" w14:paraId="507BFE9D"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345A37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14:paraId="019CA868"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交银施罗德基金管理有限公司关于董事长（法定代表人）任职的公告</w:t>
            </w:r>
          </w:p>
        </w:tc>
        <w:tc>
          <w:tcPr>
            <w:tcW w:w="750" w:type="pct"/>
            <w:tcBorders>
              <w:top w:val="single" w:sz="4" w:space="0" w:color="auto"/>
              <w:left w:val="single" w:sz="4" w:space="0" w:color="auto"/>
              <w:bottom w:val="single" w:sz="4" w:space="0" w:color="auto"/>
              <w:right w:val="single" w:sz="4" w:space="0" w:color="auto"/>
            </w:tcBorders>
            <w:vAlign w:val="center"/>
          </w:tcPr>
          <w:p w14:paraId="71F55CA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6CF00EF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F27890" w14:paraId="3F96F918"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FE3ACDE"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14:paraId="1C6BA6B4"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交银施罗德基金管理有限公司高级管理人员任职公告</w:t>
            </w:r>
          </w:p>
        </w:tc>
        <w:tc>
          <w:tcPr>
            <w:tcW w:w="750" w:type="pct"/>
            <w:tcBorders>
              <w:top w:val="single" w:sz="4" w:space="0" w:color="auto"/>
              <w:left w:val="single" w:sz="4" w:space="0" w:color="auto"/>
              <w:bottom w:val="single" w:sz="4" w:space="0" w:color="auto"/>
              <w:right w:val="single" w:sz="4" w:space="0" w:color="auto"/>
            </w:tcBorders>
            <w:vAlign w:val="center"/>
          </w:tcPr>
          <w:p w14:paraId="68E70A00"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02778E3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F27890" w14:paraId="682FE455"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DDEDAE6"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14:paraId="0980777C"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14:paraId="20747FEE"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305C838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F27890" w14:paraId="1E24E517"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057737D"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14:paraId="05F63763"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交银施罗德基金管理有限公司关于交银施罗德可转债债券型证券投资基金基金经理变更公告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14:paraId="51B7948D"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0ACAB8E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2025-01-08</w:t>
            </w:r>
          </w:p>
        </w:tc>
      </w:tr>
      <w:tr w:rsidR="00F27890" w14:paraId="0B872425"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8757568"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14:paraId="1D25C64A"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14:paraId="4D34BE81"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7B7D287C"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2025-01-13</w:t>
            </w:r>
          </w:p>
        </w:tc>
      </w:tr>
      <w:tr w:rsidR="00F27890" w14:paraId="6FCDEC03"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A826619"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14:paraId="5793B1EF"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14:paraId="581E0A6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1381A61A"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2025-01-13</w:t>
            </w:r>
          </w:p>
        </w:tc>
      </w:tr>
      <w:tr w:rsidR="00F27890" w14:paraId="36BA738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9E4349D"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14:paraId="52C338E3"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14:paraId="266A2BBE"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521CD23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2025-01-13</w:t>
            </w:r>
          </w:p>
        </w:tc>
      </w:tr>
      <w:tr w:rsidR="00F27890" w14:paraId="14C675A6"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9EF0E89"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14:paraId="530D6759"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14:paraId="4442A968"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4C69E015"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F27890" w14:paraId="58EBD367"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C9C29FD"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14:paraId="2E0389BB"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14:paraId="58C794F6"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7BAA8CE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F27890" w14:paraId="067FF39D"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A1A08D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14:paraId="03D1BB3C"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交银施罗德基金管理有限公司关于增加申万宏源西部证券有限公司为旗下基金的销售机构的公告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14:paraId="200896D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048F3F67"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2025-02-25</w:t>
            </w:r>
          </w:p>
        </w:tc>
      </w:tr>
      <w:tr w:rsidR="00F27890" w14:paraId="79AA3AB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5B1936A"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14:paraId="3871515B"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交银施罗德基金管理有限公司关于增加申万宏源证券有限公司为旗下基金的销售机构的公告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14:paraId="6E4ACFAC"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470DDB7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2025-02-25</w:t>
            </w:r>
          </w:p>
        </w:tc>
      </w:tr>
      <w:tr w:rsidR="00F27890" w14:paraId="34734C56"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29BD621"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14:paraId="7F725A78"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交银施罗德基金管理有限公司关于增加中信期货有限公司为旗下基金的销售机构的公告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14:paraId="6105AD6B"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31DADD94"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F27890" w14:paraId="20E482FC"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644435A"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14:paraId="43D8B1CE"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交银施罗德基金管理有限公司关于增加中信证券华南股份有限公司为旗下基金的销售机构的公告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14:paraId="6B2A0B11"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46F78635"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F27890" w14:paraId="431E99C4"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981CE51"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24</w:t>
            </w:r>
          </w:p>
        </w:tc>
        <w:tc>
          <w:tcPr>
            <w:tcW w:w="750" w:type="pct"/>
            <w:tcBorders>
              <w:top w:val="single" w:sz="4" w:space="0" w:color="auto"/>
              <w:left w:val="single" w:sz="4" w:space="0" w:color="auto"/>
              <w:bottom w:val="single" w:sz="4" w:space="0" w:color="auto"/>
              <w:right w:val="single" w:sz="4" w:space="0" w:color="auto"/>
            </w:tcBorders>
            <w:vAlign w:val="center"/>
          </w:tcPr>
          <w:p w14:paraId="03D4F24A"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14:paraId="1B5FB3E9"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4185BFD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F27890" w14:paraId="49144F6A"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7FDC02F"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14:paraId="2CC28598"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交银施罗德基金管理有限公司关于增加中信证券（山东）有限责任公司为旗下基金的销售机构的公告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14:paraId="3D8BECBD"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3C05E44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F27890" w14:paraId="3344B41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B376F80"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14:paraId="08BD3AC0"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14:paraId="5E838288"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763390B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F27890" w14:paraId="1D37FB9B"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DBDEC49"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14:paraId="2A1E981E"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14:paraId="72BE8A71"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12D1FF33"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F27890" w14:paraId="2564282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7BC2601"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14:paraId="580AACC8"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交银施罗德基金管理有限公司关于增加申港证券股份有限公司为旗下基金的销售机构的公告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14:paraId="2C936C3E"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2EAC5C7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2025-04-09</w:t>
            </w:r>
          </w:p>
        </w:tc>
      </w:tr>
      <w:tr w:rsidR="00F27890" w14:paraId="750DF94B"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E665C9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sz="4" w:space="0" w:color="auto"/>
              <w:left w:val="single" w:sz="4" w:space="0" w:color="auto"/>
              <w:bottom w:val="single" w:sz="4" w:space="0" w:color="auto"/>
              <w:right w:val="single" w:sz="4" w:space="0" w:color="auto"/>
            </w:tcBorders>
            <w:vAlign w:val="center"/>
          </w:tcPr>
          <w:p w14:paraId="07FA7AE0"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交银施罗德基金管理有限公司关于增加申万宏源西部证券有限公司为旗下基金的销售机构的公告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14:paraId="2F48A670"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1125DFF8"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2025-04-10</w:t>
            </w:r>
          </w:p>
        </w:tc>
      </w:tr>
      <w:tr w:rsidR="00F27890" w14:paraId="752E534B"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421A809"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sz="4" w:space="0" w:color="auto"/>
              <w:left w:val="single" w:sz="4" w:space="0" w:color="auto"/>
              <w:bottom w:val="single" w:sz="4" w:space="0" w:color="auto"/>
              <w:right w:val="single" w:sz="4" w:space="0" w:color="auto"/>
            </w:tcBorders>
            <w:vAlign w:val="center"/>
          </w:tcPr>
          <w:p w14:paraId="0A38296E"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交银施罗德基金管理有限公司关于增加申万宏源证券有限公司为旗下基金的销售机构的公告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14:paraId="279A115E"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5C9903A9"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2025-04-10</w:t>
            </w:r>
          </w:p>
        </w:tc>
      </w:tr>
      <w:tr w:rsidR="00F27890" w14:paraId="4BAC08F3"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D3E497A"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14:paraId="2995901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交银施罗德基金管理有限公司关于增加招商证券股份有限公司为旗下基金的销售机构的公告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14:paraId="69C54966"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509DAABE"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2025-04-14</w:t>
            </w:r>
          </w:p>
        </w:tc>
      </w:tr>
      <w:tr w:rsidR="00F27890" w14:paraId="1EB0037B"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1E02886"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sz="4" w:space="0" w:color="auto"/>
              <w:left w:val="single" w:sz="4" w:space="0" w:color="auto"/>
              <w:bottom w:val="single" w:sz="4" w:space="0" w:color="auto"/>
              <w:right w:val="single" w:sz="4" w:space="0" w:color="auto"/>
            </w:tcBorders>
            <w:vAlign w:val="center"/>
          </w:tcPr>
          <w:p w14:paraId="2F7F52C7"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14:paraId="42977BAD"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48707E74"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F27890" w14:paraId="43595881"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1824944"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sz="4" w:space="0" w:color="auto"/>
              <w:left w:val="single" w:sz="4" w:space="0" w:color="auto"/>
              <w:bottom w:val="single" w:sz="4" w:space="0" w:color="auto"/>
              <w:right w:val="single" w:sz="4" w:space="0" w:color="auto"/>
            </w:tcBorders>
            <w:vAlign w:val="center"/>
          </w:tcPr>
          <w:p w14:paraId="5E41AFC3"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交银施罗德基金管理有限公司关于增加山西证券股份有限公司为旗下基金的销售机构的公告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14:paraId="1900A18F"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4842BCFF"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F27890" w14:paraId="2EC04FE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5A52CD8"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sz="4" w:space="0" w:color="auto"/>
              <w:left w:val="single" w:sz="4" w:space="0" w:color="auto"/>
              <w:bottom w:val="single" w:sz="4" w:space="0" w:color="auto"/>
              <w:right w:val="single" w:sz="4" w:space="0" w:color="auto"/>
            </w:tcBorders>
            <w:vAlign w:val="center"/>
          </w:tcPr>
          <w:p w14:paraId="3CB64E75"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交银施罗德基金管理有限公司关于增加国新证券股份有限公司为旗下基金的销售机构的公告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14:paraId="38ECBF3D" w14:textId="77777777" w:rsidR="00F27890" w:rsidRDefault="000279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6D714DBD" w14:textId="77777777" w:rsidR="00F27890" w:rsidRDefault="000279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2025-05-16</w:t>
            </w:r>
          </w:p>
        </w:tc>
      </w:tr>
    </w:tbl>
    <w:p w14:paraId="22C6680D" w14:textId="77777777" w:rsidR="00F27890" w:rsidRDefault="00027971">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30927C5C" w14:textId="77777777" w:rsidR="00F27890" w:rsidRDefault="00027971">
      <w:pPr>
        <w:pStyle w:val="1"/>
        <w:snapToGrid w:val="0"/>
        <w:spacing w:beforeLines="0" w:before="240" w:after="240"/>
        <w:rPr>
          <w:rFonts w:ascii="宋体" w:hAnsi="宋体"/>
          <w:szCs w:val="30"/>
        </w:rPr>
      </w:pPr>
      <w:bookmarkStart w:id="30" w:name="_Toc200977072"/>
      <w:r>
        <w:rPr>
          <w:rFonts w:ascii="Times New Roman" w:hAnsi="Times New Roman"/>
          <w:sz w:val="30"/>
        </w:rPr>
        <w:t>二十五、招募说明书的存放及查阅方式</w:t>
      </w:r>
      <w:bookmarkEnd w:id="30"/>
    </w:p>
    <w:p w14:paraId="7EB9B3C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和营业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14:paraId="3531E741"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14:paraId="56817111" w14:textId="77777777" w:rsidR="00F27890" w:rsidRDefault="00027971">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3EDB8BD1" w14:textId="77777777" w:rsidR="00F27890" w:rsidRDefault="00027971">
      <w:pPr>
        <w:pStyle w:val="1"/>
        <w:snapToGrid w:val="0"/>
        <w:spacing w:beforeLines="0" w:before="240" w:after="240"/>
        <w:rPr>
          <w:rFonts w:ascii="宋体" w:hAnsi="宋体"/>
          <w:szCs w:val="30"/>
        </w:rPr>
      </w:pPr>
      <w:bookmarkStart w:id="31" w:name="_Toc200977073"/>
      <w:r>
        <w:rPr>
          <w:rFonts w:ascii="Times New Roman" w:hAnsi="Times New Roman"/>
          <w:sz w:val="30"/>
        </w:rPr>
        <w:t>二十六、备查文件</w:t>
      </w:r>
      <w:bookmarkEnd w:id="31"/>
    </w:p>
    <w:p w14:paraId="078FA752"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14:paraId="2D12B8D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（一）中国证监会准予交银施罗德可转债债券型证券投资基金募集注册的文件</w:t>
      </w:r>
    </w:p>
    <w:p w14:paraId="42494DC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（二）《交银施罗德可转债债券型证券投资基金基金合同》</w:t>
      </w:r>
    </w:p>
    <w:p w14:paraId="113A481B"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（三）《交银施罗德可转债债券型证券投资基金托管协议》</w:t>
      </w:r>
    </w:p>
    <w:p w14:paraId="03ECE1BE"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14:paraId="319CF6C3"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14:paraId="6DB36E47" w14:textId="77777777" w:rsidR="00F27890" w:rsidRDefault="000279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（六）关于申请募集注册交银施罗德可转债债券型证券投资基金的法律意见书</w:t>
      </w:r>
    </w:p>
    <w:sectPr w:rsidR="00F27890">
      <w:footerReference w:type="default" r:id="rId19"/>
      <w:pgSz w:w="11920" w:h="16840"/>
      <w:pgMar w:top="1360" w:right="1580" w:bottom="280" w:left="1680" w:header="0" w:footer="118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5A59B2" w14:textId="77777777" w:rsidR="00182014" w:rsidRDefault="00182014">
      <w:r>
        <w:separator/>
      </w:r>
    </w:p>
  </w:endnote>
  <w:endnote w:type="continuationSeparator" w:id="0">
    <w:p w14:paraId="5110E30F" w14:textId="77777777" w:rsidR="00182014" w:rsidRDefault="00182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DEA34" w14:textId="77777777" w:rsidR="003B338C" w:rsidRDefault="003B338C">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03978" w14:textId="77777777" w:rsidR="003B338C" w:rsidRDefault="00182014">
    <w:pPr>
      <w:autoSpaceDE w:val="0"/>
      <w:autoSpaceDN w:val="0"/>
      <w:adjustRightInd w:val="0"/>
      <w:spacing w:line="200" w:lineRule="exact"/>
      <w:jc w:val="left"/>
      <w:rPr>
        <w:rFonts w:ascii="Times New Roman" w:hAnsi="Times New Roman"/>
        <w:kern w:val="0"/>
        <w:sz w:val="20"/>
        <w:szCs w:val="20"/>
      </w:rPr>
    </w:pPr>
    <w:r>
      <w:pict w14:anchorId="7F5D440C">
        <v:shapetype id="_x0000_t202" coordsize="21600,21600" o:spt="202" path="m,l,21600r21600,l21600,xe">
          <v:stroke joinstyle="miter"/>
          <v:path gradientshapeok="t" o:connecttype="rect"/>
        </v:shapetype>
        <v:shape id="_x0000_s2049" type="#_x0000_t202" style="position:absolute;margin-left:293.4pt;margin-top:782.6pt;width:21.6pt;height:11pt;z-index:-2;mso-position-horizontal-relative:page;mso-position-vertical-relative:page;mso-width-relative:page;mso-height-relative:page" o:allowincell="f" filled="f" stroked="f">
          <v:textbox inset="0,0,0,0">
            <w:txbxContent>
              <w:p w14:paraId="2BF4A541" w14:textId="3AE7E1B8" w:rsidR="003B338C" w:rsidRDefault="003B338C">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355B93">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872BF" w14:textId="77777777" w:rsidR="003B338C" w:rsidRDefault="003B338C">
    <w:pPr>
      <w:pStyle w:val="a8"/>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3616F" w14:textId="77777777" w:rsidR="003B338C" w:rsidRDefault="00182014">
    <w:pPr>
      <w:autoSpaceDE w:val="0"/>
      <w:autoSpaceDN w:val="0"/>
      <w:adjustRightInd w:val="0"/>
      <w:spacing w:line="200" w:lineRule="exact"/>
      <w:jc w:val="left"/>
      <w:rPr>
        <w:rFonts w:ascii="Times New Roman" w:hAnsi="Times New Roman"/>
        <w:kern w:val="0"/>
        <w:sz w:val="20"/>
        <w:szCs w:val="20"/>
      </w:rPr>
    </w:pPr>
    <w:r>
      <w:pict w14:anchorId="6505D621">
        <v:shapetype id="_x0000_t202" coordsize="21600,21600" o:spt="202" path="m,l,21600r21600,l21600,xe">
          <v:stroke joinstyle="miter"/>
          <v:path gradientshapeok="t" o:connecttype="rect"/>
        </v:shapetype>
        <v:shape id="_x0000_s2068" type="#_x0000_t202" style="position:absolute;margin-left:291.25pt;margin-top:773.85pt;width:33.5pt;height:11pt;z-index:-1;mso-position-horizontal-relative:page;mso-position-vertical-relative:page;mso-width-relative:page;mso-height-relative:page" o:allowincell="f" filled="f" stroked="f">
          <v:textbox inset="0,0,0,0">
            <w:txbxContent>
              <w:p w14:paraId="046DAC50" w14:textId="278C16F5" w:rsidR="003B338C" w:rsidRDefault="003B338C">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355B93">
                  <w:rPr>
                    <w:rFonts w:ascii="Times New Roman" w:hAnsi="Times New Roman"/>
                    <w:noProof/>
                    <w:kern w:val="0"/>
                    <w:sz w:val="18"/>
                    <w:szCs w:val="18"/>
                  </w:rPr>
                  <w:t>20</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4AB32A" w14:textId="77777777" w:rsidR="00182014" w:rsidRDefault="00182014">
      <w:r>
        <w:separator/>
      </w:r>
    </w:p>
  </w:footnote>
  <w:footnote w:type="continuationSeparator" w:id="0">
    <w:p w14:paraId="2D63FDCF" w14:textId="77777777" w:rsidR="00182014" w:rsidRDefault="0018201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9811F" w14:textId="77777777" w:rsidR="003B338C" w:rsidRDefault="003B338C">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21399" w14:textId="77777777" w:rsidR="003B338C" w:rsidRDefault="00182014">
    <w:pPr>
      <w:pStyle w:val="aa"/>
      <w:jc w:val="right"/>
    </w:pPr>
    <w:r>
      <w:rPr>
        <w:noProof/>
      </w:rPr>
      <w:pict w14:anchorId="5EB5CB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71" type="#_x0000_t75" alt="logo1" style="position:absolute;left:0;text-align:left;margin-left:1.5pt;margin-top:-12pt;width:135pt;height:18.75pt;z-index:1;visibility:visible;mso-wrap-style:square;mso-wrap-distance-left:9pt;mso-wrap-distance-top:0;mso-wrap-distance-right:9pt;mso-wrap-distance-bottom:0;mso-position-horizontal:absolute;mso-position-horizontal-relative:text;mso-position-vertical:absolute;mso-position-vertical-relative:text">
          <v:imagedata r:id="rId1" o:title="logo1"/>
        </v:shape>
      </w:pict>
    </w:r>
  </w:p>
  <w:p w14:paraId="39A6B22B" w14:textId="77777777" w:rsidR="003B338C" w:rsidRDefault="003B338C">
    <w:pPr>
      <w:pStyle w:val="aa"/>
      <w:jc w:val="right"/>
      <w:rPr>
        <w:rFonts w:ascii="宋体" w:hAnsi="宋体"/>
      </w:rPr>
    </w:pPr>
    <w:r>
      <w:rPr>
        <w:rFonts w:ascii="宋体" w:hAnsi="宋体" w:hint="eastAsia"/>
      </w:rPr>
      <w:t>交银施罗德可转债债券型证券投资基金招募说明书更新</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882C4C" w14:textId="77777777" w:rsidR="003B338C" w:rsidRDefault="003B338C">
    <w:pPr>
      <w:pStyle w:val="11"/>
      <w:jc w:val="right"/>
    </w:pPr>
  </w:p>
  <w:p w14:paraId="361836D4" w14:textId="77777777" w:rsidR="003B338C" w:rsidRDefault="003B338C">
    <w:pPr>
      <w:pStyle w:val="11"/>
      <w:jc w:val="right"/>
    </w:pPr>
  </w:p>
  <w:p w14:paraId="59FC26F9" w14:textId="77777777" w:rsidR="003B338C" w:rsidRDefault="003B338C">
    <w:pPr>
      <w:pStyle w:val="aa"/>
      <w:jc w:val="right"/>
    </w:pPr>
  </w:p>
  <w:p w14:paraId="397014FF" w14:textId="77777777" w:rsidR="003B338C" w:rsidRDefault="00182014">
    <w:pPr>
      <w:pStyle w:val="aa"/>
      <w:jc w:val="right"/>
    </w:pPr>
    <w:r>
      <w:rPr>
        <w:noProof/>
      </w:rPr>
      <w:pict w14:anchorId="380871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s2070" type="#_x0000_t75" alt="logo1" style="position:absolute;left:0;text-align:left;margin-left:1.5pt;margin-top:-12pt;width:135pt;height:18.75pt;z-index:2;visibility:visible;mso-wrap-style:square;mso-wrap-distance-left:9pt;mso-wrap-distance-top:0;mso-wrap-distance-right:9pt;mso-wrap-distance-bottom:0;mso-position-horizontal:absolute;mso-position-horizontal-relative:text;mso-position-vertical:absolute;mso-position-vertical-relative:text">
          <v:imagedata r:id="rId1" o:title="logo1"/>
        </v:shape>
      </w:pict>
    </w:r>
  </w:p>
  <w:p w14:paraId="1BE23BC0" w14:textId="77777777" w:rsidR="003B338C" w:rsidRDefault="003B338C">
    <w:pPr>
      <w:pStyle w:val="aa"/>
      <w:jc w:val="right"/>
      <w:rPr>
        <w:rFonts w:ascii="宋体" w:hAnsi="宋体"/>
      </w:rPr>
    </w:pPr>
    <w:r>
      <w:rPr>
        <w:rFonts w:ascii="宋体" w:hAnsi="宋体" w:hint="eastAsia"/>
      </w:rPr>
      <w:t>交银施罗德可转债债券型证券投资基金招募说明书更新</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2BC88" w14:textId="77777777" w:rsidR="003B338C" w:rsidRDefault="003B338C">
    <w:pPr>
      <w:pStyle w:val="aa"/>
      <w:jc w:val="right"/>
    </w:pPr>
  </w:p>
  <w:p w14:paraId="750782D2" w14:textId="77777777" w:rsidR="003B338C" w:rsidRDefault="003B338C">
    <w:pPr>
      <w:pStyle w:val="aa"/>
      <w:jc w:val="right"/>
    </w:pPr>
  </w:p>
  <w:p w14:paraId="3C32B530" w14:textId="77777777" w:rsidR="003B338C" w:rsidRDefault="003B338C">
    <w:pPr>
      <w:pStyle w:val="aa"/>
      <w:jc w:val="right"/>
    </w:pPr>
  </w:p>
  <w:p w14:paraId="005DD8DE" w14:textId="77777777" w:rsidR="003B338C" w:rsidRDefault="00182014">
    <w:pPr>
      <w:pStyle w:val="aa"/>
      <w:jc w:val="right"/>
    </w:pPr>
    <w:r>
      <w:rPr>
        <w:noProof/>
      </w:rPr>
      <w:pict w14:anchorId="36F160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s2069" type="#_x0000_t75" alt="logo1" style="position:absolute;left:0;text-align:left;margin-left:1.5pt;margin-top:-12pt;width:135pt;height:18.75pt;z-index:3;visibility:visible;mso-wrap-style:square;mso-wrap-distance-left:9pt;mso-wrap-distance-top:0;mso-wrap-distance-right:9pt;mso-wrap-distance-bottom:0;mso-position-horizontal:absolute;mso-position-horizontal-relative:text;mso-position-vertical:absolute;mso-position-vertical-relative:text">
          <v:imagedata r:id="rId1" o:title="logo1"/>
        </v:shape>
      </w:pict>
    </w:r>
  </w:p>
  <w:p w14:paraId="2B557BBD" w14:textId="77777777" w:rsidR="003B338C" w:rsidRDefault="003B338C">
    <w:pPr>
      <w:pStyle w:val="aa"/>
      <w:jc w:val="right"/>
      <w:rPr>
        <w:rFonts w:ascii="宋体" w:hAnsi="宋体"/>
      </w:rPr>
    </w:pPr>
    <w:r>
      <w:rPr>
        <w:rFonts w:ascii="宋体" w:hAnsi="宋体" w:hint="eastAsia"/>
      </w:rPr>
      <w:t>交银施罗德可转债债券型证券投资基金招募说明书更新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0"/>
  <w:activeWritingStyle w:appName="MSWord" w:lang="zh-CN" w:vendorID="64" w:dllVersion="131077" w:nlCheck="1" w:checkStyle="1"/>
  <w:doNotTrackMoves/>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72"/>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CC6"/>
    <w:rsid w:val="00026D00"/>
    <w:rsid w:val="00027971"/>
    <w:rsid w:val="00027C73"/>
    <w:rsid w:val="00030964"/>
    <w:rsid w:val="00030F3E"/>
    <w:rsid w:val="00032544"/>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3970"/>
    <w:rsid w:val="000C5E77"/>
    <w:rsid w:val="000C68E9"/>
    <w:rsid w:val="000D0ADE"/>
    <w:rsid w:val="000D179E"/>
    <w:rsid w:val="000D25F8"/>
    <w:rsid w:val="000D66DC"/>
    <w:rsid w:val="000E1F3B"/>
    <w:rsid w:val="000E3AB4"/>
    <w:rsid w:val="000E7544"/>
    <w:rsid w:val="000F066C"/>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3DCE"/>
    <w:rsid w:val="00144B52"/>
    <w:rsid w:val="00153D66"/>
    <w:rsid w:val="0015725E"/>
    <w:rsid w:val="00162F69"/>
    <w:rsid w:val="00164946"/>
    <w:rsid w:val="00165756"/>
    <w:rsid w:val="0017362C"/>
    <w:rsid w:val="0017392F"/>
    <w:rsid w:val="001739B2"/>
    <w:rsid w:val="0018184C"/>
    <w:rsid w:val="0018198F"/>
    <w:rsid w:val="00181C62"/>
    <w:rsid w:val="00182014"/>
    <w:rsid w:val="00182A26"/>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3B12"/>
    <w:rsid w:val="00285E5C"/>
    <w:rsid w:val="00290B63"/>
    <w:rsid w:val="00290E73"/>
    <w:rsid w:val="00293415"/>
    <w:rsid w:val="00294689"/>
    <w:rsid w:val="0029539A"/>
    <w:rsid w:val="002A0ACD"/>
    <w:rsid w:val="002A0DA3"/>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0E57"/>
    <w:rsid w:val="0033401D"/>
    <w:rsid w:val="00334456"/>
    <w:rsid w:val="00336150"/>
    <w:rsid w:val="00336E99"/>
    <w:rsid w:val="003414DF"/>
    <w:rsid w:val="00342417"/>
    <w:rsid w:val="003454EC"/>
    <w:rsid w:val="00346537"/>
    <w:rsid w:val="003473E8"/>
    <w:rsid w:val="00347B94"/>
    <w:rsid w:val="003527DD"/>
    <w:rsid w:val="003547A2"/>
    <w:rsid w:val="00355171"/>
    <w:rsid w:val="00355B93"/>
    <w:rsid w:val="00356976"/>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5FCB"/>
    <w:rsid w:val="003A6045"/>
    <w:rsid w:val="003A72D0"/>
    <w:rsid w:val="003B22FD"/>
    <w:rsid w:val="003B3004"/>
    <w:rsid w:val="003B338C"/>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2E5"/>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D7358"/>
    <w:rsid w:val="004E0366"/>
    <w:rsid w:val="004E1C30"/>
    <w:rsid w:val="004E3342"/>
    <w:rsid w:val="004E45AC"/>
    <w:rsid w:val="004E4672"/>
    <w:rsid w:val="004E5593"/>
    <w:rsid w:val="004E7A1E"/>
    <w:rsid w:val="004E7F1A"/>
    <w:rsid w:val="004F0352"/>
    <w:rsid w:val="004F0740"/>
    <w:rsid w:val="004F125D"/>
    <w:rsid w:val="004F1C56"/>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1CE"/>
    <w:rsid w:val="005B3B71"/>
    <w:rsid w:val="005B4B1B"/>
    <w:rsid w:val="005B4F0F"/>
    <w:rsid w:val="005B58F0"/>
    <w:rsid w:val="005C0E62"/>
    <w:rsid w:val="005C0F5B"/>
    <w:rsid w:val="005C2E15"/>
    <w:rsid w:val="005C403B"/>
    <w:rsid w:val="005C63CB"/>
    <w:rsid w:val="005D0AA6"/>
    <w:rsid w:val="005D165F"/>
    <w:rsid w:val="005D21F3"/>
    <w:rsid w:val="005D2BA4"/>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4F98"/>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66F2"/>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0944"/>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41E"/>
    <w:rsid w:val="007C6FAA"/>
    <w:rsid w:val="007C73E2"/>
    <w:rsid w:val="007C768F"/>
    <w:rsid w:val="007D251F"/>
    <w:rsid w:val="007D29F5"/>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B7309"/>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69E0"/>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67EDD"/>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2AC0"/>
    <w:rsid w:val="00CA323D"/>
    <w:rsid w:val="00CA4D05"/>
    <w:rsid w:val="00CA54A0"/>
    <w:rsid w:val="00CA762D"/>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5B3"/>
    <w:rsid w:val="00D32933"/>
    <w:rsid w:val="00D3579F"/>
    <w:rsid w:val="00D36B62"/>
    <w:rsid w:val="00D37BF5"/>
    <w:rsid w:val="00D421A7"/>
    <w:rsid w:val="00D42987"/>
    <w:rsid w:val="00D42C18"/>
    <w:rsid w:val="00D42EE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327F"/>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3F34"/>
    <w:rsid w:val="00F044B3"/>
    <w:rsid w:val="00F05E83"/>
    <w:rsid w:val="00F07DC4"/>
    <w:rsid w:val="00F07E05"/>
    <w:rsid w:val="00F10842"/>
    <w:rsid w:val="00F13C42"/>
    <w:rsid w:val="00F161F7"/>
    <w:rsid w:val="00F206E8"/>
    <w:rsid w:val="00F21755"/>
    <w:rsid w:val="00F21F2E"/>
    <w:rsid w:val="00F23947"/>
    <w:rsid w:val="00F23B61"/>
    <w:rsid w:val="00F276F1"/>
    <w:rsid w:val="00F27890"/>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127C"/>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2F2B5073"/>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2"/>
    <o:shapelayout v:ext="edit">
      <o:idmap v:ext="edit" data="1"/>
    </o:shapelayout>
  </w:shapeDefaults>
  <w:decimalSymbol w:val="."/>
  <w:listSeparator w:val=","/>
  <w14:docId w14:val="2982565A"/>
  <w15:docId w15:val="{3991AB9E-3F36-4745-A91F-53FDAB9E6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qFormat="1"/>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0"/>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unhideWhenUsed/>
    <w:qFormat/>
    <w:rPr>
      <w:rFonts w:ascii="宋体"/>
      <w:sz w:val="18"/>
      <w:szCs w:val="18"/>
    </w:rPr>
  </w:style>
  <w:style w:type="paragraph" w:styleId="a5">
    <w:name w:val="annotation text"/>
    <w:basedOn w:val="a"/>
    <w:link w:val="a6"/>
    <w:unhideWhenUsed/>
    <w:qFormat/>
    <w:pPr>
      <w:jc w:val="left"/>
    </w:pPr>
  </w:style>
  <w:style w:type="paragraph" w:styleId="a7">
    <w:name w:val="Balloon Text"/>
    <w:basedOn w:val="a"/>
    <w:semiHidden/>
    <w:qFormat/>
    <w:rPr>
      <w:sz w:val="18"/>
      <w:szCs w:val="18"/>
    </w:rPr>
  </w:style>
  <w:style w:type="paragraph" w:styleId="a8">
    <w:name w:val="footer"/>
    <w:basedOn w:val="a"/>
    <w:link w:val="a9"/>
    <w:uiPriority w:val="99"/>
    <w:unhideWhenUsed/>
    <w:qFormat/>
    <w:pPr>
      <w:tabs>
        <w:tab w:val="center" w:pos="4153"/>
        <w:tab w:val="right" w:pos="8306"/>
      </w:tabs>
      <w:snapToGrid w:val="0"/>
      <w:jc w:val="left"/>
    </w:pPr>
    <w:rPr>
      <w:kern w:val="0"/>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kern w:val="0"/>
      <w:sz w:val="18"/>
      <w:szCs w:val="18"/>
    </w:rPr>
  </w:style>
  <w:style w:type="paragraph" w:styleId="11">
    <w:name w:val="toc 1"/>
    <w:basedOn w:val="a"/>
    <w:next w:val="a"/>
    <w:uiPriority w:val="39"/>
    <w:unhideWhenUsed/>
    <w:qFormat/>
  </w:style>
  <w:style w:type="paragraph" w:styleId="ac">
    <w:name w:val="Subtitle"/>
    <w:basedOn w:val="a"/>
    <w:next w:val="a"/>
    <w:link w:val="ad"/>
    <w:qFormat/>
    <w:pPr>
      <w:spacing w:before="240" w:after="60" w:line="312" w:lineRule="auto"/>
      <w:jc w:val="center"/>
      <w:outlineLvl w:val="1"/>
    </w:pPr>
    <w:rPr>
      <w:rFonts w:ascii="Cambria" w:hAnsi="Cambria"/>
      <w:b/>
      <w:bCs/>
      <w:kern w:val="28"/>
      <w:sz w:val="32"/>
      <w:szCs w:val="32"/>
    </w:rPr>
  </w:style>
  <w:style w:type="paragraph" w:styleId="21">
    <w:name w:val="toc 2"/>
    <w:basedOn w:val="a"/>
    <w:next w:val="a"/>
    <w:uiPriority w:val="39"/>
    <w:unhideWhenUsed/>
    <w:qFormat/>
    <w:pPr>
      <w:ind w:leftChars="200" w:left="480"/>
    </w:pPr>
  </w:style>
  <w:style w:type="paragraph" w:styleId="ae">
    <w:name w:val="annotation subject"/>
    <w:basedOn w:val="a5"/>
    <w:next w:val="a5"/>
    <w:link w:val="af"/>
    <w:uiPriority w:val="99"/>
    <w:unhideWhenUsed/>
    <w:qFormat/>
    <w:rPr>
      <w:b/>
      <w:bCs/>
    </w:rPr>
  </w:style>
  <w:style w:type="table" w:styleId="af0">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qFormat/>
    <w:rPr>
      <w:color w:val="31849B"/>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af1">
    <w:name w:val="Hyperlink"/>
    <w:uiPriority w:val="99"/>
    <w:unhideWhenUsed/>
    <w:rPr>
      <w:color w:val="0000FF"/>
      <w:u w:val="single"/>
    </w:rPr>
  </w:style>
  <w:style w:type="character" w:styleId="af2">
    <w:name w:val="annotation reference"/>
    <w:unhideWhenUsed/>
    <w:qFormat/>
    <w:rPr>
      <w:sz w:val="21"/>
      <w:szCs w:val="21"/>
    </w:rPr>
  </w:style>
  <w:style w:type="paragraph" w:customStyle="1" w:styleId="Style19">
    <w:name w:val="_Style 19"/>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c"/>
    <w:next w:val="4"/>
    <w:qFormat/>
    <w:pPr>
      <w:keepNext/>
      <w:keepLines/>
      <w:numPr>
        <w:ilvl w:val="5"/>
        <w:numId w:val="1"/>
      </w:numPr>
      <w:ind w:left="0" w:firstLine="0"/>
      <w:jc w:val="left"/>
    </w:pPr>
    <w:rPr>
      <w:bCs w:val="0"/>
      <w:sz w:val="24"/>
    </w:rPr>
  </w:style>
  <w:style w:type="paragraph" w:customStyle="1" w:styleId="Style21">
    <w:name w:val="_Style 21"/>
    <w:uiPriority w:val="99"/>
    <w:semiHidden/>
    <w:qFormat/>
    <w:rPr>
      <w:kern w:val="2"/>
      <w:sz w:val="21"/>
      <w:szCs w:val="22"/>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c"/>
    <w:next w:val="4"/>
    <w:qFormat/>
    <w:pPr>
      <w:keepNext/>
      <w:keepLines/>
      <w:numPr>
        <w:ilvl w:val="1"/>
        <w:numId w:val="1"/>
      </w:numPr>
      <w:jc w:val="left"/>
    </w:pPr>
    <w:rPr>
      <w:bCs w:val="0"/>
      <w:sz w:val="24"/>
    </w:rPr>
  </w:style>
  <w:style w:type="paragraph" w:customStyle="1" w:styleId="XBRLTitle3">
    <w:name w:val="XBRLTitle3"/>
    <w:basedOn w:val="ac"/>
    <w:next w:val="4"/>
    <w:qFormat/>
    <w:pPr>
      <w:keepNext/>
      <w:keepLines/>
      <w:numPr>
        <w:ilvl w:val="2"/>
        <w:numId w:val="1"/>
      </w:numPr>
      <w:ind w:left="0" w:firstLine="0"/>
      <w:jc w:val="left"/>
    </w:pPr>
    <w:rPr>
      <w:bCs w:val="0"/>
      <w:sz w:val="24"/>
    </w:rPr>
  </w:style>
  <w:style w:type="paragraph" w:customStyle="1" w:styleId="XBRLTitle5">
    <w:name w:val="XBRLTitle5"/>
    <w:basedOn w:val="ac"/>
    <w:next w:val="4"/>
    <w:qFormat/>
    <w:pPr>
      <w:keepNext/>
      <w:keepLines/>
      <w:numPr>
        <w:ilvl w:val="4"/>
        <w:numId w:val="1"/>
      </w:numPr>
      <w:ind w:left="0" w:firstLine="0"/>
      <w:jc w:val="left"/>
    </w:pPr>
    <w:rPr>
      <w:bCs w:val="0"/>
      <w:sz w:val="24"/>
    </w:rPr>
  </w:style>
  <w:style w:type="paragraph" w:customStyle="1" w:styleId="XBRLTitle4">
    <w:name w:val="XBRLTitle4"/>
    <w:basedOn w:val="ac"/>
    <w:next w:val="4"/>
    <w:qFormat/>
    <w:pPr>
      <w:keepNext/>
      <w:keepLines/>
      <w:numPr>
        <w:ilvl w:val="3"/>
        <w:numId w:val="1"/>
      </w:numPr>
      <w:ind w:left="0" w:firstLine="0"/>
      <w:jc w:val="left"/>
    </w:pPr>
    <w:rPr>
      <w:bCs w:val="0"/>
      <w:sz w:val="24"/>
    </w:rPr>
  </w:style>
  <w:style w:type="character" w:customStyle="1" w:styleId="Char1">
    <w:name w:val="副标题 Char1"/>
    <w:qFormat/>
    <w:rPr>
      <w:rFonts w:ascii="Cambria" w:hAnsi="Cambria"/>
      <w:b/>
      <w:kern w:val="28"/>
      <w:sz w:val="24"/>
      <w:szCs w:val="32"/>
    </w:rPr>
  </w:style>
  <w:style w:type="character" w:customStyle="1" w:styleId="txtcontent11">
    <w:name w:val="txtcontent11"/>
    <w:qFormat/>
    <w:rPr>
      <w:rFonts w:ascii="ˎ̥" w:hAnsi="ˎ̥" w:hint="default"/>
      <w:color w:val="000000"/>
      <w:sz w:val="21"/>
      <w:szCs w:val="21"/>
    </w:rPr>
  </w:style>
  <w:style w:type="character" w:customStyle="1" w:styleId="a6">
    <w:name w:val="批注文字 字符"/>
    <w:link w:val="a5"/>
    <w:qFormat/>
    <w:rPr>
      <w:kern w:val="2"/>
      <w:sz w:val="21"/>
      <w:szCs w:val="22"/>
    </w:rPr>
  </w:style>
  <w:style w:type="character" w:customStyle="1" w:styleId="af">
    <w:name w:val="批注主题 字符"/>
    <w:link w:val="ae"/>
    <w:uiPriority w:val="99"/>
    <w:semiHidden/>
    <w:rPr>
      <w:b/>
      <w:bCs/>
      <w:kern w:val="2"/>
      <w:sz w:val="21"/>
      <w:szCs w:val="22"/>
    </w:rPr>
  </w:style>
  <w:style w:type="character" w:customStyle="1" w:styleId="ab">
    <w:name w:val="页眉 字符"/>
    <w:link w:val="aa"/>
    <w:uiPriority w:val="99"/>
    <w:qFormat/>
    <w:rPr>
      <w:sz w:val="18"/>
      <w:szCs w:val="18"/>
    </w:rPr>
  </w:style>
  <w:style w:type="character" w:customStyle="1" w:styleId="ad">
    <w:name w:val="副标题 字符"/>
    <w:link w:val="ac"/>
    <w:qFormat/>
    <w:rPr>
      <w:rFonts w:ascii="Cambria" w:hAnsi="Cambria" w:cs="Times New Roman"/>
      <w:b/>
      <w:bCs/>
      <w:kern w:val="28"/>
      <w:sz w:val="32"/>
      <w:szCs w:val="32"/>
    </w:rPr>
  </w:style>
  <w:style w:type="character" w:customStyle="1" w:styleId="a4">
    <w:name w:val="文档结构图 字符"/>
    <w:link w:val="a3"/>
    <w:uiPriority w:val="99"/>
    <w:semiHidden/>
    <w:qFormat/>
    <w:rPr>
      <w:rFonts w:ascii="宋体"/>
      <w:kern w:val="2"/>
      <w:sz w:val="18"/>
      <w:szCs w:val="18"/>
    </w:rPr>
  </w:style>
  <w:style w:type="character" w:customStyle="1" w:styleId="a9">
    <w:name w:val="页脚 字符"/>
    <w:link w:val="a8"/>
    <w:uiPriority w:val="99"/>
    <w:qFormat/>
    <w:rPr>
      <w:sz w:val="18"/>
      <w:szCs w:val="18"/>
    </w:rPr>
  </w:style>
  <w:style w:type="character" w:customStyle="1" w:styleId="20">
    <w:name w:val="标题 2 字符"/>
    <w:link w:val="2"/>
    <w:uiPriority w:val="9"/>
    <w:semiHidden/>
    <w:qFormat/>
    <w:rPr>
      <w:rFonts w:ascii="Cambria" w:eastAsia="宋体" w:hAnsi="Cambria" w:cs="Times New Roman"/>
      <w:b/>
      <w:bCs/>
      <w:kern w:val="2"/>
      <w:sz w:val="32"/>
      <w:szCs w:val="32"/>
    </w:rPr>
  </w:style>
  <w:style w:type="character" w:customStyle="1" w:styleId="40">
    <w:name w:val="标题 4 字符"/>
    <w:link w:val="4"/>
    <w:uiPriority w:val="9"/>
    <w:semiHidden/>
    <w:qFormat/>
    <w:rPr>
      <w:rFonts w:ascii="Cambria" w:eastAsia="宋体" w:hAnsi="Cambria" w:cs="Times New Roman"/>
      <w:b/>
      <w:bCs/>
      <w:kern w:val="2"/>
      <w:sz w:val="28"/>
      <w:szCs w:val="28"/>
    </w:rPr>
  </w:style>
  <w:style w:type="character" w:customStyle="1" w:styleId="10">
    <w:name w:val="标题 1 字符"/>
    <w:link w:val="1"/>
    <w:uiPriority w:val="9"/>
    <w:qFormat/>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928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5B32C6-7524-452A-A251-CB1693C3C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Pages>
  <Words>16916</Words>
  <Characters>96426</Characters>
  <Application>Microsoft Office Word</Application>
  <DocSecurity>0</DocSecurity>
  <Lines>803</Lines>
  <Paragraphs>226</Paragraphs>
  <ScaleCrop>false</ScaleCrop>
  <Company>Microsoft</Company>
  <LinksUpToDate>false</LinksUpToDate>
  <CharactersWithSpaces>113116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刘晨晨</cp:lastModifiedBy>
  <cp:revision>32</cp:revision>
  <cp:lastPrinted>2013-02-18T03:10:00Z</cp:lastPrinted>
  <dcterms:created xsi:type="dcterms:W3CDTF">2025-06-16T06:37:00Z</dcterms:created>
  <dcterms:modified xsi:type="dcterms:W3CDTF">2025-12-23T06:08:00Z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80E77366276B48A290404EFA1C88C821</vt:lpwstr>
  </property>
</Properties>
</file>