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 w:val="32"/>
        </w:rPr>
      </w:pPr>
    </w:p>
    <w:p>
      <w:pPr>
        <w:rPr>
          <w:rFonts w:ascii="Times New Roman" w:hAnsi="Times New Roman"/>
          <w:sz w:val="32"/>
        </w:rPr>
      </w:pPr>
    </w:p>
    <w:p>
      <w:pPr>
        <w:rPr>
          <w:rFonts w:ascii="Times New Roman" w:hAnsi="Times New Roman"/>
          <w:sz w:val="32"/>
        </w:rPr>
      </w:pPr>
    </w:p>
    <w:p>
      <w:pPr>
        <w:jc w:val="center"/>
        <w:rPr>
          <w:rFonts w:ascii="Times New Roman" w:hAnsi="Times New Roman"/>
          <w:sz w:val="32"/>
        </w:rPr>
      </w:pPr>
      <w:r>
        <w:rPr>
          <w:rFonts w:ascii="Times New Roman" w:hAnsi="Times New Roman"/>
        </w:rPr>
        <w:drawing>
          <wp:inline distT="0" distB="0" distL="0" distR="0">
            <wp:extent cx="4343400" cy="577850"/>
            <wp:effectExtent l="0" t="0" r="0" b="0"/>
            <wp:docPr id="8"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43400" cy="577850"/>
                    </a:xfrm>
                    <a:prstGeom prst="rect">
                      <a:avLst/>
                    </a:prstGeom>
                    <a:noFill/>
                    <a:ln>
                      <a:noFill/>
                    </a:ln>
                  </pic:spPr>
                </pic:pic>
              </a:graphicData>
            </a:graphic>
          </wp:inline>
        </w:drawing>
      </w:r>
    </w:p>
    <w:p>
      <w:pPr>
        <w:autoSpaceDE w:val="0"/>
        <w:autoSpaceDN w:val="0"/>
        <w:adjustRightInd w:val="0"/>
        <w:snapToGrid w:val="0"/>
        <w:spacing w:before="63" w:line="360" w:lineRule="auto"/>
        <w:ind w:right="13" w:rightChars="6"/>
        <w:jc w:val="center"/>
        <w:rPr>
          <w:rFonts w:ascii="Times New Roman" w:hAnsi="Times New Roman"/>
          <w:b/>
          <w:spacing w:val="2"/>
          <w:w w:val="99"/>
          <w:kern w:val="0"/>
          <w:position w:val="-4"/>
          <w:sz w:val="44"/>
          <w:szCs w:val="44"/>
        </w:rPr>
      </w:pPr>
    </w:p>
    <w:p>
      <w:pPr>
        <w:autoSpaceDE w:val="0"/>
        <w:autoSpaceDN w:val="0"/>
        <w:adjustRightInd w:val="0"/>
        <w:snapToGrid w:val="0"/>
        <w:spacing w:before="63" w:line="360" w:lineRule="auto"/>
        <w:ind w:right="13" w:rightChars="6"/>
        <w:jc w:val="center"/>
        <w:rPr>
          <w:rFonts w:ascii="Times New Roman" w:hAnsi="Times New Roman"/>
          <w:b/>
          <w:spacing w:val="2"/>
          <w:w w:val="99"/>
          <w:kern w:val="0"/>
          <w:position w:val="-4"/>
          <w:sz w:val="44"/>
          <w:szCs w:val="44"/>
        </w:rPr>
      </w:pPr>
    </w:p>
    <w:p>
      <w:pPr>
        <w:snapToGrid w:val="0"/>
        <w:spacing w:line="360" w:lineRule="auto"/>
        <w:jc w:val="center"/>
        <w:rPr>
          <w:rFonts w:ascii="Times New Roman" w:hAnsi="Times New Roman"/>
          <w:b/>
          <w:spacing w:val="2"/>
          <w:w w:val="99"/>
          <w:kern w:val="0"/>
          <w:position w:val="-4"/>
          <w:sz w:val="44"/>
          <w:szCs w:val="44"/>
        </w:rPr>
      </w:pPr>
      <w:r>
        <w:rPr>
          <w:rFonts w:ascii="Times New Roman" w:hAnsi="Times New Roman"/>
          <w:b/>
          <w:spacing w:val="2"/>
          <w:w w:val="99"/>
          <w:kern w:val="0"/>
          <w:position w:val="-4"/>
          <w:sz w:val="44"/>
          <w:szCs w:val="44"/>
        </w:rPr>
        <w:t>交银施罗德中证智选沪深港科技50</w:t>
      </w:r>
    </w:p>
    <w:p>
      <w:pPr>
        <w:snapToGrid w:val="0"/>
        <w:spacing w:line="360" w:lineRule="auto"/>
        <w:jc w:val="center"/>
        <w:rPr>
          <w:rFonts w:ascii="Times New Roman" w:hAnsi="Times New Roman"/>
          <w:b/>
          <w:spacing w:val="2"/>
          <w:w w:val="99"/>
          <w:kern w:val="0"/>
          <w:position w:val="-4"/>
          <w:sz w:val="44"/>
          <w:szCs w:val="44"/>
        </w:rPr>
      </w:pPr>
      <w:r>
        <w:rPr>
          <w:rFonts w:ascii="Times New Roman" w:hAnsi="Times New Roman"/>
          <w:b/>
          <w:spacing w:val="2"/>
          <w:w w:val="99"/>
          <w:kern w:val="0"/>
          <w:position w:val="-4"/>
          <w:sz w:val="44"/>
          <w:szCs w:val="44"/>
        </w:rPr>
        <w:t>交易型开放式指数证券投资基金</w:t>
      </w:r>
    </w:p>
    <w:p>
      <w:pPr>
        <w:snapToGrid w:val="0"/>
        <w:spacing w:line="360" w:lineRule="auto"/>
        <w:jc w:val="center"/>
        <w:rPr>
          <w:rFonts w:ascii="Times New Roman" w:hAnsi="Times New Roman"/>
          <w:b/>
          <w:spacing w:val="2"/>
          <w:w w:val="99"/>
          <w:kern w:val="0"/>
          <w:position w:val="-4"/>
          <w:sz w:val="44"/>
          <w:szCs w:val="44"/>
        </w:rPr>
      </w:pPr>
      <w:r>
        <w:rPr>
          <w:rFonts w:ascii="Times New Roman" w:hAnsi="Times New Roman"/>
          <w:b/>
          <w:spacing w:val="2"/>
          <w:w w:val="99"/>
          <w:kern w:val="0"/>
          <w:position w:val="-4"/>
          <w:sz w:val="44"/>
          <w:szCs w:val="44"/>
        </w:rPr>
        <w:t>招募说明书</w:t>
      </w: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firstLine="1410" w:firstLineChars="500"/>
        <w:rPr>
          <w:rFonts w:ascii="Times New Roman" w:hAnsi="Times New Roman"/>
          <w:b/>
          <w:w w:val="99"/>
          <w:kern w:val="0"/>
          <w:sz w:val="28"/>
          <w:szCs w:val="32"/>
        </w:rPr>
      </w:pPr>
      <w:r>
        <w:rPr>
          <w:rFonts w:ascii="Times New Roman" w:hAnsi="Times New Roman"/>
          <w:b/>
          <w:spacing w:val="2"/>
          <w:w w:val="99"/>
          <w:kern w:val="0"/>
          <w:sz w:val="28"/>
          <w:szCs w:val="32"/>
        </w:rPr>
        <w:t>基金管理人：交银施罗德基金管理有限公司</w:t>
      </w:r>
    </w:p>
    <w:p>
      <w:pPr>
        <w:autoSpaceDE w:val="0"/>
        <w:autoSpaceDN w:val="0"/>
        <w:adjustRightInd w:val="0"/>
        <w:snapToGrid w:val="0"/>
        <w:spacing w:line="360" w:lineRule="auto"/>
        <w:ind w:firstLine="1410" w:firstLineChars="500"/>
        <w:rPr>
          <w:rFonts w:ascii="Times New Roman" w:hAnsi="Times New Roman"/>
          <w:b/>
          <w:w w:val="99"/>
          <w:kern w:val="0"/>
          <w:sz w:val="28"/>
          <w:szCs w:val="32"/>
        </w:rPr>
      </w:pPr>
      <w:r>
        <w:rPr>
          <w:rFonts w:ascii="Times New Roman" w:hAnsi="Times New Roman"/>
          <w:b/>
          <w:spacing w:val="2"/>
          <w:w w:val="99"/>
          <w:kern w:val="0"/>
          <w:sz w:val="28"/>
          <w:szCs w:val="32"/>
        </w:rPr>
        <w:t>基金托管人：国泰海通证券股份有限公司</w:t>
      </w: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spacing w:val="2"/>
          <w:w w:val="99"/>
          <w:kern w:val="0"/>
          <w:sz w:val="32"/>
          <w:szCs w:val="32"/>
        </w:rPr>
      </w:pPr>
    </w:p>
    <w:p>
      <w:pPr>
        <w:autoSpaceDE w:val="0"/>
        <w:autoSpaceDN w:val="0"/>
        <w:adjustRightInd w:val="0"/>
        <w:snapToGrid w:val="0"/>
        <w:spacing w:line="360" w:lineRule="auto"/>
        <w:ind w:right="13" w:rightChars="6"/>
        <w:jc w:val="center"/>
        <w:rPr>
          <w:rFonts w:ascii="Times New Roman" w:hAnsi="Times New Roman"/>
          <w:b/>
          <w:kern w:val="0"/>
          <w:sz w:val="28"/>
          <w:szCs w:val="32"/>
        </w:rPr>
      </w:pPr>
      <w:r>
        <w:rPr>
          <w:rFonts w:ascii="Times New Roman" w:hAnsi="Times New Roman"/>
          <w:b/>
          <w:spacing w:val="2"/>
          <w:w w:val="99"/>
          <w:kern w:val="0"/>
          <w:sz w:val="28"/>
          <w:szCs w:val="32"/>
        </w:rPr>
        <w:t>二〇二</w:t>
      </w:r>
      <w:r>
        <w:rPr>
          <w:rFonts w:hint="eastAsia" w:ascii="Times New Roman" w:hAnsi="Times New Roman"/>
          <w:b/>
          <w:spacing w:val="2"/>
          <w:w w:val="99"/>
          <w:kern w:val="0"/>
          <w:sz w:val="28"/>
          <w:szCs w:val="32"/>
        </w:rPr>
        <w:t>五</w:t>
      </w:r>
      <w:r>
        <w:rPr>
          <w:rFonts w:ascii="Times New Roman" w:hAnsi="Times New Roman"/>
          <w:b/>
          <w:spacing w:val="2"/>
          <w:w w:val="99"/>
          <w:kern w:val="0"/>
          <w:sz w:val="28"/>
          <w:szCs w:val="32"/>
        </w:rPr>
        <w:t>年</w:t>
      </w:r>
      <w:r>
        <w:rPr>
          <w:rFonts w:hint="eastAsia" w:ascii="Times New Roman" w:hAnsi="Times New Roman"/>
          <w:b/>
          <w:spacing w:val="2"/>
          <w:w w:val="99"/>
          <w:kern w:val="0"/>
          <w:sz w:val="28"/>
          <w:szCs w:val="32"/>
        </w:rPr>
        <w:t>十一</w:t>
      </w:r>
      <w:r>
        <w:rPr>
          <w:rFonts w:ascii="Times New Roman" w:hAnsi="Times New Roman"/>
          <w:b/>
          <w:spacing w:val="2"/>
          <w:w w:val="99"/>
          <w:kern w:val="0"/>
          <w:sz w:val="28"/>
          <w:szCs w:val="32"/>
        </w:rPr>
        <w:t>月</w:t>
      </w:r>
    </w:p>
    <w:p>
      <w:pPr>
        <w:autoSpaceDE w:val="0"/>
        <w:autoSpaceDN w:val="0"/>
        <w:adjustRightInd w:val="0"/>
        <w:snapToGrid w:val="0"/>
        <w:spacing w:line="360" w:lineRule="auto"/>
        <w:ind w:left="1347" w:right="13" w:rightChars="6"/>
        <w:rPr>
          <w:rFonts w:ascii="Times New Roman" w:hAnsi="Times New Roman"/>
          <w:kern w:val="0"/>
          <w:sz w:val="32"/>
          <w:szCs w:val="32"/>
        </w:rPr>
        <w:sectPr>
          <w:headerReference r:id="rId4" w:type="first"/>
          <w:headerReference r:id="rId3" w:type="default"/>
          <w:footerReference r:id="rId5" w:type="default"/>
          <w:pgSz w:w="11920" w:h="16840"/>
          <w:pgMar w:top="1560" w:right="1680" w:bottom="280" w:left="1680" w:header="0" w:footer="1073" w:gutter="0"/>
          <w:pgNumType w:start="1"/>
          <w:cols w:space="720" w:num="1"/>
          <w:titlePg/>
          <w:docGrid w:linePitch="286" w:charSpace="0"/>
        </w:sectPr>
      </w:pPr>
    </w:p>
    <w:p>
      <w:pPr>
        <w:pStyle w:val="2"/>
        <w:snapToGrid w:val="0"/>
        <w:spacing w:before="240" w:beforeLines="0" w:after="240"/>
        <w:rPr>
          <w:rFonts w:ascii="Times New Roman" w:hAnsi="Times New Roman"/>
          <w:kern w:val="0"/>
        </w:rPr>
      </w:pPr>
      <w:bookmarkStart w:id="0" w:name="_Toc324920538"/>
      <w:bookmarkStart w:id="1" w:name="_Toc496884613"/>
      <w:bookmarkStart w:id="2" w:name="_Toc208562007"/>
      <w:r>
        <w:rPr>
          <w:rFonts w:ascii="Times New Roman" w:hAnsi="Times New Roman"/>
          <w:kern w:val="0"/>
        </w:rPr>
        <w:t>重要提示</w:t>
      </w:r>
      <w:bookmarkEnd w:id="0"/>
      <w:bookmarkEnd w:id="1"/>
      <w:bookmarkEnd w:id="2"/>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交银施罗德中证智选沪深港科技50交易型开放式指数证券投资基金（以下简称“本基金”）经2025年10月14日中国证券监督管理委员会（以下简称“中国证监会”）证监许可【2025】2287号文准予募集注册。</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本基金标的指数为</w:t>
      </w:r>
      <w:r>
        <w:rPr>
          <w:rFonts w:hint="eastAsia" w:ascii="Times New Roman" w:hAnsi="Times New Roman"/>
          <w:kern w:val="0"/>
          <w:sz w:val="24"/>
        </w:rPr>
        <w:t>中证智选沪深港科技50指数</w:t>
      </w:r>
      <w:r>
        <w:rPr>
          <w:rFonts w:ascii="Times New Roman" w:hAnsi="Times New Roman"/>
          <w:kern w:val="0"/>
          <w:sz w:val="24"/>
        </w:rPr>
        <w:t>。</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样本</w:t>
      </w:r>
      <w:r>
        <w:rPr>
          <w:rFonts w:ascii="Times New Roman" w:hAnsi="Times New Roman"/>
          <w:kern w:val="0"/>
          <w:sz w:val="24"/>
        </w:rPr>
        <w:t>空间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沪深市场：同中证全指指数的样本空间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香港市场：中证港股通综合指数样本</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2、可投资性筛选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对于沪深市场证券，过去一年日均成交金额位于样本空间前 90%；对于香港市场证券，计算每月的日换手率中位数作为月换手率，剔除过去 12 个月或过去3 个月平均月换手率不足 0.1%的证券，除非该证券过去一年日均成交金额大于5000 万港元。</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3、选样方法</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1）对样本空间内符合可投资性筛选条件的证券，选取半导体、乘用车及零部件、电力设备、电子、航空航天与国防、机械制造、计算机、通信设备及技术服务、化学药、生物药品、制药与生物科技服务等行业的上市公司证券作为待选证券；</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（2）对上述待选证券，选取研发支出占比超过 5%的证券作为待选样本；</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（3）对于上述待选样本，依据成长能力、增长速度、盈利能力和市值规模计算上市公司基本面得分，选取基本面得分最高的50 家公司作为指数样本公司，将样本公司下待选样本作为指数样本，其中香港证券不超过 10 只。</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①成长能力</w:t>
      </w:r>
      <w:r>
        <w:rPr>
          <w:rFonts w:ascii="Times New Roman" w:hAnsi="Times New Roman"/>
          <w:kern w:val="0"/>
          <w:sz w:val="24"/>
        </w:rPr>
        <w:t xml:space="preserve"> = </w:t>
      </w:r>
      <w:r>
        <w:rPr>
          <w:rFonts w:hint="eastAsia" w:ascii="Times New Roman" w:hAnsi="Times New Roman"/>
          <w:kern w:val="0"/>
          <w:sz w:val="24"/>
        </w:rPr>
        <w:t>（单季度净利润</w:t>
      </w:r>
      <w:r>
        <w:rPr>
          <w:rFonts w:ascii="Times New Roman" w:hAnsi="Times New Roman"/>
          <w:kern w:val="0"/>
          <w:sz w:val="24"/>
        </w:rPr>
        <w:t>−</w:t>
      </w:r>
      <w:r>
        <w:rPr>
          <w:rFonts w:hint="eastAsia" w:ascii="Times New Roman" w:hAnsi="Times New Roman"/>
          <w:kern w:val="0"/>
          <w:sz w:val="24"/>
        </w:rPr>
        <w:t>预期净利润）</w:t>
      </w:r>
      <w:r>
        <w:rPr>
          <w:rFonts w:ascii="Times New Roman" w:hAnsi="Times New Roman"/>
          <w:kern w:val="0"/>
          <w:sz w:val="24"/>
        </w:rPr>
        <w:t>/</w:t>
      </w:r>
      <w:r>
        <w:rPr>
          <w:rFonts w:hint="eastAsia" w:ascii="Times New Roman" w:hAnsi="Times New Roman"/>
          <w:kern w:val="0"/>
          <w:sz w:val="24"/>
        </w:rPr>
        <w:t>过去</w:t>
      </w:r>
      <w:r>
        <w:rPr>
          <w:rFonts w:ascii="Times New Roman" w:hAnsi="Times New Roman"/>
          <w:kern w:val="0"/>
          <w:sz w:val="24"/>
        </w:rPr>
        <w:t xml:space="preserve"> 8 </w:t>
      </w:r>
      <w:r>
        <w:rPr>
          <w:rFonts w:hint="eastAsia" w:ascii="Times New Roman" w:hAnsi="Times New Roman"/>
          <w:kern w:val="0"/>
          <w:sz w:val="24"/>
        </w:rPr>
        <w:t>个季度净利润同比变化的标准差</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其中，预期净利润 = 去年同期单季度实际净利润+过去 8 个季度净利润同比变化的均值</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②增长速度</w:t>
      </w:r>
      <w:r>
        <w:rPr>
          <w:rFonts w:ascii="Times New Roman" w:hAnsi="Times New Roman"/>
          <w:kern w:val="0"/>
          <w:sz w:val="24"/>
        </w:rPr>
        <w:t xml:space="preserve"> = </w:t>
      </w:r>
      <w:r>
        <w:rPr>
          <w:rFonts w:hint="eastAsia" w:ascii="Times New Roman" w:hAnsi="Times New Roman"/>
          <w:kern w:val="0"/>
          <w:sz w:val="24"/>
        </w:rPr>
        <w:t>净利润环比增速</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③盈利能力</w:t>
      </w:r>
      <w:r>
        <w:rPr>
          <w:rFonts w:ascii="Times New Roman" w:hAnsi="Times New Roman"/>
          <w:kern w:val="0"/>
          <w:sz w:val="24"/>
        </w:rPr>
        <w:t xml:space="preserve"> = ROE</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④市值规模</w:t>
      </w:r>
      <w:r>
        <w:rPr>
          <w:rFonts w:ascii="Times New Roman" w:hAnsi="Times New Roman"/>
          <w:kern w:val="0"/>
          <w:sz w:val="24"/>
        </w:rPr>
        <w:t xml:space="preserve"> = </w:t>
      </w:r>
      <w:r>
        <w:rPr>
          <w:rFonts w:hint="eastAsia" w:ascii="Times New Roman" w:hAnsi="Times New Roman"/>
          <w:kern w:val="0"/>
          <w:sz w:val="24"/>
        </w:rPr>
        <w:t>过去一年日均总市值</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4</w:t>
      </w:r>
      <w:r>
        <w:rPr>
          <w:rFonts w:ascii="Times New Roman" w:hAnsi="Times New Roman"/>
          <w:kern w:val="0"/>
          <w:sz w:val="24"/>
        </w:rPr>
        <w:t>、指数计算</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指数计算公式为：</w:t>
      </w:r>
    </w:p>
    <w:p>
      <w:pPr>
        <w:autoSpaceDE w:val="0"/>
        <w:autoSpaceDN w:val="0"/>
        <w:adjustRightInd w:val="0"/>
        <w:snapToGrid w:val="0"/>
        <w:spacing w:line="360" w:lineRule="auto"/>
        <w:ind w:left="105" w:leftChars="50" w:firstLine="480" w:firstLineChars="200"/>
        <w:rPr>
          <w:rFonts w:ascii="Times New Roman" w:hAnsi="Times New Roman"/>
          <w:kern w:val="0"/>
          <w:sz w:val="24"/>
        </w:rPr>
      </w:pPr>
      <m:oMathPara>
        <m:oMath>
          <m:r>
            <m:rPr>
              <m:sty m:val="p"/>
            </m:rPr>
            <w:rPr>
              <w:rFonts w:hint="eastAsia" w:ascii="Cambria Math" w:hAnsi="Cambria Math"/>
              <w:kern w:val="0"/>
              <w:sz w:val="24"/>
              <w:szCs w:val="24"/>
            </w:rPr>
            <m:t>报告期指数</m:t>
          </m:r>
          <m:r>
            <m:rPr>
              <m:sty m:val="p"/>
            </m:rPr>
            <w:rPr>
              <w:rFonts w:ascii="Cambria Math" w:hAnsi="Cambria Math"/>
              <w:kern w:val="0"/>
              <w:sz w:val="24"/>
              <w:szCs w:val="24"/>
            </w:rPr>
            <m:t>=</m:t>
          </m:r>
          <m:f>
            <m:fPr>
              <m:ctrlPr>
                <w:rPr>
                  <w:rFonts w:ascii="Cambria Math" w:hAnsi="Cambria Math"/>
                  <w:kern w:val="0"/>
                  <w:sz w:val="24"/>
                  <w:szCs w:val="24"/>
                </w:rPr>
              </m:ctrlPr>
            </m:fPr>
            <m:num>
              <m:r>
                <m:rPr>
                  <m:sty m:val="p"/>
                </m:rPr>
                <w:rPr>
                  <w:rFonts w:hint="eastAsia" w:ascii="Cambria Math" w:hAnsi="Cambria Math"/>
                  <w:kern w:val="0"/>
                  <w:sz w:val="24"/>
                  <w:szCs w:val="24"/>
                </w:rPr>
                <m:t>报告期样本的调整市值</m:t>
              </m:r>
              <m:ctrlPr>
                <w:rPr>
                  <w:rFonts w:ascii="Cambria Math" w:hAnsi="Cambria Math"/>
                  <w:kern w:val="0"/>
                  <w:sz w:val="24"/>
                  <w:szCs w:val="24"/>
                </w:rPr>
              </m:ctrlPr>
            </m:num>
            <m:den>
              <m:r>
                <m:rPr>
                  <m:sty m:val="p"/>
                </m:rPr>
                <w:rPr>
                  <w:rFonts w:hint="eastAsia" w:ascii="Cambria Math" w:hAnsi="Cambria Math"/>
                  <w:kern w:val="0"/>
                  <w:sz w:val="24"/>
                  <w:szCs w:val="24"/>
                </w:rPr>
                <m:t>除数</m:t>
              </m:r>
              <m:ctrlPr>
                <w:rPr>
                  <w:rFonts w:ascii="Cambria Math" w:hAnsi="Cambria Math"/>
                  <w:kern w:val="0"/>
                  <w:sz w:val="24"/>
                  <w:szCs w:val="24"/>
                </w:rPr>
              </m:ctrlPr>
            </m:den>
          </m:f>
          <m:r>
            <m:rPr>
              <m:sty m:val="p"/>
            </m:rPr>
            <w:rPr>
              <w:rFonts w:ascii="Cambria Math" w:hAnsi="Cambria Math"/>
              <w:kern w:val="0"/>
              <w:sz w:val="24"/>
              <w:szCs w:val="24"/>
            </w:rPr>
            <m:t>×1000</m:t>
          </m:r>
        </m:oMath>
      </m:oMathPara>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其中，调整市值＝∑(证券价格×调整股本数×权重因子×汇率)。汇率、调整股本数的计算方法、除数修正方法参见计算与维护细则。权重因子介于 0 和 1 之间，以使单个公司权重不超过 5%，香港市场上市证券权重合计不超过 20%，单个中证二级行业限制权重不超过 30%。</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5、指数样本和权重调整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（1）定期调整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指数样本每季度调整一次，样本调整实施时间分别为每年 3 月、6 月、9 月和 12 月的第二个星期五的下一交易日。每次调整的样本数量比例一般不超过30%。</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权重因子随样本定期调整而调整，调整时间与指数样本定期调整实施时间相同。在下一个定期调整日前，权重因子一般固定不变。</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（2）临时调整</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特殊情况下将对指数进行临时调整。当样本退市时，将其从指数样本中剔除。样本公司发生收购、合并、分拆等情形的处理，参照计算与维护细则处理。当港股通范围发生变动导致样本不再满足互联互通资格时，指数将相应调整。</w:t>
      </w:r>
      <w:r>
        <w:rPr>
          <w:rFonts w:ascii="Times New Roman" w:hAnsi="Times New Roman"/>
          <w:kern w:val="0"/>
          <w:sz w:val="24"/>
        </w:rPr>
        <w:t>有关标的指数具体编制方案及成份股信息详见</w:t>
      </w:r>
      <w:r>
        <w:rPr>
          <w:rFonts w:hint="eastAsia" w:ascii="Times New Roman" w:hAnsi="Times New Roman"/>
          <w:kern w:val="0"/>
          <w:sz w:val="24"/>
        </w:rPr>
        <w:t>中证指数有限公司网站，网址：</w:t>
      </w:r>
      <w:r>
        <w:fldChar w:fldCharType="begin"/>
      </w:r>
      <w:r>
        <w:instrText xml:space="preserve"> HYPERLINK </w:instrText>
      </w:r>
      <w:r>
        <w:fldChar w:fldCharType="separate"/>
      </w:r>
      <w:r>
        <w:fldChar w:fldCharType="end"/>
      </w:r>
      <w:r>
        <w:fldChar w:fldCharType="begin"/>
      </w:r>
      <w:r>
        <w:instrText xml:space="preserve"> HYPERLINK "http://www.csindex.com.cn" </w:instrText>
      </w:r>
      <w:r>
        <w:fldChar w:fldCharType="separate"/>
      </w:r>
      <w:r>
        <w:rPr>
          <w:rStyle w:val="21"/>
          <w:rFonts w:ascii="Times New Roman" w:hAnsi="Times New Roman"/>
          <w:kern w:val="0"/>
          <w:sz w:val="24"/>
          <w:szCs w:val="24"/>
        </w:rPr>
        <w:t>www.csindex.com.cn</w:t>
      </w:r>
      <w:r>
        <w:rPr>
          <w:rStyle w:val="21"/>
          <w:rFonts w:ascii="Times New Roman" w:hAnsi="Times New Roman"/>
          <w:kern w:val="0"/>
          <w:sz w:val="24"/>
          <w:szCs w:val="24"/>
        </w:rPr>
        <w:fldChar w:fldCharType="end"/>
      </w:r>
      <w:r>
        <w:rPr>
          <w:rFonts w:hint="eastAsia" w:ascii="Times New Roman" w:hAnsi="Times New Roman"/>
          <w:kern w:val="0"/>
          <w:sz w:val="24"/>
        </w:rPr>
        <w:t>。</w:t>
      </w:r>
    </w:p>
    <w:p>
      <w:pPr>
        <w:autoSpaceDE w:val="0"/>
        <w:autoSpaceDN w:val="0"/>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本基金为投资于中证智选沪深港科技</w:t>
      </w:r>
      <w:r>
        <w:rPr>
          <w:rFonts w:ascii="Times New Roman" w:hAnsi="Times New Roman"/>
          <w:kern w:val="0"/>
          <w:sz w:val="24"/>
        </w:rPr>
        <w:t>50</w:t>
      </w:r>
      <w:r>
        <w:rPr>
          <w:rFonts w:hint="eastAsia" w:ascii="Times New Roman" w:hAnsi="Times New Roman"/>
          <w:kern w:val="0"/>
          <w:sz w:val="24"/>
        </w:rPr>
        <w:t>指数成份股（含存托凭证）及备选成份股（含存托凭证）的比例不低于基金资产净值的</w:t>
      </w:r>
      <w:r>
        <w:rPr>
          <w:rFonts w:ascii="Times New Roman" w:hAnsi="Times New Roman"/>
          <w:kern w:val="0"/>
          <w:sz w:val="24"/>
        </w:rPr>
        <w:t>90%</w:t>
      </w:r>
      <w:r>
        <w:rPr>
          <w:rFonts w:hint="eastAsia" w:ascii="Times New Roman" w:hAnsi="Times New Roman"/>
          <w:kern w:val="0"/>
          <w:sz w:val="24"/>
        </w:rPr>
        <w:t>且不低于非现金基金资产的</w:t>
      </w:r>
      <w:r>
        <w:rPr>
          <w:rFonts w:ascii="Times New Roman" w:hAnsi="Times New Roman"/>
          <w:kern w:val="0"/>
          <w:sz w:val="24"/>
        </w:rPr>
        <w:t>80%</w:t>
      </w:r>
      <w:r>
        <w:rPr>
          <w:rFonts w:hint="eastAsia"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基金份额享受基金的收益，但同时也需承担相应的投资风险。投资本基金可能遇到的风险包括：因受到经济因素、政治因素、投资心理和交易制度等各种因素的影响而引起的市场风险；基金管理人在基金管理运作过程中产生的基金管理风险；流动性风险；信用风险；本基金的特有风险；本基金法律文件风险收益特征表述与销售机构基金风险评价可能不一致的风险；投资本基金的其他风险等等。</w:t>
      </w:r>
    </w:p>
    <w:p>
      <w:pPr>
        <w:autoSpaceDE w:val="0"/>
        <w:autoSpaceDN w:val="0"/>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kern w:val="0"/>
          <w:sz w:val="24"/>
        </w:rPr>
        <w:t>本基金的特有风险包括：</w:t>
      </w:r>
      <w:r>
        <w:rPr>
          <w:rFonts w:ascii="Times New Roman" w:hAnsi="Times New Roman"/>
          <w:sz w:val="24"/>
        </w:rPr>
        <w:t>标的指数回报与股票市场平均回报偏离的风险</w:t>
      </w:r>
      <w:r>
        <w:rPr>
          <w:rFonts w:hint="eastAsia" w:ascii="Times New Roman" w:hAnsi="Times New Roman"/>
          <w:sz w:val="24"/>
        </w:rPr>
        <w:t>、标的指数波动的风险、标的指数成份股行业集中风险、标的指数可回溯历史数据时间较短的风险、基金投资组合回报与标的指数回报偏离及跟踪误差控制未达约定目标的风险、标的指数变更的风险、标的指数计算出错的风险、指数编制机构停止服务的风险、成份股停牌的风险、参考IOPV决策和IOPV计算错误的风险、基金交易价格与基金份额净值发生偏离的风险、投资人申购失败的风险、基金份额持有人赎回失败的风险、特殊复杂的清算交收及非沪市成份证券申赎处理规则带来的风险、基金份额赎回对价的变现风险、申购赎回清单差错风险、申购赎回清单标识设置风险、申购赎回的代理买卖风险、操作或技术风险、套利风险、网下组合证券认购相关的风险、第三方机构服务的风险、基金退市风险、投资创业板股票的特定风险、投资港股通标的股票的特定风险、投资股指期货的特定风险、投资资产支持证券的特定风险、投资流通受限证券的特定风险、投资存托凭证的特定风险、投资科创板股票的特定风险、</w:t>
      </w:r>
      <w:r>
        <w:rPr>
          <w:rFonts w:hint="eastAsia" w:ascii="宋体" w:hAnsi="宋体"/>
          <w:sz w:val="24"/>
        </w:rPr>
        <w:t>参与融资业务的特定风险、参与转融通证券出借业务的特定风险等。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是一只股票型基金，其预期风险和预期收益理论上高于混合型基金、债券型基金和货币市场基金。本基金为指数型基金，主要采用完全复制法跟踪中证智选沪深港科技50指数，具有与标的指数相似的风险收益特征。</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但不限于汇率风险（汇率波动可能对基金的投资收益造成损失）、港股市场股价波动较大的风险（港股市场实行T+0回转交易，且对个股不设涨跌幅限制，港股股价可能表现出比A股更为剧烈的股价波动）、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本基金属于跨市场ETF（跨沪深港），跟踪的标的指数组合证券跨上海证券交易所、深圳证券交易所及香港联合交易所，在基金申赎清算交收及申赎处理规则等方面较为特殊复杂且与其他ETF产品有所差异。</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hint="eastAsia" w:ascii="Times New Roman" w:hAnsi="Times New Roman"/>
          <w:kern w:val="0"/>
          <w:sz w:val="24"/>
        </w:rPr>
        <w:t>投资者投资于本基金前请认真阅读证券交易所和登记结算机构关于ETF的相关业务规则及其不时的更新，确保具备相关专业知识、清楚了解相关规则流程后方可参与本基金的申购、赎回及交易。投资者一旦申购或赎回本基金，即表示对基金申购和赎回所涉及的登记方式以及申购赎回所涉及组合证券、现金替代、现金差额等相关的交收方式及业务规则已经认可。</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以及不适当的估值使基金资产面临损失的风险等。</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pPr>
        <w:autoSpaceDE w:val="0"/>
        <w:autoSpaceDN w:val="0"/>
        <w:adjustRightInd w:val="0"/>
        <w:snapToGrid w:val="0"/>
        <w:spacing w:line="360" w:lineRule="auto"/>
        <w:ind w:left="105" w:leftChars="50" w:firstLine="480" w:firstLineChars="200"/>
        <w:rPr>
          <w:rFonts w:ascii="Times New Roman" w:hAnsi="Times New Roman"/>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autoSpaceDE w:val="0"/>
        <w:autoSpaceDN w:val="0"/>
        <w:adjustRightInd w:val="0"/>
        <w:snapToGrid w:val="0"/>
        <w:spacing w:line="360" w:lineRule="auto"/>
        <w:ind w:left="105" w:leftChars="50" w:firstLine="480" w:firstLineChars="200"/>
        <w:rPr>
          <w:rFonts w:ascii="Times New Roman" w:hAnsi="Times New Roman"/>
          <w:bCs/>
          <w:kern w:val="0"/>
          <w:sz w:val="24"/>
        </w:rPr>
      </w:pPr>
      <w:r>
        <w:rPr>
          <w:rFonts w:hint="eastAsia" w:ascii="Times New Roman" w:hAnsi="Times New Roman"/>
          <w:bCs/>
          <w:kern w:val="0"/>
          <w:sz w:val="24"/>
        </w:rPr>
        <w:t>本基金可参与融资业务，面临的风险包括但不限于市场风险、流动性风险、信用风险等。</w:t>
      </w:r>
    </w:p>
    <w:p>
      <w:pPr>
        <w:autoSpaceDE w:val="0"/>
        <w:autoSpaceDN w:val="0"/>
        <w:adjustRightInd w:val="0"/>
        <w:snapToGrid w:val="0"/>
        <w:spacing w:line="360" w:lineRule="auto"/>
        <w:ind w:left="105" w:leftChars="50" w:firstLine="480" w:firstLineChars="200"/>
        <w:rPr>
          <w:rFonts w:ascii="Times New Roman" w:hAnsi="Times New Roman"/>
          <w:bCs/>
          <w:kern w:val="0"/>
          <w:sz w:val="24"/>
        </w:rPr>
      </w:pPr>
      <w:r>
        <w:rPr>
          <w:rFonts w:hint="eastAsia" w:ascii="Times New Roman" w:hAnsi="Times New Roman"/>
          <w:bCs/>
          <w:kern w:val="0"/>
          <w:sz w:val="24"/>
        </w:rPr>
        <w:t>本基金可参与转融通证券出借业务，面临的风险包括但不限于流动性风险、信用风险、市场风险、其他风险等。</w:t>
      </w:r>
    </w:p>
    <w:p>
      <w:pPr>
        <w:autoSpaceDE w:val="0"/>
        <w:autoSpaceDN w:val="0"/>
        <w:adjustRightInd w:val="0"/>
        <w:snapToGrid w:val="0"/>
        <w:spacing w:before="0" w:line="360" w:lineRule="auto"/>
        <w:ind w:left="105" w:leftChars="50" w:right="0" w:rightChars="0" w:firstLine="480" w:firstLineChars="200"/>
        <w:rPr>
          <w:rFonts w:hint="eastAsia" w:ascii="Times New Roman" w:hAnsi="Times New Roman"/>
          <w:kern w:val="0"/>
          <w:szCs w:val="24"/>
        </w:rPr>
      </w:pPr>
      <w:r>
        <w:rPr>
          <w:rFonts w:ascii="Times New Roman" w:hAnsi="Times New Roman"/>
          <w:kern w:val="0"/>
          <w:sz w:val="24"/>
        </w:rPr>
        <w:t>投资有风险，投资人在投资本基金前应认真阅读本基金的招募说明书、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买者自负”原则，在投资者作出投资决策后，基金运营状况与基金净值变化引致的投资风险，由投资者自行负责。</w:t>
      </w:r>
    </w:p>
    <w:p>
      <w:pPr>
        <w:autoSpaceDE w:val="0"/>
        <w:autoSpaceDN w:val="0"/>
        <w:adjustRightInd w:val="0"/>
        <w:snapToGrid w:val="0"/>
        <w:spacing w:before="51" w:line="360" w:lineRule="auto"/>
        <w:ind w:left="120" w:right="13" w:rightChars="6" w:firstLine="480"/>
        <w:rPr>
          <w:rFonts w:hint="eastAsia" w:ascii="Times New Roman" w:hAnsi="Times New Roman"/>
          <w:b/>
          <w:kern w:val="0"/>
          <w:sz w:val="24"/>
          <w:szCs w:val="24"/>
        </w:rPr>
        <w:sectPr>
          <w:headerReference r:id="rId6" w:type="default"/>
          <w:pgSz w:w="11920" w:h="16840"/>
          <w:pgMar w:top="1440" w:right="1680" w:bottom="280" w:left="1680" w:header="0" w:footer="1073" w:gutter="0"/>
          <w:pgNumType w:start="1"/>
          <w:cols w:space="720" w:num="1"/>
        </w:sectPr>
      </w:pPr>
      <w:r>
        <w:rPr>
          <w:rFonts w:hint="eastAsia" w:ascii="Times New Roman" w:hAnsi="Times New Roman"/>
          <w:b/>
          <w:kern w:val="0"/>
          <w:sz w:val="24"/>
          <w:szCs w:val="22"/>
        </w:rPr>
        <w:t>凡与</w:t>
      </w:r>
      <w:r>
        <w:rPr>
          <w:rFonts w:hint="eastAsia" w:ascii="Times New Roman" w:hAnsi="Times New Roman"/>
          <w:b/>
          <w:kern w:val="0"/>
          <w:sz w:val="24"/>
        </w:rPr>
        <w:t>本基金招募说明书内容不一致的，涉及本基金募集等所有相关信息，均以本招募说明书所载为准。</w:t>
      </w:r>
    </w:p>
    <w:p>
      <w:pPr>
        <w:keepNext/>
        <w:keepLines/>
        <w:widowControl/>
        <w:snapToGrid w:val="0"/>
        <w:spacing w:before="480" w:after="240" w:afterLines="100" w:line="360" w:lineRule="auto"/>
        <w:jc w:val="center"/>
        <w:rPr>
          <w:rFonts w:ascii="Times New Roman" w:hAnsi="Times New Roman"/>
          <w:b/>
          <w:bCs/>
          <w:color w:val="000000"/>
          <w:kern w:val="0"/>
          <w:position w:val="-4"/>
          <w:sz w:val="24"/>
          <w:szCs w:val="30"/>
        </w:rPr>
      </w:pPr>
      <w:r>
        <w:rPr>
          <w:rFonts w:ascii="Times New Roman" w:hAnsi="Times New Roman"/>
          <w:b/>
          <w:bCs/>
          <w:color w:val="000000"/>
          <w:kern w:val="0"/>
          <w:position w:val="-4"/>
          <w:sz w:val="24"/>
          <w:szCs w:val="30"/>
        </w:rPr>
        <w:t>目</w:t>
      </w:r>
      <w:r>
        <w:rPr>
          <w:rFonts w:ascii="Times New Roman" w:hAnsi="Times New Roman"/>
          <w:b/>
          <w:bCs/>
          <w:color w:val="000000"/>
          <w:kern w:val="0"/>
          <w:position w:val="-4"/>
          <w:sz w:val="24"/>
          <w:szCs w:val="30"/>
        </w:rPr>
        <w:tab/>
      </w:r>
      <w:r>
        <w:rPr>
          <w:rFonts w:ascii="Times New Roman" w:hAnsi="Times New Roman"/>
          <w:b/>
          <w:bCs/>
          <w:color w:val="000000"/>
          <w:kern w:val="0"/>
          <w:position w:val="-4"/>
          <w:sz w:val="24"/>
          <w:szCs w:val="30"/>
        </w:rPr>
        <w:t>录</w:t>
      </w:r>
    </w:p>
    <w:p>
      <w:pPr>
        <w:pStyle w:val="12"/>
        <w:tabs>
          <w:tab w:val="right" w:leader="dot" w:pos="8550"/>
        </w:tabs>
        <w:spacing w:line="360" w:lineRule="auto"/>
        <w:rPr>
          <w:rStyle w:val="21"/>
          <w:rFonts w:ascii="Times New Roman" w:hAnsi="Times New Roman" w:eastAsiaTheme="minorEastAsia" w:cstheme="minorBidi"/>
          <w:sz w:val="24"/>
        </w:rPr>
      </w:pPr>
      <w:r>
        <w:rPr>
          <w:rStyle w:val="21"/>
          <w:rFonts w:ascii="Times New Roman" w:hAnsi="Times New Roman"/>
          <w:sz w:val="24"/>
        </w:rPr>
        <w:fldChar w:fldCharType="begin"/>
      </w:r>
      <w:r>
        <w:rPr>
          <w:rStyle w:val="21"/>
          <w:rFonts w:ascii="Times New Roman" w:hAnsi="Times New Roman"/>
          <w:sz w:val="24"/>
        </w:rPr>
        <w:instrText xml:space="preserve"> TOC \o "1-3" \f - \h \t "-1" </w:instrText>
      </w:r>
      <w:r>
        <w:rPr>
          <w:rStyle w:val="21"/>
          <w:rFonts w:ascii="Times New Roman" w:hAnsi="Times New Roman"/>
          <w:sz w:val="24"/>
        </w:rPr>
        <w:fldChar w:fldCharType="separate"/>
      </w:r>
      <w:r>
        <w:fldChar w:fldCharType="begin"/>
      </w:r>
      <w:r>
        <w:instrText xml:space="preserve"> HYPERLINK \l "_Toc208562007" </w:instrText>
      </w:r>
      <w:r>
        <w:fldChar w:fldCharType="separate"/>
      </w:r>
      <w:r>
        <w:rPr>
          <w:rStyle w:val="21"/>
          <w:rFonts w:ascii="Times New Roman" w:hAnsi="Times New Roman"/>
          <w:sz w:val="24"/>
        </w:rPr>
        <w:t>重要提示</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_Toc208562007 \h </w:instrText>
      </w:r>
      <w:r>
        <w:rPr>
          <w:rStyle w:val="21"/>
          <w:rFonts w:ascii="Times New Roman" w:hAnsi="Times New Roman"/>
          <w:sz w:val="24"/>
        </w:rPr>
        <w:fldChar w:fldCharType="separate"/>
      </w:r>
      <w:r>
        <w:rPr>
          <w:rStyle w:val="21"/>
          <w:rFonts w:ascii="Times New Roman" w:hAnsi="Times New Roman"/>
          <w:sz w:val="24"/>
        </w:rPr>
        <w:t>1</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"_Toc208562008" </w:instrText>
      </w:r>
      <w:r>
        <w:fldChar w:fldCharType="separate"/>
      </w:r>
      <w:r>
        <w:rPr>
          <w:rStyle w:val="21"/>
          <w:rFonts w:ascii="Times New Roman" w:hAnsi="Times New Roman"/>
          <w:sz w:val="24"/>
        </w:rPr>
        <w:t>一、绪言</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_Toc208562008 \h </w:instrText>
      </w:r>
      <w:r>
        <w:rPr>
          <w:rStyle w:val="21"/>
          <w:rFonts w:ascii="Times New Roman" w:hAnsi="Times New Roman"/>
          <w:sz w:val="24"/>
        </w:rPr>
        <w:fldChar w:fldCharType="separate"/>
      </w:r>
      <w:r>
        <w:rPr>
          <w:rStyle w:val="21"/>
          <w:rFonts w:ascii="Times New Roman" w:hAnsi="Times New Roman"/>
          <w:sz w:val="24"/>
        </w:rPr>
        <w:t>7</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"_Toc208562009" </w:instrText>
      </w:r>
      <w:r>
        <w:fldChar w:fldCharType="separate"/>
      </w:r>
      <w:r>
        <w:rPr>
          <w:rStyle w:val="21"/>
          <w:rFonts w:ascii="Times New Roman" w:hAnsi="Times New Roman"/>
          <w:sz w:val="24"/>
        </w:rPr>
        <w:t>二、释义</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_Toc208562009 \h </w:instrText>
      </w:r>
      <w:r>
        <w:rPr>
          <w:rStyle w:val="21"/>
          <w:rFonts w:ascii="Times New Roman" w:hAnsi="Times New Roman"/>
          <w:sz w:val="24"/>
        </w:rPr>
        <w:fldChar w:fldCharType="separate"/>
      </w:r>
      <w:r>
        <w:rPr>
          <w:rStyle w:val="21"/>
          <w:rFonts w:ascii="Times New Roman" w:hAnsi="Times New Roman"/>
          <w:sz w:val="24"/>
        </w:rPr>
        <w:t>8</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"_Toc208562010" </w:instrText>
      </w:r>
      <w:r>
        <w:fldChar w:fldCharType="separate"/>
      </w:r>
      <w:r>
        <w:rPr>
          <w:rStyle w:val="21"/>
          <w:rFonts w:ascii="Times New Roman" w:hAnsi="Times New Roman"/>
          <w:sz w:val="24"/>
        </w:rPr>
        <w:t>三、基金管理人</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_Toc208562010 \h </w:instrText>
      </w:r>
      <w:r>
        <w:rPr>
          <w:rStyle w:val="21"/>
          <w:rFonts w:ascii="Times New Roman" w:hAnsi="Times New Roman"/>
          <w:sz w:val="24"/>
        </w:rPr>
        <w:fldChar w:fldCharType="separate"/>
      </w:r>
      <w:r>
        <w:rPr>
          <w:rStyle w:val="21"/>
          <w:rFonts w:ascii="Times New Roman" w:hAnsi="Times New Roman"/>
          <w:sz w:val="24"/>
        </w:rPr>
        <w:t>13</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"_Toc208562011" </w:instrText>
      </w:r>
      <w:r>
        <w:fldChar w:fldCharType="separate"/>
      </w:r>
      <w:r>
        <w:rPr>
          <w:rStyle w:val="21"/>
          <w:rFonts w:ascii="Times New Roman" w:hAnsi="Times New Roman"/>
          <w:sz w:val="24"/>
        </w:rPr>
        <w:t>四、基金托管人</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_Toc208562011 \h </w:instrText>
      </w:r>
      <w:r>
        <w:rPr>
          <w:rStyle w:val="21"/>
          <w:rFonts w:ascii="Times New Roman" w:hAnsi="Times New Roman"/>
          <w:sz w:val="24"/>
        </w:rPr>
        <w:fldChar w:fldCharType="separate"/>
      </w:r>
      <w:r>
        <w:rPr>
          <w:rStyle w:val="21"/>
          <w:rFonts w:ascii="Times New Roman" w:hAnsi="Times New Roman"/>
          <w:sz w:val="24"/>
        </w:rPr>
        <w:t>21</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"_Toc208562012" </w:instrText>
      </w:r>
      <w:r>
        <w:fldChar w:fldCharType="separate"/>
      </w:r>
      <w:r>
        <w:rPr>
          <w:rStyle w:val="21"/>
          <w:rFonts w:ascii="Times New Roman" w:hAnsi="Times New Roman"/>
          <w:sz w:val="24"/>
        </w:rPr>
        <w:t>五、相关服务机构</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_Toc208562012 \h </w:instrText>
      </w:r>
      <w:r>
        <w:rPr>
          <w:rStyle w:val="21"/>
          <w:rFonts w:ascii="Times New Roman" w:hAnsi="Times New Roman"/>
          <w:sz w:val="24"/>
        </w:rPr>
        <w:fldChar w:fldCharType="separate"/>
      </w:r>
      <w:r>
        <w:rPr>
          <w:rStyle w:val="21"/>
          <w:rFonts w:ascii="Times New Roman" w:hAnsi="Times New Roman"/>
          <w:sz w:val="24"/>
        </w:rPr>
        <w:t>25</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"_Toc208562013" </w:instrText>
      </w:r>
      <w:r>
        <w:fldChar w:fldCharType="separate"/>
      </w:r>
      <w:r>
        <w:rPr>
          <w:rStyle w:val="21"/>
          <w:rFonts w:ascii="Times New Roman" w:hAnsi="Times New Roman"/>
          <w:sz w:val="24"/>
        </w:rPr>
        <w:t>六、基金的募集</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_Toc208562013 \h </w:instrText>
      </w:r>
      <w:r>
        <w:rPr>
          <w:rStyle w:val="21"/>
          <w:rFonts w:ascii="Times New Roman" w:hAnsi="Times New Roman"/>
          <w:sz w:val="24"/>
        </w:rPr>
        <w:fldChar w:fldCharType="separate"/>
      </w:r>
      <w:r>
        <w:rPr>
          <w:rStyle w:val="21"/>
          <w:rFonts w:ascii="Times New Roman" w:hAnsi="Times New Roman"/>
          <w:sz w:val="24"/>
        </w:rPr>
        <w:t>27</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"_Toc208562024" </w:instrText>
      </w:r>
      <w:r>
        <w:fldChar w:fldCharType="separate"/>
      </w:r>
      <w:r>
        <w:rPr>
          <w:rStyle w:val="21"/>
          <w:rFonts w:ascii="Times New Roman" w:hAnsi="Times New Roman"/>
          <w:sz w:val="24"/>
        </w:rPr>
        <w:t>七、基金合同的生效</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_Toc208562024 \h </w:instrText>
      </w:r>
      <w:r>
        <w:rPr>
          <w:rStyle w:val="21"/>
          <w:rFonts w:ascii="Times New Roman" w:hAnsi="Times New Roman"/>
          <w:sz w:val="24"/>
        </w:rPr>
        <w:fldChar w:fldCharType="separate"/>
      </w:r>
      <w:r>
        <w:rPr>
          <w:rStyle w:val="21"/>
          <w:rFonts w:ascii="Times New Roman" w:hAnsi="Times New Roman"/>
          <w:sz w:val="24"/>
        </w:rPr>
        <w:t>36</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"_Toc208562025" </w:instrText>
      </w:r>
      <w:r>
        <w:fldChar w:fldCharType="separate"/>
      </w:r>
      <w:r>
        <w:rPr>
          <w:rStyle w:val="21"/>
          <w:rFonts w:ascii="Times New Roman" w:hAnsi="Times New Roman"/>
          <w:sz w:val="24"/>
        </w:rPr>
        <w:t>八、基金份额折算与变更登记</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_Toc208562025 \h </w:instrText>
      </w:r>
      <w:r>
        <w:rPr>
          <w:rStyle w:val="21"/>
          <w:rFonts w:ascii="Times New Roman" w:hAnsi="Times New Roman"/>
          <w:sz w:val="24"/>
        </w:rPr>
        <w:fldChar w:fldCharType="separate"/>
      </w:r>
      <w:r>
        <w:rPr>
          <w:rStyle w:val="21"/>
          <w:rFonts w:ascii="Times New Roman" w:hAnsi="Times New Roman"/>
          <w:sz w:val="24"/>
        </w:rPr>
        <w:t>37</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"_Toc208562026" </w:instrText>
      </w:r>
      <w:r>
        <w:fldChar w:fldCharType="separate"/>
      </w:r>
      <w:r>
        <w:rPr>
          <w:rStyle w:val="21"/>
          <w:rFonts w:ascii="Times New Roman" w:hAnsi="Times New Roman"/>
          <w:sz w:val="24"/>
        </w:rPr>
        <w:t>九、基金份额的上市交易</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_Toc208562026 \h </w:instrText>
      </w:r>
      <w:r>
        <w:rPr>
          <w:rStyle w:val="21"/>
          <w:rFonts w:ascii="Times New Roman" w:hAnsi="Times New Roman"/>
          <w:sz w:val="24"/>
        </w:rPr>
        <w:fldChar w:fldCharType="separate"/>
      </w:r>
      <w:r>
        <w:rPr>
          <w:rStyle w:val="21"/>
          <w:rFonts w:ascii="Times New Roman" w:hAnsi="Times New Roman"/>
          <w:sz w:val="24"/>
        </w:rPr>
        <w:t>38</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"_Toc208562027" </w:instrText>
      </w:r>
      <w:r>
        <w:fldChar w:fldCharType="separate"/>
      </w:r>
      <w:r>
        <w:rPr>
          <w:rStyle w:val="21"/>
          <w:rFonts w:ascii="Times New Roman" w:hAnsi="Times New Roman"/>
          <w:sz w:val="24"/>
        </w:rPr>
        <w:t>十、基金份额的申购与赎回</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_Toc208562027 \h </w:instrText>
      </w:r>
      <w:r>
        <w:rPr>
          <w:rStyle w:val="21"/>
          <w:rFonts w:ascii="Times New Roman" w:hAnsi="Times New Roman"/>
          <w:sz w:val="24"/>
        </w:rPr>
        <w:fldChar w:fldCharType="separate"/>
      </w:r>
      <w:r>
        <w:rPr>
          <w:rStyle w:val="21"/>
          <w:rFonts w:ascii="Times New Roman" w:hAnsi="Times New Roman"/>
          <w:sz w:val="24"/>
        </w:rPr>
        <w:t>40</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"_Toc208562028" </w:instrText>
      </w:r>
      <w:r>
        <w:fldChar w:fldCharType="separate"/>
      </w:r>
      <w:r>
        <w:rPr>
          <w:rStyle w:val="21"/>
          <w:rFonts w:ascii="Times New Roman" w:hAnsi="Times New Roman"/>
          <w:sz w:val="24"/>
        </w:rPr>
        <w:t>十一、基金的投资</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_Toc208562028 \h </w:instrText>
      </w:r>
      <w:r>
        <w:rPr>
          <w:rStyle w:val="21"/>
          <w:rFonts w:ascii="Times New Roman" w:hAnsi="Times New Roman"/>
          <w:sz w:val="24"/>
        </w:rPr>
        <w:fldChar w:fldCharType="separate"/>
      </w:r>
      <w:r>
        <w:rPr>
          <w:rStyle w:val="21"/>
          <w:rFonts w:ascii="Times New Roman" w:hAnsi="Times New Roman"/>
          <w:sz w:val="24"/>
        </w:rPr>
        <w:t>57</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"_Toc208562029" </w:instrText>
      </w:r>
      <w:r>
        <w:fldChar w:fldCharType="separate"/>
      </w:r>
      <w:r>
        <w:rPr>
          <w:rStyle w:val="21"/>
          <w:rFonts w:ascii="Times New Roman" w:hAnsi="Times New Roman"/>
          <w:sz w:val="24"/>
        </w:rPr>
        <w:t>十二、基金的财产</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_Toc208562029 \h </w:instrText>
      </w:r>
      <w:r>
        <w:rPr>
          <w:rStyle w:val="21"/>
          <w:rFonts w:ascii="Times New Roman" w:hAnsi="Times New Roman"/>
          <w:sz w:val="24"/>
        </w:rPr>
        <w:fldChar w:fldCharType="separate"/>
      </w:r>
      <w:r>
        <w:rPr>
          <w:rStyle w:val="21"/>
          <w:rFonts w:ascii="Times New Roman" w:hAnsi="Times New Roman"/>
          <w:sz w:val="24"/>
        </w:rPr>
        <w:t>64</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"_Toc208562030" </w:instrText>
      </w:r>
      <w:r>
        <w:fldChar w:fldCharType="separate"/>
      </w:r>
      <w:r>
        <w:rPr>
          <w:rStyle w:val="21"/>
          <w:rFonts w:ascii="Times New Roman" w:hAnsi="Times New Roman"/>
          <w:sz w:val="24"/>
        </w:rPr>
        <w:t>十三、基金资产的估值</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_Toc208562030 \h </w:instrText>
      </w:r>
      <w:r>
        <w:rPr>
          <w:rStyle w:val="21"/>
          <w:rFonts w:ascii="Times New Roman" w:hAnsi="Times New Roman"/>
          <w:sz w:val="24"/>
        </w:rPr>
        <w:fldChar w:fldCharType="separate"/>
      </w:r>
      <w:r>
        <w:rPr>
          <w:rStyle w:val="21"/>
          <w:rFonts w:ascii="Times New Roman" w:hAnsi="Times New Roman"/>
          <w:sz w:val="24"/>
        </w:rPr>
        <w:t>65</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"_Toc208562031" </w:instrText>
      </w:r>
      <w:r>
        <w:fldChar w:fldCharType="separate"/>
      </w:r>
      <w:r>
        <w:rPr>
          <w:rStyle w:val="21"/>
          <w:rFonts w:ascii="Times New Roman" w:hAnsi="Times New Roman"/>
          <w:sz w:val="24"/>
        </w:rPr>
        <w:t>十四、基金收益与分配</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_Toc208562031 \h </w:instrText>
      </w:r>
      <w:r>
        <w:rPr>
          <w:rStyle w:val="21"/>
          <w:rFonts w:ascii="Times New Roman" w:hAnsi="Times New Roman"/>
          <w:sz w:val="24"/>
        </w:rPr>
        <w:fldChar w:fldCharType="separate"/>
      </w:r>
      <w:r>
        <w:rPr>
          <w:rStyle w:val="21"/>
          <w:rFonts w:ascii="Times New Roman" w:hAnsi="Times New Roman"/>
          <w:sz w:val="24"/>
        </w:rPr>
        <w:t>71</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"_Toc208562032" </w:instrText>
      </w:r>
      <w:r>
        <w:fldChar w:fldCharType="separate"/>
      </w:r>
      <w:r>
        <w:rPr>
          <w:rStyle w:val="21"/>
          <w:rFonts w:ascii="Times New Roman" w:hAnsi="Times New Roman"/>
          <w:sz w:val="24"/>
        </w:rPr>
        <w:t>十五、基金的费用与税收</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_Toc208562032 \h </w:instrText>
      </w:r>
      <w:r>
        <w:rPr>
          <w:rStyle w:val="21"/>
          <w:rFonts w:ascii="Times New Roman" w:hAnsi="Times New Roman"/>
          <w:sz w:val="24"/>
        </w:rPr>
        <w:fldChar w:fldCharType="separate"/>
      </w:r>
      <w:r>
        <w:rPr>
          <w:rStyle w:val="21"/>
          <w:rFonts w:ascii="Times New Roman" w:hAnsi="Times New Roman"/>
          <w:sz w:val="24"/>
        </w:rPr>
        <w:t>73</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"_Toc208562033" </w:instrText>
      </w:r>
      <w:r>
        <w:fldChar w:fldCharType="separate"/>
      </w:r>
      <w:r>
        <w:rPr>
          <w:rStyle w:val="21"/>
          <w:rFonts w:ascii="Times New Roman" w:hAnsi="Times New Roman"/>
          <w:sz w:val="24"/>
        </w:rPr>
        <w:t>十六、基金的会计与审计</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_Toc208562033 \h </w:instrText>
      </w:r>
      <w:r>
        <w:rPr>
          <w:rStyle w:val="21"/>
          <w:rFonts w:ascii="Times New Roman" w:hAnsi="Times New Roman"/>
          <w:sz w:val="24"/>
        </w:rPr>
        <w:fldChar w:fldCharType="separate"/>
      </w:r>
      <w:r>
        <w:rPr>
          <w:rStyle w:val="21"/>
          <w:rFonts w:ascii="Times New Roman" w:hAnsi="Times New Roman"/>
          <w:sz w:val="24"/>
        </w:rPr>
        <w:t>75</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"_Toc208562034" </w:instrText>
      </w:r>
      <w:r>
        <w:fldChar w:fldCharType="separate"/>
      </w:r>
      <w:r>
        <w:rPr>
          <w:rStyle w:val="21"/>
          <w:rFonts w:ascii="Times New Roman" w:hAnsi="Times New Roman"/>
          <w:sz w:val="24"/>
        </w:rPr>
        <w:t>十七、基金的信息披露</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_Toc208562034 \h </w:instrText>
      </w:r>
      <w:r>
        <w:rPr>
          <w:rStyle w:val="21"/>
          <w:rFonts w:ascii="Times New Roman" w:hAnsi="Times New Roman"/>
          <w:sz w:val="24"/>
        </w:rPr>
        <w:fldChar w:fldCharType="separate"/>
      </w:r>
      <w:r>
        <w:rPr>
          <w:rStyle w:val="21"/>
          <w:rFonts w:ascii="Times New Roman" w:hAnsi="Times New Roman"/>
          <w:sz w:val="24"/>
        </w:rPr>
        <w:t>76</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"_Toc208562035" </w:instrText>
      </w:r>
      <w:r>
        <w:fldChar w:fldCharType="separate"/>
      </w:r>
      <w:r>
        <w:rPr>
          <w:rStyle w:val="21"/>
          <w:rFonts w:ascii="Times New Roman" w:hAnsi="Times New Roman"/>
          <w:sz w:val="24"/>
        </w:rPr>
        <w:t>十八、风险揭示</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_Toc208562035 \h </w:instrText>
      </w:r>
      <w:r>
        <w:rPr>
          <w:rStyle w:val="21"/>
          <w:rFonts w:ascii="Times New Roman" w:hAnsi="Times New Roman"/>
          <w:sz w:val="24"/>
        </w:rPr>
        <w:fldChar w:fldCharType="separate"/>
      </w:r>
      <w:r>
        <w:rPr>
          <w:rStyle w:val="21"/>
          <w:rFonts w:ascii="Times New Roman" w:hAnsi="Times New Roman"/>
          <w:sz w:val="24"/>
        </w:rPr>
        <w:t>84</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"_Toc208562036" </w:instrText>
      </w:r>
      <w:r>
        <w:fldChar w:fldCharType="separate"/>
      </w:r>
      <w:r>
        <w:rPr>
          <w:rStyle w:val="21"/>
          <w:rFonts w:ascii="Times New Roman" w:hAnsi="Times New Roman"/>
          <w:sz w:val="24"/>
        </w:rPr>
        <w:t>十九、基金合同的变更、终止与基金财产的清算</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_Toc208562036 \h </w:instrText>
      </w:r>
      <w:r>
        <w:rPr>
          <w:rStyle w:val="21"/>
          <w:rFonts w:ascii="Times New Roman" w:hAnsi="Times New Roman"/>
          <w:sz w:val="24"/>
        </w:rPr>
        <w:fldChar w:fldCharType="separate"/>
      </w:r>
      <w:r>
        <w:rPr>
          <w:rStyle w:val="21"/>
          <w:rFonts w:ascii="Times New Roman" w:hAnsi="Times New Roman"/>
          <w:sz w:val="24"/>
        </w:rPr>
        <w:t>100</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"_Toc208562037" </w:instrText>
      </w:r>
      <w:r>
        <w:fldChar w:fldCharType="separate"/>
      </w:r>
      <w:r>
        <w:rPr>
          <w:rStyle w:val="21"/>
          <w:rFonts w:ascii="Times New Roman" w:hAnsi="Times New Roman"/>
          <w:sz w:val="24"/>
        </w:rPr>
        <w:t>二十、基金合同内容摘要</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_Toc208562037 \h </w:instrText>
      </w:r>
      <w:r>
        <w:rPr>
          <w:rStyle w:val="21"/>
          <w:rFonts w:ascii="Times New Roman" w:hAnsi="Times New Roman"/>
          <w:sz w:val="24"/>
        </w:rPr>
        <w:fldChar w:fldCharType="separate"/>
      </w:r>
      <w:r>
        <w:rPr>
          <w:rStyle w:val="21"/>
          <w:rFonts w:ascii="Times New Roman" w:hAnsi="Times New Roman"/>
          <w:sz w:val="24"/>
        </w:rPr>
        <w:t>102</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"_Toc208562038" </w:instrText>
      </w:r>
      <w:r>
        <w:fldChar w:fldCharType="separate"/>
      </w:r>
      <w:r>
        <w:rPr>
          <w:rStyle w:val="21"/>
          <w:rFonts w:ascii="Times New Roman" w:hAnsi="Times New Roman"/>
          <w:sz w:val="24"/>
        </w:rPr>
        <w:t>二十一、托管协议的内容摘要</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_Toc208562038 \h </w:instrText>
      </w:r>
      <w:r>
        <w:rPr>
          <w:rStyle w:val="21"/>
          <w:rFonts w:ascii="Times New Roman" w:hAnsi="Times New Roman"/>
          <w:sz w:val="24"/>
        </w:rPr>
        <w:fldChar w:fldCharType="separate"/>
      </w:r>
      <w:r>
        <w:rPr>
          <w:rStyle w:val="21"/>
          <w:rFonts w:ascii="Times New Roman" w:hAnsi="Times New Roman"/>
          <w:sz w:val="24"/>
        </w:rPr>
        <w:t>119</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"_Toc208562039" </w:instrText>
      </w:r>
      <w:r>
        <w:fldChar w:fldCharType="separate"/>
      </w:r>
      <w:r>
        <w:rPr>
          <w:rStyle w:val="21"/>
          <w:rFonts w:ascii="Times New Roman" w:hAnsi="Times New Roman"/>
          <w:sz w:val="24"/>
        </w:rPr>
        <w:t>二十二、对基金份额持有人的服务</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_Toc208562039 \h </w:instrText>
      </w:r>
      <w:r>
        <w:rPr>
          <w:rStyle w:val="21"/>
          <w:rFonts w:ascii="Times New Roman" w:hAnsi="Times New Roman"/>
          <w:sz w:val="24"/>
        </w:rPr>
        <w:fldChar w:fldCharType="separate"/>
      </w:r>
      <w:r>
        <w:rPr>
          <w:rStyle w:val="21"/>
          <w:rFonts w:ascii="Times New Roman" w:hAnsi="Times New Roman"/>
          <w:sz w:val="24"/>
        </w:rPr>
        <w:t>137</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"_Toc208562040" </w:instrText>
      </w:r>
      <w:r>
        <w:fldChar w:fldCharType="separate"/>
      </w:r>
      <w:r>
        <w:rPr>
          <w:rStyle w:val="21"/>
          <w:rFonts w:ascii="Times New Roman" w:hAnsi="Times New Roman"/>
          <w:sz w:val="24"/>
        </w:rPr>
        <w:t>二十三、其他应披露事项</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_Toc208562040 \h </w:instrText>
      </w:r>
      <w:r>
        <w:rPr>
          <w:rStyle w:val="21"/>
          <w:rFonts w:ascii="Times New Roman" w:hAnsi="Times New Roman"/>
          <w:sz w:val="24"/>
        </w:rPr>
        <w:fldChar w:fldCharType="separate"/>
      </w:r>
      <w:r>
        <w:rPr>
          <w:rStyle w:val="21"/>
          <w:rFonts w:ascii="Times New Roman" w:hAnsi="Times New Roman"/>
          <w:sz w:val="24"/>
        </w:rPr>
        <w:t>138</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eastAsiaTheme="minorEastAsia" w:cstheme="minorBidi"/>
          <w:sz w:val="24"/>
        </w:rPr>
      </w:pPr>
      <w:r>
        <w:fldChar w:fldCharType="begin"/>
      </w:r>
      <w:r>
        <w:instrText xml:space="preserve"> HYPERLINK \l "_Toc208562041" </w:instrText>
      </w:r>
      <w:r>
        <w:fldChar w:fldCharType="separate"/>
      </w:r>
      <w:r>
        <w:rPr>
          <w:rStyle w:val="21"/>
          <w:rFonts w:ascii="Times New Roman" w:hAnsi="Times New Roman"/>
          <w:sz w:val="24"/>
        </w:rPr>
        <w:t>二十四、招募说明书的存放及查阅方式</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_Toc208562041 \h </w:instrText>
      </w:r>
      <w:r>
        <w:rPr>
          <w:rStyle w:val="21"/>
          <w:rFonts w:ascii="Times New Roman" w:hAnsi="Times New Roman"/>
          <w:sz w:val="24"/>
        </w:rPr>
        <w:fldChar w:fldCharType="separate"/>
      </w:r>
      <w:r>
        <w:rPr>
          <w:rStyle w:val="21"/>
          <w:rFonts w:ascii="Times New Roman" w:hAnsi="Times New Roman"/>
          <w:sz w:val="24"/>
        </w:rPr>
        <w:t>139</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Fonts w:asciiTheme="minorHAnsi" w:hAnsiTheme="minorHAnsi" w:eastAsiaTheme="minorEastAsia" w:cstheme="minorBidi"/>
        </w:rPr>
      </w:pPr>
      <w:r>
        <w:fldChar w:fldCharType="begin"/>
      </w:r>
      <w:r>
        <w:instrText xml:space="preserve"> HYPERLINK \l "_Toc208562042" </w:instrText>
      </w:r>
      <w:r>
        <w:fldChar w:fldCharType="separate"/>
      </w:r>
      <w:r>
        <w:rPr>
          <w:rStyle w:val="21"/>
          <w:rFonts w:ascii="Times New Roman" w:hAnsi="Times New Roman"/>
          <w:sz w:val="24"/>
        </w:rPr>
        <w:t>二十五、备查文件</w:t>
      </w:r>
      <w:r>
        <w:rPr>
          <w:rStyle w:val="21"/>
          <w:rFonts w:ascii="Times New Roman" w:hAnsi="Times New Roman"/>
          <w:sz w:val="24"/>
        </w:rPr>
        <w:tab/>
      </w:r>
      <w:r>
        <w:rPr>
          <w:rStyle w:val="21"/>
          <w:rFonts w:ascii="Times New Roman" w:hAnsi="Times New Roman"/>
          <w:sz w:val="24"/>
        </w:rPr>
        <w:fldChar w:fldCharType="begin"/>
      </w:r>
      <w:r>
        <w:rPr>
          <w:rStyle w:val="21"/>
          <w:rFonts w:ascii="Times New Roman" w:hAnsi="Times New Roman"/>
          <w:sz w:val="24"/>
        </w:rPr>
        <w:instrText xml:space="preserve"> PAGEREF _Toc208562042 \h </w:instrText>
      </w:r>
      <w:r>
        <w:rPr>
          <w:rStyle w:val="21"/>
          <w:rFonts w:ascii="Times New Roman" w:hAnsi="Times New Roman"/>
          <w:sz w:val="24"/>
        </w:rPr>
        <w:fldChar w:fldCharType="separate"/>
      </w:r>
      <w:r>
        <w:rPr>
          <w:rStyle w:val="21"/>
          <w:rFonts w:ascii="Times New Roman" w:hAnsi="Times New Roman"/>
          <w:sz w:val="24"/>
        </w:rPr>
        <w:t>140</w:t>
      </w:r>
      <w:r>
        <w:rPr>
          <w:rStyle w:val="21"/>
          <w:rFonts w:ascii="Times New Roman" w:hAnsi="Times New Roman"/>
          <w:sz w:val="24"/>
        </w:rPr>
        <w:fldChar w:fldCharType="end"/>
      </w:r>
      <w:r>
        <w:rPr>
          <w:rStyle w:val="21"/>
          <w:rFonts w:ascii="Times New Roman" w:hAnsi="Times New Roman"/>
          <w:sz w:val="24"/>
        </w:rPr>
        <w:fldChar w:fldCharType="end"/>
      </w:r>
    </w:p>
    <w:p>
      <w:pPr>
        <w:pStyle w:val="12"/>
        <w:tabs>
          <w:tab w:val="right" w:leader="dot" w:pos="8550"/>
        </w:tabs>
        <w:spacing w:line="360" w:lineRule="auto"/>
        <w:rPr>
          <w:rStyle w:val="21"/>
          <w:rFonts w:ascii="Times New Roman" w:hAnsi="Times New Roman"/>
          <w:sz w:val="24"/>
        </w:rPr>
        <w:sectPr>
          <w:headerReference r:id="rId7" w:type="default"/>
          <w:pgSz w:w="11920" w:h="16840"/>
          <w:pgMar w:top="1480" w:right="1680" w:bottom="280" w:left="1680" w:header="0" w:footer="1073" w:gutter="0"/>
          <w:cols w:space="720" w:num="1"/>
        </w:sectPr>
      </w:pPr>
      <w:r>
        <w:rPr>
          <w:rStyle w:val="21"/>
          <w:rFonts w:ascii="Times New Roman" w:hAnsi="Times New Roman"/>
        </w:rPr>
        <w:fldChar w:fldCharType="end"/>
      </w:r>
    </w:p>
    <w:p>
      <w:pPr>
        <w:pStyle w:val="2"/>
        <w:snapToGrid w:val="0"/>
        <w:spacing w:before="240" w:beforeLines="0" w:after="240"/>
        <w:rPr>
          <w:rFonts w:ascii="Times New Roman" w:hAnsi="Times New Roman"/>
          <w:szCs w:val="30"/>
        </w:rPr>
      </w:pPr>
      <w:bookmarkStart w:id="3" w:name="_Toc208562008"/>
      <w:r>
        <w:rPr>
          <w:rFonts w:ascii="Times New Roman" w:hAnsi="Times New Roman"/>
          <w:sz w:val="30"/>
        </w:rPr>
        <w:t>一、绪言</w:t>
      </w:r>
      <w:bookmarkEnd w:id="3"/>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交银施罗德中证智选沪深港科技50交易型开放式指数证券投资基金招募说明书》（以下简称“本招募说明书”）依据《中华人民共和国证券投资基金法》（以下简称“《基金法》”）、《公开募集证券投资基金运作管理办法》（以下简称“《运作办法》”）、《</w:t>
      </w:r>
      <w:r>
        <w:rPr>
          <w:rFonts w:ascii="Times New Roman" w:hAnsi="Times New Roman"/>
          <w:kern w:val="0"/>
          <w:sz w:val="24"/>
        </w:rPr>
        <w:t>公开募集证券投资基金销售机构监督管理办法</w:t>
      </w:r>
      <w:r>
        <w:rPr>
          <w:rFonts w:ascii="Times New Roman" w:hAnsi="Times New Roman"/>
          <w:sz w:val="24"/>
        </w:rPr>
        <w:t>》（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和其他相关法律法规的规定以及《交银施罗德中证智选沪深港科技50交易型开放式指数证券投资基金基金合同》（以下简称“基金合同”）编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4" w:name="_Toc208562009"/>
      <w:r>
        <w:rPr>
          <w:rFonts w:ascii="Times New Roman" w:hAnsi="Times New Roman"/>
          <w:sz w:val="30"/>
        </w:rPr>
        <w:t>二、释义</w:t>
      </w:r>
      <w:bookmarkEnd w:id="4"/>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在本招募说明书中，除非文意另有所指，下列词语或简称具有如下含义：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1、基金或本基金：指交银施罗德中证智选沪深港科技50交易型开放式指数证券投资基金</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2、基金管理人：指交银施罗德基金管理有限公司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3、基金托管人：指国泰海通证券股份有限公司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4、基金合同或《基金合同》：指《交银施罗德中证智选沪深港科技50交易型开放式指数证券投资基金基金合同》及对基金合同的任何有效修订和补充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5、托管协议：指基金管理人与基金托管人就本基金签订之《交银施罗德中证智选沪深港科技50交易型开放式指数证券投资基金托管协议》及对该托管协议的任何有效修订和补充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6、招募说明书、《招募说明书》或本招募说明书：指《交银施罗德中证智选沪深港科技50交易型开放式指数证券投资基金招募说明书》及其更新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7、基金产品资料概要：指《交银施罗德中证智选沪深港科技50交易型开放式指数证券投资基金基金产品资料概要》及其更新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8、基金份额发售公告：指《交银施罗德中证智选沪深港科技50交易型开放式指数证券投资基金基金份额发售公告》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9、上市交易公告书：指《交银施罗德中证智选沪深港科技50交易型开放式指数证券投资基金上市交易公告书》</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10、</w:t>
      </w:r>
      <w:r>
        <w:rPr>
          <w:rFonts w:ascii="Times New Roman" w:hAnsi="Times New Roman"/>
          <w:sz w:val="24"/>
        </w:rPr>
        <w:t>法律法规：指中国现行有效并公布实施的法律、行政法规、规范性文件、司法解释、行政规章以及其他对基金合同当事人有约束力的决定、决议、通知等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11</w:t>
      </w:r>
      <w:r>
        <w:rPr>
          <w:rFonts w:hint="eastAsia" w:ascii="Times New Roman" w:hAnsi="Times New Roman"/>
          <w:sz w:val="24"/>
        </w:rPr>
        <w:t>、《基金法》：指《中华人民共和国证券投资基金法》及颁布机关对其不时做出的修订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12</w:t>
      </w:r>
      <w:r>
        <w:rPr>
          <w:rFonts w:hint="eastAsia" w:ascii="Times New Roman" w:hAnsi="Times New Roman"/>
          <w:sz w:val="24"/>
        </w:rPr>
        <w:t>、《销售办法》：指《公开募集证券投资基金销售机构监督管理办法》及颁布机关对其不时做出的修订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13</w:t>
      </w:r>
      <w:r>
        <w:rPr>
          <w:rFonts w:hint="eastAsia" w:ascii="Times New Roman" w:hAnsi="Times New Roman"/>
          <w:sz w:val="24"/>
        </w:rPr>
        <w:t>、《信息披露办法》：指《公开募集证券投资基金信息披露管理办法》及颁布机关对其不时做出的修订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、《运作办法》：指《公开募集证券投资基金运作管理办法》及颁布机关对其不时做出的修订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15</w:t>
      </w:r>
      <w:r>
        <w:rPr>
          <w:rFonts w:hint="eastAsia" w:ascii="Times New Roman" w:hAnsi="Times New Roman"/>
          <w:sz w:val="24"/>
        </w:rPr>
        <w:t>、《流动性风险管理规定》：指《公开募集开放式证券投资基金流动性风险管理规定》及颁布机关对其不时做出的修订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16、《指数基金指引》：指《公开募集证券投资基金运作指引第3号——指数基金指引》及颁布机关对其不时做出的修订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17、中国证监会：指中国证券监督管理委员会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18、</w:t>
      </w:r>
      <w:r>
        <w:rPr>
          <w:rFonts w:hint="eastAsia" w:ascii="Times New Roman" w:hAnsi="Times New Roman"/>
          <w:sz w:val="24"/>
        </w:rPr>
        <w:t>交易型开放式指数证券投资基金：指《上海证券交易所交易型开放式指数基金业务实施细则》定义的“交易型开放式指数基金”，亦称“ETF”</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19、联接基金：指将其绝大部分基金财产投资于本基金，与本基金的投资目标类似，采用开放式运作方式的基金</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20、</w:t>
      </w:r>
      <w:r>
        <w:rPr>
          <w:rFonts w:ascii="Times New Roman" w:hAnsi="Times New Roman"/>
          <w:sz w:val="24"/>
        </w:rPr>
        <w:t>基金合同当事人：指受基金合同约束，根据基金合同享有权利并承担义务的法律主体，包括基金管理人、基金托管人和基金份额持有人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21、个人投资者：指依据有关法律法规规定可投资于证券投资基金的自然人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22、机构投资者：指依法可以投资证券投资基金的、在中华人民共和国境内合法登记并存续或经有关政府部门批准设立并存续的企业法人、事业法人、社会团体或其他组织</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23、</w:t>
      </w:r>
      <w:r>
        <w:rPr>
          <w:rFonts w:hint="eastAsia" w:ascii="Times New Roman" w:hAnsi="Times New Roman"/>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24、投资人、投资者：指个人投资者、机构投资者、合格境外投资者以及法律法规或中国证监会允许购买证券投资基金的其他投资人的合称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25、基金份额持有人：指依基金合同和招募说明书合法取得基金份额的投资人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26、基金销售业务：指基金管理人或销售机构宣传推介基金，发售基金份额，办理基金份额的申购、赎回、转托管等业务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27、销售机构：指交银施罗德基金管理有限公司以及符合《销售办法》和中国证监会规定的其他条件，取得基金销售业务资格并与基金管理人签订了基金销售服务协议，办理基金销售业务的机构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28、发售代理机构：指符合《销售办法》和中国证监会规定的其他条件，由基金管理人指定的、在募集期间代理本基金发售业务的机构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29、申购赎回代理券商：指符合《销售办法》和中国证监会规定的其他条件，由基金管理人指定的，在基金合同生效后代为办理本基金申购、赎回业务的证券公司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30、</w:t>
      </w:r>
      <w:r>
        <w:rPr>
          <w:rFonts w:ascii="Times New Roman" w:hAnsi="Times New Roman"/>
          <w:sz w:val="24"/>
        </w:rPr>
        <w:t>登记业务：指基金登记、存管、过户、清算和结算业务，具体内容包括投资人基金账户的建立和管理、基金份额登记、基金销售业务</w:t>
      </w:r>
      <w:r>
        <w:rPr>
          <w:bCs/>
          <w:sz w:val="24"/>
        </w:rPr>
        <w:t>和基金交易</w:t>
      </w:r>
      <w:r>
        <w:rPr>
          <w:rFonts w:ascii="Times New Roman" w:hAnsi="Times New Roman"/>
          <w:sz w:val="24"/>
        </w:rPr>
        <w:t>的确认、清算和结算、代理发放红利、建立并保管基金份额持有人名册和办理非交易过户等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31、登记机构：指办理登记业务的机构。基金的登记机构为交银施罗德基金管理有限公司或接受交银施罗德基金管理有限公司委托代为办理登记业务的机构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32、基金账户：指登记机构为投资人开立的、记录其持有的、基金管理人所管理的基金份额余额及其变动情况的账户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33、基金合同生效日：指基金募集达到法律法规规定及基金合同规定的条件，基金管理人向中国证监会办理基金备案手续完毕，并获得中国证监会书面确认的日期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34、基金合同终止日：指基金合同规定的基金合同终止事由出现后，基金财产清算完毕，清算结果报中国证监会备案并予以公告的日期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35、基金募集期：指自基金份额发售之日起至发售结束之日止的期间，最长不得超过3个月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36、存续期：指基金合同生效至终止之间的不定期期限</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37、工作日：指上海证券交易所、深圳证券交易所的正常交易日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38、T日：指销售机构在规定时间受理投资人申购、赎回或其他业务申请的开放日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39、T+n日：指自T日起第n个工作日（不包含T日）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40、开放日：指为投资人办理基金份额申购、赎回或其他业务的工作日</w:t>
      </w:r>
      <w:r>
        <w:rPr>
          <w:rFonts w:hint="eastAsia" w:ascii="Times New Roman" w:hAnsi="Times New Roman"/>
          <w:sz w:val="24"/>
        </w:rPr>
        <w:t>（若该工作日为非港股通交易日，则本基金不开放）</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41、开放时间：指开放日基金接受申购、赎回或其他交易的时间段</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42、《业务规则》：</w:t>
      </w:r>
      <w:r>
        <w:rPr>
          <w:rFonts w:hint="eastAsia" w:ascii="Times New Roman" w:hAnsi="Times New Roman"/>
          <w:sz w:val="24"/>
        </w:rPr>
        <w:t>指本基金管理人、上海证券交易所、中国证券登记结算有限责任公司及其他销售机构的相关业务规则及其不时做出的修订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43、认购：指在基金募集期内，投资人根据基金合同和招募说明书的规定申请购买基金份额的行为</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4、发售：指在本基金募集期内，销售机构向投资人销售本基金基金份额的行为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45、</w:t>
      </w:r>
      <w:r>
        <w:rPr>
          <w:rFonts w:ascii="Times New Roman" w:hAnsi="Times New Roman"/>
          <w:sz w:val="24"/>
        </w:rPr>
        <w:t>申购：指基金合同生效后，投资人根据基金合同和招募说明书规定</w:t>
      </w:r>
      <w:r>
        <w:rPr>
          <w:rFonts w:hint="eastAsia" w:ascii="Times New Roman" w:hAnsi="Times New Roman"/>
          <w:sz w:val="24"/>
        </w:rPr>
        <w:t>的条件，以基金合同规定的</w:t>
      </w:r>
      <w:r>
        <w:rPr>
          <w:rFonts w:hint="eastAsia"/>
          <w:bCs/>
          <w:sz w:val="24"/>
        </w:rPr>
        <w:t>申购</w:t>
      </w:r>
      <w:r>
        <w:rPr>
          <w:rFonts w:hint="eastAsia" w:ascii="Times New Roman" w:hAnsi="Times New Roman"/>
          <w:sz w:val="24"/>
        </w:rPr>
        <w:t>对价</w:t>
      </w:r>
      <w:r>
        <w:rPr>
          <w:rFonts w:ascii="Times New Roman" w:hAnsi="Times New Roman"/>
          <w:sz w:val="24"/>
        </w:rPr>
        <w:t>申请购买基金份额的行为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46、赎回：指基金合同生效后，基金份额持有人按基金合同和招募说明书规定的条件要求将基金份额兑换为</w:t>
      </w:r>
      <w:r>
        <w:rPr>
          <w:rFonts w:hint="eastAsia" w:ascii="Times New Roman" w:hAnsi="Times New Roman"/>
          <w:sz w:val="24"/>
        </w:rPr>
        <w:t>基金合同规定的</w:t>
      </w:r>
      <w:r>
        <w:rPr>
          <w:rFonts w:hint="eastAsia"/>
          <w:bCs/>
          <w:sz w:val="24"/>
        </w:rPr>
        <w:t>赎回</w:t>
      </w:r>
      <w:r>
        <w:rPr>
          <w:rFonts w:hint="eastAsia" w:ascii="Times New Roman" w:hAnsi="Times New Roman"/>
          <w:sz w:val="24"/>
        </w:rPr>
        <w:t>对价</w:t>
      </w:r>
      <w:r>
        <w:rPr>
          <w:rFonts w:ascii="Times New Roman" w:hAnsi="Times New Roman"/>
          <w:sz w:val="24"/>
        </w:rPr>
        <w:t>的行为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47、申购赎回清单：指由基金管理人编制的用以公告申购对价、赎回对价等信息的文件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48、申购对价：指投资人申购基金份额时，按基金合同和招募说明书规定应交付的组合证券、现金替代、现金差额及其他对价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49、赎回对价：指基金份额持有人赎回基金份额时，基金管理人按基金合同和招募说明书规定应交付给赎回人的组合证券、现金替代、现金差额及其他对价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50、组合证券：指本基金标的指数所包含的全部或部分证券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51、标的指数：指中证智选沪深港科技50指数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52、现金替代：指申购、赎回过程中，投资人按基金合同和招募说明书的规定，用于替代组合证券中部分证券的一定数量的现金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53、现金差额：指最小申购、赎回单位的资产净值与按T日收盘价计算的最小申购、赎回单位中的组合证券市值和现金替代之差；投资人申购、赎回时应支付或应获得的现金差额根据最小申购、赎回单位对应的现金差额和申购或赎回的最小申购、赎回单位数量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54、预估现金部分：指由基金管理人估计并在T日申购赎回清单中公布的当日现金差额的估计值，预估现金部分由申购赎回代理券商预先冻结</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55、最小申购、赎回单位：指本基金申购份额、赎回份额的最低数量，投资人申购、赎回的基金份额应为最小申购、赎回单位的整数倍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56、基金份额参考净值：指基金管理人或基金管理人委托的机构在</w:t>
      </w:r>
      <w:r>
        <w:rPr>
          <w:rFonts w:hint="eastAsia" w:ascii="Times New Roman" w:hAnsi="Times New Roman"/>
          <w:bCs/>
          <w:sz w:val="24"/>
        </w:rPr>
        <w:t>交易时间内</w:t>
      </w:r>
      <w:r>
        <w:rPr>
          <w:rFonts w:hint="eastAsia" w:ascii="Times New Roman" w:hAnsi="Times New Roman"/>
          <w:sz w:val="24"/>
        </w:rPr>
        <w:t>根据申购赎回清单和组合证券内各只证券的实时成交数据计算，并通过上海证券交易所发布的基金份额参考净值，简称“IOPV”</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57、基金份额折算：指基金管理人根据基金运作的需要，在基金资产净值不变的前提下，按照一定比例调整基金份额总额及基金份额净值，并根据基金合同的规定将基金份额持有人的基金份额数额进行变更登记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58、</w:t>
      </w:r>
      <w:r>
        <w:rPr>
          <w:rFonts w:ascii="Times New Roman" w:hAnsi="Times New Roman"/>
          <w:sz w:val="24"/>
        </w:rPr>
        <w:t>转托管：指基金份额持有人在本基金的不同销售机构之间实施的变更所持基金份额销售机构的操作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59、元：指人民币元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60、基金收益：指基金投资所得红利、股息、债券利息、买卖证券价差、银行存款利息、已实现的其他合法收入及因运用基金财产带来的成本和费用的节约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61、基金资产总值：</w:t>
      </w:r>
      <w:r>
        <w:rPr>
          <w:rFonts w:hint="eastAsia" w:ascii="Times New Roman" w:hAnsi="Times New Roman"/>
          <w:sz w:val="24"/>
        </w:rPr>
        <w:t>指基金拥有的各类有价证券、股指期货合约、银行存款本息、基金应收款项及其他资产的价值总和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62、基金资产净值：指基金资产总值减去基金负债后的价值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63、基金份额净值：指计算日基金资产净值除以计算日基金份额总数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64、基金资产估值：指计算评估基金资产和负债的价值，以确定基金资产净值和基金份额净值的过程</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65</w:t>
      </w:r>
      <w:r>
        <w:rPr>
          <w:rFonts w:hint="eastAsia" w:ascii="Times New Roman" w:hAnsi="Times New Roman"/>
          <w:sz w:val="24"/>
        </w:rPr>
        <w:t>、港股通标的股票：指内地投资者委托内地证券公司，经由内地证券交易所在香港设立的证券交易服务公司，向香港联合交易所进行申报，买卖规定范围内的香港联合交易所上市的股票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66、规定媒介：指符合中国证监会规定条件的用以进行信息披露的全国性报刊及《信息披露办法》规定的互联网网站（包括基金管理人网站、基金托管人网站、中国证监会基金电子披露网站）等媒介</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67</w:t>
      </w:r>
      <w:r>
        <w:rPr>
          <w:rFonts w:ascii="Times New Roman" w:hAnsi="Times New Roman"/>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68</w:t>
      </w:r>
      <w:r>
        <w:rPr>
          <w:rFonts w:hint="eastAsia" w:ascii="Times New Roman" w:hAnsi="Times New Roman"/>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69</w:t>
      </w:r>
      <w:r>
        <w:rPr>
          <w:rFonts w:hint="eastAsia" w:ascii="Times New Roman" w:hAnsi="Times New Roman"/>
          <w:sz w:val="24"/>
        </w:rPr>
        <w:t>、</w:t>
      </w:r>
      <w:r>
        <w:rPr>
          <w:rFonts w:ascii="Times New Roman" w:hAnsi="Times New Roman"/>
          <w:sz w:val="24"/>
        </w:rPr>
        <w:t>不可抗力：指基金合同当事人不能预见、不能避免且不能克服的客观事件</w:t>
      </w:r>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5" w:name="_Toc208562010"/>
      <w:r>
        <w:rPr>
          <w:rFonts w:ascii="Times New Roman" w:hAnsi="Times New Roman"/>
          <w:sz w:val="30"/>
        </w:rPr>
        <w:t>三、基金管理人</w:t>
      </w:r>
      <w:bookmarkEnd w:id="5"/>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（一）基金管理人概况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邮政编码：200120</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法定代表人：</w:t>
      </w:r>
      <w:r>
        <w:rPr>
          <w:rFonts w:hint="eastAsia" w:ascii="Times New Roman" w:hAnsi="Times New Roman"/>
          <w:sz w:val="24"/>
        </w:rPr>
        <w:t>张宏良</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成立时间：2005年8月4日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注册资本：2亿元人民币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存续期间：持续经营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联系人：</w:t>
      </w:r>
      <w:r>
        <w:rPr>
          <w:rFonts w:hint="eastAsia" w:ascii="Times New Roman" w:hAnsi="Times New Roman"/>
          <w:sz w:val="24"/>
        </w:rPr>
        <w:t>何佳妮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电话：（021）61055050</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传真：（021）61055034</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交银施罗德基金管理有限公司（以下简称“公司”）经中国证监会证监基金字[2005]128号文批准设立。公司股权结构如下：</w:t>
      </w:r>
    </w:p>
    <w:tbl>
      <w:tblPr>
        <w:tblStyle w:val="16"/>
        <w:tblW w:w="5000" w:type="pct"/>
        <w:tblInd w:w="0" w:type="dxa"/>
        <w:tblLayout w:type="autofit"/>
        <w:tblCellMar>
          <w:top w:w="0" w:type="dxa"/>
          <w:left w:w="0" w:type="dxa"/>
          <w:bottom w:w="0" w:type="dxa"/>
          <w:right w:w="0" w:type="dxa"/>
        </w:tblCellMar>
      </w:tblPr>
      <w:tblGrid>
        <w:gridCol w:w="4335"/>
        <w:gridCol w:w="4335"/>
      </w:tblGrid>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股东名称</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股权比例</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交通银行股份有限公司（以下使用全称或其简称“交通银行”）</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65%</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施罗德投资管理有限公司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30%</w:t>
            </w:r>
          </w:p>
        </w:tc>
      </w:tr>
      <w:tr>
        <w:tblPrEx>
          <w:tblCellMar>
            <w:top w:w="0" w:type="dxa"/>
            <w:left w:w="0" w:type="dxa"/>
            <w:bottom w:w="0" w:type="dxa"/>
            <w:right w:w="0" w:type="dxa"/>
          </w:tblCellMar>
        </w:tblPrEx>
        <w:trPr>
          <w:cantSplit/>
          <w:trHeight w:val="375" w:hRule="atLeast"/>
        </w:trPr>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color w:val="000000"/>
                <w:kern w:val="0"/>
                <w:sz w:val="25"/>
                <w:szCs w:val="24"/>
              </w:rPr>
            </w:pPr>
            <w:r>
              <w:rPr>
                <w:rFonts w:hint="eastAsia" w:ascii="Times New Roman" w:hAnsi="Times New Roman"/>
                <w:color w:val="000000"/>
                <w:kern w:val="0"/>
                <w:sz w:val="25"/>
                <w:szCs w:val="24"/>
              </w:rPr>
              <w:t>中国国际海运集装箱（集团）股份有限公司</w:t>
            </w:r>
          </w:p>
        </w:tc>
        <w:tc>
          <w:tcPr>
            <w:tcW w:w="750"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color w:val="000000"/>
                <w:kern w:val="0"/>
                <w:sz w:val="25"/>
                <w:szCs w:val="24"/>
              </w:rPr>
            </w:pPr>
            <w:r>
              <w:rPr>
                <w:rFonts w:hint="eastAsia" w:ascii="Times New Roman" w:hAnsi="Times New Roman"/>
                <w:color w:val="000000"/>
                <w:kern w:val="0"/>
                <w:sz w:val="25"/>
                <w:szCs w:val="24"/>
              </w:rPr>
              <w:t>5%</w:t>
            </w:r>
          </w:p>
        </w:tc>
      </w:tr>
    </w:tbl>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（二）主要成员情况</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、基金管理人董事会成员</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胡晓晖女士，董事，学士，现任交通银行总行董事会办公室资深专家，历任交通银行总行授信管理部副处长、处长，苏州分行副行长、高级信贷执行官，总行授信管理部副总经理，监事会办公室副主任、资深专家。</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杜伟麒（</w:t>
      </w:r>
      <w:r>
        <w:rPr>
          <w:rFonts w:ascii="Times New Roman" w:hAnsi="Times New Roman"/>
          <w:bCs/>
          <w:sz w:val="24"/>
        </w:rPr>
        <w:t>ChrisDurack</w:t>
      </w:r>
      <w:r>
        <w:rPr>
          <w:rFonts w:hint="eastAsia" w:ascii="Times New Roman" w:hAnsi="Times New Roman"/>
          <w:bCs/>
          <w:sz w:val="24"/>
        </w:rPr>
        <w:t>）先生，董事，硕士。现任施罗德投资亚太区行政总裁。历任施罗德投资澳大利亚董事兼产品及分销主管、香港行政总裁兼亚太区机构业务主管、澳大利亚行政总裁兼亚太区联席主管等职。</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章骏翔先生，副董事长，硕士，美国特许金融分析师</w:t>
      </w:r>
      <w:r>
        <w:rPr>
          <w:rFonts w:ascii="Times New Roman" w:hAnsi="Times New Roman"/>
          <w:bCs/>
          <w:sz w:val="24"/>
        </w:rPr>
        <w:t>(CFA)</w:t>
      </w:r>
      <w:r>
        <w:rPr>
          <w:rFonts w:hint="eastAsia" w:ascii="Times New Roman" w:hAnsi="Times New Roman"/>
          <w:bCs/>
          <w:sz w:val="24"/>
        </w:rPr>
        <w:t>持证人。现任施罗德投资管理</w:t>
      </w:r>
      <w:r>
        <w:rPr>
          <w:rFonts w:ascii="Times New Roman" w:hAnsi="Times New Roman"/>
          <w:bCs/>
          <w:sz w:val="24"/>
        </w:rPr>
        <w:t>(</w:t>
      </w:r>
      <w:r>
        <w:rPr>
          <w:rFonts w:hint="eastAsia" w:ascii="Times New Roman" w:hAnsi="Times New Roman"/>
          <w:bCs/>
          <w:sz w:val="24"/>
        </w:rPr>
        <w:t>香港</w:t>
      </w:r>
      <w:r>
        <w:rPr>
          <w:rFonts w:ascii="Times New Roman" w:hAnsi="Times New Roman"/>
          <w:bCs/>
          <w:sz w:val="24"/>
        </w:rPr>
        <w:t>)</w:t>
      </w:r>
      <w:r>
        <w:rPr>
          <w:rFonts w:hint="eastAsia" w:ascii="Times New Roman" w:hAnsi="Times New Roman"/>
          <w:bCs/>
          <w:sz w:val="24"/>
        </w:rPr>
        <w:t>有限公司亚洲投资风险主管。历任渣打银行（香港）交易风险监控，华宝兴业基金管理有限公司风险管理部总经理，法国安盛投资管理（香港）有限公司亚洲风险经理等职。</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郝爱群女士，独立董事，学士。历任人民银行稽核司副处长、处长，合作司调研员，非银司副巡视员、副司长，银监会非银部副主任，银行监管一部副主任、巡视员，汇金公司派出董事。</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pPr>
        <w:autoSpaceDE w:val="0"/>
        <w:autoSpaceDN w:val="0"/>
        <w:adjustRightInd w:val="0"/>
        <w:snapToGrid w:val="0"/>
        <w:spacing w:line="360" w:lineRule="auto"/>
        <w:ind w:firstLine="480" w:firstLineChars="200"/>
        <w:jc w:val="left"/>
        <w:rPr>
          <w:rFonts w:ascii="Times New Roman" w:hAnsi="Times New Roman"/>
          <w:bCs/>
          <w:sz w:val="24"/>
        </w:rPr>
      </w:pPr>
      <w:r>
        <w:rPr>
          <w:rFonts w:ascii="Times New Roman" w:hAnsi="Times New Roman"/>
          <w:bCs/>
          <w:sz w:val="24"/>
        </w:rPr>
        <w:t>2</w:t>
      </w:r>
      <w:r>
        <w:rPr>
          <w:rFonts w:hint="eastAsia" w:ascii="Times New Roman" w:hAnsi="Times New Roman"/>
          <w:bCs/>
          <w:sz w:val="24"/>
        </w:rPr>
        <w:t>、基金管理人高级管理人员</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袁庆伟女士，总经理。简历同上。</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马俊先生，副总经理，硕士。历任交通银行总行投资管理部高级投资分析、副高级经理，交银施罗德基金管理有限公司总裁办公室总经理、研究部副总经理、研究总监、综合管理部总经理。</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、本基金基金经理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蔡铮先生:基金经理。复旦大学电子工程硕士，16年证券投资行业从业经验。2007年起在瑞士银行香港分行工作。2009年加入交银施罗德基金管理有限公司，曾任投资研究部数量分析师、基金经理助理、量化投资部助理总经理、量化投资部副总经理、量化投资副总监兼多元资产管理副总监，现任量化投资部量化投资副总监、基金经理。曾任上证180公司治理交易型开放式指数证券投资基金(2012年12月27日至2021年04月30日)、深证300价值交易型开放式指数证券投资基金(2012年12月27日至2021年04月30日)、交银施罗德深证300价值交易型开放式指数证券投资基金联接基金(2012年12月27日至2021年04月30日)、交银施罗德沪深300行业分层等权重指数证券投资基金(2012年12月27日至2015年06月30日)、交银施罗德消费新驱动股票型证券投资基金(2012年12月27日至2015年06月30日)、交银施罗德上证180公司治理交易型开放式指数证券投资基金联接基金(2012年12月27日至2021年04月30日)、交银施罗德国证新能源指数证券投资基金（LOF）(2015年03月26日至2021年04月30日)、交银施罗德全球自然资源证券投资基金(2015年04月22日至2017年03月24日)、交银施罗德环球精选价值证券投资基金(2015年04月22日至2017年03月24日)、交银施罗德中证海外中国互联网指数型证券投资基金(LOF)(2015年05月27日至2021年04月30日)、交银施罗德中证互联网金融指数分级证券投资基金(2015年06月26日至2020年11月25日)、交银施罗德中证环境治理指数分级证券投资基金(2015年08月13日至2016年07月18日)、交银施罗德中证环境治理指数型证券投资基金(LOF)(2016年07月19日至2021年04月30日)、交银施罗德致远量化智投策略定期开放混合型证券投资基金(2018年05月18日至2020年07月17日)、交银施罗德创业板50指数型证券投资基金(2019年11月20日至2021年04月30日)、交银施罗德养老目标日期2035三年持有期混合型基金中基金（FOF）(2021年04月30日至2025年01月22日)、交银施罗德安享稳健养老目标一年持有期混合型基金中基金（FOF）(2021年04月30日至2025年01月22日)的基金经理。现任上证180公司治理交易型开放式指数证券投资基金(2025年02月27日至今)、交银施罗德中证海外中国互联网指数型证券投资基金(LOF)(2025年02月27日至今)、交银施罗德上证180公司治理交易型开放式指数证券投资基金联接基金(2025年02月27日至今)、交银施罗德中证红利低波动100指数型证券投资基金(2025年02月27日至今)、交银施罗德创业板50指数型证券投资基金(2025年02月27日至今)的基金经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邵文婷女士:基金经理。英国诺丁汉大学金融与投资硕士、西南财经大学数学与经济学双学士。9年证券投资行业从业经验。2016年加入交银施罗德基金管理有限公司，曾任量化投资部研究员、投资经理，现任</w:t>
      </w:r>
      <w:r>
        <w:rPr>
          <w:rFonts w:hint="eastAsia" w:ascii="Times New Roman" w:hAnsi="Times New Roman"/>
          <w:sz w:val="24"/>
        </w:rPr>
        <w:t>多资产研究部副总监、</w:t>
      </w:r>
      <w:r>
        <w:rPr>
          <w:rFonts w:ascii="Times New Roman" w:hAnsi="Times New Roman"/>
          <w:sz w:val="24"/>
        </w:rPr>
        <w:t>基金经理。</w:t>
      </w:r>
      <w:r>
        <w:rPr>
          <w:rFonts w:hint="eastAsia" w:ascii="Times New Roman" w:hAnsi="Times New Roman"/>
          <w:sz w:val="24"/>
        </w:rPr>
        <w:t>曾任交银施罗德定期支付月月丰债券型证券投资基金(2022年11月30日至2024年12月27日)的基金经理。</w:t>
      </w:r>
      <w:r>
        <w:rPr>
          <w:rFonts w:ascii="Times New Roman" w:hAnsi="Times New Roman"/>
          <w:sz w:val="24"/>
        </w:rPr>
        <w:t>现任交银施罗德深证300价值交易型开放式指数证券投资基金联接基金(2021年04月30日至今)、交银施罗德上证180公司治理交易型开放式指数证券投资基金联接基金(2021年04月30日至今)、深证300价值交易型开放式指数证券投资基金(2021年04月30日至今)、交银施罗德中证海外中国互联网指数型证券投资基金(LOF)(2021年04月30日至今)、交银施罗德国证新能源指数证券投资基金（LOF）(2021年04月30日至今)、上证180公司治理交易型开放式指数证券投资基金(2021年04月30日至今)、交银施罗德创业板50指数型证券投资基金(2021年04月30日至今)、交银施罗德中证环境治理指数型证券投资基金(LOF)(2021年04月30日至今)</w:t>
      </w:r>
      <w:r>
        <w:rPr>
          <w:rFonts w:hint="eastAsia" w:ascii="Times New Roman" w:hAnsi="Times New Roman"/>
          <w:sz w:val="24"/>
        </w:rPr>
        <w:t>、交银施罗德中证红利低波动</w:t>
      </w:r>
      <w:r>
        <w:rPr>
          <w:rFonts w:ascii="Times New Roman" w:hAnsi="Times New Roman"/>
          <w:sz w:val="24"/>
        </w:rPr>
        <w:t>100</w:t>
      </w:r>
      <w:r>
        <w:rPr>
          <w:rFonts w:hint="eastAsia" w:ascii="Times New Roman" w:hAnsi="Times New Roman"/>
          <w:sz w:val="24"/>
        </w:rPr>
        <w:t>指数型证券投资基金</w:t>
      </w:r>
      <w:r>
        <w:rPr>
          <w:rFonts w:ascii="Times New Roman" w:hAnsi="Times New Roman"/>
          <w:sz w:val="24"/>
        </w:rPr>
        <w:t>(2024</w:t>
      </w:r>
      <w:r>
        <w:rPr>
          <w:rFonts w:hint="eastAsia" w:ascii="Times New Roman" w:hAnsi="Times New Roman"/>
          <w:sz w:val="24"/>
        </w:rPr>
        <w:t>年0</w:t>
      </w:r>
      <w:r>
        <w:rPr>
          <w:rFonts w:ascii="Times New Roman" w:hAnsi="Times New Roman"/>
          <w:sz w:val="24"/>
        </w:rPr>
        <w:t>3</w:t>
      </w:r>
      <w:r>
        <w:rPr>
          <w:rFonts w:hint="eastAsia" w:ascii="Times New Roman" w:hAnsi="Times New Roman"/>
          <w:sz w:val="24"/>
        </w:rPr>
        <w:t>月</w:t>
      </w:r>
      <w:r>
        <w:rPr>
          <w:rFonts w:ascii="Times New Roman" w:hAnsi="Times New Roman"/>
          <w:sz w:val="24"/>
        </w:rPr>
        <w:t>15</w:t>
      </w:r>
      <w:r>
        <w:rPr>
          <w:rFonts w:hint="eastAsia" w:ascii="Times New Roman" w:hAnsi="Times New Roman"/>
          <w:sz w:val="24"/>
        </w:rPr>
        <w:t>日至今</w:t>
      </w:r>
      <w:r>
        <w:rPr>
          <w:rFonts w:ascii="Times New Roman" w:hAnsi="Times New Roman"/>
          <w:sz w:val="24"/>
        </w:rPr>
        <w:t>)</w:t>
      </w:r>
      <w:r>
        <w:rPr>
          <w:rFonts w:hint="eastAsia"/>
        </w:rPr>
        <w:t xml:space="preserve"> </w:t>
      </w:r>
      <w:r>
        <w:rPr>
          <w:rFonts w:hint="eastAsia" w:ascii="Times New Roman" w:hAnsi="Times New Roman"/>
          <w:sz w:val="24"/>
        </w:rPr>
        <w:t>、交银施罗德中证A500指数型证券投资基金(2025年01月22日至今) 、交银施罗德上证科创板100指数型证券投资基金(2025年02月26日至今) 、交银施罗德中证A50指数型证券投资基金(2025年04月02日至今) 、交银施罗德恒生港股通创新药精选指数型证券投资基金(2025年08月20日至今)</w:t>
      </w:r>
      <w:r>
        <w:rPr>
          <w:rFonts w:hint="eastAsia"/>
        </w:rPr>
        <w:t xml:space="preserve"> </w:t>
      </w:r>
      <w:r>
        <w:rPr>
          <w:rFonts w:hint="eastAsia" w:ascii="Times New Roman" w:hAnsi="Times New Roman"/>
          <w:sz w:val="24"/>
        </w:rPr>
        <w:t>、交银施罗德中证港股通央企红利指数型证券投资基金（2025年10月28日至今）</w:t>
      </w:r>
      <w:r>
        <w:rPr>
          <w:rFonts w:ascii="Times New Roman" w:hAnsi="Times New Roman"/>
          <w:sz w:val="24"/>
        </w:rPr>
        <w:t>的基金经理。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4、投资决策委员会成员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委员：</w:t>
      </w:r>
      <w:r>
        <w:rPr>
          <w:rFonts w:hint="eastAsia"/>
          <w:bCs/>
          <w:sz w:val="24"/>
        </w:rPr>
        <w:t>袁庆伟</w:t>
      </w:r>
      <w:r>
        <w:rPr>
          <w:rFonts w:ascii="Times New Roman" w:hAnsi="Times New Roman"/>
          <w:sz w:val="24"/>
        </w:rPr>
        <w:t>（总经理）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马俊（副总经理）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于海颖（</w:t>
      </w:r>
      <w:r>
        <w:rPr>
          <w:rFonts w:hint="eastAsia" w:ascii="Times New Roman" w:hAnsi="Times New Roman"/>
          <w:sz w:val="24"/>
        </w:rPr>
        <w:t>混合资产投资总监兼多元资产管理总监</w:t>
      </w:r>
      <w:r>
        <w:rPr>
          <w:rFonts w:ascii="Times New Roman" w:hAnsi="Times New Roman"/>
          <w:sz w:val="24"/>
        </w:rPr>
        <w:t>、基金经理）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王崇（权益投资副总监、权益部一级专家、基金经理）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马韬（研究总监）</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w:t>
      </w:r>
      <w:r>
        <w:rPr>
          <w:rFonts w:ascii="Times New Roman" w:hAnsi="Times New Roman"/>
          <w:sz w:val="24"/>
        </w:rPr>
        <w:t>上述人员之间不存在近亲属关系。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（三）基金管理人的职责</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1、依法募集资金，办理或者委托经中国证监会认定的其他机构办理基金份额的发售、申购、赎回和登记事宜；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2、办理基金备案手续；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3、对所管理的不同基金财产分别管理、分别记账，进行证券投资；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4、按照基金合同的约定确定基金收益分配方案，及时向基金份额持有人分配收益；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5、进行基金会计核算并编制基金财务会计报告；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6、编制季度报告、中期报告和年度报告；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7、计算并公告基金净值信息，确定基金份额申购、赎回</w:t>
      </w:r>
      <w:r>
        <w:rPr>
          <w:rFonts w:hint="eastAsia" w:ascii="Times New Roman" w:hAnsi="Times New Roman"/>
          <w:sz w:val="24"/>
        </w:rPr>
        <w:t>对价</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8、办理与基金财产管理业务活动有关的信息披露事项；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9、按照规定召集基金份额持有人大会；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10、保存基金财产管理业务活动的记录、账册、报表和其他相关资料；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11、以基金管理人名义，代表基金份额持有人利益行使诉讼权利或者实施其他法律行为；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12、有关法律法规和中国证监会规定的其他职责。</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（四）基金管理人的承诺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1、基金管理人承诺不从事违反《中华人民共和国证券法》的行为，并承诺建立健全内部控制制度，采取有效措施，防止违反《中华人民共和国证券法》行为的发生；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2、基金管理人承诺不从事违反《基金法》的行为，并承诺建立健全内部风险控制制度，采取有效措施，防止下列行为的发生：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（1）将基金管理人固有财产或者他人财产混同于基金财产从事证券投资；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（2）不公平地对待管理的不同基金财产；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（3）利用基金财产为基金份额持有人以外的第三人牟取利益；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（4）向基金份额持有人违规承诺收益或者承担损失；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（5）侵占、挪用基金财产；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（6）法律、行政法规和中国证监会禁止的其他行为。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3、基金管理人承诺严格遵守基金合同，并承诺建立健全内部控制制度，采取有效措施，防止违反基金合同行为的发生；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4、基金管理人承诺加强人员管理，强化职业操守，督促和约束员工遵守国家有关法律法规及行业规范，诚实信用、勤勉尽责；</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5、基金管理人承诺不从事其他法规规定禁止从事的行为。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（五）基金经理承诺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1、依照有关法律法规和基金合同的规定，本着谨慎的原则为基金份额持有人谋取最大利益；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2、不利用职务之便为自己、受雇人或任何第三者谋取利益；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3、不泄露在任职期间知悉的有关证券、基金的商业秘密，尚未依法公开的基金投资内容、基金投资计划等信息，或利用该信息从事或者明示、暗示他人从事相关的交易活动；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4、不以任何形式为其他组织或个人进行证券交易。</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（六）基金管理人的内部控制制度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1、内部控制的原则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（1）健全性原则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内部控制应当包括公司的各项业务、各个部门或机构和各级人员, 并涵盖到决策、执行、监督、反馈等各个环节。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（2）有效性原则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通过科学的内控手段和方法，建立合理的内控程序，维护内控制度的有效执行。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（3）独立性原则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公司各机构、部门和岗位职责应当保持相对独立，除非法律法规另有规定，公司基金资产、自有资产、其他资产的运作应当分离。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（4）相互制约原则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公司内部部门和岗位的设置应当体现权责分明、相互制衡。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（5）成本效益原则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公司运用科学化的经营管理方法降低运作成本，提高经济效益，力争以合理的控制成本达到最佳的内部控制效果。</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2、风险管理和内部风险控制体系结构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（1）董事会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负责制定公司风险偏好（含风险容忍度）、风险管理和内部控制政策，审议并通过与公司内部风险管理和合规有关的重大事项。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（2）合规风险及审计委员会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（3）风险控制委员会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（4）督察长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独立行使督察权利；直接对董事会负责；就内部控制制度和执行情况独立地履行检查、评价、报告、建议职能；定期和不定期地向董事会报告公司内部控制执行情况。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（5）风险管理部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风险管理部负责制定公司风险管理政策和防范及控制措施，汇总公司业务所有的风险信息，独立识别、评估各类风险，提出风险控制建议，使公司在一种风险管理和控制的环境中实现业务目标。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（6）审计部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（7）内控合规及法律事务部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（8）业务部门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风险管理是每一个业务部门首要的责任。部门负责人对本部门的风险负全部责任，负责履行公司的风险管理程序，负责本部门的风险管理系统的开发、执行和维护，用于识别、监控和降低风险。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3、风险管理和内部风险控制的措施</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（1）建立内控体系，完善内控制度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公司建立、健全了内控体系，通过高管人员关于内控的明确分工，确保各项业务活动有恰当的组织和授权，确保监察活动独立，并得到高管人员的支持，同时置备操作手册，并定期更新。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（2）建立相互分离、相互制衡的内控机制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建立、健全了各项制度，做到基金经理分开，投资决策分开，基金交易集中，形成不同部门、不同岗位之间的制衡机制，从制度上减少和防范风险。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（3）建立、健全岗位责任制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建立、健全了岗位责任制，使每个员工都明确自己的任务、职责，并及时将各自工作领域中的风险隐患上报，以防范和减少风险。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（4）建立风险分类、识别、评估、报告、提示程序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（5）建立有效的内部监控系统</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建立了足够、有效的内部监控系统，对可能出现的各种风险进行全面和实时的监控。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（6）使用数量化的风险管理手段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采取数量化、技术化的风险控制手段，建立数量化的风险管理模型，用以提示指数趋势、行业及个股的风险，以便公司及时采取有效的措施，对风险进行分散、控制和规避，尽可能地减少损失。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（7）提供足够的培训</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制定了完整的培训计划，为所有员工提供足够和适当的培训，使员工明确其职责所在，控制风险。</w:t>
      </w:r>
    </w:p>
    <w:p>
      <w:pPr>
        <w:pStyle w:val="2"/>
        <w:snapToGrid w:val="0"/>
        <w:spacing w:before="240" w:beforeLines="0" w:after="240"/>
        <w:rPr>
          <w:rFonts w:ascii="Times New Roman" w:hAnsi="Times New Roman"/>
          <w:szCs w:val="30"/>
        </w:rPr>
      </w:pPr>
      <w:bookmarkStart w:id="6" w:name="_Toc208562011"/>
      <w:r>
        <w:rPr>
          <w:rFonts w:ascii="Times New Roman" w:hAnsi="Times New Roman"/>
          <w:sz w:val="30"/>
        </w:rPr>
        <w:t>四、基金托管人</w:t>
      </w:r>
      <w:bookmarkEnd w:id="6"/>
    </w:p>
    <w:p>
      <w:pPr>
        <w:adjustRightInd w:val="0"/>
        <w:snapToGrid w:val="0"/>
        <w:spacing w:line="360" w:lineRule="auto"/>
        <w:ind w:firstLine="482" w:firstLineChars="200"/>
        <w:rPr>
          <w:rFonts w:ascii="Times New Roman" w:hAnsi="Times New Roman"/>
          <w:b/>
          <w:sz w:val="24"/>
          <w:szCs w:val="24"/>
        </w:rPr>
      </w:pPr>
      <w:r>
        <w:rPr>
          <w:rFonts w:hint="eastAsia" w:ascii="Times New Roman" w:hAnsi="Times New Roman"/>
          <w:b/>
          <w:sz w:val="24"/>
          <w:szCs w:val="24"/>
        </w:rPr>
        <w:t>（</w:t>
      </w:r>
      <w:r>
        <w:rPr>
          <w:rFonts w:ascii="Times New Roman" w:hAnsi="Times New Roman"/>
          <w:b/>
          <w:sz w:val="24"/>
          <w:szCs w:val="24"/>
        </w:rPr>
        <w:t>一</w:t>
      </w:r>
      <w:r>
        <w:rPr>
          <w:rFonts w:hint="eastAsia" w:ascii="Times New Roman" w:hAnsi="Times New Roman"/>
          <w:b/>
          <w:sz w:val="24"/>
          <w:szCs w:val="24"/>
        </w:rPr>
        <w:t>）</w:t>
      </w:r>
      <w:r>
        <w:rPr>
          <w:rFonts w:ascii="Times New Roman" w:hAnsi="Times New Roman"/>
          <w:b/>
          <w:sz w:val="24"/>
          <w:szCs w:val="24"/>
        </w:rPr>
        <w:t>基金托管人情况</w:t>
      </w:r>
    </w:p>
    <w:p>
      <w:pPr>
        <w:widowControl/>
        <w:adjustRightInd w:val="0"/>
        <w:snapToGrid w:val="0"/>
        <w:spacing w:line="360" w:lineRule="auto"/>
        <w:ind w:firstLine="480" w:firstLineChars="200"/>
        <w:rPr>
          <w:rFonts w:ascii="Times New Roman" w:hAnsi="Times New Roman"/>
          <w:kern w:val="0"/>
          <w:sz w:val="24"/>
          <w:szCs w:val="24"/>
        </w:rPr>
      </w:pPr>
      <w:r>
        <w:rPr>
          <w:rFonts w:ascii="Times New Roman" w:hAnsi="Times New Roman"/>
          <w:kern w:val="0"/>
          <w:sz w:val="24"/>
          <w:szCs w:val="24"/>
        </w:rPr>
        <w:t>1</w:t>
      </w:r>
      <w:r>
        <w:rPr>
          <w:rFonts w:hint="eastAsia" w:ascii="Times New Roman" w:hAnsi="Times New Roman"/>
          <w:kern w:val="0"/>
          <w:sz w:val="24"/>
          <w:szCs w:val="24"/>
        </w:rPr>
        <w:t>、基本情况</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名称：国泰海通证券股份有限公司（简称“国泰海通证券”）</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住所：中国（上海）自由贸易试验区商城路618号</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法定代表人：朱健</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成立时间：1999年8月18日</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批准设立机关：中国证监会</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批准设立文号：证监机构字[1999]77号</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组织形式：其他股份有限公司（上市）</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注册资本：人民币 17,629,708,696 元整</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存续期间：持续经营</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基金托管资格批文及文号：证监许可[2014]511号</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联系人：丛艳</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通讯地址：上海市静安区新闸路669号博华广场19楼</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联系电话：021-38677336</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国泰海通证券是中国证券行业长期、持续、全面领先的综合金融服务商。国泰海通证券跨越了中国资本市场发展的全部历程和多个周期，历经风雨，锐意进取，始终屹立在资本市场的最前列，资本规模、盈利水平、业务实力和风险管理能力一直位居行业领先水平。截至2024年12月31日，国泰海通证券拥有6家境内子公司和1家境外子公司，并在境内设有37家证券分公司和346家证券营业部。</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2、主要人员情况</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国泰海通证券设资产托管部，下设市场管理组、产品管理组、投资绩效分析组、托管中心、非公募运营服务中心、公募运营服务中心、国际运营组、客户服务组、数据运行组、系统运行组、合规风控组、规划管理组、人力资源组13个职能组及大湾区业务部，在北京、上海、深圳设有办公场所，共有员工200余人。部门团队人员平均从业年限5年以上，估值、风控等核心岗位人员具备10年以上大型托管行、基金公司相关工作经验。</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3、基金托管业务经营情况</w:t>
      </w:r>
    </w:p>
    <w:p>
      <w:pPr>
        <w:spacing w:line="360" w:lineRule="auto"/>
        <w:ind w:firstLine="480" w:firstLineChars="200"/>
        <w:rPr>
          <w:rFonts w:ascii="Times New Roman" w:hAnsi="Times New Roman"/>
          <w:kern w:val="0"/>
          <w:sz w:val="24"/>
          <w:szCs w:val="24"/>
        </w:rPr>
      </w:pPr>
      <w:r>
        <w:rPr>
          <w:rFonts w:hint="eastAsia" w:ascii="Times New Roman" w:hAnsi="Times New Roman"/>
          <w:kern w:val="0"/>
          <w:sz w:val="24"/>
          <w:szCs w:val="24"/>
        </w:rPr>
        <w:t>国泰海通证券已取得证券投资基金托管资格，可为各类公开募集基金、非公开募集基金提供托管服务。国泰海通证券坚守“诚信专业、质量为本”的服务宗旨，通过组建经验丰富的专业团队、搭建安全高效的业务系统，为基金份额持有人提供值得信赖的托管服务。国泰海通证券获得证券投资基金托管资格以来，广泛开展了公募基金、基金专户、券商资管计划、私募基金等基金托管业务，与多家基金公司及其子公司建立了托管合作关系。截至2024年12月31日，托管与基金服务业务规模逾30,000亿元，其中，托管公募基金规模逾2,000亿元，继续排名证券行业第1位，托管公募基金逾70只，产品类型涉及货币市场基金、债券型证券投资基金、指数型证券投资基金、混合型证券投资基金等，专业的服务和可靠的运营获得了管理人的一致认可。</w:t>
      </w:r>
    </w:p>
    <w:p>
      <w:pPr>
        <w:spacing w:line="360" w:lineRule="auto"/>
        <w:ind w:firstLine="482" w:firstLineChars="200"/>
        <w:rPr>
          <w:rFonts w:ascii="Times New Roman" w:hAnsi="Times New Roman" w:cs="宋体"/>
          <w:b/>
          <w:kern w:val="0"/>
          <w:sz w:val="24"/>
          <w:szCs w:val="24"/>
        </w:rPr>
      </w:pPr>
      <w:r>
        <w:rPr>
          <w:rFonts w:hint="eastAsia" w:ascii="Times New Roman" w:hAnsi="Times New Roman" w:cs="宋体"/>
          <w:b/>
          <w:kern w:val="0"/>
          <w:sz w:val="24"/>
          <w:szCs w:val="24"/>
        </w:rPr>
        <w:t>（二）基金托管人的内部风险控制制度说明</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1、内部控制目标</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严格遵守国家法律法规相关规定，保障业务合法合规、资产托管部规章制度健全与有效执行。通过对托管业务风险进行识别、评估与管理，确保托管业务稳健运行，保护基金份额持有人及相关当事人合法权益。</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2、内部控制组织结构</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1）董事会是国泰海通证券风险管理的最高决策机构，对国泰海通证券全面风险管理负有最终责任。董事会下设风险控制委员会，负责审议风险管理的总体目标、基本政策，评估重大决策的风险和重大风险的解决方案。</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（2）经营管理层对国泰海通证券全面风险管理承担主要责任。经营层设立合规与风险管理委员会，对国泰海通证券经营风险实行统筹管理，对风险管理重大事项进行审议与决策。</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（3）履行风险管理职责的部门包括风险管理部、法律合规部、集团稽核审计中心等专职履行风险管理职责的部门，以及计划财务部、信息技术部、营运中心等其他履行风险管理职责的部门。</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4）资产托管部设置合规风控组，负责牵头制定本部门风险管理规章制度，分析报告部门整体风险管理状况，评估检查风险管理执行情况并提出改进建议，抓住关键风险，协助业务运营岗位进行专项化解，监督风险薄弱环节的整改情况。同时部门设置风险评估及处置小组，由资产托管部负责人及各小组负责人组成，负责对重大风险事项进行评估、确定风险事件的处理意见、突发事件应急管理等事项。</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3、内部控制制度及措施</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根据《中华人民共和国证券投资基金法》、《公开募集证券投资基金运作管理办法》、《证券投资基金托管业务管理办法》等法律法规，基金托管人制定了一整套严密、高效的证券投资基金托管规章制度，确保基金托管业务运行的规范、安全、高效，包括《国泰海通证券股份有限公司资产托管业务管理办法》、《国泰海通证券资产托管部内部控制与风险管理办法》、《国泰海通证券资产托管部稽核监控管理办法》、《国泰海通证券资产托管部突发事件与危机处理规程》、《国泰海通证券资产托管部保密管理办法》、《国泰海通证券资产托管部资产保管规程》、《国泰海通证券资产托管部档案管理办法》等，并根据监管要求和基金托管业务的发展不断加以完善。</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基金托管人通过基金托管业务各环节风险的事前提示、事中控制和事后稽核的动态管理过程来实施内部风险控制；安全保管基金财产，确保基金财产完整与独立；实行办公场所多重门禁管理，并配备录音和录像监控系统；配备独立的托管业务技术系统并进行防火墙设置；岗位设置权责分明，通过岗位设置和适当授权等措施有效实施相互制衡；关键业务环节设置经办复核机制，建立严格有效的操作制约体系；深入进行职业道德教育，树立风险管理是首要核心竞争力的理念，培养部门全体员工的风险防范和保密意识；配备专门的稽核监控岗对基金托管业务运行进行检查、评价，以保障基金托管业务内部控制的有效性。</w:t>
      </w:r>
    </w:p>
    <w:p>
      <w:pPr>
        <w:widowControl/>
        <w:spacing w:line="360" w:lineRule="auto"/>
        <w:ind w:right="-178" w:rightChars="-85" w:firstLine="482" w:firstLineChars="200"/>
        <w:rPr>
          <w:rFonts w:ascii="Times New Roman" w:hAnsi="Times New Roman" w:cs="宋体"/>
          <w:b/>
          <w:kern w:val="0"/>
          <w:sz w:val="24"/>
          <w:szCs w:val="24"/>
        </w:rPr>
      </w:pPr>
      <w:r>
        <w:rPr>
          <w:rFonts w:hint="eastAsia" w:ascii="Times New Roman" w:hAnsi="Times New Roman" w:cs="宋体"/>
          <w:b/>
          <w:kern w:val="0"/>
          <w:sz w:val="24"/>
          <w:szCs w:val="24"/>
        </w:rPr>
        <w:t>（三）基金托管人对基金管理人运作基金进行监督的方法和程序</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1、监督方法</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基金托管人根据法律法规的规定及基金合同、托管协议的约定，对投资范围、投资比例、投资限制等进行严格监督，及时提示管理人违规风险，并按要求向证监会报告。在日常为基金投资运作所提供的基金清算和核算服务环节中，对基金管理人发送的投资指令、基金管理人对基金资产的核算、基金资产净值的计算、对各基金费用的提取与开支情况、基金的申购资金的到账与赎回资金的划付、基金收益分配等行为的合法性、合规性进行监督和核查。</w:t>
      </w:r>
    </w:p>
    <w:p>
      <w:pPr>
        <w:snapToGrid w:val="0"/>
        <w:spacing w:line="360" w:lineRule="auto"/>
        <w:ind w:firstLine="540"/>
        <w:rPr>
          <w:rFonts w:ascii="Times New Roman" w:hAnsi="Times New Roman" w:cs="宋体"/>
          <w:sz w:val="24"/>
          <w:szCs w:val="24"/>
        </w:rPr>
      </w:pPr>
      <w:r>
        <w:rPr>
          <w:rFonts w:hint="eastAsia" w:ascii="Times New Roman" w:hAnsi="Times New Roman" w:cs="宋体"/>
          <w:sz w:val="24"/>
          <w:szCs w:val="24"/>
        </w:rPr>
        <w:t>2、监督程序</w:t>
      </w:r>
    </w:p>
    <w:p>
      <w:pPr>
        <w:snapToGrid w:val="0"/>
        <w:spacing w:line="360" w:lineRule="auto"/>
        <w:ind w:firstLine="540"/>
        <w:rPr>
          <w:rFonts w:ascii="Times New Roman" w:hAnsi="Times New Roman"/>
          <w:szCs w:val="24"/>
        </w:rPr>
      </w:pPr>
      <w:r>
        <w:rPr>
          <w:rFonts w:hint="eastAsia" w:ascii="Times New Roman" w:hAnsi="Times New Roman" w:cs="宋体"/>
          <w:sz w:val="24"/>
          <w:szCs w:val="24"/>
        </w:rPr>
        <w:t>基金托管人发现基金管理人有违反法律法规规定及基金合同、托管协议约定的，应当及时通知基金管理人予以纠正，基金管理人收到通知后及时核对确认并进行调整。基金托管人有权随时对通知事项进行复查，督促基金管理人改正。基金管理人对基金托管人通知的违规事项未能在限期内纠正的，基金托管人应根据要求及时报告中国证监会。</w:t>
      </w: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7" w:name="_Toc208562012"/>
      <w:r>
        <w:rPr>
          <w:rFonts w:ascii="Times New Roman" w:hAnsi="Times New Roman"/>
          <w:sz w:val="30"/>
        </w:rPr>
        <w:t>五、相关服务机构</w:t>
      </w:r>
      <w:bookmarkEnd w:id="7"/>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（一）基金份额</w:t>
      </w:r>
      <w:r>
        <w:rPr>
          <w:rFonts w:hint="eastAsia" w:ascii="Times New Roman" w:hAnsi="Times New Roman"/>
          <w:b/>
          <w:sz w:val="24"/>
        </w:rPr>
        <w:t>发售</w:t>
      </w:r>
      <w:r>
        <w:rPr>
          <w:rFonts w:ascii="Times New Roman" w:hAnsi="Times New Roman"/>
          <w:b/>
          <w:sz w:val="24"/>
        </w:rPr>
        <w:t>机构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1、发售协调人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具体名单详见相关公告或基金管理人网站。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w:t>
      </w:r>
      <w:r>
        <w:rPr>
          <w:rFonts w:hint="eastAsia" w:ascii="Times New Roman" w:hAnsi="Times New Roman"/>
          <w:sz w:val="24"/>
        </w:rPr>
        <w:t>网下现金发售、网下股票发售</w:t>
      </w:r>
      <w:r>
        <w:rPr>
          <w:rFonts w:ascii="Times New Roman" w:hAnsi="Times New Roman"/>
          <w:sz w:val="24"/>
        </w:rPr>
        <w:t>直销机构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机构名称：交银施罗德基金管理有限公司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法定代表人：</w:t>
      </w:r>
      <w:r>
        <w:rPr>
          <w:rFonts w:hint="eastAsia" w:ascii="Times New Roman" w:hAnsi="Times New Roman"/>
          <w:sz w:val="24"/>
        </w:rPr>
        <w:t>张宏良</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成立时间：2005年8月4日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电话：（021）61055724</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传真：（021）61055054</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联系人：傅鲸</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客户服务电话：400-700-5000（免长途话费），（021）61055000</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网址：www.fund001.com</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、网下现金发售代理机构、网下股票发售代理机构和网上现金发售代理机构具体名单详见本基金基金份额发售公告、基金管理人网站或相关公告。</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（二）登记机构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名称：中国证券登记结算有限责任公司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地址：北京市西城区太平桥大街17号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法定代表人：于文强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联系电话：010-50938600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传真：010-50938907</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联系人：赵亦清</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（三）出具法律意见书的律师事务所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名称：上海市通力律师事务所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住所：上海市银城中路68号时代金融中心19楼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办公地址：上海市银城中路68号时代金融中心18-20楼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负责人：韩炯</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电话：（021）31358666</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传真：（021）31358600</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联系人：丁媛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经办律师：丁媛</w:t>
      </w:r>
      <w:r>
        <w:rPr>
          <w:rFonts w:hint="eastAsia" w:ascii="Times New Roman" w:hAnsi="Times New Roman"/>
          <w:sz w:val="24"/>
        </w:rPr>
        <w:t>、李晓露</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（四）审计基金财产的会计师事务所</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名称：容诚会计师事务所（特殊普通合伙）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注册地址：北京市西城区阜成门外大街22号1幢外经贸大厦901-22至901-26</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办公地址：北京市西城区阜成门外大街22号1幢外经贸大厦901-22至901-26</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电话：010-66001391</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传真：010-66001391</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执行事务合伙人：肖厚发、刘维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经办会计师：沈兆杰、李隐煜</w:t>
      </w:r>
    </w:p>
    <w:p>
      <w:pPr>
        <w:autoSpaceDE w:val="0"/>
        <w:autoSpaceDN w:val="0"/>
        <w:adjustRightInd w:val="0"/>
        <w:spacing w:line="360" w:lineRule="auto"/>
        <w:ind w:firstLine="480"/>
        <w:rPr>
          <w:rFonts w:ascii="Times New Roman" w:hAnsi="Times New Roman"/>
          <w:szCs w:val="24"/>
        </w:rPr>
      </w:pPr>
      <w:r>
        <w:rPr>
          <w:rFonts w:hint="eastAsia" w:ascii="Times New Roman" w:hAnsi="Times New Roman"/>
          <w:sz w:val="24"/>
        </w:rPr>
        <w:t>联系人：李隐煜</w:t>
      </w: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8" w:name="_Toc208562013"/>
      <w:r>
        <w:rPr>
          <w:rFonts w:ascii="Times New Roman" w:hAnsi="Times New Roman"/>
          <w:sz w:val="30"/>
        </w:rPr>
        <w:t>六、基金的募集</w:t>
      </w:r>
      <w:bookmarkEnd w:id="8"/>
    </w:p>
    <w:p>
      <w:pPr>
        <w:adjustRightInd w:val="0"/>
        <w:snapToGrid w:val="0"/>
        <w:spacing w:line="360" w:lineRule="auto"/>
        <w:ind w:firstLine="482" w:firstLineChars="200"/>
        <w:outlineLvl w:val="1"/>
        <w:rPr>
          <w:rFonts w:ascii="Times New Roman" w:hAnsi="Times New Roman"/>
          <w:b/>
          <w:sz w:val="24"/>
          <w:szCs w:val="24"/>
        </w:rPr>
      </w:pPr>
      <w:r>
        <w:rPr>
          <w:rFonts w:hint="eastAsia" w:ascii="Times New Roman" w:hAnsi="Times New Roman"/>
          <w:b/>
          <w:sz w:val="24"/>
          <w:szCs w:val="24"/>
        </w:rPr>
        <w:t>（一）基金募集的依据</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本基金由基金管理人依照《基金法》、《运作办法》、《销售办法》、基金合同及其他有关规定，并经中国证监会</w:t>
      </w:r>
      <w:r>
        <w:rPr>
          <w:rFonts w:ascii="Times New Roman" w:hAnsi="Times New Roman"/>
          <w:kern w:val="0"/>
          <w:sz w:val="24"/>
        </w:rPr>
        <w:t>2025年</w:t>
      </w:r>
      <w:r>
        <w:rPr>
          <w:rFonts w:hint="eastAsia" w:ascii="Times New Roman" w:hAnsi="Times New Roman"/>
          <w:kern w:val="0"/>
          <w:sz w:val="24"/>
        </w:rPr>
        <w:t>1</w:t>
      </w:r>
      <w:r>
        <w:rPr>
          <w:rFonts w:ascii="Times New Roman" w:hAnsi="Times New Roman"/>
          <w:kern w:val="0"/>
          <w:sz w:val="24"/>
        </w:rPr>
        <w:t>0月</w:t>
      </w:r>
      <w:r>
        <w:rPr>
          <w:rFonts w:hint="eastAsia" w:ascii="Times New Roman" w:hAnsi="Times New Roman"/>
          <w:kern w:val="0"/>
          <w:sz w:val="24"/>
        </w:rPr>
        <w:t>1</w:t>
      </w:r>
      <w:r>
        <w:rPr>
          <w:rFonts w:ascii="Times New Roman" w:hAnsi="Times New Roman"/>
          <w:kern w:val="0"/>
          <w:sz w:val="24"/>
        </w:rPr>
        <w:t>4日</w:t>
      </w:r>
      <w:r>
        <w:rPr>
          <w:rFonts w:hint="eastAsia" w:ascii="Times New Roman" w:hAnsi="Times New Roman"/>
          <w:kern w:val="0"/>
          <w:sz w:val="24"/>
        </w:rPr>
        <w:t>证监许可【</w:t>
      </w:r>
      <w:r>
        <w:rPr>
          <w:rFonts w:ascii="Times New Roman" w:hAnsi="Times New Roman"/>
          <w:kern w:val="0"/>
          <w:sz w:val="24"/>
        </w:rPr>
        <w:t>2025】2287</w:t>
      </w:r>
      <w:r>
        <w:rPr>
          <w:rFonts w:hint="eastAsia" w:ascii="Times New Roman" w:hAnsi="Times New Roman"/>
          <w:kern w:val="0"/>
          <w:sz w:val="24"/>
        </w:rPr>
        <w:t>号文准予募集注册。</w:t>
      </w:r>
    </w:p>
    <w:p>
      <w:pPr>
        <w:adjustRightInd w:val="0"/>
        <w:snapToGrid w:val="0"/>
        <w:spacing w:line="360" w:lineRule="auto"/>
        <w:ind w:firstLine="482" w:firstLineChars="200"/>
        <w:outlineLvl w:val="1"/>
        <w:rPr>
          <w:rFonts w:ascii="Times New Roman" w:hAnsi="Times New Roman"/>
          <w:b/>
          <w:sz w:val="24"/>
          <w:szCs w:val="24"/>
        </w:rPr>
      </w:pPr>
      <w:r>
        <w:rPr>
          <w:rFonts w:hint="eastAsia" w:ascii="Times New Roman" w:hAnsi="Times New Roman"/>
          <w:b/>
          <w:sz w:val="24"/>
          <w:szCs w:val="24"/>
        </w:rPr>
        <w:t>（二）基金类别</w:t>
      </w:r>
    </w:p>
    <w:p>
      <w:pPr>
        <w:widowControl/>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股票型证券投资基金</w:t>
      </w:r>
    </w:p>
    <w:p>
      <w:pPr>
        <w:adjustRightInd w:val="0"/>
        <w:snapToGrid w:val="0"/>
        <w:spacing w:line="360" w:lineRule="auto"/>
        <w:ind w:firstLine="482" w:firstLineChars="200"/>
        <w:outlineLvl w:val="1"/>
        <w:rPr>
          <w:rFonts w:ascii="Times New Roman" w:hAnsi="Times New Roman"/>
          <w:b/>
          <w:sz w:val="24"/>
          <w:szCs w:val="24"/>
        </w:rPr>
      </w:pPr>
      <w:r>
        <w:rPr>
          <w:rFonts w:hint="eastAsia" w:ascii="Times New Roman" w:hAnsi="Times New Roman"/>
          <w:b/>
          <w:sz w:val="24"/>
          <w:szCs w:val="24"/>
        </w:rPr>
        <w:t>（三）基金运作方式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交易型开放式</w:t>
      </w:r>
    </w:p>
    <w:p>
      <w:pPr>
        <w:adjustRightInd w:val="0"/>
        <w:snapToGrid w:val="0"/>
        <w:spacing w:line="360" w:lineRule="auto"/>
        <w:ind w:firstLine="482" w:firstLineChars="200"/>
        <w:outlineLvl w:val="1"/>
        <w:rPr>
          <w:rFonts w:ascii="Times New Roman" w:hAnsi="Times New Roman"/>
          <w:b/>
          <w:sz w:val="24"/>
          <w:szCs w:val="24"/>
        </w:rPr>
      </w:pPr>
      <w:bookmarkStart w:id="9" w:name="_Hlk49341725"/>
      <w:r>
        <w:rPr>
          <w:rFonts w:hint="eastAsia" w:ascii="Times New Roman" w:hAnsi="Times New Roman"/>
          <w:b/>
          <w:sz w:val="24"/>
          <w:szCs w:val="24"/>
        </w:rPr>
        <w:t>（四）基金存续期限</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不定期</w:t>
      </w:r>
    </w:p>
    <w:p>
      <w:pPr>
        <w:adjustRightInd w:val="0"/>
        <w:snapToGrid w:val="0"/>
        <w:spacing w:line="360" w:lineRule="auto"/>
        <w:ind w:firstLine="482" w:firstLineChars="200"/>
        <w:outlineLvl w:val="1"/>
        <w:rPr>
          <w:rFonts w:ascii="Times New Roman" w:hAnsi="Times New Roman"/>
          <w:b/>
          <w:sz w:val="24"/>
          <w:szCs w:val="24"/>
        </w:rPr>
      </w:pPr>
      <w:r>
        <w:rPr>
          <w:rFonts w:hint="eastAsia" w:ascii="Times New Roman" w:hAnsi="Times New Roman"/>
          <w:b/>
          <w:sz w:val="24"/>
          <w:szCs w:val="24"/>
        </w:rPr>
        <w:t>（五）基金份额的发售时间、发售方式、发售对象</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、发售时间</w:t>
      </w:r>
    </w:p>
    <w:p>
      <w:pPr>
        <w:adjustRightInd w:val="0"/>
        <w:snapToGrid w:val="0"/>
        <w:spacing w:line="360" w:lineRule="auto"/>
        <w:ind w:firstLine="480" w:firstLineChars="200"/>
        <w:rPr>
          <w:rFonts w:ascii="Times New Roman" w:hAnsi="Times New Roman"/>
          <w:bCs/>
        </w:rPr>
      </w:pPr>
      <w:r>
        <w:rPr>
          <w:rFonts w:hint="eastAsia" w:ascii="Times New Roman" w:hAnsi="Times New Roman"/>
          <w:bCs/>
          <w:sz w:val="24"/>
        </w:rPr>
        <w:t>自基金份额发售之日起最长不得超过</w:t>
      </w:r>
      <w:r>
        <w:rPr>
          <w:rFonts w:ascii="Times New Roman" w:hAnsi="Times New Roman"/>
          <w:bCs/>
          <w:sz w:val="24"/>
        </w:rPr>
        <w:t>3</w:t>
      </w:r>
      <w:r>
        <w:rPr>
          <w:rFonts w:hint="eastAsia" w:ascii="Times New Roman" w:hAnsi="Times New Roman"/>
          <w:bCs/>
          <w:sz w:val="24"/>
        </w:rPr>
        <w:t>个月，具体发售时间见基金份额发售公告。</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、发售方式</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通过各销售机构公开发售，各销售机构的具体名单详见基金份额发售公告、基金管理人网站或相关公告。</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投资人可选择网上现金认购、网下现金认购和网下股票认购3种方式认购本基金。</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（1）网上现金认购是指投资人通过基金管理人指定的发售代理机构用上海证券交易所交易系统以现金进行的认购。</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（2）网下现金认购是指投资人通过基金管理人及其指定的发售代理机构以现金进行的认购。</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（3）网下股票认购是指投资人通过基金管理人及其指定的发售代理机构以股票进行的认购。</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基金管理人、发售代理机构接受的认购方式、办理基金发售业务的具体情况和联系方式，请参见基金份额发售公告、基金管理人网站或相关公告。</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基金管理人可以根据具体情况调整本基金的发售方式，并在基金份额发售公告或相关公告中列明。</w:t>
      </w:r>
    </w:p>
    <w:p>
      <w:pPr>
        <w:adjustRightInd w:val="0"/>
        <w:snapToGrid w:val="0"/>
        <w:spacing w:line="360" w:lineRule="auto"/>
        <w:ind w:firstLine="480" w:firstLineChars="20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、发售对象</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符合法律法规规定的可投资于证券投资基金的个人投资者、机构投资者、合格境外投资者以及法律法规或中国证监会允许购买证券投资基金的其他投资人。</w:t>
      </w:r>
    </w:p>
    <w:p>
      <w:pPr>
        <w:pStyle w:val="3"/>
        <w:adjustRightInd w:val="0"/>
        <w:snapToGrid w:val="0"/>
        <w:spacing w:before="0" w:after="0" w:line="360" w:lineRule="auto"/>
        <w:ind w:firstLine="482" w:firstLineChars="200"/>
        <w:rPr>
          <w:rFonts w:ascii="Times New Roman" w:hAnsi="Times New Roman"/>
          <w:bCs w:val="0"/>
          <w:sz w:val="24"/>
          <w:szCs w:val="24"/>
        </w:rPr>
      </w:pPr>
      <w:bookmarkStart w:id="10" w:name="_Toc208562014"/>
      <w:r>
        <w:rPr>
          <w:rFonts w:hint="eastAsia" w:ascii="Times New Roman" w:hAnsi="Times New Roman"/>
          <w:bCs w:val="0"/>
          <w:sz w:val="24"/>
          <w:szCs w:val="24"/>
        </w:rPr>
        <w:t>（六）募集场所</w:t>
      </w:r>
      <w:bookmarkEnd w:id="10"/>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投资人应当在基金管理人及其指定的发售代理机构办理基金发售业务的营业场所或者按基金管理人或发售代理机构提供的方式办理基金份额的认购。</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基金管理人可根据情况变更或增减网下发售代理机构并在基金管理人网站公示。</w:t>
      </w:r>
    </w:p>
    <w:p>
      <w:pPr>
        <w:pStyle w:val="3"/>
        <w:adjustRightInd w:val="0"/>
        <w:snapToGrid w:val="0"/>
        <w:spacing w:before="0" w:after="0" w:line="360" w:lineRule="auto"/>
        <w:ind w:firstLine="482" w:firstLineChars="200"/>
        <w:rPr>
          <w:rFonts w:ascii="Times New Roman" w:hAnsi="Times New Roman"/>
          <w:bCs w:val="0"/>
          <w:sz w:val="24"/>
          <w:szCs w:val="24"/>
        </w:rPr>
      </w:pPr>
      <w:bookmarkStart w:id="11" w:name="_Toc208562015"/>
      <w:r>
        <w:rPr>
          <w:rFonts w:hint="eastAsia" w:ascii="Times New Roman" w:hAnsi="Times New Roman"/>
          <w:bCs w:val="0"/>
          <w:sz w:val="24"/>
          <w:szCs w:val="24"/>
        </w:rPr>
        <w:t>（七）募集目标</w:t>
      </w:r>
      <w:bookmarkEnd w:id="11"/>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本基金的最低募集份额总额为</w:t>
      </w:r>
      <w:r>
        <w:rPr>
          <w:rFonts w:ascii="Times New Roman" w:hAnsi="Times New Roman"/>
          <w:bCs/>
          <w:sz w:val="24"/>
        </w:rPr>
        <w:t>2</w:t>
      </w:r>
      <w:r>
        <w:rPr>
          <w:rFonts w:hint="eastAsia" w:ascii="Times New Roman" w:hAnsi="Times New Roman"/>
          <w:bCs/>
          <w:sz w:val="24"/>
        </w:rPr>
        <w:t>亿份，最低募集金额（含网下股票认购所募集的股票市值）为2亿元人民币。</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如本基金设置募集规模上限的，具体规模上限及规模控制的方案详见基金份额发售公告或其他公告。</w:t>
      </w:r>
    </w:p>
    <w:p>
      <w:pPr>
        <w:pStyle w:val="3"/>
        <w:adjustRightInd w:val="0"/>
        <w:snapToGrid w:val="0"/>
        <w:spacing w:before="0" w:after="0" w:line="360" w:lineRule="auto"/>
        <w:ind w:firstLine="482" w:firstLineChars="200"/>
        <w:rPr>
          <w:rFonts w:ascii="Times New Roman" w:hAnsi="Times New Roman"/>
          <w:bCs w:val="0"/>
          <w:sz w:val="24"/>
          <w:szCs w:val="24"/>
        </w:rPr>
      </w:pPr>
      <w:bookmarkStart w:id="12" w:name="_Toc208562016"/>
      <w:r>
        <w:rPr>
          <w:rFonts w:hint="eastAsia" w:ascii="Times New Roman" w:hAnsi="Times New Roman"/>
          <w:bCs w:val="0"/>
          <w:sz w:val="24"/>
          <w:szCs w:val="24"/>
        </w:rPr>
        <w:t>（八）基金份额发售面值、认购价格</w:t>
      </w:r>
      <w:bookmarkEnd w:id="12"/>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本基金基金份额发售面值为人民币</w:t>
      </w:r>
      <w:r>
        <w:rPr>
          <w:rFonts w:ascii="Times New Roman" w:hAnsi="Times New Roman"/>
          <w:bCs/>
          <w:sz w:val="24"/>
        </w:rPr>
        <w:t>1.00</w:t>
      </w:r>
      <w:r>
        <w:rPr>
          <w:rFonts w:hint="eastAsia" w:ascii="Times New Roman" w:hAnsi="Times New Roman"/>
          <w:bCs/>
          <w:sz w:val="24"/>
        </w:rPr>
        <w:t>元，认购价格为人民币</w:t>
      </w:r>
      <w:r>
        <w:rPr>
          <w:rFonts w:ascii="Times New Roman" w:hAnsi="Times New Roman"/>
          <w:bCs/>
          <w:sz w:val="24"/>
        </w:rPr>
        <w:t>1.00</w:t>
      </w:r>
      <w:r>
        <w:rPr>
          <w:rFonts w:hint="eastAsia" w:ascii="Times New Roman" w:hAnsi="Times New Roman"/>
          <w:bCs/>
          <w:sz w:val="24"/>
        </w:rPr>
        <w:t>元。</w:t>
      </w:r>
    </w:p>
    <w:p>
      <w:pPr>
        <w:pStyle w:val="3"/>
        <w:adjustRightInd w:val="0"/>
        <w:snapToGrid w:val="0"/>
        <w:spacing w:before="0" w:after="0" w:line="360" w:lineRule="auto"/>
        <w:ind w:firstLine="482" w:firstLineChars="200"/>
        <w:rPr>
          <w:rFonts w:ascii="Times New Roman" w:hAnsi="Times New Roman"/>
          <w:bCs w:val="0"/>
          <w:sz w:val="24"/>
          <w:szCs w:val="24"/>
        </w:rPr>
      </w:pPr>
      <w:bookmarkStart w:id="13" w:name="_Toc208562017"/>
      <w:r>
        <w:rPr>
          <w:rFonts w:hint="eastAsia" w:ascii="Times New Roman" w:hAnsi="Times New Roman"/>
          <w:bCs w:val="0"/>
          <w:sz w:val="24"/>
          <w:szCs w:val="24"/>
        </w:rPr>
        <w:t>（九）认购开户</w:t>
      </w:r>
      <w:bookmarkEnd w:id="13"/>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、投资人认购本基金时需具有上海证券账户，上海证券账户是指上海证券交易所</w:t>
      </w:r>
      <w:r>
        <w:rPr>
          <w:rFonts w:ascii="Times New Roman" w:hAnsi="Times New Roman"/>
          <w:bCs/>
          <w:sz w:val="24"/>
        </w:rPr>
        <w:t>A</w:t>
      </w:r>
      <w:r>
        <w:rPr>
          <w:rFonts w:hint="eastAsia" w:ascii="Times New Roman" w:hAnsi="Times New Roman"/>
          <w:bCs/>
          <w:sz w:val="24"/>
        </w:rPr>
        <w:t>股账户（以下简称“上海</w:t>
      </w:r>
      <w:r>
        <w:rPr>
          <w:rFonts w:ascii="Times New Roman" w:hAnsi="Times New Roman"/>
          <w:bCs/>
          <w:sz w:val="24"/>
        </w:rPr>
        <w:t>A</w:t>
      </w:r>
      <w:r>
        <w:rPr>
          <w:rFonts w:hint="eastAsia" w:ascii="Times New Roman" w:hAnsi="Times New Roman"/>
          <w:bCs/>
          <w:sz w:val="24"/>
        </w:rPr>
        <w:t>股账户”）或上海证券交易所证券投资基金账户（以下简称“证券投资基金账户”）。</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）已有上海</w:t>
      </w:r>
      <w:r>
        <w:rPr>
          <w:rFonts w:ascii="Times New Roman" w:hAnsi="Times New Roman"/>
          <w:bCs/>
          <w:sz w:val="24"/>
        </w:rPr>
        <w:t>A</w:t>
      </w:r>
      <w:r>
        <w:rPr>
          <w:rFonts w:hint="eastAsia" w:ascii="Times New Roman" w:hAnsi="Times New Roman"/>
          <w:bCs/>
          <w:sz w:val="24"/>
        </w:rPr>
        <w:t>股账户或证券投资基金账户的投资人不必再办理开户手续。</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）尚无上海</w:t>
      </w:r>
      <w:r>
        <w:rPr>
          <w:rFonts w:ascii="Times New Roman" w:hAnsi="Times New Roman"/>
          <w:bCs/>
          <w:sz w:val="24"/>
        </w:rPr>
        <w:t>A</w:t>
      </w:r>
      <w:r>
        <w:rPr>
          <w:rFonts w:hint="eastAsia" w:ascii="Times New Roman" w:hAnsi="Times New Roman"/>
          <w:bCs/>
          <w:sz w:val="24"/>
        </w:rPr>
        <w:t>股账户或证券投资基金账户的投资人，需在认购前持身份证明文件到中国证券登记结算有限责任公司上海分公司的开户代理机构办理上海</w:t>
      </w:r>
      <w:r>
        <w:rPr>
          <w:rFonts w:ascii="Times New Roman" w:hAnsi="Times New Roman"/>
          <w:bCs/>
          <w:sz w:val="24"/>
        </w:rPr>
        <w:t>A</w:t>
      </w:r>
      <w:r>
        <w:rPr>
          <w:rFonts w:hint="eastAsia" w:ascii="Times New Roman" w:hAnsi="Times New Roman"/>
          <w:bCs/>
          <w:sz w:val="24"/>
        </w:rPr>
        <w:t>股账户或证券投资基金账户的开户手续。有关开设上海</w:t>
      </w:r>
      <w:r>
        <w:rPr>
          <w:rFonts w:ascii="Times New Roman" w:hAnsi="Times New Roman"/>
          <w:bCs/>
          <w:sz w:val="24"/>
        </w:rPr>
        <w:t>A</w:t>
      </w:r>
      <w:r>
        <w:rPr>
          <w:rFonts w:hint="eastAsia" w:ascii="Times New Roman" w:hAnsi="Times New Roman"/>
          <w:bCs/>
          <w:sz w:val="24"/>
        </w:rPr>
        <w:t>股账户和证券投资基金账户的具体程序和办法，请到各开户网点详细咨询有关规定。</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、账户使用注意事项</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证券投资基金账户只能进行本基金基金份额的现金认购和二级市场交易，如投资人需使用本基金标的指数成份股或备选成份股中的上海证券交易所上市股票进行网下股票认购或基金份额的申购、赎回的，应开立和使用上海</w:t>
      </w:r>
      <w:r>
        <w:rPr>
          <w:rFonts w:ascii="Times New Roman" w:hAnsi="Times New Roman"/>
          <w:bCs/>
          <w:sz w:val="24"/>
        </w:rPr>
        <w:t>A</w:t>
      </w:r>
      <w:r>
        <w:rPr>
          <w:rFonts w:hint="eastAsia" w:ascii="Times New Roman" w:hAnsi="Times New Roman"/>
          <w:bCs/>
          <w:sz w:val="24"/>
        </w:rPr>
        <w:t>股账户；如投资人需使用本基金标的指数成份股或备选成份股中的深圳证券交易所上市股票进行网下股票认购的，还应开立深圳证券交易所</w:t>
      </w:r>
      <w:r>
        <w:rPr>
          <w:rFonts w:ascii="Times New Roman" w:hAnsi="Times New Roman"/>
          <w:bCs/>
          <w:sz w:val="24"/>
        </w:rPr>
        <w:t>A</w:t>
      </w:r>
      <w:r>
        <w:rPr>
          <w:rFonts w:hint="eastAsia" w:ascii="Times New Roman" w:hAnsi="Times New Roman"/>
          <w:bCs/>
          <w:sz w:val="24"/>
        </w:rPr>
        <w:t>股账户（以下简称“深圳</w:t>
      </w:r>
      <w:r>
        <w:rPr>
          <w:rFonts w:ascii="Times New Roman" w:hAnsi="Times New Roman"/>
          <w:bCs/>
          <w:sz w:val="24"/>
        </w:rPr>
        <w:t>A</w:t>
      </w:r>
      <w:r>
        <w:rPr>
          <w:rFonts w:hint="eastAsia" w:ascii="Times New Roman" w:hAnsi="Times New Roman"/>
          <w:bCs/>
          <w:sz w:val="24"/>
        </w:rPr>
        <w:t>股账户”）。上海</w:t>
      </w:r>
      <w:r>
        <w:rPr>
          <w:rFonts w:ascii="Times New Roman" w:hAnsi="Times New Roman"/>
          <w:bCs/>
          <w:sz w:val="24"/>
        </w:rPr>
        <w:t>A</w:t>
      </w:r>
      <w:r>
        <w:rPr>
          <w:rFonts w:hint="eastAsia" w:ascii="Times New Roman" w:hAnsi="Times New Roman"/>
          <w:bCs/>
          <w:sz w:val="24"/>
        </w:rPr>
        <w:t>股账户和深圳</w:t>
      </w:r>
      <w:r>
        <w:rPr>
          <w:rFonts w:ascii="Times New Roman" w:hAnsi="Times New Roman"/>
          <w:bCs/>
          <w:sz w:val="24"/>
        </w:rPr>
        <w:t>A</w:t>
      </w:r>
      <w:r>
        <w:rPr>
          <w:rFonts w:hint="eastAsia" w:ascii="Times New Roman" w:hAnsi="Times New Roman"/>
          <w:bCs/>
          <w:sz w:val="24"/>
        </w:rPr>
        <w:t>股账户两个账户的证件号码及名称属于同一投资人所有，并注意投资人认购基金份额的托管证券公司和深圳</w:t>
      </w:r>
      <w:r>
        <w:rPr>
          <w:rFonts w:ascii="Times New Roman" w:hAnsi="Times New Roman"/>
          <w:bCs/>
          <w:sz w:val="24"/>
        </w:rPr>
        <w:t>A</w:t>
      </w:r>
      <w:r>
        <w:rPr>
          <w:rFonts w:hint="eastAsia" w:ascii="Times New Roman" w:hAnsi="Times New Roman"/>
          <w:bCs/>
          <w:sz w:val="24"/>
        </w:rPr>
        <w:t>股账户指定交易证券公司应符合中国证券登记结算有限责任公司的相关规定。</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）开户当日无法办理指定交易，建议投资人在进行认购前至少</w:t>
      </w:r>
      <w:r>
        <w:rPr>
          <w:rFonts w:ascii="Times New Roman" w:hAnsi="Times New Roman"/>
          <w:bCs/>
          <w:sz w:val="24"/>
        </w:rPr>
        <w:t>2</w:t>
      </w:r>
      <w:r>
        <w:rPr>
          <w:rFonts w:hint="eastAsia" w:ascii="Times New Roman" w:hAnsi="Times New Roman"/>
          <w:bCs/>
          <w:sz w:val="24"/>
        </w:rPr>
        <w:t>个工作日办理开户手续。</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3</w:t>
      </w:r>
      <w:r>
        <w:rPr>
          <w:rFonts w:hint="eastAsia" w:ascii="Times New Roman" w:hAnsi="Times New Roman"/>
          <w:bCs/>
          <w:sz w:val="24"/>
        </w:rPr>
        <w:t>）如投资人已开立证券账户，则投资人未办理指定交易或指定交易不在办理本基金发售业务的证券公司，需要指定交易或转指定交易在可办理本基金发售业务的证券公司；当日办理指定交易或转指定交易的投资人当日无法进行认购，建议投资人在进行认购前至少</w:t>
      </w:r>
      <w:r>
        <w:rPr>
          <w:rFonts w:ascii="Times New Roman" w:hAnsi="Times New Roman"/>
          <w:bCs/>
          <w:sz w:val="24"/>
        </w:rPr>
        <w:t>1</w:t>
      </w:r>
      <w:r>
        <w:rPr>
          <w:rFonts w:hint="eastAsia" w:ascii="Times New Roman" w:hAnsi="Times New Roman"/>
          <w:bCs/>
          <w:sz w:val="24"/>
        </w:rPr>
        <w:t>个工作日办理指定交易或转指定交易手续。</w:t>
      </w:r>
      <w:bookmarkStart w:id="14" w:name="_Hlk199425139"/>
      <w:r>
        <w:rPr>
          <w:rFonts w:hint="eastAsia" w:ascii="Times New Roman" w:hAnsi="Times New Roman"/>
          <w:bCs/>
          <w:sz w:val="24"/>
        </w:rPr>
        <w:t>使用专用席位的机构投资者无需办理指定交易。</w:t>
      </w:r>
      <w:bookmarkEnd w:id="14"/>
    </w:p>
    <w:p>
      <w:pPr>
        <w:pStyle w:val="3"/>
        <w:adjustRightInd w:val="0"/>
        <w:snapToGrid w:val="0"/>
        <w:spacing w:before="0" w:after="0" w:line="360" w:lineRule="auto"/>
        <w:ind w:firstLine="482" w:firstLineChars="200"/>
        <w:rPr>
          <w:rFonts w:ascii="Times New Roman" w:hAnsi="Times New Roman"/>
          <w:bCs w:val="0"/>
          <w:sz w:val="24"/>
          <w:szCs w:val="24"/>
        </w:rPr>
      </w:pPr>
      <w:bookmarkStart w:id="15" w:name="_Toc208562018"/>
      <w:r>
        <w:rPr>
          <w:rFonts w:hint="eastAsia" w:ascii="Times New Roman" w:hAnsi="Times New Roman"/>
          <w:bCs w:val="0"/>
          <w:sz w:val="24"/>
          <w:szCs w:val="24"/>
        </w:rPr>
        <w:t>（十）</w:t>
      </w:r>
      <w:bookmarkStart w:id="75" w:name="_GoBack"/>
      <w:bookmarkEnd w:id="75"/>
      <w:r>
        <w:rPr>
          <w:rFonts w:hint="eastAsia" w:ascii="Times New Roman" w:hAnsi="Times New Roman"/>
          <w:bCs w:val="0"/>
          <w:sz w:val="24"/>
          <w:szCs w:val="24"/>
        </w:rPr>
        <w:t>认购费用</w:t>
      </w:r>
      <w:bookmarkEnd w:id="15"/>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认购费用由投资人承担，不列入基金财产。具体的认购费率如下：</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718"/>
        <w:gridCol w:w="3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37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2" w:hanging="2" w:hangingChars="1"/>
              <w:jc w:val="center"/>
              <w:rPr>
                <w:rFonts w:ascii="Times New Roman" w:hAnsi="Times New Roman"/>
                <w:sz w:val="24"/>
                <w:szCs w:val="24"/>
              </w:rPr>
            </w:pPr>
            <w:r>
              <w:rPr>
                <w:rFonts w:hint="eastAsia" w:ascii="Times New Roman" w:hAnsi="Times New Roman"/>
                <w:sz w:val="24"/>
                <w:szCs w:val="24"/>
              </w:rPr>
              <w:t>认购份额（S）</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left="2" w:hanging="2" w:hangingChars="1"/>
              <w:jc w:val="center"/>
              <w:rPr>
                <w:rFonts w:ascii="Times New Roman" w:hAnsi="Times New Roman"/>
                <w:sz w:val="24"/>
                <w:szCs w:val="24"/>
              </w:rPr>
            </w:pPr>
            <w:r>
              <w:rPr>
                <w:rFonts w:hint="eastAsia" w:ascii="Times New Roman" w:hAnsi="Times New Roman"/>
                <w:sz w:val="24"/>
                <w:szCs w:val="24"/>
              </w:rPr>
              <w:t>认购费率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37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2" w:hanging="2" w:hangingChars="1"/>
              <w:jc w:val="center"/>
              <w:rPr>
                <w:rFonts w:ascii="Times New Roman" w:hAnsi="Times New Roman"/>
                <w:sz w:val="24"/>
                <w:szCs w:val="24"/>
              </w:rPr>
            </w:pPr>
            <w:r>
              <w:rPr>
                <w:rFonts w:hint="eastAsia" w:ascii="Times New Roman" w:hAnsi="Times New Roman"/>
                <w:sz w:val="24"/>
                <w:szCs w:val="24"/>
              </w:rPr>
              <w:t>S&lt;50万份</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left="2" w:hanging="2" w:hangingChars="1"/>
              <w:jc w:val="center"/>
              <w:rPr>
                <w:rFonts w:ascii="Times New Roman" w:hAnsi="Times New Roman"/>
                <w:sz w:val="24"/>
                <w:szCs w:val="24"/>
              </w:rPr>
            </w:pPr>
            <w:r>
              <w:rPr>
                <w:rFonts w:hint="eastAsia" w:ascii="Times New Roman" w:hAnsi="Times New Roman"/>
                <w:sz w:val="24"/>
                <w:szCs w:val="24"/>
              </w:rP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37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2" w:hanging="2" w:hangingChars="1"/>
              <w:jc w:val="center"/>
              <w:rPr>
                <w:rFonts w:ascii="Times New Roman" w:hAnsi="Times New Roman"/>
                <w:sz w:val="24"/>
                <w:szCs w:val="24"/>
              </w:rPr>
            </w:pPr>
            <w:r>
              <w:rPr>
                <w:rFonts w:hint="eastAsia" w:ascii="Times New Roman" w:hAnsi="Times New Roman"/>
                <w:sz w:val="24"/>
                <w:szCs w:val="24"/>
              </w:rPr>
              <w:t>50万份≤S&lt;100万份</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left="2" w:hanging="2" w:hangingChars="1"/>
              <w:jc w:val="center"/>
              <w:rPr>
                <w:rFonts w:ascii="Times New Roman" w:hAnsi="Times New Roman"/>
                <w:sz w:val="24"/>
                <w:szCs w:val="24"/>
              </w:rPr>
            </w:pPr>
            <w:r>
              <w:rPr>
                <w:rFonts w:hint="eastAsia" w:ascii="Times New Roman" w:hAnsi="Times New Roman"/>
                <w:sz w:val="24"/>
                <w:szCs w:val="24"/>
              </w:rP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37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2" w:hanging="2" w:hangingChars="1"/>
              <w:jc w:val="center"/>
              <w:rPr>
                <w:rFonts w:ascii="Times New Roman" w:hAnsi="Times New Roman"/>
                <w:sz w:val="24"/>
                <w:szCs w:val="24"/>
              </w:rPr>
            </w:pPr>
            <w:r>
              <w:rPr>
                <w:rFonts w:hint="eastAsia" w:ascii="Times New Roman" w:hAnsi="Times New Roman"/>
                <w:sz w:val="24"/>
                <w:szCs w:val="24"/>
              </w:rPr>
              <w:t>S≥100万份</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left="2" w:hanging="2" w:hangingChars="1"/>
              <w:jc w:val="center"/>
              <w:rPr>
                <w:rFonts w:ascii="Times New Roman" w:hAnsi="Times New Roman"/>
                <w:sz w:val="24"/>
                <w:szCs w:val="24"/>
              </w:rPr>
            </w:pPr>
            <w:r>
              <w:rPr>
                <w:rFonts w:hint="eastAsia" w:ascii="Times New Roman" w:hAnsi="Times New Roman"/>
                <w:sz w:val="24"/>
                <w:szCs w:val="24"/>
              </w:rPr>
              <w:t>按笔收取，1</w:t>
            </w:r>
            <w:r>
              <w:rPr>
                <w:rFonts w:ascii="Times New Roman" w:hAnsi="Times New Roman"/>
                <w:sz w:val="24"/>
                <w:szCs w:val="24"/>
              </w:rPr>
              <w:t>,0</w:t>
            </w:r>
            <w:r>
              <w:rPr>
                <w:rFonts w:hint="eastAsia" w:ascii="Times New Roman" w:hAnsi="Times New Roman"/>
                <w:sz w:val="24"/>
                <w:szCs w:val="24"/>
              </w:rPr>
              <w:t>00元/笔</w:t>
            </w:r>
          </w:p>
        </w:tc>
      </w:tr>
    </w:tbl>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基金管理人办理网下现金认购时按照上表所示费率收取认购费用。基金管理人办理网下股票认购时不收取认购费用。发售代理机构办理网上现金认购、网下现金认购、网下股票认购时可参照上述费率结构，按照不超过 0.80%的标准收取一定的佣金。</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投资者多次提交现金认购申请的，须按每笔认购所对应的费率档次分别计费。</w:t>
      </w:r>
    </w:p>
    <w:p>
      <w:pPr>
        <w:pStyle w:val="3"/>
        <w:adjustRightInd w:val="0"/>
        <w:snapToGrid w:val="0"/>
        <w:spacing w:before="0" w:after="0" w:line="360" w:lineRule="auto"/>
        <w:ind w:firstLine="482" w:firstLineChars="200"/>
        <w:rPr>
          <w:rFonts w:ascii="Times New Roman" w:hAnsi="Times New Roman"/>
          <w:bCs w:val="0"/>
          <w:sz w:val="24"/>
          <w:szCs w:val="24"/>
        </w:rPr>
      </w:pPr>
      <w:bookmarkStart w:id="16" w:name="_Toc208562019"/>
      <w:r>
        <w:rPr>
          <w:rFonts w:hint="eastAsia" w:ascii="Times New Roman" w:hAnsi="Times New Roman"/>
          <w:bCs w:val="0"/>
          <w:sz w:val="24"/>
          <w:szCs w:val="24"/>
        </w:rPr>
        <w:t>（十一）网上现金认购</w:t>
      </w:r>
      <w:bookmarkEnd w:id="16"/>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、认购时间：详见基金份额发售公告或相关公告。</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、认购限额：网上现金认购以基金份额申请。单一账户每笔认购份额须为</w:t>
      </w:r>
      <w:r>
        <w:rPr>
          <w:rFonts w:ascii="Times New Roman" w:hAnsi="Times New Roman"/>
          <w:bCs/>
          <w:sz w:val="24"/>
        </w:rPr>
        <w:t>1,000</w:t>
      </w:r>
      <w:r>
        <w:rPr>
          <w:rFonts w:hint="eastAsia" w:ascii="Times New Roman" w:hAnsi="Times New Roman"/>
          <w:bCs/>
          <w:sz w:val="24"/>
        </w:rPr>
        <w:t>份或其整数倍，最高不得超过</w:t>
      </w:r>
      <w:r>
        <w:rPr>
          <w:rFonts w:ascii="Times New Roman" w:hAnsi="Times New Roman"/>
          <w:bCs/>
          <w:sz w:val="24"/>
        </w:rPr>
        <w:t xml:space="preserve"> 99,999,000 </w:t>
      </w:r>
      <w:r>
        <w:rPr>
          <w:rFonts w:hint="eastAsia" w:ascii="Times New Roman" w:hAnsi="Times New Roman"/>
          <w:bCs/>
          <w:sz w:val="24"/>
        </w:rPr>
        <w:t>份。投资人在募集期内可多次认购，募集期间单个投资人的累计认购规模没有限制，但法律法规、业务规则或本基金发售规模控制方案另有规定的除外。</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、认购申请：投资人在认购本基金时，需按发售代理机构的规定，备足认购资金，办理认购手续。网上现金认购申请提交后，投资人可以在当日交易时间内撤销。</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清算交收：通过发售代理机构提交的网上现金认购申请，由该发售代理机构冻结相应的认购资金，登记机构进行清算交收，并将有效认购数据发送发售协调人，发售协调人于网上现金认购结束后将实际到位的认购资金划往预先开设的基金募集专户。</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5</w:t>
      </w:r>
      <w:r>
        <w:rPr>
          <w:rFonts w:hint="eastAsia" w:ascii="Times New Roman" w:hAnsi="Times New Roman"/>
          <w:bCs/>
          <w:sz w:val="24"/>
        </w:rPr>
        <w:t>、认购金额的计算</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通过发售代理机构进行网上现金认购的投资人，认购以基金份额申请，认购佣金和认购金额的计算如下：</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认购佣金＝认购价格×认购份额×佣金比率</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（或若适用固定费用的，认购佣金</w:t>
      </w:r>
      <w:r>
        <w:rPr>
          <w:rFonts w:ascii="Times New Roman" w:hAnsi="Times New Roman"/>
          <w:bCs/>
          <w:sz w:val="24"/>
        </w:rPr>
        <w:t>=</w:t>
      </w:r>
      <w:r>
        <w:rPr>
          <w:rFonts w:hint="eastAsia" w:ascii="Times New Roman" w:hAnsi="Times New Roman"/>
          <w:bCs/>
          <w:sz w:val="24"/>
        </w:rPr>
        <w:t>固定费用）</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认购金额＝认购价格×认购份额×（</w:t>
      </w:r>
      <w:r>
        <w:rPr>
          <w:rFonts w:ascii="Times New Roman" w:hAnsi="Times New Roman"/>
          <w:bCs/>
          <w:sz w:val="24"/>
        </w:rPr>
        <w:t>1</w:t>
      </w:r>
      <w:r>
        <w:rPr>
          <w:rFonts w:hint="eastAsia" w:ascii="Times New Roman" w:hAnsi="Times New Roman"/>
          <w:bCs/>
          <w:sz w:val="24"/>
        </w:rPr>
        <w:t>＋佣金比率）</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（或若适用固定费用的，认购金额＝认购价格×认购份额</w:t>
      </w:r>
      <w:r>
        <w:rPr>
          <w:rFonts w:ascii="Times New Roman" w:hAnsi="Times New Roman"/>
          <w:bCs/>
          <w:sz w:val="24"/>
        </w:rPr>
        <w:t>+</w:t>
      </w:r>
      <w:r>
        <w:rPr>
          <w:rFonts w:hint="eastAsia" w:ascii="Times New Roman" w:hAnsi="Times New Roman"/>
          <w:bCs/>
          <w:sz w:val="24"/>
        </w:rPr>
        <w:t>固定费用）</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认购佣金由发售代理机构向投资人收取，投资人需以现金方式支付认购佣金。</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例：某投资人到某发售代理机构认购</w:t>
      </w:r>
      <w:r>
        <w:rPr>
          <w:rFonts w:ascii="Times New Roman" w:hAnsi="Times New Roman"/>
          <w:bCs/>
          <w:sz w:val="24"/>
        </w:rPr>
        <w:t>10,000</w:t>
      </w:r>
      <w:r>
        <w:rPr>
          <w:rFonts w:hint="eastAsia" w:ascii="Times New Roman" w:hAnsi="Times New Roman"/>
          <w:bCs/>
          <w:sz w:val="24"/>
        </w:rPr>
        <w:t>份本基金，假设该发售代理机构确认的佣金比率为</w:t>
      </w:r>
      <w:r>
        <w:rPr>
          <w:rFonts w:ascii="Times New Roman" w:hAnsi="Times New Roman"/>
          <w:bCs/>
          <w:sz w:val="24"/>
        </w:rPr>
        <w:t>0.80%</w:t>
      </w:r>
      <w:r>
        <w:rPr>
          <w:rFonts w:hint="eastAsia" w:ascii="Times New Roman" w:hAnsi="Times New Roman"/>
          <w:bCs/>
          <w:sz w:val="24"/>
        </w:rPr>
        <w:t>，则投资人需支付的认购佣金和需准备的认购金额计算如下：</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认购佣金＝</w:t>
      </w:r>
      <w:r>
        <w:rPr>
          <w:rFonts w:ascii="Times New Roman" w:hAnsi="Times New Roman"/>
          <w:bCs/>
          <w:sz w:val="24"/>
        </w:rPr>
        <w:t>1.00</w:t>
      </w:r>
      <w:r>
        <w:rPr>
          <w:rFonts w:hint="eastAsia" w:ascii="Times New Roman" w:hAnsi="Times New Roman"/>
          <w:bCs/>
          <w:sz w:val="24"/>
        </w:rPr>
        <w:t>×</w:t>
      </w:r>
      <w:r>
        <w:rPr>
          <w:rFonts w:ascii="Times New Roman" w:hAnsi="Times New Roman"/>
          <w:bCs/>
          <w:sz w:val="24"/>
        </w:rPr>
        <w:t>10,000</w:t>
      </w:r>
      <w:r>
        <w:rPr>
          <w:rFonts w:hint="eastAsia" w:ascii="Times New Roman" w:hAnsi="Times New Roman"/>
          <w:bCs/>
          <w:sz w:val="24"/>
        </w:rPr>
        <w:t>×</w:t>
      </w:r>
      <w:r>
        <w:rPr>
          <w:rFonts w:ascii="Times New Roman" w:hAnsi="Times New Roman"/>
          <w:bCs/>
          <w:sz w:val="24"/>
        </w:rPr>
        <w:t>0.80%</w:t>
      </w:r>
      <w:r>
        <w:rPr>
          <w:rFonts w:hint="eastAsia" w:ascii="Times New Roman" w:hAnsi="Times New Roman"/>
          <w:bCs/>
          <w:sz w:val="24"/>
        </w:rPr>
        <w:t>＝</w:t>
      </w:r>
      <w:r>
        <w:rPr>
          <w:rFonts w:ascii="Times New Roman" w:hAnsi="Times New Roman"/>
          <w:bCs/>
          <w:sz w:val="24"/>
        </w:rPr>
        <w:t>80.00</w:t>
      </w:r>
      <w:r>
        <w:rPr>
          <w:rFonts w:hint="eastAsia" w:ascii="Times New Roman" w:hAnsi="Times New Roman"/>
          <w:bCs/>
          <w:sz w:val="24"/>
        </w:rPr>
        <w:t>元</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认购金额＝</w:t>
      </w:r>
      <w:r>
        <w:rPr>
          <w:rFonts w:ascii="Times New Roman" w:hAnsi="Times New Roman"/>
          <w:bCs/>
          <w:sz w:val="24"/>
        </w:rPr>
        <w:t>1.00</w:t>
      </w:r>
      <w:r>
        <w:rPr>
          <w:rFonts w:hint="eastAsia" w:ascii="Times New Roman" w:hAnsi="Times New Roman"/>
          <w:bCs/>
          <w:sz w:val="24"/>
        </w:rPr>
        <w:t>×</w:t>
      </w:r>
      <w:r>
        <w:rPr>
          <w:rFonts w:ascii="Times New Roman" w:hAnsi="Times New Roman"/>
          <w:bCs/>
          <w:sz w:val="24"/>
        </w:rPr>
        <w:t>10,000</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w:t>
      </w:r>
      <w:r>
        <w:rPr>
          <w:rFonts w:ascii="Times New Roman" w:hAnsi="Times New Roman"/>
          <w:bCs/>
          <w:sz w:val="24"/>
        </w:rPr>
        <w:t>0.80%</w:t>
      </w:r>
      <w:r>
        <w:rPr>
          <w:rFonts w:hint="eastAsia" w:ascii="Times New Roman" w:hAnsi="Times New Roman"/>
          <w:bCs/>
          <w:sz w:val="24"/>
        </w:rPr>
        <w:t>）＝</w:t>
      </w:r>
      <w:r>
        <w:rPr>
          <w:rFonts w:ascii="Times New Roman" w:hAnsi="Times New Roman"/>
          <w:bCs/>
          <w:sz w:val="24"/>
        </w:rPr>
        <w:t>10,080.00</w:t>
      </w:r>
      <w:r>
        <w:rPr>
          <w:rFonts w:hint="eastAsia" w:ascii="Times New Roman" w:hAnsi="Times New Roman"/>
          <w:bCs/>
          <w:sz w:val="24"/>
        </w:rPr>
        <w:t>元</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即投资人需准备</w:t>
      </w:r>
      <w:r>
        <w:rPr>
          <w:rFonts w:ascii="Times New Roman" w:hAnsi="Times New Roman"/>
          <w:bCs/>
          <w:sz w:val="24"/>
        </w:rPr>
        <w:t>10,080.00</w:t>
      </w:r>
      <w:r>
        <w:rPr>
          <w:rFonts w:hint="eastAsia" w:ascii="Times New Roman" w:hAnsi="Times New Roman"/>
          <w:bCs/>
          <w:sz w:val="24"/>
        </w:rPr>
        <w:t>元资金，方可认购到</w:t>
      </w:r>
      <w:r>
        <w:rPr>
          <w:rFonts w:ascii="Times New Roman" w:hAnsi="Times New Roman"/>
          <w:bCs/>
          <w:sz w:val="24"/>
        </w:rPr>
        <w:t>10,000</w:t>
      </w:r>
      <w:r>
        <w:rPr>
          <w:rFonts w:hint="eastAsia" w:ascii="Times New Roman" w:hAnsi="Times New Roman"/>
          <w:bCs/>
          <w:sz w:val="24"/>
        </w:rPr>
        <w:t>份本基金基金份额。</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6</w:t>
      </w:r>
      <w:r>
        <w:rPr>
          <w:rFonts w:hint="eastAsia" w:ascii="Times New Roman" w:hAnsi="Times New Roman"/>
          <w:bCs/>
          <w:sz w:val="24"/>
        </w:rPr>
        <w:t>、认购确认：在基金合同生效后，投资人应通过其办理认购的销售机构或以其提供的其他方式查询认购确认情况。</w:t>
      </w:r>
    </w:p>
    <w:p>
      <w:pPr>
        <w:pStyle w:val="3"/>
        <w:adjustRightInd w:val="0"/>
        <w:snapToGrid w:val="0"/>
        <w:spacing w:before="0" w:after="0" w:line="360" w:lineRule="auto"/>
        <w:ind w:firstLine="482" w:firstLineChars="200"/>
        <w:rPr>
          <w:rFonts w:ascii="Times New Roman" w:hAnsi="Times New Roman"/>
          <w:bCs w:val="0"/>
          <w:sz w:val="24"/>
          <w:szCs w:val="24"/>
        </w:rPr>
      </w:pPr>
      <w:bookmarkStart w:id="17" w:name="_Toc208562020"/>
      <w:r>
        <w:rPr>
          <w:rFonts w:hint="eastAsia" w:ascii="Times New Roman" w:hAnsi="Times New Roman"/>
          <w:bCs w:val="0"/>
          <w:sz w:val="24"/>
          <w:szCs w:val="24"/>
        </w:rPr>
        <w:t>（ 十二）网下现金认购</w:t>
      </w:r>
      <w:bookmarkEnd w:id="17"/>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、认购时间：详见基金份额发售公告或相关公告。</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认购限额：网下现金认购以基金份额申请。投资人通过发售代理机构办理网下现金认购的，单笔认购须为1,000份或其整数倍；投资人通过基金管理人办理网下现金认购的，单笔认购份额须在100万份以上（含100万份）。投资人在募集期内可多次认购，募集期间单个投资人的累计认购规模没有限制，但法律法规、业务规则或本基金发售规模控制方案另有规定的除外。</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、认购申请：投资人在认购本基金时，需按销售机构的规定，备足认购资金，办理认购手续。网下现金认购申请提交后如需撤销以销售机构的规定为准。</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清算交收：通过基金管理人提交的网下现金认购申请，由基金管理人进行有效认购款项的清算交收，将认购资金划入基金管理人预先开设的基金募集专户。通过发售代理机构提交的网下现金认购申请，由该发售代理机构冻结相应的认购资金。各发售代理机构将每一个投资人账户提交的网下现金认购申请汇总后，通过上海证券交易所上网定价发行系统代该投资人提交网上现金认购申请。之后，登记机构进行清算交收，并将有效认购数据发送发售协调人，发售协调人将实际到位的认购资金划往基金管理人预先开设的基金募集专户。</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5</w:t>
      </w:r>
      <w:r>
        <w:rPr>
          <w:rFonts w:hint="eastAsia" w:ascii="Times New Roman" w:hAnsi="Times New Roman"/>
          <w:bCs/>
          <w:sz w:val="24"/>
        </w:rPr>
        <w:t>、认购金额的计算</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）通过基金管理人进行网下现金认购的投资人，认购以基金份额申请，认购费用和认购金额的计算如下：</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）若适用比例费率，计算公式如下：</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认购费用＝认购价格×认购份额×认购费率</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认购金额＝认购价格×认购份额×（</w:t>
      </w:r>
      <w:r>
        <w:rPr>
          <w:rFonts w:ascii="Times New Roman" w:hAnsi="Times New Roman"/>
          <w:bCs/>
          <w:sz w:val="24"/>
        </w:rPr>
        <w:t>1</w:t>
      </w:r>
      <w:r>
        <w:rPr>
          <w:rFonts w:hint="eastAsia" w:ascii="Times New Roman" w:hAnsi="Times New Roman"/>
          <w:bCs/>
          <w:sz w:val="24"/>
        </w:rPr>
        <w:t>＋认购费率）</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总认购份额＝认购份额＋认购金额产生的利息</w:t>
      </w:r>
      <w:r>
        <w:rPr>
          <w:rFonts w:ascii="Times New Roman" w:hAnsi="Times New Roman"/>
          <w:bCs/>
          <w:sz w:val="24"/>
        </w:rPr>
        <w:t>/</w:t>
      </w:r>
      <w:r>
        <w:rPr>
          <w:rFonts w:hint="eastAsia" w:ascii="Times New Roman" w:hAnsi="Times New Roman"/>
          <w:bCs/>
          <w:sz w:val="24"/>
        </w:rPr>
        <w:t>认购价格</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）若适用固定费用，计算公式如下：</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认购费用＝固定费用</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认购金额＝认购价格×认购份额＋固定费用</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总认购份额＝认购份额＋认购金额产生的利息</w:t>
      </w:r>
      <w:r>
        <w:rPr>
          <w:rFonts w:ascii="Times New Roman" w:hAnsi="Times New Roman"/>
          <w:bCs/>
          <w:sz w:val="24"/>
        </w:rPr>
        <w:t>/</w:t>
      </w:r>
      <w:r>
        <w:rPr>
          <w:rFonts w:hint="eastAsia" w:ascii="Times New Roman" w:hAnsi="Times New Roman"/>
          <w:bCs/>
          <w:sz w:val="24"/>
        </w:rPr>
        <w:t>认购价格</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认购费用由基金管理人向投资人收取，投资人需以现金方式支付认购费用。</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通过基金管理人进行网下现金认购的有效认购资金在募集期间产生的利息，将折算为基金份额归投资人所有，其中利息转份额以基金管理人的记录为准。利息折算的份额保留至整数位，小数部分舍去，舍去部分计入基金财产。</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例：某投资人到基金管理人直销柜台认购</w:t>
      </w:r>
      <w:r>
        <w:rPr>
          <w:rFonts w:ascii="Times New Roman" w:hAnsi="Times New Roman"/>
          <w:bCs/>
          <w:sz w:val="24"/>
        </w:rPr>
        <w:t>1,000,000</w:t>
      </w:r>
      <w:r>
        <w:rPr>
          <w:rFonts w:hint="eastAsia" w:ascii="Times New Roman" w:hAnsi="Times New Roman"/>
          <w:bCs/>
          <w:sz w:val="24"/>
        </w:rPr>
        <w:t>份基金份额，认购费用为</w:t>
      </w:r>
      <w:r>
        <w:rPr>
          <w:rFonts w:ascii="Times New Roman" w:hAnsi="Times New Roman"/>
          <w:bCs/>
          <w:sz w:val="24"/>
        </w:rPr>
        <w:t>1,</w:t>
      </w:r>
      <w:r>
        <w:rPr>
          <w:rFonts w:hint="eastAsia" w:ascii="Times New Roman" w:hAnsi="Times New Roman"/>
          <w:bCs/>
          <w:sz w:val="24"/>
        </w:rPr>
        <w:t>0</w:t>
      </w:r>
      <w:r>
        <w:rPr>
          <w:rFonts w:ascii="Times New Roman" w:hAnsi="Times New Roman"/>
          <w:bCs/>
          <w:sz w:val="24"/>
        </w:rPr>
        <w:t>00</w:t>
      </w:r>
      <w:r>
        <w:rPr>
          <w:rFonts w:hint="eastAsia" w:ascii="Times New Roman" w:hAnsi="Times New Roman"/>
          <w:bCs/>
          <w:sz w:val="24"/>
        </w:rPr>
        <w:t>元。假定认购金额产生的利息为</w:t>
      </w:r>
      <w:r>
        <w:rPr>
          <w:rFonts w:ascii="Times New Roman" w:hAnsi="Times New Roman"/>
          <w:bCs/>
          <w:sz w:val="24"/>
        </w:rPr>
        <w:t>10.82</w:t>
      </w:r>
      <w:r>
        <w:rPr>
          <w:rFonts w:hint="eastAsia" w:ascii="Times New Roman" w:hAnsi="Times New Roman"/>
          <w:bCs/>
          <w:sz w:val="24"/>
        </w:rPr>
        <w:t>元，则需准备的资金金额计算如下：</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认购费用＝</w:t>
      </w:r>
      <w:r>
        <w:rPr>
          <w:rFonts w:ascii="Times New Roman" w:hAnsi="Times New Roman"/>
          <w:bCs/>
          <w:sz w:val="24"/>
        </w:rPr>
        <w:t>1,000.00</w:t>
      </w:r>
      <w:r>
        <w:rPr>
          <w:rFonts w:hint="eastAsia" w:ascii="Times New Roman" w:hAnsi="Times New Roman"/>
          <w:bCs/>
          <w:sz w:val="24"/>
        </w:rPr>
        <w:t>元</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认购金额＝</w:t>
      </w:r>
      <w:r>
        <w:rPr>
          <w:rFonts w:ascii="Times New Roman" w:hAnsi="Times New Roman"/>
          <w:bCs/>
          <w:sz w:val="24"/>
        </w:rPr>
        <w:t>1.00</w:t>
      </w:r>
      <w:r>
        <w:rPr>
          <w:rFonts w:hint="eastAsia" w:ascii="Times New Roman" w:hAnsi="Times New Roman"/>
          <w:bCs/>
          <w:sz w:val="24"/>
        </w:rPr>
        <w:t>×</w:t>
      </w:r>
      <w:r>
        <w:rPr>
          <w:rFonts w:ascii="Times New Roman" w:hAnsi="Times New Roman"/>
          <w:bCs/>
          <w:sz w:val="24"/>
        </w:rPr>
        <w:t>1,000,000</w:t>
      </w:r>
      <w:r>
        <w:rPr>
          <w:rFonts w:hint="eastAsia" w:ascii="Times New Roman" w:hAnsi="Times New Roman"/>
          <w:bCs/>
          <w:sz w:val="24"/>
        </w:rPr>
        <w:t>+</w:t>
      </w:r>
      <w:r>
        <w:rPr>
          <w:rFonts w:ascii="Times New Roman" w:hAnsi="Times New Roman"/>
          <w:bCs/>
          <w:sz w:val="24"/>
        </w:rPr>
        <w:t>1,000.00</w:t>
      </w:r>
      <w:r>
        <w:rPr>
          <w:rFonts w:hint="eastAsia" w:ascii="Times New Roman" w:hAnsi="Times New Roman"/>
          <w:bCs/>
          <w:sz w:val="24"/>
        </w:rPr>
        <w:t>＝</w:t>
      </w:r>
      <w:r>
        <w:rPr>
          <w:rFonts w:ascii="Times New Roman" w:hAnsi="Times New Roman"/>
          <w:bCs/>
          <w:sz w:val="24"/>
        </w:rPr>
        <w:t>1,001,000.00</w:t>
      </w:r>
      <w:r>
        <w:rPr>
          <w:rFonts w:hint="eastAsia" w:ascii="Times New Roman" w:hAnsi="Times New Roman"/>
          <w:bCs/>
          <w:sz w:val="24"/>
        </w:rPr>
        <w:t>元</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总认购份额＝</w:t>
      </w:r>
      <w:r>
        <w:rPr>
          <w:rFonts w:ascii="Times New Roman" w:hAnsi="Times New Roman"/>
          <w:bCs/>
          <w:sz w:val="24"/>
        </w:rPr>
        <w:t>1,000,000</w:t>
      </w:r>
      <w:r>
        <w:rPr>
          <w:rFonts w:hint="eastAsia" w:ascii="Times New Roman" w:hAnsi="Times New Roman"/>
          <w:bCs/>
          <w:sz w:val="24"/>
        </w:rPr>
        <w:t>＋</w:t>
      </w:r>
      <w:r>
        <w:rPr>
          <w:rFonts w:ascii="Times New Roman" w:hAnsi="Times New Roman"/>
          <w:bCs/>
          <w:sz w:val="24"/>
        </w:rPr>
        <w:t>10.82/1.00</w:t>
      </w:r>
      <w:r>
        <w:rPr>
          <w:rFonts w:hint="eastAsia" w:ascii="Times New Roman" w:hAnsi="Times New Roman"/>
          <w:bCs/>
          <w:sz w:val="24"/>
        </w:rPr>
        <w:t>＝</w:t>
      </w:r>
      <w:r>
        <w:rPr>
          <w:rFonts w:ascii="Times New Roman" w:hAnsi="Times New Roman"/>
          <w:bCs/>
          <w:sz w:val="24"/>
        </w:rPr>
        <w:t>1,000,010</w:t>
      </w:r>
      <w:r>
        <w:rPr>
          <w:rFonts w:hint="eastAsia" w:ascii="Times New Roman" w:hAnsi="Times New Roman"/>
          <w:bCs/>
          <w:sz w:val="24"/>
        </w:rPr>
        <w:t>份</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即投资人若通过基金管理人直销柜台认购本基金</w:t>
      </w:r>
      <w:r>
        <w:rPr>
          <w:rFonts w:ascii="Times New Roman" w:hAnsi="Times New Roman"/>
          <w:bCs/>
          <w:sz w:val="24"/>
        </w:rPr>
        <w:t>1,000,000</w:t>
      </w:r>
      <w:r>
        <w:rPr>
          <w:rFonts w:hint="eastAsia" w:ascii="Times New Roman" w:hAnsi="Times New Roman"/>
          <w:bCs/>
          <w:sz w:val="24"/>
        </w:rPr>
        <w:t>份，需准备</w:t>
      </w:r>
      <w:r>
        <w:rPr>
          <w:rFonts w:ascii="Times New Roman" w:hAnsi="Times New Roman"/>
          <w:bCs/>
          <w:sz w:val="24"/>
        </w:rPr>
        <w:t>1,001,000.00</w:t>
      </w:r>
      <w:r>
        <w:rPr>
          <w:rFonts w:hint="eastAsia" w:ascii="Times New Roman" w:hAnsi="Times New Roman"/>
          <w:bCs/>
          <w:sz w:val="24"/>
        </w:rPr>
        <w:t>元资金，假定该笔认购金额产生利息</w:t>
      </w:r>
      <w:r>
        <w:rPr>
          <w:rFonts w:ascii="Times New Roman" w:hAnsi="Times New Roman"/>
          <w:bCs/>
          <w:sz w:val="24"/>
        </w:rPr>
        <w:t>10.82</w:t>
      </w:r>
      <w:r>
        <w:rPr>
          <w:rFonts w:hint="eastAsia" w:ascii="Times New Roman" w:hAnsi="Times New Roman"/>
          <w:bCs/>
          <w:sz w:val="24"/>
        </w:rPr>
        <w:t>元，则投资人可得到</w:t>
      </w:r>
      <w:r>
        <w:rPr>
          <w:rFonts w:ascii="Times New Roman" w:hAnsi="Times New Roman"/>
          <w:bCs/>
          <w:sz w:val="24"/>
        </w:rPr>
        <w:t>1,000,010</w:t>
      </w:r>
      <w:r>
        <w:rPr>
          <w:rFonts w:hint="eastAsia" w:ascii="Times New Roman" w:hAnsi="Times New Roman"/>
          <w:bCs/>
          <w:sz w:val="24"/>
        </w:rPr>
        <w:t>份本基金基金份额。</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）通过发售代理机构进行网下现金认购的投资人，认购以基金份额申请，认购佣金和认购金额的计算同通过发售代理机构进行网上现金认购的计算。</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6</w:t>
      </w:r>
      <w:r>
        <w:rPr>
          <w:rFonts w:hint="eastAsia" w:ascii="Times New Roman" w:hAnsi="Times New Roman"/>
          <w:bCs/>
          <w:sz w:val="24"/>
        </w:rPr>
        <w:t>、认购确认：在基金合同生效后，投资人应通过其办理认购的销售机构或以其提供的其他方式查询认购确认情况。</w:t>
      </w:r>
    </w:p>
    <w:p>
      <w:pPr>
        <w:pStyle w:val="3"/>
        <w:adjustRightInd w:val="0"/>
        <w:snapToGrid w:val="0"/>
        <w:spacing w:before="0" w:after="0" w:line="360" w:lineRule="auto"/>
        <w:ind w:firstLine="482" w:firstLineChars="200"/>
        <w:rPr>
          <w:rFonts w:ascii="Times New Roman" w:hAnsi="Times New Roman"/>
          <w:bCs w:val="0"/>
          <w:sz w:val="24"/>
          <w:szCs w:val="24"/>
        </w:rPr>
      </w:pPr>
      <w:bookmarkStart w:id="18" w:name="_Toc208562021"/>
      <w:r>
        <w:rPr>
          <w:rFonts w:hint="eastAsia" w:ascii="Times New Roman" w:hAnsi="Times New Roman"/>
          <w:bCs w:val="0"/>
          <w:sz w:val="24"/>
          <w:szCs w:val="24"/>
        </w:rPr>
        <w:t>（十三）网下股票认购</w:t>
      </w:r>
      <w:bookmarkEnd w:id="18"/>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、认购时间：详见基金份额发售公告或相关公告。</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、认购限额：网下股票认购以单只股票股数申报，投资人通过基金管理人及其指定的发售代理机构进行网下股票认购，单只股票最低认购申报股数为</w:t>
      </w:r>
      <w:r>
        <w:rPr>
          <w:rFonts w:ascii="Times New Roman" w:hAnsi="Times New Roman"/>
          <w:bCs/>
          <w:sz w:val="24"/>
        </w:rPr>
        <w:t>1,000</w:t>
      </w:r>
      <w:r>
        <w:rPr>
          <w:rFonts w:hint="eastAsia" w:ascii="Times New Roman" w:hAnsi="Times New Roman"/>
          <w:bCs/>
          <w:sz w:val="24"/>
        </w:rPr>
        <w:t>股，超过</w:t>
      </w:r>
      <w:r>
        <w:rPr>
          <w:rFonts w:ascii="Times New Roman" w:hAnsi="Times New Roman"/>
          <w:bCs/>
          <w:sz w:val="24"/>
        </w:rPr>
        <w:t>1,000</w:t>
      </w:r>
      <w:r>
        <w:rPr>
          <w:rFonts w:hint="eastAsia" w:ascii="Times New Roman" w:hAnsi="Times New Roman"/>
          <w:bCs/>
          <w:sz w:val="24"/>
        </w:rPr>
        <w:t>股的部分须为</w:t>
      </w:r>
      <w:r>
        <w:rPr>
          <w:rFonts w:ascii="Times New Roman" w:hAnsi="Times New Roman"/>
          <w:bCs/>
          <w:sz w:val="24"/>
        </w:rPr>
        <w:t>100</w:t>
      </w:r>
      <w:r>
        <w:rPr>
          <w:rFonts w:hint="eastAsia" w:ascii="Times New Roman" w:hAnsi="Times New Roman"/>
          <w:bCs/>
          <w:sz w:val="24"/>
        </w:rPr>
        <w:t>股的整数倍。用以认购的股票必须是标的指数成份股或已公告的备选成份股（详见基金份额发售公告或相关公告）。投资人可以多次提交认购申请，累计申报股数不设上限，但法律法规、业务规则或本基金发售规模控制方案另有规定的除外。</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、认购申请：投资人在认购本基金时，需按销售机构的规定，备足认购股票，办理认购手续。网下股票认购申请提交后如需撤销以销售机构的规定为准。认购一经确认不得撤销。</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、特殊情形</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）已公告的将被调出标的指数的成份股不得用于认购本基金。</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）限制个股认购规模：基金管理人可根据网下股票认购开始日前</w:t>
      </w:r>
      <w:r>
        <w:rPr>
          <w:rFonts w:ascii="Times New Roman" w:hAnsi="Times New Roman"/>
          <w:bCs/>
          <w:sz w:val="24"/>
        </w:rPr>
        <w:t>3</w:t>
      </w:r>
      <w:r>
        <w:rPr>
          <w:rFonts w:hint="eastAsia" w:ascii="Times New Roman" w:hAnsi="Times New Roman"/>
          <w:bCs/>
          <w:sz w:val="24"/>
        </w:rPr>
        <w:t>个月个股的交易量、价格波动及其他异常情况，决定是否对个股认购规模进行限制，并在网下股票认购开始日前公告限制认购规模的个股名单。</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3</w:t>
      </w:r>
      <w:r>
        <w:rPr>
          <w:rFonts w:hint="eastAsia" w:ascii="Times New Roman" w:hAnsi="Times New Roman"/>
          <w:bCs/>
          <w:sz w:val="24"/>
        </w:rPr>
        <w:t>）临时拒绝个股认购：对于在网下股票认购期间价格波动异常，或认购申报数量异常的个股，或长期停牌、流通（减持）受限或存在其他异常情况的个股，或其他基金管理人认为应当拒绝的情形，基金管理人可不经公告，全部或部分拒绝该股票的认购申报。</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4</w:t>
      </w:r>
      <w:r>
        <w:rPr>
          <w:rFonts w:hint="eastAsia" w:ascii="Times New Roman" w:hAnsi="Times New Roman"/>
          <w:bCs/>
          <w:sz w:val="24"/>
        </w:rPr>
        <w:t>）根据法律法规本基金不得持有的标的指数成份股，将不能用于认购本基金。</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5</w:t>
      </w:r>
      <w:r>
        <w:rPr>
          <w:rFonts w:hint="eastAsia" w:ascii="Times New Roman" w:hAnsi="Times New Roman"/>
          <w:bCs/>
          <w:sz w:val="24"/>
        </w:rPr>
        <w:t>、清算交收：发售代理机构将股票认购数据按投资人证券账户汇总发送给基金管理人，基金管理人初步确认各成份股的有效认购数量。登记机构根据基金管理人提供的确认数据，将投资人沪市组合证券（指投资人以在上海证券交易所上市的股票进行认购的）进行冻结；将投资人深市组合证券（指投资人以在深圳证券交易所上市的股票进行认购的）过户至本基金证券认购专户。以基金份额方式支付佣金的，基金管理人根据发售代理机构提供的数据计算投资人应以基金份额方式支付的认购佣金，并从投资人的认购份额中扣除，为发售代理机构增加相应的基金份额。登记机构根据基金管理人提供的投资人净认购份额明细数据进行投资人认购份额的初始登记，并根据基金管理人确认的有效认购申请股票数据，按照交易所和登记机构的规则和流程，最终将投资人申请认购的股票过户到本基金在上海、深圳开立的证券账户。</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6</w:t>
      </w:r>
      <w:r>
        <w:rPr>
          <w:rFonts w:hint="eastAsia" w:ascii="Times New Roman" w:hAnsi="Times New Roman"/>
          <w:bCs/>
          <w:sz w:val="24"/>
        </w:rPr>
        <w:t>、认购份额的计算公式</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投资人的认购份额＝</w:t>
      </w:r>
    </w:p>
    <w:p>
      <w:pPr>
        <w:adjustRightInd w:val="0"/>
        <w:snapToGrid w:val="0"/>
        <w:spacing w:line="360" w:lineRule="auto"/>
        <w:ind w:firstLine="420" w:firstLineChars="200"/>
        <w:rPr>
          <w:rFonts w:ascii="Times New Roman" w:hAnsi="Times New Roman"/>
        </w:rPr>
      </w:pPr>
      <m:oMathPara>
        <m:oMath>
          <m:nary>
            <m:naryPr>
              <m:chr m:val="∑"/>
              <m:limLoc m:val="undOvr"/>
              <m:ctrlPr>
                <w:rPr>
                  <w:rFonts w:ascii="Cambria Math" w:hAnsi="Cambria Math"/>
                  <w:bCs/>
                </w:rPr>
              </m:ctrlPr>
            </m:naryPr>
            <m:sub>
              <m:r>
                <m:rPr>
                  <m:sty m:val="p"/>
                </m:rPr>
                <w:rPr>
                  <w:rFonts w:hint="eastAsia" w:ascii="Cambria Math" w:hAnsi="Cambria Math"/>
                </w:rPr>
                <m:t>i=1</m:t>
              </m:r>
              <m:ctrlPr>
                <w:rPr>
                  <w:rFonts w:ascii="Cambria Math" w:hAnsi="Cambria Math"/>
                  <w:bCs/>
                </w:rPr>
              </m:ctrlPr>
            </m:sub>
            <m:sup>
              <m:r>
                <m:rPr>
                  <m:sty m:val="p"/>
                </m:rPr>
                <w:rPr>
                  <w:rFonts w:hint="eastAsia" w:ascii="Cambria Math" w:hAnsi="Cambria Math"/>
                </w:rPr>
                <m:t>n</m:t>
              </m:r>
              <m:ctrlPr>
                <w:rPr>
                  <w:rFonts w:ascii="Cambria Math" w:hAnsi="Cambria Math"/>
                  <w:bCs/>
                </w:rPr>
              </m:ctrlPr>
            </m:sup>
            <m:e>
              <m:d>
                <m:dPr>
                  <m:ctrlPr>
                    <w:rPr>
                      <w:rFonts w:ascii="Cambria Math" w:hAnsi="Cambria Math"/>
                      <w:bCs/>
                    </w:rPr>
                  </m:ctrlPr>
                </m:dPr>
                <m:e>
                  <m:r>
                    <m:rPr>
                      <m:sty m:val="p"/>
                    </m:rPr>
                    <w:rPr>
                      <w:rFonts w:ascii="Cambria Math" w:hAnsi="Cambria Math"/>
                    </w:rPr>
                    <m:t>第i只股票在网下股票认购期最后一日的均价×有效认购数量</m:t>
                  </m:r>
                  <m:ctrlPr>
                    <w:rPr>
                      <w:rFonts w:ascii="Cambria Math" w:hAnsi="Cambria Math"/>
                      <w:bCs/>
                    </w:rPr>
                  </m:ctrlPr>
                </m:e>
              </m:d>
              <m:r>
                <m:rPr>
                  <m:sty m:val="p"/>
                </m:rPr>
                <w:rPr>
                  <w:rFonts w:ascii="Cambria Math" w:hAnsi="Cambria Math"/>
                </w:rPr>
                <m:t>/</m:t>
              </m:r>
              <m:r>
                <m:rPr/>
                <w:rPr>
                  <w:rFonts w:ascii="Cambria Math" w:hAnsi="Cambria Math"/>
                </w:rPr>
                <m:t>1.00</m:t>
              </m:r>
              <m:ctrlPr>
                <w:rPr>
                  <w:rFonts w:ascii="Cambria Math" w:hAnsi="Cambria Math"/>
                  <w:bCs/>
                </w:rPr>
              </m:ctrlPr>
            </m:e>
          </m:nary>
        </m:oMath>
      </m:oMathPara>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其中，</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w:t>
      </w:r>
      <w:r>
        <w:rPr>
          <w:rFonts w:ascii="Times New Roman" w:hAnsi="Times New Roman"/>
          <w:bCs/>
          <w:sz w:val="24"/>
        </w:rPr>
        <w:t>i</w:t>
      </w:r>
      <w:r>
        <w:rPr>
          <w:rFonts w:hint="eastAsia" w:ascii="Times New Roman" w:hAnsi="Times New Roman"/>
          <w:bCs/>
          <w:sz w:val="24"/>
        </w:rPr>
        <w:t>代表投资人提交认购申请的第</w:t>
      </w:r>
      <w:r>
        <w:rPr>
          <w:rFonts w:ascii="Times New Roman" w:hAnsi="Times New Roman"/>
          <w:bCs/>
          <w:sz w:val="24"/>
        </w:rPr>
        <w:t>i</w:t>
      </w:r>
      <w:r>
        <w:rPr>
          <w:rFonts w:hint="eastAsia" w:ascii="Times New Roman" w:hAnsi="Times New Roman"/>
          <w:bCs/>
          <w:sz w:val="24"/>
        </w:rPr>
        <w:t>只股票，</w:t>
      </w:r>
      <w:r>
        <w:rPr>
          <w:rFonts w:ascii="Times New Roman" w:hAnsi="Times New Roman"/>
          <w:bCs/>
          <w:sz w:val="24"/>
        </w:rPr>
        <w:t>n</w:t>
      </w:r>
      <w:r>
        <w:rPr>
          <w:rFonts w:hint="eastAsia" w:ascii="Times New Roman" w:hAnsi="Times New Roman"/>
          <w:bCs/>
          <w:sz w:val="24"/>
        </w:rPr>
        <w:t>代表投资人提交的股票总只数。如投资人仅提交了</w:t>
      </w:r>
      <w:r>
        <w:rPr>
          <w:rFonts w:ascii="Times New Roman" w:hAnsi="Times New Roman"/>
          <w:bCs/>
          <w:sz w:val="24"/>
        </w:rPr>
        <w:t>1</w:t>
      </w:r>
      <w:r>
        <w:rPr>
          <w:rFonts w:hint="eastAsia" w:ascii="Times New Roman" w:hAnsi="Times New Roman"/>
          <w:bCs/>
          <w:sz w:val="24"/>
        </w:rPr>
        <w:t>只股票的申请，则</w:t>
      </w:r>
      <w:r>
        <w:rPr>
          <w:rFonts w:ascii="Times New Roman" w:hAnsi="Times New Roman"/>
          <w:bCs/>
          <w:sz w:val="24"/>
        </w:rPr>
        <w:t>n</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）“第</w:t>
      </w:r>
      <w:r>
        <w:rPr>
          <w:rFonts w:ascii="Times New Roman" w:hAnsi="Times New Roman"/>
          <w:bCs/>
          <w:sz w:val="24"/>
        </w:rPr>
        <w:t>i</w:t>
      </w:r>
      <w:r>
        <w:rPr>
          <w:rFonts w:hint="eastAsia" w:ascii="Times New Roman" w:hAnsi="Times New Roman"/>
          <w:bCs/>
          <w:sz w:val="24"/>
        </w:rPr>
        <w:t>只股票在网下股票认购期最后一日的均价”由基金管理人根据证券交易所的当日行情数据，以该股票的总成交金额除以总成交股数计算，以四舍五入的方法保留小数点后两位。若该股票在当日停牌或无成交，则以同样方法计算最近一个交易日的均价作为计算价格。</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若某一股票在网下股票认购期最后一日至登记机构进行股票过户日的冻结期间发生除息、送股（转增）、配股等权益变动，则由于投资人获得了相应的权益，基金管理人将按如下方式对该股票在网下股票认购期最后一日的均价进行调整：</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）除息：调整后的价格＝网下股票认购期最后一日的均价－每股现金股利或股息</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）送股：调整后的价格＝网下股票认购期最后一日的均价</w:t>
      </w:r>
      <w:r>
        <w:rPr>
          <w:rFonts w:ascii="Times New Roman" w:hAnsi="Times New Roman"/>
          <w:bCs/>
          <w:sz w:val="24"/>
        </w:rPr>
        <w:t>/</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＋每股送股比例）</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）配股：调整后的价格＝（网下股票认购期最后一日的均价＋配股价×配股比例）</w:t>
      </w:r>
      <w:r>
        <w:rPr>
          <w:rFonts w:ascii="Times New Roman" w:hAnsi="Times New Roman"/>
          <w:bCs/>
          <w:sz w:val="24"/>
        </w:rPr>
        <w:t>/</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＋每股配股比例）</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）送股且配股：调整后的价格＝（网下股票认购期最后一日的均价＋配股价×配股比例）</w:t>
      </w:r>
      <w:r>
        <w:rPr>
          <w:rFonts w:ascii="Times New Roman" w:hAnsi="Times New Roman"/>
          <w:bCs/>
          <w:sz w:val="24"/>
        </w:rPr>
        <w:t>/</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＋每股配股比例＋每股送股比例）</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5</w:t>
      </w:r>
      <w:r>
        <w:rPr>
          <w:rFonts w:hint="eastAsia" w:ascii="Times New Roman" w:hAnsi="Times New Roman"/>
          <w:bCs/>
          <w:sz w:val="24"/>
        </w:rPr>
        <w:t>）除息且送股：调整后的价格＝（网下股票认购期最后一日的均价－每股现金股利或股息）</w:t>
      </w:r>
      <w:r>
        <w:rPr>
          <w:rFonts w:ascii="Times New Roman" w:hAnsi="Times New Roman"/>
          <w:bCs/>
          <w:sz w:val="24"/>
        </w:rPr>
        <w:t>/</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＋每股送股比例）</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6</w:t>
      </w:r>
      <w:r>
        <w:rPr>
          <w:rFonts w:hint="eastAsia" w:ascii="Times New Roman" w:hAnsi="Times New Roman"/>
          <w:bCs/>
          <w:sz w:val="24"/>
        </w:rPr>
        <w:t>）除息且配股：调整后的价格＝（网下股票认购期最后一日的均价＋配股价×配股比例－每股现金股利或股息）</w:t>
      </w:r>
      <w:r>
        <w:rPr>
          <w:rFonts w:ascii="Times New Roman" w:hAnsi="Times New Roman"/>
          <w:bCs/>
          <w:sz w:val="24"/>
        </w:rPr>
        <w:t>/</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＋每股配股比例）</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7</w:t>
      </w:r>
      <w:r>
        <w:rPr>
          <w:rFonts w:hint="eastAsia" w:ascii="Times New Roman" w:hAnsi="Times New Roman"/>
          <w:bCs/>
          <w:sz w:val="24"/>
        </w:rPr>
        <w:t>）除息、送股且配股：调整后的价格＝（网下股票认购期最后一日的均价＋配股价×配股比例－每股现金股利或股息）</w:t>
      </w:r>
      <w:r>
        <w:rPr>
          <w:rFonts w:ascii="Times New Roman" w:hAnsi="Times New Roman"/>
          <w:bCs/>
          <w:sz w:val="24"/>
        </w:rPr>
        <w:t>/</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＋每股配股比例＋每股送股比例）</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3</w:t>
      </w:r>
      <w:r>
        <w:rPr>
          <w:rFonts w:hint="eastAsia" w:ascii="Times New Roman" w:hAnsi="Times New Roman"/>
          <w:bCs/>
          <w:sz w:val="24"/>
        </w:rPr>
        <w:t>）“有效认购数量”是指由基金管理人确认的并由登记机构完成清算交收的股票股数。其中：</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）对于经公告限制认购规模的个股，基金管理人可确认的认购数量上限的计算方式详见届时相关公告。</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如果投资人申报的个股认购数量总额大于基金管理人可确认的认购数量上限，则按照各投资人的认购申报数量同比例确认。对于基金管理人未确认的认购股票，登记机构将不办理股票的过户业务。</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）若某一股票在网下股票认购期最后一日至登记机构进行股票过户日的冻结期间发生司法执行，基金管理人将根据登记机构确认的实际过户数据对投资人的有效认购数量进行相应调整。</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7</w:t>
      </w:r>
      <w:r>
        <w:rPr>
          <w:rFonts w:hint="eastAsia" w:ascii="Times New Roman" w:hAnsi="Times New Roman"/>
          <w:bCs/>
          <w:sz w:val="24"/>
        </w:rPr>
        <w:t>、认购佣金由发售代理机构在投资者认购确认时收取，在发售代理机构允许的条件下，投资者可选择以现金或基金份额的方式支付认购佣金。</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）投资者选择以现金方式支付认购佣金，则需支付的认购佣金按以下公式计算：</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认购佣金＝认购价格×认购份额×佣金比率</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（或若适用固定费用的，认购佣金</w:t>
      </w:r>
      <w:r>
        <w:rPr>
          <w:rFonts w:ascii="Times New Roman" w:hAnsi="Times New Roman"/>
          <w:bCs/>
          <w:sz w:val="24"/>
        </w:rPr>
        <w:t>=</w:t>
      </w:r>
      <w:r>
        <w:rPr>
          <w:rFonts w:hint="eastAsia" w:ascii="Times New Roman" w:hAnsi="Times New Roman"/>
          <w:bCs/>
          <w:sz w:val="24"/>
        </w:rPr>
        <w:t>固定费用）</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净认购份额</w:t>
      </w:r>
      <w:r>
        <w:rPr>
          <w:rFonts w:ascii="Times New Roman" w:hAnsi="Times New Roman"/>
          <w:bCs/>
          <w:sz w:val="24"/>
        </w:rPr>
        <w:t>=</w:t>
      </w:r>
      <w:r>
        <w:rPr>
          <w:rFonts w:hint="eastAsia" w:ascii="Times New Roman" w:hAnsi="Times New Roman"/>
          <w:bCs/>
          <w:sz w:val="24"/>
        </w:rPr>
        <w:t>认购份额</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投资者选择以基金份额方式支付佣金的，基金管理人根据发售代理机构提供的数据计算投资者应以基金份额方式支付的佣金，并从投资者的认购份额中扣除，为发售代理机构增加相应的基金份额。以基金份额支付佣金，则认购佣金和可得到的基金份额按以下公式计算：</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认购佣金＝认购价格×认购份额</w:t>
      </w:r>
      <w:r>
        <w:rPr>
          <w:rFonts w:ascii="Times New Roman" w:hAnsi="Times New Roman"/>
          <w:bCs/>
          <w:sz w:val="24"/>
        </w:rPr>
        <w:t>/</w:t>
      </w: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佣金比率）×佣金比率</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（或若适用固定费用的，认购佣金</w:t>
      </w:r>
      <w:r>
        <w:rPr>
          <w:rFonts w:ascii="Times New Roman" w:hAnsi="Times New Roman"/>
          <w:bCs/>
          <w:sz w:val="24"/>
        </w:rPr>
        <w:t>=</w:t>
      </w:r>
      <w:r>
        <w:rPr>
          <w:rFonts w:hint="eastAsia" w:ascii="Times New Roman" w:hAnsi="Times New Roman"/>
          <w:bCs/>
          <w:sz w:val="24"/>
        </w:rPr>
        <w:t>固定费用）</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净认购份额＝认购份额－认购佣金</w:t>
      </w:r>
      <w:r>
        <w:rPr>
          <w:rFonts w:ascii="Times New Roman" w:hAnsi="Times New Roman"/>
          <w:bCs/>
          <w:sz w:val="24"/>
        </w:rPr>
        <w:t>/</w:t>
      </w:r>
      <w:r>
        <w:rPr>
          <w:rFonts w:hint="eastAsia" w:ascii="Times New Roman" w:hAnsi="Times New Roman"/>
          <w:bCs/>
          <w:sz w:val="24"/>
        </w:rPr>
        <w:t>基金份额发售面值</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8</w:t>
      </w:r>
      <w:r>
        <w:rPr>
          <w:rFonts w:hint="eastAsia" w:ascii="Times New Roman" w:hAnsi="Times New Roman"/>
          <w:bCs/>
          <w:sz w:val="24"/>
        </w:rPr>
        <w:t>、特别提示：投资人应根据法律法规及证券交易所相关规定进行股票认购，并及时履行因股票认购导致的股份减持所涉及的信息披露等义务；对于认购期间分红派息等权益变动的处理以登记机构业务规则为准。</w:t>
      </w:r>
    </w:p>
    <w:p>
      <w:pPr>
        <w:pStyle w:val="3"/>
        <w:adjustRightInd w:val="0"/>
        <w:snapToGrid w:val="0"/>
        <w:spacing w:before="0" w:after="0" w:line="360" w:lineRule="auto"/>
        <w:ind w:firstLine="482" w:firstLineChars="200"/>
        <w:rPr>
          <w:rFonts w:ascii="Times New Roman" w:hAnsi="Times New Roman"/>
          <w:bCs w:val="0"/>
          <w:sz w:val="24"/>
          <w:szCs w:val="24"/>
        </w:rPr>
      </w:pPr>
      <w:bookmarkStart w:id="19" w:name="_Toc208562022"/>
      <w:r>
        <w:rPr>
          <w:rFonts w:hint="eastAsia" w:ascii="Times New Roman" w:hAnsi="Times New Roman"/>
          <w:bCs w:val="0"/>
          <w:sz w:val="24"/>
          <w:szCs w:val="24"/>
        </w:rPr>
        <w:t>（十四）募集资金利息与募集股票权益的处理方式</w:t>
      </w:r>
      <w:bookmarkEnd w:id="19"/>
    </w:p>
    <w:p>
      <w:pPr>
        <w:adjustRightInd w:val="0"/>
        <w:snapToGrid w:val="0"/>
        <w:spacing w:line="360" w:lineRule="auto"/>
        <w:ind w:firstLine="480" w:firstLineChars="200"/>
        <w:rPr>
          <w:rFonts w:ascii="Times New Roman" w:hAnsi="Times New Roman"/>
          <w:bCs/>
          <w:color w:val="000000"/>
          <w:sz w:val="24"/>
        </w:rPr>
      </w:pPr>
      <w:r>
        <w:rPr>
          <w:rFonts w:hint="eastAsia" w:ascii="Times New Roman" w:hAnsi="Times New Roman"/>
          <w:bCs/>
          <w:color w:val="000000"/>
          <w:sz w:val="24"/>
        </w:rPr>
        <w:t>通过基金管理人进行网下现金认购的有效认购资金在募集期间产生的利息，</w:t>
      </w:r>
      <w:r>
        <w:rPr>
          <w:rFonts w:ascii="Times New Roman" w:hAnsi="Times New Roman"/>
          <w:bCs/>
          <w:color w:val="000000"/>
          <w:sz w:val="24"/>
        </w:rPr>
        <w:t xml:space="preserve"> </w:t>
      </w:r>
      <w:r>
        <w:rPr>
          <w:rFonts w:hint="eastAsia" w:ascii="Times New Roman" w:hAnsi="Times New Roman"/>
          <w:bCs/>
          <w:color w:val="000000"/>
          <w:sz w:val="24"/>
        </w:rPr>
        <w:t>将折算为基金份额归投资人所有，其中利息转份额以基金管理人的记录为准；网上现金认购和通过发售代理机构进行网下现金认购的有效认购资金在登记机构清算交收后至划入基金托管专户前产生的利息，计入基金财产，不折算为投资人基金份额。投资人以股票认购的，认购股票由相关机构予以冻结，该股票自认购日至登记机构进行股票过户日的冻结期间所产生的权益归属依据相关规则办理。</w:t>
      </w:r>
    </w:p>
    <w:p>
      <w:pPr>
        <w:pStyle w:val="3"/>
        <w:adjustRightInd w:val="0"/>
        <w:snapToGrid w:val="0"/>
        <w:spacing w:before="0" w:after="0" w:line="360" w:lineRule="auto"/>
        <w:ind w:firstLine="482" w:firstLineChars="200"/>
        <w:rPr>
          <w:rFonts w:ascii="Times New Roman" w:hAnsi="Times New Roman"/>
          <w:bCs w:val="0"/>
          <w:sz w:val="24"/>
          <w:szCs w:val="24"/>
        </w:rPr>
      </w:pPr>
      <w:bookmarkStart w:id="20" w:name="_Toc208562023"/>
      <w:r>
        <w:rPr>
          <w:rFonts w:hint="eastAsia" w:ascii="Times New Roman" w:hAnsi="Times New Roman"/>
          <w:bCs w:val="0"/>
          <w:sz w:val="24"/>
          <w:szCs w:val="24"/>
        </w:rPr>
        <w:t>（十五）募集期间的资金、股票与费用</w:t>
      </w:r>
      <w:bookmarkEnd w:id="20"/>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基金募集期间募集的资金存入专门账户，在基金募集行为结束前，任何人不得动用。募集的股票按照交易所和登记机构的规则和流程办理股票的冻结和过户。</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基金募集期间的信息披露费、会计师费、律师费以及其他费用，不得从基金财产中列支。</w:t>
      </w:r>
      <w:bookmarkStart w:id="21" w:name="_Hlt88031774"/>
      <w:bookmarkEnd w:id="21"/>
    </w:p>
    <w:p>
      <w:pPr>
        <w:adjustRightInd w:val="0"/>
        <w:snapToGrid w:val="0"/>
        <w:spacing w:line="360" w:lineRule="auto"/>
        <w:ind w:firstLine="482" w:firstLineChars="200"/>
        <w:rPr>
          <w:rFonts w:ascii="Times New Roman" w:hAnsi="Times New Roman"/>
          <w:b/>
          <w:bCs/>
          <w:sz w:val="24"/>
        </w:rPr>
      </w:pPr>
      <w:r>
        <w:rPr>
          <w:rFonts w:hint="eastAsia" w:ascii="Times New Roman" w:hAnsi="Times New Roman"/>
          <w:b/>
          <w:bCs/>
          <w:sz w:val="24"/>
        </w:rPr>
        <w:t>（十六）发行联接基金、增设新的份额类别或开通场外申购、赎回等相关业务</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在不违反法律法规、基金合同规定及对基金份额持有人利益无实质性不利影响的前提下，基金管理人可根据基金发展需要，募集并管理以本基金为目标ETF的联接基金，或为本基金增设新的份额类别，或开通场外申购、赎回等相关业务并制定、公布相应的交易规则等，而无需召开基金份额持有人大会审议。</w:t>
      </w:r>
    </w:p>
    <w:bookmarkEnd w:id="9"/>
    <w:p>
      <w:pPr>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22" w:name="_Toc208562024"/>
      <w:r>
        <w:rPr>
          <w:rFonts w:ascii="Times New Roman" w:hAnsi="Times New Roman"/>
          <w:sz w:val="30"/>
        </w:rPr>
        <w:t>七、基金合同的生效</w:t>
      </w:r>
      <w:bookmarkEnd w:id="22"/>
    </w:p>
    <w:p>
      <w:pPr>
        <w:pStyle w:val="6"/>
        <w:autoSpaceDE w:val="0"/>
        <w:autoSpaceDN w:val="0"/>
        <w:adjustRightInd w:val="0"/>
        <w:snapToGrid w:val="0"/>
        <w:spacing w:line="360" w:lineRule="auto"/>
        <w:ind w:firstLine="482"/>
        <w:outlineLvl w:val="1"/>
        <w:rPr>
          <w:b/>
          <w:sz w:val="24"/>
        </w:rPr>
      </w:pPr>
      <w:bookmarkStart w:id="23" w:name="_Toc15118260"/>
      <w:bookmarkStart w:id="24" w:name="_Toc79392603"/>
      <w:bookmarkStart w:id="25" w:name="_Toc57530272"/>
      <w:r>
        <w:rPr>
          <w:b/>
          <w:sz w:val="24"/>
        </w:rPr>
        <w:t>（一）基金备案的条件</w:t>
      </w:r>
    </w:p>
    <w:p>
      <w:pPr>
        <w:pStyle w:val="6"/>
        <w:autoSpaceDE w:val="0"/>
        <w:autoSpaceDN w:val="0"/>
        <w:adjustRightInd w:val="0"/>
        <w:snapToGrid w:val="0"/>
        <w:spacing w:line="360" w:lineRule="auto"/>
        <w:ind w:firstLine="480"/>
        <w:rPr>
          <w:sz w:val="24"/>
        </w:rPr>
      </w:pPr>
      <w:r>
        <w:rPr>
          <w:rFonts w:hint="eastAsia"/>
          <w:sz w:val="24"/>
        </w:rPr>
        <w:t>本基金自基金份额发售之日起</w:t>
      </w:r>
      <w:r>
        <w:rPr>
          <w:sz w:val="24"/>
        </w:rPr>
        <w:t>3</w:t>
      </w:r>
      <w:r>
        <w:rPr>
          <w:rFonts w:hint="eastAsia"/>
          <w:sz w:val="24"/>
        </w:rPr>
        <w:t>个月内，在基金募集份额总额不少于</w:t>
      </w:r>
      <w:r>
        <w:rPr>
          <w:sz w:val="24"/>
        </w:rPr>
        <w:t>2</w:t>
      </w:r>
      <w:r>
        <w:rPr>
          <w:rFonts w:hint="eastAsia"/>
          <w:sz w:val="24"/>
        </w:rPr>
        <w:t>亿份，基金募集金额（含网下股票认购所募集的股票市值）不少于</w:t>
      </w:r>
      <w:r>
        <w:rPr>
          <w:sz w:val="24"/>
        </w:rPr>
        <w:t>2</w:t>
      </w:r>
      <w:r>
        <w:rPr>
          <w:rFonts w:hint="eastAsia"/>
          <w:sz w:val="24"/>
        </w:rPr>
        <w:t>亿元人民币且基金认购人数不少于</w:t>
      </w:r>
      <w:r>
        <w:rPr>
          <w:sz w:val="24"/>
        </w:rPr>
        <w:t>200</w:t>
      </w:r>
      <w:r>
        <w:rPr>
          <w:rFonts w:hint="eastAsia"/>
          <w:sz w:val="24"/>
        </w:rPr>
        <w:t>人的条件下，基金募集期届满或基金管理人依据法律法规及招募说明书可以决定停止基金发售，并在</w:t>
      </w:r>
      <w:r>
        <w:rPr>
          <w:sz w:val="24"/>
        </w:rPr>
        <w:t>10</w:t>
      </w:r>
      <w:r>
        <w:rPr>
          <w:rFonts w:hint="eastAsia"/>
          <w:sz w:val="24"/>
        </w:rPr>
        <w:t>日内聘请法定验资机构验资，自收到验资报告之日起</w:t>
      </w:r>
      <w:r>
        <w:rPr>
          <w:sz w:val="24"/>
        </w:rPr>
        <w:t>10</w:t>
      </w:r>
      <w:r>
        <w:rPr>
          <w:rFonts w:hint="eastAsia"/>
          <w:sz w:val="24"/>
        </w:rPr>
        <w:t>日内，向中国证监会办理基金备案手续。</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r>
        <w:rPr>
          <w:bCs/>
          <w:sz w:val="24"/>
        </w:rPr>
        <w:t>网下股票认购募集的股票由</w:t>
      </w:r>
      <w:r>
        <w:rPr>
          <w:rFonts w:hint="eastAsia"/>
          <w:bCs/>
          <w:sz w:val="24"/>
        </w:rPr>
        <w:t>相关</w:t>
      </w:r>
      <w:r>
        <w:rPr>
          <w:bCs/>
          <w:sz w:val="24"/>
        </w:rPr>
        <w:t>机构予以冻结。</w:t>
      </w:r>
    </w:p>
    <w:p>
      <w:pPr>
        <w:adjustRightInd w:val="0"/>
        <w:snapToGrid w:val="0"/>
        <w:spacing w:line="360" w:lineRule="auto"/>
        <w:ind w:firstLine="482" w:firstLineChars="200"/>
        <w:outlineLvl w:val="1"/>
        <w:rPr>
          <w:rFonts w:ascii="Times New Roman" w:hAnsi="Times New Roman"/>
          <w:bCs/>
          <w:sz w:val="24"/>
        </w:rPr>
      </w:pPr>
      <w:r>
        <w:rPr>
          <w:rFonts w:ascii="Times New Roman" w:hAnsi="Times New Roman"/>
          <w:b/>
          <w:sz w:val="24"/>
        </w:rPr>
        <w:t>（二）</w:t>
      </w:r>
      <w:r>
        <w:rPr>
          <w:rFonts w:hint="eastAsia" w:ascii="Times New Roman" w:hAnsi="Times New Roman"/>
          <w:b/>
          <w:bCs/>
          <w:sz w:val="24"/>
        </w:rPr>
        <w:t>基金合同不能生效时募集资金及股票的处理方式</w:t>
      </w:r>
    </w:p>
    <w:p>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如果募集期限届满，未满足基金备案条件，基金管理人应当承担下列责任：</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、以其固有财产承担因募集行为而产生的债务和费用；</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、在基金募集期限届满后</w:t>
      </w:r>
      <w:r>
        <w:rPr>
          <w:rFonts w:ascii="Times New Roman" w:hAnsi="Times New Roman"/>
          <w:sz w:val="24"/>
        </w:rPr>
        <w:t>30</w:t>
      </w:r>
      <w:r>
        <w:rPr>
          <w:rFonts w:hint="eastAsia" w:ascii="Times New Roman" w:hAnsi="Times New Roman"/>
          <w:sz w:val="24"/>
        </w:rPr>
        <w:t>日内返还投资者已缴纳的款项，并加计银行同期活期存款利息；对于基金募集期间网下股票认购所募集的股票，应予以解冻，基金管理人不承担相关股票冻结期间交易价格波动的责任；</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、如基金募集失败，基金管理人、基金托管人及销售机构不得请求报酬。基金管理人、基金托管人和</w:t>
      </w:r>
      <w:r>
        <w:rPr>
          <w:rFonts w:hint="eastAsia" w:ascii="Times New Roman" w:hAnsi="Times New Roman"/>
          <w:bCs/>
          <w:sz w:val="24"/>
        </w:rPr>
        <w:t>销售</w:t>
      </w:r>
      <w:r>
        <w:rPr>
          <w:bCs/>
          <w:sz w:val="24"/>
        </w:rPr>
        <w:t>机构</w:t>
      </w:r>
      <w:r>
        <w:rPr>
          <w:rFonts w:hint="eastAsia" w:ascii="Times New Roman" w:hAnsi="Times New Roman"/>
          <w:sz w:val="24"/>
        </w:rPr>
        <w:t>为基金募集支付之一切费用应由各方各自承担。</w:t>
      </w:r>
    </w:p>
    <w:p>
      <w:pPr>
        <w:adjustRightInd w:val="0"/>
        <w:snapToGrid w:val="0"/>
        <w:spacing w:line="360" w:lineRule="auto"/>
        <w:ind w:firstLine="482" w:firstLineChars="200"/>
        <w:outlineLvl w:val="1"/>
        <w:rPr>
          <w:rFonts w:ascii="Times New Roman" w:hAnsi="Times New Roman"/>
          <w:b/>
          <w:sz w:val="24"/>
        </w:rPr>
      </w:pPr>
      <w:r>
        <w:rPr>
          <w:rFonts w:ascii="Times New Roman" w:hAnsi="Times New Roman"/>
          <w:b/>
          <w:sz w:val="24"/>
        </w:rPr>
        <w:t>（三）基金存续期内的基金份额持有人数量和资产规模</w:t>
      </w:r>
    </w:p>
    <w:bookmarkEnd w:id="23"/>
    <w:bookmarkEnd w:id="24"/>
    <w:bookmarkEnd w:id="25"/>
    <w:p>
      <w:pPr>
        <w:widowControl/>
        <w:adjustRightInd w:val="0"/>
        <w:snapToGrid w:val="0"/>
        <w:spacing w:line="360" w:lineRule="auto"/>
        <w:ind w:firstLine="482"/>
        <w:rPr>
          <w:rFonts w:ascii="Times New Roman" w:hAnsi="Times New Roman"/>
          <w:kern w:val="0"/>
          <w:sz w:val="24"/>
          <w:szCs w:val="24"/>
        </w:rPr>
      </w:pPr>
      <w:r>
        <w:rPr>
          <w:rFonts w:hint="eastAsia" w:ascii="Times New Roman" w:hAnsi="Times New Roman"/>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pPr>
        <w:widowControl/>
        <w:adjustRightInd w:val="0"/>
        <w:snapToGrid w:val="0"/>
        <w:spacing w:line="360" w:lineRule="auto"/>
        <w:ind w:firstLine="482"/>
        <w:rPr>
          <w:rFonts w:ascii="Times New Roman" w:hAnsi="Times New Roman"/>
          <w:b/>
          <w:bCs/>
          <w:kern w:val="44"/>
          <w:sz w:val="30"/>
          <w:szCs w:val="44"/>
        </w:rPr>
      </w:pPr>
      <w:r>
        <w:rPr>
          <w:rFonts w:hint="eastAsia" w:ascii="Times New Roman" w:hAnsi="Times New Roman"/>
          <w:kern w:val="0"/>
          <w:sz w:val="24"/>
          <w:szCs w:val="24"/>
        </w:rPr>
        <w:t>法律法规或中国证监会另有规定时，从其规定。</w:t>
      </w:r>
    </w:p>
    <w:p>
      <w:pPr>
        <w:pStyle w:val="2"/>
        <w:spacing w:before="240" w:after="240"/>
        <w:rPr>
          <w:rFonts w:ascii="Times New Roman"/>
          <w:sz w:val="30"/>
          <w:szCs w:val="30"/>
        </w:rPr>
      </w:pPr>
      <w:bookmarkStart w:id="26" w:name="_Toc125748907"/>
      <w:bookmarkStart w:id="27" w:name="_Toc208562025"/>
      <w:r>
        <w:rPr>
          <w:rFonts w:hint="eastAsia" w:ascii="Times New Roman"/>
          <w:sz w:val="30"/>
        </w:rPr>
        <w:t>八、</w:t>
      </w:r>
      <w:r>
        <w:rPr>
          <w:rFonts w:ascii="Times New Roman"/>
          <w:sz w:val="30"/>
        </w:rPr>
        <w:t>基金份额折算与变更登记</w:t>
      </w:r>
      <w:bookmarkEnd w:id="26"/>
      <w:bookmarkEnd w:id="27"/>
    </w:p>
    <w:p>
      <w:pPr>
        <w:spacing w:line="360" w:lineRule="auto"/>
      </w:pPr>
    </w:p>
    <w:p>
      <w:pPr>
        <w:spacing w:line="360" w:lineRule="auto"/>
        <w:ind w:firstLine="480" w:firstLineChars="200"/>
        <w:rPr>
          <w:sz w:val="24"/>
          <w:szCs w:val="24"/>
        </w:rPr>
      </w:pPr>
      <w:r>
        <w:rPr>
          <w:sz w:val="24"/>
          <w:szCs w:val="24"/>
        </w:rPr>
        <w:t>基金合同生效后，本基金可以进行</w:t>
      </w:r>
      <w:r>
        <w:rPr>
          <w:rFonts w:hint="eastAsia"/>
          <w:sz w:val="24"/>
          <w:szCs w:val="24"/>
        </w:rPr>
        <w:t>基金</w:t>
      </w:r>
      <w:r>
        <w:rPr>
          <w:sz w:val="24"/>
          <w:szCs w:val="24"/>
        </w:rPr>
        <w:t>份额折算。</w:t>
      </w:r>
    </w:p>
    <w:p>
      <w:pPr>
        <w:spacing w:line="360" w:lineRule="auto"/>
        <w:ind w:firstLine="482" w:firstLineChars="200"/>
        <w:rPr>
          <w:b/>
          <w:sz w:val="24"/>
          <w:szCs w:val="24"/>
        </w:rPr>
      </w:pPr>
      <w:r>
        <w:rPr>
          <w:rFonts w:hint="eastAsia"/>
          <w:b/>
          <w:sz w:val="24"/>
        </w:rPr>
        <w:t>（一）</w:t>
      </w:r>
      <w:r>
        <w:rPr>
          <w:rFonts w:hint="eastAsia"/>
          <w:b/>
          <w:sz w:val="24"/>
          <w:szCs w:val="24"/>
        </w:rPr>
        <w:t>基金份额折算的时间</w:t>
      </w:r>
    </w:p>
    <w:p>
      <w:pPr>
        <w:spacing w:line="360" w:lineRule="auto"/>
        <w:ind w:firstLine="480" w:firstLineChars="200"/>
        <w:rPr>
          <w:sz w:val="24"/>
          <w:szCs w:val="24"/>
        </w:rPr>
      </w:pPr>
      <w:r>
        <w:rPr>
          <w:sz w:val="24"/>
          <w:szCs w:val="24"/>
        </w:rPr>
        <w:t>基金管理人应事先确定基金份额折算基准日，并依照《信息披露办法》的有关规定进行公告。</w:t>
      </w:r>
    </w:p>
    <w:p>
      <w:pPr>
        <w:spacing w:line="360" w:lineRule="auto"/>
        <w:ind w:firstLine="482" w:firstLineChars="200"/>
        <w:rPr>
          <w:b/>
          <w:sz w:val="24"/>
          <w:szCs w:val="24"/>
        </w:rPr>
      </w:pPr>
      <w:r>
        <w:rPr>
          <w:rFonts w:hint="eastAsia"/>
          <w:b/>
          <w:sz w:val="24"/>
        </w:rPr>
        <w:t>（二）</w:t>
      </w:r>
      <w:r>
        <w:rPr>
          <w:rFonts w:hint="eastAsia"/>
          <w:b/>
          <w:sz w:val="24"/>
          <w:szCs w:val="24"/>
        </w:rPr>
        <w:t>基金份额折算的原则</w:t>
      </w:r>
    </w:p>
    <w:p>
      <w:pPr>
        <w:spacing w:line="360" w:lineRule="auto"/>
        <w:ind w:firstLine="480" w:firstLineChars="200"/>
        <w:rPr>
          <w:sz w:val="24"/>
          <w:szCs w:val="24"/>
        </w:rPr>
      </w:pPr>
      <w:r>
        <w:rPr>
          <w:sz w:val="24"/>
          <w:szCs w:val="24"/>
        </w:rPr>
        <w:t>基金份额折算由基金管理人向登记机构申请办理，并由登记机构进行基金份额的变更登记。</w:t>
      </w:r>
    </w:p>
    <w:p>
      <w:pPr>
        <w:spacing w:line="360" w:lineRule="auto"/>
        <w:ind w:firstLine="480" w:firstLineChars="200"/>
        <w:rPr>
          <w:sz w:val="24"/>
          <w:szCs w:val="24"/>
        </w:rPr>
      </w:pPr>
      <w:r>
        <w:rPr>
          <w:sz w:val="24"/>
          <w:szCs w:val="24"/>
        </w:rPr>
        <w:t>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w:t>
      </w:r>
      <w:r>
        <w:rPr>
          <w:rFonts w:hint="eastAsia"/>
          <w:sz w:val="24"/>
          <w:szCs w:val="24"/>
        </w:rPr>
        <w:t>（因尾数处理而产生的损益不视为实质性影响），无需召开基金份额持有人大会审议</w:t>
      </w:r>
      <w:r>
        <w:rPr>
          <w:sz w:val="24"/>
          <w:szCs w:val="24"/>
        </w:rPr>
        <w:t>。基金份额折算后，基金份额持有人将按照折算后的基金份额享有权利并承担义务。</w:t>
      </w:r>
      <w:r>
        <w:rPr>
          <w:rFonts w:hint="eastAsia"/>
          <w:sz w:val="24"/>
          <w:szCs w:val="24"/>
        </w:rPr>
        <w:t>如未来本基金增加基金份额的类别，基金管理人在实施基金份额折算时，可对全部基金份额类别进行折算，也可根据需要只对其中部分类别的基金份额进行折算。</w:t>
      </w:r>
    </w:p>
    <w:p>
      <w:pPr>
        <w:spacing w:line="360" w:lineRule="auto"/>
        <w:ind w:firstLine="480" w:firstLineChars="200"/>
        <w:rPr>
          <w:sz w:val="24"/>
          <w:szCs w:val="24"/>
        </w:rPr>
      </w:pPr>
      <w:r>
        <w:rPr>
          <w:sz w:val="24"/>
          <w:szCs w:val="24"/>
        </w:rPr>
        <w:t>如果基金份额折算过程中发生不可抗力或登记机构遇特殊情况无法办理，基金管理人可延迟办理基金份额折算。</w:t>
      </w:r>
    </w:p>
    <w:p>
      <w:pPr>
        <w:spacing w:line="360" w:lineRule="auto"/>
        <w:ind w:firstLine="482" w:firstLineChars="200"/>
        <w:rPr>
          <w:b/>
          <w:sz w:val="24"/>
          <w:szCs w:val="24"/>
        </w:rPr>
      </w:pPr>
      <w:r>
        <w:rPr>
          <w:rFonts w:hint="eastAsia"/>
          <w:b/>
          <w:sz w:val="24"/>
          <w:szCs w:val="24"/>
        </w:rPr>
        <w:t>（三）基金份额折算的方法</w:t>
      </w:r>
    </w:p>
    <w:p>
      <w:pPr>
        <w:spacing w:line="360" w:lineRule="auto"/>
        <w:ind w:firstLine="480" w:firstLineChars="200"/>
        <w:rPr>
          <w:sz w:val="24"/>
          <w:szCs w:val="24"/>
        </w:rPr>
      </w:pPr>
      <w:r>
        <w:rPr>
          <w:sz w:val="24"/>
          <w:szCs w:val="24"/>
        </w:rPr>
        <w:t>基金份额折算的具体方法在份额折算公告中列示。</w:t>
      </w:r>
    </w:p>
    <w:p>
      <w:pPr>
        <w:pStyle w:val="2"/>
        <w:spacing w:before="240" w:after="240"/>
        <w:rPr>
          <w:szCs w:val="24"/>
        </w:rPr>
      </w:pPr>
      <w:r>
        <w:rPr>
          <w:szCs w:val="24"/>
        </w:rPr>
        <w:br w:type="page"/>
      </w:r>
      <w:bookmarkStart w:id="28" w:name="_Toc125748908"/>
      <w:bookmarkStart w:id="29" w:name="_Toc208562026"/>
      <w:r>
        <w:rPr>
          <w:rFonts w:hint="eastAsia"/>
          <w:szCs w:val="24"/>
        </w:rPr>
        <w:t>九、</w:t>
      </w:r>
      <w:r>
        <w:rPr>
          <w:rFonts w:ascii="Times New Roman"/>
          <w:sz w:val="30"/>
        </w:rPr>
        <w:t>基金份额的上市交易</w:t>
      </w:r>
      <w:bookmarkEnd w:id="28"/>
      <w:bookmarkEnd w:id="29"/>
    </w:p>
    <w:p>
      <w:pPr>
        <w:spacing w:line="360" w:lineRule="auto"/>
        <w:rPr>
          <w:sz w:val="24"/>
          <w:szCs w:val="24"/>
        </w:rPr>
      </w:pP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（一）基金份额上市</w:t>
      </w:r>
    </w:p>
    <w:p>
      <w:pPr>
        <w:spacing w:line="360" w:lineRule="auto"/>
        <w:ind w:firstLine="480"/>
        <w:rPr>
          <w:rFonts w:ascii="Times New Roman" w:hAnsi="Times New Roman"/>
          <w:sz w:val="24"/>
          <w:szCs w:val="24"/>
        </w:rPr>
      </w:pPr>
      <w:r>
        <w:rPr>
          <w:rFonts w:hint="eastAsia" w:ascii="Times New Roman" w:hAnsi="Times New Roman"/>
          <w:sz w:val="24"/>
          <w:szCs w:val="24"/>
        </w:rPr>
        <w:t>基金合同生效后，本基金具备下列条件的，基金管理人可依据《上海证券交易所证券投资基金上市规则》向上海证券交易所申请基金份额上市：</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、基金场内资产净值不少于</w:t>
      </w:r>
      <w:r>
        <w:rPr>
          <w:rFonts w:ascii="Times New Roman" w:hAnsi="Times New Roman"/>
          <w:sz w:val="24"/>
          <w:szCs w:val="24"/>
        </w:rPr>
        <w:t>2</w:t>
      </w:r>
      <w:r>
        <w:rPr>
          <w:rFonts w:hint="eastAsia" w:ascii="Times New Roman" w:hAnsi="Times New Roman"/>
          <w:sz w:val="24"/>
          <w:szCs w:val="24"/>
        </w:rPr>
        <w:t>亿元；</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、基金场内份额持有人不少于</w:t>
      </w:r>
      <w:r>
        <w:rPr>
          <w:rFonts w:ascii="Times New Roman" w:hAnsi="Times New Roman"/>
          <w:sz w:val="24"/>
          <w:szCs w:val="24"/>
        </w:rPr>
        <w:t>1000</w:t>
      </w:r>
      <w:r>
        <w:rPr>
          <w:rFonts w:hint="eastAsia" w:ascii="Times New Roman" w:hAnsi="Times New Roman"/>
          <w:sz w:val="24"/>
          <w:szCs w:val="24"/>
        </w:rPr>
        <w:t>人；</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、法律法规及上海证券交易所规定的其他条件。</w:t>
      </w:r>
    </w:p>
    <w:p>
      <w:pPr>
        <w:spacing w:line="360" w:lineRule="auto"/>
        <w:ind w:firstLine="480"/>
        <w:rPr>
          <w:rFonts w:ascii="Times New Roman" w:hAnsi="Times New Roman"/>
          <w:b/>
          <w:sz w:val="24"/>
          <w:szCs w:val="24"/>
        </w:rPr>
      </w:pPr>
      <w:r>
        <w:rPr>
          <w:rFonts w:hint="eastAsia" w:ascii="Times New Roman" w:hAnsi="Times New Roman"/>
          <w:b/>
          <w:sz w:val="24"/>
          <w:szCs w:val="24"/>
        </w:rPr>
        <w:t>（二）基金份额的上市交易</w:t>
      </w:r>
    </w:p>
    <w:p>
      <w:pPr>
        <w:spacing w:line="360" w:lineRule="auto"/>
        <w:ind w:firstLine="480"/>
        <w:rPr>
          <w:rFonts w:ascii="Times New Roman" w:hAnsi="Times New Roman"/>
          <w:sz w:val="24"/>
          <w:szCs w:val="24"/>
        </w:rPr>
      </w:pPr>
      <w:r>
        <w:rPr>
          <w:rFonts w:hint="eastAsia" w:ascii="Times New Roman" w:hAnsi="Times New Roman"/>
          <w:sz w:val="24"/>
          <w:szCs w:val="24"/>
        </w:rPr>
        <w:t>本基金的基金份额在上海证券交易所的上市交易须遵照《上海证券交易所证券投资基金上市规则》、《上海证券交易所交易型开放式指数基金业务实施细则》以及《上海证券交易所交易规则》等有关规定。</w:t>
      </w:r>
    </w:p>
    <w:p>
      <w:pPr>
        <w:spacing w:line="360" w:lineRule="auto"/>
        <w:ind w:firstLine="480"/>
        <w:rPr>
          <w:rFonts w:ascii="Times New Roman" w:hAnsi="Times New Roman"/>
          <w:sz w:val="24"/>
          <w:szCs w:val="24"/>
        </w:rPr>
      </w:pPr>
      <w:r>
        <w:rPr>
          <w:rFonts w:hint="eastAsia" w:ascii="Times New Roman" w:hAnsi="Times New Roman"/>
          <w:sz w:val="24"/>
          <w:szCs w:val="24"/>
        </w:rPr>
        <w:t>（三）基金份额上市交易后，有下列情形之一的，上海证券交易所可终止基金的上市交易：</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、不再具备本部分第一条规定的上市条件；</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、基金合同终止；</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、基金份额持有人大会决定终止上市；</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、基金合同约定的终止上市的其他情形；</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、上海证券交易所认为应当终止上市的其他情形。</w:t>
      </w:r>
    </w:p>
    <w:p>
      <w:pPr>
        <w:spacing w:line="360" w:lineRule="auto"/>
        <w:ind w:firstLine="480"/>
        <w:rPr>
          <w:rFonts w:ascii="Times New Roman" w:hAnsi="Times New Roman"/>
          <w:sz w:val="24"/>
          <w:szCs w:val="24"/>
        </w:rPr>
      </w:pPr>
      <w:r>
        <w:rPr>
          <w:rFonts w:hint="eastAsia" w:ascii="Times New Roman" w:hAnsi="Times New Roman"/>
          <w:sz w:val="24"/>
          <w:szCs w:val="24"/>
        </w:rPr>
        <w:t>若因上述</w:t>
      </w: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4</w:t>
      </w:r>
      <w:r>
        <w:rPr>
          <w:rFonts w:hint="eastAsia" w:ascii="Times New Roman" w:hAnsi="Times New Roman"/>
          <w:sz w:val="24"/>
          <w:szCs w:val="24"/>
        </w:rPr>
        <w:t>、</w:t>
      </w:r>
      <w:r>
        <w:rPr>
          <w:rFonts w:ascii="Times New Roman" w:hAnsi="Times New Roman"/>
          <w:sz w:val="24"/>
          <w:szCs w:val="24"/>
        </w:rPr>
        <w:t>5</w:t>
      </w:r>
      <w:r>
        <w:rPr>
          <w:rFonts w:hint="eastAsia" w:ascii="Times New Roman" w:hAnsi="Times New Roman"/>
          <w:sz w:val="24"/>
          <w:szCs w:val="24"/>
        </w:rPr>
        <w:t>项等原因使本基金不再具备上市条件而被上海证券交易所终止上市的，本基金可在履行适当程序后由交易型开放式指数基金变更为跟踪同一标的指数的非上市的开放式指数基金，无需召开基金份额持有人大会审议。届时，基金管理人可变更本基金的登记机构、相应调整申购赎回业务规则、提前制定基金终止上市后场内份额的处理规则，具体安排见基金管理人届时发布的相关公告。若届时本基金管理人已有以该指数作为标的指数的指数基金，则本基金将本着维护基金份额持有人合法权益的原则，经履行相关程序后与该指数基金合并或者选取其他合适的指数作为标的指数。具体情况见基金管理人届时公告。</w:t>
      </w:r>
    </w:p>
    <w:p>
      <w:pPr>
        <w:spacing w:line="360" w:lineRule="auto"/>
        <w:ind w:firstLine="480"/>
        <w:rPr>
          <w:rFonts w:ascii="Times New Roman" w:hAnsi="Times New Roman"/>
          <w:b/>
          <w:sz w:val="24"/>
          <w:szCs w:val="24"/>
        </w:rPr>
      </w:pPr>
      <w:r>
        <w:rPr>
          <w:rFonts w:hint="eastAsia" w:ascii="Times New Roman" w:hAnsi="Times New Roman"/>
          <w:b/>
          <w:sz w:val="24"/>
          <w:szCs w:val="24"/>
        </w:rPr>
        <w:t>（四）基金份额参考净值的计算与公告</w:t>
      </w:r>
    </w:p>
    <w:p>
      <w:pPr>
        <w:spacing w:line="360" w:lineRule="auto"/>
        <w:ind w:firstLine="480"/>
        <w:rPr>
          <w:rFonts w:ascii="Times New Roman" w:hAnsi="Times New Roman"/>
          <w:sz w:val="24"/>
          <w:szCs w:val="24"/>
        </w:rPr>
      </w:pPr>
      <w:r>
        <w:rPr>
          <w:rFonts w:hint="eastAsia" w:ascii="Times New Roman" w:hAnsi="Times New Roman"/>
          <w:sz w:val="24"/>
          <w:szCs w:val="24"/>
        </w:rPr>
        <w:t>基金管理人在每一交易日开市前向上海证券交易所提供当日的申购赎回清单。本基金基金份额参考净值（</w:t>
      </w:r>
      <w:r>
        <w:rPr>
          <w:rFonts w:ascii="Times New Roman" w:hAnsi="Times New Roman"/>
          <w:sz w:val="24"/>
          <w:szCs w:val="24"/>
        </w:rPr>
        <w:t>IOPV</w:t>
      </w:r>
      <w:r>
        <w:rPr>
          <w:rFonts w:hint="eastAsia" w:ascii="Times New Roman" w:hAnsi="Times New Roman"/>
          <w:sz w:val="24"/>
          <w:szCs w:val="24"/>
        </w:rPr>
        <w:t>）由基金管理人或基金管理人委托的机构计算并通过上海证券交易所发布，仅供投资人交易、申购、赎回基金份额时参考。</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、基金份额参考净值的计算公式如下：</w:t>
      </w:r>
    </w:p>
    <w:p>
      <w:pPr>
        <w:spacing w:line="360" w:lineRule="auto"/>
        <w:ind w:firstLine="480"/>
        <w:rPr>
          <w:rFonts w:ascii="Times New Roman" w:hAnsi="Times New Roman"/>
          <w:sz w:val="24"/>
          <w:szCs w:val="24"/>
        </w:rPr>
      </w:pPr>
      <w:bookmarkStart w:id="30" w:name="_Hlk208059806"/>
      <w:r>
        <w:rPr>
          <w:rFonts w:hint="eastAsia"/>
          <w:sz w:val="24"/>
          <w:szCs w:val="24"/>
        </w:rPr>
        <w:t>基金份额参考净值＝（申购赎回清单中必须现金替代的替代金额＋申购赎回清单中可以现金替代成份证券的数量与最新成交价相乘之和＋申购赎回清单中禁止现金替代成份证券的数量与最新成交价相乘之和＋申购赎回清单中的预估现金部分）/最小申购、赎回单位对应的基金份额</w:t>
      </w:r>
      <w:r>
        <w:rPr>
          <w:rFonts w:hint="eastAsia" w:ascii="Times New Roman" w:hAnsi="Times New Roman"/>
          <w:sz w:val="24"/>
          <w:szCs w:val="24"/>
        </w:rPr>
        <w:t>（其中，港股通标的股票的最新成交价按照汇率公允价调整为人民币价格）</w:t>
      </w:r>
    </w:p>
    <w:bookmarkEnd w:id="30"/>
    <w:p>
      <w:pPr>
        <w:spacing w:line="360" w:lineRule="auto"/>
        <w:ind w:firstLine="480"/>
        <w:rPr>
          <w:rFonts w:ascii="Times New Roman" w:hAnsi="Times New Roman"/>
          <w:sz w:val="24"/>
          <w:szCs w:val="24"/>
        </w:rPr>
      </w:pPr>
      <w:r>
        <w:rPr>
          <w:rFonts w:hint="eastAsia" w:ascii="Times New Roman" w:hAnsi="Times New Roman"/>
          <w:sz w:val="24"/>
          <w:szCs w:val="24"/>
        </w:rPr>
        <w:t>汇率公允价包括基金管理人委托的其他机构在发布和计算境外指数产品中采用的实时汇率价格、基金管理人审慎决定的其他公允价格等。</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、基金份额参考净值的计算以四舍五入的方法保留小数点后4位。</w:t>
      </w:r>
    </w:p>
    <w:p>
      <w:pPr>
        <w:spacing w:line="360" w:lineRule="auto"/>
        <w:ind w:firstLine="480"/>
        <w:rPr>
          <w:rFonts w:ascii="Times New Roman" w:hAnsi="Times New Roman"/>
          <w:sz w:val="24"/>
          <w:szCs w:val="24"/>
        </w:rPr>
      </w:pPr>
      <w:r>
        <w:rPr>
          <w:rFonts w:hint="eastAsia" w:ascii="Times New Roman" w:hAnsi="Times New Roman"/>
          <w:sz w:val="24"/>
          <w:szCs w:val="24"/>
        </w:rPr>
        <w:t>3、基金管理人可以调整基金份额参考净值计算方法，并予以公告。</w:t>
      </w:r>
    </w:p>
    <w:p>
      <w:pPr>
        <w:spacing w:line="360" w:lineRule="auto"/>
        <w:ind w:firstLine="480"/>
        <w:rPr>
          <w:rFonts w:ascii="Times New Roman" w:hAnsi="Times New Roman"/>
          <w:sz w:val="24"/>
          <w:szCs w:val="24"/>
        </w:rPr>
      </w:pPr>
      <w:r>
        <w:rPr>
          <w:rFonts w:hint="eastAsia" w:ascii="Times New Roman" w:hAnsi="Times New Roman"/>
          <w:sz w:val="24"/>
          <w:szCs w:val="24"/>
        </w:rPr>
        <w:t>（五）在不违反法律法规及对基金份额持有人利益无实质性不利影响的前提下，本基金可以申请在包括境外交易所在内的其他交易场所上市交易，而无需召开基金份额持有人大会审议。</w:t>
      </w:r>
    </w:p>
    <w:p>
      <w:pPr>
        <w:spacing w:line="360" w:lineRule="auto"/>
        <w:ind w:firstLine="480"/>
        <w:rPr>
          <w:rFonts w:ascii="Times New Roman" w:hAnsi="Times New Roman"/>
          <w:sz w:val="24"/>
          <w:szCs w:val="24"/>
        </w:rPr>
      </w:pPr>
      <w:r>
        <w:rPr>
          <w:rFonts w:hint="eastAsia" w:ascii="Times New Roman" w:hAnsi="Times New Roman"/>
          <w:sz w:val="24"/>
          <w:szCs w:val="24"/>
        </w:rPr>
        <w:t>（六）相关法律法规、中国证监会、登记机构及上海证券交易所对基金上市交易的规则等相关规定进行调整的，基金合同相应予以修改，并按照新规定执行，且此项修改无需召开基金份额持有人大会审议。</w:t>
      </w:r>
    </w:p>
    <w:p>
      <w:pPr>
        <w:spacing w:line="360" w:lineRule="auto"/>
        <w:ind w:firstLine="480"/>
        <w:rPr>
          <w:rFonts w:ascii="Times New Roman" w:hAnsi="Times New Roman"/>
          <w:sz w:val="24"/>
          <w:szCs w:val="24"/>
        </w:rPr>
      </w:pPr>
      <w:r>
        <w:rPr>
          <w:rFonts w:hint="eastAsia" w:ascii="Times New Roman" w:hAnsi="Times New Roman"/>
          <w:sz w:val="24"/>
          <w:szCs w:val="24"/>
        </w:rPr>
        <w:t>（七）若上海证券交易所、中国证券登记结算有限责任公司增加了基金上市交易的新功能，本基金可以增加相应功能，无需召开基金份额持有人大会审议。</w:t>
      </w:r>
    </w:p>
    <w:p>
      <w:pPr>
        <w:pStyle w:val="2"/>
        <w:snapToGrid w:val="0"/>
        <w:spacing w:before="240" w:beforeLines="0" w:after="240"/>
        <w:rPr>
          <w:rFonts w:ascii="Times New Roman" w:hAnsi="Times New Roman"/>
          <w:szCs w:val="30"/>
        </w:rPr>
      </w:pPr>
      <w:r>
        <w:rPr>
          <w:rFonts w:ascii="Times New Roman" w:hAnsi="Times New Roman"/>
          <w:szCs w:val="24"/>
        </w:rPr>
        <w:br w:type="page"/>
      </w:r>
      <w:bookmarkStart w:id="31" w:name="_Toc208562027"/>
      <w:r>
        <w:rPr>
          <w:rFonts w:hint="eastAsia" w:ascii="Times New Roman" w:hAnsi="Times New Roman"/>
          <w:sz w:val="30"/>
        </w:rPr>
        <w:t>十</w:t>
      </w:r>
      <w:r>
        <w:rPr>
          <w:rFonts w:ascii="Times New Roman" w:hAnsi="Times New Roman"/>
          <w:sz w:val="30"/>
        </w:rPr>
        <w:t>、基金份额的申购与赎回</w:t>
      </w:r>
      <w:bookmarkEnd w:id="31"/>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（一）申购和赎回的场所</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人应当在申购赎回代理券商的营业场所或按申购赎回代理券商提供的其他方式办理基金份额的申购与赎回。具体的申购赎回代理券商将由基金管理人在基金管理人网站或相关公告列示，基金管理人可依据实际情况调整申购赎回代理券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在未来条件允许的情况下，基金管理人直销机构可以开通申购赎回业务，具体业务的办理时间及办理方式基金管理人将另行公告。</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（二）申购和赎回的开放日及时间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1、开放日及开放时间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投资人在开放日办理基金份额的申购和赎回，具体办理时间为上海证券交易所、深圳证券交易所的正常交易日的交易时间</w:t>
      </w:r>
      <w:r>
        <w:rPr>
          <w:rFonts w:hint="eastAsia" w:ascii="Times New Roman" w:hAnsi="Times New Roman"/>
          <w:sz w:val="24"/>
        </w:rPr>
        <w:t>（若该工作日为非港股通交易日，则本基金不开放）</w:t>
      </w:r>
      <w:r>
        <w:rPr>
          <w:rFonts w:ascii="Times New Roman" w:hAnsi="Times New Roman"/>
          <w:sz w:val="24"/>
        </w:rPr>
        <w:t>，但基金管理人根据法律法规、中国证监会的要求或基金合同的规定公告暂停申购、赎回时除外。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2、申购、赎回开始日及业务办理时间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基金管理人可根据实际情况依法决定本基金开始办理申购的具体日期，具体业务办理时间在申购开始公告中规定。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基金管理人自基金合同生效之日起不超过</w:t>
      </w:r>
      <w:r>
        <w:rPr>
          <w:rFonts w:ascii="Times New Roman" w:hAnsi="Times New Roman"/>
          <w:sz w:val="24"/>
        </w:rPr>
        <w:t>3</w:t>
      </w:r>
      <w:r>
        <w:rPr>
          <w:rFonts w:hint="eastAsia" w:ascii="Times New Roman" w:hAnsi="Times New Roman"/>
          <w:sz w:val="24"/>
        </w:rPr>
        <w:t>个月开始办理赎回，具体业务办理时间在赎回开始公告中规定。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本基金可在基金上市交易之前开始办理申购、赎回，但在基金申请上市期间，可暂停办理申购、赎回。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在确定申购开始与赎回开始时间后，基金管理人应在申购、赎回开放日前依照《信息披露办法》的有关规定在规定媒介上公告申购与赎回的开始时间。</w:t>
      </w:r>
    </w:p>
    <w:p>
      <w:pPr>
        <w:autoSpaceDE w:val="0"/>
        <w:autoSpaceDN w:val="0"/>
        <w:adjustRightInd w:val="0"/>
        <w:snapToGrid w:val="0"/>
        <w:spacing w:line="360" w:lineRule="auto"/>
        <w:ind w:firstLine="482" w:firstLineChars="200"/>
        <w:jc w:val="left"/>
        <w:rPr>
          <w:rFonts w:ascii="Times New Roman" w:hAnsi="Times New Roman"/>
          <w:b/>
          <w:bCs/>
          <w:szCs w:val="24"/>
        </w:rPr>
      </w:pPr>
      <w:r>
        <w:rPr>
          <w:rFonts w:hint="eastAsia" w:ascii="Times New Roman" w:hAnsi="Times New Roman"/>
          <w:b/>
          <w:bCs/>
          <w:sz w:val="24"/>
        </w:rPr>
        <w:t>（三）申购与赎回的原则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1、本基金采用份额申购和份额赎回的方式，即申购和赎回均以份额申请；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、本基金的申购对价、赎回对价包括组合证券、现金替代、现金差额及其他对价；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、申购、赎回申请提交后不得撤销；</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、基金的申购对价、赎回对价依据招募说明书约定的代理买卖原则确定，与受理申请当日的基金份额净值或有不同；</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w:t>
      </w:r>
      <w:r>
        <w:rPr>
          <w:rFonts w:hint="eastAsia" w:ascii="Times New Roman" w:hAnsi="Times New Roman"/>
          <w:sz w:val="24"/>
        </w:rPr>
        <w:t>、在条件允许的情况下，基金管理人可以调整本基金的申购赎回方式及申购对价、赎回对价组成；</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、办理申购、赎回业务时，应当遵循基金份额持有人利益优先原则，确保投资者的合法权益不受损害并得到公平对待。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在法律法规允许的情况下，或依据上海证券交易所或登记机构相关规则及其不时更新，对上述原则进行调整。基金管理人必须在新规则开始实施前依照《信息披露办法》的有关规定在规定媒介上公告。</w:t>
      </w:r>
    </w:p>
    <w:p>
      <w:pPr>
        <w:autoSpaceDE w:val="0"/>
        <w:autoSpaceDN w:val="0"/>
        <w:adjustRightInd w:val="0"/>
        <w:snapToGrid w:val="0"/>
        <w:spacing w:line="360" w:lineRule="auto"/>
        <w:ind w:firstLine="482" w:firstLineChars="200"/>
        <w:jc w:val="left"/>
        <w:rPr>
          <w:rFonts w:ascii="Times New Roman" w:hAnsi="Times New Roman"/>
          <w:b/>
          <w:bCs/>
          <w:sz w:val="24"/>
        </w:rPr>
      </w:pPr>
      <w:r>
        <w:rPr>
          <w:rFonts w:hint="eastAsia" w:ascii="Times New Roman" w:hAnsi="Times New Roman"/>
          <w:b/>
          <w:bCs/>
          <w:sz w:val="24"/>
        </w:rPr>
        <w:t>（四）申购与赎回的程序</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、申购和赎回的申请方式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投资人必须根据申购赎回代理券商或基金管理人规定的程序，在开放日的具体业务办理时间内提出申购或赎回的申请。</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、申购和赎回申请的确认</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正常情况下，投资人申购、赎回申请在受理当日进行确认。如投资人未能提供符合要求的申购对价，则申购申请失败。如基金份额持有人持有的符合要求的基金份额不足或未能根据要求准备足额的现金，或本基金投资组合内不具备足额的符合要求的赎回对价，则赎回申请失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如投资者怠于履行该项查询等各项义务，因此产生的损失由投资者自行承担。</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、申购和赎回的清算交收与登记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申购赎回过程中涉及的基金份额、组合证券、现金替代、现金差额及其他对价的清算交收适用上海证券交易所、中国证券登记结算有限责任公司相关业务规则以及参与各方相关协议及其不时修订的有关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本基金申购赎回业务涉及的基金份额、上海证券交易所上市的成份股及其现金替代、深圳证券交易所上市的成份股的现金替代，以及申购业务涉及的香港联合交易所上市的成份股的现金替代采用净额结算；赎回业务涉及的香港联合交易所上市的成份股的现金替代、申购赎回业务涉及的现金差额和现金替代退补款采用代收代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投资人</w:t>
      </w:r>
      <w:r>
        <w:rPr>
          <w:rFonts w:ascii="Times New Roman" w:hAnsi="Times New Roman"/>
          <w:sz w:val="24"/>
        </w:rPr>
        <w:t>T</w:t>
      </w:r>
      <w:r>
        <w:rPr>
          <w:rFonts w:hint="eastAsia" w:ascii="Times New Roman" w:hAnsi="Times New Roman"/>
          <w:sz w:val="24"/>
        </w:rPr>
        <w:t>日申购成功后，登记机构在</w:t>
      </w:r>
      <w:r>
        <w:rPr>
          <w:rFonts w:ascii="Times New Roman" w:hAnsi="Times New Roman"/>
          <w:sz w:val="24"/>
        </w:rPr>
        <w:t>T</w:t>
      </w:r>
      <w:r>
        <w:rPr>
          <w:rFonts w:hint="eastAsia" w:ascii="Times New Roman" w:hAnsi="Times New Roman"/>
          <w:sz w:val="24"/>
        </w:rPr>
        <w:t>日收市后办理上海证券交易所上市的成份股交收与基金份额的交收登记以及现金替代的清算；在</w:t>
      </w:r>
      <w:r>
        <w:rPr>
          <w:rFonts w:ascii="Times New Roman" w:hAnsi="Times New Roman"/>
          <w:sz w:val="24"/>
        </w:rPr>
        <w:t>T+1</w:t>
      </w:r>
      <w:r>
        <w:rPr>
          <w:rFonts w:hint="eastAsia" w:ascii="Times New Roman" w:hAnsi="Times New Roman"/>
          <w:sz w:val="24"/>
        </w:rPr>
        <w:t>日办理现金替代的交收以及现金差额的清算；在</w:t>
      </w:r>
      <w:r>
        <w:rPr>
          <w:rFonts w:ascii="Times New Roman" w:hAnsi="Times New Roman"/>
          <w:sz w:val="24"/>
        </w:rPr>
        <w:t>T+2</w:t>
      </w:r>
      <w:r>
        <w:rPr>
          <w:rFonts w:hint="eastAsia" w:ascii="Times New Roman" w:hAnsi="Times New Roman"/>
          <w:sz w:val="24"/>
        </w:rPr>
        <w:t>日办理现金差额的交收。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投资人</w:t>
      </w:r>
      <w:r>
        <w:rPr>
          <w:rFonts w:ascii="Times New Roman" w:hAnsi="Times New Roman"/>
          <w:sz w:val="24"/>
        </w:rPr>
        <w:t>T</w:t>
      </w:r>
      <w:r>
        <w:rPr>
          <w:rFonts w:hint="eastAsia" w:ascii="Times New Roman" w:hAnsi="Times New Roman"/>
          <w:sz w:val="24"/>
        </w:rPr>
        <w:t>日赎回成功后，登记机构在</w:t>
      </w:r>
      <w:r>
        <w:rPr>
          <w:rFonts w:ascii="Times New Roman" w:hAnsi="Times New Roman"/>
          <w:sz w:val="24"/>
        </w:rPr>
        <w:t>T</w:t>
      </w:r>
      <w:r>
        <w:rPr>
          <w:rFonts w:hint="eastAsia" w:ascii="Times New Roman" w:hAnsi="Times New Roman"/>
          <w:sz w:val="24"/>
        </w:rPr>
        <w:t>日收市后办理上海证券交易所上市的成份股交收与基金份额的注销以及上海证券交易所上市的成份股和深圳证券交易所上市的成份股的现金替代的清算；在</w:t>
      </w:r>
      <w:r>
        <w:rPr>
          <w:rFonts w:ascii="Times New Roman" w:hAnsi="Times New Roman"/>
          <w:sz w:val="24"/>
        </w:rPr>
        <w:t>T+1</w:t>
      </w:r>
      <w:r>
        <w:rPr>
          <w:rFonts w:hint="eastAsia" w:ascii="Times New Roman" w:hAnsi="Times New Roman"/>
          <w:sz w:val="24"/>
        </w:rPr>
        <w:t>日办理上海证券交易所上市的成份股和深圳证券交易所上市的成份股的现金替代的交收以及现金差额的清算；在</w:t>
      </w:r>
      <w:r>
        <w:rPr>
          <w:rFonts w:ascii="Times New Roman" w:hAnsi="Times New Roman"/>
          <w:sz w:val="24"/>
        </w:rPr>
        <w:t>T+2</w:t>
      </w:r>
      <w:r>
        <w:rPr>
          <w:rFonts w:hint="eastAsia" w:ascii="Times New Roman" w:hAnsi="Times New Roman"/>
          <w:sz w:val="24"/>
        </w:rPr>
        <w:t>日办理现金差额的交收。正常情况下，香港联合交易所上市的成份股的现金替代的清算交收于 T+7 日（指开放日）内办理，若发生特殊情况（包括但不限于基金投资市场交易清算规则发生较大变化、港股通暂停交易或交收、基金赎回数额较大或组合证券内的部分证券因停牌、流动性不足等原因导致无法足额卖出等），基金管理人可以对清算交收日期进行相应调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如果登记机构和基金管理人在清算交收时发生不能正常履约的情形，则依据相关业务规则和参与各方相关协议及其不时修订的有关规定进行处理。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人应按照基金合同的约定和申购赎回代理券商的规定按时足额支付应付的现金差额、现金替代和现金替代补款。因投资人原因导致现金差额、现金替代或现金替代补款未能按时足额交收的，基金管理人有权为基金的利益向该投资人追偿，并要求其承担由此导致的其他基金份额持有人或基金资产的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投资人用以申购的部分或全部组合证券或者用以赎回的部分或全部基金份额因被国家有权机关冻结或强制执行导致不足额的，基金管理人有权指示申购赎回代理机构及登记机构依法进行相应处置；如该情况导致其他基金份额持有人或基金资产遭受损失的，基金管理人有权代表其他基金份额持有人或基金资产要求该投资人进行赔偿。</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如果相关证券交易所或登记机构的相关业务规则发生变更，则按最新规则办理，并在招募说明书或相关公告中进行更新。</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、基金管理人、上海证券交易所、登记机构可在法律法规允许的范围内，对基金份额申购赎回的程序以及清算交收和登记的办理时间、方式、处理规则等进行调整，无需召开基金份额持有人大会审议。</w:t>
      </w:r>
    </w:p>
    <w:p>
      <w:pPr>
        <w:autoSpaceDE w:val="0"/>
        <w:autoSpaceDN w:val="0"/>
        <w:adjustRightInd w:val="0"/>
        <w:snapToGrid w:val="0"/>
        <w:spacing w:line="360" w:lineRule="auto"/>
        <w:ind w:firstLine="482" w:firstLineChars="200"/>
        <w:jc w:val="left"/>
        <w:rPr>
          <w:rFonts w:ascii="Times New Roman" w:hAnsi="Times New Roman"/>
          <w:b/>
          <w:bCs/>
          <w:sz w:val="24"/>
        </w:rPr>
      </w:pPr>
      <w:r>
        <w:rPr>
          <w:rFonts w:hint="eastAsia" w:ascii="Times New Roman" w:hAnsi="Times New Roman"/>
          <w:b/>
          <w:bCs/>
          <w:sz w:val="24"/>
        </w:rPr>
        <w:t>（五）申购和赎回的数量限制</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、投资人申购、赎回的基金份额需为最小申购、赎回单位的整数倍。最小申购、赎回单位由基金管理人确定和调整，</w:t>
      </w:r>
      <w:r>
        <w:rPr>
          <w:rFonts w:hint="eastAsia" w:ascii="Times New Roman" w:hAnsi="Times New Roman"/>
          <w:bCs/>
          <w:sz w:val="24"/>
        </w:rPr>
        <w:t>具体请参考届时发布的相关公告或申购赎回清单。</w:t>
      </w:r>
      <w:r>
        <w:rPr>
          <w:rFonts w:hint="eastAsia" w:ascii="Times New Roman" w:hAnsi="Times New Roman"/>
          <w:sz w:val="24"/>
        </w:rPr>
        <w:t>基金管理人可根据基金运作情况、市场情况和投资者需求，在法律法规允许的情况下，调整最小申购、赎回单位。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2、基金管理人可设定申购份额上限或赎回份额上限，以对当日的申购总规模或赎回总规模进行控制，并在申购赎回清单中公告。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3、基金管理人可以规定单个投资人累计持有的基金份额上限、单日或单笔申购份额上限和净申购比例上限，具体规定请参见相关公告。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当接受申购申请对存量基金份额持有人利益构成潜在重大不利影响时，基金管理人应当采取设定单一投资者申购份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w:t>
      </w:r>
      <w:r>
        <w:rPr>
          <w:rFonts w:hint="eastAsia" w:ascii="Times New Roman" w:hAnsi="Times New Roman"/>
          <w:sz w:val="24"/>
        </w:rPr>
        <w:t>、基金管理人可根据基金运作情况、市场情况和投资人需求，在法律法规允许的情况下，调整上述规定申购份额和赎回份额的数量限制，或者新增基金规模控制措施。基金管理人必须在调整实施前依照《信息披露办法》的有关规定在规定媒介上公告。</w:t>
      </w:r>
    </w:p>
    <w:p>
      <w:pPr>
        <w:spacing w:line="360" w:lineRule="auto"/>
        <w:ind w:firstLine="482" w:firstLineChars="200"/>
        <w:rPr>
          <w:rFonts w:ascii="Times New Roman" w:hAnsi="Times New Roman"/>
          <w:b/>
          <w:sz w:val="24"/>
        </w:rPr>
      </w:pPr>
      <w:r>
        <w:rPr>
          <w:rFonts w:hint="eastAsia" w:ascii="Times New Roman" w:hAnsi="Times New Roman"/>
          <w:b/>
          <w:sz w:val="24"/>
        </w:rPr>
        <w:t>（六）申购和赎回的对价和费用</w:t>
      </w:r>
    </w:p>
    <w:p>
      <w:pPr>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、本基金基金份额净值的计算，保留到小数点后</w:t>
      </w:r>
      <w:r>
        <w:rPr>
          <w:rFonts w:ascii="Times New Roman" w:hAnsi="Times New Roman"/>
          <w:bCs/>
          <w:sz w:val="24"/>
        </w:rPr>
        <w:t>4</w:t>
      </w:r>
      <w:r>
        <w:rPr>
          <w:rFonts w:hint="eastAsia" w:ascii="Times New Roman" w:hAnsi="Times New Roman"/>
          <w:bCs/>
          <w:sz w:val="24"/>
        </w:rPr>
        <w:t>位，小数点后第</w:t>
      </w:r>
      <w:r>
        <w:rPr>
          <w:rFonts w:ascii="Times New Roman" w:hAnsi="Times New Roman"/>
          <w:bCs/>
          <w:sz w:val="24"/>
        </w:rPr>
        <w:t>5</w:t>
      </w:r>
      <w:r>
        <w:rPr>
          <w:rFonts w:hint="eastAsia" w:ascii="Times New Roman" w:hAnsi="Times New Roman"/>
          <w:bCs/>
          <w:sz w:val="24"/>
        </w:rPr>
        <w:t>位四舍五入，由此产生的收益或损失由基金财产承担。</w:t>
      </w:r>
      <w:r>
        <w:rPr>
          <w:rFonts w:ascii="Times New Roman" w:hAnsi="Times New Roman"/>
          <w:bCs/>
          <w:sz w:val="24"/>
        </w:rPr>
        <w:t>T</w:t>
      </w:r>
      <w:r>
        <w:rPr>
          <w:rFonts w:hint="eastAsia" w:ascii="Times New Roman" w:hAnsi="Times New Roman"/>
          <w:bCs/>
          <w:sz w:val="24"/>
        </w:rPr>
        <w:t>日的基金份额净值在当天收市后计算，并在</w:t>
      </w:r>
      <w:r>
        <w:rPr>
          <w:rFonts w:ascii="Times New Roman" w:hAnsi="Times New Roman"/>
          <w:bCs/>
          <w:sz w:val="24"/>
        </w:rPr>
        <w:t>T+1</w:t>
      </w:r>
      <w:r>
        <w:rPr>
          <w:rFonts w:hint="eastAsia" w:ascii="Times New Roman" w:hAnsi="Times New Roman"/>
          <w:bCs/>
          <w:sz w:val="24"/>
        </w:rPr>
        <w:t>日内公告。如遇特殊情况，经履行适当程序，可以适当延迟计算或公告。</w:t>
      </w:r>
    </w:p>
    <w:p>
      <w:pPr>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、申购对价是指投资人申购基金份额时应交付的组合证券、现金替代、现金差额及其他对价。赎回对价是指基金份额持有人赎回基金份额时，基金管理人应交付的组合证券、现金替代、现金差额及其他对价。</w:t>
      </w:r>
    </w:p>
    <w:p>
      <w:pPr>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、申购对价、赎回对价根据申购赎回清单和投资者申购、赎回的基金份额数额确定。申购赎回清单由基金管理人编制。</w:t>
      </w:r>
      <w:r>
        <w:rPr>
          <w:rFonts w:ascii="Times New Roman" w:hAnsi="Times New Roman"/>
          <w:bCs/>
          <w:sz w:val="24"/>
        </w:rPr>
        <w:t>T</w:t>
      </w:r>
      <w:r>
        <w:rPr>
          <w:rFonts w:hint="eastAsia" w:ascii="Times New Roman" w:hAnsi="Times New Roman"/>
          <w:bCs/>
          <w:sz w:val="24"/>
        </w:rPr>
        <w:t>日的申购赎回清单在当日上海证券交易所开市前公告。</w:t>
      </w:r>
    </w:p>
    <w:p>
      <w:pPr>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、投资人在申购或赎回基金份额时，申购赎回代理券商可按照不超过</w:t>
      </w:r>
      <w:r>
        <w:rPr>
          <w:rFonts w:ascii="Times New Roman" w:hAnsi="Times New Roman"/>
          <w:bCs/>
          <w:sz w:val="24"/>
        </w:rPr>
        <w:t>0.5%</w:t>
      </w:r>
      <w:r>
        <w:rPr>
          <w:rFonts w:hint="eastAsia" w:ascii="Times New Roman" w:hAnsi="Times New Roman"/>
          <w:bCs/>
          <w:sz w:val="24"/>
        </w:rPr>
        <w:t>的标准收取佣金，其中包含证券交易所、登记机构等收取的相关费用。</w:t>
      </w:r>
    </w:p>
    <w:p>
      <w:pPr>
        <w:spacing w:line="360" w:lineRule="auto"/>
        <w:ind w:firstLine="480" w:firstLineChars="200"/>
        <w:rPr>
          <w:rFonts w:ascii="Times New Roman" w:hAnsi="Times New Roman"/>
          <w:bCs/>
          <w:sz w:val="24"/>
        </w:rPr>
      </w:pPr>
      <w:r>
        <w:rPr>
          <w:rFonts w:ascii="Times New Roman" w:hAnsi="Times New Roman"/>
          <w:bCs/>
          <w:sz w:val="24"/>
        </w:rPr>
        <w:t>5</w:t>
      </w:r>
      <w:r>
        <w:rPr>
          <w:rFonts w:hint="eastAsia" w:ascii="Times New Roman" w:hAnsi="Times New Roman"/>
          <w:bCs/>
          <w:sz w:val="24"/>
        </w:rPr>
        <w:t>、未来，若市场情况发生变化，或相关业务规则发生变化，基金管理人可以在不违反相关法律法规的情况下对申购</w:t>
      </w:r>
      <w:r>
        <w:rPr>
          <w:rFonts w:ascii="Times New Roman" w:hAnsi="Times New Roman"/>
          <w:bCs/>
          <w:sz w:val="24"/>
        </w:rPr>
        <w:t>/</w:t>
      </w:r>
      <w:r>
        <w:rPr>
          <w:rFonts w:hint="eastAsia" w:ascii="Times New Roman" w:hAnsi="Times New Roman"/>
          <w:bCs/>
          <w:sz w:val="24"/>
        </w:rPr>
        <w:t>赎回对价组成、基金份额净值、申购赎回清单的计算和公告时间或频率进行调整并提前公告。</w:t>
      </w:r>
    </w:p>
    <w:p>
      <w:pPr>
        <w:spacing w:line="360" w:lineRule="auto"/>
        <w:ind w:firstLine="482" w:firstLineChars="200"/>
        <w:rPr>
          <w:rFonts w:ascii="Times New Roman" w:hAnsi="Times New Roman"/>
          <w:b/>
          <w:sz w:val="24"/>
        </w:rPr>
      </w:pPr>
      <w:r>
        <w:rPr>
          <w:rFonts w:hint="eastAsia" w:ascii="Times New Roman" w:hAnsi="Times New Roman"/>
          <w:b/>
          <w:sz w:val="24"/>
        </w:rPr>
        <w:t>（七）申购赎回清单的内容与格式</w:t>
      </w:r>
    </w:p>
    <w:p>
      <w:pPr>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、申购赎回清单的内容</w:t>
      </w:r>
    </w:p>
    <w:p>
      <w:pPr>
        <w:spacing w:line="360" w:lineRule="auto"/>
        <w:ind w:firstLine="480" w:firstLineChars="200"/>
        <w:rPr>
          <w:rFonts w:ascii="Times New Roman" w:hAnsi="Times New Roman"/>
          <w:bCs/>
          <w:sz w:val="24"/>
        </w:rPr>
      </w:pPr>
      <w:r>
        <w:rPr>
          <w:rFonts w:ascii="Times New Roman" w:hAnsi="Times New Roman"/>
          <w:bCs/>
          <w:sz w:val="24"/>
        </w:rPr>
        <w:t>T</w:t>
      </w:r>
      <w:r>
        <w:rPr>
          <w:rFonts w:hint="eastAsia" w:ascii="Times New Roman" w:hAnsi="Times New Roman"/>
          <w:bCs/>
          <w:sz w:val="24"/>
        </w:rPr>
        <w:t>日申购赎回清单公告内容包括最小申购、赎回单位所对应的组合证券内各成份证券数据、现金替代、</w:t>
      </w:r>
      <w:r>
        <w:rPr>
          <w:rFonts w:ascii="Times New Roman" w:hAnsi="Times New Roman"/>
          <w:bCs/>
          <w:sz w:val="24"/>
        </w:rPr>
        <w:t>T</w:t>
      </w:r>
      <w:r>
        <w:rPr>
          <w:rFonts w:hint="eastAsia" w:ascii="Times New Roman" w:hAnsi="Times New Roman"/>
          <w:bCs/>
          <w:sz w:val="24"/>
        </w:rPr>
        <w:t>日预估现金部分、</w:t>
      </w:r>
      <w:r>
        <w:rPr>
          <w:rFonts w:ascii="Times New Roman" w:hAnsi="Times New Roman"/>
          <w:bCs/>
          <w:sz w:val="24"/>
        </w:rPr>
        <w:t>T-1</w:t>
      </w:r>
      <w:r>
        <w:rPr>
          <w:rFonts w:hint="eastAsia" w:ascii="Times New Roman" w:hAnsi="Times New Roman"/>
          <w:bCs/>
          <w:sz w:val="24"/>
        </w:rPr>
        <w:t>日现金差额、基金份额净值及其他相关内容。如上海证券交易所修改或更新申购赎回清单的内容、参数计算方法并适用于本基金的，则按照上海证券交易所最新规则执行。</w:t>
      </w:r>
    </w:p>
    <w:p>
      <w:pPr>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、组合证券相关内容</w:t>
      </w:r>
    </w:p>
    <w:p>
      <w:pPr>
        <w:spacing w:line="360" w:lineRule="auto"/>
        <w:ind w:firstLine="480" w:firstLineChars="200"/>
        <w:rPr>
          <w:rFonts w:ascii="Times New Roman" w:hAnsi="Times New Roman"/>
          <w:bCs/>
          <w:sz w:val="24"/>
        </w:rPr>
      </w:pPr>
      <w:r>
        <w:rPr>
          <w:rFonts w:hint="eastAsia" w:ascii="Times New Roman" w:hAnsi="Times New Roman"/>
          <w:bCs/>
          <w:sz w:val="24"/>
        </w:rPr>
        <w:t>组合证券是指基金标的指数所包含的全部或部分证券。申购赎回清单将公告最小申购、赎回单位所对应的各成份证券名称、证券代码及数量。</w:t>
      </w:r>
    </w:p>
    <w:p>
      <w:pPr>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、现金替代相关内容</w:t>
      </w:r>
    </w:p>
    <w:p>
      <w:pPr>
        <w:spacing w:line="360" w:lineRule="auto"/>
        <w:ind w:firstLine="480" w:firstLineChars="200"/>
        <w:rPr>
          <w:rFonts w:ascii="Times New Roman" w:hAnsi="Times New Roman"/>
          <w:bCs/>
          <w:sz w:val="24"/>
        </w:rPr>
      </w:pPr>
      <w:r>
        <w:rPr>
          <w:rFonts w:hint="eastAsia" w:ascii="Times New Roman" w:hAnsi="Times New Roman"/>
          <w:bCs/>
          <w:sz w:val="24"/>
        </w:rPr>
        <w:t>现金替代是指申购、赎回过程中，投资者按基金合同和招募说明书的规定，用于替代组合证券中部分证券的一定数量的现金。</w:t>
      </w:r>
    </w:p>
    <w:p>
      <w:pPr>
        <w:spacing w:line="360" w:lineRule="auto"/>
        <w:ind w:firstLine="480" w:firstLineChars="200"/>
        <w:rPr>
          <w:rFonts w:ascii="Times New Roman" w:hAnsi="Times New Roman"/>
          <w:bCs/>
          <w:sz w:val="24"/>
        </w:rPr>
      </w:pPr>
      <w:r>
        <w:rPr>
          <w:rFonts w:hint="eastAsia" w:ascii="Times New Roman" w:hAnsi="Times New Roman"/>
          <w:bCs/>
          <w:sz w:val="24"/>
        </w:rPr>
        <w:t>现金替代分为3种类型：禁止现金替代（标志为“禁止”）、可以现金替代（标志为“允许”）和必须现金替代（标志为“必须”）。</w:t>
      </w:r>
    </w:p>
    <w:p>
      <w:pPr>
        <w:spacing w:line="360" w:lineRule="auto"/>
        <w:ind w:firstLine="480" w:firstLineChars="200"/>
        <w:rPr>
          <w:rFonts w:ascii="Times New Roman" w:hAnsi="Times New Roman"/>
          <w:bCs/>
          <w:sz w:val="24"/>
        </w:rPr>
      </w:pPr>
      <w:r>
        <w:rPr>
          <w:rFonts w:hint="eastAsia" w:ascii="Times New Roman" w:hAnsi="Times New Roman"/>
          <w:bCs/>
          <w:sz w:val="24"/>
        </w:rPr>
        <w:t>禁止现金替代适用于上海证券交易所上市的成份证券，是指在申购、赎回基金份额时，该成份证券不允许使用现金作为替代。</w:t>
      </w:r>
    </w:p>
    <w:p>
      <w:pPr>
        <w:spacing w:line="360" w:lineRule="auto"/>
        <w:ind w:firstLine="480" w:firstLineChars="200"/>
        <w:rPr>
          <w:rFonts w:ascii="Times New Roman" w:hAnsi="Times New Roman"/>
          <w:bCs/>
          <w:sz w:val="24"/>
        </w:rPr>
      </w:pPr>
      <w:r>
        <w:rPr>
          <w:rFonts w:ascii="宋体" w:hAnsi="宋体" w:cs="宋体"/>
          <w:sz w:val="24"/>
          <w:szCs w:val="24"/>
        </w:rPr>
        <w:t>可以现金替代适用于所有成份证券</w:t>
      </w:r>
      <w:r>
        <w:rPr>
          <w:rFonts w:hint="eastAsia" w:ascii="宋体" w:hAnsi="宋体" w:cs="宋体"/>
          <w:sz w:val="24"/>
          <w:szCs w:val="24"/>
        </w:rPr>
        <w:t>。用</w:t>
      </w:r>
      <w:r>
        <w:rPr>
          <w:rFonts w:ascii="宋体" w:hAnsi="宋体" w:cs="宋体"/>
          <w:sz w:val="24"/>
          <w:szCs w:val="24"/>
        </w:rPr>
        <w:t>于</w:t>
      </w:r>
      <w:r>
        <w:rPr>
          <w:rFonts w:hint="eastAsia" w:ascii="Times New Roman" w:hAnsi="Times New Roman"/>
          <w:bCs/>
          <w:sz w:val="24"/>
        </w:rPr>
        <w:t>上海证券交易所上市的成份证券时</w:t>
      </w:r>
      <w:r>
        <w:rPr>
          <w:rFonts w:ascii="宋体" w:hAnsi="宋体" w:cs="宋体"/>
          <w:sz w:val="24"/>
          <w:szCs w:val="24"/>
        </w:rPr>
        <w:t>，是指在申购基金份额时，允许使用现金作为全部或部分该成份证券的替代，但在赎回基金份额时，该成份证券不允许使用现金作为替代</w:t>
      </w:r>
      <w:r>
        <w:rPr>
          <w:rFonts w:hint="eastAsia" w:ascii="宋体" w:hAnsi="宋体" w:cs="宋体"/>
          <w:sz w:val="24"/>
          <w:szCs w:val="24"/>
        </w:rPr>
        <w:t>。用</w:t>
      </w:r>
      <w:r>
        <w:rPr>
          <w:rFonts w:ascii="宋体" w:hAnsi="宋体" w:cs="宋体"/>
          <w:sz w:val="24"/>
          <w:szCs w:val="24"/>
        </w:rPr>
        <w:t>于</w:t>
      </w:r>
      <w:r>
        <w:rPr>
          <w:rFonts w:hint="eastAsia" w:ascii="宋体" w:hAnsi="宋体" w:cs="宋体"/>
          <w:sz w:val="24"/>
          <w:szCs w:val="24"/>
        </w:rPr>
        <w:t>深圳证券交易所、</w:t>
      </w:r>
      <w:r>
        <w:rPr>
          <w:rFonts w:hint="eastAsia" w:ascii="Times New Roman" w:hAnsi="Times New Roman"/>
          <w:bCs/>
          <w:sz w:val="24"/>
        </w:rPr>
        <w:t>香港联合交易所</w:t>
      </w:r>
      <w:r>
        <w:rPr>
          <w:rFonts w:hint="eastAsia" w:ascii="宋体" w:hAnsi="宋体" w:cs="宋体"/>
          <w:sz w:val="24"/>
          <w:szCs w:val="24"/>
        </w:rPr>
        <w:t>上市的</w:t>
      </w:r>
      <w:r>
        <w:rPr>
          <w:rFonts w:ascii="宋体" w:hAnsi="宋体" w:cs="宋体"/>
          <w:sz w:val="24"/>
          <w:szCs w:val="24"/>
        </w:rPr>
        <w:t>成份证券</w:t>
      </w:r>
      <w:r>
        <w:rPr>
          <w:rFonts w:hint="eastAsia" w:ascii="宋体" w:hAnsi="宋体" w:cs="宋体"/>
          <w:sz w:val="24"/>
          <w:szCs w:val="24"/>
        </w:rPr>
        <w:t>时</w:t>
      </w:r>
      <w:r>
        <w:rPr>
          <w:rFonts w:ascii="宋体" w:hAnsi="宋体" w:cs="宋体"/>
          <w:sz w:val="24"/>
          <w:szCs w:val="24"/>
        </w:rPr>
        <w:t>，是指在申购</w:t>
      </w:r>
      <w:r>
        <w:rPr>
          <w:rFonts w:hint="eastAsia" w:ascii="宋体" w:hAnsi="宋体" w:cs="宋体"/>
          <w:sz w:val="24"/>
          <w:szCs w:val="24"/>
        </w:rPr>
        <w:t>或</w:t>
      </w:r>
      <w:r>
        <w:rPr>
          <w:rFonts w:ascii="宋体" w:hAnsi="宋体" w:cs="宋体"/>
          <w:sz w:val="24"/>
          <w:szCs w:val="24"/>
        </w:rPr>
        <w:t>赎回基金份额时，该成份证券必须使用现金作为替代，根据基金管理人买卖情况，与投资者进行退款或补款。</w:t>
      </w:r>
    </w:p>
    <w:p>
      <w:pPr>
        <w:spacing w:line="360" w:lineRule="auto"/>
        <w:ind w:firstLine="480" w:firstLineChars="200"/>
        <w:rPr>
          <w:rFonts w:ascii="Times New Roman" w:hAnsi="Times New Roman"/>
          <w:bCs/>
          <w:sz w:val="24"/>
        </w:rPr>
      </w:pPr>
      <w:r>
        <w:rPr>
          <w:rFonts w:hint="eastAsia" w:ascii="Times New Roman" w:hAnsi="Times New Roman"/>
          <w:bCs/>
          <w:sz w:val="24"/>
        </w:rPr>
        <w:t>必须现金替代适用于所有成份证券，是指在申购、赎回基金份额时，该成份证券必须使用固定现金作为替代。</w:t>
      </w:r>
    </w:p>
    <w:p>
      <w:pPr>
        <w:numPr>
          <w:ilvl w:val="0"/>
          <w:numId w:val="2"/>
        </w:numPr>
        <w:spacing w:line="360" w:lineRule="auto"/>
        <w:ind w:firstLine="480" w:firstLineChars="200"/>
        <w:rPr>
          <w:rFonts w:ascii="Times New Roman" w:hAnsi="Times New Roman"/>
          <w:bCs/>
          <w:sz w:val="24"/>
        </w:rPr>
      </w:pPr>
      <w:r>
        <w:rPr>
          <w:rFonts w:hint="eastAsia" w:ascii="Times New Roman" w:hAnsi="Times New Roman"/>
          <w:bCs/>
          <w:sz w:val="24"/>
        </w:rPr>
        <w:t>可以现金替代</w:t>
      </w:r>
    </w:p>
    <w:p>
      <w:pPr>
        <w:numPr>
          <w:ilvl w:val="0"/>
          <w:numId w:val="3"/>
        </w:numPr>
        <w:spacing w:line="360" w:lineRule="auto"/>
        <w:ind w:firstLine="720"/>
        <w:rPr>
          <w:rFonts w:ascii="Times New Roman" w:hAnsi="Times New Roman"/>
          <w:bCs/>
          <w:sz w:val="24"/>
        </w:rPr>
      </w:pPr>
      <w:r>
        <w:rPr>
          <w:rFonts w:hint="eastAsia" w:ascii="Times New Roman" w:hAnsi="Times New Roman"/>
          <w:bCs/>
          <w:sz w:val="24"/>
        </w:rPr>
        <w:t>对于沪市成份证券</w:t>
      </w:r>
    </w:p>
    <w:p>
      <w:pPr>
        <w:spacing w:line="360" w:lineRule="auto"/>
        <w:ind w:firstLine="480" w:firstLineChars="200"/>
        <w:rPr>
          <w:rFonts w:ascii="Times New Roman" w:hAnsi="Times New Roman"/>
          <w:bCs/>
          <w:sz w:val="24"/>
        </w:rPr>
      </w:pPr>
      <w:r>
        <w:rPr>
          <w:rFonts w:hint="eastAsia" w:ascii="Times New Roman" w:hAnsi="Times New Roman"/>
          <w:bCs/>
          <w:sz w:val="24"/>
        </w:rPr>
        <w:t>①适用情形：可以现金替代的证券一般是由于停牌等原因导致投资人无法在申购时买入的证券或基金管理人认为可以适用的其他情形。</w:t>
      </w:r>
    </w:p>
    <w:p>
      <w:pPr>
        <w:spacing w:line="360" w:lineRule="auto"/>
        <w:ind w:firstLine="480" w:firstLineChars="200"/>
        <w:rPr>
          <w:rFonts w:ascii="Times New Roman" w:hAnsi="Times New Roman"/>
          <w:bCs/>
          <w:sz w:val="24"/>
        </w:rPr>
      </w:pPr>
      <w:r>
        <w:rPr>
          <w:rFonts w:hint="eastAsia" w:ascii="Times New Roman" w:hAnsi="Times New Roman"/>
          <w:bCs/>
          <w:sz w:val="24"/>
        </w:rPr>
        <w:t>②替代金额：</w:t>
      </w:r>
    </w:p>
    <w:p>
      <w:pPr>
        <w:spacing w:line="360" w:lineRule="auto"/>
        <w:ind w:left="420" w:leftChars="200"/>
        <w:rPr>
          <w:rFonts w:ascii="Times New Roman" w:hAnsi="Times New Roman"/>
          <w:bCs/>
          <w:sz w:val="24"/>
        </w:rPr>
      </w:pPr>
      <w:r>
        <w:rPr>
          <w:rFonts w:hint="eastAsia" w:ascii="Times New Roman" w:hAnsi="Times New Roman"/>
          <w:bCs/>
          <w:sz w:val="24"/>
        </w:rPr>
        <w:t>替代金额</w:t>
      </w:r>
      <w:r>
        <w:rPr>
          <w:rFonts w:ascii="Times New Roman" w:hAnsi="Times New Roman"/>
          <w:bCs/>
          <w:sz w:val="24"/>
        </w:rPr>
        <w:t>=</w:t>
      </w:r>
      <w:r>
        <w:rPr>
          <w:rFonts w:hint="eastAsia" w:ascii="Times New Roman" w:hAnsi="Times New Roman"/>
          <w:bCs/>
          <w:sz w:val="24"/>
        </w:rPr>
        <w:t>替代证券数量×该证券参考价格×（</w:t>
      </w:r>
      <w:r>
        <w:rPr>
          <w:rFonts w:ascii="Times New Roman" w:hAnsi="Times New Roman"/>
          <w:bCs/>
          <w:sz w:val="24"/>
        </w:rPr>
        <w:t>1+</w:t>
      </w:r>
      <w:r>
        <w:rPr>
          <w:rFonts w:hint="eastAsia" w:ascii="Times New Roman" w:hAnsi="Times New Roman"/>
          <w:bCs/>
          <w:sz w:val="24"/>
        </w:rPr>
        <w:t>申购现金替代溢价比例）</w:t>
      </w:r>
    </w:p>
    <w:p>
      <w:pPr>
        <w:spacing w:line="360" w:lineRule="auto"/>
        <w:ind w:left="420" w:leftChars="200"/>
        <w:rPr>
          <w:rFonts w:ascii="Times New Roman" w:hAnsi="Times New Roman"/>
          <w:bCs/>
          <w:sz w:val="24"/>
        </w:rPr>
      </w:pPr>
      <w:r>
        <w:rPr>
          <w:rFonts w:hint="eastAsia" w:ascii="Times New Roman" w:hAnsi="Times New Roman"/>
          <w:bCs/>
          <w:sz w:val="24"/>
        </w:rPr>
        <w:t>其中，“该证券参考价格”目前为该证券前一交易日除权除息后的收盘价。</w:t>
      </w:r>
    </w:p>
    <w:p>
      <w:pPr>
        <w:spacing w:line="360" w:lineRule="auto"/>
        <w:ind w:firstLine="480" w:firstLineChars="200"/>
        <w:rPr>
          <w:rFonts w:ascii="Times New Roman" w:hAnsi="Times New Roman"/>
          <w:bCs/>
          <w:sz w:val="24"/>
        </w:rPr>
      </w:pPr>
      <w:r>
        <w:rPr>
          <w:rFonts w:hint="eastAsia" w:ascii="Times New Roman" w:hAnsi="Times New Roman"/>
          <w:bCs/>
          <w:sz w:val="24"/>
        </w:rPr>
        <w:t>如果上海证券交易所对“该证券参考价格”确定原则发生变化，以上海证券交易所通知规定的参考价格为准。</w:t>
      </w:r>
    </w:p>
    <w:p>
      <w:pPr>
        <w:spacing w:line="360" w:lineRule="auto"/>
        <w:ind w:firstLine="480" w:firstLineChars="200"/>
        <w:rPr>
          <w:rFonts w:ascii="Times New Roman" w:hAnsi="Times New Roman"/>
          <w:bCs/>
          <w:sz w:val="24"/>
        </w:rPr>
      </w:pPr>
      <w:r>
        <w:rPr>
          <w:rFonts w:hint="eastAsia" w:ascii="Times New Roman" w:hAnsi="Times New Roman"/>
          <w:bCs/>
          <w:sz w:val="24"/>
        </w:rPr>
        <w:t>收取申购现金替代溢价的原因是，对于使用现金替代的证券，基金管理人需在证券恢复交易后买入，而实际买入价格加上相关交易费用后与申购时的参考价格可能有所差异。为便于操作，基金管理人在申购赎回清单中预先确定申购现金替代溢价比例，并据此收取替代金额。如果预先收取的金额高于基金买入该部分证券的实际成本，则基金管理人将退还多收取的差额；如果预先收取的金额低于基金买入该部分证券的实际成本，则基金管理人将向投资人收取欠缺的差额。</w:t>
      </w:r>
    </w:p>
    <w:p>
      <w:pPr>
        <w:spacing w:line="360" w:lineRule="auto"/>
        <w:ind w:firstLine="480" w:firstLineChars="200"/>
        <w:rPr>
          <w:rFonts w:ascii="Times New Roman" w:hAnsi="Times New Roman"/>
          <w:bCs/>
          <w:sz w:val="24"/>
        </w:rPr>
      </w:pPr>
      <w:r>
        <w:rPr>
          <w:rFonts w:hint="eastAsia" w:ascii="Times New Roman" w:hAnsi="Times New Roman"/>
          <w:bCs/>
          <w:sz w:val="24"/>
        </w:rPr>
        <w:t>③替代金额的处理程序</w:t>
      </w:r>
    </w:p>
    <w:p>
      <w:pPr>
        <w:spacing w:line="360" w:lineRule="auto"/>
        <w:ind w:firstLine="480" w:firstLineChars="200"/>
        <w:rPr>
          <w:rFonts w:ascii="Times New Roman" w:hAnsi="Times New Roman"/>
          <w:bCs/>
          <w:sz w:val="24"/>
        </w:rPr>
      </w:pPr>
      <w:r>
        <w:rPr>
          <w:rFonts w:ascii="Times New Roman" w:hAnsi="Times New Roman"/>
          <w:bCs/>
          <w:sz w:val="24"/>
        </w:rPr>
        <w:t>T</w:t>
      </w:r>
      <w:r>
        <w:rPr>
          <w:rFonts w:hint="eastAsia" w:ascii="Times New Roman" w:hAnsi="Times New Roman"/>
          <w:bCs/>
          <w:sz w:val="24"/>
        </w:rPr>
        <w:t>日，基金管理人在申购赎回清单中公布申购现金替代溢价比例，并据此收取替代金额。</w:t>
      </w:r>
    </w:p>
    <w:p>
      <w:pPr>
        <w:spacing w:line="360" w:lineRule="auto"/>
        <w:ind w:firstLine="480" w:firstLineChars="200"/>
        <w:rPr>
          <w:rFonts w:ascii="Times New Roman" w:hAnsi="Times New Roman"/>
          <w:bCs/>
          <w:sz w:val="24"/>
        </w:rPr>
      </w:pPr>
      <w:r>
        <w:rPr>
          <w:rFonts w:hint="eastAsia" w:ascii="Times New Roman" w:hAnsi="Times New Roman"/>
          <w:bCs/>
          <w:sz w:val="24"/>
        </w:rPr>
        <w:t>在</w:t>
      </w:r>
      <w:r>
        <w:rPr>
          <w:rFonts w:ascii="Times New Roman" w:hAnsi="Times New Roman"/>
          <w:bCs/>
          <w:sz w:val="24"/>
        </w:rPr>
        <w:t>T</w:t>
      </w:r>
      <w:r>
        <w:rPr>
          <w:rFonts w:hint="eastAsia" w:ascii="Times New Roman" w:hAnsi="Times New Roman"/>
          <w:bCs/>
          <w:sz w:val="24"/>
        </w:rPr>
        <w:t>日后被替代的成份证券有正常交易的</w:t>
      </w:r>
      <w:r>
        <w:rPr>
          <w:rFonts w:ascii="Times New Roman" w:hAnsi="Times New Roman"/>
          <w:bCs/>
          <w:sz w:val="24"/>
        </w:rPr>
        <w:t>2</w:t>
      </w:r>
      <w:r>
        <w:rPr>
          <w:rFonts w:hint="eastAsia" w:ascii="Times New Roman" w:hAnsi="Times New Roman"/>
          <w:bCs/>
          <w:sz w:val="24"/>
        </w:rPr>
        <w:t>个交易日（简称为</w:t>
      </w:r>
      <w:r>
        <w:rPr>
          <w:rFonts w:ascii="Times New Roman" w:hAnsi="Times New Roman"/>
          <w:bCs/>
          <w:sz w:val="24"/>
        </w:rPr>
        <w:t>T+2</w:t>
      </w:r>
      <w:r>
        <w:rPr>
          <w:rFonts w:hint="eastAsia" w:ascii="Times New Roman" w:hAnsi="Times New Roman"/>
          <w:bCs/>
          <w:sz w:val="24"/>
        </w:rPr>
        <w:t>日）内，基金管理人将以收到的替代金额买入被替代的部分证券。基金管理人有权以收到的替代金额买入小于或等于被替代证券数量的任意数量被替代证券，实际买入被替代证券的价格可能为</w:t>
      </w:r>
      <w:r>
        <w:rPr>
          <w:rFonts w:ascii="Times New Roman" w:hAnsi="Times New Roman"/>
          <w:bCs/>
          <w:sz w:val="24"/>
        </w:rPr>
        <w:t>T+2</w:t>
      </w:r>
      <w:r>
        <w:rPr>
          <w:rFonts w:hint="eastAsia" w:ascii="Times New Roman" w:hAnsi="Times New Roman"/>
          <w:bCs/>
          <w:sz w:val="24"/>
        </w:rPr>
        <w:t>日内的任意成交价。基金管理人有权根据基金投资的需要自主决定不买入部分被替代证券，或者不进行任何买入证券的操作，基金管理人可能不买入被替代证券的情形包括但不限于市场流动性不足、技术系统无法实现以及基金管理人认为不应买入的其他情形。</w:t>
      </w:r>
    </w:p>
    <w:p>
      <w:pPr>
        <w:spacing w:line="360" w:lineRule="auto"/>
        <w:ind w:firstLine="480" w:firstLineChars="200"/>
        <w:rPr>
          <w:rFonts w:ascii="Times New Roman" w:hAnsi="Times New Roman"/>
          <w:bCs/>
          <w:sz w:val="24"/>
        </w:rPr>
      </w:pPr>
      <w:r>
        <w:rPr>
          <w:rFonts w:ascii="Times New Roman" w:hAnsi="Times New Roman"/>
          <w:bCs/>
          <w:sz w:val="24"/>
        </w:rPr>
        <w:t>T</w:t>
      </w: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日日终，若已购入全部被替代的证券，则以替代金额与被替代证券的实际购入成本（包括买入价格与交易费用）的差额，确定基金应退还投资人或投资人应补交的款项；若未能购入全部被替代的证券，则以替代金额与所购入的部分被替代证券实际购入成本加上按照</w:t>
      </w:r>
      <w:r>
        <w:rPr>
          <w:rFonts w:ascii="Times New Roman" w:hAnsi="Times New Roman"/>
          <w:bCs/>
          <w:sz w:val="24"/>
        </w:rPr>
        <w:t>T+2</w:t>
      </w:r>
      <w:r>
        <w:rPr>
          <w:rFonts w:hint="eastAsia" w:ascii="Times New Roman" w:hAnsi="Times New Roman"/>
          <w:bCs/>
          <w:sz w:val="24"/>
        </w:rPr>
        <w:t>日收盘价计算的未购入的部分被替代证券价值的差额，确定基金应退还投资人或投资人应补交的款项。</w:t>
      </w:r>
    </w:p>
    <w:p>
      <w:pPr>
        <w:spacing w:line="360" w:lineRule="auto"/>
        <w:ind w:firstLine="480" w:firstLineChars="200"/>
        <w:rPr>
          <w:rFonts w:ascii="Times New Roman" w:hAnsi="Times New Roman"/>
          <w:bCs/>
          <w:sz w:val="24"/>
        </w:rPr>
      </w:pPr>
      <w:r>
        <w:rPr>
          <w:rFonts w:hint="eastAsia" w:ascii="Times New Roman" w:hAnsi="Times New Roman"/>
          <w:bCs/>
          <w:sz w:val="24"/>
        </w:rPr>
        <w:t>特例情况：若自</w:t>
      </w:r>
      <w:r>
        <w:rPr>
          <w:rFonts w:ascii="Times New Roman" w:hAnsi="Times New Roman"/>
          <w:bCs/>
          <w:sz w:val="24"/>
        </w:rPr>
        <w:t>T</w:t>
      </w:r>
      <w:r>
        <w:rPr>
          <w:rFonts w:hint="eastAsia" w:ascii="Times New Roman" w:hAnsi="Times New Roman"/>
          <w:bCs/>
          <w:sz w:val="24"/>
        </w:rPr>
        <w:t>日起，上海证券交易所正常交易日已达到</w:t>
      </w:r>
      <w:r>
        <w:rPr>
          <w:rFonts w:ascii="Times New Roman" w:hAnsi="Times New Roman"/>
          <w:bCs/>
          <w:sz w:val="24"/>
        </w:rPr>
        <w:t>20</w:t>
      </w:r>
      <w:r>
        <w:rPr>
          <w:rFonts w:hint="eastAsia" w:ascii="Times New Roman" w:hAnsi="Times New Roman"/>
          <w:bCs/>
          <w:sz w:val="24"/>
        </w:rPr>
        <w:t>日而该证券正常交易日低于</w:t>
      </w:r>
      <w:r>
        <w:rPr>
          <w:rFonts w:ascii="Times New Roman" w:hAnsi="Times New Roman"/>
          <w:bCs/>
          <w:sz w:val="24"/>
        </w:rPr>
        <w:t>2</w:t>
      </w:r>
      <w:r>
        <w:rPr>
          <w:rFonts w:hint="eastAsia" w:ascii="Times New Roman" w:hAnsi="Times New Roman"/>
          <w:bCs/>
          <w:sz w:val="24"/>
        </w:rPr>
        <w:t>日，则以替代金额与所购入的部分被替代证券实际购入成本加上按照最近一次收盘价计算的未购入的部分被替代证券价值的差额，确定基金应退还投资人或投资人应补交的款项。</w:t>
      </w:r>
    </w:p>
    <w:p>
      <w:pPr>
        <w:spacing w:line="360" w:lineRule="auto"/>
        <w:ind w:firstLine="480" w:firstLineChars="200"/>
        <w:rPr>
          <w:rFonts w:ascii="Times New Roman" w:hAnsi="Times New Roman"/>
          <w:bCs/>
          <w:sz w:val="24"/>
        </w:rPr>
      </w:pPr>
      <w:r>
        <w:rPr>
          <w:rFonts w:hint="eastAsia" w:ascii="Times New Roman" w:hAnsi="Times New Roman"/>
          <w:bCs/>
          <w:sz w:val="24"/>
        </w:rPr>
        <w:t>若现金替代日（</w:t>
      </w:r>
      <w:r>
        <w:rPr>
          <w:rFonts w:ascii="Times New Roman" w:hAnsi="Times New Roman"/>
          <w:bCs/>
          <w:sz w:val="24"/>
        </w:rPr>
        <w:t>T</w:t>
      </w:r>
      <w:r>
        <w:rPr>
          <w:rFonts w:hint="eastAsia" w:ascii="Times New Roman" w:hAnsi="Times New Roman"/>
          <w:bCs/>
          <w:sz w:val="24"/>
        </w:rPr>
        <w:t>日）后至</w:t>
      </w:r>
      <w:r>
        <w:rPr>
          <w:rFonts w:ascii="Times New Roman" w:hAnsi="Times New Roman"/>
          <w:bCs/>
          <w:sz w:val="24"/>
        </w:rPr>
        <w:t>T+2</w:t>
      </w:r>
      <w:r>
        <w:rPr>
          <w:rFonts w:hint="eastAsia" w:ascii="Times New Roman" w:hAnsi="Times New Roman"/>
          <w:bCs/>
          <w:sz w:val="24"/>
        </w:rPr>
        <w:t>日（若在特例情况下，则为</w:t>
      </w:r>
      <w:r>
        <w:rPr>
          <w:rFonts w:ascii="Times New Roman" w:hAnsi="Times New Roman"/>
          <w:bCs/>
          <w:sz w:val="24"/>
        </w:rPr>
        <w:t>T</w:t>
      </w:r>
      <w:r>
        <w:rPr>
          <w:rFonts w:hint="eastAsia" w:ascii="Times New Roman" w:hAnsi="Times New Roman"/>
          <w:bCs/>
          <w:sz w:val="24"/>
        </w:rPr>
        <w:t>日起第</w:t>
      </w:r>
      <w:r>
        <w:rPr>
          <w:rFonts w:ascii="Times New Roman" w:hAnsi="Times New Roman"/>
          <w:bCs/>
          <w:sz w:val="24"/>
        </w:rPr>
        <w:t>20</w:t>
      </w:r>
      <w:r>
        <w:rPr>
          <w:rFonts w:hint="eastAsia" w:ascii="Times New Roman" w:hAnsi="Times New Roman"/>
          <w:bCs/>
          <w:sz w:val="24"/>
        </w:rPr>
        <w:t>个交易日）期间发生除息、送股（转增）、配股等权益变动，则进行相应调整。</w:t>
      </w:r>
    </w:p>
    <w:p>
      <w:pPr>
        <w:spacing w:line="360" w:lineRule="auto"/>
        <w:ind w:firstLine="480" w:firstLineChars="200"/>
        <w:rPr>
          <w:rFonts w:ascii="Times New Roman" w:hAnsi="Times New Roman"/>
          <w:bCs/>
          <w:sz w:val="24"/>
        </w:rPr>
      </w:pPr>
      <w:r>
        <w:rPr>
          <w:rFonts w:ascii="Times New Roman" w:hAnsi="Times New Roman"/>
          <w:bCs/>
          <w:sz w:val="24"/>
        </w:rPr>
        <w:t>T+2</w:t>
      </w:r>
      <w:r>
        <w:rPr>
          <w:rFonts w:hint="eastAsia" w:ascii="Times New Roman" w:hAnsi="Times New Roman"/>
          <w:bCs/>
          <w:sz w:val="24"/>
        </w:rPr>
        <w:t>日后第</w:t>
      </w:r>
      <w:r>
        <w:rPr>
          <w:rFonts w:ascii="Times New Roman" w:hAnsi="Times New Roman"/>
          <w:bCs/>
          <w:sz w:val="24"/>
        </w:rPr>
        <w:t>1</w:t>
      </w:r>
      <w:r>
        <w:rPr>
          <w:rFonts w:hint="eastAsia" w:ascii="Times New Roman" w:hAnsi="Times New Roman"/>
          <w:bCs/>
          <w:sz w:val="24"/>
        </w:rPr>
        <w:t>个工作日（若在特例情况下，则为</w:t>
      </w:r>
      <w:r>
        <w:rPr>
          <w:rFonts w:ascii="Times New Roman" w:hAnsi="Times New Roman"/>
          <w:bCs/>
          <w:sz w:val="24"/>
        </w:rPr>
        <w:t>T</w:t>
      </w:r>
      <w:r>
        <w:rPr>
          <w:rFonts w:hint="eastAsia" w:ascii="Times New Roman" w:hAnsi="Times New Roman"/>
          <w:bCs/>
          <w:sz w:val="24"/>
        </w:rPr>
        <w:t>日起第</w:t>
      </w:r>
      <w:r>
        <w:rPr>
          <w:rFonts w:ascii="Times New Roman" w:hAnsi="Times New Roman"/>
          <w:bCs/>
          <w:sz w:val="24"/>
        </w:rPr>
        <w:t>21</w:t>
      </w:r>
      <w:r>
        <w:rPr>
          <w:rFonts w:hint="eastAsia" w:ascii="Times New Roman" w:hAnsi="Times New Roman"/>
          <w:bCs/>
          <w:sz w:val="24"/>
        </w:rPr>
        <w:t>个交易日），基金管理人将应退款和补款的明细及汇总数据发送给相关申购赎回代理券商和基金托管人，相关款项的清算交收将于此后</w:t>
      </w:r>
      <w:r>
        <w:rPr>
          <w:rFonts w:ascii="Times New Roman" w:hAnsi="Times New Roman"/>
          <w:bCs/>
          <w:sz w:val="24"/>
        </w:rPr>
        <w:t>3</w:t>
      </w:r>
      <w:r>
        <w:rPr>
          <w:rFonts w:hint="eastAsia" w:ascii="Times New Roman" w:hAnsi="Times New Roman"/>
          <w:bCs/>
          <w:sz w:val="24"/>
        </w:rPr>
        <w:t>个工作日内完成。如遇特殊情况，基金管理人有权延后发送数据并延迟交收相关款项。</w:t>
      </w:r>
    </w:p>
    <w:p>
      <w:pPr>
        <w:spacing w:line="360" w:lineRule="auto"/>
        <w:ind w:firstLine="420" w:firstLineChars="200"/>
        <w:rPr>
          <w:rFonts w:ascii="Times New Roman" w:hAnsi="Times New Roman"/>
        </w:rPr>
      </w:pPr>
      <w:r>
        <w:rPr>
          <w:rFonts w:ascii="Times New Roman" w:hAnsi="Times New Roman"/>
        </w:rPr>
        <w:drawing>
          <wp:anchor distT="0" distB="0" distL="0" distR="0" simplePos="0" relativeHeight="251659264" behindDoc="0" locked="0" layoutInCell="1" allowOverlap="1">
            <wp:simplePos x="0" y="0"/>
            <wp:positionH relativeFrom="page">
              <wp:posOffset>1377950</wp:posOffset>
            </wp:positionH>
            <wp:positionV relativeFrom="paragraph">
              <wp:posOffset>980440</wp:posOffset>
            </wp:positionV>
            <wp:extent cx="4751705" cy="38100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751705" cy="381000"/>
                    </a:xfrm>
                    <a:prstGeom prst="rect">
                      <a:avLst/>
                    </a:prstGeom>
                    <a:noFill/>
                    <a:ln>
                      <a:noFill/>
                    </a:ln>
                  </pic:spPr>
                </pic:pic>
              </a:graphicData>
            </a:graphic>
          </wp:anchor>
        </w:drawing>
      </w:r>
      <w:r>
        <w:rPr>
          <w:rFonts w:hint="eastAsia" w:ascii="Times New Roman" w:hAnsi="Times New Roman"/>
          <w:bCs/>
          <w:sz w:val="24"/>
        </w:rPr>
        <w:t>④替代限制：针对沪市成份证券，为有效控制基金的跟踪偏离度和跟踪误差，基金管理人可规定投资人使用可以现金替代的比例合计不得超过申购基金份额资产净值的一定比例。现金替代比例的计算公式为：</w:t>
      </w:r>
    </w:p>
    <w:p>
      <w:pPr>
        <w:spacing w:line="360" w:lineRule="auto"/>
        <w:ind w:firstLine="480" w:firstLineChars="200"/>
        <w:rPr>
          <w:rFonts w:ascii="Times New Roman" w:hAnsi="Times New Roman"/>
          <w:bCs/>
          <w:sz w:val="24"/>
        </w:rPr>
      </w:pPr>
    </w:p>
    <w:p>
      <w:pPr>
        <w:spacing w:line="360" w:lineRule="auto"/>
        <w:ind w:firstLine="480" w:firstLineChars="200"/>
        <w:rPr>
          <w:rFonts w:ascii="Times New Roman" w:hAnsi="Times New Roman"/>
          <w:bCs/>
          <w:sz w:val="24"/>
        </w:rPr>
      </w:pPr>
      <w:r>
        <w:rPr>
          <w:rFonts w:hint="eastAsia" w:ascii="Times New Roman" w:hAnsi="Times New Roman"/>
          <w:bCs/>
          <w:sz w:val="24"/>
        </w:rPr>
        <w:t>其中：“该证券参考价格”目前为该证券前一交易日除权除息后的收盘价。如果上海证券交易所对“该证券参考价格”确定原则发生变化，以上海证券交易所通知规定的参考价格为准。“参考基金份额净值”目前为本基金前一交易日除权除息后的收盘价。如果上海证券交易所参考基金份额净值计算方式发生变化，以上海证券交易所通知规定的参考基金份额净值为准。</w:t>
      </w:r>
    </w:p>
    <w:p>
      <w:pPr>
        <w:spacing w:line="360" w:lineRule="auto"/>
        <w:ind w:firstLine="480" w:firstLineChars="200"/>
        <w:rPr>
          <w:rFonts w:ascii="Times New Roman" w:hAnsi="Times New Roman"/>
          <w:bCs/>
          <w:sz w:val="24"/>
        </w:rPr>
      </w:pPr>
      <w:r>
        <w:rPr>
          <w:rFonts w:hint="eastAsia" w:ascii="Times New Roman" w:hAnsi="Times New Roman"/>
          <w:bCs/>
          <w:sz w:val="24"/>
        </w:rPr>
        <w:t>如果上海证券交易所现金替代比例计算公式发生变化，以上海证券交易所通知规定为准。</w:t>
      </w:r>
    </w:p>
    <w:p>
      <w:pPr>
        <w:numPr>
          <w:ilvl w:val="0"/>
          <w:numId w:val="3"/>
        </w:numPr>
        <w:spacing w:line="360" w:lineRule="auto"/>
        <w:ind w:firstLine="720"/>
        <w:rPr>
          <w:rFonts w:ascii="Times New Roman" w:hAnsi="Times New Roman"/>
          <w:bCs/>
          <w:sz w:val="24"/>
        </w:rPr>
      </w:pPr>
      <w:r>
        <w:rPr>
          <w:rFonts w:hint="eastAsia" w:ascii="Times New Roman" w:hAnsi="Times New Roman"/>
          <w:bCs/>
          <w:sz w:val="24"/>
        </w:rPr>
        <w:t>对于深市成份证券</w:t>
      </w:r>
    </w:p>
    <w:p>
      <w:pPr>
        <w:spacing w:line="360" w:lineRule="auto"/>
        <w:ind w:firstLine="480" w:firstLineChars="200"/>
        <w:rPr>
          <w:rFonts w:ascii="Times New Roman" w:hAnsi="Times New Roman"/>
          <w:bCs/>
          <w:sz w:val="24"/>
        </w:rPr>
      </w:pPr>
      <w:r>
        <w:rPr>
          <w:rFonts w:hint="eastAsia" w:ascii="Times New Roman" w:hAnsi="Times New Roman"/>
          <w:bCs/>
          <w:sz w:val="24"/>
        </w:rPr>
        <w:t>①适用情形：投资者申购和赎回时的深市成份证券。</w:t>
      </w:r>
      <w:r>
        <w:rPr>
          <w:rFonts w:ascii="宋体" w:hAnsi="宋体" w:cs="宋体"/>
          <w:sz w:val="24"/>
          <w:szCs w:val="24"/>
        </w:rPr>
        <w:t>登记机构对设置可以现金替代的深市成份证券全部用现金替代。</w:t>
      </w:r>
    </w:p>
    <w:p>
      <w:pPr>
        <w:spacing w:line="360" w:lineRule="auto"/>
        <w:ind w:firstLine="480" w:firstLineChars="200"/>
        <w:rPr>
          <w:rFonts w:ascii="Times New Roman" w:hAnsi="Times New Roman"/>
          <w:bCs/>
          <w:sz w:val="24"/>
        </w:rPr>
      </w:pPr>
      <w:r>
        <w:rPr>
          <w:rFonts w:hint="eastAsia" w:ascii="Times New Roman" w:hAnsi="Times New Roman"/>
          <w:bCs/>
          <w:sz w:val="24"/>
        </w:rPr>
        <w:t>②替代金额：</w:t>
      </w:r>
    </w:p>
    <w:p>
      <w:pPr>
        <w:spacing w:line="360" w:lineRule="auto"/>
        <w:ind w:firstLine="480" w:firstLineChars="200"/>
        <w:rPr>
          <w:rFonts w:ascii="宋体" w:hAnsi="宋体" w:cs="宋体"/>
          <w:sz w:val="24"/>
          <w:szCs w:val="24"/>
        </w:rPr>
      </w:pPr>
      <w:r>
        <w:rPr>
          <w:rFonts w:hint="eastAsia" w:ascii="Times New Roman" w:hAnsi="Times New Roman"/>
          <w:bCs/>
          <w:sz w:val="24"/>
        </w:rPr>
        <w:t>申购替代金额</w:t>
      </w:r>
      <w:r>
        <w:rPr>
          <w:rFonts w:ascii="宋体" w:hAnsi="宋体" w:cs="宋体"/>
          <w:sz w:val="24"/>
          <w:szCs w:val="24"/>
        </w:rPr>
        <w:t>＝替代证券数量×该证券参考价格×（1＋</w:t>
      </w:r>
      <w:r>
        <w:rPr>
          <w:rFonts w:hint="eastAsia" w:ascii="宋体" w:hAnsi="宋体" w:cs="宋体"/>
          <w:sz w:val="24"/>
          <w:szCs w:val="24"/>
        </w:rPr>
        <w:t>申购</w:t>
      </w:r>
      <w:r>
        <w:rPr>
          <w:rFonts w:ascii="宋体" w:hAnsi="宋体" w:cs="宋体"/>
          <w:sz w:val="24"/>
          <w:szCs w:val="24"/>
        </w:rPr>
        <w:t>现金替代溢价比例）</w:t>
      </w:r>
    </w:p>
    <w:p>
      <w:pPr>
        <w:spacing w:line="360" w:lineRule="auto"/>
        <w:ind w:firstLine="480" w:firstLineChars="200"/>
        <w:rPr>
          <w:rFonts w:ascii="宋体" w:hAnsi="宋体" w:cs="宋体"/>
          <w:sz w:val="24"/>
          <w:szCs w:val="24"/>
        </w:rPr>
      </w:pPr>
      <w:r>
        <w:rPr>
          <w:rFonts w:ascii="宋体" w:hAnsi="宋体" w:cs="宋体"/>
          <w:sz w:val="24"/>
          <w:szCs w:val="24"/>
        </w:rPr>
        <w:t>赎回替代金额＝替代证券数量×该证券参考价格×（1-</w:t>
      </w:r>
      <w:r>
        <w:rPr>
          <w:rFonts w:hint="eastAsia" w:ascii="宋体" w:hAnsi="宋体" w:cs="宋体"/>
          <w:sz w:val="24"/>
          <w:szCs w:val="24"/>
        </w:rPr>
        <w:t>赎回</w:t>
      </w:r>
      <w:r>
        <w:rPr>
          <w:rFonts w:ascii="宋体" w:hAnsi="宋体" w:cs="宋体"/>
          <w:sz w:val="24"/>
          <w:szCs w:val="24"/>
        </w:rPr>
        <w:t>现金替代折价比例）</w:t>
      </w:r>
    </w:p>
    <w:p>
      <w:pPr>
        <w:spacing w:line="360" w:lineRule="auto"/>
        <w:ind w:firstLine="480" w:firstLineChars="200"/>
        <w:rPr>
          <w:rFonts w:ascii="Times New Roman" w:hAnsi="Times New Roman"/>
          <w:bCs/>
          <w:sz w:val="24"/>
        </w:rPr>
      </w:pPr>
      <w:r>
        <w:rPr>
          <w:rFonts w:hint="eastAsia" w:ascii="Times New Roman" w:hAnsi="Times New Roman"/>
          <w:bCs/>
          <w:sz w:val="24"/>
        </w:rPr>
        <w:t>其中，“该证券参考价格”目前为该证券前一交易日除权除息后的收盘价。</w:t>
      </w:r>
    </w:p>
    <w:p>
      <w:pPr>
        <w:spacing w:line="360" w:lineRule="auto"/>
        <w:ind w:firstLine="480" w:firstLineChars="200"/>
        <w:rPr>
          <w:rFonts w:ascii="Times New Roman" w:hAnsi="Times New Roman"/>
          <w:bCs/>
          <w:sz w:val="24"/>
        </w:rPr>
      </w:pPr>
      <w:r>
        <w:rPr>
          <w:rFonts w:hint="eastAsia" w:ascii="Times New Roman" w:hAnsi="Times New Roman"/>
          <w:bCs/>
          <w:sz w:val="24"/>
        </w:rPr>
        <w:t>如果深圳证券交易所对“该证券参考价格”确定原则发生变化，以深圳证券交易所通知规定的参考价格为准。</w:t>
      </w:r>
    </w:p>
    <w:p>
      <w:pPr>
        <w:spacing w:line="360" w:lineRule="auto"/>
        <w:ind w:firstLine="480" w:firstLineChars="200"/>
        <w:rPr>
          <w:rFonts w:ascii="Times New Roman" w:hAnsi="Times New Roman"/>
          <w:bCs/>
          <w:sz w:val="24"/>
        </w:rPr>
      </w:pPr>
      <w:r>
        <w:rPr>
          <w:rFonts w:hint="eastAsia" w:ascii="Times New Roman" w:hAnsi="Times New Roman"/>
          <w:bCs/>
          <w:sz w:val="24"/>
        </w:rPr>
        <w:t>收取申购现金替代溢价的原因是，对于可以现金替代的深市成份证券，</w:t>
      </w:r>
      <w:r>
        <w:rPr>
          <w:rFonts w:ascii="宋体" w:hAnsi="宋体" w:cs="宋体"/>
          <w:sz w:val="24"/>
          <w:szCs w:val="24"/>
        </w:rPr>
        <w:t>基金管理人将买入该部分证券，实际买入价格加上相关交易费用后与申购时的参考价格可能有所差异。为便于操作，基金管理人在申购赎回清单中预先确定</w:t>
      </w:r>
      <w:r>
        <w:rPr>
          <w:rFonts w:hint="eastAsia" w:ascii="宋体" w:hAnsi="宋体" w:cs="宋体"/>
          <w:sz w:val="24"/>
          <w:szCs w:val="24"/>
        </w:rPr>
        <w:t>申购</w:t>
      </w:r>
      <w:r>
        <w:rPr>
          <w:rFonts w:ascii="宋体" w:hAnsi="宋体" w:cs="宋体"/>
          <w:sz w:val="24"/>
          <w:szCs w:val="24"/>
        </w:rPr>
        <w:t>现金替代溢价比例，并据此收取替代金额。如果预先收取的金额高于基金</w:t>
      </w:r>
      <w:r>
        <w:rPr>
          <w:rFonts w:hint="eastAsia" w:ascii="Times New Roman" w:hAnsi="Times New Roman"/>
          <w:bCs/>
          <w:sz w:val="24"/>
        </w:rPr>
        <w:t>买入</w:t>
      </w:r>
      <w:r>
        <w:rPr>
          <w:rFonts w:ascii="宋体" w:hAnsi="宋体" w:cs="宋体"/>
          <w:sz w:val="24"/>
          <w:szCs w:val="24"/>
        </w:rPr>
        <w:t>该部分证券的实际成本，则基金管理人将退还多收取的差额；如果预先收取的金额低于基金</w:t>
      </w:r>
      <w:r>
        <w:rPr>
          <w:rFonts w:hint="eastAsia" w:ascii="Times New Roman" w:hAnsi="Times New Roman"/>
          <w:bCs/>
          <w:sz w:val="24"/>
        </w:rPr>
        <w:t>买入</w:t>
      </w:r>
      <w:r>
        <w:rPr>
          <w:rFonts w:ascii="宋体" w:hAnsi="宋体" w:cs="宋体"/>
          <w:sz w:val="24"/>
          <w:szCs w:val="24"/>
        </w:rPr>
        <w:t>该部分证券的实际成本，则基金管理人将向投资者收取欠缺的差额。</w:t>
      </w:r>
    </w:p>
    <w:p>
      <w:pPr>
        <w:spacing w:line="360" w:lineRule="auto"/>
        <w:ind w:firstLine="480" w:firstLineChars="200"/>
        <w:rPr>
          <w:rFonts w:ascii="宋体" w:hAnsi="宋体" w:cs="宋体"/>
          <w:sz w:val="24"/>
          <w:szCs w:val="24"/>
        </w:rPr>
      </w:pPr>
      <w:r>
        <w:rPr>
          <w:rFonts w:ascii="宋体" w:hAnsi="宋体" w:cs="宋体"/>
          <w:sz w:val="24"/>
          <w:szCs w:val="24"/>
        </w:rPr>
        <w:t>赎回时扣除现金替代折价的原因是，对于</w:t>
      </w:r>
      <w:r>
        <w:rPr>
          <w:rFonts w:hint="eastAsia" w:ascii="Times New Roman" w:hAnsi="Times New Roman"/>
          <w:bCs/>
          <w:sz w:val="24"/>
        </w:rPr>
        <w:t>可以</w:t>
      </w:r>
      <w:r>
        <w:rPr>
          <w:rFonts w:ascii="宋体" w:hAnsi="宋体" w:cs="宋体"/>
          <w:sz w:val="24"/>
          <w:szCs w:val="24"/>
        </w:rPr>
        <w:t>现金替代的</w:t>
      </w:r>
      <w:r>
        <w:rPr>
          <w:rFonts w:hint="eastAsia" w:ascii="Times New Roman" w:hAnsi="Times New Roman"/>
          <w:bCs/>
          <w:sz w:val="24"/>
        </w:rPr>
        <w:t>深市</w:t>
      </w:r>
      <w:r>
        <w:rPr>
          <w:rFonts w:ascii="宋体" w:hAnsi="宋体" w:cs="宋体"/>
          <w:sz w:val="24"/>
          <w:szCs w:val="24"/>
        </w:rPr>
        <w:t>成份证券，基金管理人将卖出该部分证券，实际卖出价格扣除相关交易费用后与赎回时的参考价格可能有所差异。为便于操作，基金管理人在申购赎回清单中预先确定</w:t>
      </w:r>
      <w:r>
        <w:rPr>
          <w:rFonts w:hint="eastAsia" w:ascii="宋体" w:hAnsi="宋体" w:cs="宋体"/>
          <w:sz w:val="24"/>
          <w:szCs w:val="24"/>
        </w:rPr>
        <w:t>赎回</w:t>
      </w:r>
      <w:r>
        <w:rPr>
          <w:rFonts w:ascii="宋体" w:hAnsi="宋体" w:cs="宋体"/>
          <w:sz w:val="24"/>
          <w:szCs w:val="24"/>
        </w:rPr>
        <w:t>现金替代折价比例，并据此支付替代金额。如果预先支付的金额低于基金卖出该部分证券的实际收入，则基金管理人将退还少支付的差额；如果预先支付的金额高于基金卖出该部分证券的实际收入，则基金管理人将向投资者收取多支付的差额。</w:t>
      </w:r>
    </w:p>
    <w:p>
      <w:pPr>
        <w:spacing w:line="360" w:lineRule="auto"/>
        <w:ind w:firstLine="480" w:firstLineChars="200"/>
        <w:rPr>
          <w:rFonts w:ascii="宋体" w:hAnsi="宋体" w:cs="宋体"/>
          <w:sz w:val="24"/>
          <w:szCs w:val="24"/>
        </w:rPr>
      </w:pPr>
      <w:r>
        <w:rPr>
          <w:rFonts w:ascii="宋体" w:hAnsi="宋体" w:cs="宋体"/>
          <w:sz w:val="24"/>
          <w:szCs w:val="24"/>
        </w:rPr>
        <w:t>③替代金额的处理程序</w:t>
      </w:r>
    </w:p>
    <w:p>
      <w:pPr>
        <w:spacing w:line="360" w:lineRule="auto"/>
        <w:ind w:firstLine="480" w:firstLineChars="200"/>
        <w:rPr>
          <w:rFonts w:ascii="Times New Roman" w:hAnsi="Times New Roman"/>
          <w:bCs/>
          <w:sz w:val="24"/>
        </w:rPr>
      </w:pPr>
      <w:r>
        <w:rPr>
          <w:rFonts w:hint="eastAsia" w:ascii="Times New Roman" w:hAnsi="Times New Roman"/>
          <w:bCs/>
          <w:sz w:val="24"/>
        </w:rPr>
        <w:t>T日，基金管理人在申购赎回清单中公布申购现金替代溢价比例和赎回现金替代折价比例，并据此收取申购替代金额和支付赎回替代金额。</w:t>
      </w:r>
    </w:p>
    <w:p>
      <w:pPr>
        <w:spacing w:line="360" w:lineRule="auto"/>
        <w:ind w:firstLine="480" w:firstLineChars="200"/>
        <w:rPr>
          <w:rFonts w:ascii="Times New Roman" w:hAnsi="Times New Roman"/>
          <w:bCs/>
          <w:sz w:val="24"/>
        </w:rPr>
      </w:pPr>
      <w:r>
        <w:rPr>
          <w:rFonts w:hint="eastAsia" w:ascii="Times New Roman" w:hAnsi="Times New Roman"/>
          <w:bCs/>
          <w:sz w:val="24"/>
        </w:rPr>
        <w:t>基金管理人将自</w:t>
      </w:r>
      <w:r>
        <w:rPr>
          <w:rFonts w:ascii="Times New Roman" w:hAnsi="Times New Roman"/>
          <w:bCs/>
          <w:sz w:val="24"/>
        </w:rPr>
        <w:t>T</w:t>
      </w:r>
      <w:r>
        <w:rPr>
          <w:rFonts w:hint="eastAsia" w:ascii="Times New Roman" w:hAnsi="Times New Roman"/>
          <w:bCs/>
          <w:sz w:val="24"/>
        </w:rPr>
        <w:t>日起在收到申购交易确认后按照“时间优先，实时申报”的原则依次买入申购被替代的部分证券，在收到赎回交易确定后按照“时间优先、实时申报”的原则依次卖出赎回被替代的部分证券。</w:t>
      </w:r>
      <w:r>
        <w:rPr>
          <w:rFonts w:ascii="Times New Roman" w:hAnsi="Times New Roman"/>
          <w:bCs/>
          <w:sz w:val="24"/>
        </w:rPr>
        <w:t>T</w:t>
      </w:r>
      <w:r>
        <w:rPr>
          <w:rFonts w:hint="eastAsia" w:ascii="Times New Roman" w:hAnsi="Times New Roman"/>
          <w:bCs/>
          <w:sz w:val="24"/>
        </w:rPr>
        <w:t>日未完成的交易，基金管理人在</w:t>
      </w:r>
      <w:r>
        <w:rPr>
          <w:rFonts w:ascii="Times New Roman" w:hAnsi="Times New Roman"/>
          <w:bCs/>
          <w:sz w:val="24"/>
        </w:rPr>
        <w:t>T</w:t>
      </w:r>
      <w:r>
        <w:rPr>
          <w:rFonts w:hint="eastAsia" w:ascii="Times New Roman" w:hAnsi="Times New Roman"/>
          <w:bCs/>
          <w:sz w:val="24"/>
        </w:rPr>
        <w:t>日后被替代的成份证券有正常交易的</w:t>
      </w:r>
      <w:r>
        <w:rPr>
          <w:rFonts w:ascii="Times New Roman" w:hAnsi="Times New Roman"/>
          <w:bCs/>
          <w:sz w:val="24"/>
        </w:rPr>
        <w:t>2</w:t>
      </w:r>
      <w:r>
        <w:rPr>
          <w:rFonts w:hint="eastAsia" w:ascii="Times New Roman" w:hAnsi="Times New Roman"/>
          <w:bCs/>
          <w:sz w:val="24"/>
        </w:rPr>
        <w:t>个交易日（简称为T</w:t>
      </w:r>
      <w:r>
        <w:rPr>
          <w:rFonts w:ascii="Times New Roman" w:hAnsi="Times New Roman"/>
          <w:bCs/>
          <w:sz w:val="24"/>
        </w:rPr>
        <w:t>+2</w:t>
      </w:r>
      <w:r>
        <w:rPr>
          <w:rFonts w:hint="eastAsia" w:ascii="Times New Roman" w:hAnsi="Times New Roman"/>
          <w:bCs/>
          <w:sz w:val="24"/>
        </w:rPr>
        <w:t>日）内完成上述交易。基金管理人有权根据基金投资的需要自主决定不买入或不卖出部分被替代证券，或者不进行任何买入、卖出证券的操作。</w:t>
      </w:r>
    </w:p>
    <w:p>
      <w:pPr>
        <w:spacing w:line="360" w:lineRule="auto"/>
        <w:ind w:firstLine="480" w:firstLineChars="200"/>
        <w:rPr>
          <w:rFonts w:ascii="Times New Roman" w:hAnsi="Times New Roman"/>
          <w:bCs/>
          <w:sz w:val="24"/>
        </w:rPr>
      </w:pPr>
      <w:r>
        <w:rPr>
          <w:rFonts w:hint="eastAsia" w:ascii="Times New Roman" w:hAnsi="Times New Roman"/>
          <w:bCs/>
          <w:sz w:val="24"/>
        </w:rPr>
        <w:t>时间优先的原则为：申购赎回方向相同的，先确认成交者优先于后确认成交者。先后顺序按照上海证券交易所确认申购赎回的时间确定。</w:t>
      </w:r>
    </w:p>
    <w:p>
      <w:pPr>
        <w:spacing w:line="360" w:lineRule="auto"/>
        <w:ind w:firstLine="480" w:firstLineChars="200"/>
        <w:rPr>
          <w:rFonts w:ascii="Times New Roman" w:hAnsi="Times New Roman"/>
          <w:bCs/>
          <w:sz w:val="24"/>
        </w:rPr>
      </w:pPr>
      <w:r>
        <w:rPr>
          <w:rFonts w:hint="eastAsia" w:ascii="Times New Roman" w:hAnsi="Times New Roman"/>
          <w:bCs/>
          <w:sz w:val="24"/>
        </w:rPr>
        <w:t>实时申报的原则为：基金管理人在深圳证券交易所连续竞价期间，根据收到的上海证券交易所申购赎回确认记录，在技术系统允许的情况下实时向深圳证券交易所申报被替代证券的交易指令。</w:t>
      </w:r>
    </w:p>
    <w:p>
      <w:pPr>
        <w:spacing w:line="360" w:lineRule="auto"/>
        <w:ind w:firstLine="480" w:firstLineChars="200"/>
        <w:rPr>
          <w:rFonts w:ascii="Times New Roman" w:hAnsi="Times New Roman"/>
          <w:bCs/>
          <w:sz w:val="24"/>
        </w:rPr>
      </w:pPr>
      <w:r>
        <w:rPr>
          <w:rFonts w:ascii="Times New Roman" w:hAnsi="Times New Roman"/>
          <w:bCs/>
          <w:sz w:val="24"/>
        </w:rPr>
        <w:t>T</w:t>
      </w:r>
      <w:r>
        <w:rPr>
          <w:rFonts w:hint="eastAsia" w:ascii="Times New Roman" w:hAnsi="Times New Roman"/>
          <w:bCs/>
          <w:sz w:val="24"/>
        </w:rPr>
        <w:t>日基金管理人按照“时间优先”的原则依次与申购投资人确定基金应退还投资人或投资人应补交的款项，即按照申购时间顺序，以替代金额与被替代证券的依次实际购入成本（包括买入价格与交易费用）的差额，确定基金应退还申购投资人或申购投资人应补交的款项；按照“时间优先”的原则依次与赎回投资人确定基金应退还投资人或投资人应补交的款项，即按照赎回时间顺序，以替代金额与被替代证券的依次实际卖出收入（卖出价格扣除交易费用）的差额，确定基金应退还赎回投资人或赎回投资人应补交的款项。</w:t>
      </w:r>
    </w:p>
    <w:p>
      <w:pPr>
        <w:spacing w:line="360" w:lineRule="auto"/>
        <w:ind w:firstLine="480" w:firstLineChars="200"/>
        <w:rPr>
          <w:rFonts w:ascii="Times New Roman" w:hAnsi="Times New Roman"/>
          <w:bCs/>
          <w:sz w:val="24"/>
        </w:rPr>
      </w:pPr>
      <w:r>
        <w:rPr>
          <w:rFonts w:hint="eastAsia" w:ascii="Times New Roman" w:hAnsi="Times New Roman"/>
          <w:bCs/>
          <w:sz w:val="24"/>
        </w:rPr>
        <w:t>对于</w:t>
      </w:r>
      <w:r>
        <w:rPr>
          <w:rFonts w:ascii="Times New Roman" w:hAnsi="Times New Roman"/>
          <w:bCs/>
          <w:sz w:val="24"/>
        </w:rPr>
        <w:t>T</w:t>
      </w:r>
      <w:r>
        <w:rPr>
          <w:rFonts w:hint="eastAsia" w:ascii="Times New Roman" w:hAnsi="Times New Roman"/>
          <w:bCs/>
          <w:sz w:val="24"/>
        </w:rPr>
        <w:t>日因停牌或流动性不足等原因未购入和未卖出的被替代的部分证券，</w:t>
      </w:r>
      <w:r>
        <w:rPr>
          <w:rFonts w:ascii="Times New Roman" w:hAnsi="Times New Roman"/>
          <w:bCs/>
          <w:sz w:val="24"/>
        </w:rPr>
        <w:t>T</w:t>
      </w:r>
      <w:r>
        <w:rPr>
          <w:rFonts w:hint="eastAsia" w:ascii="Times New Roman" w:hAnsi="Times New Roman"/>
          <w:bCs/>
          <w:sz w:val="24"/>
        </w:rPr>
        <w:t>日后基金管理人可以继续进行被替代证券的买入和卖出，按照前述原则确定基金应退还投资人或投资人应补交的款项。</w:t>
      </w:r>
    </w:p>
    <w:p>
      <w:pPr>
        <w:spacing w:line="360" w:lineRule="auto"/>
        <w:ind w:firstLine="480" w:firstLineChars="200"/>
        <w:rPr>
          <w:rFonts w:ascii="Times New Roman" w:hAnsi="Times New Roman"/>
          <w:bCs/>
          <w:sz w:val="24"/>
        </w:rPr>
      </w:pPr>
      <w:r>
        <w:rPr>
          <w:rFonts w:ascii="Times New Roman" w:hAnsi="Times New Roman"/>
          <w:bCs/>
          <w:sz w:val="24"/>
        </w:rPr>
        <w:t>T+2</w:t>
      </w:r>
      <w:r>
        <w:rPr>
          <w:rFonts w:hint="eastAsia" w:ascii="Times New Roman" w:hAnsi="Times New Roman"/>
          <w:bCs/>
          <w:sz w:val="24"/>
        </w:rPr>
        <w:t>日日终，若已购入全部被替代的证券，则以替代金额与被替代证券的实际购入成本（包括买入价格与交易费用）的差额，确定基金应退还申购投资人或申购投资人应补交的款项；若未能购入全部被替代的证券，则以替代金额与所购入的部分被替代证券实际购入成本（包括买入价格与交易费用）加上按照</w:t>
      </w:r>
      <w:r>
        <w:rPr>
          <w:rFonts w:ascii="Times New Roman" w:hAnsi="Times New Roman"/>
          <w:bCs/>
          <w:sz w:val="24"/>
        </w:rPr>
        <w:t>T+2</w:t>
      </w:r>
      <w:r>
        <w:rPr>
          <w:rFonts w:hint="eastAsia" w:ascii="Times New Roman" w:hAnsi="Times New Roman"/>
          <w:bCs/>
          <w:sz w:val="24"/>
        </w:rPr>
        <w:t>日收盘价计算的未购入的部分被替代证券价值的差额，确定基金应退还申购投资人或申购投资人应补交的款项。</w:t>
      </w:r>
    </w:p>
    <w:p>
      <w:pPr>
        <w:spacing w:line="360" w:lineRule="auto"/>
        <w:ind w:firstLine="480" w:firstLineChars="200"/>
        <w:rPr>
          <w:rFonts w:ascii="Times New Roman" w:hAnsi="Times New Roman"/>
          <w:bCs/>
          <w:sz w:val="24"/>
        </w:rPr>
      </w:pPr>
      <w:r>
        <w:rPr>
          <w:rFonts w:ascii="Times New Roman" w:hAnsi="Times New Roman"/>
          <w:bCs/>
          <w:sz w:val="24"/>
        </w:rPr>
        <w:t>T+2</w:t>
      </w:r>
      <w:r>
        <w:rPr>
          <w:rFonts w:hint="eastAsia" w:ascii="Times New Roman" w:hAnsi="Times New Roman"/>
          <w:bCs/>
          <w:sz w:val="24"/>
        </w:rPr>
        <w:t>日日终，若已卖出全部被替代的证券，则以替代金额与被替代证券的实际卖出收入（卖出价格扣除交易费用）的差额，确定基金应退还赎回投资人或赎回投资人应补交的款项；若未能卖出全部被替代的证券，以替代金额与所卖出的部分被替代证券实际卖出收入（卖出价格扣除交易费用）加上按照</w:t>
      </w:r>
      <w:r>
        <w:rPr>
          <w:rFonts w:ascii="Times New Roman" w:hAnsi="Times New Roman"/>
          <w:bCs/>
          <w:sz w:val="24"/>
        </w:rPr>
        <w:t>T+2</w:t>
      </w:r>
      <w:r>
        <w:rPr>
          <w:rFonts w:hint="eastAsia" w:ascii="Times New Roman" w:hAnsi="Times New Roman"/>
          <w:bCs/>
          <w:sz w:val="24"/>
        </w:rPr>
        <w:t>日收盘价计算的未卖出的部分被替代证券价值的差额，确定基金应退还赎回投资人或赎回投资人应补交的款项。</w:t>
      </w:r>
    </w:p>
    <w:p>
      <w:pPr>
        <w:spacing w:line="360" w:lineRule="auto"/>
        <w:ind w:firstLine="480" w:firstLineChars="200"/>
        <w:rPr>
          <w:rFonts w:ascii="Times New Roman" w:hAnsi="Times New Roman"/>
          <w:bCs/>
          <w:sz w:val="24"/>
        </w:rPr>
      </w:pPr>
      <w:r>
        <w:rPr>
          <w:rFonts w:hint="eastAsia" w:ascii="Times New Roman" w:hAnsi="Times New Roman"/>
          <w:bCs/>
          <w:sz w:val="24"/>
        </w:rPr>
        <w:t>特例情况：若自</w:t>
      </w:r>
      <w:r>
        <w:rPr>
          <w:rFonts w:ascii="Times New Roman" w:hAnsi="Times New Roman"/>
          <w:bCs/>
          <w:sz w:val="24"/>
        </w:rPr>
        <w:t>T</w:t>
      </w:r>
      <w:r>
        <w:rPr>
          <w:rFonts w:hint="eastAsia" w:ascii="Times New Roman" w:hAnsi="Times New Roman"/>
          <w:bCs/>
          <w:sz w:val="24"/>
        </w:rPr>
        <w:t>日起，深圳证券交易所正常交易日已达到</w:t>
      </w:r>
      <w:r>
        <w:rPr>
          <w:rFonts w:ascii="Times New Roman" w:hAnsi="Times New Roman"/>
          <w:bCs/>
          <w:sz w:val="24"/>
        </w:rPr>
        <w:t>20</w:t>
      </w:r>
      <w:r>
        <w:rPr>
          <w:rFonts w:hint="eastAsia" w:ascii="Times New Roman" w:hAnsi="Times New Roman"/>
          <w:bCs/>
          <w:sz w:val="24"/>
        </w:rPr>
        <w:t>日而该证券正常交易日低于</w:t>
      </w:r>
      <w:r>
        <w:rPr>
          <w:rFonts w:ascii="Times New Roman" w:hAnsi="Times New Roman"/>
          <w:bCs/>
          <w:sz w:val="24"/>
        </w:rPr>
        <w:t>2</w:t>
      </w:r>
      <w:r>
        <w:rPr>
          <w:rFonts w:hint="eastAsia" w:ascii="Times New Roman" w:hAnsi="Times New Roman"/>
          <w:bCs/>
          <w:sz w:val="24"/>
        </w:rPr>
        <w:t>日，则以替代金额与所购入的部分被替代证券实际购入成本（包括买入价格与交易费用）加上按照最近一次收盘价计算的未购入的部分被替代证券价值的差额，确定基金应退还申购投资人或申购投资人应补交的款项；以替代金额与所卖出的部分被替代证券实际卖出收入（卖出价格扣除交易费用）加上按照最近一次收盘价计算的未卖出的部分被替代证券价值的差额，确定基金应退还赎回投资人或赎回投资人应补交的款项。</w:t>
      </w:r>
    </w:p>
    <w:p>
      <w:pPr>
        <w:spacing w:line="360" w:lineRule="auto"/>
        <w:ind w:firstLine="480" w:firstLineChars="200"/>
        <w:rPr>
          <w:rFonts w:ascii="Times New Roman" w:hAnsi="Times New Roman"/>
          <w:bCs/>
          <w:sz w:val="24"/>
        </w:rPr>
      </w:pPr>
      <w:r>
        <w:rPr>
          <w:rFonts w:hint="eastAsia" w:ascii="Times New Roman" w:hAnsi="Times New Roman"/>
          <w:bCs/>
          <w:sz w:val="24"/>
        </w:rPr>
        <w:t>若现金替代日（</w:t>
      </w:r>
      <w:r>
        <w:rPr>
          <w:rFonts w:ascii="Times New Roman" w:hAnsi="Times New Roman"/>
          <w:bCs/>
          <w:sz w:val="24"/>
        </w:rPr>
        <w:t>T</w:t>
      </w:r>
      <w:r>
        <w:rPr>
          <w:rFonts w:hint="eastAsia" w:ascii="Times New Roman" w:hAnsi="Times New Roman"/>
          <w:bCs/>
          <w:sz w:val="24"/>
        </w:rPr>
        <w:t>日）后至</w:t>
      </w:r>
      <w:r>
        <w:rPr>
          <w:rFonts w:ascii="Times New Roman" w:hAnsi="Times New Roman"/>
          <w:bCs/>
          <w:sz w:val="24"/>
        </w:rPr>
        <w:t>T+2</w:t>
      </w:r>
      <w:r>
        <w:rPr>
          <w:rFonts w:hint="eastAsia" w:ascii="Times New Roman" w:hAnsi="Times New Roman"/>
          <w:bCs/>
          <w:sz w:val="24"/>
        </w:rPr>
        <w:t>日（若在特例情况下，则为</w:t>
      </w:r>
      <w:r>
        <w:rPr>
          <w:rFonts w:ascii="Times New Roman" w:hAnsi="Times New Roman"/>
          <w:bCs/>
          <w:sz w:val="24"/>
        </w:rPr>
        <w:t>T</w:t>
      </w:r>
      <w:r>
        <w:rPr>
          <w:rFonts w:hint="eastAsia" w:ascii="Times New Roman" w:hAnsi="Times New Roman"/>
          <w:bCs/>
          <w:sz w:val="24"/>
        </w:rPr>
        <w:t>日起第</w:t>
      </w:r>
      <w:r>
        <w:rPr>
          <w:rFonts w:ascii="Times New Roman" w:hAnsi="Times New Roman"/>
          <w:bCs/>
          <w:sz w:val="24"/>
        </w:rPr>
        <w:t>20</w:t>
      </w:r>
      <w:r>
        <w:rPr>
          <w:rFonts w:hint="eastAsia" w:ascii="Times New Roman" w:hAnsi="Times New Roman"/>
          <w:bCs/>
          <w:sz w:val="24"/>
        </w:rPr>
        <w:t>个交易日）期间发生除息、送股（转增）、配股等权益变动，则进行相应调整。</w:t>
      </w:r>
    </w:p>
    <w:p>
      <w:pPr>
        <w:spacing w:line="360" w:lineRule="auto"/>
        <w:ind w:firstLine="420"/>
        <w:rPr>
          <w:rFonts w:ascii="Times New Roman" w:hAnsi="Times New Roman"/>
          <w:bCs/>
          <w:sz w:val="24"/>
        </w:rPr>
      </w:pPr>
      <w:r>
        <w:rPr>
          <w:rFonts w:ascii="Times New Roman" w:hAnsi="Times New Roman"/>
          <w:bCs/>
          <w:sz w:val="24"/>
        </w:rPr>
        <w:t>T+2</w:t>
      </w:r>
      <w:r>
        <w:rPr>
          <w:rFonts w:hint="eastAsia" w:ascii="Times New Roman" w:hAnsi="Times New Roman"/>
          <w:bCs/>
          <w:sz w:val="24"/>
        </w:rPr>
        <w:t>日后第</w:t>
      </w:r>
      <w:r>
        <w:rPr>
          <w:rFonts w:ascii="Times New Roman" w:hAnsi="Times New Roman"/>
          <w:bCs/>
          <w:sz w:val="24"/>
        </w:rPr>
        <w:t>1</w:t>
      </w:r>
      <w:r>
        <w:rPr>
          <w:rFonts w:hint="eastAsia" w:ascii="Times New Roman" w:hAnsi="Times New Roman"/>
          <w:bCs/>
          <w:sz w:val="24"/>
        </w:rPr>
        <w:t>个工作日（若在特例情况下，则为</w:t>
      </w:r>
      <w:r>
        <w:rPr>
          <w:rFonts w:ascii="Times New Roman" w:hAnsi="Times New Roman"/>
          <w:bCs/>
          <w:sz w:val="24"/>
        </w:rPr>
        <w:t>T</w:t>
      </w:r>
      <w:r>
        <w:rPr>
          <w:rFonts w:hint="eastAsia" w:ascii="Times New Roman" w:hAnsi="Times New Roman"/>
          <w:bCs/>
          <w:sz w:val="24"/>
        </w:rPr>
        <w:t>日起第</w:t>
      </w:r>
      <w:r>
        <w:rPr>
          <w:rFonts w:ascii="Times New Roman" w:hAnsi="Times New Roman"/>
          <w:bCs/>
          <w:sz w:val="24"/>
        </w:rPr>
        <w:t>21</w:t>
      </w:r>
      <w:r>
        <w:rPr>
          <w:rFonts w:hint="eastAsia" w:ascii="Times New Roman" w:hAnsi="Times New Roman"/>
          <w:bCs/>
          <w:sz w:val="24"/>
        </w:rPr>
        <w:t>个交易日），基金管理人将应退款和补款的明细数据发送给相关申购赎回代理券商和基金托管人，相关款项的清算交收将于此后</w:t>
      </w:r>
      <w:r>
        <w:rPr>
          <w:rFonts w:ascii="Times New Roman" w:hAnsi="Times New Roman"/>
          <w:bCs/>
          <w:sz w:val="24"/>
        </w:rPr>
        <w:t>3</w:t>
      </w:r>
      <w:r>
        <w:rPr>
          <w:rFonts w:hint="eastAsia" w:ascii="Times New Roman" w:hAnsi="Times New Roman"/>
          <w:bCs/>
          <w:sz w:val="24"/>
        </w:rPr>
        <w:t>个工作日内完成。如遇特殊情况，基金管理人有权延后发送数据并延迟交收相关款项。</w:t>
      </w:r>
    </w:p>
    <w:p>
      <w:pPr>
        <w:numPr>
          <w:ilvl w:val="0"/>
          <w:numId w:val="3"/>
        </w:numPr>
        <w:spacing w:line="360" w:lineRule="auto"/>
        <w:ind w:firstLine="720"/>
        <w:rPr>
          <w:rFonts w:ascii="Times New Roman" w:hAnsi="Times New Roman"/>
          <w:bCs/>
          <w:sz w:val="24"/>
        </w:rPr>
      </w:pPr>
      <w:r>
        <w:rPr>
          <w:rFonts w:hint="eastAsia" w:ascii="Times New Roman" w:hAnsi="Times New Roman"/>
          <w:bCs/>
          <w:sz w:val="24"/>
        </w:rPr>
        <w:t>对于港</w:t>
      </w:r>
      <w:r>
        <w:rPr>
          <w:rFonts w:hint="eastAsia" w:ascii="宋体" w:hAnsi="宋体" w:cs="宋体"/>
          <w:sz w:val="24"/>
          <w:szCs w:val="24"/>
        </w:rPr>
        <w:t>市</w:t>
      </w:r>
      <w:r>
        <w:rPr>
          <w:rFonts w:hint="eastAsia" w:ascii="Times New Roman" w:hAnsi="Times New Roman"/>
          <w:bCs/>
          <w:sz w:val="24"/>
        </w:rPr>
        <w:t>成份证券</w:t>
      </w:r>
    </w:p>
    <w:p>
      <w:pPr>
        <w:spacing w:line="360" w:lineRule="auto"/>
        <w:ind w:firstLine="480" w:firstLineChars="200"/>
        <w:rPr>
          <w:rFonts w:ascii="Times New Roman" w:hAnsi="Times New Roman"/>
          <w:bCs/>
          <w:sz w:val="24"/>
        </w:rPr>
      </w:pPr>
      <w:r>
        <w:rPr>
          <w:rFonts w:hint="eastAsia" w:ascii="Times New Roman" w:hAnsi="Times New Roman"/>
          <w:bCs/>
          <w:sz w:val="24"/>
        </w:rPr>
        <w:t>①适用情形：投资者申购和赎回时的港</w:t>
      </w:r>
      <w:r>
        <w:rPr>
          <w:rFonts w:hint="eastAsia" w:ascii="宋体" w:hAnsi="宋体" w:cs="宋体"/>
          <w:sz w:val="24"/>
          <w:szCs w:val="24"/>
        </w:rPr>
        <w:t>市</w:t>
      </w:r>
      <w:r>
        <w:rPr>
          <w:rFonts w:hint="eastAsia" w:ascii="Times New Roman" w:hAnsi="Times New Roman"/>
          <w:bCs/>
          <w:sz w:val="24"/>
        </w:rPr>
        <w:t>成份证券。</w:t>
      </w:r>
      <w:r>
        <w:rPr>
          <w:rFonts w:ascii="宋体" w:hAnsi="宋体" w:cs="宋体"/>
          <w:sz w:val="24"/>
          <w:szCs w:val="24"/>
        </w:rPr>
        <w:t>登记机构对设置可以现金替代的</w:t>
      </w:r>
      <w:r>
        <w:rPr>
          <w:rFonts w:hint="eastAsia" w:ascii="宋体" w:hAnsi="宋体" w:cs="宋体"/>
          <w:sz w:val="24"/>
          <w:szCs w:val="24"/>
        </w:rPr>
        <w:t>港市</w:t>
      </w:r>
      <w:r>
        <w:rPr>
          <w:rFonts w:ascii="宋体" w:hAnsi="宋体" w:cs="宋体"/>
          <w:sz w:val="24"/>
          <w:szCs w:val="24"/>
        </w:rPr>
        <w:t>成份证券全部用现金替代。</w:t>
      </w:r>
    </w:p>
    <w:p>
      <w:pPr>
        <w:spacing w:line="360" w:lineRule="auto"/>
        <w:ind w:firstLine="480" w:firstLineChars="200"/>
        <w:rPr>
          <w:rFonts w:ascii="Times New Roman" w:hAnsi="Times New Roman"/>
          <w:bCs/>
          <w:sz w:val="24"/>
        </w:rPr>
      </w:pPr>
      <w:r>
        <w:rPr>
          <w:rFonts w:hint="eastAsia" w:ascii="Times New Roman" w:hAnsi="Times New Roman"/>
          <w:bCs/>
          <w:sz w:val="24"/>
        </w:rPr>
        <w:t>②申购替代金额：</w:t>
      </w:r>
    </w:p>
    <w:p>
      <w:pPr>
        <w:spacing w:line="360" w:lineRule="auto"/>
        <w:ind w:firstLine="480" w:firstLineChars="200"/>
        <w:rPr>
          <w:rFonts w:ascii="宋体" w:hAnsi="宋体" w:cs="宋体"/>
          <w:sz w:val="24"/>
          <w:szCs w:val="24"/>
        </w:rPr>
      </w:pPr>
      <w:r>
        <w:rPr>
          <w:rFonts w:hint="eastAsia" w:ascii="Times New Roman" w:hAnsi="Times New Roman"/>
          <w:bCs/>
          <w:sz w:val="24"/>
        </w:rPr>
        <w:t>申购替代金额</w:t>
      </w:r>
      <w:r>
        <w:rPr>
          <w:rFonts w:ascii="宋体" w:hAnsi="宋体" w:cs="宋体"/>
          <w:sz w:val="24"/>
          <w:szCs w:val="24"/>
        </w:rPr>
        <w:t>＝替代证券数量×该证券参考价格×T-1日估值汇率×（1＋</w:t>
      </w:r>
      <w:r>
        <w:rPr>
          <w:rFonts w:hint="eastAsia" w:ascii="宋体" w:hAnsi="宋体" w:cs="宋体"/>
          <w:sz w:val="24"/>
          <w:szCs w:val="24"/>
        </w:rPr>
        <w:t>申购</w:t>
      </w:r>
      <w:r>
        <w:rPr>
          <w:rFonts w:ascii="宋体" w:hAnsi="宋体" w:cs="宋体"/>
          <w:sz w:val="24"/>
          <w:szCs w:val="24"/>
        </w:rPr>
        <w:t>现金替代溢价比例）</w:t>
      </w:r>
    </w:p>
    <w:p>
      <w:pPr>
        <w:spacing w:line="360" w:lineRule="auto"/>
        <w:ind w:firstLine="480" w:firstLineChars="200"/>
        <w:rPr>
          <w:rFonts w:ascii="Times New Roman" w:hAnsi="Times New Roman"/>
          <w:bCs/>
          <w:sz w:val="24"/>
        </w:rPr>
      </w:pPr>
      <w:r>
        <w:rPr>
          <w:rFonts w:hint="eastAsia" w:ascii="Times New Roman" w:hAnsi="Times New Roman"/>
          <w:bCs/>
          <w:sz w:val="24"/>
        </w:rPr>
        <w:t>其中，“该证券参考价格”目前为该证券前一交易日除权除息后的收盘价，主要根据指数公司提供的标的指数成份证券的调整后收盘价确定。</w:t>
      </w:r>
      <w:r>
        <w:rPr>
          <w:rFonts w:ascii="宋体" w:hAnsi="宋体" w:cs="宋体"/>
          <w:sz w:val="24"/>
          <w:szCs w:val="24"/>
        </w:rPr>
        <w:t>对于港股通标的股票，如果T-1日无收盘价的，取T-1日前的最新收盘价。如果T-1日至T日期间有香港联合交易所交易日非本基金申赎开放日，基金管理人可对</w:t>
      </w:r>
      <w:r>
        <w:rPr>
          <w:rFonts w:hint="eastAsia" w:ascii="宋体" w:hAnsi="宋体" w:cs="宋体"/>
          <w:sz w:val="24"/>
          <w:szCs w:val="24"/>
        </w:rPr>
        <w:t>该</w:t>
      </w:r>
      <w:r>
        <w:rPr>
          <w:rFonts w:ascii="宋体" w:hAnsi="宋体" w:cs="宋体"/>
          <w:sz w:val="24"/>
          <w:szCs w:val="24"/>
        </w:rPr>
        <w:t>证券参考价格、T-1日估值汇率进行调整。</w:t>
      </w:r>
      <w:r>
        <w:rPr>
          <w:rFonts w:hint="eastAsia" w:ascii="Times New Roman" w:hAnsi="Times New Roman"/>
          <w:bCs/>
          <w:sz w:val="24"/>
        </w:rPr>
        <w:t>如果港股通参考价格确定原则发生变化，以相关交易所通知规定的参考价格为准。</w:t>
      </w:r>
    </w:p>
    <w:p>
      <w:pPr>
        <w:spacing w:line="360" w:lineRule="auto"/>
        <w:ind w:firstLine="480" w:firstLineChars="200"/>
        <w:rPr>
          <w:rFonts w:ascii="宋体" w:hAnsi="宋体" w:cs="宋体"/>
          <w:sz w:val="24"/>
          <w:szCs w:val="24"/>
        </w:rPr>
      </w:pPr>
      <w:r>
        <w:rPr>
          <w:rFonts w:hint="eastAsia" w:ascii="Times New Roman" w:hAnsi="Times New Roman"/>
          <w:bCs/>
          <w:sz w:val="24"/>
        </w:rPr>
        <w:t>收取申购现金替代溢价的原因是，对于使用现金替代的港</w:t>
      </w:r>
      <w:r>
        <w:rPr>
          <w:rFonts w:hint="eastAsia" w:ascii="宋体" w:hAnsi="宋体" w:cs="宋体"/>
          <w:sz w:val="24"/>
          <w:szCs w:val="24"/>
        </w:rPr>
        <w:t>市成份</w:t>
      </w:r>
      <w:r>
        <w:rPr>
          <w:rFonts w:hint="eastAsia" w:ascii="Times New Roman" w:hAnsi="Times New Roman"/>
          <w:bCs/>
          <w:sz w:val="24"/>
        </w:rPr>
        <w:t>证券，</w:t>
      </w:r>
      <w:r>
        <w:rPr>
          <w:rFonts w:ascii="宋体" w:hAnsi="宋体" w:cs="宋体"/>
          <w:sz w:val="24"/>
          <w:szCs w:val="24"/>
        </w:rPr>
        <w:t>基金管理人将买入该部分证券，实际买入价格加上相关交易费用后与</w:t>
      </w:r>
      <w:r>
        <w:rPr>
          <w:rFonts w:hint="eastAsia" w:ascii="宋体" w:hAnsi="宋体" w:cs="宋体"/>
          <w:sz w:val="24"/>
          <w:szCs w:val="24"/>
        </w:rPr>
        <w:t>申购时的参考价格可能有所差异</w:t>
      </w:r>
      <w:r>
        <w:rPr>
          <w:rFonts w:ascii="宋体" w:hAnsi="宋体" w:cs="宋体"/>
          <w:sz w:val="24"/>
          <w:szCs w:val="24"/>
        </w:rPr>
        <w:t>。为便于操作，基金管理人在申购赎回清单中预先确定</w:t>
      </w:r>
      <w:r>
        <w:rPr>
          <w:rFonts w:hint="eastAsia" w:ascii="宋体" w:hAnsi="宋体" w:cs="宋体"/>
          <w:sz w:val="24"/>
          <w:szCs w:val="24"/>
        </w:rPr>
        <w:t>申购</w:t>
      </w:r>
      <w:r>
        <w:rPr>
          <w:rFonts w:ascii="宋体" w:hAnsi="宋体" w:cs="宋体"/>
          <w:sz w:val="24"/>
          <w:szCs w:val="24"/>
        </w:rPr>
        <w:t>现金替代溢价比例，并据此收取替代金额。如果预先收取的金额高于基金</w:t>
      </w:r>
      <w:r>
        <w:rPr>
          <w:rFonts w:hint="eastAsia" w:ascii="Times New Roman" w:hAnsi="Times New Roman"/>
          <w:bCs/>
          <w:sz w:val="24"/>
        </w:rPr>
        <w:t>买入</w:t>
      </w:r>
      <w:r>
        <w:rPr>
          <w:rFonts w:ascii="宋体" w:hAnsi="宋体" w:cs="宋体"/>
          <w:sz w:val="24"/>
          <w:szCs w:val="24"/>
        </w:rPr>
        <w:t>该部分证券的实际成本，则基金管理人将退还多收取的差额；如果预先收取的金额低于基金</w:t>
      </w:r>
      <w:r>
        <w:rPr>
          <w:rFonts w:hint="eastAsia" w:ascii="Times New Roman" w:hAnsi="Times New Roman"/>
          <w:bCs/>
          <w:sz w:val="24"/>
        </w:rPr>
        <w:t>买入</w:t>
      </w:r>
      <w:r>
        <w:rPr>
          <w:rFonts w:ascii="宋体" w:hAnsi="宋体" w:cs="宋体"/>
          <w:sz w:val="24"/>
          <w:szCs w:val="24"/>
        </w:rPr>
        <w:t>该部分证券的实际成本，则基金管理人将向投资者收取欠缺的差额。</w:t>
      </w:r>
    </w:p>
    <w:p>
      <w:pPr>
        <w:spacing w:line="360" w:lineRule="auto"/>
        <w:ind w:firstLine="480" w:firstLineChars="200"/>
        <w:rPr>
          <w:rFonts w:ascii="宋体" w:hAnsi="宋体" w:cs="宋体"/>
          <w:sz w:val="24"/>
          <w:szCs w:val="24"/>
        </w:rPr>
      </w:pPr>
      <w:r>
        <w:rPr>
          <w:rFonts w:hint="eastAsia" w:ascii="宋体" w:hAnsi="宋体" w:cs="宋体"/>
          <w:sz w:val="24"/>
          <w:szCs w:val="24"/>
        </w:rPr>
        <w:t>③替代金额的处理程序</w:t>
      </w:r>
    </w:p>
    <w:p>
      <w:pPr>
        <w:spacing w:line="360" w:lineRule="auto"/>
        <w:ind w:firstLine="480" w:firstLineChars="200"/>
        <w:rPr>
          <w:rFonts w:ascii="宋体" w:hAnsi="宋体" w:cs="宋体"/>
          <w:sz w:val="24"/>
          <w:szCs w:val="24"/>
        </w:rPr>
      </w:pPr>
      <w:r>
        <w:rPr>
          <w:rFonts w:hint="eastAsia" w:ascii="宋体" w:hAnsi="宋体" w:cs="宋体"/>
          <w:sz w:val="24"/>
          <w:szCs w:val="24"/>
        </w:rPr>
        <w:t>正常情况下，对于确认成功的</w:t>
      </w:r>
      <w:r>
        <w:rPr>
          <w:rFonts w:ascii="宋体" w:hAnsi="宋体" w:cs="宋体"/>
          <w:sz w:val="24"/>
          <w:szCs w:val="24"/>
        </w:rPr>
        <w:t>T</w:t>
      </w:r>
      <w:r>
        <w:rPr>
          <w:rFonts w:hint="eastAsia" w:ascii="宋体" w:hAnsi="宋体" w:cs="宋体"/>
          <w:sz w:val="24"/>
          <w:szCs w:val="24"/>
        </w:rPr>
        <w:t>日申购申请，</w:t>
      </w:r>
      <w:r>
        <w:rPr>
          <w:rFonts w:ascii="宋体" w:hAnsi="宋体" w:cs="宋体"/>
          <w:sz w:val="24"/>
          <w:szCs w:val="24"/>
        </w:rPr>
        <w:t>T</w:t>
      </w:r>
      <w:r>
        <w:rPr>
          <w:rFonts w:hint="eastAsia" w:ascii="宋体" w:hAnsi="宋体" w:cs="宋体"/>
          <w:sz w:val="24"/>
          <w:szCs w:val="24"/>
        </w:rPr>
        <w:t>日内基金管理人根据申购规模进行组合证券的代理买入。</w:t>
      </w:r>
      <w:r>
        <w:rPr>
          <w:rFonts w:ascii="宋体" w:hAnsi="宋体" w:cs="宋体"/>
          <w:sz w:val="24"/>
          <w:szCs w:val="24"/>
        </w:rPr>
        <w:t>T</w:t>
      </w:r>
      <w:r>
        <w:rPr>
          <w:rFonts w:hint="eastAsia" w:ascii="宋体" w:hAnsi="宋体" w:cs="宋体"/>
          <w:sz w:val="24"/>
          <w:szCs w:val="24"/>
        </w:rPr>
        <w:t>日日终，基金管理人根据所购入的被替代证券的实际单位购入成本（包括买入价格与相关费用，折算为人民币）和未买入的被替代证券的</w:t>
      </w:r>
      <w:r>
        <w:rPr>
          <w:rFonts w:ascii="宋体" w:hAnsi="宋体" w:cs="宋体"/>
          <w:sz w:val="24"/>
          <w:szCs w:val="24"/>
        </w:rPr>
        <w:t>T</w:t>
      </w:r>
      <w:r>
        <w:rPr>
          <w:rFonts w:hint="eastAsia" w:ascii="宋体" w:hAnsi="宋体" w:cs="宋体"/>
          <w:sz w:val="24"/>
          <w:szCs w:val="24"/>
        </w:rPr>
        <w:t>日收盘价（折算为人民币，折算汇率采用当天的估值汇率；被替代证券</w:t>
      </w:r>
      <w:r>
        <w:rPr>
          <w:rFonts w:ascii="宋体" w:hAnsi="宋体" w:cs="宋体"/>
          <w:sz w:val="24"/>
          <w:szCs w:val="24"/>
        </w:rPr>
        <w:t>T</w:t>
      </w:r>
      <w:r>
        <w:rPr>
          <w:rFonts w:hint="eastAsia" w:ascii="宋体" w:hAnsi="宋体" w:cs="宋体"/>
          <w:sz w:val="24"/>
          <w:szCs w:val="24"/>
        </w:rPr>
        <w:t>日无交易的，取最近交易日的收盘价；交易日无收盘价的，取最后成交价）计算被替代证券的单位结算成本，在此基础上根据替代证券数量和申购现金替代金额确定基金应退还投资者或投资者应补交的款项。</w:t>
      </w:r>
      <w:r>
        <w:rPr>
          <w:rFonts w:ascii="宋体" w:hAnsi="宋体" w:cs="宋体"/>
          <w:sz w:val="24"/>
          <w:szCs w:val="24"/>
        </w:rPr>
        <w:t>T</w:t>
      </w:r>
      <w:r>
        <w:rPr>
          <w:rFonts w:hint="eastAsia" w:ascii="宋体" w:hAnsi="宋体" w:cs="宋体"/>
          <w:sz w:val="24"/>
          <w:szCs w:val="24"/>
        </w:rPr>
        <w:t>日后的</w:t>
      </w:r>
      <w:r>
        <w:rPr>
          <w:rFonts w:ascii="宋体" w:hAnsi="宋体" w:cs="宋体"/>
          <w:sz w:val="24"/>
          <w:szCs w:val="24"/>
        </w:rPr>
        <w:t>3</w:t>
      </w:r>
      <w:r>
        <w:rPr>
          <w:rFonts w:hint="eastAsia" w:ascii="宋体" w:hAnsi="宋体" w:cs="宋体"/>
          <w:sz w:val="24"/>
          <w:szCs w:val="24"/>
        </w:rPr>
        <w:t>个港股通交收日内，基金管理人将应退款或补款与相关申购赎回代理券商办理交收。若发生特殊情况，基金管理人可以对交收日期进行相应调整。</w:t>
      </w:r>
    </w:p>
    <w:p>
      <w:pPr>
        <w:spacing w:line="360" w:lineRule="auto"/>
        <w:ind w:firstLine="480" w:firstLineChars="200"/>
        <w:rPr>
          <w:rFonts w:ascii="宋体" w:hAnsi="宋体" w:cs="宋体"/>
          <w:sz w:val="24"/>
          <w:szCs w:val="24"/>
        </w:rPr>
      </w:pPr>
      <w:r>
        <w:rPr>
          <w:rFonts w:hint="eastAsia" w:ascii="宋体" w:hAnsi="宋体" w:cs="宋体"/>
          <w:sz w:val="24"/>
          <w:szCs w:val="24"/>
        </w:rPr>
        <w:t>正常情况下，对于确认成功的</w:t>
      </w:r>
      <w:r>
        <w:rPr>
          <w:rFonts w:ascii="宋体" w:hAnsi="宋体" w:cs="宋体"/>
          <w:sz w:val="24"/>
          <w:szCs w:val="24"/>
        </w:rPr>
        <w:t>T</w:t>
      </w:r>
      <w:r>
        <w:rPr>
          <w:rFonts w:hint="eastAsia" w:ascii="宋体" w:hAnsi="宋体" w:cs="宋体"/>
          <w:sz w:val="24"/>
          <w:szCs w:val="24"/>
        </w:rPr>
        <w:t>日赎回申请，</w:t>
      </w:r>
      <w:r>
        <w:rPr>
          <w:rFonts w:ascii="宋体" w:hAnsi="宋体" w:cs="宋体"/>
          <w:sz w:val="24"/>
          <w:szCs w:val="24"/>
        </w:rPr>
        <w:t>T</w:t>
      </w:r>
      <w:r>
        <w:rPr>
          <w:rFonts w:hint="eastAsia" w:ascii="宋体" w:hAnsi="宋体" w:cs="宋体"/>
          <w:sz w:val="24"/>
          <w:szCs w:val="24"/>
        </w:rPr>
        <w:t>日内基金管理人根据赎回规模进行组合证券的代理卖出。</w:t>
      </w:r>
      <w:r>
        <w:rPr>
          <w:rFonts w:ascii="宋体" w:hAnsi="宋体" w:cs="宋体"/>
          <w:sz w:val="24"/>
          <w:szCs w:val="24"/>
        </w:rPr>
        <w:t>T</w:t>
      </w:r>
      <w:r>
        <w:rPr>
          <w:rFonts w:hint="eastAsia" w:ascii="宋体" w:hAnsi="宋体" w:cs="宋体"/>
          <w:sz w:val="24"/>
          <w:szCs w:val="24"/>
        </w:rPr>
        <w:t>日日终，基金管理人根据所卖出的被替代证券的实际单位卖出金额（扣除相关费用，折算为人民币）和未卖出的被替代证券的</w:t>
      </w:r>
      <w:r>
        <w:rPr>
          <w:rFonts w:ascii="宋体" w:hAnsi="宋体" w:cs="宋体"/>
          <w:sz w:val="24"/>
          <w:szCs w:val="24"/>
        </w:rPr>
        <w:t>T</w:t>
      </w:r>
      <w:r>
        <w:rPr>
          <w:rFonts w:hint="eastAsia" w:ascii="宋体" w:hAnsi="宋体" w:cs="宋体"/>
          <w:sz w:val="24"/>
          <w:szCs w:val="24"/>
        </w:rPr>
        <w:t>日收盘价（折算为人民币，折算汇率采用当天的估值汇率；</w:t>
      </w:r>
      <w:r>
        <w:rPr>
          <w:rFonts w:ascii="宋体" w:hAnsi="宋体" w:cs="宋体"/>
          <w:sz w:val="24"/>
          <w:szCs w:val="24"/>
        </w:rPr>
        <w:t>T</w:t>
      </w:r>
      <w:r>
        <w:rPr>
          <w:rFonts w:hint="eastAsia" w:ascii="宋体" w:hAnsi="宋体" w:cs="宋体"/>
          <w:sz w:val="24"/>
          <w:szCs w:val="24"/>
        </w:rPr>
        <w:t>日在证券交易所无交易的，取最近交易日的收盘价；交易日无收盘价的，取最后成交价）计算被替代证券的单位结算金额，在此基础上根据替代证券数量确定赎回替代金额。</w:t>
      </w:r>
      <w:r>
        <w:rPr>
          <w:rFonts w:ascii="宋体" w:hAnsi="宋体" w:cs="宋体"/>
          <w:sz w:val="24"/>
          <w:szCs w:val="24"/>
        </w:rPr>
        <w:t>T</w:t>
      </w:r>
      <w:r>
        <w:rPr>
          <w:rFonts w:hint="eastAsia" w:ascii="宋体" w:hAnsi="宋体" w:cs="宋体"/>
          <w:sz w:val="24"/>
          <w:szCs w:val="24"/>
        </w:rPr>
        <w:t>日后的第</w:t>
      </w:r>
      <w:r>
        <w:rPr>
          <w:rFonts w:ascii="宋体" w:hAnsi="宋体" w:cs="宋体"/>
          <w:sz w:val="24"/>
          <w:szCs w:val="24"/>
        </w:rPr>
        <w:t>3</w:t>
      </w:r>
      <w:r>
        <w:rPr>
          <w:rFonts w:hint="eastAsia" w:ascii="宋体" w:hAnsi="宋体" w:cs="宋体"/>
          <w:sz w:val="24"/>
          <w:szCs w:val="24"/>
        </w:rPr>
        <w:t>个港股通交收日后的</w:t>
      </w:r>
      <w:r>
        <w:rPr>
          <w:rFonts w:ascii="宋体" w:hAnsi="宋体" w:cs="宋体"/>
          <w:sz w:val="24"/>
          <w:szCs w:val="24"/>
        </w:rPr>
        <w:t>2</w:t>
      </w:r>
      <w:r>
        <w:rPr>
          <w:rFonts w:hint="eastAsia" w:ascii="宋体" w:hAnsi="宋体" w:cs="宋体"/>
          <w:sz w:val="24"/>
          <w:szCs w:val="24"/>
        </w:rPr>
        <w:t>个工作日内，基金管理人将应支付的赎回替代金额与相关申购赎回代理券商办理交收。若发生特殊情况，基金管理人可以对交收日期进行相应调整。</w:t>
      </w:r>
    </w:p>
    <w:p>
      <w:pPr>
        <w:spacing w:line="360" w:lineRule="auto"/>
        <w:ind w:firstLine="480" w:firstLineChars="200"/>
        <w:rPr>
          <w:rFonts w:ascii="宋体" w:hAnsi="宋体" w:cs="宋体"/>
          <w:sz w:val="24"/>
          <w:szCs w:val="24"/>
        </w:rPr>
      </w:pPr>
      <w:r>
        <w:rPr>
          <w:rFonts w:hint="eastAsia" w:ascii="宋体" w:hAnsi="宋体" w:cs="宋体"/>
          <w:sz w:val="24"/>
          <w:szCs w:val="24"/>
        </w:rPr>
        <w:t>如遇港股通临时停市、港股通交易每日额度或总额度不足等特殊情况，组合证券的代理买入或卖出及结算价格可依次顺延至下一港股通交易日直至交易正常，款项交收的日期也顺延。如遇证券长期停牌、流动性不足等可能导致收盘价或最后成交价不公允的特殊情况，可参照证券的估值价格，对结算价格进行调整，如果基金管理人认为该证券复牌后的价格可能存在较大波动，且可能对基金资产净值产生较大影响，为了更好的维护持有人利益，该证券对应的现金替代款的清算交收可在其复牌后按照实际交易成本或者基金管理人认为合理的价格办理。在此期间若该证券发生除息、送股（转增）、配股等重要权益变动，则进行相应调整。</w:t>
      </w:r>
    </w:p>
    <w:p>
      <w:pPr>
        <w:spacing w:line="360" w:lineRule="auto"/>
        <w:ind w:left="420" w:left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）必须现金替代</w:t>
      </w:r>
    </w:p>
    <w:p>
      <w:pPr>
        <w:spacing w:line="360" w:lineRule="auto"/>
        <w:ind w:firstLine="480" w:firstLineChars="200"/>
        <w:rPr>
          <w:rFonts w:ascii="Times New Roman" w:hAnsi="Times New Roman"/>
          <w:bCs/>
          <w:sz w:val="24"/>
        </w:rPr>
      </w:pPr>
      <w:r>
        <w:rPr>
          <w:rFonts w:hint="eastAsia" w:ascii="Times New Roman" w:hAnsi="Times New Roman"/>
          <w:bCs/>
          <w:sz w:val="24"/>
        </w:rPr>
        <w:t>①适用情形：必须现金替代的证券一般是由于标的指数调整，即将被剔除的成份证券、或处于停牌的成份证券、或法律法规限制投资的成份证券、或基金管理人出于保护基金份额持有人利益原则等原因认为有必要实行必须现金替代的成份证券。</w:t>
      </w:r>
    </w:p>
    <w:p>
      <w:pPr>
        <w:spacing w:line="360" w:lineRule="auto"/>
        <w:ind w:firstLine="480" w:firstLineChars="200"/>
        <w:rPr>
          <w:rFonts w:ascii="Times New Roman" w:hAnsi="Times New Roman"/>
          <w:bCs/>
          <w:sz w:val="24"/>
        </w:rPr>
      </w:pPr>
      <w:r>
        <w:rPr>
          <w:rFonts w:hint="eastAsia" w:ascii="Times New Roman" w:hAnsi="Times New Roman"/>
          <w:bCs/>
          <w:sz w:val="24"/>
        </w:rPr>
        <w:t>②替代金额：对于必须现金替代的证券，基金管理人将在申购赎回清单中公告替代的一定数量的现金，即“固定替代金额”。固定替代金额的计算方法为申购赎回清单中该证券的数量乘以其调整后</w:t>
      </w:r>
      <w:r>
        <w:rPr>
          <w:rFonts w:ascii="Times New Roman" w:hAnsi="Times New Roman"/>
          <w:bCs/>
          <w:sz w:val="24"/>
        </w:rPr>
        <w:t>T</w:t>
      </w:r>
      <w:r>
        <w:rPr>
          <w:rFonts w:hint="eastAsia" w:ascii="Times New Roman" w:hAnsi="Times New Roman"/>
          <w:bCs/>
          <w:sz w:val="24"/>
        </w:rPr>
        <w:t>日开盘参考价并按照 T-1 日估值汇率换算（如需）或基金管理人认为合理的其他方法。</w:t>
      </w:r>
    </w:p>
    <w:p>
      <w:pPr>
        <w:spacing w:line="360" w:lineRule="auto"/>
        <w:ind w:firstLine="480" w:firstLineChars="200"/>
        <w:rPr>
          <w:rFonts w:ascii="Times New Roman" w:hAnsi="Times New Roman"/>
          <w:bCs/>
          <w:sz w:val="24"/>
        </w:rPr>
      </w:pPr>
      <w:r>
        <w:rPr>
          <w:rFonts w:hint="eastAsia" w:ascii="Times New Roman" w:hAnsi="Times New Roman"/>
          <w:bCs/>
          <w:sz w:val="24"/>
        </w:rPr>
        <w:t>对于港股通标的股票，如果T-1日至T日期间有香港联合交易所交易日非本基金申赎开放日，基金管理人可对证券开盘参考价、T-1日估值汇率进行调整。</w:t>
      </w:r>
    </w:p>
    <w:p>
      <w:pPr>
        <w:spacing w:line="360" w:lineRule="auto"/>
        <w:ind w:firstLine="480" w:firstLineChars="200"/>
        <w:rPr>
          <w:rFonts w:ascii="Times New Roman" w:hAnsi="Times New Roman"/>
          <w:bCs/>
          <w:sz w:val="24"/>
        </w:rPr>
      </w:pPr>
      <w:r>
        <w:rPr>
          <w:rFonts w:hint="eastAsia" w:ascii="Times New Roman" w:hAnsi="Times New Roman"/>
          <w:bCs/>
          <w:sz w:val="24"/>
        </w:rPr>
        <w:t>（3）基金管理人可根据运作情况调整代理申赎投资者买券卖券的相关规则并按规定公告。</w:t>
      </w:r>
      <w:r>
        <w:rPr>
          <w:rFonts w:ascii="Times New Roman" w:hAnsi="Times New Roman"/>
          <w:bCs/>
          <w:sz w:val="24"/>
        </w:rPr>
        <w:t xml:space="preserve"> </w:t>
      </w:r>
    </w:p>
    <w:p>
      <w:pPr>
        <w:spacing w:line="360" w:lineRule="auto"/>
        <w:ind w:firstLine="480" w:firstLineChars="200"/>
        <w:rPr>
          <w:rFonts w:ascii="Times New Roman" w:hAnsi="Times New Roman"/>
          <w:bCs/>
          <w:sz w:val="24"/>
        </w:rPr>
      </w:pPr>
      <w:r>
        <w:rPr>
          <w:rFonts w:hint="eastAsia" w:ascii="Times New Roman" w:hAnsi="Times New Roman"/>
          <w:bCs/>
          <w:sz w:val="24"/>
        </w:rPr>
        <w:t>（4）未来如相关证券的交易、结算规则发生改变，或上海证券交易所、登记机构有关申购赎回交易结算规则发生改变，或基金管理人与基金托管人之间的结算相关安排发生改变等，基金管理人可对上述相关现金替代处理规则进行调整，并按规定公告。</w:t>
      </w:r>
    </w:p>
    <w:p>
      <w:pPr>
        <w:spacing w:line="360" w:lineRule="auto"/>
        <w:ind w:left="420" w:leftChars="200"/>
        <w:rPr>
          <w:rFonts w:ascii="Times New Roman" w:hAnsi="Times New Roman"/>
          <w:bCs/>
          <w:sz w:val="24"/>
        </w:rPr>
      </w:pPr>
      <w:r>
        <w:rPr>
          <w:rFonts w:ascii="Times New Roman" w:hAnsi="Times New Roman"/>
          <w:bCs/>
          <w:sz w:val="24"/>
        </w:rPr>
        <w:t>4</w:t>
      </w:r>
      <w:r>
        <w:rPr>
          <w:rFonts w:hint="eastAsia" w:ascii="Times New Roman" w:hAnsi="Times New Roman"/>
          <w:bCs/>
          <w:sz w:val="24"/>
        </w:rPr>
        <w:t>、预估现金部分相关内容</w:t>
      </w:r>
    </w:p>
    <w:p>
      <w:pPr>
        <w:spacing w:line="360" w:lineRule="auto"/>
        <w:ind w:firstLine="420"/>
        <w:rPr>
          <w:rFonts w:ascii="Times New Roman" w:hAnsi="Times New Roman"/>
          <w:bCs/>
          <w:sz w:val="24"/>
        </w:rPr>
      </w:pPr>
      <w:r>
        <w:rPr>
          <w:rFonts w:hint="eastAsia" w:ascii="Times New Roman" w:hAnsi="Times New Roman"/>
          <w:bCs/>
          <w:sz w:val="24"/>
        </w:rPr>
        <w:t>预估现金部分指由基金管理人估计并在</w:t>
      </w:r>
      <w:r>
        <w:rPr>
          <w:rFonts w:ascii="Times New Roman" w:hAnsi="Times New Roman"/>
          <w:bCs/>
          <w:sz w:val="24"/>
        </w:rPr>
        <w:t>T</w:t>
      </w:r>
      <w:r>
        <w:rPr>
          <w:rFonts w:hint="eastAsia" w:ascii="Times New Roman" w:hAnsi="Times New Roman"/>
          <w:bCs/>
          <w:sz w:val="24"/>
        </w:rPr>
        <w:t>日申购赎回清单中公布的当日现金差额的估计值，预估现金部分由申购赎回代理券商预先冻结。其计算公式为：</w:t>
      </w:r>
    </w:p>
    <w:p>
      <w:pPr>
        <w:spacing w:line="360" w:lineRule="auto"/>
        <w:ind w:firstLine="420"/>
        <w:rPr>
          <w:rFonts w:ascii="Times New Roman" w:hAnsi="Times New Roman"/>
          <w:bCs/>
          <w:sz w:val="24"/>
        </w:rPr>
      </w:pPr>
      <w:r>
        <w:rPr>
          <w:rFonts w:ascii="Times New Roman" w:hAnsi="Times New Roman"/>
          <w:bCs/>
          <w:sz w:val="24"/>
        </w:rPr>
        <w:t>T</w:t>
      </w:r>
      <w:r>
        <w:rPr>
          <w:rFonts w:hint="eastAsia" w:ascii="Times New Roman" w:hAnsi="Times New Roman"/>
          <w:bCs/>
          <w:sz w:val="24"/>
        </w:rPr>
        <w:t>日预估现金部分</w:t>
      </w:r>
      <w:r>
        <w:rPr>
          <w:rFonts w:ascii="Times New Roman" w:hAnsi="Times New Roman"/>
          <w:bCs/>
          <w:sz w:val="24"/>
        </w:rPr>
        <w:t>=T-1</w:t>
      </w:r>
      <w:r>
        <w:rPr>
          <w:rFonts w:hint="eastAsia" w:ascii="Times New Roman" w:hAnsi="Times New Roman"/>
          <w:bCs/>
          <w:sz w:val="24"/>
        </w:rPr>
        <w:t>日最小申购、赎回单位的基金资产净值－（申购赎回清单中必须现金替代的固定替代金额＋申购赎回清单中可以现金替代成份证券的数量、该证券调整后</w:t>
      </w:r>
      <w:r>
        <w:rPr>
          <w:rFonts w:ascii="Times New Roman" w:hAnsi="Times New Roman"/>
          <w:bCs/>
          <w:sz w:val="24"/>
        </w:rPr>
        <w:t>T</w:t>
      </w:r>
      <w:r>
        <w:rPr>
          <w:rFonts w:hint="eastAsia" w:ascii="Times New Roman" w:hAnsi="Times New Roman"/>
          <w:bCs/>
          <w:sz w:val="24"/>
        </w:rPr>
        <w:t>日开盘参考价以及T-1日估值汇率（如需）相乘之和</w:t>
      </w:r>
      <w:r>
        <w:rPr>
          <w:rFonts w:ascii="Times New Roman" w:hAnsi="Times New Roman"/>
          <w:bCs/>
          <w:sz w:val="24"/>
        </w:rPr>
        <w:t>+</w:t>
      </w:r>
      <w:r>
        <w:rPr>
          <w:rFonts w:hint="eastAsia" w:ascii="Times New Roman" w:hAnsi="Times New Roman"/>
          <w:bCs/>
          <w:sz w:val="24"/>
        </w:rPr>
        <w:t>申购赎回清单中禁止现金替代成份证券的数量与该证券调整后</w:t>
      </w:r>
      <w:r>
        <w:rPr>
          <w:rFonts w:ascii="Times New Roman" w:hAnsi="Times New Roman"/>
          <w:bCs/>
          <w:sz w:val="24"/>
        </w:rPr>
        <w:t>T</w:t>
      </w:r>
      <w:r>
        <w:rPr>
          <w:rFonts w:hint="eastAsia" w:ascii="Times New Roman" w:hAnsi="Times New Roman"/>
          <w:bCs/>
          <w:sz w:val="24"/>
        </w:rPr>
        <w:t>日开盘参考价相乘之和）</w:t>
      </w:r>
    </w:p>
    <w:p>
      <w:pPr>
        <w:spacing w:line="360" w:lineRule="auto"/>
        <w:ind w:firstLine="420"/>
        <w:rPr>
          <w:rFonts w:ascii="Times New Roman" w:hAnsi="Times New Roman"/>
          <w:bCs/>
          <w:sz w:val="24"/>
        </w:rPr>
      </w:pPr>
      <w:r>
        <w:rPr>
          <w:rFonts w:hint="eastAsia" w:ascii="Times New Roman" w:hAnsi="Times New Roman"/>
          <w:bCs/>
          <w:sz w:val="24"/>
        </w:rPr>
        <w:t>其中，该证券调整后</w:t>
      </w:r>
      <w:r>
        <w:rPr>
          <w:rFonts w:ascii="Times New Roman" w:hAnsi="Times New Roman"/>
          <w:bCs/>
          <w:sz w:val="24"/>
        </w:rPr>
        <w:t>T</w:t>
      </w:r>
      <w:r>
        <w:rPr>
          <w:rFonts w:hint="eastAsia" w:ascii="Times New Roman" w:hAnsi="Times New Roman"/>
          <w:bCs/>
          <w:sz w:val="24"/>
        </w:rPr>
        <w:t>日开盘参考价主要根据指数服务机构提供的标的指数成份证券的调整后开盘参考价确定。</w:t>
      </w:r>
    </w:p>
    <w:p>
      <w:pPr>
        <w:spacing w:line="360" w:lineRule="auto"/>
        <w:ind w:firstLine="420"/>
        <w:rPr>
          <w:rFonts w:ascii="Times New Roman" w:hAnsi="Times New Roman"/>
          <w:bCs/>
          <w:sz w:val="24"/>
        </w:rPr>
      </w:pPr>
      <w:r>
        <w:rPr>
          <w:rFonts w:hint="eastAsia" w:ascii="Times New Roman" w:hAnsi="Times New Roman"/>
          <w:bCs/>
          <w:sz w:val="24"/>
        </w:rPr>
        <w:t>另外，若</w:t>
      </w:r>
      <w:r>
        <w:rPr>
          <w:rFonts w:ascii="Times New Roman" w:hAnsi="Times New Roman"/>
          <w:bCs/>
          <w:sz w:val="24"/>
        </w:rPr>
        <w:t>T</w:t>
      </w:r>
      <w:r>
        <w:rPr>
          <w:rFonts w:hint="eastAsia" w:ascii="Times New Roman" w:hAnsi="Times New Roman"/>
          <w:bCs/>
          <w:sz w:val="24"/>
        </w:rPr>
        <w:t>日为基金分红除息日，则计算公式中的“</w:t>
      </w:r>
      <w:r>
        <w:rPr>
          <w:rFonts w:ascii="Times New Roman" w:hAnsi="Times New Roman"/>
          <w:bCs/>
          <w:sz w:val="24"/>
        </w:rPr>
        <w:t>T-1</w:t>
      </w:r>
      <w:r>
        <w:rPr>
          <w:rFonts w:hint="eastAsia" w:ascii="Times New Roman" w:hAnsi="Times New Roman"/>
          <w:bCs/>
          <w:sz w:val="24"/>
        </w:rPr>
        <w:t>日最小申购、赎回单位的基金资产净值”需扣减相应的收益分配数额。若</w:t>
      </w:r>
      <w:r>
        <w:rPr>
          <w:rFonts w:ascii="Times New Roman" w:hAnsi="Times New Roman"/>
          <w:bCs/>
          <w:sz w:val="24"/>
        </w:rPr>
        <w:t>T</w:t>
      </w:r>
      <w:r>
        <w:rPr>
          <w:rFonts w:hint="eastAsia" w:ascii="Times New Roman" w:hAnsi="Times New Roman"/>
          <w:bCs/>
          <w:sz w:val="24"/>
        </w:rPr>
        <w:t>日为基金最小申购、赎回单位调整生效日，则计算公式中的“</w:t>
      </w:r>
      <w:r>
        <w:rPr>
          <w:rFonts w:ascii="Times New Roman" w:hAnsi="Times New Roman"/>
          <w:bCs/>
          <w:sz w:val="24"/>
        </w:rPr>
        <w:t>T-1</w:t>
      </w:r>
      <w:r>
        <w:rPr>
          <w:rFonts w:hint="eastAsia" w:ascii="Times New Roman" w:hAnsi="Times New Roman"/>
          <w:bCs/>
          <w:sz w:val="24"/>
        </w:rPr>
        <w:t>日最小申购、赎回单位的基金资产净值”需根据调整前后最小申购、赎回单位按比例计算。如果T-1日至T日期间有香港联合交易所交易日非本基金申赎开放日，则基金管理人可对公式中“T-1日最小申购赎回单位的基金资产净值”、“T-1日估值汇率”、“该证券调整后</w:t>
      </w:r>
      <w:r>
        <w:rPr>
          <w:rFonts w:ascii="Times New Roman" w:hAnsi="Times New Roman"/>
          <w:bCs/>
          <w:sz w:val="24"/>
        </w:rPr>
        <w:t>T</w:t>
      </w:r>
      <w:r>
        <w:rPr>
          <w:rFonts w:hint="eastAsia" w:ascii="Times New Roman" w:hAnsi="Times New Roman"/>
          <w:bCs/>
          <w:sz w:val="24"/>
        </w:rPr>
        <w:t>日开盘参考价”进行调整。预估现金部分的数值可能为正、为负或为零。</w:t>
      </w:r>
    </w:p>
    <w:p>
      <w:pPr>
        <w:spacing w:line="360" w:lineRule="auto"/>
        <w:ind w:firstLine="420"/>
        <w:rPr>
          <w:rFonts w:ascii="Times New Roman" w:hAnsi="Times New Roman"/>
          <w:bCs/>
          <w:sz w:val="24"/>
        </w:rPr>
      </w:pPr>
      <w:r>
        <w:rPr>
          <w:rFonts w:ascii="Times New Roman" w:hAnsi="Times New Roman"/>
          <w:bCs/>
          <w:sz w:val="24"/>
        </w:rPr>
        <w:t>5</w:t>
      </w:r>
      <w:r>
        <w:rPr>
          <w:rFonts w:hint="eastAsia" w:ascii="Times New Roman" w:hAnsi="Times New Roman"/>
          <w:bCs/>
          <w:sz w:val="24"/>
        </w:rPr>
        <w:t>、现金差额相关内容</w:t>
      </w:r>
    </w:p>
    <w:p>
      <w:pPr>
        <w:spacing w:line="360" w:lineRule="auto"/>
        <w:ind w:firstLine="420"/>
        <w:rPr>
          <w:rFonts w:ascii="Times New Roman" w:hAnsi="Times New Roman"/>
          <w:bCs/>
          <w:sz w:val="24"/>
        </w:rPr>
      </w:pPr>
      <w:r>
        <w:rPr>
          <w:rFonts w:ascii="Times New Roman" w:hAnsi="Times New Roman"/>
          <w:bCs/>
          <w:sz w:val="24"/>
        </w:rPr>
        <w:t>T</w:t>
      </w:r>
      <w:r>
        <w:rPr>
          <w:rFonts w:hint="eastAsia" w:ascii="Times New Roman" w:hAnsi="Times New Roman"/>
          <w:bCs/>
          <w:sz w:val="24"/>
        </w:rPr>
        <w:t>日现金差额在</w:t>
      </w:r>
      <w:r>
        <w:rPr>
          <w:rFonts w:ascii="Times New Roman" w:hAnsi="Times New Roman"/>
          <w:bCs/>
          <w:sz w:val="24"/>
        </w:rPr>
        <w:t>T+1</w:t>
      </w:r>
      <w:r>
        <w:rPr>
          <w:rFonts w:hint="eastAsia" w:ascii="Times New Roman" w:hAnsi="Times New Roman"/>
          <w:bCs/>
          <w:sz w:val="24"/>
        </w:rPr>
        <w:t>日的申购赎回清单中公告，其计算公式为：</w:t>
      </w:r>
    </w:p>
    <w:p>
      <w:pPr>
        <w:spacing w:line="360" w:lineRule="auto"/>
        <w:ind w:firstLine="420"/>
        <w:rPr>
          <w:rFonts w:ascii="Times New Roman" w:hAnsi="Times New Roman"/>
          <w:bCs/>
          <w:sz w:val="24"/>
        </w:rPr>
      </w:pPr>
      <w:r>
        <w:rPr>
          <w:rFonts w:ascii="Times New Roman" w:hAnsi="Times New Roman"/>
          <w:bCs/>
          <w:sz w:val="24"/>
        </w:rPr>
        <w:t>T</w:t>
      </w:r>
      <w:r>
        <w:rPr>
          <w:rFonts w:hint="eastAsia" w:ascii="Times New Roman" w:hAnsi="Times New Roman"/>
          <w:bCs/>
          <w:sz w:val="24"/>
        </w:rPr>
        <w:t>日现金差额</w:t>
      </w:r>
      <w:r>
        <w:rPr>
          <w:rFonts w:ascii="Times New Roman" w:hAnsi="Times New Roman"/>
          <w:bCs/>
          <w:sz w:val="24"/>
        </w:rPr>
        <w:t>=T</w:t>
      </w:r>
      <w:r>
        <w:rPr>
          <w:rFonts w:hint="eastAsia" w:ascii="Times New Roman" w:hAnsi="Times New Roman"/>
          <w:bCs/>
          <w:sz w:val="24"/>
        </w:rPr>
        <w:t>日最小申购、赎回单位的基金资产净值</w:t>
      </w:r>
      <w:r>
        <w:rPr>
          <w:rFonts w:ascii="Times New Roman" w:hAnsi="Times New Roman"/>
          <w:bCs/>
          <w:sz w:val="24"/>
        </w:rPr>
        <w:t xml:space="preserve"> -</w:t>
      </w:r>
      <w:r>
        <w:rPr>
          <w:rFonts w:hint="eastAsia" w:ascii="Times New Roman" w:hAnsi="Times New Roman"/>
          <w:bCs/>
          <w:sz w:val="24"/>
        </w:rPr>
        <w:t>（申购赎回清单中必须现金替代的固定替代金额</w:t>
      </w:r>
      <w:r>
        <w:rPr>
          <w:rFonts w:ascii="Times New Roman" w:hAnsi="Times New Roman"/>
          <w:bCs/>
          <w:sz w:val="24"/>
        </w:rPr>
        <w:t>+</w:t>
      </w:r>
      <w:r>
        <w:rPr>
          <w:rFonts w:hint="eastAsia" w:ascii="Times New Roman" w:hAnsi="Times New Roman"/>
          <w:bCs/>
          <w:sz w:val="24"/>
        </w:rPr>
        <w:t>申购赎回清单中可以现金替代成份证券的数量、</w:t>
      </w:r>
      <w:r>
        <w:rPr>
          <w:rFonts w:ascii="Times New Roman" w:hAnsi="Times New Roman"/>
          <w:bCs/>
          <w:sz w:val="24"/>
        </w:rPr>
        <w:t>T</w:t>
      </w:r>
      <w:r>
        <w:rPr>
          <w:rFonts w:hint="eastAsia" w:ascii="Times New Roman" w:hAnsi="Times New Roman"/>
          <w:bCs/>
          <w:sz w:val="24"/>
        </w:rPr>
        <w:t>日收盘价以及T日估值汇率（如需）相乘之和</w:t>
      </w:r>
      <w:r>
        <w:rPr>
          <w:rFonts w:ascii="Times New Roman" w:hAnsi="Times New Roman"/>
          <w:bCs/>
          <w:sz w:val="24"/>
        </w:rPr>
        <w:t>+</w:t>
      </w:r>
      <w:r>
        <w:rPr>
          <w:rFonts w:hint="eastAsia" w:ascii="Times New Roman" w:hAnsi="Times New Roman"/>
          <w:bCs/>
          <w:sz w:val="24"/>
        </w:rPr>
        <w:t>申购赎回清单中禁止现金替代成份证券的数量与</w:t>
      </w:r>
      <w:r>
        <w:rPr>
          <w:rFonts w:ascii="Times New Roman" w:hAnsi="Times New Roman"/>
          <w:bCs/>
          <w:sz w:val="24"/>
        </w:rPr>
        <w:t>T</w:t>
      </w:r>
      <w:r>
        <w:rPr>
          <w:rFonts w:hint="eastAsia" w:ascii="Times New Roman" w:hAnsi="Times New Roman"/>
          <w:bCs/>
          <w:sz w:val="24"/>
        </w:rPr>
        <w:t>日收盘价相乘之和）</w:t>
      </w:r>
    </w:p>
    <w:p>
      <w:pPr>
        <w:spacing w:line="360" w:lineRule="auto"/>
        <w:ind w:firstLine="420"/>
        <w:rPr>
          <w:rFonts w:ascii="Times New Roman" w:hAnsi="Times New Roman"/>
          <w:bCs/>
          <w:sz w:val="24"/>
        </w:rPr>
      </w:pPr>
      <w:r>
        <w:rPr>
          <w:rFonts w:ascii="Times New Roman" w:hAnsi="Times New Roman"/>
          <w:bCs/>
          <w:sz w:val="24"/>
        </w:rPr>
        <w:t>T</w:t>
      </w:r>
      <w:r>
        <w:rPr>
          <w:rFonts w:hint="eastAsia" w:ascii="Times New Roman" w:hAnsi="Times New Roman"/>
          <w:bCs/>
          <w:sz w:val="24"/>
        </w:rPr>
        <w:t>日投资人申购、赎回基金份额时，需按</w:t>
      </w:r>
      <w:r>
        <w:rPr>
          <w:rFonts w:ascii="Times New Roman" w:hAnsi="Times New Roman"/>
          <w:bCs/>
          <w:sz w:val="24"/>
        </w:rPr>
        <w:t>T+1</w:t>
      </w:r>
      <w:r>
        <w:rPr>
          <w:rFonts w:hint="eastAsia" w:ascii="Times New Roman" w:hAnsi="Times New Roman"/>
          <w:bCs/>
          <w:sz w:val="24"/>
        </w:rPr>
        <w:t>日公告的</w:t>
      </w:r>
      <w:r>
        <w:rPr>
          <w:rFonts w:ascii="Times New Roman" w:hAnsi="Times New Roman"/>
          <w:bCs/>
          <w:sz w:val="24"/>
        </w:rPr>
        <w:t>T</w:t>
      </w:r>
      <w:r>
        <w:rPr>
          <w:rFonts w:hint="eastAsia" w:ascii="Times New Roman" w:hAnsi="Times New Roman"/>
          <w:bCs/>
          <w:sz w:val="24"/>
        </w:rPr>
        <w:t>日现金差额进行资金的清算交收。</w:t>
      </w:r>
    </w:p>
    <w:p>
      <w:pPr>
        <w:spacing w:line="360" w:lineRule="auto"/>
        <w:ind w:firstLine="420"/>
        <w:rPr>
          <w:rFonts w:ascii="Times New Roman" w:hAnsi="Times New Roman"/>
          <w:bCs/>
          <w:sz w:val="24"/>
        </w:rPr>
      </w:pPr>
      <w:r>
        <w:rPr>
          <w:rFonts w:hint="eastAsia" w:ascii="Times New Roman" w:hAnsi="Times New Roman"/>
          <w:bCs/>
          <w:sz w:val="24"/>
        </w:rPr>
        <w:t>现金差额的数值可能为正、为负或为零。在投资人申购时，如现金差额为正数，则投资人应根据其申购的基金份额支付相应的现金，如现金差额为负数，则投资人将根据其申购的基金份额获得相应的现金；在基金份额持有人赎回时，如现金差额为正数，则基金份额持有人将根据其赎回的基金份额获得相应的现金，如现金差额为负数，则基金份额持有人应根据其赎回的基金份额支付相应的现金。</w:t>
      </w:r>
    </w:p>
    <w:p>
      <w:pPr>
        <w:spacing w:line="360" w:lineRule="auto"/>
        <w:ind w:firstLine="480" w:firstLineChars="200"/>
        <w:rPr>
          <w:rFonts w:ascii="Times New Roman" w:hAnsi="Times New Roman"/>
          <w:bCs/>
          <w:sz w:val="24"/>
        </w:rPr>
      </w:pPr>
      <w:r>
        <w:rPr>
          <w:rFonts w:ascii="Times New Roman" w:hAnsi="Times New Roman"/>
          <w:bCs/>
          <w:sz w:val="24"/>
        </w:rPr>
        <w:t>6</w:t>
      </w:r>
      <w:r>
        <w:rPr>
          <w:rFonts w:hint="eastAsia" w:ascii="Times New Roman" w:hAnsi="Times New Roman"/>
          <w:bCs/>
          <w:sz w:val="24"/>
        </w:rPr>
        <w:t>、申购赎回清单的格式</w:t>
      </w:r>
    </w:p>
    <w:p>
      <w:pPr>
        <w:spacing w:line="360" w:lineRule="auto"/>
        <w:ind w:firstLine="480" w:firstLineChars="200"/>
        <w:rPr>
          <w:rFonts w:ascii="Times New Roman" w:hAnsi="Times New Roman"/>
          <w:bCs/>
          <w:sz w:val="24"/>
        </w:rPr>
      </w:pPr>
      <w:r>
        <w:rPr>
          <w:rFonts w:hint="eastAsia" w:ascii="Times New Roman" w:hAnsi="Times New Roman"/>
          <w:bCs/>
          <w:sz w:val="24"/>
        </w:rPr>
        <w:t>基金管理人有权根据业务需要对申购赎回清单的格式进行修改。</w:t>
      </w:r>
    </w:p>
    <w:p>
      <w:pPr>
        <w:spacing w:line="360" w:lineRule="auto"/>
        <w:ind w:firstLine="480" w:firstLineChars="200"/>
        <w:rPr>
          <w:rFonts w:ascii="Times New Roman" w:hAnsi="Times New Roman"/>
          <w:bCs/>
          <w:sz w:val="24"/>
        </w:rPr>
      </w:pPr>
      <w:r>
        <w:rPr>
          <w:rFonts w:ascii="Times New Roman" w:hAnsi="Times New Roman"/>
          <w:bCs/>
          <w:sz w:val="24"/>
        </w:rPr>
        <w:t>T</w:t>
      </w:r>
      <w:r>
        <w:rPr>
          <w:rFonts w:hint="eastAsia" w:ascii="Times New Roman" w:hAnsi="Times New Roman"/>
          <w:bCs/>
          <w:sz w:val="24"/>
        </w:rPr>
        <w:t>日申购赎回清单的格式举例如下：</w:t>
      </w:r>
    </w:p>
    <w:p>
      <w:pPr>
        <w:spacing w:line="360" w:lineRule="auto"/>
        <w:ind w:firstLine="480" w:firstLineChars="200"/>
        <w:rPr>
          <w:rFonts w:ascii="Times New Roman" w:hAnsi="Times New Roman"/>
          <w:bCs/>
          <w:sz w:val="24"/>
        </w:rPr>
      </w:pPr>
      <w:r>
        <w:rPr>
          <w:rFonts w:hint="eastAsia" w:ascii="Times New Roman" w:hAnsi="Times New Roman"/>
          <w:bCs/>
          <w:sz w:val="24"/>
        </w:rPr>
        <w:t>基本信息：</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pct"/>
            <w:vAlign w:val="center"/>
          </w:tcPr>
          <w:p>
            <w:pPr>
              <w:spacing w:line="360" w:lineRule="auto"/>
              <w:rPr>
                <w:rFonts w:ascii="Times New Roman" w:hAnsi="Times New Roman"/>
                <w:bCs/>
                <w:sz w:val="24"/>
                <w:szCs w:val="24"/>
              </w:rPr>
            </w:pPr>
            <w:r>
              <w:rPr>
                <w:rFonts w:hint="eastAsia" w:ascii="Times New Roman" w:hAnsi="Times New Roman"/>
                <w:bCs/>
                <w:sz w:val="24"/>
                <w:szCs w:val="24"/>
              </w:rPr>
              <w:t>最新公告日期</w:t>
            </w:r>
          </w:p>
        </w:tc>
        <w:tc>
          <w:tcPr>
            <w:tcW w:w="3538" w:type="pct"/>
            <w:vAlign w:val="center"/>
          </w:tcPr>
          <w:p>
            <w:pPr>
              <w:spacing w:line="360" w:lineRule="auto"/>
              <w:rPr>
                <w:rFonts w:ascii="Times New Roman" w:hAnsi="Times New Roman"/>
                <w:bCs/>
                <w:sz w:val="24"/>
                <w:szCs w:val="24"/>
              </w:rPr>
            </w:pPr>
            <w:r>
              <w:rPr>
                <w:rFonts w:hint="eastAsia" w:ascii="Times New Roman" w:hAnsi="Times New Roman"/>
                <w:bCs/>
                <w:sz w:val="24"/>
                <w:szCs w:val="24"/>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2" w:type="pct"/>
            <w:vAlign w:val="center"/>
          </w:tcPr>
          <w:p>
            <w:pPr>
              <w:spacing w:line="360" w:lineRule="auto"/>
              <w:rPr>
                <w:rFonts w:ascii="Times New Roman" w:hAnsi="Times New Roman"/>
                <w:bCs/>
                <w:sz w:val="24"/>
                <w:szCs w:val="24"/>
              </w:rPr>
            </w:pPr>
            <w:r>
              <w:rPr>
                <w:rFonts w:hint="eastAsia" w:ascii="Times New Roman" w:hAnsi="Times New Roman"/>
                <w:bCs/>
                <w:sz w:val="24"/>
                <w:szCs w:val="24"/>
              </w:rPr>
              <w:t>基金名称</w:t>
            </w:r>
          </w:p>
        </w:tc>
        <w:tc>
          <w:tcPr>
            <w:tcW w:w="3538" w:type="pct"/>
            <w:vAlign w:val="center"/>
          </w:tcPr>
          <w:p>
            <w:pPr>
              <w:spacing w:line="360" w:lineRule="auto"/>
              <w:rPr>
                <w:rFonts w:ascii="Times New Roman" w:hAnsi="Times New Roman"/>
                <w:bCs/>
                <w:sz w:val="24"/>
                <w:szCs w:val="24"/>
              </w:rPr>
            </w:pPr>
            <w:r>
              <w:rPr>
                <w:rFonts w:hint="eastAsia" w:ascii="Times New Roman" w:hAnsi="Times New Roman"/>
                <w:bCs/>
                <w:sz w:val="24"/>
              </w:rPr>
              <w:t>XXX交易型开放式指数证券投资基金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pct"/>
            <w:vAlign w:val="center"/>
          </w:tcPr>
          <w:p>
            <w:pPr>
              <w:spacing w:line="360" w:lineRule="auto"/>
              <w:rPr>
                <w:rFonts w:ascii="Times New Roman" w:hAnsi="Times New Roman"/>
                <w:bCs/>
                <w:sz w:val="24"/>
                <w:szCs w:val="24"/>
              </w:rPr>
            </w:pPr>
            <w:r>
              <w:rPr>
                <w:rFonts w:hint="eastAsia" w:ascii="Times New Roman" w:hAnsi="Times New Roman"/>
                <w:bCs/>
                <w:sz w:val="24"/>
                <w:szCs w:val="24"/>
              </w:rPr>
              <w:t>基金管理公司名称</w:t>
            </w:r>
          </w:p>
        </w:tc>
        <w:tc>
          <w:tcPr>
            <w:tcW w:w="3538" w:type="pct"/>
            <w:vAlign w:val="center"/>
          </w:tcPr>
          <w:p>
            <w:pPr>
              <w:spacing w:line="360" w:lineRule="auto"/>
              <w:rPr>
                <w:rFonts w:ascii="Times New Roman" w:hAnsi="Times New Roman"/>
                <w:bCs/>
                <w:sz w:val="24"/>
                <w:szCs w:val="24"/>
              </w:rPr>
            </w:pPr>
            <w:r>
              <w:rPr>
                <w:rFonts w:hint="eastAsia" w:ascii="Times New Roman" w:hAnsi="Times New Roman"/>
                <w:bCs/>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pct"/>
            <w:vAlign w:val="center"/>
          </w:tcPr>
          <w:p>
            <w:pPr>
              <w:spacing w:line="360" w:lineRule="auto"/>
              <w:rPr>
                <w:rFonts w:ascii="Times New Roman" w:hAnsi="Times New Roman"/>
                <w:bCs/>
                <w:sz w:val="24"/>
                <w:szCs w:val="24"/>
              </w:rPr>
            </w:pPr>
            <w:r>
              <w:rPr>
                <w:rFonts w:hint="eastAsia" w:ascii="Times New Roman" w:hAnsi="Times New Roman"/>
                <w:bCs/>
                <w:sz w:val="24"/>
                <w:szCs w:val="24"/>
              </w:rPr>
              <w:t>基金代码</w:t>
            </w:r>
          </w:p>
        </w:tc>
        <w:tc>
          <w:tcPr>
            <w:tcW w:w="3538" w:type="pct"/>
            <w:vAlign w:val="center"/>
          </w:tcPr>
          <w:p>
            <w:pPr>
              <w:spacing w:line="360" w:lineRule="auto"/>
              <w:rPr>
                <w:rFonts w:ascii="Times New Roman" w:hAnsi="Times New Roman"/>
                <w:bCs/>
                <w:sz w:val="24"/>
                <w:szCs w:val="24"/>
              </w:rPr>
            </w:pPr>
            <w:r>
              <w:rPr>
                <w:rFonts w:hint="eastAsia" w:ascii="Times New Roman" w:hAnsi="Times New Roman"/>
                <w:bCs/>
                <w:sz w:val="24"/>
                <w:szCs w:val="24"/>
              </w:rPr>
              <w:t>XXXXXX</w:t>
            </w:r>
          </w:p>
        </w:tc>
      </w:tr>
    </w:tbl>
    <w:p>
      <w:pPr>
        <w:spacing w:line="360" w:lineRule="auto"/>
        <w:ind w:firstLine="480" w:firstLineChars="200"/>
        <w:rPr>
          <w:rFonts w:ascii="Times New Roman" w:hAnsi="Times New Roman"/>
          <w:bCs/>
          <w:sz w:val="24"/>
        </w:rPr>
      </w:pPr>
      <w:r>
        <w:rPr>
          <w:rFonts w:ascii="Times New Roman" w:hAnsi="Times New Roman"/>
          <w:bCs/>
          <w:sz w:val="24"/>
        </w:rPr>
        <w:t>T-1</w:t>
      </w:r>
      <w:r>
        <w:rPr>
          <w:rFonts w:hint="eastAsia" w:ascii="Times New Roman" w:hAnsi="Times New Roman"/>
          <w:bCs/>
          <w:sz w:val="24"/>
        </w:rPr>
        <w:t>日内容信息：</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4"/>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pct"/>
          </w:tcPr>
          <w:p>
            <w:pPr>
              <w:spacing w:line="360" w:lineRule="auto"/>
              <w:rPr>
                <w:rFonts w:ascii="Times New Roman" w:hAnsi="Times New Roman"/>
                <w:bCs/>
                <w:sz w:val="24"/>
                <w:szCs w:val="24"/>
              </w:rPr>
            </w:pPr>
            <w:r>
              <w:rPr>
                <w:rFonts w:hint="eastAsia" w:ascii="Times New Roman" w:hAnsi="Times New Roman"/>
                <w:bCs/>
                <w:sz w:val="24"/>
                <w:szCs w:val="24"/>
              </w:rPr>
              <w:t>现金差额（单位：元）</w:t>
            </w:r>
          </w:p>
        </w:tc>
        <w:tc>
          <w:tcPr>
            <w:tcW w:w="2339" w:type="pct"/>
          </w:tcPr>
          <w:p>
            <w:pPr>
              <w:spacing w:line="360" w:lineRule="auto"/>
              <w:rPr>
                <w:rFonts w:ascii="Times New Roman" w:hAnsi="Times New Roman"/>
                <w:bCs/>
                <w:sz w:val="24"/>
                <w:szCs w:val="24"/>
              </w:rPr>
            </w:pPr>
            <w:r>
              <w:rPr>
                <w:rFonts w:hint="eastAsia" w:ascii="Times New Roman" w:hAnsi="Times New Roman"/>
                <w:bCs/>
                <w:sz w:val="24"/>
                <w:szCs w:val="24"/>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661" w:type="pct"/>
          </w:tcPr>
          <w:p>
            <w:pPr>
              <w:spacing w:line="360" w:lineRule="auto"/>
              <w:rPr>
                <w:rFonts w:ascii="Times New Roman" w:hAnsi="Times New Roman"/>
                <w:bCs/>
                <w:sz w:val="24"/>
                <w:szCs w:val="24"/>
              </w:rPr>
            </w:pPr>
            <w:r>
              <w:rPr>
                <w:rFonts w:hint="eastAsia" w:ascii="Times New Roman" w:hAnsi="Times New Roman"/>
                <w:bCs/>
                <w:sz w:val="24"/>
                <w:szCs w:val="24"/>
              </w:rPr>
              <w:t>最小申购、赎回单位净值（单位：元）</w:t>
            </w:r>
          </w:p>
        </w:tc>
        <w:tc>
          <w:tcPr>
            <w:tcW w:w="2339" w:type="pct"/>
            <w:vAlign w:val="bottom"/>
          </w:tcPr>
          <w:p>
            <w:pPr>
              <w:spacing w:line="360" w:lineRule="auto"/>
              <w:rPr>
                <w:rFonts w:ascii="Times New Roman" w:hAnsi="Times New Roman"/>
                <w:bCs/>
                <w:sz w:val="24"/>
                <w:szCs w:val="24"/>
              </w:rPr>
            </w:pPr>
            <w:r>
              <w:rPr>
                <w:rFonts w:hint="eastAsia" w:ascii="Times New Roman" w:hAnsi="Times New Roman"/>
                <w:bCs/>
                <w:sz w:val="24"/>
                <w:szCs w:val="24"/>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1" w:type="pct"/>
          </w:tcPr>
          <w:p>
            <w:pPr>
              <w:spacing w:line="360" w:lineRule="auto"/>
              <w:rPr>
                <w:rFonts w:ascii="Times New Roman" w:hAnsi="Times New Roman"/>
                <w:bCs/>
                <w:sz w:val="24"/>
                <w:szCs w:val="24"/>
              </w:rPr>
            </w:pPr>
            <w:r>
              <w:rPr>
                <w:rFonts w:hint="eastAsia" w:ascii="Times New Roman" w:hAnsi="Times New Roman"/>
                <w:bCs/>
                <w:sz w:val="24"/>
                <w:szCs w:val="24"/>
              </w:rPr>
              <w:t>基金份额净值（单位：元）</w:t>
            </w:r>
          </w:p>
        </w:tc>
        <w:tc>
          <w:tcPr>
            <w:tcW w:w="2339" w:type="pct"/>
            <w:vAlign w:val="bottom"/>
          </w:tcPr>
          <w:p>
            <w:pPr>
              <w:spacing w:line="360" w:lineRule="auto"/>
              <w:rPr>
                <w:rFonts w:ascii="Times New Roman" w:hAnsi="Times New Roman"/>
                <w:bCs/>
                <w:sz w:val="24"/>
                <w:szCs w:val="24"/>
              </w:rPr>
            </w:pPr>
            <w:r>
              <w:rPr>
                <w:rFonts w:hint="eastAsia" w:ascii="Times New Roman" w:hAnsi="Times New Roman"/>
                <w:bCs/>
                <w:sz w:val="24"/>
                <w:szCs w:val="24"/>
              </w:rPr>
              <w:t>X.XXXX</w:t>
            </w:r>
          </w:p>
        </w:tc>
      </w:tr>
    </w:tbl>
    <w:p>
      <w:pPr>
        <w:spacing w:line="360" w:lineRule="auto"/>
        <w:ind w:firstLine="480" w:firstLineChars="200"/>
        <w:rPr>
          <w:rFonts w:ascii="Times New Roman" w:hAnsi="Times New Roman"/>
          <w:bCs/>
          <w:sz w:val="24"/>
        </w:rPr>
      </w:pPr>
      <w:r>
        <w:rPr>
          <w:rFonts w:ascii="Times New Roman" w:hAnsi="Times New Roman"/>
          <w:bCs/>
          <w:sz w:val="24"/>
        </w:rPr>
        <w:t>T</w:t>
      </w:r>
      <w:r>
        <w:rPr>
          <w:rFonts w:hint="eastAsia" w:ascii="Times New Roman" w:hAnsi="Times New Roman"/>
          <w:bCs/>
          <w:sz w:val="24"/>
        </w:rPr>
        <w:t>日内容信息：</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3"/>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最小申购、赎回单位的预估现金部分（单位：元）</w:t>
            </w:r>
          </w:p>
        </w:tc>
        <w:tc>
          <w:tcPr>
            <w:tcW w:w="1776"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现金替代比例上限</w:t>
            </w:r>
          </w:p>
        </w:tc>
        <w:tc>
          <w:tcPr>
            <w:tcW w:w="1776"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当日累计可申购的基金份额上限</w:t>
            </w:r>
          </w:p>
        </w:tc>
        <w:tc>
          <w:tcPr>
            <w:tcW w:w="1776" w:type="pct"/>
            <w:shd w:val="clear" w:color="auto" w:fill="auto"/>
          </w:tcPr>
          <w:p>
            <w:pPr>
              <w:spacing w:line="360" w:lineRule="auto"/>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当日累计可赎回的基金份额上限</w:t>
            </w:r>
          </w:p>
        </w:tc>
        <w:tc>
          <w:tcPr>
            <w:tcW w:w="1776" w:type="pct"/>
            <w:shd w:val="clear" w:color="auto" w:fill="auto"/>
          </w:tcPr>
          <w:p>
            <w:pPr>
              <w:spacing w:line="360" w:lineRule="auto"/>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当日净申购的基金份额上限</w:t>
            </w:r>
          </w:p>
        </w:tc>
        <w:tc>
          <w:tcPr>
            <w:tcW w:w="1776" w:type="pct"/>
            <w:shd w:val="clear" w:color="auto" w:fill="auto"/>
          </w:tcPr>
          <w:p>
            <w:pPr>
              <w:spacing w:line="360" w:lineRule="auto"/>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当日净赎回的基金份额上限</w:t>
            </w:r>
          </w:p>
        </w:tc>
        <w:tc>
          <w:tcPr>
            <w:tcW w:w="1776" w:type="pct"/>
            <w:shd w:val="clear" w:color="auto" w:fill="auto"/>
          </w:tcPr>
          <w:p>
            <w:pPr>
              <w:spacing w:line="360" w:lineRule="auto"/>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单个证券账户当日净申购的基金份额上限</w:t>
            </w:r>
          </w:p>
        </w:tc>
        <w:tc>
          <w:tcPr>
            <w:tcW w:w="1776" w:type="pct"/>
            <w:shd w:val="clear" w:color="auto" w:fill="auto"/>
          </w:tcPr>
          <w:p>
            <w:pPr>
              <w:spacing w:line="360" w:lineRule="auto"/>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单个证券账户当日净赎回的基金份额上限</w:t>
            </w:r>
          </w:p>
        </w:tc>
        <w:tc>
          <w:tcPr>
            <w:tcW w:w="1776" w:type="pct"/>
            <w:shd w:val="clear" w:color="auto" w:fill="auto"/>
          </w:tcPr>
          <w:p>
            <w:pPr>
              <w:spacing w:line="360" w:lineRule="auto"/>
              <w:rPr>
                <w:rFonts w:ascii="Times New Roman" w:hAnsi="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单个证券账户当日累计可申购的基金份额上限</w:t>
            </w:r>
          </w:p>
        </w:tc>
        <w:tc>
          <w:tcPr>
            <w:tcW w:w="1776"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单个证券账户当日累计可赎回的基金份额上限</w:t>
            </w:r>
          </w:p>
        </w:tc>
        <w:tc>
          <w:tcPr>
            <w:tcW w:w="1776"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是否需要公布IOPV</w:t>
            </w:r>
          </w:p>
        </w:tc>
        <w:tc>
          <w:tcPr>
            <w:tcW w:w="1776"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最小申购、赎回单位（单位：份）</w:t>
            </w:r>
          </w:p>
        </w:tc>
        <w:tc>
          <w:tcPr>
            <w:tcW w:w="1776"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申购赎回的允许情况</w:t>
            </w:r>
          </w:p>
        </w:tc>
        <w:tc>
          <w:tcPr>
            <w:tcW w:w="1776" w:type="pct"/>
            <w:shd w:val="clear" w:color="auto" w:fill="auto"/>
          </w:tcPr>
          <w:p>
            <w:pPr>
              <w:spacing w:line="360" w:lineRule="auto"/>
              <w:rPr>
                <w:rFonts w:ascii="Times New Roman" w:hAnsi="Times New Roman"/>
                <w:bCs/>
                <w:sz w:val="24"/>
                <w:szCs w:val="24"/>
              </w:rPr>
            </w:pPr>
            <w:r>
              <w:rPr>
                <w:rFonts w:ascii="宋体" w:hAnsi="宋体" w:cs="宋体"/>
                <w:sz w:val="24"/>
                <w:szCs w:val="24"/>
              </w:rPr>
              <w:t>申购和赎回皆允许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4" w:type="pct"/>
            <w:shd w:val="clear" w:color="auto" w:fill="auto"/>
          </w:tcPr>
          <w:p>
            <w:pPr>
              <w:spacing w:line="360" w:lineRule="auto"/>
              <w:rPr>
                <w:rFonts w:ascii="Times New Roman" w:hAnsi="Times New Roman"/>
                <w:bCs/>
                <w:sz w:val="24"/>
                <w:szCs w:val="24"/>
              </w:rPr>
            </w:pPr>
            <w:r>
              <w:rPr>
                <w:rFonts w:hint="eastAsia"/>
                <w:sz w:val="24"/>
              </w:rPr>
              <w:t>申购赎回模式</w:t>
            </w:r>
          </w:p>
        </w:tc>
        <w:tc>
          <w:tcPr>
            <w:tcW w:w="1776" w:type="pct"/>
            <w:shd w:val="clear" w:color="auto" w:fill="auto"/>
          </w:tcPr>
          <w:p>
            <w:pPr>
              <w:spacing w:line="360" w:lineRule="auto"/>
              <w:rPr>
                <w:rFonts w:ascii="Times New Roman" w:hAnsi="Times New Roman"/>
                <w:bCs/>
                <w:sz w:val="24"/>
                <w:szCs w:val="24"/>
              </w:rPr>
            </w:pPr>
            <w:r>
              <w:rPr>
                <w:rFonts w:hint="eastAsia" w:ascii="Times New Roman" w:hAnsi="Times New Roman"/>
                <w:bCs/>
                <w:sz w:val="24"/>
                <w:szCs w:val="24"/>
              </w:rPr>
              <w:t>XXXX</w:t>
            </w:r>
          </w:p>
        </w:tc>
      </w:tr>
    </w:tbl>
    <w:p>
      <w:pPr>
        <w:spacing w:line="360" w:lineRule="auto"/>
        <w:ind w:firstLine="480"/>
        <w:rPr>
          <w:rFonts w:ascii="Times New Roman" w:hAnsi="Times New Roman"/>
          <w:bCs/>
          <w:sz w:val="24"/>
        </w:rPr>
      </w:pPr>
      <w:r>
        <w:rPr>
          <w:rFonts w:hint="eastAsia" w:ascii="Times New Roman" w:hAnsi="Times New Roman"/>
          <w:bCs/>
          <w:sz w:val="24"/>
        </w:rPr>
        <w:t>成份股信息内容：</w:t>
      </w:r>
    </w:p>
    <w:tbl>
      <w:tblPr>
        <w:tblStyle w:val="16"/>
        <w:tblW w:w="57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318"/>
        <w:gridCol w:w="1260"/>
        <w:gridCol w:w="1260"/>
        <w:gridCol w:w="126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kern w:val="0"/>
                <w:sz w:val="24"/>
                <w:szCs w:val="24"/>
              </w:rPr>
            </w:pPr>
            <w:r>
              <w:rPr>
                <w:rFonts w:hint="eastAsia" w:ascii="Times New Roman" w:hAnsi="Times New Roman"/>
                <w:b/>
                <w:kern w:val="0"/>
                <w:sz w:val="24"/>
                <w:szCs w:val="24"/>
              </w:rPr>
              <w:t>证券代码</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kern w:val="0"/>
                <w:sz w:val="24"/>
                <w:szCs w:val="24"/>
              </w:rPr>
            </w:pPr>
            <w:r>
              <w:rPr>
                <w:rFonts w:hint="eastAsia" w:ascii="Times New Roman" w:hAnsi="Times New Roman"/>
                <w:b/>
                <w:kern w:val="0"/>
                <w:sz w:val="24"/>
                <w:szCs w:val="24"/>
              </w:rPr>
              <w:t>证券简称</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kern w:val="0"/>
                <w:sz w:val="24"/>
                <w:szCs w:val="24"/>
              </w:rPr>
            </w:pPr>
            <w:r>
              <w:rPr>
                <w:rFonts w:hint="eastAsia" w:ascii="Times New Roman" w:hAnsi="Times New Roman"/>
                <w:b/>
                <w:kern w:val="0"/>
                <w:sz w:val="24"/>
                <w:szCs w:val="24"/>
              </w:rPr>
              <w:t>股票数量（股）</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kern w:val="0"/>
                <w:sz w:val="24"/>
                <w:szCs w:val="24"/>
              </w:rPr>
            </w:pPr>
            <w:r>
              <w:rPr>
                <w:rFonts w:hint="eastAsia" w:ascii="Times New Roman" w:hAnsi="Times New Roman"/>
                <w:b/>
                <w:kern w:val="0"/>
                <w:sz w:val="24"/>
                <w:szCs w:val="24"/>
              </w:rPr>
              <w:t>现金替代标志</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b/>
                <w:kern w:val="0"/>
                <w:sz w:val="24"/>
                <w:szCs w:val="24"/>
              </w:rPr>
            </w:pPr>
            <w:r>
              <w:rPr>
                <w:rFonts w:hint="eastAsia" w:ascii="Times New Roman" w:hAnsi="Times New Roman"/>
                <w:b/>
                <w:kern w:val="0"/>
                <w:sz w:val="24"/>
                <w:szCs w:val="24"/>
              </w:rPr>
              <w:t>申购现金替代溢价比例</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hint="eastAsia" w:ascii="Times New Roman" w:hAnsi="Times New Roman"/>
                <w:b/>
                <w:kern w:val="0"/>
                <w:sz w:val="24"/>
                <w:szCs w:val="24"/>
              </w:rPr>
              <w:t>赎回现金替代折价比例</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kern w:val="0"/>
                <w:sz w:val="24"/>
                <w:szCs w:val="24"/>
              </w:rPr>
            </w:pPr>
            <w:r>
              <w:rPr>
                <w:rFonts w:hint="eastAsia" w:ascii="Times New Roman" w:hAnsi="Times New Roman"/>
                <w:b/>
                <w:kern w:val="0"/>
                <w:sz w:val="24"/>
                <w:szCs w:val="24"/>
              </w:rPr>
              <w:t>替代金额（单位：人民币元）</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kern w:val="0"/>
                <w:sz w:val="24"/>
                <w:szCs w:val="24"/>
              </w:rPr>
            </w:pPr>
            <w:r>
              <w:rPr>
                <w:rFonts w:hint="eastAsia" w:ascii="Times New Roman" w:hAnsi="Times New Roman"/>
                <w:b/>
                <w:kern w:val="0"/>
                <w:sz w:val="24"/>
                <w:szCs w:val="24"/>
              </w:rPr>
              <w:t>挂牌市场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kern w:val="0"/>
                <w:sz w:val="24"/>
                <w:szCs w:val="24"/>
              </w:rPr>
            </w:pPr>
            <w:r>
              <w:rPr>
                <w:rFonts w:hint="eastAsia" w:ascii="Times New Roman" w:hAnsi="Times New Roman"/>
                <w:bCs/>
                <w:sz w:val="24"/>
                <w:szCs w:val="24"/>
              </w:rPr>
              <w:t>XXX</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kern w:val="0"/>
                <w:sz w:val="24"/>
                <w:szCs w:val="24"/>
              </w:rPr>
            </w:pPr>
            <w:r>
              <w:rPr>
                <w:rFonts w:hint="eastAsia" w:ascii="Times New Roman" w:hAnsi="Times New Roman"/>
                <w:bCs/>
                <w:sz w:val="24"/>
                <w:szCs w:val="24"/>
              </w:rPr>
              <w:t>XXX</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kern w:val="0"/>
                <w:sz w:val="24"/>
                <w:szCs w:val="24"/>
              </w:rPr>
            </w:pPr>
            <w:r>
              <w:rPr>
                <w:rFonts w:hint="eastAsia" w:ascii="Times New Roman" w:hAnsi="Times New Roman"/>
                <w:bCs/>
                <w:sz w:val="24"/>
                <w:szCs w:val="24"/>
              </w:rPr>
              <w:t>XXX</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kern w:val="0"/>
                <w:sz w:val="24"/>
                <w:szCs w:val="24"/>
              </w:rPr>
            </w:pPr>
            <w:r>
              <w:rPr>
                <w:rFonts w:hint="eastAsia" w:ascii="Times New Roman" w:hAnsi="Times New Roman"/>
                <w:bCs/>
                <w:sz w:val="24"/>
                <w:szCs w:val="24"/>
              </w:rPr>
              <w:t>XXX</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Times New Roman" w:hAnsi="Times New Roman"/>
                <w:kern w:val="0"/>
                <w:sz w:val="24"/>
                <w:szCs w:val="24"/>
              </w:rPr>
            </w:pPr>
            <w:r>
              <w:rPr>
                <w:rFonts w:hint="eastAsia" w:ascii="Times New Roman" w:hAnsi="Times New Roman"/>
                <w:bCs/>
                <w:sz w:val="24"/>
                <w:szCs w:val="24"/>
              </w:rPr>
              <w:t>XXX</w:t>
            </w:r>
          </w:p>
        </w:tc>
        <w:tc>
          <w:tcPr>
            <w:tcW w:w="1228" w:type="dxa"/>
            <w:tcBorders>
              <w:top w:val="single" w:color="auto" w:sz="4" w:space="0"/>
              <w:left w:val="single" w:color="auto" w:sz="4" w:space="0"/>
              <w:bottom w:val="single" w:color="auto" w:sz="4" w:space="0"/>
              <w:right w:val="single" w:color="auto" w:sz="4" w:space="0"/>
            </w:tcBorders>
            <w:vAlign w:val="bottom"/>
          </w:tcPr>
          <w:p>
            <w:pPr>
              <w:widowControl/>
              <w:jc w:val="center"/>
              <w:rPr>
                <w:rFonts w:ascii="Times New Roman" w:hAnsi="Times New Roman"/>
                <w:kern w:val="0"/>
                <w:sz w:val="24"/>
                <w:szCs w:val="24"/>
              </w:rPr>
            </w:pPr>
            <w:r>
              <w:rPr>
                <w:rFonts w:hint="eastAsia" w:ascii="Times New Roman" w:hAnsi="Times New Roman"/>
                <w:bCs/>
                <w:sz w:val="24"/>
                <w:szCs w:val="24"/>
              </w:rPr>
              <w:t>XXX</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kern w:val="0"/>
                <w:sz w:val="24"/>
                <w:szCs w:val="24"/>
              </w:rPr>
            </w:pPr>
            <w:r>
              <w:rPr>
                <w:rFonts w:hint="eastAsia" w:ascii="Times New Roman" w:hAnsi="Times New Roman"/>
                <w:bCs/>
                <w:sz w:val="24"/>
                <w:szCs w:val="24"/>
              </w:rPr>
              <w:t>XXX</w:t>
            </w:r>
          </w:p>
        </w:tc>
        <w:tc>
          <w:tcPr>
            <w:tcW w:w="1228" w:type="dxa"/>
            <w:tcBorders>
              <w:top w:val="single" w:color="auto" w:sz="4" w:space="0"/>
              <w:left w:val="single" w:color="auto" w:sz="4" w:space="0"/>
              <w:bottom w:val="single" w:color="auto" w:sz="4" w:space="0"/>
              <w:right w:val="single" w:color="auto" w:sz="4" w:space="0"/>
            </w:tcBorders>
          </w:tcPr>
          <w:p>
            <w:pPr>
              <w:widowControl/>
              <w:jc w:val="center"/>
              <w:rPr>
                <w:rFonts w:ascii="Times New Roman" w:hAnsi="Times New Roman"/>
                <w:bCs/>
                <w:sz w:val="24"/>
                <w:szCs w:val="24"/>
              </w:rPr>
            </w:pPr>
          </w:p>
        </w:tc>
      </w:tr>
    </w:tbl>
    <w:p>
      <w:pPr>
        <w:spacing w:line="360" w:lineRule="auto"/>
        <w:ind w:firstLine="480" w:firstLineChars="200"/>
        <w:rPr>
          <w:rFonts w:ascii="Times New Roman" w:hAnsi="Times New Roman"/>
          <w:bCs/>
          <w:sz w:val="24"/>
        </w:rPr>
      </w:pPr>
      <w:r>
        <w:rPr>
          <w:rFonts w:hint="eastAsia" w:ascii="Times New Roman" w:hAnsi="Times New Roman"/>
          <w:bCs/>
          <w:sz w:val="24"/>
        </w:rPr>
        <w:t>申购赎回清单的格式可根据上海证券交易所的实际情况相应调整，具体格式以上海证券交易所提供的清单模板为准，届时不再另行公告。</w:t>
      </w:r>
    </w:p>
    <w:p>
      <w:pPr>
        <w:spacing w:line="360" w:lineRule="auto"/>
        <w:ind w:firstLine="482" w:firstLineChars="200"/>
        <w:rPr>
          <w:rFonts w:ascii="Times New Roman" w:hAnsi="Times New Roman"/>
          <w:b/>
          <w:sz w:val="24"/>
        </w:rPr>
      </w:pPr>
      <w:bookmarkStart w:id="32" w:name="OLE_LINK16"/>
      <w:bookmarkStart w:id="33" w:name="OLE_LINK15"/>
      <w:r>
        <w:rPr>
          <w:rFonts w:hint="eastAsia" w:ascii="Times New Roman" w:hAnsi="Times New Roman"/>
          <w:b/>
          <w:sz w:val="24"/>
        </w:rPr>
        <w:t>（八）拒绝或暂停申购的情形</w:t>
      </w:r>
    </w:p>
    <w:p>
      <w:pPr>
        <w:spacing w:line="360" w:lineRule="auto"/>
        <w:ind w:firstLine="480" w:firstLineChars="200"/>
        <w:rPr>
          <w:rFonts w:ascii="Times New Roman" w:hAnsi="Times New Roman"/>
          <w:bCs/>
          <w:sz w:val="24"/>
        </w:rPr>
      </w:pPr>
      <w:bookmarkStart w:id="34" w:name="_Hlt70481650"/>
      <w:bookmarkEnd w:id="34"/>
      <w:r>
        <w:rPr>
          <w:rFonts w:hint="eastAsia" w:ascii="Times New Roman" w:hAnsi="Times New Roman"/>
          <w:bCs/>
          <w:sz w:val="24"/>
        </w:rPr>
        <w:t>发生下列情况时，基金管理人可拒绝或暂停接受投资人的申购申请：</w:t>
      </w:r>
    </w:p>
    <w:p>
      <w:pPr>
        <w:spacing w:line="360" w:lineRule="auto"/>
        <w:ind w:firstLine="480" w:firstLineChars="200"/>
        <w:rPr>
          <w:rFonts w:ascii="Times New Roman" w:hAnsi="Times New Roman"/>
          <w:bCs/>
          <w:sz w:val="24"/>
        </w:rPr>
      </w:pPr>
      <w:r>
        <w:rPr>
          <w:rFonts w:hint="eastAsia" w:ascii="Times New Roman" w:hAnsi="Times New Roman"/>
          <w:bCs/>
          <w:sz w:val="24"/>
        </w:rPr>
        <w:t>1、因不可抗力导致基金无法正常运作或基金管理人无法接受投资者的申购申请。</w:t>
      </w:r>
    </w:p>
    <w:p>
      <w:pPr>
        <w:spacing w:line="360" w:lineRule="auto"/>
        <w:ind w:firstLine="480" w:firstLineChars="200"/>
        <w:rPr>
          <w:rFonts w:ascii="Times New Roman" w:hAnsi="Times New Roman"/>
          <w:bCs/>
          <w:sz w:val="24"/>
        </w:rPr>
      </w:pPr>
      <w:r>
        <w:rPr>
          <w:rFonts w:hint="eastAsia" w:ascii="Times New Roman" w:hAnsi="Times New Roman"/>
          <w:bCs/>
          <w:sz w:val="24"/>
        </w:rPr>
        <w:t>2、发生基金合同规定的暂停基金资产估值情况时，基金管理人可暂停接受投资人的申购申请。</w:t>
      </w:r>
    </w:p>
    <w:p>
      <w:pPr>
        <w:spacing w:line="360" w:lineRule="auto"/>
        <w:ind w:firstLine="480" w:firstLineChars="200"/>
        <w:rPr>
          <w:rFonts w:ascii="Times New Roman" w:hAnsi="Times New Roman"/>
          <w:bCs/>
          <w:sz w:val="24"/>
        </w:rPr>
      </w:pPr>
      <w:r>
        <w:rPr>
          <w:rFonts w:hint="eastAsia" w:ascii="Times New Roman" w:hAnsi="Times New Roman"/>
          <w:bCs/>
          <w:sz w:val="24"/>
        </w:rPr>
        <w:t>3、因特殊情况（包括但不限于相关证券/期货交易所依法决定临时停市、交易时间非正常停市或港股通临时停市），可能影响本基金的投资运作，或导致基金管理人无法计算当日基金资产净值或无法进行证券交易。</w:t>
      </w:r>
    </w:p>
    <w:p>
      <w:pPr>
        <w:spacing w:line="360" w:lineRule="auto"/>
        <w:ind w:firstLine="480" w:firstLineChars="200"/>
        <w:rPr>
          <w:rFonts w:ascii="Times New Roman" w:hAnsi="Times New Roman"/>
          <w:bCs/>
          <w:sz w:val="24"/>
        </w:rPr>
      </w:pPr>
      <w:r>
        <w:rPr>
          <w:rFonts w:hint="eastAsia" w:ascii="Times New Roman" w:hAnsi="Times New Roman"/>
          <w:bCs/>
          <w:sz w:val="24"/>
        </w:rPr>
        <w:t>4、接受某笔或某些申购申请可能会影响或损害现有基金份额持有人利益时。</w:t>
      </w:r>
    </w:p>
    <w:p>
      <w:pPr>
        <w:spacing w:line="360" w:lineRule="auto"/>
        <w:ind w:firstLine="480" w:firstLineChars="200"/>
        <w:rPr>
          <w:rFonts w:ascii="Times New Roman" w:hAnsi="Times New Roman"/>
          <w:bCs/>
          <w:sz w:val="24"/>
        </w:rPr>
      </w:pPr>
      <w:r>
        <w:rPr>
          <w:rFonts w:hint="eastAsia" w:ascii="Times New Roman" w:hAnsi="Times New Roman"/>
          <w:bCs/>
          <w:sz w:val="24"/>
        </w:rPr>
        <w:t>5、基金资产规模过大，使基金管理人无法找到合适的投资品种，或证券市场价格发生大幅波动，或其他可能对基金业绩产生负面影响，或出现其他损害现有基金份额持有人利益的情形。</w:t>
      </w:r>
    </w:p>
    <w:p>
      <w:pPr>
        <w:spacing w:line="360" w:lineRule="auto"/>
        <w:ind w:firstLine="480" w:firstLineChars="200"/>
        <w:rPr>
          <w:rFonts w:ascii="Times New Roman" w:hAnsi="Times New Roman"/>
          <w:bCs/>
          <w:sz w:val="24"/>
        </w:rPr>
      </w:pPr>
      <w:r>
        <w:rPr>
          <w:rFonts w:hint="eastAsia" w:ascii="Times New Roman" w:hAnsi="Times New Roman"/>
          <w:bCs/>
          <w:sz w:val="24"/>
        </w:rPr>
        <w:t>6、基金管理人开市前因异常情况未能公布申购赎回清单，或开市后发现申购赎回清单编制错误或基金份额参考净值计算错误。</w:t>
      </w:r>
    </w:p>
    <w:p>
      <w:pPr>
        <w:spacing w:line="360" w:lineRule="auto"/>
        <w:ind w:firstLine="480" w:firstLineChars="200"/>
        <w:rPr>
          <w:rFonts w:ascii="Times New Roman" w:hAnsi="Times New Roman"/>
          <w:bCs/>
          <w:sz w:val="24"/>
        </w:rPr>
      </w:pPr>
      <w:r>
        <w:rPr>
          <w:rFonts w:hint="eastAsia" w:ascii="Times New Roman" w:hAnsi="Times New Roman"/>
          <w:bCs/>
          <w:sz w:val="24"/>
        </w:rPr>
        <w:t>7、当日申购申请达到基金管理人设定的申购份额上限的情况。</w:t>
      </w:r>
    </w:p>
    <w:p>
      <w:pPr>
        <w:spacing w:line="360" w:lineRule="auto"/>
        <w:ind w:firstLine="480" w:firstLineChars="200"/>
        <w:rPr>
          <w:rFonts w:ascii="Times New Roman" w:hAnsi="Times New Roman"/>
          <w:bCs/>
          <w:sz w:val="24"/>
        </w:rPr>
      </w:pPr>
      <w:r>
        <w:rPr>
          <w:rFonts w:hint="eastAsia" w:ascii="Times New Roman" w:hAnsi="Times New Roman"/>
          <w:bCs/>
          <w:sz w:val="24"/>
        </w:rPr>
        <w:t>8、基金管理人设定单个投资人累计持有的基金份额上限、单日或单笔申购份额上限和净申购比例上限且当日单个投资人的申购达到基金管理人所设定的上限。</w:t>
      </w:r>
    </w:p>
    <w:p>
      <w:pPr>
        <w:spacing w:line="360" w:lineRule="auto"/>
        <w:ind w:firstLine="480" w:firstLineChars="200"/>
        <w:rPr>
          <w:rFonts w:ascii="Times New Roman" w:hAnsi="Times New Roman"/>
          <w:bCs/>
          <w:sz w:val="24"/>
        </w:rPr>
      </w:pPr>
      <w:r>
        <w:rPr>
          <w:rFonts w:hint="eastAsia" w:ascii="Times New Roman" w:hAnsi="Times New Roman"/>
          <w:bCs/>
          <w:sz w:val="24"/>
        </w:rPr>
        <w:t>9、当前一估值日基金资产净值50%以上的资产出现无可参考的活跃市场价格且采用估值技术仍导致公允价值存在重大不确定性时，经与基金托管人协商确认后，基金管理人应当暂停接受基金申购申请。</w:t>
      </w:r>
    </w:p>
    <w:p>
      <w:pPr>
        <w:spacing w:line="360" w:lineRule="auto"/>
        <w:ind w:firstLine="480" w:firstLineChars="200"/>
        <w:rPr>
          <w:rFonts w:ascii="Times New Roman" w:hAnsi="Times New Roman"/>
          <w:bCs/>
          <w:sz w:val="24"/>
        </w:rPr>
      </w:pPr>
      <w:r>
        <w:rPr>
          <w:rFonts w:hint="eastAsia" w:ascii="Times New Roman" w:hAnsi="Times New Roman"/>
          <w:bCs/>
          <w:sz w:val="24"/>
        </w:rPr>
        <w:t>10、在发生组合证券中上市公司重大行为、市场价格异常波动等异常情形时。</w:t>
      </w:r>
    </w:p>
    <w:p>
      <w:pPr>
        <w:spacing w:line="360" w:lineRule="auto"/>
        <w:ind w:firstLine="480" w:firstLineChars="200"/>
        <w:rPr>
          <w:rFonts w:ascii="Times New Roman" w:hAnsi="Times New Roman"/>
          <w:bCs/>
          <w:sz w:val="24"/>
        </w:rPr>
      </w:pPr>
      <w:r>
        <w:rPr>
          <w:rFonts w:hint="eastAsia" w:ascii="Times New Roman" w:hAnsi="Times New Roman"/>
          <w:bCs/>
          <w:sz w:val="24"/>
        </w:rPr>
        <w:t>11、相关证券/期货交易所、申购赎回代理券商、基金管理人、基金托管人或登记机构等因异常情况无法办理申购，或者指数编制机构、相关证券/期货交易所等因异常情况使申购赎回清单无法编制或编制不当。上述异常情况指基金管理人无法预见并不可控制的情形，包括但不限于系统故障、网络故障、通讯故障、电力故障、数据错误等。</w:t>
      </w:r>
    </w:p>
    <w:p>
      <w:pPr>
        <w:spacing w:line="360" w:lineRule="auto"/>
        <w:ind w:firstLine="480" w:firstLineChars="200"/>
        <w:rPr>
          <w:rFonts w:ascii="Times New Roman" w:hAnsi="Times New Roman"/>
          <w:bCs/>
          <w:sz w:val="24"/>
        </w:rPr>
      </w:pPr>
      <w:r>
        <w:rPr>
          <w:rFonts w:hint="eastAsia" w:ascii="Times New Roman" w:hAnsi="Times New Roman"/>
          <w:bCs/>
          <w:sz w:val="24"/>
        </w:rPr>
        <w:t>12、基金所投资的投资品种的估值出现重大转变时。</w:t>
      </w:r>
    </w:p>
    <w:p>
      <w:pPr>
        <w:spacing w:line="360" w:lineRule="auto"/>
        <w:ind w:firstLine="480" w:firstLineChars="200"/>
        <w:rPr>
          <w:rFonts w:ascii="Times New Roman" w:hAnsi="Times New Roman"/>
          <w:bCs/>
          <w:sz w:val="24"/>
        </w:rPr>
      </w:pPr>
      <w:r>
        <w:rPr>
          <w:rFonts w:hint="eastAsia" w:ascii="Times New Roman" w:hAnsi="Times New Roman"/>
          <w:bCs/>
          <w:sz w:val="24"/>
        </w:rPr>
        <w:t>13、港股通交易每日额度不足。</w:t>
      </w:r>
    </w:p>
    <w:p>
      <w:pPr>
        <w:spacing w:line="360" w:lineRule="auto"/>
        <w:ind w:firstLine="480" w:firstLineChars="200"/>
        <w:rPr>
          <w:rFonts w:ascii="Times New Roman" w:hAnsi="Times New Roman"/>
          <w:bCs/>
          <w:sz w:val="24"/>
        </w:rPr>
      </w:pPr>
      <w:r>
        <w:rPr>
          <w:rFonts w:hint="eastAsia" w:ascii="Times New Roman" w:hAnsi="Times New Roman"/>
          <w:bCs/>
          <w:sz w:val="24"/>
        </w:rPr>
        <w:t>14、法律法规规定、中国证监会或上海证券交易所认定的其他情形。</w:t>
      </w:r>
    </w:p>
    <w:p>
      <w:pPr>
        <w:spacing w:line="360" w:lineRule="auto"/>
        <w:ind w:firstLine="480" w:firstLineChars="200"/>
        <w:rPr>
          <w:rFonts w:ascii="Times New Roman" w:hAnsi="Times New Roman"/>
          <w:bCs/>
          <w:sz w:val="24"/>
        </w:rPr>
      </w:pPr>
      <w:r>
        <w:rPr>
          <w:rFonts w:hint="eastAsia" w:ascii="Times New Roman" w:hAnsi="Times New Roman"/>
          <w:bCs/>
          <w:sz w:val="24"/>
        </w:rPr>
        <w:t>发生除上述第4、7、8项以外的暂停申购情形且基金管理人决定暂停申购时，基金管理人应当根据有关规定在规定媒介上刊登暂停申购公告。如果投资人的申购申请被拒绝，被拒绝的申购对价将退还给投资人。在暂停申购的情况消除时，基金管理人应及时恢复申购业务的办理。</w:t>
      </w:r>
    </w:p>
    <w:p>
      <w:pPr>
        <w:spacing w:line="360" w:lineRule="auto"/>
        <w:ind w:firstLine="482" w:firstLineChars="200"/>
        <w:rPr>
          <w:rFonts w:ascii="Times New Roman" w:hAnsi="Times New Roman"/>
          <w:b/>
          <w:sz w:val="24"/>
        </w:rPr>
      </w:pPr>
      <w:r>
        <w:rPr>
          <w:rFonts w:hint="eastAsia" w:ascii="Times New Roman" w:hAnsi="Times New Roman"/>
          <w:b/>
          <w:sz w:val="24"/>
        </w:rPr>
        <w:t>（九）暂停赎回或延缓支付赎回对价的情形</w:t>
      </w:r>
    </w:p>
    <w:p>
      <w:pPr>
        <w:spacing w:line="360" w:lineRule="auto"/>
        <w:ind w:firstLine="480" w:firstLineChars="200"/>
        <w:rPr>
          <w:rFonts w:ascii="Times New Roman" w:hAnsi="Times New Roman"/>
          <w:bCs/>
          <w:sz w:val="24"/>
        </w:rPr>
      </w:pPr>
      <w:r>
        <w:rPr>
          <w:rFonts w:hint="eastAsia" w:ascii="Times New Roman" w:hAnsi="Times New Roman"/>
          <w:bCs/>
          <w:sz w:val="24"/>
        </w:rPr>
        <w:t>发生下列情形时，基金管理人可暂停接受投资人的赎回申请或延缓支付赎回对价：</w:t>
      </w:r>
    </w:p>
    <w:p>
      <w:pPr>
        <w:spacing w:line="360" w:lineRule="auto"/>
        <w:ind w:firstLine="480" w:firstLineChars="200"/>
        <w:rPr>
          <w:rFonts w:ascii="Times New Roman" w:hAnsi="Times New Roman"/>
          <w:bCs/>
          <w:sz w:val="24"/>
        </w:rPr>
      </w:pPr>
      <w:r>
        <w:rPr>
          <w:rFonts w:hint="eastAsia" w:ascii="Times New Roman" w:hAnsi="Times New Roman"/>
          <w:bCs/>
          <w:sz w:val="24"/>
        </w:rPr>
        <w:t>1、因不可抗力导致基金管理人不能支付赎回对价或无法接受赎回。</w:t>
      </w:r>
    </w:p>
    <w:p>
      <w:pPr>
        <w:spacing w:line="360" w:lineRule="auto"/>
        <w:ind w:firstLine="480" w:firstLineChars="200"/>
        <w:rPr>
          <w:rFonts w:ascii="Times New Roman" w:hAnsi="Times New Roman"/>
          <w:bCs/>
          <w:sz w:val="24"/>
        </w:rPr>
      </w:pPr>
      <w:r>
        <w:rPr>
          <w:rFonts w:hint="eastAsia" w:ascii="Times New Roman" w:hAnsi="Times New Roman"/>
          <w:bCs/>
          <w:sz w:val="24"/>
        </w:rPr>
        <w:t>2、发生基金合同规定的暂停基金资产估值情况时，基金管理人可暂停接受基金份额持有人的赎回申请或延缓支付赎回对价。</w:t>
      </w:r>
    </w:p>
    <w:p>
      <w:pPr>
        <w:spacing w:line="360" w:lineRule="auto"/>
        <w:ind w:firstLine="480" w:firstLineChars="200"/>
        <w:rPr>
          <w:rFonts w:ascii="Times New Roman" w:hAnsi="Times New Roman"/>
          <w:bCs/>
          <w:sz w:val="24"/>
        </w:rPr>
      </w:pPr>
      <w:r>
        <w:rPr>
          <w:rFonts w:hint="eastAsia" w:ascii="Times New Roman" w:hAnsi="Times New Roman"/>
          <w:bCs/>
          <w:sz w:val="24"/>
        </w:rPr>
        <w:t>3、因特殊情况（包括但不限于相关证券/期货交易所依法决定临时停市、交易时间非正常停市或港股通临时停市），可能影响本基金的投资运作，或导致基金管理人无法计算当日基金资产净值或无法进行证券交易。</w:t>
      </w:r>
    </w:p>
    <w:p>
      <w:pPr>
        <w:spacing w:line="360" w:lineRule="auto"/>
        <w:ind w:firstLine="480" w:firstLineChars="200"/>
        <w:rPr>
          <w:rFonts w:ascii="Times New Roman" w:hAnsi="Times New Roman"/>
          <w:bCs/>
          <w:sz w:val="24"/>
        </w:rPr>
      </w:pPr>
      <w:r>
        <w:rPr>
          <w:rFonts w:hint="eastAsia" w:ascii="Times New Roman" w:hAnsi="Times New Roman"/>
          <w:bCs/>
          <w:sz w:val="24"/>
        </w:rPr>
        <w:t>4、继续接受赎回申请可能影响或损害现有基金份额持有人利益时。</w:t>
      </w:r>
    </w:p>
    <w:p>
      <w:pPr>
        <w:spacing w:line="360" w:lineRule="auto"/>
        <w:ind w:firstLine="480" w:firstLineChars="200"/>
        <w:rPr>
          <w:rFonts w:ascii="Times New Roman" w:hAnsi="Times New Roman"/>
          <w:bCs/>
          <w:sz w:val="24"/>
        </w:rPr>
      </w:pPr>
      <w:r>
        <w:rPr>
          <w:rFonts w:hint="eastAsia" w:ascii="Times New Roman" w:hAnsi="Times New Roman"/>
          <w:bCs/>
          <w:sz w:val="24"/>
        </w:rPr>
        <w:t>5、当日赎回申请达到基金管理人设定的赎回份额上限的情况。</w:t>
      </w:r>
    </w:p>
    <w:p>
      <w:pPr>
        <w:spacing w:line="360" w:lineRule="auto"/>
        <w:ind w:firstLine="480" w:firstLineChars="200"/>
        <w:rPr>
          <w:rFonts w:ascii="Times New Roman" w:hAnsi="Times New Roman"/>
          <w:bCs/>
          <w:sz w:val="24"/>
        </w:rPr>
      </w:pPr>
      <w:r>
        <w:rPr>
          <w:rFonts w:hint="eastAsia" w:ascii="Times New Roman" w:hAnsi="Times New Roman"/>
          <w:bCs/>
          <w:sz w:val="24"/>
        </w:rPr>
        <w:t>6、当前一估值日基金资产净值50%以上的资产出现无可参考的活跃市场价格且采用估值技术仍导致公允价值存在重大不确定性时，经与基金托管人协商确认后，基金管理人应当暂停接受基金赎回申请或延缓支付赎回对价。</w:t>
      </w:r>
    </w:p>
    <w:p>
      <w:pPr>
        <w:spacing w:line="360" w:lineRule="auto"/>
        <w:ind w:firstLine="480" w:firstLineChars="200"/>
        <w:rPr>
          <w:rFonts w:ascii="Times New Roman" w:hAnsi="Times New Roman"/>
          <w:bCs/>
          <w:sz w:val="24"/>
        </w:rPr>
      </w:pPr>
      <w:r>
        <w:rPr>
          <w:rFonts w:hint="eastAsia" w:ascii="Times New Roman" w:hAnsi="Times New Roman"/>
          <w:bCs/>
          <w:sz w:val="24"/>
        </w:rPr>
        <w:t>7、相关证券/期货交易所、申购赎回代理券商、基金管理人、基金托管人或登记机构等因异常情况无法办理赎回，或者指数编制机构、相关证券/期货交易所等因异常情况使申购赎回清单无法编制或编制不当。上述异常情况指基金管理人无法预见并不可控制的情形，包括但不限于系统故障、网络故障、通讯故障、电力故障、数据错误等。</w:t>
      </w:r>
    </w:p>
    <w:p>
      <w:pPr>
        <w:spacing w:line="360" w:lineRule="auto"/>
        <w:ind w:firstLine="480" w:firstLineChars="200"/>
        <w:rPr>
          <w:rFonts w:ascii="Times New Roman" w:hAnsi="Times New Roman"/>
          <w:bCs/>
          <w:sz w:val="24"/>
        </w:rPr>
      </w:pPr>
      <w:r>
        <w:rPr>
          <w:rFonts w:ascii="Times New Roman" w:hAnsi="Times New Roman"/>
          <w:bCs/>
          <w:sz w:val="24"/>
        </w:rPr>
        <w:t>8</w:t>
      </w:r>
      <w:r>
        <w:rPr>
          <w:rFonts w:hint="eastAsia" w:ascii="Times New Roman" w:hAnsi="Times New Roman"/>
          <w:bCs/>
          <w:sz w:val="24"/>
        </w:rPr>
        <w:t>、基金所投资的投资品种的估值出现重大转变时。</w:t>
      </w:r>
    </w:p>
    <w:p>
      <w:pPr>
        <w:spacing w:line="360" w:lineRule="auto"/>
        <w:ind w:firstLine="480" w:firstLineChars="200"/>
        <w:rPr>
          <w:rFonts w:ascii="Times New Roman" w:hAnsi="Times New Roman"/>
          <w:bCs/>
          <w:sz w:val="24"/>
        </w:rPr>
      </w:pPr>
      <w:r>
        <w:rPr>
          <w:rFonts w:ascii="Times New Roman" w:hAnsi="Times New Roman"/>
          <w:bCs/>
          <w:sz w:val="24"/>
        </w:rPr>
        <w:t>9</w:t>
      </w:r>
      <w:r>
        <w:rPr>
          <w:rFonts w:hint="eastAsia" w:ascii="Times New Roman" w:hAnsi="Times New Roman"/>
          <w:bCs/>
          <w:sz w:val="24"/>
        </w:rPr>
        <w:t>、在发生组合证券中上市公司重大行为、市场价格异常波动等异常情形时。</w:t>
      </w:r>
    </w:p>
    <w:p>
      <w:pPr>
        <w:spacing w:line="360" w:lineRule="auto"/>
        <w:ind w:firstLine="480" w:firstLineChars="200"/>
        <w:rPr>
          <w:rFonts w:ascii="Times New Roman" w:hAnsi="Times New Roman"/>
          <w:bCs/>
          <w:sz w:val="24"/>
        </w:rPr>
      </w:pPr>
      <w:r>
        <w:rPr>
          <w:rFonts w:hint="eastAsia" w:ascii="Times New Roman" w:hAnsi="Times New Roman"/>
          <w:bCs/>
          <w:sz w:val="24"/>
        </w:rPr>
        <w:t>1</w:t>
      </w:r>
      <w:r>
        <w:rPr>
          <w:rFonts w:ascii="Times New Roman" w:hAnsi="Times New Roman"/>
          <w:bCs/>
          <w:sz w:val="24"/>
        </w:rPr>
        <w:t>0</w:t>
      </w:r>
      <w:r>
        <w:rPr>
          <w:rFonts w:hint="eastAsia" w:ascii="Times New Roman" w:hAnsi="Times New Roman"/>
          <w:bCs/>
          <w:sz w:val="24"/>
        </w:rPr>
        <w:t>、法律法规规定、中国证监会或上海证券交易所认定的其他情形。</w:t>
      </w:r>
    </w:p>
    <w:p>
      <w:pPr>
        <w:spacing w:line="360" w:lineRule="auto"/>
        <w:ind w:firstLine="480" w:firstLineChars="200"/>
        <w:rPr>
          <w:rFonts w:ascii="Times New Roman" w:hAnsi="Times New Roman"/>
          <w:bCs/>
          <w:sz w:val="24"/>
        </w:rPr>
      </w:pPr>
      <w:r>
        <w:rPr>
          <w:rFonts w:hint="eastAsia" w:ascii="Times New Roman" w:hAnsi="Times New Roman"/>
          <w:bCs/>
          <w:sz w:val="24"/>
        </w:rPr>
        <w:t>发生上述第5项以外的情形且基金管理人决定暂停赎回或延缓支付赎回对价时，基金管理人应报中国证监会备案，已确认的赎回申请，基金管理人应足额支付。如暂时不能足额支付，未支付部分可延期支付。在暂停赎回的情况消除时，基金管理人应及时恢复赎回业务的办理并公告。</w:t>
      </w:r>
    </w:p>
    <w:p>
      <w:pPr>
        <w:spacing w:line="360" w:lineRule="auto"/>
        <w:ind w:firstLine="482" w:firstLineChars="200"/>
        <w:rPr>
          <w:rFonts w:ascii="Times New Roman" w:hAnsi="Times New Roman"/>
          <w:b/>
          <w:sz w:val="24"/>
        </w:rPr>
      </w:pPr>
      <w:r>
        <w:rPr>
          <w:rFonts w:hint="eastAsia" w:ascii="Times New Roman" w:hAnsi="Times New Roman"/>
          <w:b/>
          <w:sz w:val="24"/>
        </w:rPr>
        <w:t>（十）基金份额的转托管、非交易过户、冻结及解冻等业务</w:t>
      </w:r>
    </w:p>
    <w:p>
      <w:pPr>
        <w:spacing w:line="360" w:lineRule="auto"/>
        <w:ind w:firstLine="480" w:firstLineChars="200"/>
        <w:rPr>
          <w:rFonts w:ascii="Times New Roman" w:hAnsi="Times New Roman"/>
          <w:bCs/>
          <w:sz w:val="24"/>
        </w:rPr>
      </w:pPr>
      <w:r>
        <w:rPr>
          <w:rFonts w:hint="eastAsia" w:ascii="Times New Roman" w:hAnsi="Times New Roman"/>
          <w:bCs/>
          <w:sz w:val="24"/>
        </w:rPr>
        <w:t>登记机构可依据其业务规则，受理基金份额的转托管、非交易过户、冻结与解冻等业务，并收取一定的手续费用。</w:t>
      </w:r>
    </w:p>
    <w:p>
      <w:pPr>
        <w:spacing w:line="360" w:lineRule="auto"/>
        <w:ind w:firstLine="482" w:firstLineChars="200"/>
        <w:rPr>
          <w:rFonts w:ascii="Times New Roman" w:hAnsi="Times New Roman"/>
          <w:b/>
          <w:sz w:val="24"/>
        </w:rPr>
      </w:pPr>
      <w:r>
        <w:rPr>
          <w:rFonts w:hint="eastAsia" w:ascii="Times New Roman" w:hAnsi="Times New Roman"/>
          <w:b/>
          <w:sz w:val="24"/>
        </w:rPr>
        <w:t>（十一）基金份额的质押</w:t>
      </w:r>
    </w:p>
    <w:p>
      <w:pPr>
        <w:spacing w:line="360" w:lineRule="auto"/>
        <w:ind w:firstLine="480" w:firstLineChars="200"/>
        <w:rPr>
          <w:rFonts w:ascii="Times New Roman" w:hAnsi="Times New Roman"/>
          <w:bCs/>
          <w:sz w:val="24"/>
        </w:rPr>
      </w:pPr>
      <w:r>
        <w:rPr>
          <w:rFonts w:hint="eastAsia" w:ascii="Times New Roman" w:hAnsi="Times New Roman"/>
          <w:bCs/>
          <w:sz w:val="24"/>
        </w:rPr>
        <w:t>在条件许可的情况下，登记机构可依据相关法律法规及其业务规则，办理基金份额质押业务，并可收取一定的手续费。</w:t>
      </w:r>
    </w:p>
    <w:p>
      <w:pPr>
        <w:spacing w:line="360" w:lineRule="auto"/>
        <w:ind w:firstLine="482" w:firstLineChars="200"/>
        <w:rPr>
          <w:rFonts w:ascii="Times New Roman" w:hAnsi="Times New Roman"/>
          <w:b/>
          <w:sz w:val="24"/>
        </w:rPr>
      </w:pPr>
      <w:r>
        <w:rPr>
          <w:rFonts w:hint="eastAsia" w:ascii="Times New Roman" w:hAnsi="Times New Roman"/>
          <w:b/>
          <w:sz w:val="24"/>
        </w:rPr>
        <w:t>（十二）其他申购赎回方式</w:t>
      </w:r>
    </w:p>
    <w:p>
      <w:pPr>
        <w:spacing w:line="360" w:lineRule="auto"/>
        <w:ind w:firstLine="480" w:firstLineChars="200"/>
        <w:rPr>
          <w:rFonts w:ascii="Times New Roman" w:hAnsi="Times New Roman"/>
          <w:bCs/>
          <w:sz w:val="24"/>
        </w:rPr>
      </w:pPr>
      <w:r>
        <w:rPr>
          <w:rFonts w:hint="eastAsia" w:ascii="Times New Roman" w:hAnsi="Times New Roman"/>
          <w:bCs/>
          <w:sz w:val="24"/>
        </w:rPr>
        <w:t>1、在条件允许时，基金管理人可开放集合申购，在对基金份额持有人利益无实质性不利影响的前提下，基金管理人有权制定集合申购业务的相关规则。</w:t>
      </w:r>
    </w:p>
    <w:p>
      <w:pPr>
        <w:spacing w:line="360" w:lineRule="auto"/>
        <w:ind w:firstLine="480" w:firstLineChars="200"/>
        <w:rPr>
          <w:rFonts w:ascii="Times New Roman" w:hAnsi="Times New Roman"/>
          <w:bCs/>
          <w:sz w:val="24"/>
        </w:rPr>
      </w:pPr>
      <w:r>
        <w:rPr>
          <w:rFonts w:hint="eastAsia" w:ascii="Times New Roman" w:hAnsi="Times New Roman"/>
          <w:bCs/>
          <w:sz w:val="24"/>
        </w:rPr>
        <w:t>2、在不违反法律法规的情况下，基金管理人可以根据具体情况开通本基金的场外申购赎回等业务，无需召开基金份额持有人大会。场外申购赎回的具体办理方式等相关事项届时将另行公告。</w:t>
      </w:r>
    </w:p>
    <w:p>
      <w:pPr>
        <w:spacing w:line="360" w:lineRule="auto"/>
        <w:ind w:firstLine="480" w:firstLineChars="200"/>
        <w:rPr>
          <w:rFonts w:ascii="Times New Roman" w:hAnsi="Times New Roman"/>
          <w:bCs/>
          <w:sz w:val="24"/>
        </w:rPr>
      </w:pPr>
      <w:r>
        <w:rPr>
          <w:rFonts w:hint="eastAsia" w:ascii="Times New Roman" w:hAnsi="Times New Roman"/>
          <w:bCs/>
          <w:sz w:val="24"/>
        </w:rPr>
        <w:t>3、基金管理人可以在不违反法律法规规定且对基金份额持有人利益无实质性不利影响的前提下，调整基金申购赎回方式或申购赎回对价组成，并提前公告。</w:t>
      </w:r>
    </w:p>
    <w:p>
      <w:pPr>
        <w:spacing w:line="360" w:lineRule="auto"/>
        <w:ind w:firstLine="480" w:firstLineChars="200"/>
        <w:rPr>
          <w:rFonts w:ascii="Times New Roman" w:hAnsi="Times New Roman"/>
          <w:bCs/>
          <w:sz w:val="24"/>
        </w:rPr>
      </w:pPr>
      <w:r>
        <w:rPr>
          <w:rFonts w:hint="eastAsia" w:ascii="Times New Roman" w:hAnsi="Times New Roman"/>
          <w:bCs/>
          <w:sz w:val="24"/>
        </w:rPr>
        <w:t>4、若基金管理人推出以本基金为目标ETF的联接基金，在条件许可的情况下，联接基金可以用股票或现金特殊申购本基金基金份额，不收取申购费用。</w:t>
      </w:r>
    </w:p>
    <w:p>
      <w:pPr>
        <w:spacing w:line="360" w:lineRule="auto"/>
        <w:ind w:firstLine="480" w:firstLineChars="200"/>
        <w:rPr>
          <w:rFonts w:ascii="Times New Roman" w:hAnsi="Times New Roman"/>
          <w:bCs/>
          <w:sz w:val="24"/>
        </w:rPr>
      </w:pPr>
      <w:r>
        <w:rPr>
          <w:rFonts w:hint="eastAsia" w:ascii="Times New Roman" w:hAnsi="Times New Roman"/>
          <w:bCs/>
          <w:sz w:val="24"/>
        </w:rPr>
        <w:t>5、对于符合要求的特定投资者，基金管理人可在不违反法律法规且对基金份额持有人利益无实质性不利影响的情况下，安排专门的申购方式，并于新的申购方式开始执行前另行公告。</w:t>
      </w:r>
    </w:p>
    <w:p>
      <w:pPr>
        <w:spacing w:line="360" w:lineRule="auto"/>
        <w:ind w:firstLine="480" w:firstLineChars="200"/>
        <w:rPr>
          <w:rFonts w:ascii="Times New Roman" w:hAnsi="Times New Roman"/>
          <w:bCs/>
          <w:sz w:val="24"/>
        </w:rPr>
      </w:pPr>
      <w:r>
        <w:rPr>
          <w:rFonts w:hint="eastAsia" w:ascii="Times New Roman" w:hAnsi="Times New Roman"/>
          <w:bCs/>
          <w:sz w:val="24"/>
        </w:rPr>
        <w:t>6、在条件允许时，基金管理人可在不违反法律法规且对基金份额持有人利益无实质性不利影响的情况下，采取其他合理的申购、赎回方式，并于新的申购、赎回方式开始执行前予以公告。</w:t>
      </w:r>
    </w:p>
    <w:p>
      <w:pPr>
        <w:spacing w:line="360" w:lineRule="auto"/>
        <w:ind w:firstLine="480" w:firstLineChars="200"/>
        <w:rPr>
          <w:rFonts w:ascii="Times New Roman" w:hAnsi="Times New Roman"/>
          <w:bCs/>
          <w:sz w:val="24"/>
        </w:rPr>
      </w:pPr>
      <w:r>
        <w:rPr>
          <w:rFonts w:hint="eastAsia" w:ascii="Times New Roman" w:hAnsi="Times New Roman"/>
          <w:bCs/>
          <w:sz w:val="24"/>
        </w:rPr>
        <w:t>7、基金管理人指定的代理机构可依据法律法规和基金合同开展其他服务，双方需签订书面委托代理协议。</w:t>
      </w:r>
    </w:p>
    <w:p>
      <w:pPr>
        <w:spacing w:line="360" w:lineRule="auto"/>
        <w:ind w:firstLine="482" w:firstLineChars="200"/>
        <w:rPr>
          <w:rFonts w:ascii="Times New Roman" w:hAnsi="Times New Roman"/>
          <w:b/>
          <w:sz w:val="24"/>
        </w:rPr>
      </w:pPr>
      <w:r>
        <w:rPr>
          <w:rFonts w:hint="eastAsia" w:ascii="Times New Roman" w:hAnsi="Times New Roman"/>
          <w:b/>
          <w:sz w:val="24"/>
        </w:rPr>
        <w:t>（十三）基金份额的转让</w:t>
      </w:r>
    </w:p>
    <w:p>
      <w:pPr>
        <w:spacing w:line="360" w:lineRule="auto"/>
        <w:ind w:firstLine="480" w:firstLineChars="200"/>
        <w:rPr>
          <w:rFonts w:ascii="Times New Roman" w:hAnsi="Times New Roman"/>
          <w:bCs/>
          <w:sz w:val="24"/>
        </w:rPr>
      </w:pPr>
      <w:r>
        <w:rPr>
          <w:rFonts w:hint="eastAsia" w:ascii="Times New Roman" w:hAnsi="Times New Roman"/>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pPr>
        <w:spacing w:line="360" w:lineRule="auto"/>
        <w:ind w:firstLine="482" w:firstLineChars="200"/>
        <w:rPr>
          <w:rFonts w:ascii="Times New Roman" w:hAnsi="Times New Roman"/>
          <w:b/>
          <w:sz w:val="24"/>
        </w:rPr>
      </w:pPr>
      <w:r>
        <w:rPr>
          <w:rFonts w:hint="eastAsia" w:ascii="Times New Roman" w:hAnsi="Times New Roman"/>
          <w:b/>
          <w:sz w:val="24"/>
        </w:rPr>
        <w:t>（十四）基金清算交收与登记模式的调整或新增</w:t>
      </w:r>
    </w:p>
    <w:p>
      <w:pPr>
        <w:spacing w:line="360" w:lineRule="auto"/>
        <w:ind w:firstLine="480" w:firstLineChars="200"/>
        <w:rPr>
          <w:rFonts w:ascii="Times New Roman" w:hAnsi="Times New Roman"/>
          <w:bCs/>
          <w:sz w:val="24"/>
        </w:rPr>
      </w:pPr>
      <w:r>
        <w:rPr>
          <w:rFonts w:hint="eastAsia" w:ascii="Times New Roman" w:hAnsi="Times New Roman"/>
          <w:bCs/>
          <w:sz w:val="24"/>
        </w:rPr>
        <w:t>若上海证券交易所和中国证券登记结算有限责任公司调整现有的清算交收与登记模式、申购赎回方式，或推出新的清算交收与登记模式并引入新的申购、赎回方式，本基金管理人有权调整本基金的清算交收与登记模式及申购、赎回方式，或新增本基金的清算交收与登记模式并引入新的申购、赎回方式，无需召开基金份额持有人大会审议。</w:t>
      </w:r>
    </w:p>
    <w:p>
      <w:pPr>
        <w:spacing w:line="360" w:lineRule="auto"/>
        <w:ind w:firstLine="482" w:firstLineChars="200"/>
        <w:rPr>
          <w:rFonts w:ascii="Times New Roman" w:hAnsi="Times New Roman"/>
          <w:b/>
          <w:sz w:val="24"/>
        </w:rPr>
      </w:pPr>
      <w:r>
        <w:rPr>
          <w:rFonts w:hint="eastAsia" w:ascii="Times New Roman" w:hAnsi="Times New Roman"/>
          <w:b/>
          <w:sz w:val="24"/>
        </w:rPr>
        <w:t>（十五）在不违反法律法规且对基金份额持有人利益无实质性不利影响的前提下，基金管理人可以根据市场情况对上述申购和赎回的安排进行补充和调整，也可采取其他合理的申购赎回方式，并在实施日前依照《信息披露办法》的有关规定在规定媒介公告，无需召开基金份额持有人大会审议。</w:t>
      </w:r>
      <w:bookmarkEnd w:id="32"/>
      <w:bookmarkEnd w:id="33"/>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35" w:name="_Toc208562028"/>
      <w:r>
        <w:rPr>
          <w:rFonts w:hint="eastAsia" w:ascii="Times New Roman" w:hAnsi="Times New Roman"/>
          <w:sz w:val="30"/>
        </w:rPr>
        <w:t>十一</w:t>
      </w:r>
      <w:r>
        <w:rPr>
          <w:rFonts w:ascii="Times New Roman" w:hAnsi="Times New Roman"/>
          <w:sz w:val="30"/>
        </w:rPr>
        <w:t>、基金的投资</w:t>
      </w:r>
      <w:bookmarkEnd w:id="35"/>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（一）投资目标</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本基金采用指数化投资策略，紧密跟踪</w:t>
      </w:r>
      <w:r>
        <w:rPr>
          <w:rFonts w:hint="eastAsia" w:ascii="Times New Roman" w:hAnsi="Times New Roman"/>
          <w:bCs/>
          <w:sz w:val="24"/>
        </w:rPr>
        <w:t>中证智选沪深港科技50指数</w:t>
      </w:r>
      <w:r>
        <w:rPr>
          <w:rFonts w:ascii="Times New Roman" w:hAnsi="Times New Roman"/>
          <w:sz w:val="24"/>
        </w:rPr>
        <w:t>，追求跟踪偏离度与跟踪误差最小化。</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（二）投资范围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投资范围为具有良好流动性的金融工具，包括中证智选沪深港科技50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本基金可根据法律法规的规定参与融资及转融通证券出借业务。未来在法律法规允许的前提下，本基金可根据相关法律法规规定参与融券业务。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的投资组合比例为：本基金投资于中证智选沪深港科技50指数成份股（含存托凭证）及备选成份股（含存托凭证）的比例不低于基金资产净值的90%且不低于非现金基金资产的80%，因法律法规的规定而受限制的情形除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（三）投资策略</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本基金主要采用完全复制策略及适当的替代性策略以更好的跟踪标的指数，实现基金投资目标。在正常市场情况下，力争控制本基金日均跟踪偏离度的绝对值不超过0.</w:t>
      </w:r>
      <w:r>
        <w:rPr>
          <w:rFonts w:ascii="Times New Roman" w:hAnsi="Times New Roman"/>
          <w:bCs/>
          <w:sz w:val="24"/>
        </w:rPr>
        <w:t>35</w:t>
      </w:r>
      <w:r>
        <w:rPr>
          <w:rFonts w:hint="eastAsia" w:ascii="Times New Roman" w:hAnsi="Times New Roman"/>
          <w:bCs/>
          <w:sz w:val="24"/>
        </w:rPr>
        <w:t>%，年跟踪误差不超过</w:t>
      </w:r>
      <w:r>
        <w:rPr>
          <w:rFonts w:ascii="Times New Roman" w:hAnsi="Times New Roman"/>
          <w:bCs/>
          <w:sz w:val="24"/>
        </w:rPr>
        <w:t>4</w:t>
      </w:r>
      <w:r>
        <w:rPr>
          <w:rFonts w:hint="eastAsia" w:ascii="Times New Roman" w:hAnsi="Times New Roman"/>
          <w:bCs/>
          <w:sz w:val="24"/>
        </w:rPr>
        <w:t>%。如因指数编制规则调整或其他因素导致跟踪偏离度和跟踪误差超过上述范围，基金管理人应采取合理措施避免跟踪偏离度、跟踪误差进一步扩大。</w:t>
      </w:r>
    </w:p>
    <w:p>
      <w:pPr>
        <w:spacing w:line="360" w:lineRule="auto"/>
        <w:ind w:firstLine="480" w:firstLineChars="200"/>
        <w:rPr>
          <w:rFonts w:ascii="Times New Roman" w:hAnsi="Times New Roman"/>
          <w:bCs/>
          <w:sz w:val="24"/>
        </w:rPr>
      </w:pPr>
      <w:r>
        <w:rPr>
          <w:rFonts w:hint="eastAsia" w:ascii="Times New Roman" w:hAnsi="Times New Roman"/>
          <w:bCs/>
          <w:sz w:val="24"/>
        </w:rPr>
        <w:t>当指数编制方法变更、成份股发生变更、成份股权重由于自由流通量调整而发生变化、成份股派发现金股息、配股及增发、股票长期停牌、市场流动性不足等情况发生时，基金管理人将对投资组合进行优化，尽量降低跟踪误差。</w:t>
      </w:r>
    </w:p>
    <w:p>
      <w:pPr>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、股票投资策略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本基金主要采取完全复制法，即按照标的指数成份股及其权重构建基金的股票投资组合，并根据标的指数成份股及其权重的变动对股票投资组合进行相应地调整。</w:t>
      </w:r>
    </w:p>
    <w:p>
      <w:pPr>
        <w:spacing w:line="360" w:lineRule="auto"/>
        <w:ind w:firstLine="480" w:firstLineChars="200"/>
        <w:rPr>
          <w:rFonts w:ascii="Times New Roman" w:hAnsi="Times New Roman"/>
          <w:bCs/>
          <w:sz w:val="24"/>
        </w:rPr>
      </w:pPr>
      <w:r>
        <w:rPr>
          <w:rFonts w:hint="eastAsia" w:ascii="Times New Roman" w:hAnsi="Times New Roman"/>
          <w:bCs/>
          <w:sz w:val="24"/>
        </w:rPr>
        <w:t>对于出现市场流动性不足、因法律法规原因个别成份股被限制投资等情况，导致本基金无法获得足够数量的股票时，或出于其他基金管理人认定不适合投资的股票或可能严重限制本基金跟踪标的指数的合理原因，基金管理人将通过投资成份股、非成份股等进行替代。</w:t>
      </w:r>
    </w:p>
    <w:p>
      <w:pPr>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、债券投资策略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本基金将以降低跟踪误差和流动性管理为目的，综合考虑流动性和收益性，适当参与债券投资。</w:t>
      </w:r>
    </w:p>
    <w:p>
      <w:pPr>
        <w:spacing w:line="360" w:lineRule="auto"/>
        <w:ind w:firstLine="480" w:firstLineChars="200"/>
        <w:rPr>
          <w:rFonts w:ascii="Times New Roman" w:hAnsi="Times New Roman"/>
          <w:bCs/>
          <w:sz w:val="24"/>
        </w:rPr>
      </w:pPr>
      <w:r>
        <w:rPr>
          <w:rFonts w:ascii="Times New Roman" w:hAnsi="Times New Roman"/>
          <w:bCs/>
          <w:sz w:val="24"/>
        </w:rPr>
        <w:t>3</w:t>
      </w:r>
      <w:r>
        <w:rPr>
          <w:rFonts w:hint="eastAsia" w:ascii="Times New Roman" w:hAnsi="Times New Roman"/>
          <w:bCs/>
          <w:sz w:val="24"/>
        </w:rPr>
        <w:t>、股指期货投资策略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本基金投资股指期货将根据风险管理的原则，以套期保值为目的，主要选择流动性好、交易活跃的股指期货合约，以降低股票仓位调整的交易成本，提高投资效率，从而更好地跟踪标的指数，实现投资目标。</w:t>
      </w:r>
    </w:p>
    <w:p>
      <w:pPr>
        <w:spacing w:line="360" w:lineRule="auto"/>
        <w:ind w:firstLine="480" w:firstLineChars="200"/>
        <w:rPr>
          <w:rFonts w:ascii="Times New Roman" w:hAnsi="Times New Roman"/>
          <w:bCs/>
          <w:sz w:val="24"/>
        </w:rPr>
      </w:pPr>
      <w:r>
        <w:rPr>
          <w:rFonts w:ascii="Times New Roman" w:hAnsi="Times New Roman"/>
          <w:bCs/>
          <w:sz w:val="24"/>
        </w:rPr>
        <w:t>4</w:t>
      </w:r>
      <w:r>
        <w:rPr>
          <w:rFonts w:hint="eastAsia" w:ascii="Times New Roman" w:hAnsi="Times New Roman"/>
          <w:bCs/>
          <w:sz w:val="24"/>
        </w:rPr>
        <w:t>、资产支持证券投资策略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健收益。</w:t>
      </w:r>
    </w:p>
    <w:p>
      <w:pPr>
        <w:spacing w:line="360" w:lineRule="auto"/>
        <w:ind w:firstLine="480" w:firstLineChars="200"/>
        <w:rPr>
          <w:rFonts w:ascii="Times New Roman" w:hAnsi="Times New Roman"/>
          <w:bCs/>
          <w:sz w:val="24"/>
        </w:rPr>
      </w:pPr>
      <w:r>
        <w:rPr>
          <w:rFonts w:ascii="Times New Roman" w:hAnsi="Times New Roman"/>
          <w:bCs/>
          <w:sz w:val="24"/>
        </w:rPr>
        <w:t>5</w:t>
      </w:r>
      <w:r>
        <w:rPr>
          <w:rFonts w:hint="eastAsia" w:ascii="Times New Roman" w:hAnsi="Times New Roman"/>
          <w:bCs/>
          <w:sz w:val="24"/>
        </w:rPr>
        <w:t>、存托凭证投资策略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本基金投资存托凭证的策略依照境内上市交易的股票投资策略执行。</w:t>
      </w:r>
    </w:p>
    <w:p>
      <w:pPr>
        <w:spacing w:line="360" w:lineRule="auto"/>
        <w:ind w:firstLine="480" w:firstLineChars="200"/>
        <w:rPr>
          <w:rFonts w:ascii="Times New Roman" w:hAnsi="Times New Roman"/>
          <w:bCs/>
          <w:sz w:val="24"/>
        </w:rPr>
      </w:pPr>
      <w:r>
        <w:rPr>
          <w:rFonts w:hint="eastAsia" w:ascii="Times New Roman" w:hAnsi="Times New Roman"/>
          <w:bCs/>
          <w:sz w:val="24"/>
        </w:rPr>
        <w:t>6、融资、转融通证券出借业务投资策略</w:t>
      </w:r>
    </w:p>
    <w:p>
      <w:pPr>
        <w:spacing w:line="360" w:lineRule="auto"/>
        <w:ind w:firstLine="480" w:firstLineChars="200"/>
        <w:rPr>
          <w:rFonts w:ascii="Times New Roman" w:hAnsi="Times New Roman"/>
          <w:bCs/>
          <w:sz w:val="24"/>
        </w:rPr>
      </w:pPr>
      <w:r>
        <w:rPr>
          <w:rFonts w:hint="eastAsia" w:ascii="Times New Roman" w:hAnsi="Times New Roman"/>
          <w:bCs/>
          <w:sz w:val="24"/>
        </w:rPr>
        <w:t>本基金将在条件允许的情况下，本着谨慎原则，适度参与融资、转融通证券出借业务。本基金在参与融资业务时，将通过对市场环境、利率水平、基金规模以及基金申购赎回情况等因素的研究和判断，决定融资规模。本基金管理人将充分考虑融资业务的收益性、流动性及风险性特征，谨慎进行投资。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pPr>
        <w:spacing w:line="360" w:lineRule="auto"/>
        <w:ind w:firstLine="480" w:firstLineChars="200"/>
        <w:rPr>
          <w:rFonts w:ascii="Times New Roman" w:hAnsi="Times New Roman"/>
          <w:bCs/>
        </w:rPr>
      </w:pPr>
      <w:r>
        <w:rPr>
          <w:rFonts w:hint="eastAsia" w:ascii="Times New Roman" w:hAnsi="Times New Roman"/>
          <w:bCs/>
          <w:sz w:val="24"/>
        </w:rPr>
        <w:t>未来，随着投资工具的发展和丰富，基金管理人可以在不改变投资目标的前提下，在履行适当程序后相应调整和更新相关投资策略，并在招募说明书中更新。</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（四）投资限制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1、组合限制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基金的投资组合应遵循以下限制：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（1）本基金投资于中证智选沪深港科技50指数成份股（含存托凭证）及备选成份股（含存托凭证）的比例不低于基金资产净值的90%且不低于非现金基金资产的80%；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（7）基金财产参与股票发行申购，本基金所申报的金额不超过本基金的总资产，本基金所申报的股票数量不超过拟发行股票公司本次发行股票的总量；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（10）本基金资产总值不超过基金资产净值的140%；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（11）本基金参与股指期货交易，则：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1）本基金在任何交易日日终，持有的买入股指期货合约价值，不得超过基金资产净值的10%；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3）本基金在任何交易日日终，持有的卖出股指期货合约价值不得超过基金持有的股票总市值的20%；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4）本基金所持有的股票市值和买入、卖出股指期货合约价值，合计（轧差计算）应当符合基金合同关于股票投资比例的有关约定；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5）本基金在任何交易日内交易（不包括平仓）的股指期货合约的成交金额不得超过上一交易日基金资产净值的20%；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6）本基金每个交易日日终在扣除股指期货合约需缴纳的交易保证金后，应当保持不低于交易保证金一倍的现金；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（12）本基金参与融资业务后，每个交易日日终，本基金持有的融资买入股票与其他有价证券市值之和，不得超过基金资产净值的95%；</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（13）本基金参与转融通证券出借业务，需遵守下列投资限制：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1）出借证券资产不得超过基金资产净值的30%，出借期限在10个交易日以上的出借证券应纳入《流动性风险管理规定》所述流动性受限证券的范围；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2）参与出借业务的单只证券不得超过本基金持有该证券总量的30%；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3）最近6个月内日均基金资产净值不得低于2亿元；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4）证券出借的平均剩余期限不得超过30天，平均剩余期限按照市值加权平均计算；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因证券市场波动、上市公司合并、基金规模变动等基金管理人之外的因素致使基金投资不符合上述规定的，基金管理人不得新增出借业务；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（14）本基金投资存托凭证的比例限制依照境内上市交易的股票执行；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（15）法律法规及中国证监会规定的和《基金合同》约定的其他投资限制。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除上述（6）、（8）、（9）、（13）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法律法规或监管部门取消或变更上述限制，如适用于本基金，基金管理人在履行适当程序后，则本基金投资不再受相关限制或以变更后的规定为准。</w:t>
      </w:r>
    </w:p>
    <w:p>
      <w:pPr>
        <w:spacing w:line="360" w:lineRule="auto"/>
        <w:ind w:firstLine="480" w:firstLineChars="200"/>
        <w:rPr>
          <w:rFonts w:ascii="Times New Roman" w:hAnsi="Times New Roman"/>
          <w:bCs/>
          <w:sz w:val="24"/>
        </w:rPr>
      </w:pPr>
      <w:r>
        <w:rPr>
          <w:rFonts w:ascii="Times New Roman" w:hAnsi="Times New Roman"/>
          <w:bCs/>
          <w:sz w:val="24"/>
        </w:rPr>
        <w:t>2</w:t>
      </w:r>
      <w:r>
        <w:rPr>
          <w:rFonts w:hint="eastAsia" w:ascii="Times New Roman" w:hAnsi="Times New Roman"/>
          <w:bCs/>
          <w:sz w:val="24"/>
        </w:rPr>
        <w:t>、禁止行为</w:t>
      </w:r>
    </w:p>
    <w:p>
      <w:pPr>
        <w:spacing w:line="360" w:lineRule="auto"/>
        <w:ind w:firstLine="480" w:firstLineChars="200"/>
        <w:rPr>
          <w:rFonts w:ascii="Times New Roman" w:hAnsi="Times New Roman"/>
          <w:bCs/>
          <w:sz w:val="24"/>
        </w:rPr>
      </w:pPr>
      <w:r>
        <w:rPr>
          <w:rFonts w:hint="eastAsia" w:ascii="Times New Roman" w:hAnsi="Times New Roman"/>
          <w:bCs/>
          <w:sz w:val="24"/>
        </w:rPr>
        <w:t>为维护基金份额持有人的合法权益，基金财产不得用于下列投资或者活动：</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）承销证券；</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）违反规定向他人贷款或者提供担保；</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3</w:t>
      </w:r>
      <w:r>
        <w:rPr>
          <w:rFonts w:hint="eastAsia" w:ascii="Times New Roman" w:hAnsi="Times New Roman"/>
          <w:bCs/>
          <w:sz w:val="24"/>
        </w:rPr>
        <w:t>）从事承担无限责任的投资；</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4</w:t>
      </w:r>
      <w:r>
        <w:rPr>
          <w:rFonts w:hint="eastAsia" w:ascii="Times New Roman" w:hAnsi="Times New Roman"/>
          <w:bCs/>
          <w:sz w:val="24"/>
        </w:rPr>
        <w:t>）买卖其他基金份额，但是中国证监会另有规定的除外；</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5</w:t>
      </w:r>
      <w:r>
        <w:rPr>
          <w:rFonts w:hint="eastAsia" w:ascii="Times New Roman" w:hAnsi="Times New Roman"/>
          <w:bCs/>
          <w:sz w:val="24"/>
        </w:rPr>
        <w:t>）向其基金管理人、基金托管人出资；</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6</w:t>
      </w:r>
      <w:r>
        <w:rPr>
          <w:rFonts w:hint="eastAsia" w:ascii="Times New Roman" w:hAnsi="Times New Roman"/>
          <w:bCs/>
          <w:sz w:val="24"/>
        </w:rPr>
        <w:t>）从事内幕交易、操纵证券交易价格及其他不正当的证券交易活动；</w:t>
      </w:r>
    </w:p>
    <w:p>
      <w:pPr>
        <w:spacing w:line="360" w:lineRule="auto"/>
        <w:ind w:firstLine="480" w:firstLineChars="200"/>
        <w:rPr>
          <w:rFonts w:ascii="Times New Roman" w:hAnsi="Times New Roman"/>
          <w:bCs/>
          <w:sz w:val="24"/>
        </w:rPr>
      </w:pPr>
      <w:r>
        <w:rPr>
          <w:rFonts w:hint="eastAsia" w:ascii="Times New Roman" w:hAnsi="Times New Roman"/>
          <w:bCs/>
          <w:sz w:val="24"/>
        </w:rPr>
        <w:t>（</w:t>
      </w:r>
      <w:r>
        <w:rPr>
          <w:rFonts w:ascii="Times New Roman" w:hAnsi="Times New Roman"/>
          <w:bCs/>
          <w:sz w:val="24"/>
        </w:rPr>
        <w:t>7</w:t>
      </w:r>
      <w:r>
        <w:rPr>
          <w:rFonts w:hint="eastAsia" w:ascii="Times New Roman" w:hAnsi="Times New Roman"/>
          <w:bCs/>
          <w:sz w:val="24"/>
        </w:rPr>
        <w:t>）法律、行政法规和中国证监会规定禁止的其他活动。</w:t>
      </w:r>
    </w:p>
    <w:p>
      <w:pPr>
        <w:spacing w:line="360" w:lineRule="auto"/>
        <w:ind w:firstLine="480" w:firstLineChars="200"/>
        <w:rPr>
          <w:rFonts w:ascii="Times New Roman" w:hAnsi="Times New Roman"/>
          <w:sz w:val="24"/>
        </w:rPr>
      </w:pPr>
      <w:r>
        <w:rPr>
          <w:rFonts w:hint="eastAsia"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line="360" w:lineRule="auto"/>
        <w:ind w:firstLine="480" w:firstLineChars="200"/>
        <w:rPr>
          <w:rFonts w:ascii="Times New Roman" w:hAnsi="Times New Roman"/>
          <w:sz w:val="24"/>
        </w:rPr>
      </w:pPr>
      <w:r>
        <w:rPr>
          <w:rFonts w:hint="eastAsia" w:ascii="Times New Roman" w:hAnsi="Times New Roman"/>
          <w:bCs/>
          <w:sz w:val="24"/>
        </w:rPr>
        <w:t>如法律、行政法规或监管部门取消或变更上述规定，如适用于本基金，基金管理人在履行适当程序后，本基金可不受上述规定的限制或以变更后的规定为准。</w:t>
      </w:r>
    </w:p>
    <w:p>
      <w:pPr>
        <w:autoSpaceDE w:val="0"/>
        <w:autoSpaceDN w:val="0"/>
        <w:adjustRightInd w:val="0"/>
        <w:snapToGrid w:val="0"/>
        <w:spacing w:line="360" w:lineRule="auto"/>
        <w:ind w:firstLine="482" w:firstLineChars="200"/>
        <w:jc w:val="left"/>
        <w:rPr>
          <w:rFonts w:ascii="Times New Roman" w:hAnsi="Times New Roman"/>
          <w:szCs w:val="24"/>
        </w:rPr>
      </w:pPr>
      <w:bookmarkStart w:id="36" w:name="_Hlk199342989"/>
      <w:r>
        <w:rPr>
          <w:rFonts w:hint="eastAsia" w:ascii="Times New Roman" w:hAnsi="Times New Roman"/>
          <w:b/>
          <w:kern w:val="0"/>
          <w:sz w:val="24"/>
        </w:rPr>
        <w:t>（五）业绩比较基准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本基金业绩比较基准：</w:t>
      </w:r>
      <w:r>
        <w:rPr>
          <w:rFonts w:hint="eastAsia" w:ascii="Times New Roman" w:hAnsi="Times New Roman"/>
          <w:sz w:val="24"/>
        </w:rPr>
        <w:t>中证智选沪深港科技50指数</w:t>
      </w:r>
      <w:r>
        <w:rPr>
          <w:rFonts w:ascii="Times New Roman" w:hAnsi="Times New Roman"/>
          <w:sz w:val="24"/>
        </w:rPr>
        <w:t>收益率</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未来若出现标的指数不符合要求（不包括因成份股价格波动等指数编制方法变动之外的因素致使标的指数不符合要求的情形）、指数编制机构退出等情形，基金管理人应当自该情形发生之日起十个工作日内向中国证监会报告并提出解决方案，如</w:t>
      </w:r>
      <w:r>
        <w:rPr>
          <w:rFonts w:hint="eastAsia" w:ascii="Times New Roman" w:hAnsi="Times New Roman"/>
          <w:sz w:val="24"/>
        </w:rPr>
        <w:t>更换基金标的指数、</w:t>
      </w:r>
      <w:r>
        <w:rPr>
          <w:rFonts w:ascii="Times New Roman" w:hAnsi="Times New Roman"/>
          <w:sz w:val="24"/>
        </w:rPr>
        <w:t>转换运作方式，与其他基金合并或者终止基金合同等，并在6个月内召集基金份额持有人大会进行表决，基金份额持有人大会未成功召开或就上述事项表决未通过的，基金合同终止。</w:t>
      </w:r>
      <w:r>
        <w:rPr>
          <w:rFonts w:hint="eastAsia" w:ascii="Times New Roman" w:hAnsi="Times New Roman"/>
          <w:sz w:val="24"/>
        </w:rPr>
        <w:t>但若标的指数变更对基金投资无实质性影响（包括但不限于编制机构名称变更、指数更名等），则无需召开基金份额持有人大会，经基金管理人与基金托管人协商一致并按照监管部门要求履行适当程序后在规定媒介上刊登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自指数编制机构停止标的指数的编制及发布至解决方案确定期间，基金管理人应按照指数编制机构提供的最近一个交易日的指数信息遵循基金份额持有人利益优先原则维持基金投资运作。</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本基金运作过程中，当标的指数成份股发生明显负面事件面临退市风险，且指数编制机构暂未作出调整的，基金管理人应当按照持有人利益优先的原则，履行内部决策程序后及时对相关成份</w:t>
      </w:r>
      <w:r>
        <w:rPr>
          <w:rFonts w:hint="eastAsia"/>
          <w:bCs/>
          <w:sz w:val="24"/>
        </w:rPr>
        <w:t>股</w:t>
      </w:r>
      <w:r>
        <w:rPr>
          <w:rFonts w:hint="eastAsia" w:ascii="Times New Roman" w:hAnsi="Times New Roman"/>
          <w:sz w:val="24"/>
        </w:rPr>
        <w:t>进行调整。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若基金标的指数发生变更，基金业绩比较基准随之变更，由基金管理人根据标的指数变更情形履行对应适当程序，并在调整实施前依照《信息披露办法》的有关规定在</w:t>
      </w:r>
      <w:r>
        <w:rPr>
          <w:rFonts w:hint="eastAsia" w:ascii="Times New Roman" w:hAnsi="Times New Roman"/>
          <w:sz w:val="24"/>
        </w:rPr>
        <w:t>规定</w:t>
      </w:r>
      <w:r>
        <w:rPr>
          <w:rFonts w:ascii="Times New Roman" w:hAnsi="Times New Roman"/>
          <w:sz w:val="24"/>
        </w:rPr>
        <w:t>媒介上刊登公告。</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（六）风险收益特征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本基金是一只股票型基金，其预期风险和预期收益</w:t>
      </w:r>
      <w:r>
        <w:rPr>
          <w:rFonts w:hint="eastAsia" w:ascii="Times New Roman" w:hAnsi="Times New Roman"/>
          <w:sz w:val="24"/>
        </w:rPr>
        <w:t>理论上</w:t>
      </w:r>
      <w:r>
        <w:rPr>
          <w:rFonts w:ascii="Times New Roman" w:hAnsi="Times New Roman"/>
          <w:sz w:val="24"/>
        </w:rPr>
        <w:t>高于混合型基金、债券型基金和货币市场基金。</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本基金为</w:t>
      </w:r>
      <w:r>
        <w:rPr>
          <w:rFonts w:hint="eastAsia" w:ascii="Times New Roman" w:hAnsi="Times New Roman"/>
          <w:sz w:val="24"/>
        </w:rPr>
        <w:t>指数型</w:t>
      </w:r>
      <w:r>
        <w:rPr>
          <w:rFonts w:ascii="Times New Roman" w:hAnsi="Times New Roman"/>
          <w:sz w:val="24"/>
        </w:rPr>
        <w:t>基金，主要采用</w:t>
      </w:r>
      <w:r>
        <w:rPr>
          <w:rFonts w:hint="eastAsia" w:ascii="Times New Roman" w:hAnsi="Times New Roman"/>
          <w:sz w:val="24"/>
        </w:rPr>
        <w:t>完全复制法跟踪中证智选沪深港科技50指数，具有与标的指数相似的风险收益特征。</w:t>
      </w:r>
    </w:p>
    <w:p>
      <w:pPr>
        <w:spacing w:line="360" w:lineRule="auto"/>
        <w:ind w:firstLine="480" w:firstLineChars="200"/>
        <w:rPr>
          <w:bCs/>
          <w:sz w:val="24"/>
        </w:rPr>
      </w:pPr>
      <w:r>
        <w:rPr>
          <w:rFonts w:hint="eastAsia"/>
          <w:bCs/>
          <w:sz w:val="24"/>
        </w:rPr>
        <w:t>本基金投资港股通标的股票，</w:t>
      </w:r>
      <w:r>
        <w:rPr>
          <w:bCs/>
          <w:sz w:val="24"/>
        </w:rPr>
        <w:t>会面临</w:t>
      </w:r>
      <w:r>
        <w:rPr>
          <w:rFonts w:hint="eastAsia"/>
          <w:bCs/>
          <w:sz w:val="24"/>
        </w:rPr>
        <w:t>港股通机制下因投资环境、投资标的、市场制度以及交易规则等差异带来的特有风险。</w:t>
      </w:r>
    </w:p>
    <w:p>
      <w:pPr>
        <w:autoSpaceDE w:val="0"/>
        <w:autoSpaceDN w:val="0"/>
        <w:adjustRightInd w:val="0"/>
        <w:snapToGrid w:val="0"/>
        <w:spacing w:line="360" w:lineRule="auto"/>
        <w:ind w:firstLine="482" w:firstLineChars="200"/>
        <w:jc w:val="left"/>
        <w:rPr>
          <w:rFonts w:ascii="Times New Roman" w:hAnsi="Times New Roman"/>
          <w:szCs w:val="24"/>
        </w:rPr>
      </w:pPr>
      <w:r>
        <w:rPr>
          <w:rFonts w:hint="eastAsia" w:ascii="Times New Roman" w:hAnsi="Times New Roman"/>
          <w:b/>
          <w:kern w:val="0"/>
          <w:sz w:val="24"/>
        </w:rPr>
        <w:t>（七）基金管理人代表基金行使</w:t>
      </w:r>
      <w:r>
        <w:rPr>
          <w:rFonts w:ascii="Times New Roman" w:hAnsi="Times New Roman"/>
          <w:b/>
          <w:kern w:val="0"/>
          <w:sz w:val="24"/>
        </w:rPr>
        <w:t>股东或债权人</w:t>
      </w:r>
      <w:r>
        <w:rPr>
          <w:rFonts w:hint="eastAsia" w:ascii="Times New Roman" w:hAnsi="Times New Roman"/>
          <w:b/>
          <w:kern w:val="0"/>
          <w:sz w:val="24"/>
        </w:rPr>
        <w:t>权利的处理原则及方法</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1、基金管理人按照国家有关规定代表基金独立行使股东或债权人权利，保护基金份额持有人的利益；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2、不谋求对上市公司的控股；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3、有利于基金财产的安全与增值；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4、不通过关联交易为自身、雇员、授权代理人或任何存在利害关系的第三人牟取任何不当利益。</w:t>
      </w:r>
    </w:p>
    <w:p>
      <w:pPr>
        <w:widowControl/>
        <w:jc w:val="left"/>
        <w:rPr>
          <w:rFonts w:ascii="Times New Roman" w:hAnsi="Times New Roman"/>
          <w:bCs/>
          <w:sz w:val="24"/>
        </w:rPr>
      </w:pPr>
    </w:p>
    <w:p>
      <w:pPr>
        <w:widowControl/>
        <w:jc w:val="left"/>
        <w:rPr>
          <w:rFonts w:ascii="Times New Roman" w:hAnsi="Times New Roman"/>
          <w:b/>
          <w:bCs/>
          <w:kern w:val="44"/>
          <w:sz w:val="30"/>
          <w:szCs w:val="44"/>
        </w:rPr>
      </w:pPr>
      <w:r>
        <w:rPr>
          <w:rFonts w:ascii="Times New Roman" w:hAnsi="Times New Roman"/>
          <w:sz w:val="30"/>
        </w:rPr>
        <w:br w:type="page"/>
      </w:r>
    </w:p>
    <w:p>
      <w:pPr>
        <w:pStyle w:val="2"/>
        <w:snapToGrid w:val="0"/>
        <w:spacing w:before="240" w:beforeLines="0" w:after="240"/>
        <w:rPr>
          <w:rFonts w:ascii="Times New Roman" w:hAnsi="Times New Roman"/>
          <w:szCs w:val="30"/>
        </w:rPr>
      </w:pPr>
      <w:bookmarkStart w:id="37" w:name="_Toc208562029"/>
      <w:bookmarkStart w:id="38" w:name="_Hlk205663552"/>
      <w:r>
        <w:rPr>
          <w:rFonts w:ascii="Times New Roman" w:hAnsi="Times New Roman"/>
          <w:sz w:val="30"/>
        </w:rPr>
        <w:t>十</w:t>
      </w:r>
      <w:r>
        <w:rPr>
          <w:rFonts w:hint="eastAsia" w:ascii="Times New Roman" w:hAnsi="Times New Roman"/>
          <w:sz w:val="30"/>
        </w:rPr>
        <w:t>二</w:t>
      </w:r>
      <w:r>
        <w:rPr>
          <w:rFonts w:ascii="Times New Roman" w:hAnsi="Times New Roman"/>
          <w:sz w:val="30"/>
        </w:rPr>
        <w:t>、基金的财产</w:t>
      </w:r>
      <w:bookmarkEnd w:id="37"/>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（一）基金资产总值</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基金资产总值是指基金拥有的各类有价证券、股指期货合约、银行存款本息、基金应收款项及其他资产的价值总和。</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（二）基金资产净值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基金资产净值是指基金资产总值减去基金负债后的价值。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（三）基金财产的账户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（四）基金财产的保管和处分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bookmarkEnd w:id="38"/>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39" w:name="_Toc208562030"/>
      <w:bookmarkStart w:id="40" w:name="_Hlk205663573"/>
      <w:r>
        <w:rPr>
          <w:rFonts w:ascii="Times New Roman" w:hAnsi="Times New Roman"/>
          <w:sz w:val="30"/>
        </w:rPr>
        <w:t>十</w:t>
      </w:r>
      <w:r>
        <w:rPr>
          <w:rFonts w:hint="eastAsia" w:ascii="Times New Roman" w:hAnsi="Times New Roman"/>
          <w:sz w:val="30"/>
        </w:rPr>
        <w:t>三</w:t>
      </w:r>
      <w:r>
        <w:rPr>
          <w:rFonts w:ascii="Times New Roman" w:hAnsi="Times New Roman"/>
          <w:sz w:val="30"/>
        </w:rPr>
        <w:t>、基金资产的估值</w:t>
      </w:r>
      <w:bookmarkEnd w:id="39"/>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（一）估值日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本基金的估值日为本基金相关的证券交易场所的交易日以及国家法律法规规定需要对外披露基金净值的非交易日。</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（二）估值对象</w:t>
      </w:r>
    </w:p>
    <w:p>
      <w:pPr>
        <w:spacing w:line="360" w:lineRule="auto"/>
        <w:ind w:firstLine="480" w:firstLineChars="200"/>
        <w:rPr>
          <w:rFonts w:ascii="Times New Roman" w:hAnsi="Times New Roman"/>
          <w:bCs/>
          <w:sz w:val="24"/>
        </w:rPr>
      </w:pPr>
      <w:r>
        <w:rPr>
          <w:rFonts w:hint="eastAsia" w:ascii="Times New Roman" w:hAnsi="Times New Roman"/>
          <w:bCs/>
          <w:sz w:val="24"/>
        </w:rPr>
        <w:t>基金所拥有的股票、债券、资产支持证券、衍生工具和其他投资等持续以公允价值计量的金融资产及负债。</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（三）估值原则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基金管理人在确定相关金融资产和金融负债的公允价值时，应符合《企业会计准则》、监管部门有关规定。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与上述投资品种</w:t>
      </w:r>
      <w:r>
        <w:rPr>
          <w:rFonts w:hint="eastAsia" w:ascii="Times New Roman" w:hAnsi="Times New Roman"/>
          <w:sz w:val="24"/>
        </w:rPr>
        <w:t>相</w:t>
      </w:r>
      <w:r>
        <w:rPr>
          <w:rFonts w:ascii="Times New Roman" w:hAnsi="Times New Roman"/>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3、如经济环境发生重大变化或证券发行人发生影响证券价格的重大事件，使潜在估值调整对前一估值日的基金资产净值的影响在0.25%以上的，应对估值进行调整并确定公允价值。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（四）估值方法</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2、处于未上市期间的有价证券应区分如下情况处理：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（1）送股、转增股、配股和公开增发的新股，按估值日在证券交易所挂牌的同一股票的估值方法估值；该日无交易的，以最近一日的市价（收盘价）估值；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（2）首次公开发行未上市的股票和债券，采用估值技术确定公允价值；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3、对于已上市或已挂牌转让的不含权固定收益品种（另有规定的除外），选取第三方估值基准服务机构提供的相应品种当日的估值全价进行估值。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4、对于已上市或已挂牌转让的含权固定收益品种（另有规定的除外），选取第三方估值基准服务机构提供的相应品种当日的唯一估值全价或推荐估值全价进行估值。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6、对于未上市或未挂牌转让且不存在活跃市场的固定收益品种，采用在当前情况下适用并且有足够可利用数据和其他信息支持的估值技术确定其公允价值。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7、本基金投资股指期货合约，一般以估值当日结算价进行估值，估值当日无结算价的，且最近交易日后经济环境未发生重大变化的，采用最近交易日结算价估值。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8、同一证券同时在两个或两个以上市场交易的，按证券所处的市场分别估值。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9、估值计算中涉及港币对人民币汇率的，将依据下列信息提供机构所提供的汇率为基准：当日中国人民银行或其授权机构公布的人民币与港币的中间价。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10、对于因税收规定调整或其他原因导致本基金实际交纳税金与估算的应交税金有差异的，本基金将在相关税金调整日或实际支付日进行相应的会计处理。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1</w:t>
      </w:r>
      <w:r>
        <w:rPr>
          <w:rFonts w:hint="eastAsia" w:ascii="Times New Roman" w:hAnsi="Times New Roman"/>
          <w:sz w:val="24"/>
        </w:rPr>
        <w:t>、本基金投资存托凭证的估值核算依照境内上市交易的股票执行。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2</w:t>
      </w:r>
      <w:r>
        <w:rPr>
          <w:rFonts w:hint="eastAsia" w:ascii="Times New Roman" w:hAnsi="Times New Roman"/>
          <w:sz w:val="24"/>
        </w:rPr>
        <w:t>、基金参与融资和转融通证券出借业务的，应参照相关法律法规和中国证券投资基金业协会发布的相关规定进行估值。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3</w:t>
      </w:r>
      <w:r>
        <w:rPr>
          <w:rFonts w:hint="eastAsia" w:ascii="Times New Roman" w:hAnsi="Times New Roman"/>
          <w:sz w:val="24"/>
        </w:rPr>
        <w:t>、如有确凿证据表明按上述方法进行估值不能客观反映其公允价值的，基金管理人可根据具体情况与基金托管人商定后，按最能反映公允价值的价格估值。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4</w:t>
      </w:r>
      <w:r>
        <w:rPr>
          <w:rFonts w:hint="eastAsia" w:ascii="Times New Roman" w:hAnsi="Times New Roman"/>
          <w:sz w:val="24"/>
        </w:rPr>
        <w:t>、相关法律法规以及监管部门有强制规定的，从其规定。如有新增事项，按国家最新规定估值。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如基金管理人或基金托管人发现基金估值违反基金合同订明的估值方法、程序及相关法律法规的规定或者未能充分维护基金份额持有人利益时，应立即通知对方，共同查明原因，双方协商解决。</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ascii="Times New Roman" w:hAnsi="Times New Roman"/>
          <w:sz w:val="24"/>
        </w:rPr>
        <w:t>信息</w:t>
      </w:r>
      <w:r>
        <w:rPr>
          <w:rFonts w:ascii="Times New Roman" w:hAnsi="Times New Roman"/>
          <w:sz w:val="24"/>
        </w:rPr>
        <w:t>的计算结果对外予以公布。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（五）估值程序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份额净值是按照每个工作日闭市后，基金资产净值除以当日基金份额的余额数量计算，精确到0.0001元，小数点后第5位四舍五入。基金管理人可以设立大额赎回情形下的净值精度应急调整机制，具体可参见相关公告。国家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基金管理人于每个工作日计算基金资产净值及基金份额净值，经基金托管人复核，并按规定公告。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管理人应每个工作日对基金资产估值，但基金管理人根据法律法规或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（六）估值错误的处理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基金管理人和基金托管人将采取必要、适当、合理的措施确保基金资产估值的准确性、及时性。当基金份额净值小数点后4位以内（含第4位）发生估值错误时，视为基金份额净值错误。</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基金合同的当事人应按照以下约定处理：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1、估值错误类型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上述估值错误的主要类型包括但不限于：资料申报差错、数据传输差错、数据计算差错、系统故障差错、下达指令差错等。</w:t>
      </w:r>
    </w:p>
    <w:p>
      <w:pPr>
        <w:spacing w:line="360" w:lineRule="auto"/>
        <w:ind w:firstLine="480" w:firstLineChars="200"/>
        <w:rPr>
          <w:rFonts w:ascii="Times New Roman" w:hAnsi="Times New Roman"/>
          <w:bCs/>
          <w:sz w:val="24"/>
        </w:rPr>
      </w:pPr>
      <w:r>
        <w:rPr>
          <w:rFonts w:hint="eastAsia" w:ascii="Times New Roman" w:hAnsi="Times New Roman"/>
          <w:bCs/>
          <w:sz w:val="24"/>
        </w:rPr>
        <w:t>对于因技术原因引起的差错，若系同行业现有技术水平无法预见、无法避免、无法抗拒，则属不可抗力，按照下述规定执行。</w:t>
      </w:r>
    </w:p>
    <w:p>
      <w:pPr>
        <w:spacing w:line="360" w:lineRule="auto"/>
        <w:ind w:firstLine="480" w:firstLineChars="200"/>
        <w:rPr>
          <w:rFonts w:ascii="Times New Roman" w:hAnsi="Times New Roman"/>
          <w:bCs/>
          <w:sz w:val="24"/>
        </w:rPr>
      </w:pPr>
      <w:r>
        <w:rPr>
          <w:rFonts w:hint="eastAsia" w:ascii="Times New Roman" w:hAnsi="Times New Roman"/>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2、估值错误处理原则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（2）估值错误的责任方对有关当事人的直接损失负责，不对间接损失负责，并且仅对估值错误的有关直接当事人负责，不对第三方负责。</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（4）估值错误调整采用尽量恢复至假设未发生估值错误的正确情形的方式。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（5）按法律法规规定的其他原则处理估值错误。</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3、估值错误处理程序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估值错误被发现后，有关的当事人应当及时进行处理，处理的程序如下：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（1）查明估值错误发生的原因，列明所有的当事人，并根据估值错误发生的原因确定估值错误的责任方；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（2）根据估值错误处理原则或当事人协商的方法对因估值错误造成的损失进行评估；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（3）根据估值错误处理原则或当事人协商的方法由估值错误的责任方进行更正和赔偿损失；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（4）根据估值错误处理的方法，需要修改基金登记机构交易数据的，由基金登记机构进行更正，并就估值错误的更正向有关当事人进行确认。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4、基金份额净值估值错误处理的方法如下：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（1）基金份额净值计算出现错误时，基金管理人应当立即予以纠正，通报基金托管人，并采取合理的措施防止损失进一步扩大。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（2）错误偏差达到基金份额净值的0.25%时，基金管理人应当通报基金托管人并报中国证监会备案；错误偏差达到基金份额净值的0.5%时，基金管理人应当公告，并报中国证监会备案。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（3）前述内容</w:t>
      </w:r>
      <w:r>
        <w:rPr>
          <w:rFonts w:hint="eastAsia" w:ascii="Times New Roman" w:hAnsi="Times New Roman"/>
          <w:sz w:val="24"/>
        </w:rPr>
        <w:t>如法律法规或监管机关另有规定的，从其规定处理。</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（七）暂停估值的情形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1、基金投资所涉及的证券/期货交易市场或外汇市场遇法定节假日或因其他原因暂停营业时；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2、因不可抗力致使基金管理人、基金托管人无法准确评估基金资产价值时；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3、当前一估值日基金资产净值50%以上的资产出现无可参考的活跃市场价格且采用估值技术仍导致公允价值存在重大不确定性时，经与基金托管人协商一致的，基金管理人应当暂停估值；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4、法律法规、中国证监会和基金合同认定的其它情形。</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（八）基金净值的确认</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依据基金合同和相关法律法规的规定对基金净值予以公布。</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（九）特殊情形的处理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1、基金管理人或基金托管人按估值方法的第13项进行估值时，所造成的误差不作为基金资产估值错误处理。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2、由于不可抗力原因，或由于证券/期货交易所、证券/期货经纪机构、登记结算公司</w:t>
      </w:r>
      <w:r>
        <w:rPr>
          <w:rFonts w:hint="eastAsia" w:ascii="Times New Roman" w:hAnsi="Times New Roman"/>
          <w:sz w:val="24"/>
        </w:rPr>
        <w:t>、指数编制机构</w:t>
      </w:r>
      <w:r>
        <w:rPr>
          <w:rFonts w:ascii="Times New Roman" w:hAnsi="Times New Roman"/>
          <w:sz w:val="24"/>
        </w:rPr>
        <w:t>及存款银行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bookmarkEnd w:id="36"/>
    <w:bookmarkEnd w:id="40"/>
    <w:p>
      <w:pPr>
        <w:autoSpaceDE w:val="0"/>
        <w:autoSpaceDN w:val="0"/>
        <w:adjustRightInd w:val="0"/>
        <w:spacing w:line="360" w:lineRule="auto"/>
        <w:rPr>
          <w:rFonts w:ascii="Times New Roman" w:hAnsi="Times New Roman"/>
          <w:szCs w:val="24"/>
        </w:rPr>
      </w:pPr>
    </w:p>
    <w:p>
      <w:pPr>
        <w:widowControl/>
        <w:jc w:val="left"/>
        <w:rPr>
          <w:rFonts w:ascii="Times New Roman" w:hAnsi="Times New Roman"/>
          <w:b/>
          <w:bCs/>
          <w:kern w:val="44"/>
          <w:sz w:val="30"/>
          <w:szCs w:val="44"/>
        </w:rPr>
      </w:pPr>
      <w:r>
        <w:rPr>
          <w:rFonts w:ascii="Times New Roman" w:hAnsi="Times New Roman"/>
          <w:sz w:val="30"/>
        </w:rPr>
        <w:br w:type="page"/>
      </w:r>
    </w:p>
    <w:p>
      <w:pPr>
        <w:pStyle w:val="2"/>
        <w:snapToGrid w:val="0"/>
        <w:spacing w:before="240" w:beforeLines="0" w:after="240"/>
        <w:rPr>
          <w:rFonts w:ascii="Times New Roman" w:hAnsi="Times New Roman"/>
          <w:szCs w:val="30"/>
        </w:rPr>
      </w:pPr>
      <w:bookmarkStart w:id="41" w:name="_Toc208562031"/>
      <w:bookmarkStart w:id="42" w:name="_Hlk199343016"/>
      <w:bookmarkStart w:id="43" w:name="OLE_LINK3"/>
      <w:bookmarkStart w:id="44" w:name="_Hlk205663603"/>
      <w:r>
        <w:rPr>
          <w:rFonts w:ascii="Times New Roman" w:hAnsi="Times New Roman"/>
          <w:sz w:val="30"/>
        </w:rPr>
        <w:t>十</w:t>
      </w:r>
      <w:r>
        <w:rPr>
          <w:rFonts w:hint="eastAsia" w:ascii="Times New Roman" w:hAnsi="Times New Roman"/>
          <w:sz w:val="30"/>
        </w:rPr>
        <w:t>四</w:t>
      </w:r>
      <w:r>
        <w:rPr>
          <w:rFonts w:ascii="Times New Roman" w:hAnsi="Times New Roman"/>
          <w:sz w:val="30"/>
        </w:rPr>
        <w:t>、</w:t>
      </w:r>
      <w:bookmarkStart w:id="45" w:name="OLE_LINK6"/>
      <w:r>
        <w:rPr>
          <w:rFonts w:ascii="Times New Roman" w:hAnsi="Times New Roman"/>
          <w:sz w:val="30"/>
        </w:rPr>
        <w:t>基金收益与分配</w:t>
      </w:r>
      <w:bookmarkEnd w:id="41"/>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（一）基金利润的构成</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基金利润指基金利息收入、投资收益、公允价值变动收益和其他收入扣除相关费用后的余额，基金已实现收益指基金利润减去公允价值变动收益后的余额。</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（二）基金可供分配利润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基金可供分配利润指截至收益分配基准日基金未分配利润与未分配利润中已实现收益的孰低数。</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（三）基金收益分配原则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1、在符合有关基金分红条件的前提下，本基金管理人可以根据实际情况进行收益分配，具体分配方案以公告为准；若《基金合同》生效不满3个月可不进行收益分配；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2、本基金的收益分配方式为现金分红；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可对基金份额净值增长率相对标的指数同期增长率的超额收益率以及基金的可供分配利润进行评价，当收益评价日核定的基金份额净值增长率超过标的指数同期增长率或者基金可供分配利润金额大于零时，基金管理人可进行收益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当基金收益分配根据基金份额净值增长率相对标的指数同期增长率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5、本基金每一基金份额享有同等分配权；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6、法律法规、监管机构、登记机构、上海证券交易所另有规定的，从其规定。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在不违反法律法规、基金合同的约定以及对基金份额持有人利益无实质性不利影响的情况下，基金管理人可调整基金收益的分配原则和支付方式，不需召开基金份额持有人大会审议。</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（四）收益分配方案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基金收益分配方案中应载明基金收益分配对象、分配时间、分配数额及比例、分配方式等内容。</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w:t>
      </w:r>
      <w:r>
        <w:rPr>
          <w:rFonts w:hint="eastAsia" w:ascii="Times New Roman" w:hAnsi="Times New Roman"/>
          <w:b/>
          <w:sz w:val="24"/>
        </w:rPr>
        <w:t>五</w:t>
      </w:r>
      <w:r>
        <w:rPr>
          <w:rFonts w:ascii="Times New Roman" w:hAnsi="Times New Roman"/>
          <w:b/>
          <w:sz w:val="24"/>
        </w:rPr>
        <w:t>）收益分配方案的确定、公告与实施</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本基金收益分配方案由基金管理人拟定，并由基金托管人复核，依照《信息披露办法》的规定在规定媒介公告。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法律法规或监管机关另有规定的，从其规定。</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w:t>
      </w:r>
      <w:r>
        <w:rPr>
          <w:rFonts w:hint="eastAsia" w:ascii="Times New Roman" w:hAnsi="Times New Roman"/>
          <w:b/>
          <w:sz w:val="24"/>
        </w:rPr>
        <w:t>六</w:t>
      </w:r>
      <w:r>
        <w:rPr>
          <w:rFonts w:ascii="Times New Roman" w:hAnsi="Times New Roman"/>
          <w:b/>
          <w:sz w:val="24"/>
        </w:rPr>
        <w:t>）基金收益分配中发生的费用</w:t>
      </w:r>
    </w:p>
    <w:p>
      <w:pPr>
        <w:spacing w:line="360" w:lineRule="auto"/>
        <w:ind w:firstLine="540" w:firstLineChars="225"/>
        <w:rPr>
          <w:bCs/>
          <w:sz w:val="24"/>
        </w:rPr>
      </w:pPr>
      <w:r>
        <w:rPr>
          <w:bCs/>
          <w:sz w:val="24"/>
        </w:rPr>
        <w:t>基金收益分配时所发生的银行转账或其他手续费用由投资者自行承担。</w:t>
      </w:r>
      <w:bookmarkEnd w:id="45"/>
    </w:p>
    <w:bookmarkEnd w:id="42"/>
    <w:bookmarkEnd w:id="43"/>
    <w:bookmarkEnd w:id="44"/>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46" w:name="_Toc208562032"/>
      <w:bookmarkStart w:id="47" w:name="_Hlk199343005"/>
      <w:r>
        <w:rPr>
          <w:rFonts w:ascii="Times New Roman" w:hAnsi="Times New Roman"/>
          <w:sz w:val="30"/>
        </w:rPr>
        <w:t>十</w:t>
      </w:r>
      <w:r>
        <w:rPr>
          <w:rFonts w:hint="eastAsia" w:ascii="Times New Roman" w:hAnsi="Times New Roman"/>
          <w:sz w:val="30"/>
        </w:rPr>
        <w:t>五</w:t>
      </w:r>
      <w:r>
        <w:rPr>
          <w:rFonts w:ascii="Times New Roman" w:hAnsi="Times New Roman"/>
          <w:sz w:val="30"/>
        </w:rPr>
        <w:t>、基金的费用与税收</w:t>
      </w:r>
      <w:bookmarkEnd w:id="46"/>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（一）基金费用的种类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1、基金管理人的管理费；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2、基金托管人的托管费；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3、《基金合同》生效后与基金相关的信息披露费用；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4、《基金合同》生效后与基金相关的会计师费、律师费、仲裁费和诉讼费；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5、基金份额持有人大会费用；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6、基金的证券/期货交易费用；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7、基金的银行汇划费用；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基金上市费及年费、登记结算费用、IOPV计算与发布费用、收益分配中发生的费用；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9、</w:t>
      </w:r>
      <w:r>
        <w:rPr>
          <w:rFonts w:ascii="Times New Roman" w:hAnsi="Times New Roman"/>
          <w:sz w:val="24"/>
        </w:rPr>
        <w:t>基金的开户费用、账户维护费用；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10、</w:t>
      </w:r>
      <w:r>
        <w:rPr>
          <w:rFonts w:hint="eastAsia" w:ascii="Times New Roman" w:hAnsi="Times New Roman"/>
          <w:sz w:val="24"/>
        </w:rPr>
        <w:t>因投资港股通标的股票而产生的各项合理费用；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11、按照国家有关规定和《基金合同》约定，可以在基金财产中列支的其他费用。</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（二）基金费用计提方法、计提标准和支付方式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1、与基金运作有关的费用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（1）基金管理人的管理费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本基金的管理费按前一日基金资产净值的0.5%年费率计提。管理费的计算方法如下：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H＝E×0.5%÷当年天数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H为每日应计提的基金管理费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E为前一日的基金资产净值</w:t>
      </w:r>
    </w:p>
    <w:p>
      <w:pPr>
        <w:autoSpaceDE w:val="0"/>
        <w:autoSpaceDN w:val="0"/>
        <w:adjustRightInd w:val="0"/>
        <w:snapToGrid w:val="0"/>
        <w:spacing w:line="360" w:lineRule="auto"/>
        <w:ind w:firstLine="480" w:firstLineChars="200"/>
        <w:jc w:val="left"/>
        <w:rPr>
          <w:rFonts w:ascii="Times New Roman" w:hAnsi="Times New Roman"/>
          <w:bCs/>
          <w:sz w:val="24"/>
        </w:rPr>
      </w:pPr>
      <w:bookmarkStart w:id="48" w:name="_Hlk181868896"/>
      <w:r>
        <w:rPr>
          <w:rFonts w:hint="eastAsia" w:ascii="Times New Roman" w:hAnsi="Times New Roman"/>
          <w:bCs/>
          <w:sz w:val="24"/>
        </w:rPr>
        <w:t>基金管理费每日计提，逐日累计至每月月末，按月支付。由基金管理人根据双方核对一致的数据向基金托管人发送划付指令，基金托管人于次月首日起</w:t>
      </w:r>
      <w:r>
        <w:rPr>
          <w:rFonts w:ascii="Times New Roman" w:hAnsi="Times New Roman"/>
          <w:bCs/>
          <w:sz w:val="24"/>
        </w:rPr>
        <w:t>5</w:t>
      </w:r>
      <w:r>
        <w:rPr>
          <w:rFonts w:hint="eastAsia" w:ascii="Times New Roman" w:hAnsi="Times New Roman"/>
          <w:bCs/>
          <w:sz w:val="24"/>
        </w:rPr>
        <w:t>个工作日内从基金财产中一次性支付给基金管理人。若遇法定节假日、休息日或不可抗力致使无法按时支付的，顺延至最近可支付日支付。</w:t>
      </w:r>
    </w:p>
    <w:bookmarkEnd w:id="48"/>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（2）基金托管人的托管费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本基金的托管费按前一日基金资产净值的0.05%的年费率计提。托管费的计算方法如下：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H＝E×0.05%÷</w:t>
      </w:r>
      <w:r>
        <w:rPr>
          <w:rFonts w:hint="eastAsia" w:ascii="Times New Roman" w:hAnsi="Times New Roman"/>
          <w:sz w:val="24"/>
        </w:rPr>
        <w:t>当年天数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H</w:t>
      </w:r>
      <w:r>
        <w:rPr>
          <w:rFonts w:hint="eastAsia" w:ascii="Times New Roman" w:hAnsi="Times New Roman"/>
          <w:sz w:val="24"/>
        </w:rPr>
        <w:t>为每日应计提的基金托管费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E</w:t>
      </w:r>
      <w:r>
        <w:rPr>
          <w:rFonts w:hint="eastAsia" w:ascii="Times New Roman" w:hAnsi="Times New Roman"/>
          <w:sz w:val="24"/>
        </w:rPr>
        <w:t>为前一日的基金资产净值</w:t>
      </w:r>
    </w:p>
    <w:p>
      <w:pPr>
        <w:autoSpaceDE w:val="0"/>
        <w:autoSpaceDN w:val="0"/>
        <w:adjustRightInd w:val="0"/>
        <w:snapToGrid w:val="0"/>
        <w:spacing w:line="360" w:lineRule="auto"/>
        <w:ind w:firstLine="480" w:firstLineChars="200"/>
        <w:jc w:val="left"/>
        <w:rPr>
          <w:rFonts w:ascii="Times New Roman" w:hAnsi="Times New Roman"/>
          <w:bCs/>
          <w:sz w:val="24"/>
        </w:rPr>
      </w:pPr>
      <w:bookmarkStart w:id="49" w:name="_Hlk181868915"/>
      <w:r>
        <w:rPr>
          <w:rFonts w:hint="eastAsia" w:ascii="Times New Roman" w:hAnsi="Times New Roman"/>
          <w:bCs/>
          <w:sz w:val="24"/>
        </w:rPr>
        <w:t>基金托管费每日计提，逐日累计至每月月末，按月支付。由基金管理人根据双方核对一致的数据向基金托管人发送划付指令，基金托管人于次月首日起</w:t>
      </w:r>
      <w:r>
        <w:rPr>
          <w:rFonts w:ascii="Times New Roman" w:hAnsi="Times New Roman"/>
          <w:bCs/>
          <w:sz w:val="24"/>
        </w:rPr>
        <w:t>5</w:t>
      </w:r>
      <w:r>
        <w:rPr>
          <w:rFonts w:hint="eastAsia" w:ascii="Times New Roman" w:hAnsi="Times New Roman"/>
          <w:bCs/>
          <w:sz w:val="24"/>
        </w:rPr>
        <w:t>个工作日内从基金财产中一次性支取。若遇法定节假日、休息日或不可抗力致使无法按时支付的，顺延至最近可支付日支付。</w:t>
      </w:r>
    </w:p>
    <w:bookmarkEnd w:id="49"/>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w:t>
      </w:r>
      <w:r>
        <w:rPr>
          <w:rFonts w:hint="eastAsia" w:ascii="Times New Roman" w:hAnsi="Times New Roman"/>
          <w:sz w:val="24"/>
        </w:rPr>
        <w:t>上述</w:t>
      </w:r>
      <w:r>
        <w:rPr>
          <w:rFonts w:ascii="Times New Roman" w:hAnsi="Times New Roman"/>
          <w:sz w:val="24"/>
        </w:rPr>
        <w:t>“</w:t>
      </w:r>
      <w:r>
        <w:rPr>
          <w:rFonts w:hint="eastAsia" w:ascii="Times New Roman" w:hAnsi="Times New Roman"/>
          <w:sz w:val="24"/>
        </w:rPr>
        <w:t>（一）基金费用的种类</w:t>
      </w:r>
      <w:r>
        <w:rPr>
          <w:rFonts w:ascii="Times New Roman" w:hAnsi="Times New Roman"/>
          <w:sz w:val="24"/>
        </w:rPr>
        <w:t>”</w:t>
      </w:r>
      <w:r>
        <w:rPr>
          <w:rFonts w:hint="eastAsia" w:ascii="Times New Roman" w:hAnsi="Times New Roman"/>
          <w:sz w:val="24"/>
        </w:rPr>
        <w:t>中第</w:t>
      </w:r>
      <w:r>
        <w:rPr>
          <w:rFonts w:ascii="Times New Roman" w:hAnsi="Times New Roman"/>
          <w:sz w:val="24"/>
        </w:rPr>
        <w:t>3</w:t>
      </w:r>
      <w:r>
        <w:rPr>
          <w:rFonts w:hint="eastAsia" w:ascii="Times New Roman" w:hAnsi="Times New Roman"/>
          <w:sz w:val="24"/>
        </w:rPr>
        <w:t>－</w:t>
      </w:r>
      <w:r>
        <w:rPr>
          <w:rFonts w:ascii="Times New Roman" w:hAnsi="Times New Roman"/>
          <w:sz w:val="24"/>
        </w:rPr>
        <w:t>11</w:t>
      </w:r>
      <w:r>
        <w:rPr>
          <w:rFonts w:hint="eastAsia" w:ascii="Times New Roman" w:hAnsi="Times New Roman"/>
          <w:sz w:val="24"/>
        </w:rPr>
        <w:t>项费用，根据有关法规及相应协议规定，按费用实际支出金额列入当期费用，由基金托管人从基金财产中支付。</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（三）不列入基金费用的项目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下列费用不列入基金费用：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1、基金管理人和基金托管人因未履行或未完全履行义务导致的费用支出或基金财产的损失；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2、基金管理人和基金托管人处理与基金运作无关的事项发生的费用；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3、《基金合同》生效前的相关费用；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标的指数许可使用费（由基金管理人承担）；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w:t>
      </w:r>
      <w:r>
        <w:rPr>
          <w:rFonts w:hint="eastAsia" w:ascii="Times New Roman" w:hAnsi="Times New Roman"/>
          <w:sz w:val="24"/>
        </w:rPr>
        <w:t>、</w:t>
      </w:r>
      <w:r>
        <w:rPr>
          <w:rFonts w:ascii="Times New Roman" w:hAnsi="Times New Roman"/>
          <w:sz w:val="24"/>
        </w:rPr>
        <w:t>其他根据相关法律法规及中国证监会的有关规定不得列入基金费用的项目。</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（四）基金税收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47"/>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50" w:name="_Toc208562033"/>
      <w:bookmarkStart w:id="51" w:name="_Hlk205663619"/>
      <w:bookmarkStart w:id="52" w:name="OLE_LINK4"/>
      <w:bookmarkStart w:id="53" w:name="_Hlk199343037"/>
      <w:r>
        <w:rPr>
          <w:rFonts w:ascii="Times New Roman" w:hAnsi="Times New Roman"/>
          <w:sz w:val="30"/>
        </w:rPr>
        <w:t>十</w:t>
      </w:r>
      <w:r>
        <w:rPr>
          <w:rFonts w:hint="eastAsia" w:ascii="Times New Roman" w:hAnsi="Times New Roman"/>
          <w:sz w:val="30"/>
        </w:rPr>
        <w:t>六</w:t>
      </w:r>
      <w:r>
        <w:rPr>
          <w:rFonts w:ascii="Times New Roman" w:hAnsi="Times New Roman"/>
          <w:sz w:val="30"/>
        </w:rPr>
        <w:t>、</w:t>
      </w:r>
      <w:bookmarkStart w:id="54" w:name="_Hlk208408352"/>
      <w:r>
        <w:rPr>
          <w:rFonts w:ascii="Times New Roman" w:hAnsi="Times New Roman"/>
          <w:sz w:val="30"/>
        </w:rPr>
        <w:t>基金的会计与审计</w:t>
      </w:r>
      <w:bookmarkEnd w:id="50"/>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（一）基金会计政策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1、基金管理人为本基金的基金会计责任方；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2、基金的会计年度为公历年度的1月1日至12月31日；基金首次募集的会计年度按如下原则：如果《基金合同》生效少于2个月，可以并入下一个会计年度披露；</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3、基金核算以人民币为记账本位币，以人民币元为记账单位；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4、会计制度执行国家有关会计制度；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5、本基金独立建账、独立核算；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6、基金管理人及基金托管人各自保留完整的会计账目、凭证并进行日常的会计核算，按照有关规定编制基金会计报表；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7、基金托管人每月与基金管理人就基金的会计核算、报表编制等进行核对并以</w:t>
      </w:r>
      <w:r>
        <w:rPr>
          <w:rFonts w:hint="eastAsia" w:ascii="Times New Roman" w:hAnsi="Times New Roman"/>
          <w:sz w:val="24"/>
        </w:rPr>
        <w:t>双方认可的</w:t>
      </w:r>
      <w:r>
        <w:rPr>
          <w:rFonts w:ascii="Times New Roman" w:hAnsi="Times New Roman"/>
          <w:sz w:val="24"/>
        </w:rPr>
        <w:t>方式确认。</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（二）基金的年度审计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1、基金管理人聘请与基金管理人、基金托管人相互独立的符合《中华人民共和国证券法》规定的会计师事务所及其注册会计师对本基金的年度财务报表进行审计。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2、会计师事务所更换经办注册会计师，应事先征得基金管理人同意。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3、基金管理人认为有充足理由更换会计师事务所，须通报基金托管人。更换会计师事务所需</w:t>
      </w:r>
      <w:r>
        <w:rPr>
          <w:rFonts w:hint="eastAsia" w:ascii="Times New Roman" w:hAnsi="Times New Roman"/>
          <w:sz w:val="24"/>
        </w:rPr>
        <w:t>依</w:t>
      </w:r>
      <w:r>
        <w:rPr>
          <w:rFonts w:ascii="Times New Roman" w:hAnsi="Times New Roman"/>
          <w:sz w:val="24"/>
        </w:rPr>
        <w:t>照《信息披露办法》的规定在规定媒介公告。</w:t>
      </w:r>
      <w:bookmarkEnd w:id="51"/>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55" w:name="_Toc208562034"/>
      <w:bookmarkStart w:id="56" w:name="_Hlk205663639"/>
      <w:r>
        <w:rPr>
          <w:rFonts w:ascii="Times New Roman" w:hAnsi="Times New Roman"/>
          <w:sz w:val="30"/>
        </w:rPr>
        <w:t>十</w:t>
      </w:r>
      <w:r>
        <w:rPr>
          <w:rFonts w:hint="eastAsia" w:ascii="Times New Roman" w:hAnsi="Times New Roman"/>
          <w:sz w:val="30"/>
        </w:rPr>
        <w:t>七</w:t>
      </w:r>
      <w:r>
        <w:rPr>
          <w:rFonts w:ascii="Times New Roman" w:hAnsi="Times New Roman"/>
          <w:sz w:val="30"/>
        </w:rPr>
        <w:t>、基金的信息披露</w:t>
      </w:r>
      <w:bookmarkEnd w:id="55"/>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（一）本基金的信息披露应符合《基金法》、《运作办法》、《信息披露办法》、《流动性风险管理规定》、《基金合同》及其他有关规定。</w:t>
      </w:r>
      <w:r>
        <w:rPr>
          <w:rFonts w:hint="eastAsia" w:ascii="Times New Roman" w:hAnsi="Times New Roman"/>
          <w:b/>
          <w:sz w:val="24"/>
        </w:rPr>
        <w:t>相关法律法规关于信息披露的规定发生变化时，本基金从其最新规定。</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（二）信息披露义务人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本基金信息披露义务人包括基金管理人、基金托管人、召集基金份额持有人大会的基金份额持有人等法律、行政法规和中国证监会规定的自然人、法人和非法人组织。</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本基金信息披露义务人以保护基金份额持有人利益为根本出发点，按照法律法规和中国证监会的规定披露基金信息，并保证所披露信息的真实性、准确性、完整性、及时性、简明性和易得性。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（三）本基金信息披露义务人承诺公开披露的基金信息，不得有下列行为：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1、虚假记载、误导性陈述或者重大遗漏；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2、对证券投资业绩进行预测；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3、违规承诺收益或者承担损失；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4、诋毁其他基金管理人、基金托管人或者基金销售机构；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5、登载任何自然人、法人和非法人组织的祝贺性、恭维性或推荐性的文字；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6、中国证监会禁止的其他行为。</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（四）本基金公开披露的信息应采用中文文本。如同时采用外文文本的，基金信息披露义务人应保证不同文本的内容一致。不同文本之间发生歧义的，以中文文本为准。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本基金公开披露的信息采用阿拉伯数字；除特别说明外，货币单位为人民币元。</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（五）公开披露的基金信息</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公开披露的基金信息包括：</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1、基金招募说明书、《基金合同》、基金托管协议、基金产品资料概要</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（1）《基金合同》是界定《基金合同》当事人的各项权利、义务关系，明确基金份额持有人大会召开的规则及具体程序，说明基金产品的特性等涉及基金投资者重大利益的事项的法律文件。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（3）基金托管协议是界定基金托管人和基金管理人在基金财产保管及基金运作监督等活动中的权利、义务关系的法律文件。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2、基金份额发售公告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基金管理人应当就基金份额发售的具体事宜编制基金份额发售公告，并在披露招募说明书的当日登载于规定媒介上。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3、《基金合同》生效公告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基金管理人应当在收到中国证监会确认文件的次日在规定媒介上登载《基金合同》生效公告。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4、基金净值信息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《基金合同》生效后，在开始办理基金份额申购或者赎回前，基金管理人应当至少每周在规定网站披露一次基金份额净值和基金份额累计净值。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在开始办理基金份额申购或者赎回后，基金管理人应当在不晚于每个开放日的次日，通过规定网站、基金销售机构网站或者营业网点披露开放日的基金份额净值和基金份额累计净值。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基金管理人应当在不晚于半年度和年度最后一日的次日，在规定网站披露半年度和年度最后一日的基金份额净值和基金份额累计净值。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w:t>
      </w:r>
      <w:r>
        <w:rPr>
          <w:rFonts w:hint="eastAsia" w:ascii="Times New Roman" w:hAnsi="Times New Roman"/>
          <w:sz w:val="24"/>
        </w:rPr>
        <w:t>基金份额折算日公告、基金份额折算结果公告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基金管理人确定基金份额折算日，并提前将公告登载于规定媒介上。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基金份额进行折算并由登记机构完成基金份额的变更登记后，基金管理人将基金份额折算结果公告登载于规定媒介上。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6、基金份额上市交易公告书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基金份额获准在证券交易所上市交易的，基金管理人应当在基金份额上市交易3个工作日前，将基金份额上市交易公告书登载在规定网站上，并将上市交易公告书提示性公告登载在规定报刊上。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7、申购赎回清单</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在开始办理基金份额申购或者赎回之后，基金管理人应当在每个开放日，通过基金管理人网站公告当日的申购赎回清单。</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8、基金份额申购、赎回对价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在本基金的《基金合同》、招募说明书等信息披露文件上载明基金份额申购、赎回对价的计算方式及有关申购、赎回费率，并保证投资人能够在申购赎回代理券商网站或者营业网点查阅或者复制前述信息资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9、基金定期报告，包括基金年度报告、基金中期报告和基金季度报告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基金管理人应当在上半年结束之日起两个月内，编制完成基金中期报告，将中期报告登载在规定网站上，并将中期报告提示性公告登载在规定报刊上。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基金管理人应当在季度结束之日起15个工作日内，编制完成基金季度报告，将季度报告登载在规定网站上，并将季度报告提示性公告登载在规定报刊上。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《基金合同》生效不足2个月的，基金管理人可以不编制当期季度报告、中期报告或者年度报告。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基金管理人应当在基金年度报告和中期报告中披露基金组合资产情况及其流动性风险分析等。</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1</w:t>
      </w:r>
      <w:r>
        <w:rPr>
          <w:rFonts w:ascii="Times New Roman" w:hAnsi="Times New Roman"/>
          <w:sz w:val="24"/>
        </w:rPr>
        <w:t>0、临时报告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本基金发生重大事件，有关信息披露义务人应当依照《信息披露办法》的规定编制临时报告书，并登载在规定报刊和规定网站上。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前款所称重大事件，是指可能对基金份额持有人权益或者基金份额的价格产生重大影响的下列事件：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（1）基金份额持有人大会的召开及决定的事项；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（2）《基金合同》终止、基金清算；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（3）转换基金运作方式、基金合并；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（4）更换基金管理人、基金托管人、基金份额登记机构，基金改聘会计师事务所；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（5）基金管理人委托基金服务机构代为办理基金的份额登记、核算、估值等事项，基金托管人委托基金服务机构代为办理基金的核算、估值、复核等事项；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（6）基金管理人、基金托管人的法定名称、住所发生变更；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（7）基金管理人变更持有百分之五以上股权的股东、基金管理人的实际控制人变更；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（8）基金募集期延长或提前结束募集；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（9）基金管理人的高级管理人员、基金经理和基金托管人专门基金托管部门负责人发生变动；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（10）基金管理人的董事在最近12个月内变更超过百分之五十，基金管理人、基金托管人专门基金托管部门的主要业务人员在最近12个月内变动超过百分之三十；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（11）涉及基金财产、基金管理业务、基金托管业务的诉讼或仲裁；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（12）基金管理人或其高级管理人员、基金经理因基金管理业务相关行为受到重大行政处罚、刑事处罚，基金托管人或其专门基金托管部门负责人因基金托管业务相关行为受到重大行政处罚、刑事处罚；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（14）基金收益分配事项；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（15）管理费、托管费、申购费、赎回费等费用计提标准、计提方式和费率发生变更；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（16）基金份额净值计价错误达基金份额净值百分之零点五；</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（17）本基金开始办理申购、赎回；</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（18）本基金暂停接受申购、赎回申请或重新接受申购、赎回申请；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（19）本基金变更标的指数；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（20）本基金停复牌或终止上市交易；</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（21）调整最小申购赎回单位、申购赎回方式及申购对价、赎回对价组成；</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（22）发生涉及基金申购、赎回事项调整或潜在影响投资者赎回等重大事项时；</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（23）</w:t>
      </w:r>
      <w:r>
        <w:rPr>
          <w:rFonts w:hint="eastAsia" w:ascii="Times New Roman" w:hAnsi="Times New Roman"/>
          <w:sz w:val="24"/>
        </w:rPr>
        <w:t>基金份额的折算；</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（2</w:t>
      </w:r>
      <w:r>
        <w:rPr>
          <w:rFonts w:ascii="Times New Roman" w:hAnsi="Times New Roman"/>
          <w:sz w:val="24"/>
        </w:rPr>
        <w:t>4</w:t>
      </w:r>
      <w:r>
        <w:rPr>
          <w:rFonts w:hint="eastAsia" w:ascii="Times New Roman" w:hAnsi="Times New Roman"/>
          <w:sz w:val="24"/>
        </w:rPr>
        <w:t>）</w:t>
      </w:r>
      <w:r>
        <w:rPr>
          <w:rFonts w:ascii="Times New Roman" w:hAnsi="Times New Roman"/>
          <w:sz w:val="24"/>
        </w:rPr>
        <w:t>调整基金份额类别</w:t>
      </w:r>
      <w:r>
        <w:rPr>
          <w:rFonts w:hint="eastAsia" w:ascii="Times New Roman" w:hAnsi="Times New Roman"/>
          <w:sz w:val="24"/>
        </w:rPr>
        <w:t>的设置</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（25）</w:t>
      </w:r>
      <w:r>
        <w:rPr>
          <w:rFonts w:hint="eastAsia" w:ascii="Times New Roman" w:hAnsi="Times New Roman"/>
          <w:sz w:val="24"/>
        </w:rPr>
        <w:t>本基金推出新业务或服务；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（26）基金信息披露义务人认为可能对基金份额持有人权益或者基金份额的价格产生重大影响的其他事项或中国证监会规定</w:t>
      </w:r>
      <w:r>
        <w:rPr>
          <w:rFonts w:hint="eastAsia" w:ascii="Times New Roman" w:hAnsi="Times New Roman"/>
          <w:bCs/>
          <w:sz w:val="24"/>
        </w:rPr>
        <w:t>和基金合同约定</w:t>
      </w:r>
      <w:r>
        <w:rPr>
          <w:rFonts w:ascii="Times New Roman" w:hAnsi="Times New Roman"/>
          <w:sz w:val="24"/>
        </w:rPr>
        <w:t>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11、澄清公告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12、基金份额持有人大会决议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基金份额持有人大会决定的事项，应当依法报中国证监会备案，并予以公告。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基金份额持有人依法自行召集基金份额持有人大会，基金管理人、基金托管人对基金份额持有人大会决定的事项不依法履行信息披露义务的，召集人应当履行相关信息披露义务。</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13</w:t>
      </w:r>
      <w:r>
        <w:rPr>
          <w:rFonts w:hint="eastAsia" w:ascii="Times New Roman" w:hAnsi="Times New Roman"/>
          <w:sz w:val="24"/>
        </w:rPr>
        <w:t>、清算报告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w:t>
      </w:r>
      <w:r>
        <w:rPr>
          <w:rFonts w:hint="eastAsia" w:ascii="Times New Roman" w:hAnsi="Times New Roman"/>
          <w:sz w:val="24"/>
        </w:rPr>
        <w:t>、</w:t>
      </w:r>
      <w:r>
        <w:rPr>
          <w:rFonts w:ascii="Times New Roman" w:hAnsi="Times New Roman"/>
          <w:sz w:val="24"/>
        </w:rPr>
        <w:t>基金投资资产支持证券情况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本基金可投资资产支持证券，基金管理人应在</w:t>
      </w:r>
      <w:r>
        <w:rPr>
          <w:rFonts w:hint="eastAsia" w:ascii="Times New Roman" w:hAnsi="Times New Roman"/>
          <w:sz w:val="24"/>
        </w:rPr>
        <w:t>基金</w:t>
      </w:r>
      <w:r>
        <w:rPr>
          <w:rFonts w:ascii="Times New Roman" w:hAnsi="Times New Roman"/>
          <w:sz w:val="24"/>
        </w:rPr>
        <w:t>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15、基金投资股指期货情况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pPr>
        <w:spacing w:line="360" w:lineRule="auto"/>
        <w:ind w:firstLine="480" w:firstLineChars="200"/>
        <w:rPr>
          <w:bCs/>
          <w:sz w:val="24"/>
        </w:rPr>
      </w:pPr>
      <w:r>
        <w:rPr>
          <w:rFonts w:ascii="Times New Roman" w:hAnsi="Times New Roman"/>
          <w:sz w:val="24"/>
        </w:rPr>
        <w:t>16、</w:t>
      </w:r>
      <w:r>
        <w:rPr>
          <w:rFonts w:hint="eastAsia"/>
          <w:bCs/>
          <w:sz w:val="24"/>
        </w:rPr>
        <w:t>基金投资港股通标的股票情况</w:t>
      </w:r>
    </w:p>
    <w:p>
      <w:pPr>
        <w:spacing w:line="360" w:lineRule="auto"/>
        <w:ind w:firstLine="480" w:firstLineChars="200"/>
        <w:rPr>
          <w:bCs/>
          <w:sz w:val="24"/>
        </w:rPr>
      </w:pPr>
      <w:r>
        <w:rPr>
          <w:rFonts w:hint="eastAsia"/>
          <w:bCs/>
          <w:sz w:val="24"/>
        </w:rPr>
        <w:t>本基金投资于港股通标的股票，基金应当在季度报告、中期报告、年度报告等定期报告和招募说明书（更新）等文件中披露港股通标的股票的投资情况。法律法规或中国证监会另有规定的，从其规定。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17</w:t>
      </w:r>
      <w:r>
        <w:rPr>
          <w:rFonts w:hint="eastAsia" w:ascii="Times New Roman" w:hAnsi="Times New Roman"/>
          <w:sz w:val="24"/>
        </w:rPr>
        <w:t>、基金参与融资和转融通证券出借业务情况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参与融资和转融通证券出借业务的，基金管理人应当在季度报告、中期报告、年度报告等定期报告和招募说明书（更新）等文件中披露参与融资和转融通证券出借业务情况，包括投资策略、业务开展情况、损益情况、风险及其管理情况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本基金参与转融通证券出借业务的，基金管理人应当在基金定期报告等文件中就报告期内发生的重大关联交易事项做详细说明。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未来在法律法规允许的前提下，本基金可依据法律法规的相关规定参与融券业务，并相应履行信息披露义务。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1</w:t>
      </w:r>
      <w:r>
        <w:rPr>
          <w:rFonts w:ascii="Times New Roman" w:hAnsi="Times New Roman"/>
          <w:sz w:val="24"/>
        </w:rPr>
        <w:t>8</w:t>
      </w:r>
      <w:r>
        <w:rPr>
          <w:rFonts w:hint="eastAsia" w:ascii="Times New Roman" w:hAnsi="Times New Roman"/>
          <w:sz w:val="24"/>
        </w:rPr>
        <w:t>、</w:t>
      </w:r>
      <w:r>
        <w:rPr>
          <w:rFonts w:ascii="Times New Roman" w:hAnsi="Times New Roman"/>
          <w:sz w:val="24"/>
        </w:rPr>
        <w:t>中国证监会规定的其他信息。</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（六）信息披露事务管理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基金管理人、基金托管人应当建立健全信息披露管理制度，指定专门部门及高级管理人员负责管理信息披露事务。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基金信息披露义务人公开披露基金信息，应当符合中国证监会相关基金信息披露内容与格式准则等法律法规</w:t>
      </w:r>
      <w:r>
        <w:rPr>
          <w:rFonts w:hint="eastAsia" w:ascii="Times New Roman" w:hAnsi="Times New Roman"/>
          <w:bCs/>
          <w:sz w:val="24"/>
        </w:rPr>
        <w:t>的</w:t>
      </w:r>
      <w:r>
        <w:rPr>
          <w:rFonts w:ascii="Times New Roman" w:hAnsi="Times New Roman"/>
          <w:sz w:val="24"/>
        </w:rPr>
        <w:t>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基金托管人应当按照相关法律法规、中国证监会的规定和《基金合同》的约定，对基金管理人编制的基金资产净值、基金份额净值、基金份额申购赎回</w:t>
      </w:r>
      <w:r>
        <w:rPr>
          <w:rFonts w:hint="eastAsia" w:ascii="Times New Roman" w:hAnsi="Times New Roman"/>
          <w:bCs/>
          <w:sz w:val="24"/>
        </w:rPr>
        <w:t>对价</w:t>
      </w:r>
      <w:r>
        <w:rPr>
          <w:rFonts w:ascii="Times New Roman" w:hAnsi="Times New Roman"/>
          <w:sz w:val="24"/>
        </w:rPr>
        <w:t>、基金定期报告、更新的招募说明书、基金产品资料概要、基金清算报告等相关基金信息进行复核、审查，并向基金管理人进行书面或电子确认。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基金管理人、基金托管人应当在规定报刊中选择一家披露信息</w:t>
      </w:r>
      <w:r>
        <w:rPr>
          <w:rFonts w:hint="eastAsia" w:ascii="Times New Roman" w:hAnsi="Times New Roman"/>
          <w:bCs/>
          <w:sz w:val="24"/>
        </w:rPr>
        <w:t>的报刊</w:t>
      </w:r>
      <w:r>
        <w:rPr>
          <w:rFonts w:ascii="Times New Roman" w:hAnsi="Times New Roman"/>
          <w:sz w:val="24"/>
        </w:rPr>
        <w:t>。基金管理人、基金托管人应当向中国证监会基金电子披露网站报送拟披露的基金信息，并保证相关报送信息的真实、准确、完整、及时。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基金管理人、基金托管人除依法在规定媒介上披露信息外，还可以根据需要在其他公共媒介披露信息，但是其他公共媒介不得早于规定媒介</w:t>
      </w:r>
      <w:r>
        <w:rPr>
          <w:rFonts w:hint="eastAsia" w:ascii="Times New Roman" w:hAnsi="Times New Roman"/>
          <w:bCs/>
          <w:sz w:val="24"/>
        </w:rPr>
        <w:t>、基金上市交易的证券交易所网站</w:t>
      </w:r>
      <w:r>
        <w:rPr>
          <w:rFonts w:ascii="Times New Roman" w:hAnsi="Times New Roman"/>
          <w:sz w:val="24"/>
        </w:rPr>
        <w:t>披露信息，并且在不同媒介上披露同一信息的内容应当一致。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为基金信息披露义务人公开披露的基金信息出具审计报告、法律意见书的专业机构，应当制作工作底稿，并将相关档案至少保存到《基金合同》终止后10年。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（七）信息披露文件的存放与查阅</w:t>
      </w:r>
    </w:p>
    <w:p>
      <w:pPr>
        <w:autoSpaceDE w:val="0"/>
        <w:autoSpaceDN w:val="0"/>
        <w:adjustRightInd w:val="0"/>
        <w:spacing w:line="360" w:lineRule="auto"/>
        <w:ind w:firstLine="480" w:firstLineChars="200"/>
        <w:jc w:val="left"/>
        <w:rPr>
          <w:rFonts w:ascii="Times New Roman" w:hAnsi="Times New Roman"/>
          <w:sz w:val="24"/>
        </w:rPr>
      </w:pPr>
      <w:r>
        <w:rPr>
          <w:rFonts w:ascii="Times New Roman" w:hAnsi="Times New Roman"/>
          <w:sz w:val="24"/>
        </w:rPr>
        <w:t>依法必须披露的信息发布后，基金管理人、基金托管人应当按照相关法律法规规定将信息置备于各自</w:t>
      </w:r>
      <w:r>
        <w:rPr>
          <w:rFonts w:hint="eastAsia" w:ascii="Times New Roman" w:hAnsi="Times New Roman"/>
          <w:sz w:val="24"/>
        </w:rPr>
        <w:t>办公场所、基金上市交易的证券交易所网站</w:t>
      </w:r>
      <w:r>
        <w:rPr>
          <w:rFonts w:ascii="Times New Roman" w:hAnsi="Times New Roman"/>
          <w:sz w:val="24"/>
        </w:rPr>
        <w:t>，供社会公众查阅、复制。</w:t>
      </w:r>
      <w:bookmarkEnd w:id="52"/>
      <w:bookmarkEnd w:id="53"/>
      <w:bookmarkEnd w:id="54"/>
      <w:bookmarkEnd w:id="56"/>
      <w:bookmarkStart w:id="57" w:name="_Toc48122017"/>
      <w:r>
        <w:rPr>
          <w:rFonts w:ascii="Times New Roman" w:hAnsi="Times New Roman"/>
          <w:sz w:val="24"/>
        </w:rPr>
        <w:t xml:space="preserve"> </w:t>
      </w:r>
    </w:p>
    <w:bookmarkEnd w:id="57"/>
    <w:p>
      <w:pPr>
        <w:autoSpaceDE w:val="0"/>
        <w:autoSpaceDN w:val="0"/>
        <w:adjustRightInd w:val="0"/>
        <w:snapToGrid w:val="0"/>
        <w:spacing w:line="360" w:lineRule="auto"/>
        <w:ind w:firstLine="480" w:firstLineChars="200"/>
        <w:jc w:val="left"/>
        <w:rPr>
          <w:rFonts w:ascii="Times New Roman" w:hAnsi="Times New Roman"/>
          <w:sz w:val="24"/>
        </w:rPr>
      </w:pPr>
    </w:p>
    <w:p>
      <w:pPr>
        <w:rPr>
          <w:rFonts w:ascii="Times New Roman" w:hAnsi="Times New Roman"/>
          <w:sz w:val="30"/>
        </w:rPr>
      </w:pPr>
      <w:bookmarkStart w:id="58" w:name="_Toc208562035"/>
      <w:r>
        <w:rPr>
          <w:rFonts w:ascii="Times New Roman" w:hAnsi="Times New Roman"/>
          <w:sz w:val="30"/>
        </w:rPr>
        <w:br w:type="page"/>
      </w:r>
    </w:p>
    <w:p>
      <w:pPr>
        <w:pStyle w:val="2"/>
        <w:snapToGrid w:val="0"/>
        <w:spacing w:before="240" w:beforeLines="0" w:after="240"/>
        <w:rPr>
          <w:rFonts w:ascii="Times New Roman" w:hAnsi="Times New Roman"/>
          <w:szCs w:val="30"/>
        </w:rPr>
      </w:pPr>
      <w:r>
        <w:rPr>
          <w:rFonts w:ascii="Times New Roman" w:hAnsi="Times New Roman"/>
          <w:sz w:val="30"/>
        </w:rPr>
        <w:t>十</w:t>
      </w:r>
      <w:r>
        <w:rPr>
          <w:rFonts w:hint="eastAsia" w:ascii="Times New Roman" w:hAnsi="Times New Roman"/>
          <w:sz w:val="30"/>
        </w:rPr>
        <w:t>八</w:t>
      </w:r>
      <w:r>
        <w:rPr>
          <w:rFonts w:ascii="Times New Roman" w:hAnsi="Times New Roman"/>
          <w:sz w:val="30"/>
        </w:rPr>
        <w:t>、风险揭示</w:t>
      </w:r>
      <w:bookmarkEnd w:id="58"/>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基金在投资运作过程中可能面临各种风险，既包括市场风险，也包括基金自身的管理风险、技术风险和合规风险等。</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基金管理人承诺以诚实信用、</w:t>
      </w:r>
      <w:r>
        <w:rPr>
          <w:rFonts w:hint="eastAsia" w:ascii="Times New Roman" w:hAnsi="Times New Roman"/>
          <w:sz w:val="24"/>
        </w:rPr>
        <w:t>谨慎</w:t>
      </w:r>
      <w:r>
        <w:rPr>
          <w:rFonts w:ascii="Times New Roman" w:hAnsi="Times New Roman"/>
          <w:sz w:val="24"/>
        </w:rPr>
        <w:t>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基金份额持有人须了解并承受以下风险：</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（一）市场风险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证券市场价格因受到经济因素、政治因素、投资心理和交易制度等各种因素的影响而引起的波动，将对基金收益水平产生潜在风险，主要包括：</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1、政策风险。因国家宏观政策（如货币政策、财政政策、行业政策、地区发展政策等）和证券市场监管政策发生变化，导致市场价格波动而产生风险。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2、经济周期风险。证券市场受宏观经济运行的影响，而经济运行具有周期性的特点，宏观经济运行状况将对证券市场的收益水平产生影响，从而对基金收益造成影响。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5、购买力风险。基金投资的目的是基金资产的保值增值，如果发生通货膨胀，基金投资于证券所获得的收益可能会被通货膨胀抵消，从而使基金的实际收益下降，影响基金资产的保值增值。</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（二）管理风险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（三）流动性风险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1、本基金的申购、赎回安排</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投资者请参见基金合同及招募说明书中“基金份额的申购与赎回”的相关内容，详细了解本基金的申购赎回安排，注意相应的流动性风险，合理安排投资计划。</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2、投资市场及资产的流动性风险评估</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本基金的投资市场主要为证券交易所、全国银行间债券市场等流动性较好的规范型交易场所，投资</w:t>
      </w:r>
      <w:r>
        <w:rPr>
          <w:rFonts w:hint="eastAsia" w:ascii="Times New Roman" w:hAnsi="Times New Roman"/>
          <w:sz w:val="24"/>
        </w:rPr>
        <w:t>范围</w:t>
      </w:r>
      <w:r>
        <w:rPr>
          <w:rFonts w:ascii="Times New Roman" w:hAnsi="Times New Roman"/>
          <w:sz w:val="24"/>
        </w:rPr>
        <w:t>为具有良好流动性的金融工具</w:t>
      </w:r>
      <w:r>
        <w:rPr>
          <w:rFonts w:hint="eastAsia" w:ascii="Times New Roman" w:hAnsi="Times New Roman"/>
          <w:sz w:val="24"/>
        </w:rPr>
        <w:t>，以</w:t>
      </w:r>
      <w:bookmarkStart w:id="59" w:name="OLE_LINK12"/>
      <w:bookmarkStart w:id="60" w:name="OLE_LINK13"/>
      <w:r>
        <w:rPr>
          <w:rFonts w:hint="eastAsia"/>
          <w:bCs/>
          <w:sz w:val="24"/>
        </w:rPr>
        <w:t>中证智选沪深港科技50指数的成份股（含存托凭证）及备选成份股（含存托凭证）</w:t>
      </w:r>
      <w:bookmarkEnd w:id="59"/>
      <w:bookmarkEnd w:id="60"/>
      <w:r>
        <w:rPr>
          <w:rFonts w:hint="eastAsia"/>
          <w:bCs/>
          <w:sz w:val="24"/>
        </w:rPr>
        <w:t>为主要投资对象</w:t>
      </w:r>
      <w:r>
        <w:rPr>
          <w:rFonts w:ascii="Times New Roman" w:hAnsi="Times New Roman"/>
          <w:sz w:val="24"/>
        </w:rPr>
        <w:t>，综合评估在正常市场环境下本基金的流动性风险适中。</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3、备用的流动性风险管理工具的实施情形、程序及对投资者的潜在影响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经与基金托管人协商，在确保投资者得到公平对待的前提下，可依照法律法规及基金合同的约定，综合运用各类流动性风险管理工具，对赎回申请进行适度调整，作为特定情形下基金管理人流动性风险管理的辅助措施，包括但不限于：</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（1）暂停接受赎回申请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投资者请参见基金合同及招募说明书中“基金份额的申购与赎回”中的“暂停赎回或延缓支付赎回对价的情形”，详细了解本基金暂停接受赎回申请的情形及程序。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在此情形下，投资者的赎回申请不被基金管理人接受。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（2）延缓支付赎回对价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投资者请参见基金合同及招募说明书中“基金份额的申购与赎回”中的“暂停赎回或延缓支付赎回对价的情形”，详细了解本基金延缓支付赎回对价的情形及程序。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在此情形下，投资者接收赎回对价的时间将可能比正常情形下有所延迟，可能对投资者的资金安排带来不利影响。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（3）暂停基金估值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投资者请参见基金合同及招募说明书中“基金资产估值”中的“暂停估值的情形”，详细了解本基金暂停估值的情形。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此情形下，投资者一方面没有可供参考的基金份额净值，另一方面基金管理人可暂停接受投资者的申购、赎回申请或延缓支付赎回对价，可能导致投资者无法申购、赎回本基金或接收赎回对价的时间比正常情形下有所延迟。</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（4）对ETF基金份额持有人而言，ETF可在二级市场进行买卖，因此也可能面临因市场交易量不足而造成的流动性问题，带来基金在二级市场的流动性风险。</w:t>
      </w:r>
      <w:r>
        <w:rPr>
          <w:rFonts w:ascii="宋体" w:hAnsi="宋体" w:cs="宋体"/>
          <w:sz w:val="24"/>
          <w:szCs w:val="24"/>
        </w:rPr>
        <w:t>若基金管理人同时在申购赎回清单中设置较低的赎回份额上限，投资者将面临既无法在二级市场卖出</w:t>
      </w:r>
      <w:r>
        <w:rPr>
          <w:rFonts w:ascii="Times New Roman" w:hAnsi="Times New Roman"/>
          <w:sz w:val="24"/>
        </w:rPr>
        <w:t>ETF份</w:t>
      </w:r>
      <w:r>
        <w:rPr>
          <w:rFonts w:ascii="宋体" w:hAnsi="宋体" w:cs="宋体"/>
          <w:sz w:val="24"/>
          <w:szCs w:val="24"/>
        </w:rPr>
        <w:t>额、又无法赎回全部或部</w:t>
      </w:r>
      <w:r>
        <w:rPr>
          <w:rFonts w:ascii="Times New Roman" w:hAnsi="Times New Roman"/>
          <w:sz w:val="24"/>
        </w:rPr>
        <w:t>分ETF</w:t>
      </w:r>
      <w:r>
        <w:rPr>
          <w:rFonts w:ascii="宋体" w:hAnsi="宋体" w:cs="宋体"/>
          <w:sz w:val="24"/>
          <w:szCs w:val="24"/>
        </w:rPr>
        <w:t>份额的流动性风险。</w:t>
      </w:r>
    </w:p>
    <w:p>
      <w:pPr>
        <w:autoSpaceDE w:val="0"/>
        <w:autoSpaceDN w:val="0"/>
        <w:adjustRightInd w:val="0"/>
        <w:snapToGrid w:val="0"/>
        <w:spacing w:line="360" w:lineRule="auto"/>
        <w:ind w:firstLine="482" w:firstLineChars="200"/>
        <w:jc w:val="left"/>
        <w:rPr>
          <w:rFonts w:ascii="Times New Roman" w:hAnsi="Times New Roman"/>
          <w:b/>
          <w:szCs w:val="24"/>
        </w:rPr>
      </w:pPr>
      <w:r>
        <w:rPr>
          <w:rFonts w:hint="eastAsia" w:ascii="Times New Roman" w:hAnsi="Times New Roman"/>
          <w:b/>
          <w:sz w:val="24"/>
        </w:rPr>
        <w:t>（四）</w:t>
      </w:r>
      <w:r>
        <w:rPr>
          <w:rFonts w:ascii="Times New Roman" w:hAnsi="Times New Roman"/>
          <w:b/>
          <w:sz w:val="24"/>
        </w:rPr>
        <w:t>信用风险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基金在交易过程发生交收违约，或者基金所投资债券之发行人出现违约、拒绝支付到期本息，都可能导致基金资产损失和收益变化，从而产生风险。</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（五）本基金的特有风险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1、本基金为股票型基金，投资于</w:t>
      </w:r>
      <w:r>
        <w:rPr>
          <w:rFonts w:hint="eastAsia" w:ascii="Times New Roman" w:hAnsi="Times New Roman"/>
          <w:sz w:val="24"/>
        </w:rPr>
        <w:t>中证智选沪深港科技50指数</w:t>
      </w:r>
      <w:r>
        <w:rPr>
          <w:rFonts w:ascii="Times New Roman" w:hAnsi="Times New Roman"/>
          <w:sz w:val="24"/>
        </w:rPr>
        <w:t>成份股</w:t>
      </w:r>
      <w:r>
        <w:rPr>
          <w:rFonts w:hint="eastAsia" w:ascii="Times New Roman" w:hAnsi="Times New Roman"/>
          <w:bCs/>
          <w:sz w:val="24"/>
        </w:rPr>
        <w:t>（含存托凭证）</w:t>
      </w:r>
      <w:r>
        <w:rPr>
          <w:rFonts w:ascii="Times New Roman" w:hAnsi="Times New Roman"/>
          <w:sz w:val="24"/>
        </w:rPr>
        <w:t>及备选成份股</w:t>
      </w:r>
      <w:r>
        <w:rPr>
          <w:rFonts w:hint="eastAsia" w:ascii="Times New Roman" w:hAnsi="Times New Roman"/>
          <w:bCs/>
          <w:sz w:val="24"/>
        </w:rPr>
        <w:t>（含存托凭证）</w:t>
      </w:r>
      <w:r>
        <w:rPr>
          <w:rFonts w:ascii="Times New Roman" w:hAnsi="Times New Roman"/>
          <w:sz w:val="24"/>
        </w:rPr>
        <w:t>的比例不低于基金资产净值的90%</w:t>
      </w:r>
      <w:r>
        <w:rPr>
          <w:rFonts w:hint="eastAsia" w:ascii="Times New Roman" w:hAnsi="Times New Roman"/>
          <w:sz w:val="24"/>
        </w:rPr>
        <w:t>且不低于非现金基金资产的80%</w:t>
      </w:r>
      <w:r>
        <w:rPr>
          <w:rFonts w:ascii="Times New Roman" w:hAnsi="Times New Roman"/>
          <w:sz w:val="24"/>
        </w:rPr>
        <w:t>，因投资权益类资产而面临权益类资产市场的系统性风险和个股风险；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2、标的指数回报与股票市场平均回报偏离的风险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标的指数并不能代表整个股票市场。标的指数成份股的平均回报率与整个股票市场的平均回报率可能存在偏离。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3、标的指数波动的风险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标的指数成份股的价格可能受到政治因素、经济因素、上市公司经营状况、投资人心理和交易制度等各种因素的影响而波动，导致指数波动，从而使基金收益水平发生变化，产生风险。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4、标的指数成份股行业集中风险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标的指数成份股主要集中于半导体、乘用车及零部件、电力设备、电子、航空航天与国防、机械制造、计算机、通信设备及技术服务、化学药、生物药品、制药与生物科技服务等行业的上市公司，须承受因政府政策变化、市场情况变化等影响相关行业股票的因素所带来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5、标的指数可回溯历史数据时间较短的风险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本基金标的指数可回溯历史数据的时间较短，无法代表过往完整的业绩表现，也不预示其未来走势。</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6、基金投资组合回报与标的指数回报偏离及跟踪误差控制未达约定目标的风险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以下因素可能使基金投资组合的收益率与标的指数的收益率发生偏离</w:t>
      </w:r>
      <w:r>
        <w:rPr>
          <w:rFonts w:hint="eastAsia" w:ascii="Times New Roman" w:hAnsi="Times New Roman"/>
          <w:sz w:val="24"/>
        </w:rPr>
        <w:t>，也可能使基金的跟踪误差控制未达约定目标</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（1）由于标的指数调整成份股或变更编制方法，使本基金在相应的组合调整中产生跟踪偏离度与跟踪误差。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（2）由于标的指数成份股发生配股、增发等行为导致成份股在标的指数中的权重发生变化，使本基金在相应的组合调整中产生跟踪偏离度和跟踪误差。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（3）标的指数成份股派发现金红利、新股市值配售收益将导致基金收益率超过标的指数收益率，产生正的跟踪偏离度。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（4）由于标的指数成份股停牌、摘牌或流动性差等原因使本基金无法及时调整投资组合或承担冲击成本而产生跟踪偏离度和跟踪误差。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（5）因法律法规的限制或其他限制，本基金可能不能投资于部分标的指数成</w:t>
      </w:r>
      <w:r>
        <w:rPr>
          <w:rFonts w:hint="eastAsia" w:ascii="宋体" w:hAnsi="宋体"/>
          <w:sz w:val="24"/>
        </w:rPr>
        <w:t>份</w:t>
      </w:r>
      <w:r>
        <w:rPr>
          <w:rFonts w:ascii="Times New Roman" w:hAnsi="Times New Roman"/>
          <w:sz w:val="24"/>
        </w:rPr>
        <w:t>股。在使用替代方法，如投资同行业中相关性较高的股票以替代上述投资受限股票时，会产生一定的跟踪偏离度和跟踪误差。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（6）基金有投资成本、各种费用及税收，而指数编制不考虑费用和税收，这将导致基金收益率落后于标的指数收益率，产生负的跟踪偏离度。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（7）在本基金指数化投资过程中，基金管理人的管理能力，例如跟踪指数的水平、技术手段、买入卖出的时机选择等，都会对本基金的收益产生影响，从而影响本基金对标的指数的跟踪程度。</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w:t>
      </w:r>
      <w:r>
        <w:rPr>
          <w:rFonts w:ascii="Times New Roman" w:hAnsi="Times New Roman"/>
          <w:sz w:val="24"/>
        </w:rPr>
        <w:t>在正常市场情况下</w:t>
      </w:r>
      <w:r>
        <w:rPr>
          <w:rFonts w:hint="eastAsia" w:ascii="Times New Roman" w:hAnsi="Times New Roman"/>
          <w:sz w:val="24"/>
        </w:rPr>
        <w:t>，</w:t>
      </w:r>
      <w:r>
        <w:rPr>
          <w:rFonts w:ascii="Times New Roman" w:hAnsi="Times New Roman"/>
          <w:sz w:val="24"/>
        </w:rPr>
        <w:t>力争控制本基金日均跟踪偏离度的绝对值不超过0.35%，年跟踪误差不超过4%。但因标的指数编制规则调整或其他因素可能导致跟踪</w:t>
      </w:r>
      <w:r>
        <w:rPr>
          <w:rFonts w:hint="eastAsia" w:ascii="Times New Roman" w:hAnsi="Times New Roman"/>
          <w:sz w:val="24"/>
        </w:rPr>
        <w:t>偏离度和跟踪</w:t>
      </w:r>
      <w:r>
        <w:rPr>
          <w:rFonts w:ascii="Times New Roman" w:hAnsi="Times New Roman"/>
          <w:sz w:val="24"/>
        </w:rPr>
        <w:t>误差超过上述范围，本基金净值表现与指数价格走势可能发生较大偏离。</w:t>
      </w:r>
    </w:p>
    <w:p>
      <w:pPr>
        <w:spacing w:line="360" w:lineRule="auto"/>
        <w:ind w:firstLine="480" w:firstLineChars="200"/>
        <w:rPr>
          <w:sz w:val="24"/>
          <w:szCs w:val="24"/>
        </w:rPr>
      </w:pPr>
      <w:r>
        <w:rPr>
          <w:rFonts w:hint="eastAsia" w:ascii="Times New Roman" w:hAnsi="Times New Roman"/>
          <w:sz w:val="24"/>
        </w:rPr>
        <w:t>7、</w:t>
      </w:r>
      <w:r>
        <w:rPr>
          <w:rFonts w:hint="eastAsia"/>
          <w:sz w:val="24"/>
          <w:szCs w:val="24"/>
        </w:rPr>
        <w:t>标的指数变更的风险</w:t>
      </w:r>
    </w:p>
    <w:p>
      <w:pPr>
        <w:spacing w:line="360" w:lineRule="auto"/>
        <w:ind w:firstLine="480" w:firstLineChars="200"/>
        <w:rPr>
          <w:sz w:val="24"/>
          <w:szCs w:val="24"/>
        </w:rPr>
      </w:pPr>
      <w:r>
        <w:rPr>
          <w:rFonts w:hint="eastAsia"/>
          <w:sz w:val="24"/>
          <w:szCs w:val="24"/>
        </w:rPr>
        <w:t>尽管可能性很小，但根据基金合同规定，如出现变更标的指数的情形，本基金将变更标的指数。基于原标的指数的投资政策将会改变，投资组合将随之调整，基金的收益风险特征将与新的标的指数保持一致，投资人须承担此项调整带来的风险与成本。</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8、标的指数值计算出错的风险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尽管</w:t>
      </w:r>
      <w:r>
        <w:rPr>
          <w:rFonts w:ascii="Times New Roman" w:hAnsi="Times New Roman"/>
          <w:sz w:val="24"/>
        </w:rPr>
        <w:t>指数编制机构</w:t>
      </w:r>
      <w:r>
        <w:rPr>
          <w:rFonts w:hint="eastAsia" w:ascii="Times New Roman" w:hAnsi="Times New Roman"/>
          <w:sz w:val="24"/>
        </w:rPr>
        <w:t>将采取一切必要措施以确保指数的准确性，但不对此作任何保证，亦不因指数的任何错误对任何人负责。因此，如果标的指数值出现错误，投资人参考标的指数值进行投资决策，则可能导致损失。</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9</w:t>
      </w:r>
      <w:r>
        <w:rPr>
          <w:rFonts w:ascii="Times New Roman" w:hAnsi="Times New Roman"/>
          <w:sz w:val="24"/>
        </w:rPr>
        <w:t>、指数编制机构停止服务的风险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本基金的标的指数由指数编制机构发布并管理和维护，未来指数编制机构可能由于各种原因停止对</w:t>
      </w:r>
      <w:r>
        <w:rPr>
          <w:rFonts w:hint="eastAsia" w:ascii="Times New Roman" w:hAnsi="Times New Roman"/>
          <w:sz w:val="24"/>
        </w:rPr>
        <w:t>标的</w:t>
      </w:r>
      <w:r>
        <w:rPr>
          <w:rFonts w:ascii="Times New Roman" w:hAnsi="Times New Roman"/>
          <w:sz w:val="24"/>
        </w:rPr>
        <w:t>指数的管理和维护，本基金将根据基金合同的约定自该情形发生之日起十个工作日内向中国证监会报告并提出解决方案，如</w:t>
      </w:r>
      <w:r>
        <w:rPr>
          <w:rFonts w:hint="eastAsia" w:ascii="Times New Roman" w:hAnsi="Times New Roman"/>
          <w:sz w:val="24"/>
        </w:rPr>
        <w:t>更换基金标的指数、</w:t>
      </w:r>
      <w:r>
        <w:rPr>
          <w:rFonts w:ascii="Times New Roman" w:hAnsi="Times New Roman"/>
          <w:sz w:val="24"/>
        </w:rPr>
        <w:t>转换运作方式，与其他基金合并或者终止基金合同等，并在6个月内召集基金份额持有人大会进行表决，基金份额持有人大会未成功召开或就上述事项表决未通过的，基金合同终止。投资人将面临</w:t>
      </w:r>
      <w:r>
        <w:rPr>
          <w:rFonts w:hint="eastAsia" w:ascii="Times New Roman" w:hAnsi="Times New Roman"/>
          <w:sz w:val="24"/>
        </w:rPr>
        <w:t>更换基金标的指数、</w:t>
      </w:r>
      <w:r>
        <w:rPr>
          <w:rFonts w:ascii="Times New Roman" w:hAnsi="Times New Roman"/>
          <w:sz w:val="24"/>
        </w:rPr>
        <w:t>转换运作方式，与其他基金合并或者终止基金合同等风险。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sz w:val="24"/>
        </w:rPr>
        <w:t>10</w:t>
      </w:r>
      <w:r>
        <w:rPr>
          <w:rFonts w:ascii="Times New Roman" w:hAnsi="Times New Roman"/>
          <w:sz w:val="24"/>
        </w:rPr>
        <w:t>、成份股停牌的风险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标的指数成份股可能因各种原因临时或长期停牌，发生成份股停牌时可能面临如下风险：</w:t>
      </w:r>
    </w:p>
    <w:p>
      <w:pPr>
        <w:numPr>
          <w:ilvl w:val="0"/>
          <w:numId w:val="4"/>
        </w:num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基金可能因无法及时调整投资组合而导致跟踪偏离度和跟踪误差扩大。</w:t>
      </w:r>
    </w:p>
    <w:p>
      <w:pPr>
        <w:numPr>
          <w:ilvl w:val="0"/>
          <w:numId w:val="4"/>
        </w:numPr>
        <w:autoSpaceDE w:val="0"/>
        <w:autoSpaceDN w:val="0"/>
        <w:adjustRightInd w:val="0"/>
        <w:snapToGrid w:val="0"/>
        <w:spacing w:line="360" w:lineRule="auto"/>
        <w:ind w:firstLine="480" w:firstLineChars="200"/>
        <w:jc w:val="left"/>
        <w:rPr>
          <w:rFonts w:ascii="Times New Roman" w:hAnsi="Times New Roman"/>
          <w:sz w:val="24"/>
        </w:rPr>
      </w:pPr>
      <w:r>
        <w:rPr>
          <w:rFonts w:ascii="宋体" w:hAnsi="宋体" w:cs="宋体"/>
          <w:sz w:val="24"/>
          <w:szCs w:val="24"/>
        </w:rPr>
        <w:t>停牌成份股可能因其权重占比、市场复牌预期、现金替代标识等因素影响本基金二级市场价格的折溢价水平</w:t>
      </w:r>
      <w:r>
        <w:rPr>
          <w:rFonts w:hint="eastAsia" w:ascii="宋体" w:hAnsi="宋体" w:cs="宋体"/>
          <w:sz w:val="24"/>
          <w:szCs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w:t>
      </w:r>
      <w:r>
        <w:rPr>
          <w:rFonts w:hint="eastAsia" w:ascii="Times New Roman" w:hAnsi="Times New Roman"/>
          <w:sz w:val="24"/>
        </w:rPr>
        <w:t>3</w:t>
      </w:r>
      <w:r>
        <w:rPr>
          <w:rFonts w:ascii="Times New Roman" w:hAnsi="Times New Roman"/>
          <w:sz w:val="24"/>
        </w:rPr>
        <w:t>）若成份股停牌时间较长，在约定时间内仍未能及时买入或卖出的</w:t>
      </w:r>
      <w:r>
        <w:rPr>
          <w:rFonts w:hint="eastAsia" w:ascii="Times New Roman" w:hAnsi="Times New Roman"/>
          <w:sz w:val="24"/>
        </w:rPr>
        <w:t>，则该部分款项将按照本招募说明书的约定方式进行结算</w:t>
      </w:r>
      <w:r>
        <w:rPr>
          <w:rFonts w:ascii="Times New Roman" w:hAnsi="Times New Roman"/>
          <w:sz w:val="24"/>
        </w:rPr>
        <w:t>，由此可能影响投资者的投资损益并使基金产生跟踪偏离度和跟踪误差。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w:t>
      </w:r>
      <w:r>
        <w:rPr>
          <w:rFonts w:hint="eastAsia" w:ascii="Times New Roman" w:hAnsi="Times New Roman"/>
          <w:sz w:val="24"/>
        </w:rPr>
        <w:t>4</w:t>
      </w:r>
      <w:r>
        <w:rPr>
          <w:rFonts w:ascii="Times New Roman" w:hAnsi="Times New Roman"/>
          <w:sz w:val="24"/>
        </w:rPr>
        <w:t>）在极端情况下，标的指数成份股可能大面积停牌，基金可能无法及时卖出成份股以获取足额的符合要求的赎回</w:t>
      </w:r>
      <w:r>
        <w:rPr>
          <w:rFonts w:hint="eastAsia" w:ascii="Times New Roman" w:hAnsi="Times New Roman"/>
          <w:sz w:val="24"/>
        </w:rPr>
        <w:t>对价</w:t>
      </w:r>
      <w:r>
        <w:rPr>
          <w:rFonts w:ascii="Times New Roman" w:hAnsi="Times New Roman"/>
          <w:sz w:val="24"/>
        </w:rPr>
        <w:t>，由此基金管理人可能</w:t>
      </w:r>
      <w:r>
        <w:rPr>
          <w:rFonts w:hint="eastAsia" w:ascii="Times New Roman" w:hAnsi="Times New Roman"/>
          <w:sz w:val="24"/>
        </w:rPr>
        <w:t>在申购赎回清单中设置较低的赎回份额上限或者采取暂停赎回的措施，</w:t>
      </w:r>
      <w:r>
        <w:rPr>
          <w:rFonts w:ascii="Times New Roman" w:hAnsi="Times New Roman"/>
          <w:sz w:val="24"/>
        </w:rPr>
        <w:t>投资者将面临无法赎回全部或部分基金份额的风险。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本基金运作过程中，当标的指数成份股发生明显负面事件面临退市</w:t>
      </w:r>
      <w:r>
        <w:rPr>
          <w:rFonts w:hint="eastAsia" w:ascii="Times New Roman" w:hAnsi="Times New Roman"/>
          <w:sz w:val="24"/>
        </w:rPr>
        <w:t>风险</w:t>
      </w:r>
      <w:r>
        <w:rPr>
          <w:rFonts w:ascii="Times New Roman" w:hAnsi="Times New Roman"/>
          <w:sz w:val="24"/>
        </w:rPr>
        <w:t>，且指数编制机构暂未作出调整的，基金管理人应当按照持有人利益优先的原则，履行内部决策程序后及时对相关成份股进行调整，可能影响投资者的投资损益并使基金产生跟踪偏离度和跟踪误差。</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11、参考IOPV决策和IOPV计算错误的风险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或基金管理人委托其他机构计算并通过证券交易所发布基金份额参考净值（IOPV），仅供投资者交易、申购、赎回基金份额时参考。IOPV与实时的基金份额净值可能存在差异，IOPV计算也可能出现错误。投资人若参考IOPV进行投资决策可能导致损失，需投资人自行承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12、基金交易价格与基金份额净值发生偏离的风险</w:t>
      </w:r>
    </w:p>
    <w:p>
      <w:pPr>
        <w:autoSpaceDE w:val="0"/>
        <w:autoSpaceDN w:val="0"/>
        <w:adjustRightInd w:val="0"/>
        <w:snapToGrid w:val="0"/>
        <w:spacing w:line="360" w:lineRule="auto"/>
        <w:ind w:firstLine="480" w:firstLineChars="200"/>
        <w:jc w:val="left"/>
        <w:rPr>
          <w:rFonts w:ascii="宋体" w:hAnsi="宋体" w:cs="宋体"/>
          <w:sz w:val="24"/>
          <w:szCs w:val="24"/>
        </w:rPr>
      </w:pPr>
      <w:r>
        <w:rPr>
          <w:rFonts w:ascii="宋体" w:hAnsi="宋体" w:cs="宋体"/>
          <w:sz w:val="24"/>
          <w:szCs w:val="24"/>
        </w:rPr>
        <w:t>尽管本基金将通过有效的套利机制使基金份额二级市场交易价格的折溢价控制在一定范围内，但基金份额在证券交易所的交易价格受供求关系等诸多因素影响，存在不同于基金份额净值的情形，即存在价格折溢价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13、投资人申购失败的风险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申购赎回清单中，可能仅允许对部分成份股使用现金替代，且设置现金替代比例上限，因此，投资人在进行申购时，可能存在因个别成份股涨停、临时停牌等原因而无法买入申购所需的足够的成份股，导致申购失败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另外，本基金的申购赎回清单中，基金管理人可根据市场情况设定申购份额上限，以对当日的申购总规模进行控制，可能存在因达到当日申购规模上限而导致后续申购失败的风险。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14、基金份额持有人赎回失败的风险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基金份额持有人在提出赎回申请时，如基金组合中不具备足额的符合条件的赎回对价，可能导致赎回失败的情形。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基金管理人可能根据成份股市值规模变化等因素调整最小申购、赎回单位，由此可能导致投资人按原最小申购、赎回单位申购并持有的基金份额，可能无法按照新的最小申购、赎回单位全部赎回。</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另外，本基金的申购赎回清单中，基金管理人可根据市场情况设定赎回份额上限，以对当日的赎回总规模进行控制，可能存在因达到当日赎回规模上限而导致后续赎回失败的风险。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15、特殊复杂的清算交收及</w:t>
      </w:r>
      <w:r>
        <w:rPr>
          <w:rFonts w:ascii="宋体" w:hAnsi="宋体" w:cs="宋体"/>
          <w:sz w:val="24"/>
          <w:szCs w:val="24"/>
        </w:rPr>
        <w:t>非沪市成份证券</w:t>
      </w:r>
      <w:r>
        <w:rPr>
          <w:rFonts w:hint="eastAsia" w:ascii="Times New Roman" w:hAnsi="Times New Roman"/>
          <w:sz w:val="24"/>
        </w:rPr>
        <w:t>申赎处理规则带来的风险</w:t>
      </w:r>
    </w:p>
    <w:p>
      <w:pPr>
        <w:autoSpaceDE w:val="0"/>
        <w:autoSpaceDN w:val="0"/>
        <w:adjustRightInd w:val="0"/>
        <w:snapToGrid w:val="0"/>
        <w:spacing w:line="360" w:lineRule="auto"/>
        <w:ind w:firstLine="480" w:firstLineChars="200"/>
        <w:jc w:val="left"/>
        <w:rPr>
          <w:rFonts w:ascii="宋体" w:hAnsi="宋体" w:cs="宋体"/>
          <w:sz w:val="24"/>
          <w:szCs w:val="24"/>
        </w:rPr>
      </w:pPr>
      <w:r>
        <w:rPr>
          <w:rFonts w:ascii="Times New Roman" w:hAnsi="Times New Roman"/>
          <w:sz w:val="24"/>
        </w:rPr>
        <w:t>本基金属于跨市场ETF（跨沪深港），跟踪的标的指数组合证券跨上海证券交易所、深圳证券交易所及香港联合交易所。</w:t>
      </w:r>
      <w:r>
        <w:rPr>
          <w:rFonts w:ascii="宋体" w:hAnsi="宋体" w:cs="宋体"/>
          <w:sz w:val="24"/>
          <w:szCs w:val="24"/>
        </w:rPr>
        <w:t>本基金清算交收及申赎处理规则较为特殊和复杂，且与传统跨市场ETF（跨沪深）、跨境ETF等其他ETF产品有所差异，可能增加基金投资运作风险，从而给投资者增加收益/损失的不确定性，对投资者的投资行为和投资结果造成一定的影响。投资者投资于本基金前请认真阅读基金法律文件、证券交易所及登记结算机构的相关业务规则及其不时的更新，确保具备相关专业知识后方可参与本基金的申购</w:t>
      </w:r>
      <w:r>
        <w:rPr>
          <w:rFonts w:hint="eastAsia" w:ascii="宋体" w:hAnsi="宋体" w:cs="宋体"/>
          <w:sz w:val="24"/>
          <w:szCs w:val="24"/>
        </w:rPr>
        <w:t>。</w:t>
      </w:r>
    </w:p>
    <w:p>
      <w:pPr>
        <w:autoSpaceDE w:val="0"/>
        <w:autoSpaceDN w:val="0"/>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本基金申购赎回清单对于非沪市成份证券的现金替代标识包括“可以现金替代”，在申购赎回环节中必须使用现金作为替代，并根据基金管理人实际买卖情况与投资者进行退补款，可能导致如下风险：</w:t>
      </w:r>
    </w:p>
    <w:p>
      <w:pPr>
        <w:numPr>
          <w:ilvl w:val="0"/>
          <w:numId w:val="5"/>
        </w:num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 xml:space="preserve">由于非沪市成份证券采取基金管理人代买代卖模式，可能给投资者申购和赎回带来价格的不确定性。这种价格的不确定性可能影响本基金二级市场价格的折溢价水平。 </w:t>
      </w:r>
    </w:p>
    <w:p>
      <w:pPr>
        <w:numPr>
          <w:ilvl w:val="255"/>
          <w:numId w:val="0"/>
        </w:num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因技术系统、通讯联络或其他原因可能导致基金管理人无法严格遵循“时间优先、实时申报”原则对“可以现金替代”的深市成份证券进行处理，基金管理人也不对“时间优先、实时申报”原则的执行效率和结果做出任何承诺和保证，现金替代退补款的计算以实际成交价格和招募说明书的约定为准，由此可能影响投资者的投资损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港市成份证券目前采取T日轧差补券而非实时补券模式，申赎处理规则与深市成份证券存在差异，且未来基金管理人可能会根据运作情况调整补券模式。T日轧差补券模式下，现金替代退补款的计算以实际成交价格和招募说明书的约定为准，由此可能影响投资者的投资损益；此外，港市组合证券赎回涉及的现金替代采用代收代付的方式，与深市组合证券赎回涉及的现金替代采用净额结算的方式不同，从而可能导致港市组合证券赎回款项到账时间会较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16、基金份额赎回对价的变现风险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本基金赎回对价包括组合证券、现金替代、现金差额及其他对价。在组合证券变现过程中，由于市场变化、部分成份股流动性差等因素，导致投资人变现后的价值与赎回时赎回对价的价值有差异，存在变现风险。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17、申购赎回清单差错风险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如果基金管理人提供的当日申购赎回清单内容出现差错，包括组合证券名单、数量、现金替代标志、现金替代比率、替代金额等出错，投资人利益将受损，申购赎回的正常进行将受影响。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18、申购赎回清单标识设置风险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基金管理人在进行申购赎回清单的现金替代标识设置时，将充分考虑由此引发的市场套利等行为对基金份额持有人可能造成的利益损害。但基金管理人不能保证极端情况下申购赎回清单标识设置的完全合理性。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19、申购赎回的代理买卖风险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在招募说明书规定的时间内以收到的替代金额代投资者买入或卖出小于等于被替代证券数量的任意数量的被替代证券，实际买入被替代证券的价格可能处于规定时间内较高的位置或处于最高价格，实际卖出被替代证券的价格可能处于规定时间内较低的位置或处于最低价格，基金管理人对此不承担责任。基金管理人有权根据基金投资的需要自主决定不买入或不卖出部分被替代证券，或者不进行任何买入或卖出证券的操作，基金管理人可能不买入或不卖出被替代证券的情形包括但不限于市场流动性不足、技术系统无法实现以及基金管理人认为不应买入或卖出的其他情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 xml:space="preserve">20、操作或技术风险 </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相关当事人在业务各环节操作过程中，因内部控制存在缺陷或者人为因素造成操作失误或违反操作规程等原因可能引致风险，例如，申购赎回清单编制错误、越权违规交易、欺诈行为、交易错误、IT系统故障等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基金的各种交易行为或者后台运作中，可能因为技术系统的故障或者差错而影响交易的正常进行或者导致投资者的利益受到影响。这种技术风险可能来自基金管理人、基金托管人、登记机构、证券经纪机构、销售机构、证券/期货交易所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21、套利风险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鉴于证券市场的交易机制和技术约束，套利完成需要一定的时间，因此套利存在一定风险。同时，买卖一篮子股票和ETF存在冲击成本和交易成本，所以折溢价在一定范围之内也不能形成套利。另外，当一篮子股票中存在涨停、跌停、临时停牌等情况时，套利会因成份股无法买入或卖出而受影响。</w:t>
      </w:r>
    </w:p>
    <w:p>
      <w:pPr>
        <w:numPr>
          <w:ilvl w:val="255"/>
          <w:numId w:val="0"/>
        </w:num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22、网下组合证券认购相关的风险</w:t>
      </w:r>
    </w:p>
    <w:p>
      <w:pPr>
        <w:numPr>
          <w:ilvl w:val="255"/>
          <w:numId w:val="0"/>
        </w:num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包括因换购股票的流动性原因可能导致基金跟踪偏离度增大的风险，以及由于网下组合证券认购增加本基金投资策略中完全复制策略的制约因素的风险。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23、第三方机构服务的风险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本基金的多项服务委托第三方机构办理，存在以下风险：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（1）申购赎回代理券商因多种原因，导致代理申购、赎回业务受到限制、暂停或终止，由此影响对投资人申购赎回服务的风险。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（2）登记机构可能调整结算制度，对投资人基金份额、组合证券及资金的结算方式发生变化，制度调整可能给投资人带来风险。同样的风险还可能来自于证券交易所及其他代理机构。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（3）证券交易所、登记机构、基金托管人及其他服务机构可能违约，导致基金或投资人利益受损的风险。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24、基金退市风险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因本基金不再符合证券交易所上市条件被终止上市，或被基金份额持有人大会决议提前终止上市，导致基金份额不能继续进行二级市场交易的风险。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5</w:t>
      </w:r>
      <w:r>
        <w:rPr>
          <w:rFonts w:ascii="Times New Roman" w:hAnsi="Times New Roman"/>
          <w:sz w:val="24"/>
        </w:rPr>
        <w:t>、本基金可投资创业板股票，创业板个股上市后的前五个交易日不设价格涨跌幅限制，第六个交易日开始涨跌幅限制比例为20%。</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6、投资港股通标的股票的特定风险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本基金投资于港股通标的股票，会面临港股通机制下因投资环境、投资标的、市场制度以及交易规则等差异带来的特有风险，具体如下：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）港股交易失败风险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）汇率风险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）境外市场的风险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）香港市场交易规则有别于内地</w:t>
      </w:r>
      <w:r>
        <w:rPr>
          <w:rFonts w:ascii="Times New Roman" w:hAnsi="Times New Roman"/>
          <w:sz w:val="24"/>
        </w:rPr>
        <w:t>A</w:t>
      </w:r>
      <w:r>
        <w:rPr>
          <w:rFonts w:hint="eastAsia" w:ascii="Times New Roman" w:hAnsi="Times New Roman"/>
          <w:sz w:val="24"/>
        </w:rPr>
        <w:t>股市场规则，此外，在“内地与香港股票市场交易互联互通机制”下参与香港股票投资还将面临包括但不限于如下特殊风险：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a</w:t>
      </w:r>
      <w:r>
        <w:rPr>
          <w:rFonts w:hint="eastAsia" w:ascii="Times New Roman" w:hAnsi="Times New Roman"/>
          <w:sz w:val="24"/>
        </w:rPr>
        <w:t>）香港市场实行</w:t>
      </w:r>
      <w:r>
        <w:rPr>
          <w:rFonts w:ascii="Times New Roman" w:hAnsi="Times New Roman"/>
          <w:sz w:val="24"/>
        </w:rPr>
        <w:t>T+0</w:t>
      </w:r>
      <w:r>
        <w:rPr>
          <w:rFonts w:hint="eastAsia" w:ascii="Times New Roman" w:hAnsi="Times New Roman"/>
          <w:sz w:val="24"/>
        </w:rPr>
        <w:t>回转交易机制（即当日买入的股票，在交收前可以于当日卖出），且证券交易价格并无涨跌幅上下限的规定，因此每日涨跌幅空间相对较大，可能表现出比</w:t>
      </w:r>
      <w:r>
        <w:rPr>
          <w:rFonts w:ascii="Times New Roman" w:hAnsi="Times New Roman"/>
          <w:sz w:val="24"/>
        </w:rPr>
        <w:t>A</w:t>
      </w:r>
      <w:r>
        <w:rPr>
          <w:rFonts w:hint="eastAsia" w:ascii="Times New Roman" w:hAnsi="Times New Roman"/>
          <w:sz w:val="24"/>
        </w:rPr>
        <w:t>股更为剧烈的股价波动；</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b</w:t>
      </w:r>
      <w:r>
        <w:rPr>
          <w:rFonts w:hint="eastAsia" w:ascii="Times New Roman" w:hAnsi="Times New Roman"/>
          <w:sz w:val="24"/>
        </w:rPr>
        <w:t>）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c</w:t>
      </w:r>
      <w:r>
        <w:rPr>
          <w:rFonts w:hint="eastAsia" w:ascii="Times New Roman" w:hAnsi="Times New Roman"/>
          <w:sz w:val="24"/>
        </w:rPr>
        <w:t>）香港联合交易所出现规定的相关情形时，香港联合交易所将可能停市，本基金将面临在停市期间无法进行港股通交易的风险；出现内地证券交易服务公司认定的交易异常情况时，内地证券交易服务公司将可能暂停提供部分或者全部港股通服务，将面临在暂停服务期间无法进行港股通交易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d</w:t>
      </w:r>
      <w:r>
        <w:rPr>
          <w:rFonts w:hint="eastAsia" w:ascii="Times New Roman" w:hAnsi="Times New Roman"/>
          <w:sz w:val="24"/>
        </w:rPr>
        <w:t>）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e</w:t>
      </w:r>
      <w:r>
        <w:rPr>
          <w:rFonts w:hint="eastAsia" w:ascii="Times New Roman" w:hAnsi="Times New Roman"/>
          <w:sz w:val="24"/>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以上所述因素可能会给本基金投资带来特殊交易风险。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7、投资股指期货的特定风险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（1）市场风险是指由于股指期货价格变动而给投资者带来的风险。市场风险是股指期货投资中最主要的风险。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（2）流动性风险是指由于股指期货合约无法及时变现所带来的风险。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（3）基差风险是指股指期货合约价格和指数价格之间的价格差的波动所造成的风险，以及不同股指期货合约价格之间价格差的波动所造成的期现价差风险。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（4）保证金风险是指由于无法及时筹措资金满足建立或者维持股指期货合约头寸所要求的保证金而带来的风险。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（5）信用风险是指期货经纪公司违约而产生损失的风险。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（6）操作风险是指由于内部流程的不完善，业务人员出现差错或者疏漏，或者系统出现故障等原因造成损失的风险。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此外，由于衍生品通常具有杠杆效应，价格波动比标的工具更为剧烈，并且其定价相当复杂，不适当的估值也有可能使基金资产面临损失风险。</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8、投资资产支持证券的特定风险</w:t>
      </w:r>
    </w:p>
    <w:p>
      <w:pPr>
        <w:widowControl/>
        <w:adjustRightInd w:val="0"/>
        <w:snapToGrid w:val="0"/>
        <w:spacing w:line="360" w:lineRule="auto"/>
        <w:ind w:firstLine="480" w:firstLineChars="200"/>
        <w:rPr>
          <w:rFonts w:ascii="Times New Roman" w:hAnsi="Times New Roman"/>
          <w:kern w:val="0"/>
          <w:sz w:val="24"/>
          <w:szCs w:val="24"/>
        </w:rPr>
      </w:pPr>
      <w:r>
        <w:rPr>
          <w:rFonts w:hint="eastAsia" w:ascii="Times New Roman" w:hAnsi="Times New Roman"/>
          <w:sz w:val="24"/>
        </w:rPr>
        <w:t>本基金可投资资产支持证券，资产支持证券具有一定的价格波动风险、流动性风险、信用风险等风险，基金管理人将本着谨慎和控制风险的原则进行资产支持证券投资，请基金份额持有人关注包括投资资</w:t>
      </w:r>
      <w:r>
        <w:rPr>
          <w:rFonts w:hint="eastAsia" w:ascii="Times New Roman" w:hAnsi="Times New Roman"/>
          <w:kern w:val="0"/>
          <w:sz w:val="24"/>
          <w:szCs w:val="24"/>
        </w:rPr>
        <w:t>产支持证券可能导致的基金净值波动在内的各项风险。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29、投资流通受限证券的特定风险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30、投资存托凭证的特定风险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本基金可根据投资策略需要或市场环境的变化，选择将部分基金资产投资于存托凭证或选择不将基金资产投资于存托凭证，基金资产并非必然投资存托凭证。</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31、投资科创板股票的特定风险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基金资产投资于科创板股票，会面临科创板机制下因投资标的、市场制度以及交易规则等差异带来的特有风险，包括但不限于市场风险、流动性风险、退市风险、系统性风险、政策风险等。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）市场风险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科创板个股上市后的前五个交易日无涨跌停限制，其后涨跌幅限制为</w:t>
      </w:r>
      <w:r>
        <w:rPr>
          <w:rFonts w:ascii="Times New Roman" w:hAnsi="Times New Roman"/>
          <w:sz w:val="24"/>
        </w:rPr>
        <w:t>20%</w:t>
      </w:r>
      <w:r>
        <w:rPr>
          <w:rFonts w:hint="eastAsia" w:ascii="Times New Roman" w:hAnsi="Times New Roman"/>
          <w:sz w:val="24"/>
        </w:rPr>
        <w:t>，科创板股票上市首日即可作为融资融券标的，可能导致较大的股票价格波动。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科创板整体投资门槛较高，二级市场上个人投资者参与度相对较低，机构持有个股大量流通盘导致个股流动性较差，基金组合存在无法及时变现及其他相关流动性风险。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）退市风险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科创板退市制度较主板更为严格，且不再设置暂停上市、恢复上市和重新上市环节，上市公司退市风险更大。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4</w:t>
      </w:r>
      <w:r>
        <w:rPr>
          <w:rFonts w:hint="eastAsia" w:ascii="Times New Roman" w:hAnsi="Times New Roman"/>
          <w:sz w:val="24"/>
        </w:rPr>
        <w:t>）系统性风险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科创板企业均为市场认可度较高的科技创新企业，在企业经营及盈利模式上存在趋同，所以科创板个股相关性较高，市场表现不佳时，系统性风险将更为显著。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）政策风险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国家对高新技术产业扶持力度及重视程度的变化会对科创板企业带来较大影响，国际经济形势变化对战略新兴产业及科创板个股也会带来政策影响。</w:t>
      </w:r>
    </w:p>
    <w:p>
      <w:pPr>
        <w:autoSpaceDE w:val="0"/>
        <w:autoSpaceDN w:val="0"/>
        <w:adjustRightInd w:val="0"/>
        <w:snapToGrid w:val="0"/>
        <w:spacing w:line="360" w:lineRule="auto"/>
        <w:ind w:firstLine="480" w:firstLineChars="200"/>
        <w:jc w:val="left"/>
        <w:rPr>
          <w:rFonts w:ascii="宋体" w:hAnsi="宋体"/>
          <w:sz w:val="24"/>
        </w:rPr>
      </w:pPr>
      <w:r>
        <w:rPr>
          <w:rFonts w:hint="eastAsia" w:ascii="Times New Roman" w:hAnsi="Times New Roman"/>
          <w:sz w:val="24"/>
        </w:rPr>
        <w:t>32、</w:t>
      </w:r>
      <w:r>
        <w:rPr>
          <w:rFonts w:hint="eastAsia" w:ascii="宋体" w:hAnsi="宋体"/>
          <w:sz w:val="24"/>
        </w:rPr>
        <w:t>本基金参与融资业务的特定风险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本基金可根据法律法规的规定参与融资业务，面临的风险包括但不限于：</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1）市场风险</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1）可能放大投资损失的风险：融资业务具有杠杆效应，它在放大投资收益的同时也必然放大投资风险。将股票作为担保品进行融资交易时，既需要承担原有的股票价格下跌带来的风险，又得承担融资买入股票带来的风险，同时还须支付相应的利息和费用，由此承担的风险可能远远超过普通证券交易。</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2）利率变动带来的成本加大风险：在从事融资交易期间，如中国人民银行规定的同期贷款基准利率调高，证券公司将相应调高融资利率，投资成本也因为利率的上调而增加，将面临融资成本增加的风险。</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3）强制平仓风险：融资交易中，投资组合与证券公司间除了普通交易的委托买卖关系外，还存在着较为复杂的债权债务关系，以及由于债权债务产生的信托关系和担保关系。证券公司为保护自身债权，对投资组合信用账户的资产负债情况实时监控，在一定条件下可以对投资组合担保资产执行强制平仓,且平仓的品种、数量、价格、时机将不受投资组合的控制，平仓的数额可能超过全部负债，由此给投资组合带来损失。</w:t>
      </w:r>
    </w:p>
    <w:p>
      <w:pPr>
        <w:autoSpaceDE w:val="0"/>
        <w:autoSpaceDN w:val="0"/>
        <w:adjustRightInd w:val="0"/>
        <w:snapToGrid w:val="0"/>
        <w:spacing w:line="360" w:lineRule="auto"/>
        <w:ind w:firstLine="480" w:firstLineChars="200"/>
        <w:jc w:val="left"/>
        <w:rPr>
          <w:rFonts w:ascii="宋体" w:hAnsi="宋体"/>
          <w:sz w:val="24"/>
        </w:rPr>
      </w:pPr>
      <w:r>
        <w:rPr>
          <w:rFonts w:ascii="宋体" w:hAnsi="宋体"/>
          <w:sz w:val="24"/>
        </w:rPr>
        <w:t>4）外部监管风险：在融资交易出现异常或市场出现系统性风险时，监管部门、证券交易所和证券公司都将可能对融资交易采取相应措施，例如提高融资保证金比例、维持担保比例和强制平仓的条件等，以维护市场平稳运行。这些措施将可能给本金带来杠杆效应降低、甚至提前进入追加担保物或强制平仓状态等潜在损失。</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2）流动性风险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融资业务的流动性风险主要指当基金不能按照约定的期限清偿债务，或上市证券价格波动导致担保物价值与融资债务之间的比例低于平仓维持担保比例，且不能按照约定的时间追加担保物时面临强制平仓的风险。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3）信用风险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信用风险主要指交易对手违约产生的风险。一方面，如果证券公司没有按照融资合同的要求履行义务可能带来风险；另一方面，若在从事融资交易期间，证券公司融资业务资格、融资业务交易权限被取消或被暂停，证券公司可能无法履约，则投资组合可能会面临一定的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Times New Roman" w:hAnsi="Times New Roman"/>
          <w:sz w:val="24"/>
        </w:rPr>
        <w:t>33</w:t>
      </w:r>
      <w:r>
        <w:rPr>
          <w:rFonts w:ascii="宋体" w:hAnsi="宋体"/>
          <w:sz w:val="24"/>
        </w:rPr>
        <w:t>、</w:t>
      </w:r>
      <w:r>
        <w:rPr>
          <w:rFonts w:hint="eastAsia" w:ascii="宋体" w:hAnsi="宋体"/>
          <w:sz w:val="24"/>
        </w:rPr>
        <w:t>本基金参与转融通证券出借业务的特定风险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本基金可根据法律法规和基金合同的约定参与转融通证券出借业务，面临的风险包括但不限于：</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1）流动性风险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面对大额赎回时，可能因证券出借原因发生无法及时变现、支付赎回款项的风险；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2）信用风险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证券出借对手方可能无法及时归还证券、无法支付相应权益补偿及借券费用的风险；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w:t>
      </w:r>
      <w:r>
        <w:rPr>
          <w:rFonts w:ascii="宋体" w:hAnsi="宋体"/>
          <w:sz w:val="24"/>
        </w:rPr>
        <w:t>3）市场风险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证券出借后可能面临出借期间无法及时处置证券的风险；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（4）其他风险</w:t>
      </w:r>
    </w:p>
    <w:p>
      <w:pPr>
        <w:autoSpaceDE w:val="0"/>
        <w:autoSpaceDN w:val="0"/>
        <w:adjustRightInd w:val="0"/>
        <w:snapToGrid w:val="0"/>
        <w:spacing w:line="360" w:lineRule="auto"/>
        <w:ind w:firstLine="480" w:firstLineChars="200"/>
        <w:jc w:val="left"/>
        <w:rPr>
          <w:rFonts w:ascii="宋体" w:hAnsi="宋体"/>
          <w:sz w:val="24"/>
        </w:rPr>
      </w:pPr>
      <w:r>
        <w:rPr>
          <w:rFonts w:hint="eastAsia" w:ascii="宋体" w:hAnsi="宋体"/>
          <w:sz w:val="24"/>
        </w:rPr>
        <w:t>如宏观政策变化、证券市场剧烈波动、个别证券出现重大事件、交易对手方违约、业务规则调整、信息技术不能正常运行等风险。</w:t>
      </w:r>
    </w:p>
    <w:p>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宋体" w:hAnsi="宋体"/>
          <w:b/>
          <w:sz w:val="24"/>
        </w:rPr>
        <w:t>（六）</w:t>
      </w:r>
      <w:r>
        <w:rPr>
          <w:rFonts w:hint="eastAsia" w:ascii="Times New Roman" w:hAnsi="Times New Roman"/>
          <w:b/>
          <w:sz w:val="24"/>
        </w:rPr>
        <w:t>本基金法律文件风险收益特征表述与销售机构基金风险评价可能不一致的风险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w:t>
      </w:r>
      <w:r>
        <w:rPr>
          <w:rFonts w:hint="eastAsia" w:ascii="Times New Roman" w:hAnsi="Times New Roman"/>
          <w:b/>
          <w:sz w:val="24"/>
        </w:rPr>
        <w:t>七</w:t>
      </w:r>
      <w:r>
        <w:rPr>
          <w:rFonts w:ascii="Times New Roman" w:hAnsi="Times New Roman"/>
          <w:b/>
          <w:sz w:val="24"/>
        </w:rPr>
        <w:t>）其他风险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1、因技术因素而产生的风险，如电脑系统不可靠产生的风险；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2、因基金业务快速发展，在制度建设、人员配备、内控制度建立等方面的不完善产生的风险；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3、因人为因素而产生的风险、如内幕交易、欺诈行为等产生的风险；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4、对主要业务人员如基金经理的依赖而可能产生的风险；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5、因业务竞争压力可能产生的风险；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6、战争、自然灾害等不可抗力可能导致基金财产的损失，影响基金收益水平，从而带来风险；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7、其他意外导致的风险。</w:t>
      </w:r>
    </w:p>
    <w:p>
      <w:pPr>
        <w:autoSpaceDE w:val="0"/>
        <w:autoSpaceDN w:val="0"/>
        <w:adjustRightInd w:val="0"/>
        <w:spacing w:line="360" w:lineRule="auto"/>
        <w:rPr>
          <w:rFonts w:ascii="Times New Roman" w:hAnsi="Times New Roman"/>
          <w:szCs w:val="24"/>
        </w:rPr>
      </w:pPr>
    </w:p>
    <w:p>
      <w:pPr>
        <w:pStyle w:val="2"/>
        <w:snapToGrid w:val="0"/>
        <w:spacing w:before="240" w:beforeLines="0" w:after="240"/>
        <w:rPr>
          <w:rFonts w:ascii="Times New Roman" w:hAnsi="Times New Roman"/>
          <w:szCs w:val="30"/>
        </w:rPr>
      </w:pPr>
      <w:r>
        <w:rPr>
          <w:rFonts w:ascii="Times New Roman" w:hAnsi="Times New Roman"/>
          <w:sz w:val="30"/>
        </w:rPr>
        <w:br w:type="page"/>
      </w:r>
      <w:bookmarkStart w:id="61" w:name="_Toc208562036"/>
      <w:bookmarkStart w:id="62" w:name="_Hlk205663653"/>
      <w:bookmarkStart w:id="63" w:name="OLE_LINK5"/>
      <w:bookmarkStart w:id="64" w:name="_Hlk199343065"/>
      <w:r>
        <w:rPr>
          <w:rFonts w:ascii="Times New Roman" w:hAnsi="Times New Roman"/>
          <w:sz w:val="30"/>
        </w:rPr>
        <w:t>十</w:t>
      </w:r>
      <w:r>
        <w:rPr>
          <w:rFonts w:hint="eastAsia" w:ascii="Times New Roman" w:hAnsi="Times New Roman"/>
          <w:sz w:val="30"/>
        </w:rPr>
        <w:t>九</w:t>
      </w:r>
      <w:r>
        <w:rPr>
          <w:rFonts w:ascii="Times New Roman" w:hAnsi="Times New Roman"/>
          <w:sz w:val="30"/>
        </w:rPr>
        <w:t>、</w:t>
      </w:r>
      <w:bookmarkStart w:id="65" w:name="_Hlk208408405"/>
      <w:r>
        <w:rPr>
          <w:rFonts w:ascii="Times New Roman" w:hAnsi="Times New Roman"/>
          <w:sz w:val="30"/>
        </w:rPr>
        <w:t>基金合同的变更、终止与基金财产的清算</w:t>
      </w:r>
      <w:bookmarkEnd w:id="61"/>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（一）《基金合同》的变更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ascii="宋体" w:hAnsi="宋体"/>
          <w:sz w:val="24"/>
        </w:rPr>
        <w:t>按规定</w:t>
      </w:r>
      <w:r>
        <w:rPr>
          <w:rFonts w:ascii="Times New Roman" w:hAnsi="Times New Roman"/>
          <w:sz w:val="24"/>
        </w:rPr>
        <w:t>报中国证监会备案。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2、关于《基金合同》变更的基金份额持有人大会决议自生效后方可执行，自决议生效后依照《信息披露办法》的规定在规定媒介公告。</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（二）《基金合同》的终止事由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有下列情形之一的，经履行相关程序后，《基金合同》应当终止：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1、基金份额持有人大会决定终止的；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2、基金管理人、基金托管人职责终止，在6个月内没有新基金管理人、新基金托管人承接的；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5、相关法律法规和中国证监会规定的其他情况。</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（三）基金财产的清算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4、基金财产清算程序：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（1）《基金合同》终止情形出现时，由基金财产清算小组统一接管基金</w:t>
      </w:r>
      <w:r>
        <w:rPr>
          <w:rFonts w:hint="eastAsia" w:ascii="Times New Roman" w:hAnsi="Times New Roman"/>
          <w:bCs/>
          <w:sz w:val="24"/>
        </w:rPr>
        <w:t>财产</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（3）对基金财产进行估值和变现；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（4）制作清算报告；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（5）聘请会计师事务所对清算报告进行外部审计，聘请律师事务所对清算报告出具法律意见书；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（7）对基金剩余财产进行分配。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5、基金财产清算的期限为6个月，但因本基金所持证券的流动性受到限制而不能及时变现的，清算期限相应顺延。</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（四）清算费用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清算费用是指基金财产清算小组在进行基金</w:t>
      </w:r>
      <w:r>
        <w:rPr>
          <w:rFonts w:hint="eastAsia" w:ascii="宋体" w:hAnsi="宋体"/>
          <w:sz w:val="24"/>
        </w:rPr>
        <w:t>财产</w:t>
      </w:r>
      <w:r>
        <w:rPr>
          <w:rFonts w:ascii="Times New Roman" w:hAnsi="Times New Roman"/>
          <w:sz w:val="24"/>
        </w:rPr>
        <w:t>清算过程中发生的所有合理费用，清算费用由基金财产清算小组优先从基金财产中支付。</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（五）基金财产清算剩余资产的分配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（六）基金财产清算的公告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清算过程中的有关重大事项须及时公告；基金财产清算报告经</w:t>
      </w:r>
      <w:r>
        <w:rPr>
          <w:rFonts w:hint="eastAsia" w:ascii="Times New Roman" w:hAnsi="Times New Roman"/>
          <w:bCs/>
          <w:sz w:val="24"/>
        </w:rPr>
        <w:t>符合《中华人民共和国证券法》规定的</w:t>
      </w:r>
      <w:r>
        <w:rPr>
          <w:rFonts w:ascii="Times New Roman" w:hAnsi="Times New Roman"/>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ascii="Times New Roman" w:hAnsi="Times New Roman"/>
          <w:sz w:val="24"/>
        </w:rPr>
        <w:t>，基金财产清算小组应当将清算报告登载在规定网站上，并将清算报告提示性公告登载在规定报刊上</w:t>
      </w:r>
      <w:r>
        <w:rPr>
          <w:rFonts w:ascii="Times New Roman" w:hAnsi="Times New Roman"/>
          <w:sz w:val="24"/>
        </w:rPr>
        <w:t>。</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（七）基金财产清算账册及文件的保存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基金财产清算账册及有关文件由基金托管人保存</w:t>
      </w:r>
      <w:r>
        <w:rPr>
          <w:rFonts w:hint="eastAsia" w:ascii="Times New Roman" w:hAnsi="Times New Roman"/>
          <w:bCs/>
          <w:sz w:val="24"/>
        </w:rPr>
        <w:t>不低于法律法规规定的最低期限。</w:t>
      </w:r>
      <w:bookmarkEnd w:id="62"/>
      <w:bookmarkEnd w:id="65"/>
    </w:p>
    <w:p>
      <w:pPr>
        <w:autoSpaceDE w:val="0"/>
        <w:autoSpaceDN w:val="0"/>
        <w:adjustRightInd w:val="0"/>
        <w:spacing w:line="360" w:lineRule="auto"/>
        <w:rPr>
          <w:rFonts w:ascii="Times New Roman" w:hAnsi="Times New Roman"/>
          <w:szCs w:val="24"/>
        </w:rPr>
      </w:pPr>
    </w:p>
    <w:p>
      <w:pPr>
        <w:widowControl/>
        <w:jc w:val="left"/>
        <w:rPr>
          <w:rFonts w:ascii="Times New Roman" w:hAnsi="Times New Roman"/>
          <w:b/>
          <w:bCs/>
          <w:kern w:val="44"/>
          <w:sz w:val="30"/>
          <w:szCs w:val="44"/>
        </w:rPr>
      </w:pPr>
      <w:r>
        <w:rPr>
          <w:rFonts w:ascii="Times New Roman" w:hAnsi="Times New Roman"/>
          <w:sz w:val="30"/>
        </w:rPr>
        <w:br w:type="page"/>
      </w:r>
    </w:p>
    <w:p>
      <w:pPr>
        <w:pStyle w:val="2"/>
        <w:snapToGrid w:val="0"/>
        <w:spacing w:before="240" w:beforeLines="0" w:after="240"/>
        <w:rPr>
          <w:rFonts w:ascii="Times New Roman" w:hAnsi="Times New Roman"/>
          <w:szCs w:val="30"/>
        </w:rPr>
      </w:pPr>
      <w:bookmarkStart w:id="66" w:name="_Toc208562037"/>
      <w:bookmarkStart w:id="67" w:name="_Hlk208051615"/>
      <w:r>
        <w:rPr>
          <w:rFonts w:hint="eastAsia" w:ascii="Times New Roman" w:hAnsi="Times New Roman"/>
          <w:sz w:val="30"/>
        </w:rPr>
        <w:t>二十</w:t>
      </w:r>
      <w:r>
        <w:rPr>
          <w:rFonts w:ascii="Times New Roman" w:hAnsi="Times New Roman"/>
          <w:sz w:val="30"/>
        </w:rPr>
        <w:t>、</w:t>
      </w:r>
      <w:bookmarkStart w:id="68" w:name="_Hlk208408439"/>
      <w:r>
        <w:rPr>
          <w:rFonts w:ascii="Times New Roman" w:hAnsi="Times New Roman"/>
          <w:sz w:val="30"/>
        </w:rPr>
        <w:t>基金合同内容摘要</w:t>
      </w:r>
      <w:bookmarkEnd w:id="66"/>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（一）基金份额持有人、基金管理人和基金托管人的权利与义务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1、基金管理人的权利与义务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（1）根据《基金法》、《运作办法》及其他有关规定，基金管理人的权利包括但不限于：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1）依法募集资金；</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2）自《基金合同》生效之日起，根据法律法规和《基金合同》独立运用并管理基金财产；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3）依照《基金合同》收取基金管理费以及法律法规规定或中国证监会批准的其他费用；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4）销售基金份额；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5）按照规定召集基金份额持有人大会；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6）依据《基金合同》及有关法律规定监督基金托管人，如认为基金托管人违反了《基金合同》及国家有关法律规定，应呈报中国证监会和其他监管部门，并采取必要措施保护基金投资者的利益；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7）在基金托管人更换时，提名新的基金托管人；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8）选择、更换基金销售机构，对基金销售机构的相关行为进行监督和处理；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9）担任或委托其他符合条件的机构担任基金登记机构办理基金登记业务并获得《基金合同》规定的费用；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10）依据《基金合同》及有关法律规定决定基金收益的分配方案；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11）在《基金合同》约定的范围内，拒绝或暂停受理申购与赎回申请；</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12）依照法律法规为基金的利益对被投资公司行使股东权利，为基金的利益行使因基金财产投资于证券所产生的权利；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13）在法律法规允许的前提下，为基金的利益依法为基金进行融资</w:t>
      </w:r>
      <w:r>
        <w:rPr>
          <w:rFonts w:hint="eastAsia" w:ascii="Times New Roman" w:hAnsi="Times New Roman"/>
          <w:sz w:val="24"/>
        </w:rPr>
        <w:t>及转融通证券出借业务</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14）以基金管理人的名义，代表基金份额持有人的利益行使诉讼权利或者实施其他法律行为；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15）选择、更换律师事务所、会计师事务所、证券经纪商</w:t>
      </w:r>
      <w:r>
        <w:rPr>
          <w:rFonts w:hint="eastAsia" w:ascii="Times New Roman" w:hAnsi="Times New Roman"/>
          <w:bCs/>
          <w:sz w:val="24"/>
        </w:rPr>
        <w:t>、期货经纪机构</w:t>
      </w:r>
      <w:r>
        <w:rPr>
          <w:rFonts w:ascii="Times New Roman" w:hAnsi="Times New Roman"/>
          <w:sz w:val="24"/>
        </w:rPr>
        <w:t>或其他为基金提供服务的外部机构；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16）在符合有关法律法规</w:t>
      </w:r>
      <w:r>
        <w:rPr>
          <w:rFonts w:hint="eastAsia" w:ascii="Times New Roman" w:hAnsi="Times New Roman"/>
          <w:bCs/>
          <w:sz w:val="24"/>
        </w:rPr>
        <w:t>和相关证券交易所及登记机构相关业务规则的规定以及本基金合同</w:t>
      </w:r>
      <w:r>
        <w:rPr>
          <w:rFonts w:hint="eastAsia" w:ascii="Times New Roman" w:hAnsi="Times New Roman"/>
          <w:sz w:val="24"/>
        </w:rPr>
        <w:t>的前提下，</w:t>
      </w:r>
      <w:r>
        <w:rPr>
          <w:rFonts w:hint="eastAsia" w:ascii="Times New Roman" w:hAnsi="Times New Roman"/>
          <w:bCs/>
          <w:sz w:val="24"/>
        </w:rPr>
        <w:t>制订</w:t>
      </w:r>
      <w:r>
        <w:rPr>
          <w:rFonts w:hint="eastAsia" w:ascii="Times New Roman" w:hAnsi="Times New Roman"/>
          <w:sz w:val="24"/>
        </w:rPr>
        <w:t>和调整有关基金认购、申购、赎回、</w:t>
      </w:r>
      <w:r>
        <w:rPr>
          <w:rFonts w:hint="eastAsia" w:ascii="Times New Roman" w:hAnsi="Times New Roman"/>
          <w:bCs/>
          <w:sz w:val="24"/>
        </w:rPr>
        <w:t>非交易过户和收益分配</w:t>
      </w:r>
      <w:r>
        <w:rPr>
          <w:rFonts w:hint="eastAsia" w:ascii="Times New Roman" w:hAnsi="Times New Roman"/>
          <w:sz w:val="24"/>
        </w:rPr>
        <w:t>等业务</w:t>
      </w:r>
      <w:r>
        <w:rPr>
          <w:rFonts w:hint="eastAsia" w:ascii="Times New Roman" w:hAnsi="Times New Roman"/>
          <w:bCs/>
          <w:sz w:val="24"/>
        </w:rPr>
        <w:t>的</w:t>
      </w:r>
      <w:r>
        <w:rPr>
          <w:rFonts w:hint="eastAsia" w:ascii="Times New Roman" w:hAnsi="Times New Roman"/>
          <w:sz w:val="24"/>
        </w:rPr>
        <w:t>规则；</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sz w:val="24"/>
        </w:rPr>
        <w:t>17）</w:t>
      </w:r>
      <w:r>
        <w:rPr>
          <w:rFonts w:hint="eastAsia" w:ascii="Times New Roman" w:hAnsi="Times New Roman"/>
          <w:bCs/>
          <w:sz w:val="24"/>
        </w:rPr>
        <w:t>自行或委托第三方机构办理本基金的交易、清算、估值、结算等业务；</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18）在不违反法律法规和监管规定且对基金份额持有人利益无实质不利影响的前提下，为支付本基金应付的赎回、交易清算等款项，基金管理人有权代表基金份额持有人以基金资产作为质押进行融资或其他相关业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（2）根据《基金法》、《运作办法》及其他有关规定，基金管理人的义务包括但不限于：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1）依法募集资金，办理或者委托经中国证监会认定的其他机构办理基金份额的发售、申购、赎回和登记事宜；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2）办理基金备案手续；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3）自《基金合同》生效之日起，以诚实信用、谨慎勤勉的原则管理和运用基金财产；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4）配备足够的具有专业资格的人员进行基金投资分析、决策，以专业化的经营方式管理和运作基金财产；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5）建立健全内部风险控制、监察与稽核、财务管理及人事管理等制度，保证所管理的基金财产和基金管理人的财产相互独立，对所管理的不同基金分别管理，分别记账，进行证券投资；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6）除依据《基金法》、《基金合同》及其他有关规定外，不得利用基金财产为自己及任何第三人谋取利益，不得委托第三人运作基金财产；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7）依法接受基金托管人的监督；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8）采取适当合理的措施使计算基金份额认购、申购</w:t>
      </w:r>
      <w:r>
        <w:rPr>
          <w:rFonts w:hint="eastAsia" w:ascii="Times New Roman" w:hAnsi="Times New Roman"/>
          <w:bCs/>
          <w:sz w:val="24"/>
        </w:rPr>
        <w:t>和</w:t>
      </w:r>
      <w:r>
        <w:rPr>
          <w:rFonts w:hint="eastAsia" w:ascii="Times New Roman" w:hAnsi="Times New Roman"/>
          <w:sz w:val="24"/>
        </w:rPr>
        <w:t>赎回</w:t>
      </w:r>
      <w:r>
        <w:rPr>
          <w:rFonts w:hint="eastAsia" w:ascii="Times New Roman" w:hAnsi="Times New Roman"/>
          <w:bCs/>
          <w:sz w:val="24"/>
        </w:rPr>
        <w:t>对价</w:t>
      </w:r>
      <w:r>
        <w:rPr>
          <w:rFonts w:hint="eastAsia" w:ascii="Times New Roman" w:hAnsi="Times New Roman"/>
          <w:sz w:val="24"/>
        </w:rPr>
        <w:t>的方法符合《基金合同》等法律文件的规定，按有关规定计算并公告基金净值信息，确定基金份额申购、赎回</w:t>
      </w:r>
      <w:r>
        <w:rPr>
          <w:rFonts w:hint="eastAsia" w:ascii="Times New Roman" w:hAnsi="Times New Roman"/>
          <w:bCs/>
          <w:sz w:val="24"/>
        </w:rPr>
        <w:t>对价，编制申购赎回清单</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9）进行基金会计核算并编制基金财务会计报告；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10）编制季度报告、中期报告和年度报告；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11）严格按照《基金法》、《基金合同》及其他有关规定，履行信息披露及报告义务；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12）保守基金商业秘密，不泄露基金投资计划、投资意向等。除《基金法》、《基金合同》及其他有关规定另有规定外，在基金信息公开披露前应予保密，不向他人泄露；</w:t>
      </w:r>
      <w:r>
        <w:rPr>
          <w:rFonts w:hint="eastAsia" w:ascii="Times New Roman" w:hAnsi="Times New Roman"/>
          <w:sz w:val="24"/>
        </w:rPr>
        <w:t>但根据监管机构、司法机关等有权机关的要求提供，或因审计、法律等外部专业顾问提供服务需要提供的情况除外；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13）按《基金合同》的约定确定基金收益分配方案，及时向基金份额持有人分配基金收益；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14）按规定受理申购与赎回申请，及时、足额支付赎回</w:t>
      </w:r>
      <w:r>
        <w:rPr>
          <w:rFonts w:hint="eastAsia" w:ascii="Times New Roman" w:hAnsi="Times New Roman"/>
          <w:bCs/>
          <w:sz w:val="24"/>
        </w:rPr>
        <w:t>对价</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15）依据《基金法》、《基金合同》及其他有关规定召集基金份额持有人大会或配合基金托管人、基金份额持有人依法召集基金份额持有人大会；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16）按规定保存基金财产管理业务活动的会计账册、报表、记录和其他相关资料</w:t>
      </w:r>
      <w:r>
        <w:rPr>
          <w:rFonts w:hint="eastAsia" w:ascii="Times New Roman" w:hAnsi="Times New Roman"/>
          <w:bCs/>
          <w:sz w:val="24"/>
        </w:rPr>
        <w:t>不低于法律法规规定的最低期限</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18）组织并参加基金财产清算小组，参与基金财产的保管、清理、估价、变现和分配；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19）面临解散、依法被撤销或者被依法宣告破产时，及时报告中国证监会并通知基金托管人；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20）因违反《基金合同》导致基金财产的损失或损害基金份额持有人合法权益时，应当承担赔偿责任，其赔偿责任不因其退任而免除；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21）监督基金托管人按法律法规和《基金合同》规定履行自己的义务，基金托管人违反《基金合同》造成基金财产损失时，基金管理人应为基金份额持有人利益向基金托管人追偿；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22）当基金管理人将其义务委托第三方处理时，应当对第三方处理有关基金事务的行为承担责任；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23）以基金管理人名义，代表基金份额持有人利益行使诉讼权利或实施其他法律行为；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r>
        <w:rPr>
          <w:rFonts w:hint="eastAsia" w:ascii="Times New Roman" w:hAnsi="Times New Roman"/>
          <w:bCs/>
          <w:sz w:val="24"/>
        </w:rPr>
        <w:t>投资者以股票认购的，相关股票的解冻按照《业务规则》的规定处理；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25）执行生效的基金份额持有人大会的决议；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26）建立并保存基金份额持有人名册；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27）法律法规及中国证监会规定的和《基金合同》约定的其他义务。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2、基金托管人的权利与义务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（1）根据《基金法》、《运作办法》及其他有关规定，基金托管人的权利包括但不限于：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1）自《基金合同》生效之日起，依法律法规和《基金合同》的规定安全保管基金财产；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2）依《基金合同》约定获得基金托管费以及法律法规规定或监管部门批准的其他费用；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4）根据相关市场规则，为基金开设资金账户、证券账户等投资所需账户，为基金办理证券交易资金清算；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5）提议召开或召集基金份额持有人大会；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6）在基金管理人更换时，提名新的基金管理人；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（2）根据《基金法》、《运作办法》及其他有关规定，基金托管人的义务包括但不限于：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1）以诚实信用、勤勉尽责的原则持有并安全保管基金财产；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2）设立专门的基金托管部门，具有符合要求的营业场所，配备足够的、合格的熟悉基金托管业务的专职人员，负责基金财产托管事宜；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4）除依据《基金法》、《基金合同》及其他有关规定外，不得利用基金财产为自己及任何第三人谋取利益，不得委托第三人托管基金财产；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5）保管由基金管理人代表基金签订的与基金有关的重大合同及有关凭证；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6）按规定开设基金财产的资金账户、证券账户等投资所需账户，按照《基金合同》的约定，根据基金管理人的投资指令，及时办理清算、交割事宜；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7）保守基金商业秘密，除《基金法》、《基金合同》及其他有关规定另有规定外，在基金信息公开披露前予以保密，不得向他人泄露；</w:t>
      </w:r>
      <w:r>
        <w:rPr>
          <w:rFonts w:hint="eastAsia" w:ascii="Times New Roman" w:hAnsi="Times New Roman"/>
          <w:bCs/>
          <w:sz w:val="24"/>
        </w:rPr>
        <w:t>但根据监管机构、司法机关等有权机关的要求提供，或因审计、法律等外部专业顾问提供服务需要提供的情况除外；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8）复核、审查基金管理人计算的基金资产净值、基金</w:t>
      </w:r>
      <w:r>
        <w:rPr>
          <w:rFonts w:ascii="Times New Roman" w:hAnsi="Times New Roman"/>
          <w:sz w:val="24"/>
        </w:rPr>
        <w:t>份额净值、</w:t>
      </w:r>
      <w:r>
        <w:rPr>
          <w:rFonts w:hint="eastAsia" w:ascii="Times New Roman" w:hAnsi="Times New Roman"/>
          <w:sz w:val="24"/>
        </w:rPr>
        <w:t>基金份额申购、赎回</w:t>
      </w:r>
      <w:r>
        <w:rPr>
          <w:rFonts w:hint="eastAsia" w:ascii="Times New Roman" w:hAnsi="Times New Roman"/>
          <w:bCs/>
          <w:sz w:val="24"/>
        </w:rPr>
        <w:t>对价及法律法规规定的相关内容</w:t>
      </w:r>
      <w:r>
        <w:rPr>
          <w:rFonts w:hint="eastAsia"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9）办理与基金托管业务活动有关的信息披露事项；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11）保存基金托管业务活动的记录、账册、报表和其他相关资料</w:t>
      </w:r>
      <w:r>
        <w:rPr>
          <w:rFonts w:hint="eastAsia" w:ascii="Times New Roman" w:hAnsi="Times New Roman"/>
          <w:bCs/>
          <w:sz w:val="24"/>
        </w:rPr>
        <w:t>不低于法律法规规定的最低期限</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w:t>
      </w:r>
      <w:r>
        <w:rPr>
          <w:rFonts w:hint="eastAsia" w:ascii="Times New Roman" w:hAnsi="Times New Roman"/>
          <w:sz w:val="24"/>
        </w:rPr>
        <w:t>建立并</w:t>
      </w:r>
      <w:r>
        <w:rPr>
          <w:rFonts w:ascii="Times New Roman" w:hAnsi="Times New Roman"/>
          <w:sz w:val="24"/>
        </w:rPr>
        <w:t>保存基金份额持有人名册；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13）按规定制作相关账册并与基金管理人核对；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14）依据基金管理人的指令或有关规定向基金份额持有人支付基金收益和赎回</w:t>
      </w:r>
      <w:r>
        <w:rPr>
          <w:rFonts w:hint="eastAsia" w:ascii="Times New Roman" w:hAnsi="Times New Roman"/>
          <w:bCs/>
          <w:sz w:val="24"/>
        </w:rPr>
        <w:t>对价</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15）依据《基金法》、《基金合同》及其他有关规定，召集基金份额持有人大会或配合基金管理人、基金份额持有人依法召集基金份额持有人大会；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16）按照法律法规和《基金合同》的规定监督基金管理人的投资运作；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17）参加基金财产清算小组，参与基金财产的保管、清理、估价、变现和分配；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18）面临解散、依法被撤销或者被依法宣告破产时，及时报告中国证监会，并通知基金管理人；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19）因违反《基金合同》导致基金财产损失时，应承担赔偿责任，其赔偿责任不因其退任而免除；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20）按规定监督基金管理人按法律法规和《基金合同》规定履行自己的义务，基金管理人因违反《基金合同》造成基金财产损失时，应为基金份额持有人利益向基金管理人追偿；</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21）执行生效的基金份额持有人大会的决议；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22）法律法规及中国证监会规定的和《基金合同》约定的其他义务。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3、基金份额持有人的权利与义务</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基金投资者持有本基金基金份额的行为即视为对《基金合同》的承认和接受，基金投资者自依据《基金合同》取得本基金基金份额，即成为本</w:t>
      </w:r>
      <w:r>
        <w:rPr>
          <w:rFonts w:hint="eastAsia" w:ascii="Times New Roman" w:hAnsi="Times New Roman"/>
          <w:bCs/>
          <w:sz w:val="24"/>
        </w:rPr>
        <w:t>基金</w:t>
      </w:r>
      <w:r>
        <w:rPr>
          <w:rFonts w:ascii="Times New Roman" w:hAnsi="Times New Roman"/>
          <w:sz w:val="24"/>
        </w:rPr>
        <w:t>基金份额持有人和《基金合同》的当事人，直至其不再持有本基金的基金份额。基金份额持有人作为《基金合同》当事人并不以在《基金合同》上书面签章或签字为必要条件。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每份基金份额具有同等的合法权益。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（1）根据《基金法》、《运作办法》及其他有关规定，基金份额持有人的权利包括但不限于：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1）分享基金财产收益；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2）参与分配清算后的剩余基金财产；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3）依法并按照基金合同和招募说明书的规定转让或者申请赎回其持有的基金份额；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4）按照规定要求召开基金份额持有人大会或者召集基金份额持有人大会；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5）出席或者委派代表出席基金份额持有人大会，对基金份额持有人大会审议事项行使表决权；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6）查阅或者复制公开披露的基金信息资料；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7）监督基金管理人的投资运作；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8）对基金管理人、基金托管人、基金服务机构损害其合法权益的行为依法提起诉讼或仲裁；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9）法律法规及中国证监会规定的和《基金合同》约定的其他权利。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（2）根据《基金法》、《运作办法》及其他有关规定，基金份额持有人的义务包括但不限于：</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1）认真阅读并遵守《基金合同》、招募说明书等信息披露文件；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2）了解所投资基金产品，了解自身风险承受能力，自主判断基金的投资价值，自主做出投资决策，自行承担投资风险；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3）关注基金信息披露，及时行使权利和履行义务；</w:t>
      </w:r>
    </w:p>
    <w:p>
      <w:pPr>
        <w:spacing w:line="360" w:lineRule="auto"/>
        <w:ind w:firstLine="480" w:firstLineChars="200"/>
        <w:rPr>
          <w:rFonts w:ascii="Times New Roman" w:hAnsi="Times New Roman"/>
          <w:szCs w:val="24"/>
        </w:rPr>
      </w:pPr>
      <w:r>
        <w:rPr>
          <w:rFonts w:ascii="Times New Roman" w:hAnsi="Times New Roman"/>
          <w:sz w:val="24"/>
        </w:rPr>
        <w:t>4）</w:t>
      </w:r>
      <w:r>
        <w:rPr>
          <w:rFonts w:hint="eastAsia"/>
          <w:sz w:val="24"/>
        </w:rPr>
        <w:t>缴纳基金认购款项或股票、申购/赎回对价</w:t>
      </w:r>
      <w:r>
        <w:rPr>
          <w:rFonts w:hint="eastAsia" w:ascii="宋体" w:hAnsi="宋体"/>
          <w:sz w:val="24"/>
        </w:rPr>
        <w:t>及法律法规和《基金合同》所规定的费用；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5）在其持有的基金份额范围内，承担基金亏损或者《基金合同》终止的有限责任；</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6）不从事任何有损基金及其他《基金合同》当事人合法权益的活动；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7）执行生效的基金份额持有人大会的决议；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8）返还在基金交易过程中因任何原因获得的不当得利；</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9）遵守基金管理人、基金托管人、销售机构和登记机构的相关交易及业务规则；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10）提供基金管理人和监管机构依法要求提供的信息，以及不时的更新和补充，并保证其真实性；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11）法律法规及中国证监会规定的和《基金合同》约定的其他义务。</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（二）基金份额持有人大会召集、议事及表决的程序和规则</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基金份额持有人大会由基金份额持有人组成，基金份额持有人的合法授权代表有权代表基金份额持有人出席会议并表决。基金份额持有人持有的每一基金份额拥有平等的投票权。</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本基金份额持有人大会不设日常机构。</w:t>
      </w:r>
      <w:r>
        <w:rPr>
          <w:rFonts w:hint="eastAsia" w:ascii="Times New Roman" w:hAnsi="Times New Roman"/>
          <w:bCs/>
          <w:sz w:val="24"/>
        </w:rPr>
        <w:t>若未来本基金基金份额持有人大会成立日常机构，则按照届时有效的法律法规的规定执行。</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在本基金成功募集并运作之后，如基金管理人管理本基金的联接基金的，鉴于本基金和本基金的联接基金的相关性，联接基金的基金份额持有人可以凭所持有的联接基金份额出席或者委派代表出席本基金的基金份额持有人大会并参与表决。在计算参会份额和计票时，联接基金份额持有人持有的享有表决权的基金份额数和表决票数为：在本基金基金份额持有人大会的权益登记日，联接基金持有本基金份额的总数乘以该基金份额持有人所持有的联接基金份额占联接基金总份额的比例，计算结果按照四舍五入的方法，保留到整数位。</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bCs/>
          <w:sz w:val="24"/>
        </w:rPr>
        <w:t>若将来法律法规对基金份额持有人大会另有规定的，以届时有效的法律法规为准。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1、召开事由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（1）当出现或需要决定下列事由之一的，应当召开基金份额持有人大会，法律法规、中国证监会另有规定</w:t>
      </w:r>
      <w:r>
        <w:rPr>
          <w:rFonts w:hint="eastAsia" w:ascii="Times New Roman" w:hAnsi="Times New Roman"/>
          <w:bCs/>
          <w:sz w:val="24"/>
        </w:rPr>
        <w:t>或基金合同另有约定</w:t>
      </w:r>
      <w:r>
        <w:rPr>
          <w:rFonts w:ascii="Times New Roman" w:hAnsi="Times New Roman"/>
          <w:sz w:val="24"/>
        </w:rPr>
        <w:t>的除外：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1）终止《基金合同》；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2）更换基金管理人；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3）更换基金托管人；</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4）转换基金运作方式；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5）调整基金管理人、基金托管人的报酬标准；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6）变更基金类别；</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7）本基金与其他基金的合并；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8）变更基金投资目标、范围或策略；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9）变更基金份额持有人大会程序；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10）基金管理人或基金托管人要求召开基金份额持有人大会；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11）单独或合计持有本基金总份额10%以上（含10%）基金份额的基金份额持有人（以基金管理人收到提议当日的基金份额计算，下同）就同一事项书面要求召开基金份额持有人大会；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12）对基金合同当事人权利和义务产生重大影响的其他事项；</w:t>
      </w:r>
    </w:p>
    <w:p>
      <w:pPr>
        <w:autoSpaceDE w:val="0"/>
        <w:autoSpaceDN w:val="0"/>
        <w:adjustRightInd w:val="0"/>
        <w:snapToGrid w:val="0"/>
        <w:spacing w:line="360" w:lineRule="auto"/>
        <w:ind w:firstLine="480" w:firstLineChars="200"/>
        <w:jc w:val="left"/>
        <w:rPr>
          <w:rFonts w:ascii="Times New Roman" w:hAnsi="Times New Roman"/>
          <w:bCs/>
          <w:sz w:val="24"/>
        </w:rPr>
      </w:pPr>
      <w:r>
        <w:rPr>
          <w:rFonts w:ascii="Times New Roman" w:hAnsi="Times New Roman"/>
          <w:sz w:val="24"/>
        </w:rPr>
        <w:t>13）</w:t>
      </w:r>
      <w:r>
        <w:rPr>
          <w:rFonts w:hint="eastAsia" w:ascii="Times New Roman" w:hAnsi="Times New Roman"/>
          <w:bCs/>
          <w:sz w:val="24"/>
        </w:rPr>
        <w:t>终止基金上市，但因基金不再具备上市条件而被上海证券交易所终止上市的情形除外；</w:t>
      </w:r>
    </w:p>
    <w:p>
      <w:pPr>
        <w:autoSpaceDE w:val="0"/>
        <w:autoSpaceDN w:val="0"/>
        <w:adjustRightInd w:val="0"/>
        <w:snapToGrid w:val="0"/>
        <w:spacing w:line="360" w:lineRule="auto"/>
        <w:ind w:firstLine="480" w:firstLineChars="200"/>
        <w:jc w:val="left"/>
        <w:rPr>
          <w:rFonts w:ascii="Times New Roman" w:hAnsi="Times New Roman"/>
          <w:szCs w:val="24"/>
        </w:rPr>
      </w:pPr>
      <w:r>
        <w:rPr>
          <w:rFonts w:hint="eastAsia" w:ascii="Times New Roman" w:hAnsi="Times New Roman"/>
          <w:bCs/>
          <w:sz w:val="24"/>
        </w:rPr>
        <w:t>14</w:t>
      </w:r>
      <w:r>
        <w:rPr>
          <w:rFonts w:hint="eastAsia" w:ascii="Times New Roman" w:hAnsi="Times New Roman"/>
          <w:sz w:val="24"/>
        </w:rPr>
        <w:t>）</w:t>
      </w:r>
      <w:r>
        <w:rPr>
          <w:rFonts w:ascii="Times New Roman" w:hAnsi="Times New Roman"/>
          <w:sz w:val="24"/>
        </w:rPr>
        <w:t>法律法规、《基金合同》或中国证监会规定的其他应当召开基金份额持有人大会的事项。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（2）在法律法规规定和《基金合同》约定的范围内且对基金份额持有人利益无实质性不利影响的前提下，以下情况可由基金管理人和基金托管人协商后修改，不需召开基金份额持有人大会：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1）法律法规要求增加的基金费用的收取；</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2）调整本基金的申购费率或变更收费方式；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3）因相应的法律法规、</w:t>
      </w:r>
      <w:r>
        <w:rPr>
          <w:rFonts w:hint="eastAsia" w:ascii="Times New Roman" w:hAnsi="Times New Roman"/>
          <w:bCs/>
          <w:sz w:val="24"/>
        </w:rPr>
        <w:t>上海证券交易所或中国证券登记结算有限责任公司</w:t>
      </w:r>
      <w:r>
        <w:rPr>
          <w:rFonts w:hint="eastAsia" w:ascii="Times New Roman" w:hAnsi="Times New Roman"/>
          <w:sz w:val="24"/>
        </w:rPr>
        <w:t>的相关业务规则发生变动而应当对《基金合同》进行修改；</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4）增加或减少基金份额类别，或调整基金份额分类办法及规则；</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5）调整基金收益的分配原则和支付方式；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bCs/>
          <w:sz w:val="24"/>
        </w:rPr>
        <w:t>6</w:t>
      </w:r>
      <w:r>
        <w:rPr>
          <w:rFonts w:hint="eastAsia" w:ascii="Times New Roman" w:hAnsi="Times New Roman"/>
          <w:sz w:val="24"/>
        </w:rPr>
        <w:t>）对《基金合同》的修改对基金份额持有人利益无实质性不利影响或修改不涉及《基金合同》当事人权利义务关系发生重大变化；</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7）调整有关基金认购、申购、赎回、交易、转托管、非交易过户、质押等业务的规则；</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8）调整基金的申购赎回方式，调整申购对价、赎回对价组成，调整申购赎回清单的内容，调整基金份额净值、申购赎回清单计算和公告时间或频率；</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9）基金在其他证券交易所上市、开通场外申购赎回或其他申购赎回模式；</w:t>
      </w:r>
    </w:p>
    <w:p>
      <w:pPr>
        <w:autoSpaceDE w:val="0"/>
        <w:autoSpaceDN w:val="0"/>
        <w:adjustRightInd w:val="0"/>
        <w:snapToGrid w:val="0"/>
        <w:spacing w:line="360" w:lineRule="auto"/>
        <w:ind w:firstLine="480" w:firstLineChars="200"/>
        <w:jc w:val="left"/>
        <w:rPr>
          <w:rFonts w:ascii="Times New Roman" w:hAnsi="Times New Roman"/>
          <w:bCs/>
          <w:sz w:val="24"/>
        </w:rPr>
      </w:pPr>
      <w:r>
        <w:rPr>
          <w:rFonts w:hint="eastAsia" w:ascii="Times New Roman" w:hAnsi="Times New Roman"/>
          <w:bCs/>
          <w:sz w:val="24"/>
        </w:rPr>
        <w:t>10）监管机关或证券交易所要求或决定本基金终止上市；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bCs/>
          <w:sz w:val="24"/>
        </w:rPr>
        <w:t>1</w:t>
      </w:r>
      <w:r>
        <w:rPr>
          <w:rFonts w:ascii="Times New Roman" w:hAnsi="Times New Roman"/>
          <w:bCs/>
          <w:sz w:val="24"/>
        </w:rPr>
        <w:t>1</w:t>
      </w:r>
      <w:r>
        <w:rPr>
          <w:rFonts w:hint="eastAsia" w:ascii="Times New Roman" w:hAnsi="Times New Roman"/>
          <w:sz w:val="24"/>
        </w:rPr>
        <w:t>）在法律法规允许的情况下，且在对现有基金份额持有人利益无实质性不利影响的前提下，基金管理人履行适当程序后，推出新业务或服务；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bCs/>
          <w:sz w:val="24"/>
        </w:rPr>
        <w:t>1</w:t>
      </w:r>
      <w:r>
        <w:rPr>
          <w:rFonts w:ascii="Times New Roman" w:hAnsi="Times New Roman"/>
          <w:bCs/>
          <w:sz w:val="24"/>
        </w:rPr>
        <w:t>2</w:t>
      </w:r>
      <w:r>
        <w:rPr>
          <w:rFonts w:hint="eastAsia" w:ascii="Times New Roman" w:hAnsi="Times New Roman"/>
          <w:sz w:val="24"/>
        </w:rPr>
        <w:t>）按照法律法规和《基金合同》规定不需召开基金份额持有人大会的其他情形。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2、会议召集人及召集方式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（1）除法律法规规定或《基金合同》另有约定外，基金份额持有人大会由基金管理人召集；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（2）基金管理人未按规定召集或不能召</w:t>
      </w:r>
      <w:r>
        <w:rPr>
          <w:rFonts w:hint="eastAsia" w:ascii="Times New Roman" w:hAnsi="Times New Roman"/>
          <w:sz w:val="24"/>
        </w:rPr>
        <w:t>集</w:t>
      </w:r>
      <w:r>
        <w:rPr>
          <w:rFonts w:ascii="Times New Roman" w:hAnsi="Times New Roman"/>
          <w:sz w:val="24"/>
        </w:rPr>
        <w:t>时，由基金托管人召集；</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（6）基金份额持有人会议的召集人负责选择确定开会时间、地点、方式和权益登记日。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3、召开基金份额持有人大会的通知时间、通知内容、通知方式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（1）召开基金份额持有人大会，召集人应于会议召开前30日，在规定媒介公告。基金份额持有人大会通知应至少载明以下内容：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1）会议召开的时间、地点和会议形式；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2）会议拟审议的事项、议事程序和表决方式；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3）有权出席基金份额持有人大会的基金份额持有人的权益登记日；</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4）授权委托证明的内容要求（包括但不限于代理人身份，代理权限和代理有效期限等）、送达时间和地点；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5）会务常设联系人姓名及联系电话；</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6）出席会议者必须准备的文件和必须履行的手续；</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7）召集人需要通知的其他事项。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4、基金份额持有人出席会议的方式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基金份额持有人大会可通过现场开会方式、通讯开会方式或法律法规</w:t>
      </w:r>
      <w:r>
        <w:rPr>
          <w:rFonts w:hint="eastAsia" w:ascii="Times New Roman" w:hAnsi="Times New Roman"/>
          <w:sz w:val="24"/>
        </w:rPr>
        <w:t>、</w:t>
      </w:r>
      <w:r>
        <w:rPr>
          <w:rFonts w:ascii="Times New Roman" w:hAnsi="Times New Roman"/>
          <w:sz w:val="24"/>
        </w:rPr>
        <w:t>监管机构允许的其他方式召开，会议的召开方式由会议召集人确定。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（2）通讯开会。通讯开会系指基金份额持有人将其对表决事项的投票以会议通知载明的形式或基金合同约定的其他方式在表决截止日以前送达至召集人指定的地址或系统。</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在同时符合以下条件时，通讯开会的方式视为有效：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1）会议召集人按《基金合同》约定公布会议通知后，在2个工作日内连续公布相关提示性公告；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w:t>
      </w:r>
      <w:r>
        <w:rPr>
          <w:rFonts w:hint="eastAsia" w:ascii="Times New Roman" w:hAnsi="Times New Roman"/>
          <w:bCs/>
          <w:sz w:val="24"/>
        </w:rPr>
        <w:t>的</w:t>
      </w:r>
      <w:r>
        <w:rPr>
          <w:rFonts w:ascii="Times New Roman" w:hAnsi="Times New Roman"/>
          <w:sz w:val="24"/>
        </w:rPr>
        <w:t>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5、议事内容与程序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（1）议事内容及提案权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基金份额持有人大会的召集人发出召集会议的通知后，对原有提案的修改应当在基金份额持有人大会召开前及时公告。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基金份额持有人大会不得对未事先公告的议事内容进行表决。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（2）议事程序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1）现场开会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在现场开会的方式下，首先由大会主持人按照下列第7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会议召集人应当制作出席会议人员的签名册。签名册载明参加会议人员姓名（或单位名称）、身份证明文件号码、持有或代表有表决权的基金份额、委托人姓名（或单位名称）和联系方式等事项。</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2）通讯开会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在通讯开会的情况下，首先由召集人提前30日公布提案，在所通知的表决截止日期后2个工作日内在公证机关监督下由召集人统计全部有效表决，在公证机关监督下形成决议。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基金份额持有人所持每份基金份额有一票表决权。</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基金份额持有人大会决议分为一般决议和特别决议：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w:t>
      </w:r>
      <w:r>
        <w:rPr>
          <w:rFonts w:hint="eastAsia" w:ascii="Times New Roman" w:hAnsi="Times New Roman"/>
          <w:sz w:val="24"/>
        </w:rPr>
        <w:t>《</w:t>
      </w:r>
      <w:r>
        <w:rPr>
          <w:rFonts w:ascii="Times New Roman" w:hAnsi="Times New Roman"/>
          <w:sz w:val="24"/>
        </w:rPr>
        <w:t>基金合同》和中国证监会另有规定的除外）以特别决议通过方为有效。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基金份额持有人大会采取记名方式进行投票表决。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基金份额持有人大会的各项提案或同一项提案内并列的各项议题应当分开审议、逐项表决。</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7、计票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（1）现场开会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2）监票人应当在基金份额持有人表决后立即进行清点并由大会主持人当场公布计票结果。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4）计票过程应由公证机关予以公证，基金管理人或基金托管人拒不出席大会的，不影响计票的效力。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（2）通讯开会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8、生效与公告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基金份额持有人大会的决议，召集人应当自通过之日起5日内报中国证监会备案。基金份额持有人大会的决议自表决通过之日起生效。法律法规另有规定的，从其规定。</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基金管理人、基金托管人和基金份额持有人应当执行生效的基金份额持有人大会的决议。生效的基金份额持有人大会决议对全体基金份额持有人、基金管理人、基金托管人均有约束力。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9、本部分对基金份额持有人大会召开事由、召开条件、议事程序、表决条件等规定，凡是直接引用法律法规</w:t>
      </w:r>
      <w:r>
        <w:rPr>
          <w:rFonts w:hint="eastAsia" w:ascii="Times New Roman" w:hAnsi="Times New Roman"/>
          <w:bCs/>
          <w:sz w:val="24"/>
        </w:rPr>
        <w:t>或监管规则</w:t>
      </w:r>
      <w:r>
        <w:rPr>
          <w:rFonts w:ascii="Times New Roman" w:hAnsi="Times New Roman"/>
          <w:sz w:val="24"/>
        </w:rPr>
        <w:t>的部分，如将来法律法规</w:t>
      </w:r>
      <w:r>
        <w:rPr>
          <w:rFonts w:hint="eastAsia" w:ascii="Times New Roman" w:hAnsi="Times New Roman"/>
          <w:bCs/>
          <w:sz w:val="24"/>
        </w:rPr>
        <w:t>或监管规则</w:t>
      </w:r>
      <w:r>
        <w:rPr>
          <w:rFonts w:ascii="Times New Roman" w:hAnsi="Times New Roman"/>
          <w:sz w:val="24"/>
        </w:rPr>
        <w:t>修改导致相关内容被取消或变更的，基金管理人经与基金托管人协商一致并提前公告后，可直接对本部分内容进行修改和调整。</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（三）基金合同解除和终止的事由、程序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1、《基金合同》的变更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w:t>
      </w:r>
      <w:r>
        <w:rPr>
          <w:rFonts w:hint="eastAsia" w:ascii="Times New Roman" w:hAnsi="Times New Roman"/>
          <w:sz w:val="24"/>
        </w:rPr>
        <w:t>按规定</w:t>
      </w:r>
      <w:r>
        <w:rPr>
          <w:rFonts w:ascii="Times New Roman" w:hAnsi="Times New Roman"/>
          <w:sz w:val="24"/>
        </w:rPr>
        <w:t>报中国证监会备案。</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（2）关于《基金合同》变更的基金份额持有人大会决议自生效后方可执行，自决议生效后依照《信息披露办法》的规定在规定媒介公告。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2、《基金合同》的终止事由</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有下列情形之一的，经履行相关程序后，《基金合同》应当终止：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（1）基金份额持有人大会决定终止的；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（2）基金管理人、基金托管人职责终止，在6个月内没有新基金管理人、新基金托管人承接的；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出现标的指数不符合要求（不包括因成份股价格波动等指数编制方法变动之外的因素致使标的指数不符合要求的情形）、指数编制机构退出等情形，基金管理人召集基金份额持有人大会对解决方案进行表决，基金份额持有人大会未成功召开或就上述事项表决未通过的；</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（4）《基金合同》约定的其他情形；</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（5）相关法律法规和中国证监会规定的其他情况。</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3、基金财产的清算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（2）基金财产清算小组组成：基金财产清算小组成员由基金管理人、基金托管人、</w:t>
      </w:r>
      <w:r>
        <w:rPr>
          <w:rFonts w:ascii="Times New Roman" w:hAnsi="Times New Roman"/>
          <w:bCs/>
          <w:sz w:val="24"/>
        </w:rPr>
        <w:t>符合《中华人民共和国证券法》规定</w:t>
      </w:r>
      <w:r>
        <w:rPr>
          <w:rFonts w:ascii="Times New Roman" w:hAnsi="Times New Roman"/>
          <w:sz w:val="24"/>
        </w:rPr>
        <w:t>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（4）基金财产清算程序：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1）《基金合同》终止情形出现时，由基金财产清算小组统一接管基金</w:t>
      </w:r>
      <w:r>
        <w:rPr>
          <w:rFonts w:hint="eastAsia" w:ascii="Times New Roman" w:hAnsi="Times New Roman"/>
          <w:sz w:val="24"/>
        </w:rPr>
        <w:t>财产</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2）对基金财产和债权债务进行清理和确认；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3）对基金财产进行估值和变现；</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4）制作清算报告；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5）聘请会计师事务所对清算报告进行外部审计，聘请律师事务所对清算报告出具法律意见书；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7）对基金剩余财产进行分配。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（5）基金财产清算的期限为6个月，但因本基金所持证券的流动性受到限制而不能及时变现的，清算期限相应顺延。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4、清算费用</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清算费用是指基金财产清算小组在进行基金</w:t>
      </w:r>
      <w:r>
        <w:rPr>
          <w:rFonts w:hint="eastAsia" w:ascii="宋体" w:hAnsi="宋体"/>
          <w:sz w:val="24"/>
        </w:rPr>
        <w:t>财产</w:t>
      </w:r>
      <w:r>
        <w:rPr>
          <w:rFonts w:ascii="Times New Roman" w:hAnsi="Times New Roman"/>
          <w:sz w:val="24"/>
        </w:rPr>
        <w:t>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5、基金财产清算剩余资产的分配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6、基金财产清算的公告</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清算过程中的有关重大事项须及时公告；基金财产清算报告经</w:t>
      </w:r>
      <w:r>
        <w:rPr>
          <w:rFonts w:hint="eastAsia" w:ascii="Times New Roman" w:hAnsi="Times New Roman"/>
          <w:bCs/>
          <w:sz w:val="24"/>
        </w:rPr>
        <w:t>符合《中华人民共和国证券法》规定的</w:t>
      </w:r>
      <w:r>
        <w:rPr>
          <w:rFonts w:ascii="Times New Roman" w:hAnsi="Times New Roman"/>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ascii="Times New Roman" w:hAnsi="Times New Roman"/>
          <w:sz w:val="24"/>
        </w:rPr>
        <w:t>，基金财产清算小组应当将清算报告登载在规定网站上，并将清算报告提示性公告登载在规定报刊上</w:t>
      </w:r>
      <w:r>
        <w:rPr>
          <w:rFonts w:ascii="Times New Roman" w:hAnsi="Times New Roman"/>
          <w:sz w:val="24"/>
        </w:rPr>
        <w:t>。</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7、基金财产清算账册及文件的保存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基金财产清算账册及有关文件由基金托管人保存</w:t>
      </w:r>
      <w:r>
        <w:rPr>
          <w:rFonts w:hint="eastAsia" w:ascii="Times New Roman" w:hAnsi="Times New Roman"/>
          <w:bCs/>
          <w:sz w:val="24"/>
        </w:rPr>
        <w:t>不低于法律法规规定的最低期限</w:t>
      </w:r>
      <w:r>
        <w:rPr>
          <w:rFonts w:ascii="Times New Roman" w:hAnsi="Times New Roman"/>
          <w:sz w:val="24"/>
        </w:rPr>
        <w:t>。</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（四）争议解决方式</w:t>
      </w:r>
    </w:p>
    <w:p>
      <w:pPr>
        <w:autoSpaceDE w:val="0"/>
        <w:autoSpaceDN w:val="0"/>
        <w:adjustRightInd w:val="0"/>
        <w:snapToGrid w:val="0"/>
        <w:spacing w:line="360" w:lineRule="auto"/>
        <w:ind w:firstLine="482" w:firstLineChars="200"/>
        <w:jc w:val="left"/>
        <w:rPr>
          <w:rFonts w:ascii="Times New Roman" w:hAnsi="Times New Roman"/>
          <w:b/>
          <w:bCs/>
          <w:sz w:val="24"/>
        </w:rPr>
      </w:pPr>
      <w:r>
        <w:rPr>
          <w:rFonts w:hint="eastAsia" w:ascii="Times New Roman" w:hAnsi="Times New Roman"/>
          <w:b/>
          <w:bCs/>
          <w:sz w:val="24"/>
        </w:rPr>
        <w:t>各方当事人同意，因《基金合同》而产生的或与《基金合同》有关的一切争议，如经友好协商未能解决的，任何一方均有权将争议提交上海仲裁委员会仲裁，根据上海仲裁委员会届时有效的仲裁规则进行仲裁，仲裁的地点为上海市。仲裁裁决是终局的，对各方当事人均有约束力，除非仲裁裁决另有规定，仲裁费由败诉方承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争议处理期间，基金合同当事人应恪守各自的职责，继续忠实、勤勉、尽责地履行基金合同规定的义务，维护基金份额持有人的合法权益。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《基金合同》受中国法律（为本基金合同之目的，不含港澳台地区法律）管辖并从其解释。</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（五）基金合同存放</w:t>
      </w:r>
      <w:r>
        <w:rPr>
          <w:rFonts w:hint="eastAsia" w:ascii="Times New Roman" w:hAnsi="Times New Roman"/>
          <w:b/>
          <w:sz w:val="24"/>
        </w:rPr>
        <w:t>地</w:t>
      </w:r>
      <w:r>
        <w:rPr>
          <w:rFonts w:ascii="Times New Roman" w:hAnsi="Times New Roman"/>
          <w:b/>
          <w:sz w:val="24"/>
        </w:rPr>
        <w:t>及投资者取得基金合同的方式</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《基金合同》正本一式三份，除上报有关监管机构一份外，基金管理人、基金托管人各持有一份，每份具有同等的法律效力。</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《基金合同》可印制成册，供投资者在基金管理人、基金托管人、销售机构的办公场所和营业场所查阅</w:t>
      </w:r>
      <w:r>
        <w:rPr>
          <w:rFonts w:hint="eastAsia" w:ascii="Times New Roman" w:hAnsi="Times New Roman"/>
          <w:bCs/>
          <w:sz w:val="24"/>
        </w:rPr>
        <w:t>，但应以《基金合同》正本为准</w:t>
      </w:r>
      <w:r>
        <w:rPr>
          <w:rFonts w:ascii="Times New Roman" w:hAnsi="Times New Roman"/>
          <w:sz w:val="24"/>
        </w:rPr>
        <w:t>。</w:t>
      </w:r>
      <w:bookmarkEnd w:id="63"/>
      <w:bookmarkEnd w:id="64"/>
      <w:bookmarkEnd w:id="68"/>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bookmarkEnd w:id="67"/>
    <w:p>
      <w:pPr>
        <w:pStyle w:val="2"/>
        <w:snapToGrid w:val="0"/>
        <w:spacing w:before="240" w:beforeLines="0" w:after="240"/>
        <w:rPr>
          <w:rFonts w:ascii="Times New Roman" w:hAnsi="Times New Roman"/>
          <w:szCs w:val="30"/>
        </w:rPr>
      </w:pPr>
      <w:bookmarkStart w:id="69" w:name="_Toc208562038"/>
      <w:bookmarkStart w:id="70" w:name="_Hlk208052605"/>
      <w:r>
        <w:rPr>
          <w:rFonts w:ascii="Times New Roman" w:hAnsi="Times New Roman"/>
          <w:sz w:val="30"/>
        </w:rPr>
        <w:t>二十</w:t>
      </w:r>
      <w:r>
        <w:rPr>
          <w:rFonts w:hint="eastAsia" w:ascii="Times New Roman" w:hAnsi="Times New Roman"/>
          <w:sz w:val="30"/>
        </w:rPr>
        <w:t>一</w:t>
      </w:r>
      <w:r>
        <w:rPr>
          <w:rFonts w:ascii="Times New Roman" w:hAnsi="Times New Roman"/>
          <w:sz w:val="30"/>
        </w:rPr>
        <w:t>、托管协议的内容摘要</w:t>
      </w:r>
      <w:bookmarkEnd w:id="69"/>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（一）</w:t>
      </w:r>
      <w:r>
        <w:rPr>
          <w:rFonts w:hint="eastAsia" w:ascii="Times New Roman" w:hAnsi="Times New Roman"/>
          <w:b/>
          <w:sz w:val="24"/>
        </w:rPr>
        <w:t>基金</w:t>
      </w:r>
      <w:r>
        <w:rPr>
          <w:rFonts w:ascii="Times New Roman" w:hAnsi="Times New Roman"/>
          <w:b/>
          <w:sz w:val="24"/>
        </w:rPr>
        <w:t>托管协议当事人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1、基金管理人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名称：交银施罗德基金管理有限公司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住所：中国（上海）自由贸易试验区银城中路188号交通银行大楼二层（裙）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办公地址：上海市浦东新区世纪大道8号国金中心二期21-22楼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法定代表人：张宏良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成立时间：2005年8月4日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批准设立机关及批准设立文号：中国证监会证监基金字[2005]128号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 xml:space="preserve">注册资本：2亿元人民币 </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 xml:space="preserve">组织形式：有限责任公司 </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存续期间：持续经营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名称：国泰海通证券股份有限公司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住所：中国（上海）自由贸易试验区商城路618号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办公地址：上海市静安区新闸路669号19楼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法定代表人：朱健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成立时间：1999年8月18日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批准设立机关及批准设立文号：中国证监会证监机构字[1999]77号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组织形式：其他股份有限公司（上市）</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注册资本：人民币17,629,708,696元整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存续期间：持续经营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基金托管业务批准文号：中国证监会证监许可[2014]511号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联系人：丛艳</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 xml:space="preserve">联系电话：021-38677336 </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（二）基金托管人对基金管理人的业务监督和核查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1、基金托管人对基金管理人的投资行为行使监督权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（1）基金托管人根据有关法律法规的规定及《基金合同》和本协议的约定，对基金的投资范围、投资对象进行监督。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的投资范围为具有良好流动性的金融工具，包括中证智选沪深港科技50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本基金可根据法律法规的规定参与融资及转融通证券出借业务。未来在法律法规允许的前提下，本基金可根据相关法律法规规定参与融券业务。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如法律法规或监管机构以后允许基金投资其他品种，基金管理人在履行适当程序后，可以将其纳入投资范围。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的投资组合比例为：本基金投资于中证智选沪深港科技50指数成份股（含存托凭证）及备选成份股（含存托凭证）的比例不低于基金资产净值的90%且不低于非现金基金资产的80%，因法律法规的规定而受限制的情形除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如果法律法规或中国证监会变更投资品种的投资比例限制，基金管理人在履行适当程序后，可以调整上述投资品种的投资比例。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（2）基金托管人根据有关法律法规的规定及《基金合同》和本协议的约定，对基金投资、融资比例进行监督。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根据《基金合同》的约定，本基金投资组合比例应符合以下规定：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1）本基金投资于中证智选沪深港科技50指数成份股（含存托凭证）及备选成份股（含存托凭证）的比例不低于基金资产净值的90%且不低于非现金基金资产的80%；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2）本基金投资于同一原始权益人的各类资产支持证券的比例，不得超过基金资产净值的10％；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）本基金持有的全部资产支持证券，其市值不得超过基金资产净值的20％；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）本基金持有的同一（指同一信用级别）资产支持证券的比例，不得超过该资产支持证券规模的10％；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5</w:t>
      </w:r>
      <w:r>
        <w:rPr>
          <w:rFonts w:hint="eastAsia" w:ascii="Times New Roman" w:hAnsi="Times New Roman"/>
          <w:sz w:val="24"/>
        </w:rPr>
        <w:t>）本基金管理人管理的全部基金投资于同一原始权益人的各类资产支持证券，不得超过其各类资产支持证券合计规模的10％；</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）本基金应投资于信用级别评级为BBB以上（含BBB）的资产支持证券。基金持有资产支持证券期间，如果其信用等级下降、不再符合投资标准，应在评级报告发布之日起3个月内予以全部卖出；</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7</w:t>
      </w:r>
      <w:r>
        <w:rPr>
          <w:rFonts w:hint="eastAsia" w:ascii="Times New Roman" w:hAnsi="Times New Roman"/>
          <w:sz w:val="24"/>
        </w:rPr>
        <w:t>）基金财产参与股票发行申购，本基金所申报的金额不超过本基金的总资产，本基金所申报的股票数量不超过拟发行股票公司本次发行股票的总量；</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8</w:t>
      </w:r>
      <w:r>
        <w:rPr>
          <w:rFonts w:hint="eastAsia" w:ascii="Times New Roman" w:hAnsi="Times New Roman"/>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9</w:t>
      </w:r>
      <w:r>
        <w:rPr>
          <w:rFonts w:hint="eastAsia" w:ascii="Times New Roman" w:hAnsi="Times New Roman"/>
          <w:sz w:val="24"/>
        </w:rPr>
        <w:t>）本基金与私募类证券资管产品及中国证监会认定的其他主体为交易对手开展逆回购交易的，可接受质押品的资质要求应当与基金合同约定的投资范围保持一致；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0</w:t>
      </w:r>
      <w:r>
        <w:rPr>
          <w:rFonts w:hint="eastAsia" w:ascii="Times New Roman" w:hAnsi="Times New Roman"/>
          <w:sz w:val="24"/>
        </w:rPr>
        <w:t>）本基金资产总值不超过基金资产净值的140%；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1</w:t>
      </w:r>
      <w:r>
        <w:rPr>
          <w:rFonts w:hint="eastAsia" w:ascii="Times New Roman" w:hAnsi="Times New Roman"/>
          <w:sz w:val="24"/>
        </w:rPr>
        <w:t>）本基金参与股指期货交易，则：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①本基金在任何交易日日终，持有的买入股指期货合约价值，不得超过基金资产净值的10%；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③本基金在任何交易日日终，持有的卖出股指期货合约价值不得超过基金持有的股票总市值的20%；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④本基金所持有的股票市值和买入、卖出股指期货合约价值，合计（轧差计算）应当符合基金合同关于股票投资比例的有关约定；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⑤本基金在任何交易日内交易（不包括平仓）的股指期货合约的成交金额不得超过上一交易日基金资产净值的20%；</w:t>
      </w:r>
    </w:p>
    <w:p>
      <w:pPr>
        <w:spacing w:line="360" w:lineRule="auto"/>
        <w:ind w:firstLine="480" w:firstLineChars="200"/>
        <w:rPr>
          <w:bCs/>
          <w:sz w:val="24"/>
        </w:rPr>
      </w:pPr>
      <w:r>
        <w:rPr>
          <w:rFonts w:hint="eastAsia"/>
          <w:bCs/>
          <w:sz w:val="24"/>
        </w:rPr>
        <w:t>⑥本基金每个交易日日终在扣除股指期货合约需缴纳的交易保证金后，本基金应当保持不低于交易保证金一倍的现金；</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2</w:t>
      </w:r>
      <w:r>
        <w:rPr>
          <w:rFonts w:hint="eastAsia" w:ascii="Times New Roman" w:hAnsi="Times New Roman"/>
          <w:sz w:val="24"/>
        </w:rPr>
        <w:t>）本基金参与融资业务后，每个交易日日终，本基金持有的融资买入股票与其他有价证券市值之和，不得超过基金资产净值的95%；</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3</w:t>
      </w:r>
      <w:r>
        <w:rPr>
          <w:rFonts w:hint="eastAsia" w:ascii="Times New Roman" w:hAnsi="Times New Roman"/>
          <w:sz w:val="24"/>
        </w:rPr>
        <w:t>）本基金参与转融通证券出借业务，需遵守下列投资限制：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①出借证券资产不得超过基金资产净值的30%，出借期限在10个交易日以上的出借证券应纳入《流动性风险管理规定》所述流动性受限证券的范围；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②参与出借业务的单只证券不得超过本基金持有该证券总量的</w:t>
      </w:r>
      <w:r>
        <w:rPr>
          <w:rFonts w:ascii="Times New Roman" w:hAnsi="Times New Roman"/>
          <w:sz w:val="24"/>
        </w:rPr>
        <w:t>3</w:t>
      </w:r>
      <w:r>
        <w:rPr>
          <w:rFonts w:hint="eastAsia" w:ascii="Times New Roman" w:hAnsi="Times New Roman"/>
          <w:sz w:val="24"/>
        </w:rPr>
        <w:t>0%；</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③最近6个月内日均基金资产净值不得低于2亿元；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④证券出借的平均剩余期限不得超过30天，平均剩余期限按照市值加权平均计算；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因证券市场波动、上市公司合并、基金规模变动等基金管理人之外的因素致使基金投资不符合上述规定的，基金管理人不得新增出借业务；</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14</w:t>
      </w:r>
      <w:r>
        <w:rPr>
          <w:rFonts w:hint="eastAsia" w:ascii="Times New Roman" w:hAnsi="Times New Roman"/>
          <w:sz w:val="24"/>
        </w:rPr>
        <w:t>）本基金投资存托凭证的比例限制依照境内上市交易的股票执行；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w:t>
      </w:r>
      <w:r>
        <w:rPr>
          <w:rFonts w:ascii="Times New Roman" w:hAnsi="Times New Roman"/>
          <w:sz w:val="24"/>
        </w:rPr>
        <w:t>5</w:t>
      </w:r>
      <w:r>
        <w:rPr>
          <w:rFonts w:hint="eastAsia" w:ascii="Times New Roman" w:hAnsi="Times New Roman"/>
          <w:sz w:val="24"/>
        </w:rPr>
        <w:t>）法律法规及中国证监会规定的和《基金合同》约定的其他投资限制。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除上述</w:t>
      </w:r>
      <w:r>
        <w:rPr>
          <w:rFonts w:ascii="Times New Roman" w:hAnsi="Times New Roman"/>
          <w:sz w:val="24"/>
        </w:rPr>
        <w:t>6</w:t>
      </w:r>
      <w:r>
        <w:rPr>
          <w:rFonts w:hint="eastAsia" w:ascii="Times New Roman" w:hAnsi="Times New Roman"/>
          <w:sz w:val="24"/>
        </w:rPr>
        <w:t>）、</w:t>
      </w:r>
      <w:r>
        <w:rPr>
          <w:rFonts w:ascii="Times New Roman" w:hAnsi="Times New Roman"/>
          <w:sz w:val="24"/>
        </w:rPr>
        <w:t>8</w:t>
      </w:r>
      <w:r>
        <w:rPr>
          <w:rFonts w:hint="eastAsia" w:ascii="Times New Roman" w:hAnsi="Times New Roman"/>
          <w:sz w:val="24"/>
        </w:rPr>
        <w:t>）、</w:t>
      </w:r>
      <w:r>
        <w:rPr>
          <w:rFonts w:ascii="Times New Roman" w:hAnsi="Times New Roman"/>
          <w:sz w:val="24"/>
        </w:rPr>
        <w:t>9</w:t>
      </w:r>
      <w:r>
        <w:rPr>
          <w:rFonts w:hint="eastAsia" w:ascii="Times New Roman" w:hAnsi="Times New Roman"/>
          <w:sz w:val="24"/>
        </w:rPr>
        <w:t>）、1</w:t>
      </w:r>
      <w:r>
        <w:rPr>
          <w:rFonts w:ascii="Times New Roman" w:hAnsi="Times New Roman"/>
          <w:sz w:val="24"/>
        </w:rPr>
        <w:t>3</w:t>
      </w:r>
      <w:r>
        <w:rPr>
          <w:rFonts w:hint="eastAsia" w:ascii="Times New Roman" w:hAnsi="Times New Roman"/>
          <w:sz w:val="24"/>
        </w:rPr>
        <w:t>）情形之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法律法规或监管部门取消或变更上述限制，如适用于本基金，基金管理人在履行适当程序后，则本基金投资不再受相关限制或以变更后的规定为准。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基金托管人依照上述规定对本基金的投资组合限制及调整期限进行监督。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（3）基金托管人根据有关法律、法规的规定及基金合同和本协议的约定，对基金投资禁止行为进行监督。基金财产不得用于下列投资或者活动。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1）承销证券；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2）违反规定向他人贷款或者提供担保；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3）从事承担无限责任的投资；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4）买卖其他基金份额，但是中国证监会另有规定的除外；</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5）向其基金管理人、基金托管人出资；</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6）从事内幕交易、操纵证券交易价格及其他不正当的证券交易活动；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7）法律、行政法规和中国证监会规定禁止的其他活动。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如法律、行政法规或监管部门取消或变更上述规定，如适用于本基金，基金管理人在履行适当程序后，本基金可不受上述规定的限制或以变更后的规定为准。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并负责及时将更新后的名单发送给对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（4）基金托管人根据有关法律、法规规定及基金合同和本协议约定，对基金管理人参与银行间债券市场进行监督。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基金托管人依据有关法律、法规规定和《基金合同》约定对基金管理人参与银行间债券市场交易时面临的交易对手资信风险进行监督。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在基金投资运作之前向基金托管人提供符合法律、法规及行业标准的、经慎重选择的、本基金适用的银行间债券市场交易对手的名单。基金管理人应严格按照交易对手名单的范围在银行间债券市场选择交易对手，如基金管理人在基金投资运作之前未向基金托管人提供银行间债券市场交易对手名单的，视为基金管理人认可全市场交易对手。基金托管人监督基金管理人是否按事前提供的银行间债券市场交易对手名单进行交易。</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基金管理人可以定期（每半年）和不定期对银行间债券市场现券及回购交易对手的名单进行更新。新名单生效前已与本次剔除的交易对手所进行但尚未结算的交易，仍应按照协议进行结算。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参与银行间债券市场交易时，应按银行间债券市场的交易规则进行交易，并有责任控制交易对手的资信风险，由于交易对手资信风险引起的损失,基金管理人应当负责向相关责任人追偿。基金托管人不承担由此造成的相应法律责任及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如基金托管人事后发现基金管理人没有按照事先约定的交易对手进行交易时，基金托管人应及时提醒基金管理人，但基金托管人不承担由此造成的相应损失和责任。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（5）基金托管人根据有关法律、法规的规定及基金合同和本协议的约定，对基金管理人选择存款银行进行监督。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基金投资银行定期存款的，基金管理人应根据法律、法规的规定及基金合同的约定选择存款银行。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本基金投资银行存款应符合如下规定：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1）基金管理人、基金托管人应当与存款银行建立定期对账机制，确保基金银行存款业务账目及核算的真实、准确。</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2）基金托管人应加强对基金银行存款业务的监督与核查，严格审查、复核相关协议、账户资料、投资指令、存款证实书等有关文件，切实履行托管职责。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3）基金管理人与基金托管人在开展基金存款业务时，应严格遵守《基金法》、《运作办法》等有关法律、法规，以及国家有关账户管理、利率管理、支付结算等的各项规定。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 xml:space="preserve">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    </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（6）基金托管人根据有关法律法规的规定及《基金合同》的约定，对基金管理人投资流通受限证券进行监督。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1）基金投资流通受限证券，应遵守《关于基金投资非公开发行股票等流通受限证券有关问题的通知》等有关法律法规规定。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流通受限证券与上文所述的流动性受限资产并不完全一致，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应保证本基金投资的流通受限证券登记存管在本基金名下，并确保基金托管人能够正常查询。因基金管理人原因产生的流通受限证券登记存管问题，造成基金托管人无法安全保管本基金资产的责任与损失，及基金财产的损失，由基金管理人承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在投资非公开发行股票之前，基金管理人应提前向基金托管人提供有关流通受限证券的相关信息，具体应当包括但不限于如下文件（如有）：基金拟认购的数量、价格、总成本、划款账号、划款金额、划款时间文件等。基金管理人应保证上述信息的真实、完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相应责任，并有权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8）基金托管人根据有关规定有权对基金管理人进行以下事项监督：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①本基金投资流通受限证券时的法律法规遵守情况。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②在基金投资流通受限证券管理工作方面有关制度、流动性风险处置预案的建立与完善情况。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③有关比例限制的执行情况。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④信息披露情况。</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9）相关法律法规对基金投资流通受限证券有新规定的，从其规定。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（7）基金托管人根据有关法律、法规的规定及基金合同和本协议的约定，对基金管理人基金禁投池进行监督。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基金管理人可以向基金托管人提供基金禁投池清单。基金管理人可以定期和不定期对基金禁投池清单进行更新。新清单生效前基金托管人仍按原禁投池清单进行监督。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基金管理人超越名单范围进行投资的，基金托管人应及时提醒基金管理人，但基金托管人不承担由此造成的相应损失和责任。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（8）基金托管人对基金管理人转融通证券出借业务进行监督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运用基金财产参与出借业务，应当遵守审慎经营原则，配备技术系统和专业人员，制定科学合理的投资策略和风险管理制度，完善业务流程，有效防范和控制风险，基金托管人将对基金参与出借业务进行监督和复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应根据有关法律、法规的规定及基金合同的约定，对基金资产净值计算、基金份额净值计算、基金费用开支及收入确认、基金收益分配、相关信息披露、基金宣传推介材料中登载基金业绩表现数据等进行监督和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应积极配合和协助基金托管人的监督和核查，在规定时间内答复并改正，就基金托管人的合理疑义进行解释或举证。对基金托管人按照法规要求需向中国证监会报送基金监督报告的，基金管理人应积极配合提供相关数据资料和制度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有权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若基金托管人发现基金管理人依据交易程序已经生效的指令违反法律、行政法规和其他有关规定，或者违反《基金合同》约定的，应当立即通知基金管理人，并报告中国证监会。</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发现基金管理人有重大违规行为，应及时报告中国证监会，同时通知基金管理人限期纠正，并有权将纠正结果报告中国证监会。基金管理人无正当理由，拒绝、阻挠对方根据本托管协议规定行使监督权，或采取拖延、欺诈等手段妨碍对方进行有效监督，情节严重或经基金托管人提出警告仍不改正的，基金托管人有权报告中国证监会。</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（三）基金管理人对基金托管人的业务核查</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根据《基金法》及其他有关法规、《基金合同》和本协议规定，基金管理人对基金托管人履行托管职责的情况进行核查，核查事项包括但不限于基金托管人是否安全保管基金财产，是否开立基金财产的托管账户、证券账户、债券托管账户等投资所需账户，是否协助提供开立股指期货业务相关账户及交易编码的基金托管人相关信息，是否及时、准确复核基金管理人计算的基金资产净值和基金份额净值，是否根据基金管理人指令办理清算交收，是否按照法规规定和《基金合同》规定进行相关信息披露和监督基金投资运作等行为。</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以定期（每半年）和不定期地对基金托管人保管的基金资产进行核查。基金托管人应积极配合基金管理人的核查行为，包括但不限于：提交相关资料以供基金管理人核查基金财产的完整性和真实性，在规定时间内答复并改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在下一工作日及时核对并以书面形式对基金管理人发出回函，说明违规原因及纠正期限，并保证在规定期限内及时改正。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发现基金托管人有重大违规行为，应立即报告中国证监会，同时通知基金托管人在限期内纠正。基金托管人无正当理由，拒绝、阻挠对方根据本协议规定行使监督权，或采取拖延、欺诈等手段妨碍对方进行有效监督，情节严重或经基金管理人提出警告仍不改正的，基金管理人应报告中国证监会。</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（四）基金财产的保管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1、基金财产保管的原则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（1）基金托管人应安全保管基金财产，未经基金管理人的指令，不得自行运用、处分、分配基金的任何资产，非因基金财产本身承担的债务，不得对基金财产强制执行。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财产应独立于基金管理人、基金托管人的固有财产。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（3）基金托管人按照规定开立基金财产的托管账户、证券账户、债券托管账户等投资所需账户。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（4）基金托管人对所托管的不同基金财产分别设置账户，与基金托管人的其他业务和其他基金的托管业务实行严格的分账管理，独立核算，确保基金财产的完整和独立。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予以必要的配合与协助，但不承担相应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（6）除依据法律法规和《基金合同》的规定外，基金托管人不得委托第三人托管基金财产。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2、基金合同生效时募集资产的验证</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基金募集期间募集的资金应存于在具有托管资格的商业银行开设的基金募集专用账户。该账户由基金管理人开立并管理。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募集期满或基金停止募集时，募集的基金份额总额、基金募集金额（含网下股票认购所募集的股票市值）、基金份额持有人人数符合《基金法》、《运作办法》等有关规定后，基金管理人应将属于基金财产的全部资金划入基金银行存款账户，同时在规定时间内，聘请符合《中华人民共和国证券法》规定的会计师事务所进行验资，出具验资报告。出具的验资报告由参加验资的2 名或2名以上中国注册会计师签字方为有效。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若基金募集期限届满，未能达到基金备案的条件，由基金管理人按规定办理相关资金退还等事宜，基金托管人应提供充分协助。</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3、基金的银行存款账户的开立和管理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（1）基金托管人应负责本基金银行存款账户（即托管账户）的开立和管理。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在具有证券投资基金托管资格的商业银行开立基金的银行存款账户，并根据中国人民银行规定计息，根据基金管理人合法合规的指令办理资金收付。本基金的银行预留印鉴由基金托管人制作、保管和使用。本基金的一切货币收支活动，包括但不限于投资、支付赎回对价的现金部分、支付基金收益、收取申购款项，均需通过本基金的银行存款账户进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（4）基金托管人可以通过本基金银行存款账户的企业网上银行（简称“网银”）等方式进行资金支付，并使用网银等方式办理托管资产的资金结算汇划业务。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（5）基金银行存款账户的管理应符合法律、法规以及银行业监督管理机构的其他规定。</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4</w:t>
      </w:r>
      <w:r>
        <w:rPr>
          <w:rFonts w:hint="eastAsia" w:ascii="Times New Roman" w:hAnsi="Times New Roman"/>
          <w:sz w:val="24"/>
        </w:rPr>
        <w:t>、基金的证券账户和证券交易资金账户的开立和管理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基金托管人为本基金在中国证券登记结算有限责任公司（以下简称“中登公司”）开立证券账户。</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为基金财产在证券经纪机构开立证券交易资金账户，用于基金财产证券交易结算资金的存管、记载交易结算资金的变动明细以及场内证券交易清算。基金托管人和基金管理人不得出借或转让证券账户、证券交易资金账户，亦不得使用证券账户或证券交易资金账户进行本基金业务以外的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5、债券托管账户的开立和管理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合同生效后，基金托管人负责在中央国债登记结算有限责任公司及银行间市场清算所股份有限公司以本基金的名义开立债券托管账户和资金结算账户，并由基金托管人负责基金的债券及资金的清算。基金管理人代表基金签订全国银行间债券市场债券回购主协议。</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6、期货的相关账户的开立和管理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基金管理人应当按照相关规定开立期货账户及交易编码。期货账户名称及交易编码对应名称应按照有关规定设立。基金托管人和基金管理人应当在开户过程中相互配合，并提供所需资料。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7、基金投资银行存款账户的开立和管理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存款账户名称应为基金名称（具体名称以实际开立为准），存款账户开户文件中的预留印鉴须包含基金托管人印章。</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本基金投资银行存款时，基金管理人应当与存款银行签订具体存款协议或存款确认单据，明确存款的类型、期限、利率、金额、账号、对账方式、支取方式、存款到期指定收款账户等细则。</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为防范特殊情况下的流动性风险，定期存款协议中应当约定提前支取条款。</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8、其他账户的开立和管理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若中国证监会或其他监管机构在本托管协议订立日之后允许基金从事其他投资品种的投资业务，涉及相关账户的开立、使用的，根据有关法律、法规的规定和《基金合同》的约定，基金管理与基金托管人协商后开立有关账户。该账户按有关规则使用并管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法律法规等有关规定对相关账户的开立和管理另有规定的，从其规定办理。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9、基金财产投资的有关实物证券、银行存款定期存单等有价凭证的保管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实物证券由基金托管人存放于基金托管人或其他基金管理人与基金托管人协商一致的第三方机构的保管库，保管凭证由基金托管人持有。实物证券的购买和转让，由基金托管人根据基金管理人的指令办理。属于基金托管人实际有效控制下的实物证券等有价凭证在基金托管人保管期间的损坏、灭失，由此产生的责任应由基金托管人承担。基金托管人对由基金托管人以外机构实际有效控制的本基金资产不承担保管责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银行存款定期存单等有价凭证由基金托管人负责保管。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10、与基金财产有关的重大合同的保管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由基金管理人代表基金签署的与基金有关的重大合同的原件分别由基金托管人、基金管理人保管，相关业务程序另有限制除外。除本协议另有规定外，基金管理人在代表基金签署与基金有关的重大合同时应尽可能保证基金一方持有二份及以上的正本，以便基金管理人和基金托管人至少各持有一份正本的原件，基金管理人在合同签署后15个工作日内通过专人送达、挂号邮寄等安全方式将合同原件送达基金托管人处。合同的保管期限不低于法律法规规定的最低年限。</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对于无法取得二份以上的正本的，基金管理人应向基金托管人提供合同复印件，并在复印件上加盖公章，未经双方协商或未在合同约定范围内，合同原件不得转移。</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因基金管理人未按本协议约定及时向基金托管人送达重大合同原件或复印件导致的法律责任，基金托管人不予承担。</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（五）</w:t>
      </w:r>
      <w:r>
        <w:rPr>
          <w:rFonts w:hint="eastAsia" w:ascii="Times New Roman" w:hAnsi="Times New Roman"/>
          <w:b/>
          <w:sz w:val="24"/>
        </w:rPr>
        <w:t>基金资产净值计算和会计核算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1、基金资产净值及基金份额净值的计算与复核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基金资产净值是指基金资产总值减去基金负债后的价值。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每个工作日对基金资产估值，但基金管理人根据法律法规或基金合同的规定暂停估值时除外。估值原则应符合《基金合同》、《中国证券监督管理委员会关于证券投资基金估值业务的指导意见》及其他法律、法规的规定。基金资产净值和基金份额净值由基金管理人负责计算，基金托管人复核。基金管理人应于每个工作日交易结束后计算当日的基金资产净值和基金份额净值，以约定方式发送给基金托管人。基金托管人对净值计算结果复核后，将复核结果反馈给基金管理人，经基金托管人复核无误后，由基金管理人依据基金合同和相关法律法规的规定对基金份额净值予以公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2、基金资产的估值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基金管理人及基金托管人应当按照《基金合同》的约定进行估值。</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3</w:t>
      </w:r>
      <w:r>
        <w:rPr>
          <w:rFonts w:hint="eastAsia" w:ascii="Times New Roman" w:hAnsi="Times New Roman"/>
          <w:sz w:val="24"/>
        </w:rPr>
        <w:t>、基金份额净值错误的处理方式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基金管理人及基金托管人应当按照《基金合同》的约定处理基金份额净值错误。</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4、暂停估值的情形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（1）基金投资所涉及的证券/期货交易市场或外汇市场遇法定节假日或因其他原因暂停营业时；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（2）因不可抗力致使基金管理人、基金托管人无法准确评估基金资产价值时；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（3）当前一估值日基金资产净值50%以上的资产出现无可参考的活跃市场价格且采用估值技术仍导致公允价值存在重大不确定性时，经与基金托管人协商一致的，基金管理人应当暂停估值；</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（4）法律法规、中国证监会和基金合同认定的其它情形。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5、基金会计制度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按国家有关部门制定的会计制度执行。</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6</w:t>
      </w:r>
      <w:r>
        <w:rPr>
          <w:rFonts w:hint="eastAsia" w:ascii="Times New Roman" w:hAnsi="Times New Roman"/>
          <w:sz w:val="24"/>
        </w:rPr>
        <w:t>、基金账册的建立</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pPr>
        <w:autoSpaceDE w:val="0"/>
        <w:autoSpaceDN w:val="0"/>
        <w:adjustRightInd w:val="0"/>
        <w:snapToGrid w:val="0"/>
        <w:spacing w:line="360" w:lineRule="auto"/>
        <w:ind w:firstLine="480" w:firstLineChars="200"/>
        <w:jc w:val="left"/>
        <w:rPr>
          <w:rFonts w:ascii="Times New Roman" w:hAnsi="Times New Roman"/>
          <w:sz w:val="24"/>
        </w:rPr>
      </w:pPr>
      <w:r>
        <w:rPr>
          <w:rFonts w:ascii="Times New Roman" w:hAnsi="Times New Roman"/>
          <w:sz w:val="24"/>
        </w:rPr>
        <w:t>7</w:t>
      </w:r>
      <w:r>
        <w:rPr>
          <w:rFonts w:hint="eastAsia" w:ascii="Times New Roman" w:hAnsi="Times New Roman"/>
          <w:sz w:val="24"/>
        </w:rPr>
        <w:t>、会计数据和财务指标的核对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双方应每个交易日核对账目，如发现双方的账目存在不符的，基金管理人和基金托管人必须及时查明原因并纠正，确保核对一致。若当日核对不符，暂时无法查找到错账的原因而影响到基金净值的计算和公告的，以基金管理人的账册为准。</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8、基金财务报表、定期报告、基金招募说明书和基金产品资料概要的编制和复核</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务报表由基金管理人和基金托管人每月分别独立编制。月度报表的编制，应于每月结束后5个工作日内完成。定期报告文件应按中国证监会的要求公告。季度报表的编制，应于季度结束后15个工作日内完成。《基金合同》生效后，基金招募说明书和基金产品资料概要的信息发生重大变更的，基金管理人应当在三个工作日内，更新基金招募说明书和基金产品资料概要并登载在规定网站上，其中基金产品资料概要还需登载在基金销售机构网站或营业网点；基金招募说明书和基金产品资料概要其他信息发生变更的，基金管理人至少每年更新一次；基金终止运作的，基金管理人不再更新基金招募说明书和基金产品资料概要。基金管理人在上半年结束之日起两个月内完成中期报告编制并公告；在每年结束之日起三个月内完成年度报告编制并公告。如果基金合同生效不足2个月的，基金管理人可以不编制当期季度报告、中期报告或者年度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在月度报表完成当日，以约定方式将有关报表提供基金托管人；基金托管人在2个工作日内对有关基金财务报告等信息进行复核，并将复核结果反馈给基金管理人。对于季度报告、中期报告、年度报告等定期报告，基金管理人和基金托管人应在上述监管部门规定的时间内完成编制、复核及公告。基金托管人在对有关基金财务报告等信息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基金托管人在对财务报表、季度报告、中期报告或年度报告中有关基金财务报告等信息复核完毕后，可以出具复核确认书（盖章）或以其他双方约定的方式确认，以备有权机构对相关文件审核检查。</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（六）基金份额持有人名册的保管</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基金管理人可委托基金登记机构登记和保管基金份额持有人名册。基金份额持有人名册的内容包括但不限于基金份额持有人的名称和持有的基金份额。</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份额持有人名册，包括基金合同生效日的基金份额持有人名册、基金合同终止日的基金份额持有人名册、基金权益登记日的基金份额持有人名册、基金份额持有人大会权益登记日的基金份额持有人名册、每年最后一个交易日的基金份额持有人名册，由基金登记机构负责编制和保管，并对基金份额持有人名册的真实性、完整性和准确性负责。</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基金管理人应根据基金托管人的要求定期和不定期向基金托管人提供基金份额持有人名册。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1、基金管理人于《基金合同》生效日及《基金合同》终止日后10个工作日内向基金托管人提供由登记机构编制的基金份额持有人名册；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2、基金管理人于基金份额持有人大会权益登记日后5个工作日内向基金托管人提供由登记机构编制的基金份额持有人名册；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3、基金管理人于每年最后一个交易日后10个工作日内向基金托管人提供由登记机构编制的基金份额持有人名册；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4、除上述约定时间外，如果确因业务需要，基金托管人与基金管理人商议一致后，由基金管理人向基金托管人提供由登记机构编制的基金份额持有人名册。</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托管人以电子版形式妥善保管基金份额持有人名册，并定期刻成光盘备份，保存期限不低于法律法规规定的最低年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pPr>
        <w:autoSpaceDE w:val="0"/>
        <w:autoSpaceDN w:val="0"/>
        <w:adjustRightInd w:val="0"/>
        <w:snapToGrid w:val="0"/>
        <w:spacing w:line="360" w:lineRule="auto"/>
        <w:ind w:firstLine="482" w:firstLineChars="200"/>
        <w:jc w:val="left"/>
        <w:rPr>
          <w:rFonts w:ascii="Times New Roman" w:hAnsi="Times New Roman"/>
          <w:b/>
          <w:szCs w:val="24"/>
        </w:rPr>
      </w:pPr>
      <w:r>
        <w:rPr>
          <w:rFonts w:ascii="Times New Roman" w:hAnsi="Times New Roman"/>
          <w:b/>
          <w:sz w:val="24"/>
        </w:rPr>
        <w:t>（七）争议解决方式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双方当事人同意，因本协议而产生的或与本协议有关的一切争议，如经友好协商未能解决的，任何一方均有权将争议提交上海仲裁委员会仲裁，根据上海仲裁委员会届时有效的仲裁规则进行仲裁，仲裁的地点为上海市。仲裁裁决是终局的，对各方当事人均有约束力，除非仲裁裁决另有规定，仲裁费由败诉方承担。</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争议处理期间，双方当事人应恪守基金管理人和基金托管人职责，继续忠实、勤勉、尽责地履行《基金合同》和本协议规定的义务，维护基金份额持有人的合法权益。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本协议受中华人民共和国（为本托管协议之目的，不包括香港、澳门特别行政区及台湾地区）法律管辖。</w:t>
      </w:r>
    </w:p>
    <w:p>
      <w:pPr>
        <w:autoSpaceDE w:val="0"/>
        <w:autoSpaceDN w:val="0"/>
        <w:adjustRightInd w:val="0"/>
        <w:snapToGrid w:val="0"/>
        <w:spacing w:line="360" w:lineRule="auto"/>
        <w:ind w:firstLine="482" w:firstLineChars="200"/>
        <w:jc w:val="left"/>
        <w:rPr>
          <w:rFonts w:ascii="Times New Roman" w:hAnsi="Times New Roman"/>
          <w:b/>
          <w:sz w:val="24"/>
        </w:rPr>
      </w:pPr>
      <w:r>
        <w:rPr>
          <w:rFonts w:ascii="Times New Roman" w:hAnsi="Times New Roman"/>
          <w:b/>
          <w:sz w:val="24"/>
        </w:rPr>
        <w:t>（八）</w:t>
      </w:r>
      <w:r>
        <w:rPr>
          <w:rFonts w:hint="eastAsia" w:ascii="Times New Roman" w:hAnsi="Times New Roman"/>
          <w:b/>
          <w:sz w:val="24"/>
        </w:rPr>
        <w:t>基金托管协议的变更、终止与基金财产的清算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1、基金托管协议的变更</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本协议双方当事人经协商一致，可以对协议进行修改。修改后的新协议，其内容不得与《基金合同》的规定有任何冲突，并按规定报中国证监会备案。</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2、基金托管协议的终止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（1）《基金合同》终止；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（2）基金托管人解散、依法被撤销、破产，被依法取消基金托管资格或因其他事由造成其他基金托管人接管基金财产；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）基金管理人解散、依法被撤销、破产，被依法取消基金管理资格或因其他事由造成其他基金管理人接管基金管理权；</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（4）发生《基金法》、《销售办法》、《运作办法》或其他法律、法规规定的终止事项。</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3、基金财产的清算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（1）基金财产清算小组：自出现《基金合同》终止事由之日起30个工作日内成立清算小组，基金管理人组织基金财产清算小组并在中国证监会的监督下进行基金清算。</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w:t>
      </w:r>
      <w:r>
        <w:rPr>
          <w:rFonts w:ascii="Times New Roman" w:hAnsi="Times New Roman"/>
          <w:sz w:val="24"/>
        </w:rPr>
        <w:t>3</w:t>
      </w:r>
      <w:r>
        <w:rPr>
          <w:rFonts w:hint="eastAsia" w:ascii="Times New Roman" w:hAnsi="Times New Roman"/>
          <w:sz w:val="24"/>
        </w:rPr>
        <w:t>）基金财产清算小组职责：基金财产清算小组负责基金财产的保管、清理、估价、变现和分配。基金财产清算小组可以依法进行必要的民事活动。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（4）基金财产清算程序：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1）《基金合同》终止情形出现时，由基金财产清算小组统一接管基金财产；</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2）对基金财产和债权债务进行清理和确认；</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3）对基金财产进行估值和变现；</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4）制作清算报告；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5）聘请会计师事务所对清算报告进行外部审计，聘请律师事务所对清算报告出具法律意见书；</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6）将清算报告报中国证监会备案并公告；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7）对基金剩余财产进行分配。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（5）基金财产清算的期限为6个月，但因本基金所持证券的流动性受到限制而不能及时变现的，清算期限相应顺延。</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（6）清算费用</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清算费用是指基金财产清算小组在进行基金财产清算过程中发生的所有合理费用，清算费用由基金财产清算小组优先从基金财产中支付。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（7）基金财产清算剩余资产的分配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依据基金财产清算的分配方案，将基金财产清算后的全部剩余资产扣除基金财产清算费用、交纳所欠税款并清偿基金债务后，按基金份额持有人持有的基金份额比例进行分配。</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（8）基金财产清算的公告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（9）基金财产清算账册及文件的保存</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基金财产清算账册及有关文件由基金托管人保存不低于法律法规规定的最低期限。</w:t>
      </w:r>
    </w:p>
    <w:p>
      <w:pPr>
        <w:pStyle w:val="2"/>
        <w:snapToGrid w:val="0"/>
        <w:spacing w:before="240" w:beforeLines="0" w:after="240"/>
        <w:rPr>
          <w:rFonts w:ascii="Times New Roman" w:hAnsi="Times New Roman"/>
          <w:szCs w:val="30"/>
        </w:rPr>
      </w:pPr>
      <w:r>
        <w:rPr>
          <w:rFonts w:ascii="Times New Roman" w:hAnsi="Times New Roman"/>
          <w:sz w:val="30"/>
        </w:rPr>
        <w:br w:type="page"/>
      </w:r>
      <w:bookmarkEnd w:id="70"/>
      <w:bookmarkStart w:id="71" w:name="_Toc208562039"/>
      <w:r>
        <w:rPr>
          <w:rFonts w:ascii="Times New Roman" w:hAnsi="Times New Roman"/>
          <w:sz w:val="30"/>
        </w:rPr>
        <w:t>二十</w:t>
      </w:r>
      <w:r>
        <w:rPr>
          <w:rFonts w:hint="eastAsia" w:ascii="Times New Roman" w:hAnsi="Times New Roman"/>
          <w:sz w:val="30"/>
        </w:rPr>
        <w:t>二</w:t>
      </w:r>
      <w:r>
        <w:rPr>
          <w:rFonts w:ascii="Times New Roman" w:hAnsi="Times New Roman"/>
          <w:sz w:val="30"/>
        </w:rPr>
        <w:t>、对基金份额持有人的服务</w:t>
      </w:r>
      <w:bookmarkEnd w:id="71"/>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对本基金份额持有人的服务主要由基金管理人、发售代理机构以及申购赎回代</w:t>
      </w:r>
    </w:p>
    <w:p>
      <w:pPr>
        <w:autoSpaceDE w:val="0"/>
        <w:autoSpaceDN w:val="0"/>
        <w:adjustRightInd w:val="0"/>
        <w:snapToGrid w:val="0"/>
        <w:spacing w:line="360" w:lineRule="auto"/>
        <w:jc w:val="left"/>
        <w:rPr>
          <w:rFonts w:ascii="Times New Roman" w:hAnsi="Times New Roman"/>
          <w:sz w:val="24"/>
        </w:rPr>
      </w:pPr>
      <w:r>
        <w:rPr>
          <w:rFonts w:hint="eastAsia" w:ascii="Times New Roman" w:hAnsi="Times New Roman"/>
          <w:sz w:val="24"/>
        </w:rPr>
        <w:t>理券商提供。本基金管理人根据基金份额持有人的需要和市场的变化，有权增加或变更服务项目。主要服务内容如下：</w:t>
      </w:r>
      <w:r>
        <w:rPr>
          <w:rFonts w:ascii="Times New Roman" w:hAnsi="Times New Roman"/>
          <w:sz w:val="24"/>
        </w:rPr>
        <w:t xml:space="preserve"> </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投资人如果想查询基金</w:t>
      </w:r>
      <w:r>
        <w:rPr>
          <w:rFonts w:hint="eastAsia" w:ascii="Times New Roman" w:hAnsi="Times New Roman"/>
          <w:sz w:val="24"/>
        </w:rPr>
        <w:t>净值、相关公告、基金产品与服务等信息</w:t>
      </w:r>
      <w:r>
        <w:rPr>
          <w:rFonts w:ascii="Times New Roman" w:hAnsi="Times New Roman"/>
          <w:sz w:val="24"/>
        </w:rPr>
        <w:t>，请拨打本基金管理人客户服务电话（400-700-5000，021-61055000）或登录本基金管理人网站（www.fund001.com）进行咨询、查询。</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服务联系方式：</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本基金管理人的互联网地址及电子信箱</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网址：www.fund001.com</w:t>
      </w:r>
    </w:p>
    <w:p>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电子信箱：</w:t>
      </w:r>
      <w:r>
        <w:fldChar w:fldCharType="begin"/>
      </w:r>
      <w:r>
        <w:instrText xml:space="preserve"> HYPERLINK "mailto:services@jysld.com" </w:instrText>
      </w:r>
      <w:r>
        <w:fldChar w:fldCharType="separate"/>
      </w:r>
      <w:r>
        <w:rPr>
          <w:rStyle w:val="21"/>
          <w:rFonts w:hint="eastAsia" w:ascii="Times New Roman" w:hAnsi="Times New Roman"/>
          <w:sz w:val="24"/>
        </w:rPr>
        <w:t>services@jysld.com</w:t>
      </w:r>
      <w:r>
        <w:rPr>
          <w:rStyle w:val="21"/>
          <w:rFonts w:hint="eastAsia" w:ascii="Times New Roman" w:hAnsi="Times New Roman"/>
          <w:sz w:val="24"/>
        </w:rPr>
        <w:fldChar w:fldCharType="end"/>
      </w:r>
    </w:p>
    <w:p>
      <w:pPr>
        <w:autoSpaceDE w:val="0"/>
        <w:autoSpaceDN w:val="0"/>
        <w:adjustRightInd w:val="0"/>
        <w:snapToGrid w:val="0"/>
        <w:spacing w:line="360" w:lineRule="auto"/>
        <w:jc w:val="left"/>
        <w:rPr>
          <w:rFonts w:ascii="Times New Roman" w:hAnsi="Times New Roman"/>
          <w:szCs w:val="24"/>
        </w:rPr>
      </w:pPr>
    </w:p>
    <w:p>
      <w:pPr>
        <w:autoSpaceDE w:val="0"/>
        <w:autoSpaceDN w:val="0"/>
        <w:adjustRightInd w:val="0"/>
        <w:spacing w:line="360" w:lineRule="auto"/>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 w:val="30"/>
        </w:rPr>
      </w:pPr>
      <w:bookmarkStart w:id="72" w:name="_Toc208562040"/>
      <w:r>
        <w:rPr>
          <w:rFonts w:ascii="Times New Roman" w:hAnsi="Times New Roman"/>
          <w:sz w:val="30"/>
        </w:rPr>
        <w:t>二十</w:t>
      </w:r>
      <w:r>
        <w:rPr>
          <w:rFonts w:hint="eastAsia" w:ascii="Times New Roman" w:hAnsi="Times New Roman"/>
          <w:sz w:val="30"/>
        </w:rPr>
        <w:t>三</w:t>
      </w:r>
      <w:r>
        <w:rPr>
          <w:rFonts w:ascii="Times New Roman" w:hAnsi="Times New Roman"/>
          <w:sz w:val="30"/>
        </w:rPr>
        <w:t>、其他应披露事项</w:t>
      </w:r>
      <w:bookmarkEnd w:id="72"/>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基金合同如有未尽事宜，由基金合同当事人各方按有关法律法规协商解决。</w:t>
      </w:r>
    </w:p>
    <w:p>
      <w:pPr>
        <w:widowControl/>
        <w:jc w:val="left"/>
        <w:rPr>
          <w:rFonts w:ascii="Times New Roman" w:hAnsi="Times New Roman"/>
        </w:rPr>
      </w:pPr>
      <w:r>
        <w:rPr>
          <w:rFonts w:ascii="Times New Roman" w:hAnsi="Times New Roman"/>
        </w:rPr>
        <w:br w:type="page"/>
      </w:r>
    </w:p>
    <w:p>
      <w:pPr>
        <w:rPr>
          <w:rFonts w:ascii="Times New Roman" w:hAnsi="Times New Roman"/>
        </w:rPr>
      </w:pPr>
    </w:p>
    <w:p>
      <w:pPr>
        <w:pStyle w:val="2"/>
        <w:snapToGrid w:val="0"/>
        <w:spacing w:before="240" w:beforeLines="0" w:after="240"/>
        <w:rPr>
          <w:rFonts w:ascii="Times New Roman" w:hAnsi="Times New Roman"/>
          <w:szCs w:val="30"/>
        </w:rPr>
      </w:pPr>
      <w:bookmarkStart w:id="73" w:name="_Toc208562041"/>
      <w:r>
        <w:rPr>
          <w:rFonts w:hint="eastAsia" w:ascii="Times New Roman" w:hAnsi="Times New Roman"/>
          <w:sz w:val="30"/>
        </w:rPr>
        <w:t>二十四、</w:t>
      </w:r>
      <w:r>
        <w:rPr>
          <w:rFonts w:ascii="Times New Roman" w:hAnsi="Times New Roman"/>
          <w:sz w:val="30"/>
        </w:rPr>
        <w:t>招募说明书的存放及查阅方式</w:t>
      </w:r>
      <w:bookmarkEnd w:id="73"/>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投资人还可以直接登录基金管理人的网站(www.fund001.com)查阅和下载招募说明书。</w:t>
      </w:r>
    </w:p>
    <w:p>
      <w:pPr>
        <w:autoSpaceDE w:val="0"/>
        <w:autoSpaceDN w:val="0"/>
        <w:adjustRightInd w:val="0"/>
        <w:spacing w:line="360" w:lineRule="auto"/>
        <w:ind w:firstLine="480" w:firstLineChars="200"/>
        <w:rPr>
          <w:rFonts w:ascii="Times New Roman" w:hAnsi="Times New Roman"/>
          <w:szCs w:val="24"/>
        </w:rPr>
      </w:pPr>
      <w:r>
        <w:rPr>
          <w:rFonts w:ascii="Times New Roman" w:hAnsi="Times New Roman"/>
          <w:sz w:val="24"/>
        </w:rPr>
        <w:br w:type="page"/>
      </w:r>
    </w:p>
    <w:p>
      <w:pPr>
        <w:pStyle w:val="2"/>
        <w:snapToGrid w:val="0"/>
        <w:spacing w:before="240" w:beforeLines="0" w:after="240"/>
        <w:rPr>
          <w:rFonts w:ascii="Times New Roman" w:hAnsi="Times New Roman"/>
          <w:szCs w:val="30"/>
        </w:rPr>
      </w:pPr>
      <w:bookmarkStart w:id="74" w:name="_Toc208562042"/>
      <w:r>
        <w:rPr>
          <w:rFonts w:ascii="Times New Roman" w:hAnsi="Times New Roman"/>
          <w:sz w:val="30"/>
        </w:rPr>
        <w:t>二十</w:t>
      </w:r>
      <w:r>
        <w:rPr>
          <w:rFonts w:hint="eastAsia" w:ascii="Times New Roman" w:hAnsi="Times New Roman"/>
          <w:sz w:val="30"/>
        </w:rPr>
        <w:t>五</w:t>
      </w:r>
      <w:r>
        <w:rPr>
          <w:rFonts w:ascii="Times New Roman" w:hAnsi="Times New Roman"/>
          <w:sz w:val="30"/>
        </w:rPr>
        <w:t>、备查文件</w:t>
      </w:r>
      <w:bookmarkEnd w:id="74"/>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以下备查文件存放在基金管理人的办公场所，在办公时间可供免费查阅。</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（一）中国证监会准予交银施罗德中证智选沪深港科技50交易型开放式指数证券投资基金募集注册的文件</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（二）《交银施罗德中证智选沪深港科技50交易型开放式指数证券投资基金基金合同》</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（三）《交银施罗德中证智选沪深港科技50交易型开放式指数证券投资基金托管协议》</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（四）基金管理人业务资格批件、营业执照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（五）基金托管人业务资格批件、营业执照</w:t>
      </w:r>
    </w:p>
    <w:p>
      <w:pPr>
        <w:autoSpaceDE w:val="0"/>
        <w:autoSpaceDN w:val="0"/>
        <w:adjustRightInd w:val="0"/>
        <w:snapToGrid w:val="0"/>
        <w:spacing w:line="360" w:lineRule="auto"/>
        <w:ind w:firstLine="480" w:firstLineChars="200"/>
        <w:jc w:val="left"/>
        <w:rPr>
          <w:rFonts w:ascii="Times New Roman" w:hAnsi="Times New Roman"/>
          <w:szCs w:val="24"/>
        </w:rPr>
      </w:pPr>
      <w:r>
        <w:rPr>
          <w:rFonts w:ascii="Times New Roman" w:hAnsi="Times New Roman"/>
          <w:sz w:val="24"/>
        </w:rPr>
        <w:t>（六）关于申请募集注册交银施罗德中证智选沪深港科技50交易型开放式指数证券投资基金的法律意见书</w:t>
      </w:r>
    </w:p>
    <w:sectPr>
      <w:footerReference r:id="rId8" w:type="default"/>
      <w:pgSz w:w="11920" w:h="16840"/>
      <w:pgMar w:top="1360" w:right="1580" w:bottom="280" w:left="1680" w:header="0" w:footer="11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131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6</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4pt;margin-top:782.6pt;height:11pt;width:21.6pt;mso-position-horizontal-relative:page;mso-position-vertical-relative:page;z-index:-251655168;mso-width-relative:page;mso-height-relative:page;" filled="f" stroked="f" coordsize="21600,21600" o:allowincell="f" o:gfxdata="UEsDBAoAAAAAAIdO4kAAAAAAAAAAAAAAAAAEAAAAZHJzL1BLAwQUAAAACACHTuJAoYkyd9oAAAAN&#10;AQAADwAAAGRycy9kb3ducmV2LnhtbE2PzU7DMBCE70i8g7WVuFG7QTEhjVMhBCckRBoOHJ3YTaLG&#10;6xC7P7w92xM97sxo9ptic3YjO9o5DB4VrJYCmMXWmwE7BV/1230GLESNRo8erYJfG2BT3t4UOjf+&#10;hJU9bmPHqARDrhX0MU4556HtrdNh6SeL5O387HSkc+64mfWJyt3IEyEkd3pA+tDryb70tt1vD07B&#10;8zdWr8PPR/NZ7aqhrp8Evsu9UneLlVgDi/Yc/8NwwSd0KImp8Qc0gY0K0kwSeiQjlWkCjCLyQdC8&#10;5iJljwnwsuDXK8o/UEsDBBQAAAAIAIdO4kC99Ryb+wEAAAMEAAAOAAAAZHJzL2Uyb0RvYy54bWyt&#10;U8FuEzEQvSPxD5bvZJMUUVhlU5VGRUiFIrV8wMTrzVqsPWbsZDd8PWPvJpRy6YGLNR6Pn997M15d&#10;DbYTB03BoKvkYjaXQjuFtXG7Sn5/vH3zXooQwdXQodOVPOogr9avX616X+olttjVmgSDuFD2vpJt&#10;jL4siqBabSHM0GvHhw2Shchb2hU1Qc/otiuW8/m7okeqPaHSIXB2Mx7KCZFeAohNY5TeoNpb7eKI&#10;SrqDyJJCa3yQ68y2abSK900TdBRdJVlpzCs/wvE2rcV6BeWOwLdGTRTgJRSeabJgHD96htpABLEn&#10;8w+UNYowYBNnCm0xCsmOsIrF/Jk3Dy14nbWw1cGfTQ//D1Z9PXwjYepKLqVwYLnhj3qI4iMOYpHc&#10;6X0ouejBc1kcOM0zk5UGf4fqRxAOb1pwO31NhH2roWZ2+Wbx5OqIExLItv+CNT8D+4gZaGjIJuvY&#10;DMHo3JnjuTOJiuLk8vLtxZJPFB8tLj5cznPnCihPlz2F+EmjFSmoJHHjMzgc7kJkGVx6KklvObw1&#10;XZeb37m/ElyYMpl84jsyj8N2mMzYYn1kGYTjLPFP4qBF+iVFz3NUyfBzD6Sl6D47tiIN3SmgU7A9&#10;BeAUX61klGIMb+I4nHtPZtcy8mi2w2u2qzFZSvJ1ZDHx5NnICqc5TsP3dJ+r/vzd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iTJ32gAAAA0BAAAPAAAAAAAAAAEAIAAAACIAAABkcnMvZG93bnJl&#10;di54bWxQSwECFAAUAAAACACHTuJAvfUcm/sBAAADBAAADgAAAAAAAAABACAAAAApAQAAZHJzL2Uy&#10;b0RvYy54bWxQSwUGAAAAAAYABgBZAQAAlgU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6</w:t>
                    </w:r>
                    <w:r>
                      <w:rPr>
                        <w:rFonts w:ascii="Times New Roman" w:hAnsi="Times New Roman"/>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ascii="Times New Roman" w:hAnsi="Times New Roman"/>
        <w:kern w:val="0"/>
        <w:sz w:val="20"/>
        <w:szCs w:val="20"/>
      </w:rPr>
    </w:pPr>
    <w:r>
      <mc:AlternateContent>
        <mc:Choice Requires="wps">
          <w:drawing>
            <wp:anchor distT="0" distB="0" distL="114300" distR="114300" simplePos="0" relativeHeight="251663360"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wps:spPr>
                    <wps:txbx>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20</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20" o:spid="_x0000_s1026" o:spt="202" type="#_x0000_t202" style="position:absolute;left:0pt;margin-left:291.25pt;margin-top:773.85pt;height:11pt;width:33.5pt;mso-position-horizontal-relative:page;mso-position-vertical-relative:page;z-index:-251653120;mso-width-relative:page;mso-height-relative:page;" filled="f" stroked="f" coordsize="21600,21600" o:allowincell="f" o:gfxdata="UEsDBAoAAAAAAIdO4kAAAAAAAAAAAAAAAAAEAAAAZHJzL1BLAwQUAAAACACHTuJAsSPu+NoAAAAN&#10;AQAADwAAAGRycy9kb3ducmV2LnhtbE2PzU7DMBCE70i8g7VI3KjdqkmaEKdCCE5IiDQcODqxm1iN&#10;1yF2f3h7tic47syn2Zlye3EjO5k5WI8SlgsBzGDntcVewmfz+rABFqJCrUaPRsKPCbCtbm9KVWh/&#10;xtqcdrFnFIKhUBKGGKeC89ANxqmw8JNB8vZ+dirSOfdcz+pM4W7kKyFS7pRF+jCoyTwPpjvsjk7C&#10;0xfWL/b7vf2o97VtmlzgW3qQ8v5uKR6BRXOJfzBc61N1qKhT64+oAxslJJtVQigZyTrLgBGSrnOS&#10;2quU5hnwquT/V1S/UEsDBBQAAAAIAIdO4kCqBm2W/QEAAAQEAAAOAAAAZHJzL2Uyb0RvYy54bWyt&#10;U8tu2zAQvBfoPxC817LdpA/BcpDGSFEgTQsk/YA1RVlERS67pC25X98lZTuvSw69EMvlcjgzu1xc&#10;DLYTO03BoKvkbDKVQjuFtXGbSv66v373SYoQwdXQodOV3OsgL5Zv3yx6X+o5ttjVmgSDuFD2vpJt&#10;jL4siqBabSFM0GvHhw2Shchb2hQ1Qc/otivm0+mHokeqPaHSIXB2NR7KAyK9BhCbxii9QrW12sUR&#10;lXQHkSWF1vggl5lt02gVfzRN0FF0lWSlMa/8CMfrtBbLBZQbAt8adaAAr6HwTJMF4/jRE9QKIogt&#10;mRdQ1ijCgE2cKLTFKCQ7wipm02fe3LXgddbCVgd/Mj38P1h1u/tJwtQ8CVI4sNzwez1E8QUHMc/2&#10;9D6UXHXnuS4OnE+lSWrwN6h+B+HwqgW30ZdE2LcaaqY3S8YWj66mhgS+wiDr/jvW/A5sI2agoSGb&#10;ANkNwejcmv2pNYmL4uTZ/PzsnE8UH83ef/44zdwKKI+XPYX4VaMVKagkceczOOxuQkxkoDyWpLcc&#10;Xpuuy93v3JMEF6ZMJp/4jszjsB64OolYY71nGYTjMPFX4qBF+itFz4NUyfBnC6Sl6L45tiJN3TGg&#10;Y7A+BuAUX61klGIMr+I4nVtPZtMy8mi2w0u2qzFZygOLA08ejqzwMMhp+h7vc9XD51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Ej7vjaAAAADQEAAA8AAAAAAAAAAQAgAAAAIgAAAGRycy9kb3du&#10;cmV2LnhtbFBLAQIUABQAAAAIAIdO4kCqBm2W/QEAAAQEAAAOAAAAAAAAAAEAIAAAACkBAABkcnMv&#10;ZTJvRG9jLnhtbFBLBQYAAAAABgAGAFkBAACYBQAAAAA=&#10;">
              <v:fill on="f" focussize="0,0"/>
              <v:stroke on="f"/>
              <v:imagedata o:title=""/>
              <o:lock v:ext="edit" aspectratio="f"/>
              <v:textbox inset="0mm,0mm,0mm,0mm">
                <w:txbxContent>
                  <w:p>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Pr>
                        <w:rFonts w:ascii="Times New Roman" w:hAnsi="Times New Roman"/>
                        <w:kern w:val="0"/>
                        <w:sz w:val="18"/>
                        <w:szCs w:val="18"/>
                      </w:rPr>
                      <w:t>20</w:t>
                    </w:r>
                    <w:r>
                      <w:rPr>
                        <w:rFonts w:ascii="Times New Roman" w:hAnsi="Times New Roman"/>
                        <w:kern w:val="0"/>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1"/>
      <w:jc w:val="right"/>
      <w:rPr>
        <w:rFonts w:ascii="宋体" w:hAnsi="宋体"/>
      </w:rPr>
    </w:pPr>
    <w:r>
      <w:rPr>
        <w:rFonts w:hint="eastAsia" w:ascii="宋体" w:hAnsi="宋体"/>
      </w:rPr>
      <w:t>交银施罗德创业板50交易型开放式指数证券投资基金(更新)招募说明书(2022年第1号)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jc w:val="right"/>
    </w:pPr>
  </w:p>
  <w:p>
    <w:pPr>
      <w:pStyle w:val="11"/>
      <w:jc w:val="right"/>
    </w:pPr>
  </w:p>
  <w:p>
    <w:pPr>
      <w:pStyle w:val="11"/>
      <w:jc w:val="right"/>
    </w:pPr>
    <w:r>
      <w:drawing>
        <wp:anchor distT="0" distB="0" distL="114300" distR="114300" simplePos="0" relativeHeight="25166028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1"/>
      <w:jc w:val="right"/>
      <w:rPr>
        <w:rFonts w:ascii="宋体" w:hAnsi="宋体"/>
      </w:rPr>
    </w:pPr>
    <w:r>
      <w:rPr>
        <w:rFonts w:hint="eastAsia" w:ascii="宋体" w:hAnsi="宋体"/>
      </w:rPr>
      <w:t>交银施罗德中证智选沪深港科技50交易型开放式指数证券投资基金招募说明书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jc w:val="right"/>
    </w:pPr>
  </w:p>
  <w:p>
    <w:pPr>
      <w:pStyle w:val="11"/>
      <w:jc w:val="right"/>
    </w:pPr>
  </w:p>
  <w:p>
    <w:pPr>
      <w:pStyle w:val="11"/>
      <w:jc w:val="right"/>
    </w:pPr>
    <w:r>
      <w:pict>
        <v:shape id="图片 4" o:spid="_x0000_s3073" o:spt="75" alt="logo1" type="#_x0000_t75" style="position:absolute;left:0pt;margin-left:1.5pt;margin-top:-12pt;height:18.75pt;width:135pt;z-index:251664384;mso-width-relative:page;mso-height-relative:page;" filled="f" o:preferrelative="t" stroked="f" coordsize="21600,21600">
          <v:path/>
          <v:fill on="f" focussize="0,0"/>
          <v:stroke on="f" joinstyle="miter"/>
          <v:imagedata r:id="rId1" o:title="logo1"/>
          <o:lock v:ext="edit" aspectratio="t"/>
        </v:shape>
      </w:pict>
    </w:r>
  </w:p>
  <w:p>
    <w:pPr>
      <w:pStyle w:val="11"/>
      <w:jc w:val="right"/>
      <w:rPr>
        <w:rFonts w:ascii="宋体" w:hAnsi="宋体"/>
      </w:rPr>
    </w:pPr>
    <w:r>
      <w:rPr>
        <w:rFonts w:hint="eastAsia" w:ascii="宋体" w:hAnsi="宋体"/>
      </w:rPr>
      <w:t>交银施罗德中证智选沪深港科技50交易型开放式指数证券投资基金招募说明书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jc w:val="right"/>
    </w:pPr>
  </w:p>
  <w:p>
    <w:pPr>
      <w:pStyle w:val="11"/>
      <w:jc w:val="right"/>
    </w:pPr>
  </w:p>
  <w:p>
    <w:pPr>
      <w:pStyle w:val="11"/>
      <w:jc w:val="right"/>
    </w:pPr>
    <w:r>
      <w:drawing>
        <wp:anchor distT="0" distB="0" distL="114300" distR="114300" simplePos="0" relativeHeight="251662336"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238125"/>
                  </a:xfrm>
                  <a:prstGeom prst="rect">
                    <a:avLst/>
                  </a:prstGeom>
                  <a:noFill/>
                </pic:spPr>
              </pic:pic>
            </a:graphicData>
          </a:graphic>
        </wp:anchor>
      </w:drawing>
    </w:r>
  </w:p>
  <w:p>
    <w:pPr>
      <w:pStyle w:val="11"/>
      <w:jc w:val="right"/>
      <w:rPr>
        <w:rFonts w:ascii="宋体" w:hAnsi="宋体"/>
      </w:rPr>
    </w:pPr>
    <w:r>
      <w:rPr>
        <w:rFonts w:hint="eastAsia" w:ascii="宋体" w:hAnsi="宋体"/>
      </w:rPr>
      <w:t>交银施罗德中证智选沪深港科技50交易型开放式指数证券投资基金招募说明书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D7DCD"/>
    <w:multiLevelType w:val="singleLevel"/>
    <w:tmpl w:val="D5DD7DCD"/>
    <w:lvl w:ilvl="0" w:tentative="0">
      <w:start w:val="1"/>
      <w:numFmt w:val="decimal"/>
      <w:suff w:val="nothing"/>
      <w:lvlText w:val="（%1）"/>
      <w:lvlJc w:val="left"/>
    </w:lvl>
  </w:abstractNum>
  <w:abstractNum w:abstractNumId="1">
    <w:nsid w:val="E113615B"/>
    <w:multiLevelType w:val="singleLevel"/>
    <w:tmpl w:val="E113615B"/>
    <w:lvl w:ilvl="0" w:tentative="0">
      <w:start w:val="1"/>
      <w:numFmt w:val="decimal"/>
      <w:suff w:val="nothing"/>
      <w:lvlText w:val="（%1）"/>
      <w:lvlJc w:val="left"/>
    </w:lvl>
  </w:abstractNum>
  <w:abstractNum w:abstractNumId="2">
    <w:nsid w:val="F21CB1E5"/>
    <w:multiLevelType w:val="singleLevel"/>
    <w:tmpl w:val="F21CB1E5"/>
    <w:lvl w:ilvl="0" w:tentative="0">
      <w:start w:val="1"/>
      <w:numFmt w:val="decimal"/>
      <w:suff w:val="nothing"/>
      <w:lvlText w:val="（%1）"/>
      <w:lvlJc w:val="left"/>
    </w:lvl>
  </w:abstractNum>
  <w:abstractNum w:abstractNumId="3">
    <w:nsid w:val="F9B5B4D3"/>
    <w:multiLevelType w:val="singleLevel"/>
    <w:tmpl w:val="F9B5B4D3"/>
    <w:lvl w:ilvl="0" w:tentative="0">
      <w:start w:val="1"/>
      <w:numFmt w:val="decimal"/>
      <w:suff w:val="space"/>
      <w:lvlText w:val="%1）"/>
      <w:lvlJc w:val="left"/>
    </w:lvl>
  </w:abstractNum>
  <w:abstractNum w:abstractNumId="4">
    <w:nsid w:val="547D73EE"/>
    <w:multiLevelType w:val="multilevel"/>
    <w:tmpl w:val="547D73EE"/>
    <w:lvl w:ilvl="0" w:tentative="0">
      <w:start w:val="1"/>
      <w:numFmt w:val="decimal"/>
      <w:pStyle w:val="27"/>
      <w:suff w:val="space"/>
      <w:lvlText w:val="§%1"/>
      <w:lvlJc w:val="left"/>
      <w:pPr>
        <w:ind w:left="425" w:hanging="425"/>
      </w:pPr>
      <w:rPr>
        <w:rFonts w:hint="eastAsia"/>
      </w:rPr>
    </w:lvl>
    <w:lvl w:ilvl="1" w:tentative="0">
      <w:start w:val="1"/>
      <w:numFmt w:val="decimal"/>
      <w:pStyle w:val="28"/>
      <w:suff w:val="space"/>
      <w:lvlText w:val="%1.%2"/>
      <w:lvlJc w:val="left"/>
      <w:pPr>
        <w:ind w:left="738" w:hanging="454"/>
      </w:pPr>
      <w:rPr>
        <w:rFonts w:hint="eastAsia"/>
      </w:rPr>
    </w:lvl>
    <w:lvl w:ilvl="2" w:tentative="0">
      <w:start w:val="1"/>
      <w:numFmt w:val="decimal"/>
      <w:pStyle w:val="29"/>
      <w:suff w:val="space"/>
      <w:lvlText w:val="%1.%2.%3"/>
      <w:lvlJc w:val="left"/>
      <w:pPr>
        <w:ind w:left="624" w:hanging="624"/>
      </w:pPr>
    </w:lvl>
    <w:lvl w:ilvl="3" w:tentative="0">
      <w:start w:val="1"/>
      <w:numFmt w:val="decimal"/>
      <w:pStyle w:val="31"/>
      <w:suff w:val="space"/>
      <w:lvlText w:val="%1.%2.%3.%4"/>
      <w:lvlJc w:val="left"/>
      <w:pPr>
        <w:ind w:left="794" w:hanging="794"/>
      </w:pPr>
      <w:rPr>
        <w:rFonts w:hint="eastAsia"/>
      </w:rPr>
    </w:lvl>
    <w:lvl w:ilvl="4" w:tentative="0">
      <w:start w:val="1"/>
      <w:numFmt w:val="decimal"/>
      <w:pStyle w:val="30"/>
      <w:suff w:val="space"/>
      <w:lvlText w:val="%1.%2.%3.%4.%5"/>
      <w:lvlJc w:val="left"/>
      <w:pPr>
        <w:ind w:left="1021" w:hanging="1021"/>
      </w:pPr>
      <w:rPr>
        <w:rFonts w:hint="eastAsia"/>
      </w:rPr>
    </w:lvl>
    <w:lvl w:ilvl="5" w:tentative="0">
      <w:start w:val="1"/>
      <w:numFmt w:val="decimal"/>
      <w:pStyle w:val="24"/>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trackRevisions w:val="1"/>
  <w:documentProtection w:enforcement="0"/>
  <w:defaultTabStop w:val="720"/>
  <w:drawingGridHorizontalSpacing w:val="105"/>
  <w:drawingGridVerticalSpacing w:val="120"/>
  <w:doNotShadeFormData w:val="1"/>
  <w:noPunctuationKerning w:val="1"/>
  <w:characterSpacingControl w:val="doNotCompress"/>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0921"/>
    <w:rsid w:val="00001861"/>
    <w:rsid w:val="00001EEA"/>
    <w:rsid w:val="0000233A"/>
    <w:rsid w:val="00003EC9"/>
    <w:rsid w:val="0000402D"/>
    <w:rsid w:val="0000428F"/>
    <w:rsid w:val="0000560A"/>
    <w:rsid w:val="00005FC3"/>
    <w:rsid w:val="00006923"/>
    <w:rsid w:val="00006994"/>
    <w:rsid w:val="00010049"/>
    <w:rsid w:val="0001042C"/>
    <w:rsid w:val="000108BB"/>
    <w:rsid w:val="00011842"/>
    <w:rsid w:val="0001260B"/>
    <w:rsid w:val="0001265E"/>
    <w:rsid w:val="0001266E"/>
    <w:rsid w:val="00013464"/>
    <w:rsid w:val="000139AD"/>
    <w:rsid w:val="00013DBE"/>
    <w:rsid w:val="000140C5"/>
    <w:rsid w:val="00017707"/>
    <w:rsid w:val="000220C3"/>
    <w:rsid w:val="00024979"/>
    <w:rsid w:val="00025061"/>
    <w:rsid w:val="00026A29"/>
    <w:rsid w:val="00026D00"/>
    <w:rsid w:val="00027B37"/>
    <w:rsid w:val="00027C73"/>
    <w:rsid w:val="00027F40"/>
    <w:rsid w:val="00030964"/>
    <w:rsid w:val="00030E5E"/>
    <w:rsid w:val="00030F3E"/>
    <w:rsid w:val="00031F08"/>
    <w:rsid w:val="000327F0"/>
    <w:rsid w:val="00032A6D"/>
    <w:rsid w:val="000341D0"/>
    <w:rsid w:val="00034E85"/>
    <w:rsid w:val="00035107"/>
    <w:rsid w:val="00035405"/>
    <w:rsid w:val="00035812"/>
    <w:rsid w:val="00035858"/>
    <w:rsid w:val="00035979"/>
    <w:rsid w:val="00035F1B"/>
    <w:rsid w:val="000368A2"/>
    <w:rsid w:val="00036FB6"/>
    <w:rsid w:val="000401BB"/>
    <w:rsid w:val="00040D5C"/>
    <w:rsid w:val="0004470A"/>
    <w:rsid w:val="00044991"/>
    <w:rsid w:val="00044AFD"/>
    <w:rsid w:val="00044E2C"/>
    <w:rsid w:val="000457B7"/>
    <w:rsid w:val="0004614E"/>
    <w:rsid w:val="00046212"/>
    <w:rsid w:val="000500B8"/>
    <w:rsid w:val="0005031C"/>
    <w:rsid w:val="000506ED"/>
    <w:rsid w:val="00050B8A"/>
    <w:rsid w:val="00050F94"/>
    <w:rsid w:val="0005145C"/>
    <w:rsid w:val="00052238"/>
    <w:rsid w:val="000528A2"/>
    <w:rsid w:val="000543D5"/>
    <w:rsid w:val="00054DCA"/>
    <w:rsid w:val="00055197"/>
    <w:rsid w:val="00055792"/>
    <w:rsid w:val="00055F52"/>
    <w:rsid w:val="0005679F"/>
    <w:rsid w:val="0005697A"/>
    <w:rsid w:val="00061C0D"/>
    <w:rsid w:val="0006212F"/>
    <w:rsid w:val="0006220F"/>
    <w:rsid w:val="00064529"/>
    <w:rsid w:val="000647B8"/>
    <w:rsid w:val="0006506B"/>
    <w:rsid w:val="0006551A"/>
    <w:rsid w:val="00065A01"/>
    <w:rsid w:val="00066760"/>
    <w:rsid w:val="000700AC"/>
    <w:rsid w:val="00070128"/>
    <w:rsid w:val="000705A6"/>
    <w:rsid w:val="00070712"/>
    <w:rsid w:val="00070C1A"/>
    <w:rsid w:val="000749E5"/>
    <w:rsid w:val="000757E3"/>
    <w:rsid w:val="0007638A"/>
    <w:rsid w:val="00076B6E"/>
    <w:rsid w:val="0008074A"/>
    <w:rsid w:val="00080BCF"/>
    <w:rsid w:val="00080D4F"/>
    <w:rsid w:val="00081480"/>
    <w:rsid w:val="000816EA"/>
    <w:rsid w:val="00081744"/>
    <w:rsid w:val="00081F4E"/>
    <w:rsid w:val="000828CE"/>
    <w:rsid w:val="000833CB"/>
    <w:rsid w:val="00083491"/>
    <w:rsid w:val="00084078"/>
    <w:rsid w:val="00084382"/>
    <w:rsid w:val="000843B3"/>
    <w:rsid w:val="00085A22"/>
    <w:rsid w:val="000869C2"/>
    <w:rsid w:val="000872A1"/>
    <w:rsid w:val="00087F4C"/>
    <w:rsid w:val="00090648"/>
    <w:rsid w:val="000909E0"/>
    <w:rsid w:val="00090D39"/>
    <w:rsid w:val="00092BD8"/>
    <w:rsid w:val="00093D4A"/>
    <w:rsid w:val="00093DFA"/>
    <w:rsid w:val="00094253"/>
    <w:rsid w:val="000948F5"/>
    <w:rsid w:val="00095030"/>
    <w:rsid w:val="00096488"/>
    <w:rsid w:val="000969E6"/>
    <w:rsid w:val="00096B91"/>
    <w:rsid w:val="000A01A0"/>
    <w:rsid w:val="000A1B98"/>
    <w:rsid w:val="000A1FA2"/>
    <w:rsid w:val="000A352B"/>
    <w:rsid w:val="000A46DE"/>
    <w:rsid w:val="000A7F10"/>
    <w:rsid w:val="000A7FD2"/>
    <w:rsid w:val="000B0F8B"/>
    <w:rsid w:val="000B145E"/>
    <w:rsid w:val="000B19DB"/>
    <w:rsid w:val="000B3138"/>
    <w:rsid w:val="000B359E"/>
    <w:rsid w:val="000B3894"/>
    <w:rsid w:val="000B4E04"/>
    <w:rsid w:val="000B57C8"/>
    <w:rsid w:val="000B6AE6"/>
    <w:rsid w:val="000B757B"/>
    <w:rsid w:val="000C1E1E"/>
    <w:rsid w:val="000C1EEE"/>
    <w:rsid w:val="000C32F0"/>
    <w:rsid w:val="000C3768"/>
    <w:rsid w:val="000C38F1"/>
    <w:rsid w:val="000C3FA1"/>
    <w:rsid w:val="000C43B9"/>
    <w:rsid w:val="000C5638"/>
    <w:rsid w:val="000C5E77"/>
    <w:rsid w:val="000C68E9"/>
    <w:rsid w:val="000C766E"/>
    <w:rsid w:val="000D075E"/>
    <w:rsid w:val="000D0ADE"/>
    <w:rsid w:val="000D179E"/>
    <w:rsid w:val="000D57DA"/>
    <w:rsid w:val="000D66DC"/>
    <w:rsid w:val="000D77DF"/>
    <w:rsid w:val="000E0144"/>
    <w:rsid w:val="000E0E3A"/>
    <w:rsid w:val="000E0FDC"/>
    <w:rsid w:val="000E1CF7"/>
    <w:rsid w:val="000E1F3B"/>
    <w:rsid w:val="000E2176"/>
    <w:rsid w:val="000E22CE"/>
    <w:rsid w:val="000E2438"/>
    <w:rsid w:val="000E3AB4"/>
    <w:rsid w:val="000E3BE2"/>
    <w:rsid w:val="000E4366"/>
    <w:rsid w:val="000E4A2B"/>
    <w:rsid w:val="000E7544"/>
    <w:rsid w:val="000F0C17"/>
    <w:rsid w:val="000F1F5E"/>
    <w:rsid w:val="000F25D6"/>
    <w:rsid w:val="000F2904"/>
    <w:rsid w:val="000F2C75"/>
    <w:rsid w:val="000F34A1"/>
    <w:rsid w:val="000F5226"/>
    <w:rsid w:val="000F534C"/>
    <w:rsid w:val="000F5583"/>
    <w:rsid w:val="000F580D"/>
    <w:rsid w:val="000F6050"/>
    <w:rsid w:val="000F66FF"/>
    <w:rsid w:val="000F698D"/>
    <w:rsid w:val="000F7727"/>
    <w:rsid w:val="000F7D42"/>
    <w:rsid w:val="001008A5"/>
    <w:rsid w:val="00100C27"/>
    <w:rsid w:val="00100C86"/>
    <w:rsid w:val="00101453"/>
    <w:rsid w:val="0010190D"/>
    <w:rsid w:val="0010287B"/>
    <w:rsid w:val="00102EDA"/>
    <w:rsid w:val="0010342D"/>
    <w:rsid w:val="00105DDA"/>
    <w:rsid w:val="001068B2"/>
    <w:rsid w:val="0010701C"/>
    <w:rsid w:val="001079E4"/>
    <w:rsid w:val="00107CBF"/>
    <w:rsid w:val="00110F58"/>
    <w:rsid w:val="001119B8"/>
    <w:rsid w:val="00112394"/>
    <w:rsid w:val="00112D5B"/>
    <w:rsid w:val="00112D8E"/>
    <w:rsid w:val="0011317E"/>
    <w:rsid w:val="001131D7"/>
    <w:rsid w:val="0011339C"/>
    <w:rsid w:val="001135B0"/>
    <w:rsid w:val="00113FAA"/>
    <w:rsid w:val="00115AE5"/>
    <w:rsid w:val="00116489"/>
    <w:rsid w:val="0011648B"/>
    <w:rsid w:val="001166C1"/>
    <w:rsid w:val="00116874"/>
    <w:rsid w:val="00116B64"/>
    <w:rsid w:val="001172CB"/>
    <w:rsid w:val="001177A3"/>
    <w:rsid w:val="00117E65"/>
    <w:rsid w:val="001216D2"/>
    <w:rsid w:val="00121D4E"/>
    <w:rsid w:val="00123039"/>
    <w:rsid w:val="00123186"/>
    <w:rsid w:val="001233A0"/>
    <w:rsid w:val="00124000"/>
    <w:rsid w:val="00124032"/>
    <w:rsid w:val="001240EB"/>
    <w:rsid w:val="00124283"/>
    <w:rsid w:val="0012443D"/>
    <w:rsid w:val="00127053"/>
    <w:rsid w:val="001278BF"/>
    <w:rsid w:val="0013066E"/>
    <w:rsid w:val="001308CC"/>
    <w:rsid w:val="0013182D"/>
    <w:rsid w:val="00131CEE"/>
    <w:rsid w:val="00132804"/>
    <w:rsid w:val="00132FBC"/>
    <w:rsid w:val="0013315B"/>
    <w:rsid w:val="00134FCF"/>
    <w:rsid w:val="00135330"/>
    <w:rsid w:val="00135AD8"/>
    <w:rsid w:val="001362A1"/>
    <w:rsid w:val="0013630D"/>
    <w:rsid w:val="001363D4"/>
    <w:rsid w:val="001367F2"/>
    <w:rsid w:val="00137942"/>
    <w:rsid w:val="00137DD7"/>
    <w:rsid w:val="001412E8"/>
    <w:rsid w:val="001424C3"/>
    <w:rsid w:val="0014250F"/>
    <w:rsid w:val="00142A16"/>
    <w:rsid w:val="00144B52"/>
    <w:rsid w:val="00145149"/>
    <w:rsid w:val="0014768F"/>
    <w:rsid w:val="001477D3"/>
    <w:rsid w:val="00150309"/>
    <w:rsid w:val="00151683"/>
    <w:rsid w:val="00153D66"/>
    <w:rsid w:val="0015439A"/>
    <w:rsid w:val="0015463C"/>
    <w:rsid w:val="00154FCE"/>
    <w:rsid w:val="00155A31"/>
    <w:rsid w:val="00155F8E"/>
    <w:rsid w:val="0015725E"/>
    <w:rsid w:val="0015740C"/>
    <w:rsid w:val="00160224"/>
    <w:rsid w:val="001604D1"/>
    <w:rsid w:val="00162CD9"/>
    <w:rsid w:val="00162F69"/>
    <w:rsid w:val="0016476C"/>
    <w:rsid w:val="00164946"/>
    <w:rsid w:val="00165756"/>
    <w:rsid w:val="00166B65"/>
    <w:rsid w:val="00167D15"/>
    <w:rsid w:val="00170718"/>
    <w:rsid w:val="00172505"/>
    <w:rsid w:val="001727D8"/>
    <w:rsid w:val="00173324"/>
    <w:rsid w:val="0017362C"/>
    <w:rsid w:val="0017392F"/>
    <w:rsid w:val="00175E74"/>
    <w:rsid w:val="00176BCC"/>
    <w:rsid w:val="00177872"/>
    <w:rsid w:val="00177BA0"/>
    <w:rsid w:val="00180844"/>
    <w:rsid w:val="00180FF9"/>
    <w:rsid w:val="001811F6"/>
    <w:rsid w:val="00181687"/>
    <w:rsid w:val="0018184C"/>
    <w:rsid w:val="0018198F"/>
    <w:rsid w:val="00181C62"/>
    <w:rsid w:val="00182E0F"/>
    <w:rsid w:val="00183642"/>
    <w:rsid w:val="00183A8E"/>
    <w:rsid w:val="0018465E"/>
    <w:rsid w:val="00185A6B"/>
    <w:rsid w:val="00185DA0"/>
    <w:rsid w:val="001860C4"/>
    <w:rsid w:val="00186F1C"/>
    <w:rsid w:val="00186FAE"/>
    <w:rsid w:val="00187FD1"/>
    <w:rsid w:val="00191782"/>
    <w:rsid w:val="001917D4"/>
    <w:rsid w:val="001917FC"/>
    <w:rsid w:val="00191D7F"/>
    <w:rsid w:val="001925A2"/>
    <w:rsid w:val="00193573"/>
    <w:rsid w:val="00194B35"/>
    <w:rsid w:val="00195218"/>
    <w:rsid w:val="00195AA9"/>
    <w:rsid w:val="00195D71"/>
    <w:rsid w:val="001978CB"/>
    <w:rsid w:val="00197A55"/>
    <w:rsid w:val="00197E48"/>
    <w:rsid w:val="00197F52"/>
    <w:rsid w:val="00197F7E"/>
    <w:rsid w:val="001A12C2"/>
    <w:rsid w:val="001A1623"/>
    <w:rsid w:val="001A2263"/>
    <w:rsid w:val="001A3838"/>
    <w:rsid w:val="001A4659"/>
    <w:rsid w:val="001A670F"/>
    <w:rsid w:val="001A7287"/>
    <w:rsid w:val="001B0CB0"/>
    <w:rsid w:val="001B2042"/>
    <w:rsid w:val="001B4531"/>
    <w:rsid w:val="001B46A1"/>
    <w:rsid w:val="001B4AA7"/>
    <w:rsid w:val="001B5BDB"/>
    <w:rsid w:val="001B5F90"/>
    <w:rsid w:val="001B606D"/>
    <w:rsid w:val="001B70C1"/>
    <w:rsid w:val="001B75F9"/>
    <w:rsid w:val="001C2437"/>
    <w:rsid w:val="001C2B9E"/>
    <w:rsid w:val="001C38DA"/>
    <w:rsid w:val="001C6EE7"/>
    <w:rsid w:val="001C700A"/>
    <w:rsid w:val="001C7800"/>
    <w:rsid w:val="001C7A48"/>
    <w:rsid w:val="001C7C12"/>
    <w:rsid w:val="001D1E15"/>
    <w:rsid w:val="001D2797"/>
    <w:rsid w:val="001D2AA1"/>
    <w:rsid w:val="001D2B55"/>
    <w:rsid w:val="001D2B67"/>
    <w:rsid w:val="001D3600"/>
    <w:rsid w:val="001D3730"/>
    <w:rsid w:val="001D3F7C"/>
    <w:rsid w:val="001D41BA"/>
    <w:rsid w:val="001D433E"/>
    <w:rsid w:val="001D4625"/>
    <w:rsid w:val="001D4727"/>
    <w:rsid w:val="001D4FF5"/>
    <w:rsid w:val="001D5665"/>
    <w:rsid w:val="001D61DC"/>
    <w:rsid w:val="001D6377"/>
    <w:rsid w:val="001D68A8"/>
    <w:rsid w:val="001D6B88"/>
    <w:rsid w:val="001D6C5F"/>
    <w:rsid w:val="001D7ECC"/>
    <w:rsid w:val="001E05C3"/>
    <w:rsid w:val="001E144C"/>
    <w:rsid w:val="001E15F5"/>
    <w:rsid w:val="001E25FD"/>
    <w:rsid w:val="001E2A4F"/>
    <w:rsid w:val="001E3C64"/>
    <w:rsid w:val="001E3F8F"/>
    <w:rsid w:val="001E411E"/>
    <w:rsid w:val="001E5250"/>
    <w:rsid w:val="001E6E58"/>
    <w:rsid w:val="001E78F0"/>
    <w:rsid w:val="001E7D6A"/>
    <w:rsid w:val="001F02CC"/>
    <w:rsid w:val="001F0578"/>
    <w:rsid w:val="001F0A3D"/>
    <w:rsid w:val="001F0BB5"/>
    <w:rsid w:val="001F15F4"/>
    <w:rsid w:val="001F1869"/>
    <w:rsid w:val="001F2133"/>
    <w:rsid w:val="001F2796"/>
    <w:rsid w:val="001F33EB"/>
    <w:rsid w:val="001F4DEA"/>
    <w:rsid w:val="001F4ECB"/>
    <w:rsid w:val="001F4F10"/>
    <w:rsid w:val="001F6FF5"/>
    <w:rsid w:val="001F7353"/>
    <w:rsid w:val="00201F27"/>
    <w:rsid w:val="00201F9B"/>
    <w:rsid w:val="00203597"/>
    <w:rsid w:val="0020500B"/>
    <w:rsid w:val="0020505C"/>
    <w:rsid w:val="00205C37"/>
    <w:rsid w:val="002076AC"/>
    <w:rsid w:val="00207C52"/>
    <w:rsid w:val="00207E2C"/>
    <w:rsid w:val="0021019B"/>
    <w:rsid w:val="00210A48"/>
    <w:rsid w:val="00211ABE"/>
    <w:rsid w:val="00212B27"/>
    <w:rsid w:val="00212BBA"/>
    <w:rsid w:val="00212F33"/>
    <w:rsid w:val="00213A21"/>
    <w:rsid w:val="00213FD6"/>
    <w:rsid w:val="0021469C"/>
    <w:rsid w:val="00214945"/>
    <w:rsid w:val="00215523"/>
    <w:rsid w:val="00216020"/>
    <w:rsid w:val="00216094"/>
    <w:rsid w:val="00216962"/>
    <w:rsid w:val="00217CA4"/>
    <w:rsid w:val="00221112"/>
    <w:rsid w:val="00221A1B"/>
    <w:rsid w:val="00221ABF"/>
    <w:rsid w:val="002220A4"/>
    <w:rsid w:val="00223C19"/>
    <w:rsid w:val="00224421"/>
    <w:rsid w:val="0022508E"/>
    <w:rsid w:val="0022608D"/>
    <w:rsid w:val="00226503"/>
    <w:rsid w:val="00226A60"/>
    <w:rsid w:val="00226C04"/>
    <w:rsid w:val="00227E8E"/>
    <w:rsid w:val="00230D8D"/>
    <w:rsid w:val="002312B0"/>
    <w:rsid w:val="00231B29"/>
    <w:rsid w:val="00231E0F"/>
    <w:rsid w:val="00232018"/>
    <w:rsid w:val="00232645"/>
    <w:rsid w:val="0023288D"/>
    <w:rsid w:val="002343E4"/>
    <w:rsid w:val="00235173"/>
    <w:rsid w:val="0023578C"/>
    <w:rsid w:val="00235AC5"/>
    <w:rsid w:val="00236C94"/>
    <w:rsid w:val="0023744F"/>
    <w:rsid w:val="002377E0"/>
    <w:rsid w:val="00240BB6"/>
    <w:rsid w:val="002427A8"/>
    <w:rsid w:val="002432CA"/>
    <w:rsid w:val="0024381E"/>
    <w:rsid w:val="0024386E"/>
    <w:rsid w:val="00243D40"/>
    <w:rsid w:val="00244341"/>
    <w:rsid w:val="00245250"/>
    <w:rsid w:val="00245DDD"/>
    <w:rsid w:val="00247105"/>
    <w:rsid w:val="002477CB"/>
    <w:rsid w:val="00247BF6"/>
    <w:rsid w:val="00250757"/>
    <w:rsid w:val="00250898"/>
    <w:rsid w:val="00250920"/>
    <w:rsid w:val="00250A33"/>
    <w:rsid w:val="00250A82"/>
    <w:rsid w:val="00250CCD"/>
    <w:rsid w:val="00251126"/>
    <w:rsid w:val="002512EE"/>
    <w:rsid w:val="002520F0"/>
    <w:rsid w:val="002524D2"/>
    <w:rsid w:val="00252802"/>
    <w:rsid w:val="00252AA7"/>
    <w:rsid w:val="0025330D"/>
    <w:rsid w:val="00254367"/>
    <w:rsid w:val="00254BF4"/>
    <w:rsid w:val="00257D59"/>
    <w:rsid w:val="00257DED"/>
    <w:rsid w:val="002605D4"/>
    <w:rsid w:val="0026167E"/>
    <w:rsid w:val="00261A50"/>
    <w:rsid w:val="002628F4"/>
    <w:rsid w:val="00263163"/>
    <w:rsid w:val="002634C3"/>
    <w:rsid w:val="002648D5"/>
    <w:rsid w:val="00265A2F"/>
    <w:rsid w:val="00265B3A"/>
    <w:rsid w:val="00266C20"/>
    <w:rsid w:val="002670A4"/>
    <w:rsid w:val="00270408"/>
    <w:rsid w:val="00270419"/>
    <w:rsid w:val="0027052E"/>
    <w:rsid w:val="00271E9D"/>
    <w:rsid w:val="00271F7D"/>
    <w:rsid w:val="00273ACC"/>
    <w:rsid w:val="00273FD4"/>
    <w:rsid w:val="00274E85"/>
    <w:rsid w:val="0027645D"/>
    <w:rsid w:val="00276F01"/>
    <w:rsid w:val="002777F6"/>
    <w:rsid w:val="00277907"/>
    <w:rsid w:val="00280C42"/>
    <w:rsid w:val="00280C5A"/>
    <w:rsid w:val="00281B73"/>
    <w:rsid w:val="002833C9"/>
    <w:rsid w:val="00285E5C"/>
    <w:rsid w:val="00286BBE"/>
    <w:rsid w:val="002877F7"/>
    <w:rsid w:val="00287A08"/>
    <w:rsid w:val="00290B63"/>
    <w:rsid w:val="00290E73"/>
    <w:rsid w:val="0029253F"/>
    <w:rsid w:val="00293415"/>
    <w:rsid w:val="002943F4"/>
    <w:rsid w:val="00294689"/>
    <w:rsid w:val="0029539A"/>
    <w:rsid w:val="002A0CD2"/>
    <w:rsid w:val="002A1A82"/>
    <w:rsid w:val="002A1DBB"/>
    <w:rsid w:val="002A1E87"/>
    <w:rsid w:val="002A206C"/>
    <w:rsid w:val="002A20F1"/>
    <w:rsid w:val="002A26F1"/>
    <w:rsid w:val="002A2FB0"/>
    <w:rsid w:val="002A320D"/>
    <w:rsid w:val="002A4D32"/>
    <w:rsid w:val="002A4E69"/>
    <w:rsid w:val="002A5F87"/>
    <w:rsid w:val="002B017B"/>
    <w:rsid w:val="002B0DC0"/>
    <w:rsid w:val="002B2202"/>
    <w:rsid w:val="002B2664"/>
    <w:rsid w:val="002B4E21"/>
    <w:rsid w:val="002B5000"/>
    <w:rsid w:val="002B5913"/>
    <w:rsid w:val="002B6847"/>
    <w:rsid w:val="002B78AA"/>
    <w:rsid w:val="002B7B75"/>
    <w:rsid w:val="002C383C"/>
    <w:rsid w:val="002C4B70"/>
    <w:rsid w:val="002D1317"/>
    <w:rsid w:val="002D15BB"/>
    <w:rsid w:val="002D15D1"/>
    <w:rsid w:val="002D1C13"/>
    <w:rsid w:val="002D3109"/>
    <w:rsid w:val="002D365E"/>
    <w:rsid w:val="002D378C"/>
    <w:rsid w:val="002D403C"/>
    <w:rsid w:val="002D4DF5"/>
    <w:rsid w:val="002D6413"/>
    <w:rsid w:val="002D6F14"/>
    <w:rsid w:val="002D70AD"/>
    <w:rsid w:val="002D74D5"/>
    <w:rsid w:val="002D7EF7"/>
    <w:rsid w:val="002E14D1"/>
    <w:rsid w:val="002E1F18"/>
    <w:rsid w:val="002E3060"/>
    <w:rsid w:val="002E4922"/>
    <w:rsid w:val="002E4B2C"/>
    <w:rsid w:val="002E5261"/>
    <w:rsid w:val="002E5447"/>
    <w:rsid w:val="002E5C63"/>
    <w:rsid w:val="002E711E"/>
    <w:rsid w:val="002E76A1"/>
    <w:rsid w:val="002F00BB"/>
    <w:rsid w:val="002F1133"/>
    <w:rsid w:val="002F18C2"/>
    <w:rsid w:val="002F1DE7"/>
    <w:rsid w:val="002F2627"/>
    <w:rsid w:val="002F2748"/>
    <w:rsid w:val="002F2F34"/>
    <w:rsid w:val="002F3871"/>
    <w:rsid w:val="002F4619"/>
    <w:rsid w:val="002F4F05"/>
    <w:rsid w:val="002F54E8"/>
    <w:rsid w:val="002F552F"/>
    <w:rsid w:val="002F6423"/>
    <w:rsid w:val="002F6445"/>
    <w:rsid w:val="002F6580"/>
    <w:rsid w:val="002F6DCA"/>
    <w:rsid w:val="002F6DE8"/>
    <w:rsid w:val="002F74D8"/>
    <w:rsid w:val="002F7C72"/>
    <w:rsid w:val="002F7EDC"/>
    <w:rsid w:val="002F7FA3"/>
    <w:rsid w:val="003003A8"/>
    <w:rsid w:val="0030091B"/>
    <w:rsid w:val="00301E62"/>
    <w:rsid w:val="00302553"/>
    <w:rsid w:val="00303E1A"/>
    <w:rsid w:val="00304063"/>
    <w:rsid w:val="00304A2B"/>
    <w:rsid w:val="00304D71"/>
    <w:rsid w:val="0030555F"/>
    <w:rsid w:val="00305A3B"/>
    <w:rsid w:val="00305A50"/>
    <w:rsid w:val="00305BB4"/>
    <w:rsid w:val="00305C62"/>
    <w:rsid w:val="0030645F"/>
    <w:rsid w:val="00307ABB"/>
    <w:rsid w:val="00307CB0"/>
    <w:rsid w:val="003115D5"/>
    <w:rsid w:val="003117B9"/>
    <w:rsid w:val="00311C71"/>
    <w:rsid w:val="00313073"/>
    <w:rsid w:val="0031336C"/>
    <w:rsid w:val="0031339F"/>
    <w:rsid w:val="00313878"/>
    <w:rsid w:val="00313CC5"/>
    <w:rsid w:val="00313F3E"/>
    <w:rsid w:val="003150CB"/>
    <w:rsid w:val="00316188"/>
    <w:rsid w:val="00321D15"/>
    <w:rsid w:val="00322F58"/>
    <w:rsid w:val="003234A6"/>
    <w:rsid w:val="00323F65"/>
    <w:rsid w:val="0032473F"/>
    <w:rsid w:val="00325276"/>
    <w:rsid w:val="00326147"/>
    <w:rsid w:val="00327861"/>
    <w:rsid w:val="0033051E"/>
    <w:rsid w:val="0033090F"/>
    <w:rsid w:val="00330EB9"/>
    <w:rsid w:val="003314E4"/>
    <w:rsid w:val="00332840"/>
    <w:rsid w:val="00333076"/>
    <w:rsid w:val="00333113"/>
    <w:rsid w:val="003331E5"/>
    <w:rsid w:val="00333BC4"/>
    <w:rsid w:val="0033401D"/>
    <w:rsid w:val="00334115"/>
    <w:rsid w:val="00334294"/>
    <w:rsid w:val="00334456"/>
    <w:rsid w:val="00336150"/>
    <w:rsid w:val="00336E99"/>
    <w:rsid w:val="00337847"/>
    <w:rsid w:val="003402BD"/>
    <w:rsid w:val="00340DAC"/>
    <w:rsid w:val="00342417"/>
    <w:rsid w:val="00342A81"/>
    <w:rsid w:val="00344E6C"/>
    <w:rsid w:val="00344ED4"/>
    <w:rsid w:val="003454EC"/>
    <w:rsid w:val="00345DD2"/>
    <w:rsid w:val="00346537"/>
    <w:rsid w:val="00347B94"/>
    <w:rsid w:val="00350056"/>
    <w:rsid w:val="00352422"/>
    <w:rsid w:val="003527DD"/>
    <w:rsid w:val="003540D2"/>
    <w:rsid w:val="003547A2"/>
    <w:rsid w:val="0035497B"/>
    <w:rsid w:val="00355171"/>
    <w:rsid w:val="0035660E"/>
    <w:rsid w:val="00356D59"/>
    <w:rsid w:val="00357CFB"/>
    <w:rsid w:val="00362114"/>
    <w:rsid w:val="00362702"/>
    <w:rsid w:val="00362A37"/>
    <w:rsid w:val="00362CF0"/>
    <w:rsid w:val="00362D5D"/>
    <w:rsid w:val="003638ED"/>
    <w:rsid w:val="003642E9"/>
    <w:rsid w:val="0036470B"/>
    <w:rsid w:val="00364A3F"/>
    <w:rsid w:val="00364AC5"/>
    <w:rsid w:val="00364CB6"/>
    <w:rsid w:val="0036510F"/>
    <w:rsid w:val="00365D15"/>
    <w:rsid w:val="00366940"/>
    <w:rsid w:val="0036702F"/>
    <w:rsid w:val="00367707"/>
    <w:rsid w:val="00367ED1"/>
    <w:rsid w:val="00367F3A"/>
    <w:rsid w:val="00370ABA"/>
    <w:rsid w:val="00370BDF"/>
    <w:rsid w:val="003714D3"/>
    <w:rsid w:val="00371D78"/>
    <w:rsid w:val="00371E7F"/>
    <w:rsid w:val="00372FA2"/>
    <w:rsid w:val="003735E9"/>
    <w:rsid w:val="003739FE"/>
    <w:rsid w:val="003749D5"/>
    <w:rsid w:val="00374A0D"/>
    <w:rsid w:val="00374A30"/>
    <w:rsid w:val="00375AD7"/>
    <w:rsid w:val="00376453"/>
    <w:rsid w:val="00377D94"/>
    <w:rsid w:val="00380E30"/>
    <w:rsid w:val="00381F7C"/>
    <w:rsid w:val="0038254F"/>
    <w:rsid w:val="003826AD"/>
    <w:rsid w:val="00382858"/>
    <w:rsid w:val="003828EC"/>
    <w:rsid w:val="00383488"/>
    <w:rsid w:val="003843BB"/>
    <w:rsid w:val="00385143"/>
    <w:rsid w:val="003859DA"/>
    <w:rsid w:val="00386153"/>
    <w:rsid w:val="00386BA7"/>
    <w:rsid w:val="00386FDF"/>
    <w:rsid w:val="003878BA"/>
    <w:rsid w:val="00390B48"/>
    <w:rsid w:val="0039213A"/>
    <w:rsid w:val="00392600"/>
    <w:rsid w:val="00393BF6"/>
    <w:rsid w:val="00395AB8"/>
    <w:rsid w:val="00395D4D"/>
    <w:rsid w:val="00396220"/>
    <w:rsid w:val="00396933"/>
    <w:rsid w:val="00396D64"/>
    <w:rsid w:val="00397A06"/>
    <w:rsid w:val="00397B4B"/>
    <w:rsid w:val="003A0FAF"/>
    <w:rsid w:val="003A139C"/>
    <w:rsid w:val="003A1D79"/>
    <w:rsid w:val="003A38BD"/>
    <w:rsid w:val="003A38C8"/>
    <w:rsid w:val="003A3D42"/>
    <w:rsid w:val="003A6045"/>
    <w:rsid w:val="003A72D0"/>
    <w:rsid w:val="003A7364"/>
    <w:rsid w:val="003A7AE1"/>
    <w:rsid w:val="003B08F1"/>
    <w:rsid w:val="003B22FD"/>
    <w:rsid w:val="003B2398"/>
    <w:rsid w:val="003B3004"/>
    <w:rsid w:val="003B36FE"/>
    <w:rsid w:val="003B3A47"/>
    <w:rsid w:val="003B4168"/>
    <w:rsid w:val="003B42FF"/>
    <w:rsid w:val="003B4AC5"/>
    <w:rsid w:val="003B562C"/>
    <w:rsid w:val="003B5DF1"/>
    <w:rsid w:val="003B62D2"/>
    <w:rsid w:val="003B66A3"/>
    <w:rsid w:val="003B6852"/>
    <w:rsid w:val="003B687C"/>
    <w:rsid w:val="003B68A4"/>
    <w:rsid w:val="003B740D"/>
    <w:rsid w:val="003C03E3"/>
    <w:rsid w:val="003C27F7"/>
    <w:rsid w:val="003C3A36"/>
    <w:rsid w:val="003C43C3"/>
    <w:rsid w:val="003C5468"/>
    <w:rsid w:val="003C5728"/>
    <w:rsid w:val="003C5A15"/>
    <w:rsid w:val="003C5DF9"/>
    <w:rsid w:val="003C62C1"/>
    <w:rsid w:val="003C6A99"/>
    <w:rsid w:val="003C6C8F"/>
    <w:rsid w:val="003C6FA4"/>
    <w:rsid w:val="003D0509"/>
    <w:rsid w:val="003D0B3E"/>
    <w:rsid w:val="003D2352"/>
    <w:rsid w:val="003D27DF"/>
    <w:rsid w:val="003D3863"/>
    <w:rsid w:val="003D3D0A"/>
    <w:rsid w:val="003D3E57"/>
    <w:rsid w:val="003D3F0C"/>
    <w:rsid w:val="003D5516"/>
    <w:rsid w:val="003D716F"/>
    <w:rsid w:val="003D74EF"/>
    <w:rsid w:val="003D7CD8"/>
    <w:rsid w:val="003E0105"/>
    <w:rsid w:val="003E0800"/>
    <w:rsid w:val="003E1584"/>
    <w:rsid w:val="003E1BCA"/>
    <w:rsid w:val="003E2BAF"/>
    <w:rsid w:val="003E2D9C"/>
    <w:rsid w:val="003E33DE"/>
    <w:rsid w:val="003E3593"/>
    <w:rsid w:val="003E5712"/>
    <w:rsid w:val="003E585F"/>
    <w:rsid w:val="003E5EB2"/>
    <w:rsid w:val="003E5F94"/>
    <w:rsid w:val="003E6049"/>
    <w:rsid w:val="003E6720"/>
    <w:rsid w:val="003E67F9"/>
    <w:rsid w:val="003E717B"/>
    <w:rsid w:val="003F0D27"/>
    <w:rsid w:val="003F1C98"/>
    <w:rsid w:val="003F2B28"/>
    <w:rsid w:val="003F317C"/>
    <w:rsid w:val="003F4099"/>
    <w:rsid w:val="003F4813"/>
    <w:rsid w:val="003F4A21"/>
    <w:rsid w:val="003F5B93"/>
    <w:rsid w:val="003F5D0C"/>
    <w:rsid w:val="003F69F6"/>
    <w:rsid w:val="003F6BED"/>
    <w:rsid w:val="003F712B"/>
    <w:rsid w:val="00400460"/>
    <w:rsid w:val="004015E9"/>
    <w:rsid w:val="00403956"/>
    <w:rsid w:val="00405C9A"/>
    <w:rsid w:val="004060D3"/>
    <w:rsid w:val="00406654"/>
    <w:rsid w:val="0040752A"/>
    <w:rsid w:val="00410A9D"/>
    <w:rsid w:val="0041100B"/>
    <w:rsid w:val="004114F3"/>
    <w:rsid w:val="00412894"/>
    <w:rsid w:val="00412ECC"/>
    <w:rsid w:val="004130C3"/>
    <w:rsid w:val="004136A5"/>
    <w:rsid w:val="004136EC"/>
    <w:rsid w:val="00413E71"/>
    <w:rsid w:val="004147DB"/>
    <w:rsid w:val="004151B0"/>
    <w:rsid w:val="00415A33"/>
    <w:rsid w:val="00420166"/>
    <w:rsid w:val="00420366"/>
    <w:rsid w:val="004209E6"/>
    <w:rsid w:val="00421363"/>
    <w:rsid w:val="00421921"/>
    <w:rsid w:val="0042194B"/>
    <w:rsid w:val="00422100"/>
    <w:rsid w:val="00422110"/>
    <w:rsid w:val="004245D1"/>
    <w:rsid w:val="004249DE"/>
    <w:rsid w:val="004254D3"/>
    <w:rsid w:val="00426289"/>
    <w:rsid w:val="00426DDE"/>
    <w:rsid w:val="0042746B"/>
    <w:rsid w:val="00427953"/>
    <w:rsid w:val="004310D4"/>
    <w:rsid w:val="0043132F"/>
    <w:rsid w:val="00433544"/>
    <w:rsid w:val="00433574"/>
    <w:rsid w:val="0043369E"/>
    <w:rsid w:val="00433B69"/>
    <w:rsid w:val="00434557"/>
    <w:rsid w:val="00434FDC"/>
    <w:rsid w:val="004361C2"/>
    <w:rsid w:val="004369AD"/>
    <w:rsid w:val="00436DD6"/>
    <w:rsid w:val="00441C27"/>
    <w:rsid w:val="00443ACA"/>
    <w:rsid w:val="00443CF6"/>
    <w:rsid w:val="004445B3"/>
    <w:rsid w:val="00444FB7"/>
    <w:rsid w:val="004453EB"/>
    <w:rsid w:val="0044547F"/>
    <w:rsid w:val="00445D0B"/>
    <w:rsid w:val="004460E1"/>
    <w:rsid w:val="0044654B"/>
    <w:rsid w:val="00446D36"/>
    <w:rsid w:val="00447B9A"/>
    <w:rsid w:val="00447D62"/>
    <w:rsid w:val="00450674"/>
    <w:rsid w:val="0045299B"/>
    <w:rsid w:val="004532C6"/>
    <w:rsid w:val="004533FE"/>
    <w:rsid w:val="00453E4B"/>
    <w:rsid w:val="00453E68"/>
    <w:rsid w:val="00454715"/>
    <w:rsid w:val="004547F0"/>
    <w:rsid w:val="00454D80"/>
    <w:rsid w:val="00456785"/>
    <w:rsid w:val="00457996"/>
    <w:rsid w:val="00457BA1"/>
    <w:rsid w:val="0046230F"/>
    <w:rsid w:val="00462702"/>
    <w:rsid w:val="00462EB0"/>
    <w:rsid w:val="00463933"/>
    <w:rsid w:val="004640D2"/>
    <w:rsid w:val="00464346"/>
    <w:rsid w:val="00470325"/>
    <w:rsid w:val="004704EF"/>
    <w:rsid w:val="00470C14"/>
    <w:rsid w:val="00470F42"/>
    <w:rsid w:val="00471605"/>
    <w:rsid w:val="00471C92"/>
    <w:rsid w:val="0047297A"/>
    <w:rsid w:val="00473EB5"/>
    <w:rsid w:val="00474337"/>
    <w:rsid w:val="00474709"/>
    <w:rsid w:val="0047548D"/>
    <w:rsid w:val="00475DD1"/>
    <w:rsid w:val="00476238"/>
    <w:rsid w:val="00480184"/>
    <w:rsid w:val="00480516"/>
    <w:rsid w:val="00480658"/>
    <w:rsid w:val="00480D3C"/>
    <w:rsid w:val="00481192"/>
    <w:rsid w:val="0048170B"/>
    <w:rsid w:val="004818FF"/>
    <w:rsid w:val="00481BD4"/>
    <w:rsid w:val="00482440"/>
    <w:rsid w:val="00482AA2"/>
    <w:rsid w:val="0048372E"/>
    <w:rsid w:val="0048579F"/>
    <w:rsid w:val="00487005"/>
    <w:rsid w:val="00487D7D"/>
    <w:rsid w:val="00490117"/>
    <w:rsid w:val="004901A7"/>
    <w:rsid w:val="0049136C"/>
    <w:rsid w:val="00491DB4"/>
    <w:rsid w:val="00493D88"/>
    <w:rsid w:val="00495AE6"/>
    <w:rsid w:val="00495D83"/>
    <w:rsid w:val="004962FE"/>
    <w:rsid w:val="004965A2"/>
    <w:rsid w:val="004A084F"/>
    <w:rsid w:val="004A0AA8"/>
    <w:rsid w:val="004A14F0"/>
    <w:rsid w:val="004A1960"/>
    <w:rsid w:val="004A1FA1"/>
    <w:rsid w:val="004A3225"/>
    <w:rsid w:val="004A3F90"/>
    <w:rsid w:val="004A410A"/>
    <w:rsid w:val="004A4993"/>
    <w:rsid w:val="004A5F59"/>
    <w:rsid w:val="004A6F1F"/>
    <w:rsid w:val="004A6F98"/>
    <w:rsid w:val="004B071E"/>
    <w:rsid w:val="004B1213"/>
    <w:rsid w:val="004B170A"/>
    <w:rsid w:val="004B17D8"/>
    <w:rsid w:val="004B2323"/>
    <w:rsid w:val="004B2455"/>
    <w:rsid w:val="004B26CC"/>
    <w:rsid w:val="004B4EE4"/>
    <w:rsid w:val="004B5AD1"/>
    <w:rsid w:val="004B5C74"/>
    <w:rsid w:val="004B6113"/>
    <w:rsid w:val="004B62C3"/>
    <w:rsid w:val="004B7565"/>
    <w:rsid w:val="004C0324"/>
    <w:rsid w:val="004C033A"/>
    <w:rsid w:val="004C0BC8"/>
    <w:rsid w:val="004C1F08"/>
    <w:rsid w:val="004C250E"/>
    <w:rsid w:val="004C3233"/>
    <w:rsid w:val="004C461A"/>
    <w:rsid w:val="004C7449"/>
    <w:rsid w:val="004C7D23"/>
    <w:rsid w:val="004D0783"/>
    <w:rsid w:val="004D11CB"/>
    <w:rsid w:val="004D1A4A"/>
    <w:rsid w:val="004D1CCF"/>
    <w:rsid w:val="004D49E3"/>
    <w:rsid w:val="004D7163"/>
    <w:rsid w:val="004D749D"/>
    <w:rsid w:val="004D7905"/>
    <w:rsid w:val="004E0366"/>
    <w:rsid w:val="004E0F9B"/>
    <w:rsid w:val="004E1C30"/>
    <w:rsid w:val="004E3342"/>
    <w:rsid w:val="004E45AC"/>
    <w:rsid w:val="004E45CF"/>
    <w:rsid w:val="004E4672"/>
    <w:rsid w:val="004E5593"/>
    <w:rsid w:val="004E7A1E"/>
    <w:rsid w:val="004E7CA7"/>
    <w:rsid w:val="004E7F1A"/>
    <w:rsid w:val="004F0352"/>
    <w:rsid w:val="004F06FC"/>
    <w:rsid w:val="004F0740"/>
    <w:rsid w:val="004F3071"/>
    <w:rsid w:val="004F3320"/>
    <w:rsid w:val="004F415D"/>
    <w:rsid w:val="004F4980"/>
    <w:rsid w:val="004F4C01"/>
    <w:rsid w:val="004F63E4"/>
    <w:rsid w:val="004F66F4"/>
    <w:rsid w:val="004F74CD"/>
    <w:rsid w:val="004F7710"/>
    <w:rsid w:val="004F7884"/>
    <w:rsid w:val="00500266"/>
    <w:rsid w:val="00500AE9"/>
    <w:rsid w:val="005014D3"/>
    <w:rsid w:val="00502A45"/>
    <w:rsid w:val="0050542C"/>
    <w:rsid w:val="0050665D"/>
    <w:rsid w:val="005073E3"/>
    <w:rsid w:val="005077C0"/>
    <w:rsid w:val="0051057A"/>
    <w:rsid w:val="00512A63"/>
    <w:rsid w:val="00512DB8"/>
    <w:rsid w:val="00512DC1"/>
    <w:rsid w:val="00514C6B"/>
    <w:rsid w:val="00515A79"/>
    <w:rsid w:val="005161EC"/>
    <w:rsid w:val="0051709F"/>
    <w:rsid w:val="005175EB"/>
    <w:rsid w:val="00517CDA"/>
    <w:rsid w:val="00517E76"/>
    <w:rsid w:val="00520B60"/>
    <w:rsid w:val="00521A18"/>
    <w:rsid w:val="00522079"/>
    <w:rsid w:val="00522622"/>
    <w:rsid w:val="0052450E"/>
    <w:rsid w:val="0052506D"/>
    <w:rsid w:val="005252C5"/>
    <w:rsid w:val="00525410"/>
    <w:rsid w:val="005261FA"/>
    <w:rsid w:val="00530703"/>
    <w:rsid w:val="00530763"/>
    <w:rsid w:val="00532989"/>
    <w:rsid w:val="00532E84"/>
    <w:rsid w:val="0053342A"/>
    <w:rsid w:val="0053406B"/>
    <w:rsid w:val="00534691"/>
    <w:rsid w:val="00534EFD"/>
    <w:rsid w:val="005362F2"/>
    <w:rsid w:val="005363DC"/>
    <w:rsid w:val="0053707E"/>
    <w:rsid w:val="0053719A"/>
    <w:rsid w:val="005377BD"/>
    <w:rsid w:val="005400FD"/>
    <w:rsid w:val="00540F7F"/>
    <w:rsid w:val="0054166E"/>
    <w:rsid w:val="00543B42"/>
    <w:rsid w:val="00543F7A"/>
    <w:rsid w:val="00543FAD"/>
    <w:rsid w:val="00544C5B"/>
    <w:rsid w:val="00545452"/>
    <w:rsid w:val="00545A4C"/>
    <w:rsid w:val="0054651A"/>
    <w:rsid w:val="005469F7"/>
    <w:rsid w:val="00546EA9"/>
    <w:rsid w:val="00547343"/>
    <w:rsid w:val="005474CD"/>
    <w:rsid w:val="005478FE"/>
    <w:rsid w:val="00547DAE"/>
    <w:rsid w:val="005501B7"/>
    <w:rsid w:val="0055152E"/>
    <w:rsid w:val="00552094"/>
    <w:rsid w:val="005520C9"/>
    <w:rsid w:val="00552251"/>
    <w:rsid w:val="00552694"/>
    <w:rsid w:val="00553D73"/>
    <w:rsid w:val="005547CE"/>
    <w:rsid w:val="00554954"/>
    <w:rsid w:val="00554BAF"/>
    <w:rsid w:val="00554C93"/>
    <w:rsid w:val="00554C97"/>
    <w:rsid w:val="00554D3D"/>
    <w:rsid w:val="005551CD"/>
    <w:rsid w:val="00555886"/>
    <w:rsid w:val="00555A15"/>
    <w:rsid w:val="00556291"/>
    <w:rsid w:val="00556538"/>
    <w:rsid w:val="005569E4"/>
    <w:rsid w:val="0055771C"/>
    <w:rsid w:val="005600C5"/>
    <w:rsid w:val="00560E11"/>
    <w:rsid w:val="00561147"/>
    <w:rsid w:val="00561463"/>
    <w:rsid w:val="00561925"/>
    <w:rsid w:val="00561F8F"/>
    <w:rsid w:val="00562645"/>
    <w:rsid w:val="00563A0E"/>
    <w:rsid w:val="005647D0"/>
    <w:rsid w:val="00564A20"/>
    <w:rsid w:val="00566003"/>
    <w:rsid w:val="00567866"/>
    <w:rsid w:val="0057054E"/>
    <w:rsid w:val="0057098E"/>
    <w:rsid w:val="005709E9"/>
    <w:rsid w:val="0057256B"/>
    <w:rsid w:val="00572AB6"/>
    <w:rsid w:val="00574C59"/>
    <w:rsid w:val="0057663D"/>
    <w:rsid w:val="00576CE2"/>
    <w:rsid w:val="005770AC"/>
    <w:rsid w:val="00577C1A"/>
    <w:rsid w:val="00577FAA"/>
    <w:rsid w:val="0058041D"/>
    <w:rsid w:val="00581294"/>
    <w:rsid w:val="005826AA"/>
    <w:rsid w:val="00583BDF"/>
    <w:rsid w:val="00583CE7"/>
    <w:rsid w:val="00584AF6"/>
    <w:rsid w:val="005856E9"/>
    <w:rsid w:val="00585CD4"/>
    <w:rsid w:val="0058656D"/>
    <w:rsid w:val="005867BB"/>
    <w:rsid w:val="00587452"/>
    <w:rsid w:val="005877D0"/>
    <w:rsid w:val="0059063F"/>
    <w:rsid w:val="00590EA5"/>
    <w:rsid w:val="00591C2A"/>
    <w:rsid w:val="00592461"/>
    <w:rsid w:val="00592539"/>
    <w:rsid w:val="00594594"/>
    <w:rsid w:val="00595961"/>
    <w:rsid w:val="00596163"/>
    <w:rsid w:val="00596A05"/>
    <w:rsid w:val="00596D6D"/>
    <w:rsid w:val="00597284"/>
    <w:rsid w:val="0059729F"/>
    <w:rsid w:val="00597EE2"/>
    <w:rsid w:val="00597F8F"/>
    <w:rsid w:val="005A1EA2"/>
    <w:rsid w:val="005A20D6"/>
    <w:rsid w:val="005A2130"/>
    <w:rsid w:val="005A2467"/>
    <w:rsid w:val="005A56E7"/>
    <w:rsid w:val="005A5727"/>
    <w:rsid w:val="005A5858"/>
    <w:rsid w:val="005A5E0C"/>
    <w:rsid w:val="005A6E51"/>
    <w:rsid w:val="005A7C7F"/>
    <w:rsid w:val="005A7D88"/>
    <w:rsid w:val="005B0231"/>
    <w:rsid w:val="005B0A5E"/>
    <w:rsid w:val="005B130C"/>
    <w:rsid w:val="005B14FF"/>
    <w:rsid w:val="005B3075"/>
    <w:rsid w:val="005B3B71"/>
    <w:rsid w:val="005B41ED"/>
    <w:rsid w:val="005B4828"/>
    <w:rsid w:val="005B4B1B"/>
    <w:rsid w:val="005B4B4A"/>
    <w:rsid w:val="005B4F0F"/>
    <w:rsid w:val="005B58F0"/>
    <w:rsid w:val="005B6383"/>
    <w:rsid w:val="005B70FE"/>
    <w:rsid w:val="005C0E62"/>
    <w:rsid w:val="005C0F5B"/>
    <w:rsid w:val="005C1C46"/>
    <w:rsid w:val="005C1E06"/>
    <w:rsid w:val="005C1ED5"/>
    <w:rsid w:val="005C2E15"/>
    <w:rsid w:val="005C3B96"/>
    <w:rsid w:val="005C403B"/>
    <w:rsid w:val="005C63CB"/>
    <w:rsid w:val="005D0AA6"/>
    <w:rsid w:val="005D0D00"/>
    <w:rsid w:val="005D165F"/>
    <w:rsid w:val="005D21F3"/>
    <w:rsid w:val="005D2825"/>
    <w:rsid w:val="005D2B89"/>
    <w:rsid w:val="005D3CF8"/>
    <w:rsid w:val="005D4569"/>
    <w:rsid w:val="005D475A"/>
    <w:rsid w:val="005D4A63"/>
    <w:rsid w:val="005D5D89"/>
    <w:rsid w:val="005D6837"/>
    <w:rsid w:val="005E0D2D"/>
    <w:rsid w:val="005E2FA8"/>
    <w:rsid w:val="005E3FB6"/>
    <w:rsid w:val="005E5557"/>
    <w:rsid w:val="005E708D"/>
    <w:rsid w:val="005F0EF9"/>
    <w:rsid w:val="005F2693"/>
    <w:rsid w:val="005F2BCE"/>
    <w:rsid w:val="005F37ED"/>
    <w:rsid w:val="005F435C"/>
    <w:rsid w:val="005F4583"/>
    <w:rsid w:val="005F4ABB"/>
    <w:rsid w:val="005F4F57"/>
    <w:rsid w:val="005F6066"/>
    <w:rsid w:val="005F618A"/>
    <w:rsid w:val="005F6562"/>
    <w:rsid w:val="005F6C6D"/>
    <w:rsid w:val="005F6F09"/>
    <w:rsid w:val="005F72DF"/>
    <w:rsid w:val="005F787A"/>
    <w:rsid w:val="00600CBC"/>
    <w:rsid w:val="006019C7"/>
    <w:rsid w:val="00601AAA"/>
    <w:rsid w:val="00601C11"/>
    <w:rsid w:val="00601E7B"/>
    <w:rsid w:val="00601E8B"/>
    <w:rsid w:val="00601EBC"/>
    <w:rsid w:val="00602270"/>
    <w:rsid w:val="00602D32"/>
    <w:rsid w:val="006037DF"/>
    <w:rsid w:val="00603A84"/>
    <w:rsid w:val="00603DC8"/>
    <w:rsid w:val="00605E52"/>
    <w:rsid w:val="006067DC"/>
    <w:rsid w:val="006069EA"/>
    <w:rsid w:val="006078C5"/>
    <w:rsid w:val="00607A2B"/>
    <w:rsid w:val="00610379"/>
    <w:rsid w:val="00610629"/>
    <w:rsid w:val="00611ADD"/>
    <w:rsid w:val="00611BCD"/>
    <w:rsid w:val="00611C90"/>
    <w:rsid w:val="006122B1"/>
    <w:rsid w:val="00612532"/>
    <w:rsid w:val="0061258D"/>
    <w:rsid w:val="00612FF8"/>
    <w:rsid w:val="00613094"/>
    <w:rsid w:val="006142EC"/>
    <w:rsid w:val="00614FF6"/>
    <w:rsid w:val="006155A5"/>
    <w:rsid w:val="00617824"/>
    <w:rsid w:val="00620440"/>
    <w:rsid w:val="00621AD9"/>
    <w:rsid w:val="0062243A"/>
    <w:rsid w:val="00622D7B"/>
    <w:rsid w:val="0062337E"/>
    <w:rsid w:val="00624214"/>
    <w:rsid w:val="00625419"/>
    <w:rsid w:val="00626D1A"/>
    <w:rsid w:val="00627429"/>
    <w:rsid w:val="00630081"/>
    <w:rsid w:val="00630268"/>
    <w:rsid w:val="0063085C"/>
    <w:rsid w:val="0063089C"/>
    <w:rsid w:val="00630C32"/>
    <w:rsid w:val="00631DFA"/>
    <w:rsid w:val="00632A91"/>
    <w:rsid w:val="00633B25"/>
    <w:rsid w:val="006345E8"/>
    <w:rsid w:val="00634795"/>
    <w:rsid w:val="00636128"/>
    <w:rsid w:val="00636BB5"/>
    <w:rsid w:val="0063765C"/>
    <w:rsid w:val="0064034F"/>
    <w:rsid w:val="006403CB"/>
    <w:rsid w:val="00640F51"/>
    <w:rsid w:val="006410B0"/>
    <w:rsid w:val="0064139F"/>
    <w:rsid w:val="00641404"/>
    <w:rsid w:val="006414D6"/>
    <w:rsid w:val="006419E8"/>
    <w:rsid w:val="00641EDA"/>
    <w:rsid w:val="00642B97"/>
    <w:rsid w:val="00643128"/>
    <w:rsid w:val="00643680"/>
    <w:rsid w:val="00644453"/>
    <w:rsid w:val="00644B32"/>
    <w:rsid w:val="00644DDB"/>
    <w:rsid w:val="00645ED1"/>
    <w:rsid w:val="0064639A"/>
    <w:rsid w:val="0064646F"/>
    <w:rsid w:val="00646523"/>
    <w:rsid w:val="006469D4"/>
    <w:rsid w:val="00647BDD"/>
    <w:rsid w:val="0065273C"/>
    <w:rsid w:val="006528DC"/>
    <w:rsid w:val="00653761"/>
    <w:rsid w:val="00655ACB"/>
    <w:rsid w:val="00655EFA"/>
    <w:rsid w:val="00656A74"/>
    <w:rsid w:val="006571B9"/>
    <w:rsid w:val="00657221"/>
    <w:rsid w:val="00660BF1"/>
    <w:rsid w:val="00661FC1"/>
    <w:rsid w:val="006625F6"/>
    <w:rsid w:val="006632CE"/>
    <w:rsid w:val="00663FED"/>
    <w:rsid w:val="00664B64"/>
    <w:rsid w:val="00664BB8"/>
    <w:rsid w:val="0066751D"/>
    <w:rsid w:val="006678E3"/>
    <w:rsid w:val="00667A9C"/>
    <w:rsid w:val="00670053"/>
    <w:rsid w:val="006712E8"/>
    <w:rsid w:val="00672F39"/>
    <w:rsid w:val="0067741B"/>
    <w:rsid w:val="00677DA7"/>
    <w:rsid w:val="00680212"/>
    <w:rsid w:val="00680C90"/>
    <w:rsid w:val="00681036"/>
    <w:rsid w:val="006823AD"/>
    <w:rsid w:val="00682C29"/>
    <w:rsid w:val="006831D2"/>
    <w:rsid w:val="00683226"/>
    <w:rsid w:val="00683799"/>
    <w:rsid w:val="00685872"/>
    <w:rsid w:val="00685AD7"/>
    <w:rsid w:val="00685D0A"/>
    <w:rsid w:val="00686153"/>
    <w:rsid w:val="00686756"/>
    <w:rsid w:val="006900AA"/>
    <w:rsid w:val="00690CB0"/>
    <w:rsid w:val="00691963"/>
    <w:rsid w:val="00692124"/>
    <w:rsid w:val="00692A27"/>
    <w:rsid w:val="00692D96"/>
    <w:rsid w:val="00693C96"/>
    <w:rsid w:val="00694B98"/>
    <w:rsid w:val="00695AE9"/>
    <w:rsid w:val="00696339"/>
    <w:rsid w:val="00696982"/>
    <w:rsid w:val="006970A3"/>
    <w:rsid w:val="0069759E"/>
    <w:rsid w:val="006A06B2"/>
    <w:rsid w:val="006A218D"/>
    <w:rsid w:val="006A3F85"/>
    <w:rsid w:val="006A48FA"/>
    <w:rsid w:val="006A4E5D"/>
    <w:rsid w:val="006A539F"/>
    <w:rsid w:val="006A56F1"/>
    <w:rsid w:val="006A5DF2"/>
    <w:rsid w:val="006A6D6A"/>
    <w:rsid w:val="006A6E5C"/>
    <w:rsid w:val="006A7752"/>
    <w:rsid w:val="006B0972"/>
    <w:rsid w:val="006B0E10"/>
    <w:rsid w:val="006B2D0C"/>
    <w:rsid w:val="006B3153"/>
    <w:rsid w:val="006B3D08"/>
    <w:rsid w:val="006B5871"/>
    <w:rsid w:val="006B69EF"/>
    <w:rsid w:val="006B6BB1"/>
    <w:rsid w:val="006B6F48"/>
    <w:rsid w:val="006B7212"/>
    <w:rsid w:val="006C0307"/>
    <w:rsid w:val="006C14C3"/>
    <w:rsid w:val="006C1983"/>
    <w:rsid w:val="006C216A"/>
    <w:rsid w:val="006C4B6F"/>
    <w:rsid w:val="006C589D"/>
    <w:rsid w:val="006C5CD7"/>
    <w:rsid w:val="006C5ECE"/>
    <w:rsid w:val="006C6B39"/>
    <w:rsid w:val="006C769C"/>
    <w:rsid w:val="006C7A95"/>
    <w:rsid w:val="006D089F"/>
    <w:rsid w:val="006D11E8"/>
    <w:rsid w:val="006D1255"/>
    <w:rsid w:val="006D1667"/>
    <w:rsid w:val="006D24D8"/>
    <w:rsid w:val="006D3055"/>
    <w:rsid w:val="006D4296"/>
    <w:rsid w:val="006D4B0E"/>
    <w:rsid w:val="006D4D75"/>
    <w:rsid w:val="006D50C2"/>
    <w:rsid w:val="006D5676"/>
    <w:rsid w:val="006D5A7B"/>
    <w:rsid w:val="006D753C"/>
    <w:rsid w:val="006E031D"/>
    <w:rsid w:val="006E06DB"/>
    <w:rsid w:val="006E0A00"/>
    <w:rsid w:val="006E0D6E"/>
    <w:rsid w:val="006E0EE9"/>
    <w:rsid w:val="006E10A4"/>
    <w:rsid w:val="006E2C2D"/>
    <w:rsid w:val="006E306D"/>
    <w:rsid w:val="006E3813"/>
    <w:rsid w:val="006E4BEC"/>
    <w:rsid w:val="006E5179"/>
    <w:rsid w:val="006E6072"/>
    <w:rsid w:val="006E632A"/>
    <w:rsid w:val="006E6968"/>
    <w:rsid w:val="006E6A43"/>
    <w:rsid w:val="006E6BD7"/>
    <w:rsid w:val="006E71A6"/>
    <w:rsid w:val="006F04C6"/>
    <w:rsid w:val="006F08A0"/>
    <w:rsid w:val="006F2A97"/>
    <w:rsid w:val="006F3DD6"/>
    <w:rsid w:val="006F4728"/>
    <w:rsid w:val="006F5C4B"/>
    <w:rsid w:val="006F5DF4"/>
    <w:rsid w:val="006F600E"/>
    <w:rsid w:val="006F6E24"/>
    <w:rsid w:val="006F7AD7"/>
    <w:rsid w:val="00701C76"/>
    <w:rsid w:val="00702077"/>
    <w:rsid w:val="00702627"/>
    <w:rsid w:val="0070359F"/>
    <w:rsid w:val="0070464C"/>
    <w:rsid w:val="007047EF"/>
    <w:rsid w:val="007051E6"/>
    <w:rsid w:val="00705474"/>
    <w:rsid w:val="007057AD"/>
    <w:rsid w:val="007058D2"/>
    <w:rsid w:val="00705B46"/>
    <w:rsid w:val="007076B2"/>
    <w:rsid w:val="007106A3"/>
    <w:rsid w:val="00710D56"/>
    <w:rsid w:val="00710F62"/>
    <w:rsid w:val="00711BBB"/>
    <w:rsid w:val="00712882"/>
    <w:rsid w:val="0071340A"/>
    <w:rsid w:val="00713DAE"/>
    <w:rsid w:val="00713FC7"/>
    <w:rsid w:val="0071440D"/>
    <w:rsid w:val="0071626D"/>
    <w:rsid w:val="0071670A"/>
    <w:rsid w:val="00716C53"/>
    <w:rsid w:val="00716FD1"/>
    <w:rsid w:val="00720D0F"/>
    <w:rsid w:val="007218A9"/>
    <w:rsid w:val="0072241C"/>
    <w:rsid w:val="007245A5"/>
    <w:rsid w:val="00724791"/>
    <w:rsid w:val="0072671A"/>
    <w:rsid w:val="00726957"/>
    <w:rsid w:val="00726B60"/>
    <w:rsid w:val="00727E29"/>
    <w:rsid w:val="007303A8"/>
    <w:rsid w:val="00731628"/>
    <w:rsid w:val="00731FF4"/>
    <w:rsid w:val="0073400E"/>
    <w:rsid w:val="00734108"/>
    <w:rsid w:val="007343AD"/>
    <w:rsid w:val="0073448D"/>
    <w:rsid w:val="007347D3"/>
    <w:rsid w:val="00734937"/>
    <w:rsid w:val="00735087"/>
    <w:rsid w:val="007355F8"/>
    <w:rsid w:val="007356FF"/>
    <w:rsid w:val="007358C0"/>
    <w:rsid w:val="00735F3E"/>
    <w:rsid w:val="00736FA0"/>
    <w:rsid w:val="0073755C"/>
    <w:rsid w:val="007402A4"/>
    <w:rsid w:val="0074053E"/>
    <w:rsid w:val="00740BAA"/>
    <w:rsid w:val="007422CF"/>
    <w:rsid w:val="00742BAC"/>
    <w:rsid w:val="007441E7"/>
    <w:rsid w:val="00744266"/>
    <w:rsid w:val="00744796"/>
    <w:rsid w:val="00744C26"/>
    <w:rsid w:val="00747AF2"/>
    <w:rsid w:val="0075000E"/>
    <w:rsid w:val="00750C4A"/>
    <w:rsid w:val="00752156"/>
    <w:rsid w:val="0075243D"/>
    <w:rsid w:val="007529CE"/>
    <w:rsid w:val="00752BF6"/>
    <w:rsid w:val="00753A7A"/>
    <w:rsid w:val="00755613"/>
    <w:rsid w:val="00755991"/>
    <w:rsid w:val="00756E77"/>
    <w:rsid w:val="00757331"/>
    <w:rsid w:val="007577C2"/>
    <w:rsid w:val="0076038F"/>
    <w:rsid w:val="00760D77"/>
    <w:rsid w:val="00760D81"/>
    <w:rsid w:val="00760E02"/>
    <w:rsid w:val="007617E5"/>
    <w:rsid w:val="00761D97"/>
    <w:rsid w:val="00762284"/>
    <w:rsid w:val="00767481"/>
    <w:rsid w:val="00770F7F"/>
    <w:rsid w:val="007710F3"/>
    <w:rsid w:val="0077124E"/>
    <w:rsid w:val="00771272"/>
    <w:rsid w:val="0077236D"/>
    <w:rsid w:val="007723D4"/>
    <w:rsid w:val="00772FA7"/>
    <w:rsid w:val="0077388B"/>
    <w:rsid w:val="00774DFC"/>
    <w:rsid w:val="007751AE"/>
    <w:rsid w:val="007753A0"/>
    <w:rsid w:val="0077578C"/>
    <w:rsid w:val="007759A8"/>
    <w:rsid w:val="00775E28"/>
    <w:rsid w:val="00780FFF"/>
    <w:rsid w:val="00781ACA"/>
    <w:rsid w:val="00782272"/>
    <w:rsid w:val="007823CF"/>
    <w:rsid w:val="00783907"/>
    <w:rsid w:val="00783D3C"/>
    <w:rsid w:val="00783E35"/>
    <w:rsid w:val="00784812"/>
    <w:rsid w:val="00784F67"/>
    <w:rsid w:val="00786066"/>
    <w:rsid w:val="00786754"/>
    <w:rsid w:val="00786D49"/>
    <w:rsid w:val="00787061"/>
    <w:rsid w:val="00790256"/>
    <w:rsid w:val="00790BBF"/>
    <w:rsid w:val="00790F0A"/>
    <w:rsid w:val="00790F5E"/>
    <w:rsid w:val="007927A6"/>
    <w:rsid w:val="007929C0"/>
    <w:rsid w:val="00793A7D"/>
    <w:rsid w:val="00793BB6"/>
    <w:rsid w:val="007973A2"/>
    <w:rsid w:val="00797F6E"/>
    <w:rsid w:val="007A02EA"/>
    <w:rsid w:val="007A0D16"/>
    <w:rsid w:val="007A1CDA"/>
    <w:rsid w:val="007A1F4C"/>
    <w:rsid w:val="007A2292"/>
    <w:rsid w:val="007A2D74"/>
    <w:rsid w:val="007A53F8"/>
    <w:rsid w:val="007A5EE6"/>
    <w:rsid w:val="007A7B94"/>
    <w:rsid w:val="007B05BD"/>
    <w:rsid w:val="007B0791"/>
    <w:rsid w:val="007B0A15"/>
    <w:rsid w:val="007B1463"/>
    <w:rsid w:val="007B2272"/>
    <w:rsid w:val="007B2295"/>
    <w:rsid w:val="007B232F"/>
    <w:rsid w:val="007B23CD"/>
    <w:rsid w:val="007B260C"/>
    <w:rsid w:val="007B31A5"/>
    <w:rsid w:val="007B3327"/>
    <w:rsid w:val="007B3533"/>
    <w:rsid w:val="007B3B42"/>
    <w:rsid w:val="007B3F8E"/>
    <w:rsid w:val="007B46BA"/>
    <w:rsid w:val="007B4983"/>
    <w:rsid w:val="007B4996"/>
    <w:rsid w:val="007B5811"/>
    <w:rsid w:val="007B5848"/>
    <w:rsid w:val="007B6926"/>
    <w:rsid w:val="007B6FA3"/>
    <w:rsid w:val="007B705D"/>
    <w:rsid w:val="007C116D"/>
    <w:rsid w:val="007C1EBA"/>
    <w:rsid w:val="007C2AC0"/>
    <w:rsid w:val="007C2CF2"/>
    <w:rsid w:val="007C2DE3"/>
    <w:rsid w:val="007C312C"/>
    <w:rsid w:val="007C3156"/>
    <w:rsid w:val="007C398E"/>
    <w:rsid w:val="007C5764"/>
    <w:rsid w:val="007C61D0"/>
    <w:rsid w:val="007C68ED"/>
    <w:rsid w:val="007C6FAA"/>
    <w:rsid w:val="007C768F"/>
    <w:rsid w:val="007D0008"/>
    <w:rsid w:val="007D0B16"/>
    <w:rsid w:val="007D0EB2"/>
    <w:rsid w:val="007D24B5"/>
    <w:rsid w:val="007D251F"/>
    <w:rsid w:val="007D459F"/>
    <w:rsid w:val="007D4FA2"/>
    <w:rsid w:val="007D700C"/>
    <w:rsid w:val="007E0874"/>
    <w:rsid w:val="007E0FAD"/>
    <w:rsid w:val="007E11E7"/>
    <w:rsid w:val="007E3449"/>
    <w:rsid w:val="007E422E"/>
    <w:rsid w:val="007E60E9"/>
    <w:rsid w:val="007E63F3"/>
    <w:rsid w:val="007E66DF"/>
    <w:rsid w:val="007E67F3"/>
    <w:rsid w:val="007E6F5A"/>
    <w:rsid w:val="007E7C09"/>
    <w:rsid w:val="007F07D3"/>
    <w:rsid w:val="007F0916"/>
    <w:rsid w:val="007F0936"/>
    <w:rsid w:val="007F1E7D"/>
    <w:rsid w:val="007F2A79"/>
    <w:rsid w:val="007F3026"/>
    <w:rsid w:val="007F42DD"/>
    <w:rsid w:val="007F4E0F"/>
    <w:rsid w:val="007F568E"/>
    <w:rsid w:val="007F5D80"/>
    <w:rsid w:val="007F77CA"/>
    <w:rsid w:val="00800512"/>
    <w:rsid w:val="008011ED"/>
    <w:rsid w:val="00801636"/>
    <w:rsid w:val="00801666"/>
    <w:rsid w:val="00801A35"/>
    <w:rsid w:val="00802692"/>
    <w:rsid w:val="00802E5A"/>
    <w:rsid w:val="00803935"/>
    <w:rsid w:val="008042CC"/>
    <w:rsid w:val="008045D0"/>
    <w:rsid w:val="008046F9"/>
    <w:rsid w:val="008059B8"/>
    <w:rsid w:val="00806ADC"/>
    <w:rsid w:val="00807671"/>
    <w:rsid w:val="00810333"/>
    <w:rsid w:val="0081067B"/>
    <w:rsid w:val="00810760"/>
    <w:rsid w:val="008116C5"/>
    <w:rsid w:val="00811861"/>
    <w:rsid w:val="00811B5C"/>
    <w:rsid w:val="00811DC3"/>
    <w:rsid w:val="00812038"/>
    <w:rsid w:val="0081277D"/>
    <w:rsid w:val="008128F6"/>
    <w:rsid w:val="0081339D"/>
    <w:rsid w:val="0081415C"/>
    <w:rsid w:val="0081590D"/>
    <w:rsid w:val="00815E57"/>
    <w:rsid w:val="008163D0"/>
    <w:rsid w:val="008166F5"/>
    <w:rsid w:val="0081677E"/>
    <w:rsid w:val="008167AC"/>
    <w:rsid w:val="0081737D"/>
    <w:rsid w:val="00817467"/>
    <w:rsid w:val="00817A17"/>
    <w:rsid w:val="00817B9F"/>
    <w:rsid w:val="0082029C"/>
    <w:rsid w:val="008203F5"/>
    <w:rsid w:val="0082043E"/>
    <w:rsid w:val="0082167F"/>
    <w:rsid w:val="00821AC3"/>
    <w:rsid w:val="00822905"/>
    <w:rsid w:val="0082299E"/>
    <w:rsid w:val="00822EAE"/>
    <w:rsid w:val="0082398F"/>
    <w:rsid w:val="00825849"/>
    <w:rsid w:val="00827CD1"/>
    <w:rsid w:val="00830096"/>
    <w:rsid w:val="00830873"/>
    <w:rsid w:val="008313A0"/>
    <w:rsid w:val="0083169B"/>
    <w:rsid w:val="00832164"/>
    <w:rsid w:val="00832D86"/>
    <w:rsid w:val="00832F53"/>
    <w:rsid w:val="008339E1"/>
    <w:rsid w:val="00834003"/>
    <w:rsid w:val="0083455F"/>
    <w:rsid w:val="00834AD5"/>
    <w:rsid w:val="00834EA0"/>
    <w:rsid w:val="008369CE"/>
    <w:rsid w:val="00837EEC"/>
    <w:rsid w:val="0084063C"/>
    <w:rsid w:val="008407DB"/>
    <w:rsid w:val="00840FDD"/>
    <w:rsid w:val="008411D5"/>
    <w:rsid w:val="008413C3"/>
    <w:rsid w:val="00843042"/>
    <w:rsid w:val="00843C37"/>
    <w:rsid w:val="00844462"/>
    <w:rsid w:val="00844886"/>
    <w:rsid w:val="00844C2D"/>
    <w:rsid w:val="00846D68"/>
    <w:rsid w:val="00847859"/>
    <w:rsid w:val="00850E3F"/>
    <w:rsid w:val="008518E5"/>
    <w:rsid w:val="00851A0C"/>
    <w:rsid w:val="008524C3"/>
    <w:rsid w:val="00852B15"/>
    <w:rsid w:val="00852C7C"/>
    <w:rsid w:val="00853FBB"/>
    <w:rsid w:val="008543CB"/>
    <w:rsid w:val="00854699"/>
    <w:rsid w:val="008549BA"/>
    <w:rsid w:val="00856135"/>
    <w:rsid w:val="008575A4"/>
    <w:rsid w:val="00857A96"/>
    <w:rsid w:val="00860419"/>
    <w:rsid w:val="008608CA"/>
    <w:rsid w:val="0086147D"/>
    <w:rsid w:val="00861D7D"/>
    <w:rsid w:val="00861FE5"/>
    <w:rsid w:val="0086214E"/>
    <w:rsid w:val="00862B38"/>
    <w:rsid w:val="008636E3"/>
    <w:rsid w:val="0086376D"/>
    <w:rsid w:val="0086476F"/>
    <w:rsid w:val="008664B8"/>
    <w:rsid w:val="008664BF"/>
    <w:rsid w:val="0086698A"/>
    <w:rsid w:val="00866D6F"/>
    <w:rsid w:val="008678C7"/>
    <w:rsid w:val="00867D56"/>
    <w:rsid w:val="008703C2"/>
    <w:rsid w:val="0087209F"/>
    <w:rsid w:val="0087234E"/>
    <w:rsid w:val="00873AE0"/>
    <w:rsid w:val="00873B90"/>
    <w:rsid w:val="00874014"/>
    <w:rsid w:val="0087503A"/>
    <w:rsid w:val="00875B06"/>
    <w:rsid w:val="00875B81"/>
    <w:rsid w:val="00876D58"/>
    <w:rsid w:val="008806CC"/>
    <w:rsid w:val="00881829"/>
    <w:rsid w:val="00882C08"/>
    <w:rsid w:val="00883FC7"/>
    <w:rsid w:val="008849E6"/>
    <w:rsid w:val="0088513E"/>
    <w:rsid w:val="00886300"/>
    <w:rsid w:val="0089099F"/>
    <w:rsid w:val="00890AAF"/>
    <w:rsid w:val="0089159E"/>
    <w:rsid w:val="00892D32"/>
    <w:rsid w:val="00892F7A"/>
    <w:rsid w:val="00894CEB"/>
    <w:rsid w:val="00896A62"/>
    <w:rsid w:val="00897B73"/>
    <w:rsid w:val="00897B88"/>
    <w:rsid w:val="008A0715"/>
    <w:rsid w:val="008A113D"/>
    <w:rsid w:val="008A11BE"/>
    <w:rsid w:val="008A2E95"/>
    <w:rsid w:val="008A2F52"/>
    <w:rsid w:val="008A2F87"/>
    <w:rsid w:val="008A3A22"/>
    <w:rsid w:val="008A4F25"/>
    <w:rsid w:val="008A678B"/>
    <w:rsid w:val="008A6A27"/>
    <w:rsid w:val="008A7415"/>
    <w:rsid w:val="008B0034"/>
    <w:rsid w:val="008B0702"/>
    <w:rsid w:val="008B0A69"/>
    <w:rsid w:val="008B10F2"/>
    <w:rsid w:val="008B2397"/>
    <w:rsid w:val="008B33B5"/>
    <w:rsid w:val="008B3BAD"/>
    <w:rsid w:val="008B3CD6"/>
    <w:rsid w:val="008B5851"/>
    <w:rsid w:val="008B6003"/>
    <w:rsid w:val="008B62AB"/>
    <w:rsid w:val="008B691D"/>
    <w:rsid w:val="008C00CB"/>
    <w:rsid w:val="008C0DA3"/>
    <w:rsid w:val="008C1079"/>
    <w:rsid w:val="008C1C22"/>
    <w:rsid w:val="008C2485"/>
    <w:rsid w:val="008C2874"/>
    <w:rsid w:val="008C2C8E"/>
    <w:rsid w:val="008C4D11"/>
    <w:rsid w:val="008C548D"/>
    <w:rsid w:val="008C55B7"/>
    <w:rsid w:val="008C5FD3"/>
    <w:rsid w:val="008C7093"/>
    <w:rsid w:val="008D023D"/>
    <w:rsid w:val="008D12B5"/>
    <w:rsid w:val="008D31F6"/>
    <w:rsid w:val="008D3E28"/>
    <w:rsid w:val="008D54FA"/>
    <w:rsid w:val="008D5C05"/>
    <w:rsid w:val="008D6490"/>
    <w:rsid w:val="008D6FFD"/>
    <w:rsid w:val="008E0E41"/>
    <w:rsid w:val="008E1191"/>
    <w:rsid w:val="008E179B"/>
    <w:rsid w:val="008E2276"/>
    <w:rsid w:val="008E342E"/>
    <w:rsid w:val="008E3E9D"/>
    <w:rsid w:val="008E40E2"/>
    <w:rsid w:val="008E4D9C"/>
    <w:rsid w:val="008E566D"/>
    <w:rsid w:val="008E588C"/>
    <w:rsid w:val="008E5AFD"/>
    <w:rsid w:val="008E7121"/>
    <w:rsid w:val="008E71B2"/>
    <w:rsid w:val="008F3C22"/>
    <w:rsid w:val="008F52D9"/>
    <w:rsid w:val="008F6329"/>
    <w:rsid w:val="008F6BC6"/>
    <w:rsid w:val="008F7614"/>
    <w:rsid w:val="009017C4"/>
    <w:rsid w:val="009025AB"/>
    <w:rsid w:val="0090265C"/>
    <w:rsid w:val="009029BE"/>
    <w:rsid w:val="00902B4C"/>
    <w:rsid w:val="00903019"/>
    <w:rsid w:val="00903A84"/>
    <w:rsid w:val="00903FC5"/>
    <w:rsid w:val="0090403F"/>
    <w:rsid w:val="009053B3"/>
    <w:rsid w:val="009057A9"/>
    <w:rsid w:val="00905C63"/>
    <w:rsid w:val="00906965"/>
    <w:rsid w:val="00906C33"/>
    <w:rsid w:val="009071FF"/>
    <w:rsid w:val="0090773E"/>
    <w:rsid w:val="009108DB"/>
    <w:rsid w:val="00910FAF"/>
    <w:rsid w:val="009112EB"/>
    <w:rsid w:val="0091149F"/>
    <w:rsid w:val="00912B4B"/>
    <w:rsid w:val="00913191"/>
    <w:rsid w:val="009131F2"/>
    <w:rsid w:val="0091344F"/>
    <w:rsid w:val="00914421"/>
    <w:rsid w:val="0091642A"/>
    <w:rsid w:val="00916431"/>
    <w:rsid w:val="009173E5"/>
    <w:rsid w:val="00917DBE"/>
    <w:rsid w:val="00921C13"/>
    <w:rsid w:val="00924A76"/>
    <w:rsid w:val="00925AC4"/>
    <w:rsid w:val="0092605A"/>
    <w:rsid w:val="0092689A"/>
    <w:rsid w:val="00930089"/>
    <w:rsid w:val="0093011C"/>
    <w:rsid w:val="009311CC"/>
    <w:rsid w:val="00931921"/>
    <w:rsid w:val="00932002"/>
    <w:rsid w:val="0093228E"/>
    <w:rsid w:val="009325E1"/>
    <w:rsid w:val="00933170"/>
    <w:rsid w:val="00933602"/>
    <w:rsid w:val="009338B2"/>
    <w:rsid w:val="00933FFF"/>
    <w:rsid w:val="009351EF"/>
    <w:rsid w:val="00936845"/>
    <w:rsid w:val="0093698F"/>
    <w:rsid w:val="00940914"/>
    <w:rsid w:val="009409E8"/>
    <w:rsid w:val="00942250"/>
    <w:rsid w:val="00942706"/>
    <w:rsid w:val="00942E51"/>
    <w:rsid w:val="0094361C"/>
    <w:rsid w:val="00944539"/>
    <w:rsid w:val="009465BB"/>
    <w:rsid w:val="00946A6A"/>
    <w:rsid w:val="00947EB7"/>
    <w:rsid w:val="0095056B"/>
    <w:rsid w:val="009509C6"/>
    <w:rsid w:val="00951FC3"/>
    <w:rsid w:val="009520BD"/>
    <w:rsid w:val="00952192"/>
    <w:rsid w:val="009525F7"/>
    <w:rsid w:val="0095280D"/>
    <w:rsid w:val="0095295D"/>
    <w:rsid w:val="00952B29"/>
    <w:rsid w:val="00953400"/>
    <w:rsid w:val="00953DBA"/>
    <w:rsid w:val="00954137"/>
    <w:rsid w:val="0095473D"/>
    <w:rsid w:val="00955882"/>
    <w:rsid w:val="00955ABF"/>
    <w:rsid w:val="00955D39"/>
    <w:rsid w:val="00956F74"/>
    <w:rsid w:val="00956F84"/>
    <w:rsid w:val="009575A0"/>
    <w:rsid w:val="00957C6C"/>
    <w:rsid w:val="00957FB1"/>
    <w:rsid w:val="00960AA2"/>
    <w:rsid w:val="009619FA"/>
    <w:rsid w:val="00962321"/>
    <w:rsid w:val="009636FD"/>
    <w:rsid w:val="00963881"/>
    <w:rsid w:val="009648EB"/>
    <w:rsid w:val="009649DC"/>
    <w:rsid w:val="00965E46"/>
    <w:rsid w:val="00966EB2"/>
    <w:rsid w:val="00970C67"/>
    <w:rsid w:val="0097119D"/>
    <w:rsid w:val="0097418D"/>
    <w:rsid w:val="00974456"/>
    <w:rsid w:val="009754D9"/>
    <w:rsid w:val="00977F25"/>
    <w:rsid w:val="00980399"/>
    <w:rsid w:val="009812DB"/>
    <w:rsid w:val="009816B7"/>
    <w:rsid w:val="0098179D"/>
    <w:rsid w:val="0098542C"/>
    <w:rsid w:val="00987961"/>
    <w:rsid w:val="00987E65"/>
    <w:rsid w:val="00991483"/>
    <w:rsid w:val="009916C3"/>
    <w:rsid w:val="0099296D"/>
    <w:rsid w:val="009933B5"/>
    <w:rsid w:val="009935AA"/>
    <w:rsid w:val="00993F94"/>
    <w:rsid w:val="009947EB"/>
    <w:rsid w:val="009951B2"/>
    <w:rsid w:val="009968FB"/>
    <w:rsid w:val="00996A57"/>
    <w:rsid w:val="00997B42"/>
    <w:rsid w:val="009A039C"/>
    <w:rsid w:val="009A0B7E"/>
    <w:rsid w:val="009A2214"/>
    <w:rsid w:val="009A2859"/>
    <w:rsid w:val="009A2DE7"/>
    <w:rsid w:val="009A305C"/>
    <w:rsid w:val="009A3255"/>
    <w:rsid w:val="009A4E21"/>
    <w:rsid w:val="009A4E90"/>
    <w:rsid w:val="009A4EB8"/>
    <w:rsid w:val="009A50B8"/>
    <w:rsid w:val="009A6481"/>
    <w:rsid w:val="009A737B"/>
    <w:rsid w:val="009A78E3"/>
    <w:rsid w:val="009A7C60"/>
    <w:rsid w:val="009A7D85"/>
    <w:rsid w:val="009B1823"/>
    <w:rsid w:val="009B19C1"/>
    <w:rsid w:val="009B267E"/>
    <w:rsid w:val="009B3134"/>
    <w:rsid w:val="009B406F"/>
    <w:rsid w:val="009B443A"/>
    <w:rsid w:val="009B4D09"/>
    <w:rsid w:val="009B6A1C"/>
    <w:rsid w:val="009B6DD1"/>
    <w:rsid w:val="009C1332"/>
    <w:rsid w:val="009C2DFD"/>
    <w:rsid w:val="009C36F3"/>
    <w:rsid w:val="009C37EA"/>
    <w:rsid w:val="009C4A4F"/>
    <w:rsid w:val="009C525B"/>
    <w:rsid w:val="009C6D34"/>
    <w:rsid w:val="009D0009"/>
    <w:rsid w:val="009D0025"/>
    <w:rsid w:val="009D05DC"/>
    <w:rsid w:val="009D0997"/>
    <w:rsid w:val="009D0A9E"/>
    <w:rsid w:val="009D2E97"/>
    <w:rsid w:val="009D3192"/>
    <w:rsid w:val="009D328E"/>
    <w:rsid w:val="009D3438"/>
    <w:rsid w:val="009D3B88"/>
    <w:rsid w:val="009D40B6"/>
    <w:rsid w:val="009D4D3A"/>
    <w:rsid w:val="009D5E71"/>
    <w:rsid w:val="009D7227"/>
    <w:rsid w:val="009D7AD4"/>
    <w:rsid w:val="009E06B9"/>
    <w:rsid w:val="009E0D9C"/>
    <w:rsid w:val="009E1231"/>
    <w:rsid w:val="009E1A57"/>
    <w:rsid w:val="009E36CA"/>
    <w:rsid w:val="009E3B94"/>
    <w:rsid w:val="009E3C73"/>
    <w:rsid w:val="009E4B6B"/>
    <w:rsid w:val="009E54AD"/>
    <w:rsid w:val="009E566D"/>
    <w:rsid w:val="009E5A9F"/>
    <w:rsid w:val="009E6470"/>
    <w:rsid w:val="009E6643"/>
    <w:rsid w:val="009E7175"/>
    <w:rsid w:val="009E7476"/>
    <w:rsid w:val="009F0074"/>
    <w:rsid w:val="009F08CB"/>
    <w:rsid w:val="009F1E5E"/>
    <w:rsid w:val="009F2749"/>
    <w:rsid w:val="009F344C"/>
    <w:rsid w:val="009F497B"/>
    <w:rsid w:val="009F4DB9"/>
    <w:rsid w:val="009F5331"/>
    <w:rsid w:val="009F621A"/>
    <w:rsid w:val="009F6453"/>
    <w:rsid w:val="009F6AD6"/>
    <w:rsid w:val="009F6F30"/>
    <w:rsid w:val="009F7267"/>
    <w:rsid w:val="009F7702"/>
    <w:rsid w:val="009F7855"/>
    <w:rsid w:val="009F7BFB"/>
    <w:rsid w:val="009F7CD0"/>
    <w:rsid w:val="00A00199"/>
    <w:rsid w:val="00A0081F"/>
    <w:rsid w:val="00A01B61"/>
    <w:rsid w:val="00A03BCB"/>
    <w:rsid w:val="00A0461D"/>
    <w:rsid w:val="00A048F3"/>
    <w:rsid w:val="00A04CA6"/>
    <w:rsid w:val="00A05202"/>
    <w:rsid w:val="00A052DD"/>
    <w:rsid w:val="00A055D8"/>
    <w:rsid w:val="00A05FA1"/>
    <w:rsid w:val="00A06B6C"/>
    <w:rsid w:val="00A06E6F"/>
    <w:rsid w:val="00A10AB8"/>
    <w:rsid w:val="00A118BF"/>
    <w:rsid w:val="00A11CBF"/>
    <w:rsid w:val="00A12937"/>
    <w:rsid w:val="00A12A49"/>
    <w:rsid w:val="00A135C4"/>
    <w:rsid w:val="00A13CB5"/>
    <w:rsid w:val="00A13FEC"/>
    <w:rsid w:val="00A148CA"/>
    <w:rsid w:val="00A179D2"/>
    <w:rsid w:val="00A17A6F"/>
    <w:rsid w:val="00A17B64"/>
    <w:rsid w:val="00A2001C"/>
    <w:rsid w:val="00A200C3"/>
    <w:rsid w:val="00A20A84"/>
    <w:rsid w:val="00A21103"/>
    <w:rsid w:val="00A21E3C"/>
    <w:rsid w:val="00A23407"/>
    <w:rsid w:val="00A23419"/>
    <w:rsid w:val="00A24BBD"/>
    <w:rsid w:val="00A24CE3"/>
    <w:rsid w:val="00A26D62"/>
    <w:rsid w:val="00A27D2E"/>
    <w:rsid w:val="00A30D78"/>
    <w:rsid w:val="00A31032"/>
    <w:rsid w:val="00A3180E"/>
    <w:rsid w:val="00A31CCF"/>
    <w:rsid w:val="00A32598"/>
    <w:rsid w:val="00A33A7A"/>
    <w:rsid w:val="00A33EF8"/>
    <w:rsid w:val="00A3432E"/>
    <w:rsid w:val="00A34E9A"/>
    <w:rsid w:val="00A3529C"/>
    <w:rsid w:val="00A366FB"/>
    <w:rsid w:val="00A37253"/>
    <w:rsid w:val="00A37C4F"/>
    <w:rsid w:val="00A37C51"/>
    <w:rsid w:val="00A37EB9"/>
    <w:rsid w:val="00A40DFB"/>
    <w:rsid w:val="00A41216"/>
    <w:rsid w:val="00A418A7"/>
    <w:rsid w:val="00A433DE"/>
    <w:rsid w:val="00A435BF"/>
    <w:rsid w:val="00A43C94"/>
    <w:rsid w:val="00A44242"/>
    <w:rsid w:val="00A448B0"/>
    <w:rsid w:val="00A44C28"/>
    <w:rsid w:val="00A46981"/>
    <w:rsid w:val="00A47BF1"/>
    <w:rsid w:val="00A513A1"/>
    <w:rsid w:val="00A518CD"/>
    <w:rsid w:val="00A51E64"/>
    <w:rsid w:val="00A52084"/>
    <w:rsid w:val="00A5210B"/>
    <w:rsid w:val="00A52335"/>
    <w:rsid w:val="00A524EC"/>
    <w:rsid w:val="00A52F4A"/>
    <w:rsid w:val="00A531D6"/>
    <w:rsid w:val="00A5346F"/>
    <w:rsid w:val="00A53EFB"/>
    <w:rsid w:val="00A54346"/>
    <w:rsid w:val="00A55211"/>
    <w:rsid w:val="00A569C9"/>
    <w:rsid w:val="00A575FB"/>
    <w:rsid w:val="00A57E0C"/>
    <w:rsid w:val="00A6039D"/>
    <w:rsid w:val="00A604AD"/>
    <w:rsid w:val="00A605C6"/>
    <w:rsid w:val="00A61B33"/>
    <w:rsid w:val="00A627DE"/>
    <w:rsid w:val="00A631B5"/>
    <w:rsid w:val="00A63351"/>
    <w:rsid w:val="00A6356C"/>
    <w:rsid w:val="00A647EE"/>
    <w:rsid w:val="00A6487D"/>
    <w:rsid w:val="00A65DF5"/>
    <w:rsid w:val="00A66D3E"/>
    <w:rsid w:val="00A66FBE"/>
    <w:rsid w:val="00A67304"/>
    <w:rsid w:val="00A674C1"/>
    <w:rsid w:val="00A676CE"/>
    <w:rsid w:val="00A7001C"/>
    <w:rsid w:val="00A70A43"/>
    <w:rsid w:val="00A710A1"/>
    <w:rsid w:val="00A71124"/>
    <w:rsid w:val="00A71FFD"/>
    <w:rsid w:val="00A725BD"/>
    <w:rsid w:val="00A73105"/>
    <w:rsid w:val="00A7455C"/>
    <w:rsid w:val="00A7461B"/>
    <w:rsid w:val="00A74ED2"/>
    <w:rsid w:val="00A75807"/>
    <w:rsid w:val="00A764F2"/>
    <w:rsid w:val="00A76599"/>
    <w:rsid w:val="00A7681A"/>
    <w:rsid w:val="00A77913"/>
    <w:rsid w:val="00A8084A"/>
    <w:rsid w:val="00A81C2D"/>
    <w:rsid w:val="00A8209D"/>
    <w:rsid w:val="00A82740"/>
    <w:rsid w:val="00A84661"/>
    <w:rsid w:val="00A8512F"/>
    <w:rsid w:val="00A85205"/>
    <w:rsid w:val="00A860C9"/>
    <w:rsid w:val="00A871E7"/>
    <w:rsid w:val="00A87C2D"/>
    <w:rsid w:val="00A9137F"/>
    <w:rsid w:val="00A91A72"/>
    <w:rsid w:val="00A9483B"/>
    <w:rsid w:val="00A94F2C"/>
    <w:rsid w:val="00A95043"/>
    <w:rsid w:val="00A95441"/>
    <w:rsid w:val="00A95530"/>
    <w:rsid w:val="00A95730"/>
    <w:rsid w:val="00A972E1"/>
    <w:rsid w:val="00AA091C"/>
    <w:rsid w:val="00AA0C0C"/>
    <w:rsid w:val="00AA0D85"/>
    <w:rsid w:val="00AA2B38"/>
    <w:rsid w:val="00AA2D9E"/>
    <w:rsid w:val="00AA3829"/>
    <w:rsid w:val="00AA3C07"/>
    <w:rsid w:val="00AA3F8C"/>
    <w:rsid w:val="00AA4214"/>
    <w:rsid w:val="00AA4CE0"/>
    <w:rsid w:val="00AA5C11"/>
    <w:rsid w:val="00AA6E6B"/>
    <w:rsid w:val="00AA7527"/>
    <w:rsid w:val="00AB1D32"/>
    <w:rsid w:val="00AB3052"/>
    <w:rsid w:val="00AB4248"/>
    <w:rsid w:val="00AB4520"/>
    <w:rsid w:val="00AB4A20"/>
    <w:rsid w:val="00AB572D"/>
    <w:rsid w:val="00AB5A86"/>
    <w:rsid w:val="00AB6170"/>
    <w:rsid w:val="00AB658F"/>
    <w:rsid w:val="00AB6BBF"/>
    <w:rsid w:val="00AB707C"/>
    <w:rsid w:val="00AC0684"/>
    <w:rsid w:val="00AC09D4"/>
    <w:rsid w:val="00AC0B37"/>
    <w:rsid w:val="00AC15C1"/>
    <w:rsid w:val="00AC2185"/>
    <w:rsid w:val="00AC2713"/>
    <w:rsid w:val="00AC3068"/>
    <w:rsid w:val="00AC30A8"/>
    <w:rsid w:val="00AC3C0B"/>
    <w:rsid w:val="00AC3C3E"/>
    <w:rsid w:val="00AC3C48"/>
    <w:rsid w:val="00AC4067"/>
    <w:rsid w:val="00AC4A56"/>
    <w:rsid w:val="00AC5389"/>
    <w:rsid w:val="00AC53DF"/>
    <w:rsid w:val="00AC54F8"/>
    <w:rsid w:val="00AC61A0"/>
    <w:rsid w:val="00AC644A"/>
    <w:rsid w:val="00AC692A"/>
    <w:rsid w:val="00AC6E58"/>
    <w:rsid w:val="00AC76DD"/>
    <w:rsid w:val="00AD0812"/>
    <w:rsid w:val="00AD0F08"/>
    <w:rsid w:val="00AD1585"/>
    <w:rsid w:val="00AD15A5"/>
    <w:rsid w:val="00AD1747"/>
    <w:rsid w:val="00AD235B"/>
    <w:rsid w:val="00AD2E67"/>
    <w:rsid w:val="00AD33C1"/>
    <w:rsid w:val="00AD3EFA"/>
    <w:rsid w:val="00AD41EF"/>
    <w:rsid w:val="00AD4BE2"/>
    <w:rsid w:val="00AD4C2B"/>
    <w:rsid w:val="00AD4C8E"/>
    <w:rsid w:val="00AD546D"/>
    <w:rsid w:val="00AD560B"/>
    <w:rsid w:val="00AD59BB"/>
    <w:rsid w:val="00AD5BBB"/>
    <w:rsid w:val="00AE02B5"/>
    <w:rsid w:val="00AE0494"/>
    <w:rsid w:val="00AE0B28"/>
    <w:rsid w:val="00AE0C8D"/>
    <w:rsid w:val="00AE0D50"/>
    <w:rsid w:val="00AE1947"/>
    <w:rsid w:val="00AE1ADF"/>
    <w:rsid w:val="00AE242E"/>
    <w:rsid w:val="00AE2D8E"/>
    <w:rsid w:val="00AE40DF"/>
    <w:rsid w:val="00AE4ABD"/>
    <w:rsid w:val="00AE4C9F"/>
    <w:rsid w:val="00AE61AB"/>
    <w:rsid w:val="00AE69FE"/>
    <w:rsid w:val="00AE6BBD"/>
    <w:rsid w:val="00AE75B8"/>
    <w:rsid w:val="00AE7A40"/>
    <w:rsid w:val="00AE7EF9"/>
    <w:rsid w:val="00AE7FD2"/>
    <w:rsid w:val="00AF1788"/>
    <w:rsid w:val="00AF2210"/>
    <w:rsid w:val="00AF2B83"/>
    <w:rsid w:val="00AF347E"/>
    <w:rsid w:val="00AF4529"/>
    <w:rsid w:val="00AF4A88"/>
    <w:rsid w:val="00AF5EA0"/>
    <w:rsid w:val="00AF60FC"/>
    <w:rsid w:val="00AF619D"/>
    <w:rsid w:val="00AF69B6"/>
    <w:rsid w:val="00AF6B6A"/>
    <w:rsid w:val="00AF70FB"/>
    <w:rsid w:val="00AF7A78"/>
    <w:rsid w:val="00B00B45"/>
    <w:rsid w:val="00B00CF0"/>
    <w:rsid w:val="00B014D6"/>
    <w:rsid w:val="00B01A75"/>
    <w:rsid w:val="00B02D39"/>
    <w:rsid w:val="00B03711"/>
    <w:rsid w:val="00B03B6B"/>
    <w:rsid w:val="00B043F5"/>
    <w:rsid w:val="00B04820"/>
    <w:rsid w:val="00B04CC3"/>
    <w:rsid w:val="00B06194"/>
    <w:rsid w:val="00B071ED"/>
    <w:rsid w:val="00B136BC"/>
    <w:rsid w:val="00B14AFA"/>
    <w:rsid w:val="00B17DE2"/>
    <w:rsid w:val="00B2096A"/>
    <w:rsid w:val="00B20E8D"/>
    <w:rsid w:val="00B21C36"/>
    <w:rsid w:val="00B21DCC"/>
    <w:rsid w:val="00B2387A"/>
    <w:rsid w:val="00B270F4"/>
    <w:rsid w:val="00B27424"/>
    <w:rsid w:val="00B306E6"/>
    <w:rsid w:val="00B31B35"/>
    <w:rsid w:val="00B32541"/>
    <w:rsid w:val="00B3267F"/>
    <w:rsid w:val="00B32686"/>
    <w:rsid w:val="00B32A29"/>
    <w:rsid w:val="00B32BBA"/>
    <w:rsid w:val="00B32BD5"/>
    <w:rsid w:val="00B33F73"/>
    <w:rsid w:val="00B34491"/>
    <w:rsid w:val="00B34CBA"/>
    <w:rsid w:val="00B35F87"/>
    <w:rsid w:val="00B36DA1"/>
    <w:rsid w:val="00B37648"/>
    <w:rsid w:val="00B379DA"/>
    <w:rsid w:val="00B37A67"/>
    <w:rsid w:val="00B41203"/>
    <w:rsid w:val="00B41500"/>
    <w:rsid w:val="00B41BA4"/>
    <w:rsid w:val="00B41C7E"/>
    <w:rsid w:val="00B45C17"/>
    <w:rsid w:val="00B51A90"/>
    <w:rsid w:val="00B5297F"/>
    <w:rsid w:val="00B52C83"/>
    <w:rsid w:val="00B52E16"/>
    <w:rsid w:val="00B53812"/>
    <w:rsid w:val="00B539DD"/>
    <w:rsid w:val="00B53C36"/>
    <w:rsid w:val="00B54DC0"/>
    <w:rsid w:val="00B5779F"/>
    <w:rsid w:val="00B60E5C"/>
    <w:rsid w:val="00B60F9A"/>
    <w:rsid w:val="00B61000"/>
    <w:rsid w:val="00B623DA"/>
    <w:rsid w:val="00B626BB"/>
    <w:rsid w:val="00B62736"/>
    <w:rsid w:val="00B62A03"/>
    <w:rsid w:val="00B62A71"/>
    <w:rsid w:val="00B62EF9"/>
    <w:rsid w:val="00B630C6"/>
    <w:rsid w:val="00B64448"/>
    <w:rsid w:val="00B64D74"/>
    <w:rsid w:val="00B64E10"/>
    <w:rsid w:val="00B65DC0"/>
    <w:rsid w:val="00B668B2"/>
    <w:rsid w:val="00B66ECB"/>
    <w:rsid w:val="00B674DA"/>
    <w:rsid w:val="00B67C2D"/>
    <w:rsid w:val="00B703C2"/>
    <w:rsid w:val="00B70AEE"/>
    <w:rsid w:val="00B70D91"/>
    <w:rsid w:val="00B70E59"/>
    <w:rsid w:val="00B71F01"/>
    <w:rsid w:val="00B72A56"/>
    <w:rsid w:val="00B72EDF"/>
    <w:rsid w:val="00B72FA0"/>
    <w:rsid w:val="00B73209"/>
    <w:rsid w:val="00B7482E"/>
    <w:rsid w:val="00B74A2B"/>
    <w:rsid w:val="00B75341"/>
    <w:rsid w:val="00B75D33"/>
    <w:rsid w:val="00B75F1D"/>
    <w:rsid w:val="00B7708B"/>
    <w:rsid w:val="00B7721B"/>
    <w:rsid w:val="00B77971"/>
    <w:rsid w:val="00B80E25"/>
    <w:rsid w:val="00B80FB0"/>
    <w:rsid w:val="00B811DA"/>
    <w:rsid w:val="00B81817"/>
    <w:rsid w:val="00B831D2"/>
    <w:rsid w:val="00B8347E"/>
    <w:rsid w:val="00B837E0"/>
    <w:rsid w:val="00B83D98"/>
    <w:rsid w:val="00B83F39"/>
    <w:rsid w:val="00B8462C"/>
    <w:rsid w:val="00B84B4A"/>
    <w:rsid w:val="00B84B66"/>
    <w:rsid w:val="00B8589C"/>
    <w:rsid w:val="00B858BA"/>
    <w:rsid w:val="00B85F09"/>
    <w:rsid w:val="00B86BAC"/>
    <w:rsid w:val="00B915BE"/>
    <w:rsid w:val="00B918B7"/>
    <w:rsid w:val="00B9400E"/>
    <w:rsid w:val="00B94A3B"/>
    <w:rsid w:val="00B95602"/>
    <w:rsid w:val="00B956A9"/>
    <w:rsid w:val="00B95DCE"/>
    <w:rsid w:val="00B965AC"/>
    <w:rsid w:val="00B965D6"/>
    <w:rsid w:val="00B97B35"/>
    <w:rsid w:val="00BA3196"/>
    <w:rsid w:val="00BA3509"/>
    <w:rsid w:val="00BA4473"/>
    <w:rsid w:val="00BA4671"/>
    <w:rsid w:val="00BA513D"/>
    <w:rsid w:val="00BA5877"/>
    <w:rsid w:val="00BB05B0"/>
    <w:rsid w:val="00BB124C"/>
    <w:rsid w:val="00BB17E3"/>
    <w:rsid w:val="00BB1CDB"/>
    <w:rsid w:val="00BB2110"/>
    <w:rsid w:val="00BB2E5F"/>
    <w:rsid w:val="00BB30C0"/>
    <w:rsid w:val="00BB3148"/>
    <w:rsid w:val="00BB3645"/>
    <w:rsid w:val="00BB4E70"/>
    <w:rsid w:val="00BB53E4"/>
    <w:rsid w:val="00BB547E"/>
    <w:rsid w:val="00BB69B7"/>
    <w:rsid w:val="00BB7958"/>
    <w:rsid w:val="00BC01A5"/>
    <w:rsid w:val="00BC1397"/>
    <w:rsid w:val="00BC2581"/>
    <w:rsid w:val="00BC280D"/>
    <w:rsid w:val="00BC3338"/>
    <w:rsid w:val="00BC3641"/>
    <w:rsid w:val="00BC3F55"/>
    <w:rsid w:val="00BC468E"/>
    <w:rsid w:val="00BC481A"/>
    <w:rsid w:val="00BC4D26"/>
    <w:rsid w:val="00BC555D"/>
    <w:rsid w:val="00BC658E"/>
    <w:rsid w:val="00BD0218"/>
    <w:rsid w:val="00BD113A"/>
    <w:rsid w:val="00BD12E7"/>
    <w:rsid w:val="00BD139D"/>
    <w:rsid w:val="00BD16AC"/>
    <w:rsid w:val="00BD1869"/>
    <w:rsid w:val="00BD1DE8"/>
    <w:rsid w:val="00BD200B"/>
    <w:rsid w:val="00BD5B75"/>
    <w:rsid w:val="00BD63DF"/>
    <w:rsid w:val="00BD64D4"/>
    <w:rsid w:val="00BD7C4B"/>
    <w:rsid w:val="00BE0332"/>
    <w:rsid w:val="00BE2173"/>
    <w:rsid w:val="00BE3188"/>
    <w:rsid w:val="00BE33E8"/>
    <w:rsid w:val="00BE589B"/>
    <w:rsid w:val="00BE62FA"/>
    <w:rsid w:val="00BE7539"/>
    <w:rsid w:val="00BE7668"/>
    <w:rsid w:val="00BE7B19"/>
    <w:rsid w:val="00BE7CB4"/>
    <w:rsid w:val="00BF2BEB"/>
    <w:rsid w:val="00BF3197"/>
    <w:rsid w:val="00BF4A60"/>
    <w:rsid w:val="00BF5092"/>
    <w:rsid w:val="00BF5820"/>
    <w:rsid w:val="00BF5E23"/>
    <w:rsid w:val="00BF6AD1"/>
    <w:rsid w:val="00BF7895"/>
    <w:rsid w:val="00C00734"/>
    <w:rsid w:val="00C01DB8"/>
    <w:rsid w:val="00C0300F"/>
    <w:rsid w:val="00C04C13"/>
    <w:rsid w:val="00C0523E"/>
    <w:rsid w:val="00C06435"/>
    <w:rsid w:val="00C06B87"/>
    <w:rsid w:val="00C06C3C"/>
    <w:rsid w:val="00C07194"/>
    <w:rsid w:val="00C0751C"/>
    <w:rsid w:val="00C07D81"/>
    <w:rsid w:val="00C07F14"/>
    <w:rsid w:val="00C07F15"/>
    <w:rsid w:val="00C11035"/>
    <w:rsid w:val="00C11A69"/>
    <w:rsid w:val="00C11B64"/>
    <w:rsid w:val="00C1218B"/>
    <w:rsid w:val="00C1268F"/>
    <w:rsid w:val="00C12B6B"/>
    <w:rsid w:val="00C12E26"/>
    <w:rsid w:val="00C1303D"/>
    <w:rsid w:val="00C135F1"/>
    <w:rsid w:val="00C140D0"/>
    <w:rsid w:val="00C1462F"/>
    <w:rsid w:val="00C146A0"/>
    <w:rsid w:val="00C14775"/>
    <w:rsid w:val="00C14C00"/>
    <w:rsid w:val="00C150A5"/>
    <w:rsid w:val="00C16B32"/>
    <w:rsid w:val="00C17A66"/>
    <w:rsid w:val="00C20F95"/>
    <w:rsid w:val="00C21127"/>
    <w:rsid w:val="00C21816"/>
    <w:rsid w:val="00C21915"/>
    <w:rsid w:val="00C22B21"/>
    <w:rsid w:val="00C22D88"/>
    <w:rsid w:val="00C23593"/>
    <w:rsid w:val="00C23845"/>
    <w:rsid w:val="00C26E81"/>
    <w:rsid w:val="00C27091"/>
    <w:rsid w:val="00C27B91"/>
    <w:rsid w:val="00C30450"/>
    <w:rsid w:val="00C31724"/>
    <w:rsid w:val="00C31846"/>
    <w:rsid w:val="00C32A33"/>
    <w:rsid w:val="00C33FF0"/>
    <w:rsid w:val="00C3410E"/>
    <w:rsid w:val="00C34278"/>
    <w:rsid w:val="00C35171"/>
    <w:rsid w:val="00C363D5"/>
    <w:rsid w:val="00C367FB"/>
    <w:rsid w:val="00C37AE4"/>
    <w:rsid w:val="00C41389"/>
    <w:rsid w:val="00C414D0"/>
    <w:rsid w:val="00C41BB7"/>
    <w:rsid w:val="00C42379"/>
    <w:rsid w:val="00C43B48"/>
    <w:rsid w:val="00C44004"/>
    <w:rsid w:val="00C445F4"/>
    <w:rsid w:val="00C447F5"/>
    <w:rsid w:val="00C507F0"/>
    <w:rsid w:val="00C50AD1"/>
    <w:rsid w:val="00C517E4"/>
    <w:rsid w:val="00C541E3"/>
    <w:rsid w:val="00C5422B"/>
    <w:rsid w:val="00C54D5A"/>
    <w:rsid w:val="00C54DF3"/>
    <w:rsid w:val="00C55DF3"/>
    <w:rsid w:val="00C56220"/>
    <w:rsid w:val="00C5651C"/>
    <w:rsid w:val="00C56A3E"/>
    <w:rsid w:val="00C56DC0"/>
    <w:rsid w:val="00C57E92"/>
    <w:rsid w:val="00C6089D"/>
    <w:rsid w:val="00C610B6"/>
    <w:rsid w:val="00C615AD"/>
    <w:rsid w:val="00C61EC7"/>
    <w:rsid w:val="00C6257F"/>
    <w:rsid w:val="00C63117"/>
    <w:rsid w:val="00C640C7"/>
    <w:rsid w:val="00C6539B"/>
    <w:rsid w:val="00C65784"/>
    <w:rsid w:val="00C65A3E"/>
    <w:rsid w:val="00C67BDD"/>
    <w:rsid w:val="00C67BFB"/>
    <w:rsid w:val="00C67EC5"/>
    <w:rsid w:val="00C70F24"/>
    <w:rsid w:val="00C714D8"/>
    <w:rsid w:val="00C717F6"/>
    <w:rsid w:val="00C72498"/>
    <w:rsid w:val="00C7264D"/>
    <w:rsid w:val="00C72FD7"/>
    <w:rsid w:val="00C73461"/>
    <w:rsid w:val="00C73A65"/>
    <w:rsid w:val="00C751E0"/>
    <w:rsid w:val="00C75EC0"/>
    <w:rsid w:val="00C75ECC"/>
    <w:rsid w:val="00C812C5"/>
    <w:rsid w:val="00C8155C"/>
    <w:rsid w:val="00C818C2"/>
    <w:rsid w:val="00C81940"/>
    <w:rsid w:val="00C831A8"/>
    <w:rsid w:val="00C856F3"/>
    <w:rsid w:val="00C85D03"/>
    <w:rsid w:val="00C85F62"/>
    <w:rsid w:val="00C866D7"/>
    <w:rsid w:val="00C871AD"/>
    <w:rsid w:val="00C9012B"/>
    <w:rsid w:val="00C907F0"/>
    <w:rsid w:val="00C9202C"/>
    <w:rsid w:val="00C93A91"/>
    <w:rsid w:val="00C95601"/>
    <w:rsid w:val="00C95D6D"/>
    <w:rsid w:val="00C96870"/>
    <w:rsid w:val="00C97115"/>
    <w:rsid w:val="00CA1947"/>
    <w:rsid w:val="00CA1C91"/>
    <w:rsid w:val="00CA323D"/>
    <w:rsid w:val="00CA487B"/>
    <w:rsid w:val="00CA54A0"/>
    <w:rsid w:val="00CA54DD"/>
    <w:rsid w:val="00CA54E2"/>
    <w:rsid w:val="00CA55EC"/>
    <w:rsid w:val="00CA5A9B"/>
    <w:rsid w:val="00CA67FF"/>
    <w:rsid w:val="00CB0ABB"/>
    <w:rsid w:val="00CB5477"/>
    <w:rsid w:val="00CB5515"/>
    <w:rsid w:val="00CB57B1"/>
    <w:rsid w:val="00CB5C3C"/>
    <w:rsid w:val="00CB6385"/>
    <w:rsid w:val="00CB6391"/>
    <w:rsid w:val="00CB72A7"/>
    <w:rsid w:val="00CB76EF"/>
    <w:rsid w:val="00CB773B"/>
    <w:rsid w:val="00CB7840"/>
    <w:rsid w:val="00CB7D21"/>
    <w:rsid w:val="00CC0E24"/>
    <w:rsid w:val="00CC2390"/>
    <w:rsid w:val="00CC34E2"/>
    <w:rsid w:val="00CC3A5F"/>
    <w:rsid w:val="00CC3EED"/>
    <w:rsid w:val="00CC4A5C"/>
    <w:rsid w:val="00CC4ADC"/>
    <w:rsid w:val="00CC5433"/>
    <w:rsid w:val="00CC5A1F"/>
    <w:rsid w:val="00CC5BB7"/>
    <w:rsid w:val="00CC5C02"/>
    <w:rsid w:val="00CC5F62"/>
    <w:rsid w:val="00CC64FC"/>
    <w:rsid w:val="00CC65F7"/>
    <w:rsid w:val="00CC69B4"/>
    <w:rsid w:val="00CC6D17"/>
    <w:rsid w:val="00CC7102"/>
    <w:rsid w:val="00CC7365"/>
    <w:rsid w:val="00CC7CF3"/>
    <w:rsid w:val="00CD06F0"/>
    <w:rsid w:val="00CD0BC3"/>
    <w:rsid w:val="00CD0BCD"/>
    <w:rsid w:val="00CD0D19"/>
    <w:rsid w:val="00CD1E85"/>
    <w:rsid w:val="00CD3A98"/>
    <w:rsid w:val="00CD3AEA"/>
    <w:rsid w:val="00CD3C32"/>
    <w:rsid w:val="00CD4235"/>
    <w:rsid w:val="00CD42C4"/>
    <w:rsid w:val="00CD4569"/>
    <w:rsid w:val="00CD4E62"/>
    <w:rsid w:val="00CD56D7"/>
    <w:rsid w:val="00CD57FC"/>
    <w:rsid w:val="00CD5F09"/>
    <w:rsid w:val="00CD632A"/>
    <w:rsid w:val="00CD6D83"/>
    <w:rsid w:val="00CD7887"/>
    <w:rsid w:val="00CD7CB6"/>
    <w:rsid w:val="00CE0AFD"/>
    <w:rsid w:val="00CE0B6D"/>
    <w:rsid w:val="00CE127E"/>
    <w:rsid w:val="00CE1C10"/>
    <w:rsid w:val="00CE1F40"/>
    <w:rsid w:val="00CE217C"/>
    <w:rsid w:val="00CE2378"/>
    <w:rsid w:val="00CE3583"/>
    <w:rsid w:val="00CE3B25"/>
    <w:rsid w:val="00CE3C42"/>
    <w:rsid w:val="00CE4AE9"/>
    <w:rsid w:val="00CE64C2"/>
    <w:rsid w:val="00CE68FF"/>
    <w:rsid w:val="00CE6F0C"/>
    <w:rsid w:val="00CE77A3"/>
    <w:rsid w:val="00CF0428"/>
    <w:rsid w:val="00CF198C"/>
    <w:rsid w:val="00CF371D"/>
    <w:rsid w:val="00CF41D0"/>
    <w:rsid w:val="00CF66CB"/>
    <w:rsid w:val="00CF7C14"/>
    <w:rsid w:val="00D00CF9"/>
    <w:rsid w:val="00D012FF"/>
    <w:rsid w:val="00D01B9B"/>
    <w:rsid w:val="00D03203"/>
    <w:rsid w:val="00D037DA"/>
    <w:rsid w:val="00D04844"/>
    <w:rsid w:val="00D04936"/>
    <w:rsid w:val="00D04CD8"/>
    <w:rsid w:val="00D04DEC"/>
    <w:rsid w:val="00D05309"/>
    <w:rsid w:val="00D06147"/>
    <w:rsid w:val="00D06CB5"/>
    <w:rsid w:val="00D10F9A"/>
    <w:rsid w:val="00D114ED"/>
    <w:rsid w:val="00D1152F"/>
    <w:rsid w:val="00D1164B"/>
    <w:rsid w:val="00D1261E"/>
    <w:rsid w:val="00D13D38"/>
    <w:rsid w:val="00D13F32"/>
    <w:rsid w:val="00D14B5E"/>
    <w:rsid w:val="00D1685E"/>
    <w:rsid w:val="00D171BA"/>
    <w:rsid w:val="00D20C89"/>
    <w:rsid w:val="00D20EF3"/>
    <w:rsid w:val="00D21CC7"/>
    <w:rsid w:val="00D223CF"/>
    <w:rsid w:val="00D224B8"/>
    <w:rsid w:val="00D230DD"/>
    <w:rsid w:val="00D2397C"/>
    <w:rsid w:val="00D25034"/>
    <w:rsid w:val="00D254A4"/>
    <w:rsid w:val="00D25935"/>
    <w:rsid w:val="00D25B74"/>
    <w:rsid w:val="00D25CA1"/>
    <w:rsid w:val="00D260BD"/>
    <w:rsid w:val="00D26224"/>
    <w:rsid w:val="00D26A58"/>
    <w:rsid w:val="00D27435"/>
    <w:rsid w:val="00D279FD"/>
    <w:rsid w:val="00D309C5"/>
    <w:rsid w:val="00D31096"/>
    <w:rsid w:val="00D31474"/>
    <w:rsid w:val="00D3157B"/>
    <w:rsid w:val="00D32933"/>
    <w:rsid w:val="00D3579F"/>
    <w:rsid w:val="00D36B62"/>
    <w:rsid w:val="00D36D88"/>
    <w:rsid w:val="00D372C6"/>
    <w:rsid w:val="00D37AF3"/>
    <w:rsid w:val="00D37BF5"/>
    <w:rsid w:val="00D37D73"/>
    <w:rsid w:val="00D421A7"/>
    <w:rsid w:val="00D42333"/>
    <w:rsid w:val="00D428E9"/>
    <w:rsid w:val="00D42987"/>
    <w:rsid w:val="00D42C18"/>
    <w:rsid w:val="00D43996"/>
    <w:rsid w:val="00D43F5E"/>
    <w:rsid w:val="00D44623"/>
    <w:rsid w:val="00D47CF6"/>
    <w:rsid w:val="00D50820"/>
    <w:rsid w:val="00D50E6E"/>
    <w:rsid w:val="00D511C3"/>
    <w:rsid w:val="00D512C7"/>
    <w:rsid w:val="00D51C0C"/>
    <w:rsid w:val="00D52328"/>
    <w:rsid w:val="00D5403B"/>
    <w:rsid w:val="00D5481D"/>
    <w:rsid w:val="00D54DBE"/>
    <w:rsid w:val="00D55B2D"/>
    <w:rsid w:val="00D578E1"/>
    <w:rsid w:val="00D57F7B"/>
    <w:rsid w:val="00D60045"/>
    <w:rsid w:val="00D62819"/>
    <w:rsid w:val="00D628AE"/>
    <w:rsid w:val="00D630A7"/>
    <w:rsid w:val="00D63507"/>
    <w:rsid w:val="00D647C9"/>
    <w:rsid w:val="00D65BD8"/>
    <w:rsid w:val="00D6632B"/>
    <w:rsid w:val="00D6667C"/>
    <w:rsid w:val="00D673CF"/>
    <w:rsid w:val="00D6772B"/>
    <w:rsid w:val="00D67995"/>
    <w:rsid w:val="00D7163F"/>
    <w:rsid w:val="00D716AB"/>
    <w:rsid w:val="00D71F86"/>
    <w:rsid w:val="00D7298C"/>
    <w:rsid w:val="00D734D6"/>
    <w:rsid w:val="00D73998"/>
    <w:rsid w:val="00D75B70"/>
    <w:rsid w:val="00D764EF"/>
    <w:rsid w:val="00D76AE2"/>
    <w:rsid w:val="00D76CC5"/>
    <w:rsid w:val="00D76FD9"/>
    <w:rsid w:val="00D800BD"/>
    <w:rsid w:val="00D8036C"/>
    <w:rsid w:val="00D803AA"/>
    <w:rsid w:val="00D80AA1"/>
    <w:rsid w:val="00D80E8D"/>
    <w:rsid w:val="00D816C8"/>
    <w:rsid w:val="00D81BC5"/>
    <w:rsid w:val="00D827CE"/>
    <w:rsid w:val="00D83B25"/>
    <w:rsid w:val="00D84DEB"/>
    <w:rsid w:val="00D8578D"/>
    <w:rsid w:val="00D877A6"/>
    <w:rsid w:val="00D904D9"/>
    <w:rsid w:val="00D90928"/>
    <w:rsid w:val="00D90E99"/>
    <w:rsid w:val="00D91303"/>
    <w:rsid w:val="00D946F0"/>
    <w:rsid w:val="00D95156"/>
    <w:rsid w:val="00D95298"/>
    <w:rsid w:val="00D95BD9"/>
    <w:rsid w:val="00D95DC3"/>
    <w:rsid w:val="00D96A46"/>
    <w:rsid w:val="00D96A67"/>
    <w:rsid w:val="00D97800"/>
    <w:rsid w:val="00DA0543"/>
    <w:rsid w:val="00DA0B0B"/>
    <w:rsid w:val="00DA114C"/>
    <w:rsid w:val="00DA12D5"/>
    <w:rsid w:val="00DA3326"/>
    <w:rsid w:val="00DA3644"/>
    <w:rsid w:val="00DA3FA6"/>
    <w:rsid w:val="00DA3FCB"/>
    <w:rsid w:val="00DA61B9"/>
    <w:rsid w:val="00DA630F"/>
    <w:rsid w:val="00DA65E0"/>
    <w:rsid w:val="00DA6A38"/>
    <w:rsid w:val="00DA6B30"/>
    <w:rsid w:val="00DA7040"/>
    <w:rsid w:val="00DB07B5"/>
    <w:rsid w:val="00DB07F9"/>
    <w:rsid w:val="00DB0BBB"/>
    <w:rsid w:val="00DB1B72"/>
    <w:rsid w:val="00DB3CAF"/>
    <w:rsid w:val="00DB48F6"/>
    <w:rsid w:val="00DB4966"/>
    <w:rsid w:val="00DB4CF6"/>
    <w:rsid w:val="00DB5871"/>
    <w:rsid w:val="00DB5C8E"/>
    <w:rsid w:val="00DB70F6"/>
    <w:rsid w:val="00DB72F6"/>
    <w:rsid w:val="00DB775E"/>
    <w:rsid w:val="00DB7C43"/>
    <w:rsid w:val="00DC0936"/>
    <w:rsid w:val="00DC1386"/>
    <w:rsid w:val="00DC1462"/>
    <w:rsid w:val="00DC437C"/>
    <w:rsid w:val="00DC60C3"/>
    <w:rsid w:val="00DC7A46"/>
    <w:rsid w:val="00DD00C2"/>
    <w:rsid w:val="00DD0F54"/>
    <w:rsid w:val="00DD24D3"/>
    <w:rsid w:val="00DD3577"/>
    <w:rsid w:val="00DD3E3D"/>
    <w:rsid w:val="00DD4F7A"/>
    <w:rsid w:val="00DD5050"/>
    <w:rsid w:val="00DD5306"/>
    <w:rsid w:val="00DD577D"/>
    <w:rsid w:val="00DD5903"/>
    <w:rsid w:val="00DD5E1E"/>
    <w:rsid w:val="00DD5F95"/>
    <w:rsid w:val="00DE08CA"/>
    <w:rsid w:val="00DE17BA"/>
    <w:rsid w:val="00DE229B"/>
    <w:rsid w:val="00DE22E7"/>
    <w:rsid w:val="00DE2622"/>
    <w:rsid w:val="00DE27B6"/>
    <w:rsid w:val="00DE3A2B"/>
    <w:rsid w:val="00DE4A81"/>
    <w:rsid w:val="00DE65D3"/>
    <w:rsid w:val="00DE7AB8"/>
    <w:rsid w:val="00DF17D5"/>
    <w:rsid w:val="00DF310D"/>
    <w:rsid w:val="00DF3188"/>
    <w:rsid w:val="00DF4F4C"/>
    <w:rsid w:val="00DF5529"/>
    <w:rsid w:val="00DF5C9A"/>
    <w:rsid w:val="00DF6DE8"/>
    <w:rsid w:val="00DF6FB0"/>
    <w:rsid w:val="00DF70AD"/>
    <w:rsid w:val="00DF7104"/>
    <w:rsid w:val="00DF76B3"/>
    <w:rsid w:val="00DF76F2"/>
    <w:rsid w:val="00E00083"/>
    <w:rsid w:val="00E0037D"/>
    <w:rsid w:val="00E009E2"/>
    <w:rsid w:val="00E00E98"/>
    <w:rsid w:val="00E01112"/>
    <w:rsid w:val="00E01DE7"/>
    <w:rsid w:val="00E023A7"/>
    <w:rsid w:val="00E02BF0"/>
    <w:rsid w:val="00E02CD2"/>
    <w:rsid w:val="00E03934"/>
    <w:rsid w:val="00E0411F"/>
    <w:rsid w:val="00E0572E"/>
    <w:rsid w:val="00E05E5E"/>
    <w:rsid w:val="00E05F98"/>
    <w:rsid w:val="00E0777E"/>
    <w:rsid w:val="00E07C1E"/>
    <w:rsid w:val="00E10005"/>
    <w:rsid w:val="00E10433"/>
    <w:rsid w:val="00E10E20"/>
    <w:rsid w:val="00E112F9"/>
    <w:rsid w:val="00E11E4B"/>
    <w:rsid w:val="00E1238E"/>
    <w:rsid w:val="00E124B9"/>
    <w:rsid w:val="00E125CC"/>
    <w:rsid w:val="00E13527"/>
    <w:rsid w:val="00E138EA"/>
    <w:rsid w:val="00E13F21"/>
    <w:rsid w:val="00E14954"/>
    <w:rsid w:val="00E149E3"/>
    <w:rsid w:val="00E15B42"/>
    <w:rsid w:val="00E1612B"/>
    <w:rsid w:val="00E17515"/>
    <w:rsid w:val="00E20591"/>
    <w:rsid w:val="00E22766"/>
    <w:rsid w:val="00E22786"/>
    <w:rsid w:val="00E22C3D"/>
    <w:rsid w:val="00E233B4"/>
    <w:rsid w:val="00E2572E"/>
    <w:rsid w:val="00E26444"/>
    <w:rsid w:val="00E2692D"/>
    <w:rsid w:val="00E26E51"/>
    <w:rsid w:val="00E271C2"/>
    <w:rsid w:val="00E27AC2"/>
    <w:rsid w:val="00E30031"/>
    <w:rsid w:val="00E30C76"/>
    <w:rsid w:val="00E31023"/>
    <w:rsid w:val="00E31CAC"/>
    <w:rsid w:val="00E329A6"/>
    <w:rsid w:val="00E342FC"/>
    <w:rsid w:val="00E34CB5"/>
    <w:rsid w:val="00E36419"/>
    <w:rsid w:val="00E37789"/>
    <w:rsid w:val="00E4071A"/>
    <w:rsid w:val="00E412D8"/>
    <w:rsid w:val="00E41E29"/>
    <w:rsid w:val="00E42265"/>
    <w:rsid w:val="00E4297D"/>
    <w:rsid w:val="00E42B68"/>
    <w:rsid w:val="00E433EA"/>
    <w:rsid w:val="00E43C67"/>
    <w:rsid w:val="00E44F78"/>
    <w:rsid w:val="00E45DAA"/>
    <w:rsid w:val="00E464A7"/>
    <w:rsid w:val="00E46560"/>
    <w:rsid w:val="00E47307"/>
    <w:rsid w:val="00E47601"/>
    <w:rsid w:val="00E5099C"/>
    <w:rsid w:val="00E50DB1"/>
    <w:rsid w:val="00E51053"/>
    <w:rsid w:val="00E51A6B"/>
    <w:rsid w:val="00E51A9F"/>
    <w:rsid w:val="00E52CA8"/>
    <w:rsid w:val="00E52F43"/>
    <w:rsid w:val="00E536AA"/>
    <w:rsid w:val="00E54750"/>
    <w:rsid w:val="00E547FE"/>
    <w:rsid w:val="00E54A57"/>
    <w:rsid w:val="00E550CE"/>
    <w:rsid w:val="00E55D06"/>
    <w:rsid w:val="00E56C38"/>
    <w:rsid w:val="00E57675"/>
    <w:rsid w:val="00E57D25"/>
    <w:rsid w:val="00E60B86"/>
    <w:rsid w:val="00E61F44"/>
    <w:rsid w:val="00E62E45"/>
    <w:rsid w:val="00E62F7D"/>
    <w:rsid w:val="00E642D8"/>
    <w:rsid w:val="00E64458"/>
    <w:rsid w:val="00E6537B"/>
    <w:rsid w:val="00E657C7"/>
    <w:rsid w:val="00E66643"/>
    <w:rsid w:val="00E66BC2"/>
    <w:rsid w:val="00E67A89"/>
    <w:rsid w:val="00E67FA1"/>
    <w:rsid w:val="00E700B8"/>
    <w:rsid w:val="00E702B9"/>
    <w:rsid w:val="00E70588"/>
    <w:rsid w:val="00E713B0"/>
    <w:rsid w:val="00E720A3"/>
    <w:rsid w:val="00E73E87"/>
    <w:rsid w:val="00E74412"/>
    <w:rsid w:val="00E7485A"/>
    <w:rsid w:val="00E74B3C"/>
    <w:rsid w:val="00E754CB"/>
    <w:rsid w:val="00E75E07"/>
    <w:rsid w:val="00E75FA1"/>
    <w:rsid w:val="00E75FC7"/>
    <w:rsid w:val="00E76419"/>
    <w:rsid w:val="00E767F0"/>
    <w:rsid w:val="00E76E0F"/>
    <w:rsid w:val="00E77039"/>
    <w:rsid w:val="00E77787"/>
    <w:rsid w:val="00E77CB5"/>
    <w:rsid w:val="00E77CD7"/>
    <w:rsid w:val="00E805B6"/>
    <w:rsid w:val="00E81702"/>
    <w:rsid w:val="00E82017"/>
    <w:rsid w:val="00E82538"/>
    <w:rsid w:val="00E82792"/>
    <w:rsid w:val="00E8374B"/>
    <w:rsid w:val="00E83E10"/>
    <w:rsid w:val="00E844D7"/>
    <w:rsid w:val="00E8453C"/>
    <w:rsid w:val="00E853AF"/>
    <w:rsid w:val="00E90EA6"/>
    <w:rsid w:val="00E90F76"/>
    <w:rsid w:val="00E91487"/>
    <w:rsid w:val="00E91730"/>
    <w:rsid w:val="00E92E9D"/>
    <w:rsid w:val="00E93B3C"/>
    <w:rsid w:val="00E96A7F"/>
    <w:rsid w:val="00E96EE1"/>
    <w:rsid w:val="00EA031A"/>
    <w:rsid w:val="00EA0966"/>
    <w:rsid w:val="00EA0CE9"/>
    <w:rsid w:val="00EA1A40"/>
    <w:rsid w:val="00EA1EA2"/>
    <w:rsid w:val="00EA330D"/>
    <w:rsid w:val="00EA50E9"/>
    <w:rsid w:val="00EA5190"/>
    <w:rsid w:val="00EA5E8F"/>
    <w:rsid w:val="00EA5F4C"/>
    <w:rsid w:val="00EA6109"/>
    <w:rsid w:val="00EA62CF"/>
    <w:rsid w:val="00EA7B94"/>
    <w:rsid w:val="00EB0B79"/>
    <w:rsid w:val="00EB0F7A"/>
    <w:rsid w:val="00EB22F3"/>
    <w:rsid w:val="00EB2495"/>
    <w:rsid w:val="00EB2688"/>
    <w:rsid w:val="00EB2E9B"/>
    <w:rsid w:val="00EB3982"/>
    <w:rsid w:val="00EB42A0"/>
    <w:rsid w:val="00EB4FDC"/>
    <w:rsid w:val="00EB6181"/>
    <w:rsid w:val="00EB61A7"/>
    <w:rsid w:val="00EB664F"/>
    <w:rsid w:val="00EB7E37"/>
    <w:rsid w:val="00EC12E8"/>
    <w:rsid w:val="00EC1357"/>
    <w:rsid w:val="00EC1FDB"/>
    <w:rsid w:val="00EC45D7"/>
    <w:rsid w:val="00EC5ACF"/>
    <w:rsid w:val="00EC65B3"/>
    <w:rsid w:val="00EC75FD"/>
    <w:rsid w:val="00ED186A"/>
    <w:rsid w:val="00ED22A8"/>
    <w:rsid w:val="00ED2479"/>
    <w:rsid w:val="00ED4EB4"/>
    <w:rsid w:val="00ED59C3"/>
    <w:rsid w:val="00ED5D09"/>
    <w:rsid w:val="00ED67D2"/>
    <w:rsid w:val="00ED70BB"/>
    <w:rsid w:val="00ED7107"/>
    <w:rsid w:val="00ED75FC"/>
    <w:rsid w:val="00EE1F15"/>
    <w:rsid w:val="00EE2221"/>
    <w:rsid w:val="00EE276F"/>
    <w:rsid w:val="00EE2982"/>
    <w:rsid w:val="00EE329B"/>
    <w:rsid w:val="00EE3923"/>
    <w:rsid w:val="00EE3D5C"/>
    <w:rsid w:val="00EE634F"/>
    <w:rsid w:val="00EE6696"/>
    <w:rsid w:val="00EE6D84"/>
    <w:rsid w:val="00EE788D"/>
    <w:rsid w:val="00EE7CD1"/>
    <w:rsid w:val="00EF16A8"/>
    <w:rsid w:val="00EF1837"/>
    <w:rsid w:val="00EF1A15"/>
    <w:rsid w:val="00EF369D"/>
    <w:rsid w:val="00EF38A7"/>
    <w:rsid w:val="00EF5B75"/>
    <w:rsid w:val="00EF6A39"/>
    <w:rsid w:val="00EF6B8B"/>
    <w:rsid w:val="00EF72C6"/>
    <w:rsid w:val="00EF7EAF"/>
    <w:rsid w:val="00F00B38"/>
    <w:rsid w:val="00F01597"/>
    <w:rsid w:val="00F0292A"/>
    <w:rsid w:val="00F02DB8"/>
    <w:rsid w:val="00F035DE"/>
    <w:rsid w:val="00F0376E"/>
    <w:rsid w:val="00F044B3"/>
    <w:rsid w:val="00F05117"/>
    <w:rsid w:val="00F05E83"/>
    <w:rsid w:val="00F07DC4"/>
    <w:rsid w:val="00F07E05"/>
    <w:rsid w:val="00F07E4E"/>
    <w:rsid w:val="00F10842"/>
    <w:rsid w:val="00F10E14"/>
    <w:rsid w:val="00F10F8D"/>
    <w:rsid w:val="00F121F1"/>
    <w:rsid w:val="00F1275F"/>
    <w:rsid w:val="00F13C42"/>
    <w:rsid w:val="00F13FE3"/>
    <w:rsid w:val="00F15050"/>
    <w:rsid w:val="00F15A1B"/>
    <w:rsid w:val="00F15C50"/>
    <w:rsid w:val="00F161F7"/>
    <w:rsid w:val="00F16777"/>
    <w:rsid w:val="00F16D98"/>
    <w:rsid w:val="00F2045F"/>
    <w:rsid w:val="00F206E8"/>
    <w:rsid w:val="00F21755"/>
    <w:rsid w:val="00F21F2E"/>
    <w:rsid w:val="00F2314C"/>
    <w:rsid w:val="00F234EE"/>
    <w:rsid w:val="00F23947"/>
    <w:rsid w:val="00F23B61"/>
    <w:rsid w:val="00F2602F"/>
    <w:rsid w:val="00F276F1"/>
    <w:rsid w:val="00F313E7"/>
    <w:rsid w:val="00F315D0"/>
    <w:rsid w:val="00F31BFA"/>
    <w:rsid w:val="00F3236A"/>
    <w:rsid w:val="00F3237F"/>
    <w:rsid w:val="00F32680"/>
    <w:rsid w:val="00F336FB"/>
    <w:rsid w:val="00F33A66"/>
    <w:rsid w:val="00F34368"/>
    <w:rsid w:val="00F34E5A"/>
    <w:rsid w:val="00F35452"/>
    <w:rsid w:val="00F35886"/>
    <w:rsid w:val="00F35953"/>
    <w:rsid w:val="00F36467"/>
    <w:rsid w:val="00F37F06"/>
    <w:rsid w:val="00F40844"/>
    <w:rsid w:val="00F40CA7"/>
    <w:rsid w:val="00F40CED"/>
    <w:rsid w:val="00F4147A"/>
    <w:rsid w:val="00F4259D"/>
    <w:rsid w:val="00F42BCC"/>
    <w:rsid w:val="00F44659"/>
    <w:rsid w:val="00F45532"/>
    <w:rsid w:val="00F45ED2"/>
    <w:rsid w:val="00F525AF"/>
    <w:rsid w:val="00F53C4F"/>
    <w:rsid w:val="00F54717"/>
    <w:rsid w:val="00F55450"/>
    <w:rsid w:val="00F55B90"/>
    <w:rsid w:val="00F56749"/>
    <w:rsid w:val="00F56A51"/>
    <w:rsid w:val="00F56C05"/>
    <w:rsid w:val="00F6047C"/>
    <w:rsid w:val="00F61899"/>
    <w:rsid w:val="00F62E90"/>
    <w:rsid w:val="00F639DE"/>
    <w:rsid w:val="00F63D70"/>
    <w:rsid w:val="00F63FC7"/>
    <w:rsid w:val="00F66CD4"/>
    <w:rsid w:val="00F66E01"/>
    <w:rsid w:val="00F67D28"/>
    <w:rsid w:val="00F70131"/>
    <w:rsid w:val="00F7129A"/>
    <w:rsid w:val="00F7180D"/>
    <w:rsid w:val="00F727A7"/>
    <w:rsid w:val="00F727FE"/>
    <w:rsid w:val="00F729D7"/>
    <w:rsid w:val="00F74320"/>
    <w:rsid w:val="00F75031"/>
    <w:rsid w:val="00F75B2F"/>
    <w:rsid w:val="00F774CD"/>
    <w:rsid w:val="00F777E2"/>
    <w:rsid w:val="00F80F59"/>
    <w:rsid w:val="00F81207"/>
    <w:rsid w:val="00F822FC"/>
    <w:rsid w:val="00F82E69"/>
    <w:rsid w:val="00F8414D"/>
    <w:rsid w:val="00F84181"/>
    <w:rsid w:val="00F845EF"/>
    <w:rsid w:val="00F84C5D"/>
    <w:rsid w:val="00F8611D"/>
    <w:rsid w:val="00F86271"/>
    <w:rsid w:val="00F87164"/>
    <w:rsid w:val="00F87176"/>
    <w:rsid w:val="00F87303"/>
    <w:rsid w:val="00F91287"/>
    <w:rsid w:val="00F917FA"/>
    <w:rsid w:val="00F91B28"/>
    <w:rsid w:val="00F91DA0"/>
    <w:rsid w:val="00F9306F"/>
    <w:rsid w:val="00F93AAC"/>
    <w:rsid w:val="00F94888"/>
    <w:rsid w:val="00F94B4E"/>
    <w:rsid w:val="00F96200"/>
    <w:rsid w:val="00F978B7"/>
    <w:rsid w:val="00F978E7"/>
    <w:rsid w:val="00F97E8C"/>
    <w:rsid w:val="00FA0AE9"/>
    <w:rsid w:val="00FA1082"/>
    <w:rsid w:val="00FA2925"/>
    <w:rsid w:val="00FA2FCD"/>
    <w:rsid w:val="00FA3653"/>
    <w:rsid w:val="00FA3FA8"/>
    <w:rsid w:val="00FA4718"/>
    <w:rsid w:val="00FA64CC"/>
    <w:rsid w:val="00FA6728"/>
    <w:rsid w:val="00FA6E64"/>
    <w:rsid w:val="00FA741F"/>
    <w:rsid w:val="00FB0028"/>
    <w:rsid w:val="00FB1DCD"/>
    <w:rsid w:val="00FB2F0E"/>
    <w:rsid w:val="00FB31CC"/>
    <w:rsid w:val="00FB7269"/>
    <w:rsid w:val="00FB73AD"/>
    <w:rsid w:val="00FC03F5"/>
    <w:rsid w:val="00FC05EE"/>
    <w:rsid w:val="00FC15D0"/>
    <w:rsid w:val="00FC165B"/>
    <w:rsid w:val="00FC29FD"/>
    <w:rsid w:val="00FC2EC6"/>
    <w:rsid w:val="00FC339A"/>
    <w:rsid w:val="00FC36E0"/>
    <w:rsid w:val="00FC4E57"/>
    <w:rsid w:val="00FC546F"/>
    <w:rsid w:val="00FC5770"/>
    <w:rsid w:val="00FC6F5E"/>
    <w:rsid w:val="00FC711A"/>
    <w:rsid w:val="00FC7772"/>
    <w:rsid w:val="00FC7D31"/>
    <w:rsid w:val="00FD086C"/>
    <w:rsid w:val="00FD13AC"/>
    <w:rsid w:val="00FD1F83"/>
    <w:rsid w:val="00FD2860"/>
    <w:rsid w:val="00FD28E9"/>
    <w:rsid w:val="00FD2B9D"/>
    <w:rsid w:val="00FD2D28"/>
    <w:rsid w:val="00FD419A"/>
    <w:rsid w:val="00FD520A"/>
    <w:rsid w:val="00FD6BFE"/>
    <w:rsid w:val="00FD72B8"/>
    <w:rsid w:val="00FD783D"/>
    <w:rsid w:val="00FE0C31"/>
    <w:rsid w:val="00FE0C7C"/>
    <w:rsid w:val="00FE100C"/>
    <w:rsid w:val="00FE1365"/>
    <w:rsid w:val="00FE23FB"/>
    <w:rsid w:val="00FE34B0"/>
    <w:rsid w:val="00FE368A"/>
    <w:rsid w:val="00FE3C7B"/>
    <w:rsid w:val="00FE3FF3"/>
    <w:rsid w:val="00FE519E"/>
    <w:rsid w:val="00FE5528"/>
    <w:rsid w:val="00FE6816"/>
    <w:rsid w:val="00FE6D8B"/>
    <w:rsid w:val="00FE735E"/>
    <w:rsid w:val="00FF05A6"/>
    <w:rsid w:val="00FF0C57"/>
    <w:rsid w:val="00FF0EA3"/>
    <w:rsid w:val="00FF3827"/>
    <w:rsid w:val="00FF459F"/>
    <w:rsid w:val="00FF4D4F"/>
    <w:rsid w:val="00FF7554"/>
    <w:rsid w:val="00FF7B22"/>
    <w:rsid w:val="00FF7DA7"/>
    <w:rsid w:val="010B2944"/>
    <w:rsid w:val="02ED4F03"/>
    <w:rsid w:val="02F406BD"/>
    <w:rsid w:val="03B7227C"/>
    <w:rsid w:val="049732E7"/>
    <w:rsid w:val="05B043C0"/>
    <w:rsid w:val="07F17661"/>
    <w:rsid w:val="07F31ED7"/>
    <w:rsid w:val="07F86ADA"/>
    <w:rsid w:val="08051D1D"/>
    <w:rsid w:val="0A1E7D7B"/>
    <w:rsid w:val="0B012C64"/>
    <w:rsid w:val="0DE900CF"/>
    <w:rsid w:val="0EBD0493"/>
    <w:rsid w:val="0F1404D9"/>
    <w:rsid w:val="0FE20A36"/>
    <w:rsid w:val="10216846"/>
    <w:rsid w:val="10EE120F"/>
    <w:rsid w:val="11147140"/>
    <w:rsid w:val="1190430B"/>
    <w:rsid w:val="121A459D"/>
    <w:rsid w:val="1270704D"/>
    <w:rsid w:val="12E0706C"/>
    <w:rsid w:val="132F0815"/>
    <w:rsid w:val="141465E6"/>
    <w:rsid w:val="14314ED1"/>
    <w:rsid w:val="15A57986"/>
    <w:rsid w:val="160D2D3C"/>
    <w:rsid w:val="16117544"/>
    <w:rsid w:val="16D279EA"/>
    <w:rsid w:val="18DF6EA4"/>
    <w:rsid w:val="19846CBF"/>
    <w:rsid w:val="1A113708"/>
    <w:rsid w:val="1A4044F0"/>
    <w:rsid w:val="1A6570EC"/>
    <w:rsid w:val="1CAA786B"/>
    <w:rsid w:val="1E0550CA"/>
    <w:rsid w:val="1FB11BE5"/>
    <w:rsid w:val="1FDF14C3"/>
    <w:rsid w:val="209100DD"/>
    <w:rsid w:val="211E782C"/>
    <w:rsid w:val="229F4A05"/>
    <w:rsid w:val="23AD6886"/>
    <w:rsid w:val="245D6EB2"/>
    <w:rsid w:val="25BE5DF8"/>
    <w:rsid w:val="27081FE8"/>
    <w:rsid w:val="277300A1"/>
    <w:rsid w:val="288015D7"/>
    <w:rsid w:val="2B620169"/>
    <w:rsid w:val="2D8A3E6E"/>
    <w:rsid w:val="2DF37D7B"/>
    <w:rsid w:val="2F1979F3"/>
    <w:rsid w:val="2F6C1017"/>
    <w:rsid w:val="333A261A"/>
    <w:rsid w:val="374A71B0"/>
    <w:rsid w:val="3EA35278"/>
    <w:rsid w:val="3EE61DD7"/>
    <w:rsid w:val="3FAB6C69"/>
    <w:rsid w:val="3FD47A7E"/>
    <w:rsid w:val="411B526A"/>
    <w:rsid w:val="41277924"/>
    <w:rsid w:val="433F611E"/>
    <w:rsid w:val="449E47AD"/>
    <w:rsid w:val="45622DD6"/>
    <w:rsid w:val="456A722C"/>
    <w:rsid w:val="45961D45"/>
    <w:rsid w:val="46364EDD"/>
    <w:rsid w:val="471E5538"/>
    <w:rsid w:val="48ED1A4D"/>
    <w:rsid w:val="491258FE"/>
    <w:rsid w:val="4A9B01B3"/>
    <w:rsid w:val="4B282DC5"/>
    <w:rsid w:val="4C1C2BC2"/>
    <w:rsid w:val="4D8212ED"/>
    <w:rsid w:val="4DF436B0"/>
    <w:rsid w:val="4E5D4DD7"/>
    <w:rsid w:val="4E7B7E3E"/>
    <w:rsid w:val="50AD51CD"/>
    <w:rsid w:val="54706283"/>
    <w:rsid w:val="5A530F57"/>
    <w:rsid w:val="5A8352BC"/>
    <w:rsid w:val="5DC87A2D"/>
    <w:rsid w:val="5ED81BD0"/>
    <w:rsid w:val="5F5C7E32"/>
    <w:rsid w:val="5F902A22"/>
    <w:rsid w:val="62C14CA4"/>
    <w:rsid w:val="634A386C"/>
    <w:rsid w:val="63BC6DAC"/>
    <w:rsid w:val="664732F6"/>
    <w:rsid w:val="67213D70"/>
    <w:rsid w:val="67E20161"/>
    <w:rsid w:val="685F03C3"/>
    <w:rsid w:val="68BB4026"/>
    <w:rsid w:val="6AE7008D"/>
    <w:rsid w:val="6B202EF4"/>
    <w:rsid w:val="6B896871"/>
    <w:rsid w:val="6CD80157"/>
    <w:rsid w:val="6E280405"/>
    <w:rsid w:val="6EEB4623"/>
    <w:rsid w:val="70561F0D"/>
    <w:rsid w:val="72804FCF"/>
    <w:rsid w:val="72FC1A66"/>
    <w:rsid w:val="760B7E8B"/>
    <w:rsid w:val="76756366"/>
    <w:rsid w:val="77193E72"/>
    <w:rsid w:val="784966B1"/>
    <w:rsid w:val="7A3426C9"/>
    <w:rsid w:val="7B01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
    <w:pPr>
      <w:keepNext/>
      <w:keepLines/>
      <w:spacing w:before="100" w:beforeLines="100" w:after="100" w:afterLines="100" w:line="360" w:lineRule="auto"/>
      <w:jc w:val="center"/>
      <w:outlineLvl w:val="0"/>
    </w:pPr>
    <w:rPr>
      <w:b/>
      <w:bCs/>
      <w:kern w:val="44"/>
      <w:sz w:val="28"/>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szCs w:val="20"/>
    </w:rPr>
  </w:style>
  <w:style w:type="paragraph" w:styleId="7">
    <w:name w:val="Document Map"/>
    <w:basedOn w:val="1"/>
    <w:link w:val="38"/>
    <w:unhideWhenUsed/>
    <w:qFormat/>
    <w:uiPriority w:val="99"/>
    <w:rPr>
      <w:rFonts w:ascii="宋体"/>
      <w:sz w:val="18"/>
      <w:szCs w:val="18"/>
    </w:rPr>
  </w:style>
  <w:style w:type="paragraph" w:styleId="8">
    <w:name w:val="annotation text"/>
    <w:basedOn w:val="1"/>
    <w:link w:val="34"/>
    <w:unhideWhenUsed/>
    <w:qFormat/>
    <w:uiPriority w:val="0"/>
    <w:pPr>
      <w:jc w:val="left"/>
    </w:pPr>
  </w:style>
  <w:style w:type="paragraph" w:styleId="9">
    <w:name w:val="Balloon Text"/>
    <w:basedOn w:val="1"/>
    <w:semiHidden/>
    <w:qFormat/>
    <w:uiPriority w:val="0"/>
    <w:rPr>
      <w:sz w:val="18"/>
      <w:szCs w:val="18"/>
    </w:rPr>
  </w:style>
  <w:style w:type="paragraph" w:styleId="10">
    <w:name w:val="footer"/>
    <w:basedOn w:val="1"/>
    <w:link w:val="39"/>
    <w:unhideWhenUsed/>
    <w:qFormat/>
    <w:uiPriority w:val="99"/>
    <w:pPr>
      <w:tabs>
        <w:tab w:val="center" w:pos="4153"/>
        <w:tab w:val="right" w:pos="8306"/>
      </w:tabs>
      <w:snapToGrid w:val="0"/>
      <w:jc w:val="left"/>
    </w:pPr>
    <w:rPr>
      <w:kern w:val="0"/>
      <w:sz w:val="18"/>
      <w:szCs w:val="18"/>
    </w:rPr>
  </w:style>
  <w:style w:type="paragraph" w:styleId="11">
    <w:name w:val="header"/>
    <w:basedOn w:val="1"/>
    <w:link w:val="3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unhideWhenUsed/>
    <w:qFormat/>
    <w:uiPriority w:val="39"/>
  </w:style>
  <w:style w:type="paragraph" w:styleId="13">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unhideWhenUsed/>
    <w:qFormat/>
    <w:uiPriority w:val="39"/>
    <w:pPr>
      <w:ind w:left="480" w:leftChars="200"/>
    </w:pPr>
  </w:style>
  <w:style w:type="paragraph" w:styleId="15">
    <w:name w:val="annotation subject"/>
    <w:basedOn w:val="8"/>
    <w:next w:val="8"/>
    <w:link w:val="35"/>
    <w:unhideWhenUsed/>
    <w:qFormat/>
    <w:uiPriority w:val="99"/>
    <w:rPr>
      <w:b/>
      <w:bCs/>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8">
    <w:name w:val="Light Shading Accent 5"/>
    <w:basedOn w:val="16"/>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20">
    <w:name w:val="FollowedHyperlink"/>
    <w:semiHidden/>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unhideWhenUsed/>
    <w:qFormat/>
    <w:uiPriority w:val="0"/>
    <w:rPr>
      <w:sz w:val="21"/>
      <w:szCs w:val="21"/>
    </w:rPr>
  </w:style>
  <w:style w:type="paragraph" w:customStyle="1" w:styleId="23">
    <w:name w:val="_Style 19"/>
    <w:basedOn w:val="2"/>
    <w:next w:val="1"/>
    <w:qFormat/>
    <w:uiPriority w:val="39"/>
    <w:pPr>
      <w:widowControl/>
      <w:spacing w:before="480" w:beforeLines="0" w:line="276" w:lineRule="auto"/>
      <w:jc w:val="left"/>
      <w:outlineLvl w:val="9"/>
    </w:pPr>
    <w:rPr>
      <w:rFonts w:ascii="Cambria" w:hAnsi="Cambria"/>
      <w:color w:val="365F91"/>
      <w:kern w:val="0"/>
      <w:szCs w:val="28"/>
    </w:rPr>
  </w:style>
  <w:style w:type="paragraph" w:customStyle="1" w:styleId="24">
    <w:name w:val="XBRLTitle6"/>
    <w:basedOn w:val="13"/>
    <w:next w:val="5"/>
    <w:qFormat/>
    <w:uiPriority w:val="0"/>
    <w:pPr>
      <w:keepNext/>
      <w:keepLines/>
      <w:numPr>
        <w:ilvl w:val="5"/>
        <w:numId w:val="1"/>
      </w:numPr>
      <w:ind w:left="0" w:firstLine="0"/>
      <w:jc w:val="left"/>
    </w:pPr>
    <w:rPr>
      <w:bCs w:val="0"/>
      <w:sz w:val="24"/>
    </w:rPr>
  </w:style>
  <w:style w:type="paragraph" w:customStyle="1" w:styleId="25">
    <w:name w:val="_Style 21"/>
    <w:semiHidden/>
    <w:qFormat/>
    <w:uiPriority w:val="99"/>
    <w:rPr>
      <w:rFonts w:ascii="Calibri" w:hAnsi="Calibri" w:eastAsia="宋体" w:cs="Times New Roman"/>
      <w:kern w:val="2"/>
      <w:sz w:val="21"/>
      <w:szCs w:val="22"/>
      <w:lang w:val="en-US" w:eastAsia="zh-CN" w:bidi="ar-SA"/>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XBRLTitle1"/>
    <w:basedOn w:val="2"/>
    <w:next w:val="3"/>
    <w:qFormat/>
    <w:uiPriority w:val="0"/>
    <w:pPr>
      <w:numPr>
        <w:ilvl w:val="0"/>
        <w:numId w:val="1"/>
      </w:numPr>
      <w:spacing w:before="340" w:beforeLines="50" w:after="330" w:afterLines="50" w:line="240" w:lineRule="auto"/>
    </w:pPr>
    <w:rPr>
      <w:rFonts w:ascii="Cambria" w:hAnsi="Cambria"/>
    </w:rPr>
  </w:style>
  <w:style w:type="paragraph" w:customStyle="1" w:styleId="28">
    <w:name w:val="XBRLTitle2"/>
    <w:basedOn w:val="13"/>
    <w:next w:val="5"/>
    <w:qFormat/>
    <w:uiPriority w:val="0"/>
    <w:pPr>
      <w:keepNext/>
      <w:keepLines/>
      <w:numPr>
        <w:ilvl w:val="1"/>
        <w:numId w:val="1"/>
      </w:numPr>
      <w:jc w:val="left"/>
    </w:pPr>
    <w:rPr>
      <w:bCs w:val="0"/>
      <w:sz w:val="24"/>
    </w:rPr>
  </w:style>
  <w:style w:type="paragraph" w:customStyle="1" w:styleId="29">
    <w:name w:val="XBRLTitle3"/>
    <w:basedOn w:val="13"/>
    <w:next w:val="5"/>
    <w:qFormat/>
    <w:uiPriority w:val="0"/>
    <w:pPr>
      <w:keepNext/>
      <w:keepLines/>
      <w:numPr>
        <w:ilvl w:val="2"/>
        <w:numId w:val="1"/>
      </w:numPr>
      <w:ind w:left="0" w:firstLine="0"/>
      <w:jc w:val="left"/>
    </w:pPr>
    <w:rPr>
      <w:bCs w:val="0"/>
      <w:sz w:val="24"/>
    </w:rPr>
  </w:style>
  <w:style w:type="paragraph" w:customStyle="1" w:styleId="30">
    <w:name w:val="XBRLTitle5"/>
    <w:basedOn w:val="13"/>
    <w:next w:val="5"/>
    <w:qFormat/>
    <w:uiPriority w:val="0"/>
    <w:pPr>
      <w:keepNext/>
      <w:keepLines/>
      <w:numPr>
        <w:ilvl w:val="4"/>
        <w:numId w:val="1"/>
      </w:numPr>
      <w:ind w:left="0" w:firstLine="0"/>
      <w:jc w:val="left"/>
    </w:pPr>
    <w:rPr>
      <w:bCs w:val="0"/>
      <w:sz w:val="24"/>
    </w:rPr>
  </w:style>
  <w:style w:type="paragraph" w:customStyle="1" w:styleId="31">
    <w:name w:val="XBRLTitle4"/>
    <w:basedOn w:val="13"/>
    <w:next w:val="5"/>
    <w:qFormat/>
    <w:uiPriority w:val="0"/>
    <w:pPr>
      <w:keepNext/>
      <w:keepLines/>
      <w:numPr>
        <w:ilvl w:val="3"/>
        <w:numId w:val="1"/>
      </w:numPr>
      <w:ind w:left="0" w:firstLine="0"/>
      <w:jc w:val="left"/>
    </w:pPr>
    <w:rPr>
      <w:bCs w:val="0"/>
      <w:sz w:val="24"/>
    </w:rPr>
  </w:style>
  <w:style w:type="character" w:customStyle="1" w:styleId="32">
    <w:name w:val="副标题 Char1"/>
    <w:qFormat/>
    <w:uiPriority w:val="0"/>
    <w:rPr>
      <w:rFonts w:ascii="Cambria" w:hAnsi="Cambria"/>
      <w:b/>
      <w:kern w:val="28"/>
      <w:sz w:val="24"/>
      <w:szCs w:val="32"/>
    </w:rPr>
  </w:style>
  <w:style w:type="character" w:customStyle="1" w:styleId="33">
    <w:name w:val="txtcontent11"/>
    <w:qFormat/>
    <w:uiPriority w:val="0"/>
    <w:rPr>
      <w:rFonts w:hint="default" w:ascii="ˎ̥" w:hAnsi="ˎ̥"/>
      <w:color w:val="000000"/>
      <w:sz w:val="21"/>
      <w:szCs w:val="21"/>
    </w:rPr>
  </w:style>
  <w:style w:type="character" w:customStyle="1" w:styleId="34">
    <w:name w:val="批注文字 字符"/>
    <w:link w:val="8"/>
    <w:qFormat/>
    <w:uiPriority w:val="0"/>
    <w:rPr>
      <w:kern w:val="2"/>
      <w:sz w:val="21"/>
      <w:szCs w:val="22"/>
    </w:rPr>
  </w:style>
  <w:style w:type="character" w:customStyle="1" w:styleId="35">
    <w:name w:val="批注主题 字符"/>
    <w:link w:val="15"/>
    <w:semiHidden/>
    <w:qFormat/>
    <w:uiPriority w:val="99"/>
    <w:rPr>
      <w:b/>
      <w:bCs/>
      <w:kern w:val="2"/>
      <w:sz w:val="21"/>
      <w:szCs w:val="22"/>
    </w:rPr>
  </w:style>
  <w:style w:type="character" w:customStyle="1" w:styleId="36">
    <w:name w:val="页眉 字符"/>
    <w:link w:val="11"/>
    <w:qFormat/>
    <w:uiPriority w:val="99"/>
    <w:rPr>
      <w:sz w:val="18"/>
      <w:szCs w:val="18"/>
    </w:rPr>
  </w:style>
  <w:style w:type="character" w:customStyle="1" w:styleId="37">
    <w:name w:val="副标题 字符"/>
    <w:link w:val="13"/>
    <w:qFormat/>
    <w:uiPriority w:val="0"/>
    <w:rPr>
      <w:rFonts w:ascii="Cambria" w:hAnsi="Cambria" w:cs="Times New Roman"/>
      <w:b/>
      <w:bCs/>
      <w:kern w:val="28"/>
      <w:sz w:val="32"/>
      <w:szCs w:val="32"/>
    </w:rPr>
  </w:style>
  <w:style w:type="character" w:customStyle="1" w:styleId="38">
    <w:name w:val="文档结构图 字符"/>
    <w:link w:val="7"/>
    <w:semiHidden/>
    <w:qFormat/>
    <w:uiPriority w:val="99"/>
    <w:rPr>
      <w:rFonts w:ascii="宋体"/>
      <w:kern w:val="2"/>
      <w:sz w:val="18"/>
      <w:szCs w:val="18"/>
    </w:rPr>
  </w:style>
  <w:style w:type="character" w:customStyle="1" w:styleId="39">
    <w:name w:val="页脚 字符"/>
    <w:link w:val="10"/>
    <w:qFormat/>
    <w:uiPriority w:val="99"/>
    <w:rPr>
      <w:sz w:val="18"/>
      <w:szCs w:val="18"/>
    </w:rPr>
  </w:style>
  <w:style w:type="character" w:customStyle="1" w:styleId="40">
    <w:name w:val="标题 2 字符"/>
    <w:link w:val="3"/>
    <w:semiHidden/>
    <w:qFormat/>
    <w:uiPriority w:val="9"/>
    <w:rPr>
      <w:rFonts w:ascii="Cambria" w:hAnsi="Cambria" w:eastAsia="宋体" w:cs="Times New Roman"/>
      <w:b/>
      <w:bCs/>
      <w:kern w:val="2"/>
      <w:sz w:val="32"/>
      <w:szCs w:val="32"/>
    </w:rPr>
  </w:style>
  <w:style w:type="character" w:customStyle="1" w:styleId="41">
    <w:name w:val="标题 4 字符"/>
    <w:link w:val="5"/>
    <w:semiHidden/>
    <w:qFormat/>
    <w:uiPriority w:val="9"/>
    <w:rPr>
      <w:rFonts w:ascii="Cambria" w:hAnsi="Cambria" w:eastAsia="宋体" w:cs="Times New Roman"/>
      <w:b/>
      <w:bCs/>
      <w:kern w:val="2"/>
      <w:sz w:val="28"/>
      <w:szCs w:val="28"/>
    </w:rPr>
  </w:style>
  <w:style w:type="character" w:customStyle="1" w:styleId="42">
    <w:name w:val="标题 1 字符"/>
    <w:link w:val="2"/>
    <w:qFormat/>
    <w:uiPriority w:val="9"/>
    <w:rPr>
      <w:b/>
      <w:bCs/>
      <w:kern w:val="44"/>
      <w:sz w:val="28"/>
      <w:szCs w:val="44"/>
    </w:rPr>
  </w:style>
  <w:style w:type="paragraph" w:customStyle="1" w:styleId="43">
    <w:name w:val="修订1"/>
    <w:hidden/>
    <w:semiHidden/>
    <w:qFormat/>
    <w:uiPriority w:val="99"/>
    <w:rPr>
      <w:rFonts w:ascii="Calibri" w:hAnsi="Calibri" w:eastAsia="宋体" w:cs="Times New Roman"/>
      <w:kern w:val="2"/>
      <w:sz w:val="21"/>
      <w:szCs w:val="22"/>
      <w:lang w:val="en-US" w:eastAsia="zh-CN" w:bidi="ar-SA"/>
    </w:rPr>
  </w:style>
  <w:style w:type="character" w:styleId="44">
    <w:name w:val="Placeholder Text"/>
    <w:basedOn w:val="19"/>
    <w:semiHidden/>
    <w:qFormat/>
    <w:uiPriority w:val="99"/>
    <w:rPr>
      <w:color w:val="808080"/>
    </w:rPr>
  </w:style>
  <w:style w:type="paragraph" w:styleId="45">
    <w:name w:val="List Paragraph"/>
    <w:basedOn w:val="1"/>
    <w:qFormat/>
    <w:uiPriority w:val="99"/>
    <w:pPr>
      <w:ind w:firstLine="420" w:firstLineChars="200"/>
    </w:pPr>
  </w:style>
  <w:style w:type="paragraph" w:customStyle="1" w:styleId="46">
    <w:name w:val="修订2"/>
    <w:hidden/>
    <w:semiHidden/>
    <w:qFormat/>
    <w:uiPriority w:val="99"/>
    <w:rPr>
      <w:rFonts w:ascii="Calibri" w:hAnsi="Calibri" w:eastAsia="宋体" w:cs="Times New Roman"/>
      <w:kern w:val="2"/>
      <w:sz w:val="21"/>
      <w:szCs w:val="22"/>
      <w:lang w:val="en-US" w:eastAsia="zh-CN" w:bidi="ar-SA"/>
    </w:rPr>
  </w:style>
  <w:style w:type="paragraph" w:customStyle="1" w:styleId="47">
    <w:name w:val="修订3"/>
    <w:hidden/>
    <w:semiHidden/>
    <w:qFormat/>
    <w:uiPriority w:val="99"/>
    <w:rPr>
      <w:rFonts w:ascii="Calibri" w:hAnsi="Calibri" w:eastAsia="宋体" w:cs="Times New Roman"/>
      <w:kern w:val="2"/>
      <w:sz w:val="21"/>
      <w:szCs w:val="22"/>
      <w:lang w:val="en-US" w:eastAsia="zh-CN" w:bidi="ar-SA"/>
    </w:rPr>
  </w:style>
  <w:style w:type="paragraph" w:customStyle="1" w:styleId="48">
    <w:name w:val="修订4"/>
    <w:hidden/>
    <w:semiHidden/>
    <w:qFormat/>
    <w:uiPriority w:val="99"/>
    <w:rPr>
      <w:rFonts w:ascii="Calibri" w:hAnsi="Calibri" w:eastAsia="宋体" w:cs="Times New Roman"/>
      <w:kern w:val="2"/>
      <w:sz w:val="21"/>
      <w:szCs w:val="22"/>
      <w:lang w:val="en-US" w:eastAsia="zh-CN" w:bidi="ar-SA"/>
    </w:rPr>
  </w:style>
  <w:style w:type="paragraph" w:customStyle="1" w:styleId="49">
    <w:name w:val="修订5"/>
    <w:hidden/>
    <w:semiHidden/>
    <w:qFormat/>
    <w:uiPriority w:val="99"/>
    <w:rPr>
      <w:rFonts w:ascii="Calibri" w:hAnsi="Calibri" w:eastAsia="宋体" w:cs="Times New Roman"/>
      <w:kern w:val="2"/>
      <w:sz w:val="21"/>
      <w:szCs w:val="22"/>
      <w:lang w:val="en-US" w:eastAsia="zh-CN" w:bidi="ar-SA"/>
    </w:rPr>
  </w:style>
  <w:style w:type="character" w:customStyle="1" w:styleId="50">
    <w:name w:val="标题 3 字符"/>
    <w:basedOn w:val="19"/>
    <w:link w:val="4"/>
    <w:qFormat/>
    <w:uiPriority w:val="9"/>
    <w:rPr>
      <w:b/>
      <w:bCs/>
      <w:kern w:val="2"/>
      <w:sz w:val="32"/>
      <w:szCs w:val="32"/>
    </w:rPr>
  </w:style>
  <w:style w:type="character" w:customStyle="1" w:styleId="51">
    <w:name w:val="批注文字 Char"/>
    <w:qFormat/>
    <w:uiPriority w:val="0"/>
    <w:rPr>
      <w:kern w:val="2"/>
      <w:sz w:val="21"/>
    </w:rPr>
  </w:style>
  <w:style w:type="paragraph" w:customStyle="1" w:styleId="52">
    <w:name w:val="修订6"/>
    <w:hidden/>
    <w:semiHidden/>
    <w:qFormat/>
    <w:uiPriority w:val="99"/>
    <w:rPr>
      <w:rFonts w:ascii="Calibri" w:hAnsi="Calibri" w:eastAsia="宋体" w:cs="Times New Roman"/>
      <w:kern w:val="2"/>
      <w:sz w:val="21"/>
      <w:szCs w:val="22"/>
      <w:lang w:val="en-US" w:eastAsia="zh-CN" w:bidi="ar-SA"/>
    </w:rPr>
  </w:style>
  <w:style w:type="paragraph" w:customStyle="1" w:styleId="5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17079-0998-4A2D-B94D-0AC0A72A13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141</Pages>
  <Words>15632</Words>
  <Characters>89105</Characters>
  <Lines>742</Lines>
  <Paragraphs>209</Paragraphs>
  <TotalTime>162</TotalTime>
  <ScaleCrop>false</ScaleCrop>
  <LinksUpToDate>false</LinksUpToDate>
  <CharactersWithSpaces>104528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2025-11-08T10:37:00Z</dcterms:created>
  <dc:creator>系统用户</dc:creator>
  <cp:lastModifiedBy>guanjiachen</cp:lastModifiedBy>
  <cp:lastPrinted>2025-11-14T07:17:00Z</cp:lastPrinted>
  <dcterms:modified xsi:type="dcterms:W3CDTF">2025-11-24T05:09:55Z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F046D978DC8645388C9A78734ACC77A6</vt:lpwstr>
  </property>
</Properties>
</file>