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337" w:rsidRDefault="00D06337">
      <w:pPr>
        <w:spacing w:line="360" w:lineRule="auto"/>
        <w:ind w:firstLineChars="200" w:firstLine="964"/>
        <w:rPr>
          <w:rFonts w:ascii="宋体" w:hAnsi="宋体"/>
          <w:b/>
          <w:bCs/>
          <w:color w:val="000000"/>
          <w:sz w:val="48"/>
          <w:szCs w:val="48"/>
        </w:rPr>
      </w:pPr>
      <w:bookmarkStart w:id="0" w:name="_GoBack"/>
      <w:bookmarkEnd w:id="0"/>
    </w:p>
    <w:p w:rsidR="00D06337" w:rsidRDefault="00D06337">
      <w:pPr>
        <w:spacing w:line="360" w:lineRule="auto"/>
        <w:ind w:firstLineChars="200" w:firstLine="964"/>
        <w:rPr>
          <w:rFonts w:ascii="宋体" w:hAnsi="宋体"/>
          <w:b/>
          <w:bCs/>
          <w:color w:val="000000"/>
          <w:sz w:val="48"/>
          <w:szCs w:val="48"/>
        </w:rPr>
      </w:pPr>
    </w:p>
    <w:p w:rsidR="00D06337" w:rsidRDefault="00F0626B">
      <w:pPr>
        <w:spacing w:line="360" w:lineRule="auto"/>
        <w:ind w:firstLineChars="200" w:firstLine="880"/>
        <w:rPr>
          <w:rFonts w:ascii="宋体" w:hAnsi="宋体"/>
          <w:b/>
          <w:bCs/>
          <w:color w:val="000000"/>
          <w:sz w:val="48"/>
          <w:szCs w:val="48"/>
        </w:rPr>
      </w:pPr>
      <w:r>
        <w:rPr>
          <w:rFonts w:ascii="宋体" w:hAnsi="宋体"/>
          <w:noProof/>
          <w:sz w:val="44"/>
        </w:rPr>
        <w:drawing>
          <wp:inline distT="0" distB="0" distL="0" distR="0">
            <wp:extent cx="4343400" cy="571500"/>
            <wp:effectExtent l="0" t="0" r="0" b="0"/>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3400" cy="571500"/>
                    </a:xfrm>
                    <a:prstGeom prst="rect">
                      <a:avLst/>
                    </a:prstGeom>
                    <a:noFill/>
                    <a:ln>
                      <a:noFill/>
                    </a:ln>
                  </pic:spPr>
                </pic:pic>
              </a:graphicData>
            </a:graphic>
          </wp:inline>
        </w:drawing>
      </w:r>
    </w:p>
    <w:p w:rsidR="00D06337" w:rsidRDefault="00D06337">
      <w:pPr>
        <w:spacing w:line="360" w:lineRule="auto"/>
        <w:ind w:firstLineChars="200" w:firstLine="964"/>
        <w:rPr>
          <w:rFonts w:ascii="宋体" w:hAnsi="宋体"/>
          <w:b/>
          <w:bCs/>
          <w:color w:val="000000"/>
          <w:sz w:val="48"/>
          <w:szCs w:val="48"/>
        </w:rPr>
      </w:pPr>
    </w:p>
    <w:p w:rsidR="00D06337" w:rsidRDefault="00D06337">
      <w:pPr>
        <w:spacing w:line="360" w:lineRule="auto"/>
        <w:ind w:firstLineChars="200" w:firstLine="964"/>
        <w:rPr>
          <w:rFonts w:ascii="宋体" w:hAnsi="宋体"/>
          <w:b/>
          <w:bCs/>
          <w:color w:val="000000"/>
          <w:sz w:val="48"/>
          <w:szCs w:val="48"/>
        </w:rPr>
      </w:pPr>
    </w:p>
    <w:p w:rsidR="00D06337" w:rsidRDefault="00F0626B">
      <w:pPr>
        <w:spacing w:line="360" w:lineRule="auto"/>
        <w:jc w:val="center"/>
        <w:rPr>
          <w:rFonts w:ascii="宋体" w:hAnsi="宋体"/>
          <w:b/>
          <w:bCs/>
          <w:color w:val="000000"/>
          <w:sz w:val="48"/>
          <w:szCs w:val="48"/>
        </w:rPr>
      </w:pPr>
      <w:proofErr w:type="gramStart"/>
      <w:r>
        <w:rPr>
          <w:rFonts w:ascii="宋体" w:hAnsi="宋体" w:hint="eastAsia"/>
          <w:b/>
          <w:bCs/>
          <w:color w:val="000000"/>
          <w:sz w:val="48"/>
          <w:szCs w:val="48"/>
        </w:rPr>
        <w:t>交银施罗</w:t>
      </w:r>
      <w:proofErr w:type="gramEnd"/>
      <w:r>
        <w:rPr>
          <w:rFonts w:ascii="宋体" w:hAnsi="宋体" w:hint="eastAsia"/>
          <w:b/>
          <w:bCs/>
          <w:color w:val="000000"/>
          <w:sz w:val="48"/>
          <w:szCs w:val="48"/>
        </w:rPr>
        <w:t>德中</w:t>
      </w:r>
      <w:proofErr w:type="gramStart"/>
      <w:r>
        <w:rPr>
          <w:rFonts w:ascii="宋体" w:hAnsi="宋体" w:hint="eastAsia"/>
          <w:b/>
          <w:bCs/>
          <w:color w:val="000000"/>
          <w:sz w:val="48"/>
          <w:szCs w:val="48"/>
        </w:rPr>
        <w:t>证智选沪</w:t>
      </w:r>
      <w:proofErr w:type="gramEnd"/>
      <w:r>
        <w:rPr>
          <w:rFonts w:ascii="宋体" w:hAnsi="宋体" w:hint="eastAsia"/>
          <w:b/>
          <w:bCs/>
          <w:color w:val="000000"/>
          <w:sz w:val="48"/>
          <w:szCs w:val="48"/>
        </w:rPr>
        <w:t>深港科技50</w:t>
      </w:r>
    </w:p>
    <w:p w:rsidR="00D06337" w:rsidRDefault="00F0626B">
      <w:pPr>
        <w:spacing w:line="360" w:lineRule="auto"/>
        <w:jc w:val="center"/>
        <w:rPr>
          <w:rFonts w:ascii="宋体" w:hAnsi="宋体"/>
          <w:b/>
          <w:bCs/>
          <w:color w:val="000000"/>
          <w:sz w:val="48"/>
          <w:szCs w:val="48"/>
        </w:rPr>
      </w:pPr>
      <w:r>
        <w:rPr>
          <w:rFonts w:ascii="宋体" w:hAnsi="宋体" w:hint="eastAsia"/>
          <w:b/>
          <w:bCs/>
          <w:color w:val="000000"/>
          <w:sz w:val="48"/>
          <w:szCs w:val="48"/>
        </w:rPr>
        <w:t>交易型开放式指数证券投资基金</w:t>
      </w:r>
    </w:p>
    <w:p w:rsidR="00D06337" w:rsidRDefault="00F0626B">
      <w:pPr>
        <w:spacing w:line="360" w:lineRule="auto"/>
        <w:jc w:val="center"/>
        <w:rPr>
          <w:rFonts w:ascii="宋体" w:hAnsi="宋体"/>
          <w:b/>
          <w:bCs/>
          <w:color w:val="000000"/>
          <w:sz w:val="48"/>
          <w:szCs w:val="48"/>
        </w:rPr>
      </w:pPr>
      <w:r>
        <w:rPr>
          <w:rFonts w:ascii="宋体" w:hAnsi="宋体" w:hint="eastAsia"/>
          <w:b/>
          <w:bCs/>
          <w:color w:val="000000"/>
          <w:sz w:val="48"/>
          <w:szCs w:val="48"/>
        </w:rPr>
        <w:t>托管协议</w:t>
      </w:r>
    </w:p>
    <w:p w:rsidR="00D06337" w:rsidRDefault="00D06337">
      <w:pPr>
        <w:autoSpaceDE w:val="0"/>
        <w:autoSpaceDN w:val="0"/>
        <w:spacing w:line="360" w:lineRule="auto"/>
        <w:ind w:firstLineChars="200" w:firstLine="883"/>
        <w:textAlignment w:val="bottom"/>
        <w:rPr>
          <w:rFonts w:ascii="宋体" w:hAnsi="宋体"/>
          <w:b/>
          <w:bCs/>
          <w:color w:val="000000"/>
          <w:sz w:val="44"/>
        </w:rPr>
      </w:pPr>
    </w:p>
    <w:p w:rsidR="00D06337" w:rsidRDefault="00D06337">
      <w:pPr>
        <w:spacing w:line="360" w:lineRule="auto"/>
        <w:ind w:firstLineChars="200" w:firstLine="602"/>
        <w:rPr>
          <w:rFonts w:ascii="宋体" w:hAnsi="宋体"/>
          <w:b/>
          <w:color w:val="000000"/>
          <w:sz w:val="30"/>
          <w:szCs w:val="30"/>
        </w:rPr>
      </w:pPr>
    </w:p>
    <w:p w:rsidR="00D06337" w:rsidRDefault="00D06337">
      <w:pPr>
        <w:spacing w:line="360" w:lineRule="auto"/>
        <w:ind w:firstLineChars="200" w:firstLine="602"/>
        <w:rPr>
          <w:rFonts w:ascii="宋体" w:hAnsi="宋体"/>
          <w:b/>
          <w:color w:val="000000"/>
          <w:sz w:val="30"/>
          <w:szCs w:val="30"/>
        </w:rPr>
      </w:pPr>
    </w:p>
    <w:p w:rsidR="00D06337" w:rsidRDefault="00D06337">
      <w:pPr>
        <w:spacing w:line="360" w:lineRule="auto"/>
        <w:ind w:firstLineChars="200" w:firstLine="602"/>
        <w:rPr>
          <w:rFonts w:ascii="宋体" w:hAnsi="宋体"/>
          <w:b/>
          <w:color w:val="000000"/>
          <w:sz w:val="30"/>
          <w:szCs w:val="30"/>
        </w:rPr>
      </w:pPr>
    </w:p>
    <w:p w:rsidR="00D06337" w:rsidRDefault="00D06337">
      <w:pPr>
        <w:spacing w:line="360" w:lineRule="auto"/>
        <w:ind w:firstLineChars="200" w:firstLine="602"/>
        <w:rPr>
          <w:rFonts w:ascii="宋体" w:hAnsi="宋体"/>
          <w:b/>
          <w:color w:val="000000"/>
          <w:sz w:val="30"/>
          <w:szCs w:val="30"/>
        </w:rPr>
      </w:pPr>
    </w:p>
    <w:p w:rsidR="00D06337" w:rsidRDefault="00D06337">
      <w:pPr>
        <w:spacing w:line="360" w:lineRule="auto"/>
        <w:ind w:firstLineChars="200" w:firstLine="602"/>
        <w:rPr>
          <w:rFonts w:ascii="宋体" w:hAnsi="宋体"/>
          <w:b/>
          <w:color w:val="000000"/>
          <w:sz w:val="30"/>
          <w:szCs w:val="30"/>
        </w:rPr>
      </w:pPr>
    </w:p>
    <w:p w:rsidR="00D06337" w:rsidRDefault="00D06337">
      <w:pPr>
        <w:spacing w:line="360" w:lineRule="auto"/>
        <w:ind w:firstLineChars="200" w:firstLine="602"/>
        <w:rPr>
          <w:rFonts w:ascii="宋体" w:hAnsi="宋体"/>
          <w:b/>
          <w:color w:val="000000"/>
          <w:sz w:val="30"/>
          <w:szCs w:val="30"/>
        </w:rPr>
      </w:pPr>
    </w:p>
    <w:p w:rsidR="00D06337" w:rsidRDefault="00F0626B">
      <w:pPr>
        <w:tabs>
          <w:tab w:val="left" w:pos="6255"/>
        </w:tabs>
        <w:spacing w:line="360" w:lineRule="auto"/>
        <w:ind w:firstLineChars="200" w:firstLine="602"/>
        <w:rPr>
          <w:rFonts w:ascii="宋体" w:hAnsi="宋体"/>
          <w:b/>
          <w:color w:val="000000"/>
          <w:sz w:val="30"/>
          <w:szCs w:val="30"/>
        </w:rPr>
      </w:pPr>
      <w:r>
        <w:rPr>
          <w:rFonts w:ascii="宋体" w:hAnsi="宋体"/>
          <w:b/>
          <w:color w:val="000000"/>
          <w:sz w:val="30"/>
          <w:szCs w:val="30"/>
        </w:rPr>
        <w:tab/>
      </w:r>
    </w:p>
    <w:p w:rsidR="00D06337" w:rsidRDefault="00F0626B">
      <w:pPr>
        <w:spacing w:line="360" w:lineRule="auto"/>
        <w:ind w:firstLineChars="200" w:firstLine="723"/>
        <w:jc w:val="center"/>
        <w:rPr>
          <w:rFonts w:ascii="宋体" w:hAnsi="宋体"/>
          <w:b/>
          <w:bCs/>
          <w:color w:val="000000"/>
          <w:sz w:val="36"/>
          <w:szCs w:val="36"/>
        </w:rPr>
      </w:pPr>
      <w:r>
        <w:rPr>
          <w:rFonts w:ascii="宋体" w:hAnsi="宋体" w:hint="eastAsia"/>
          <w:b/>
          <w:bCs/>
          <w:color w:val="000000"/>
          <w:sz w:val="36"/>
          <w:szCs w:val="36"/>
        </w:rPr>
        <w:t>基金管理人：交银施罗德基金管理有限公司</w:t>
      </w:r>
    </w:p>
    <w:p w:rsidR="00D06337" w:rsidRDefault="00F0626B">
      <w:pPr>
        <w:spacing w:line="360" w:lineRule="auto"/>
        <w:ind w:firstLineChars="200" w:firstLine="723"/>
        <w:jc w:val="center"/>
        <w:rPr>
          <w:rFonts w:ascii="宋体" w:hAnsi="宋体"/>
          <w:b/>
          <w:bCs/>
          <w:color w:val="000000"/>
          <w:sz w:val="36"/>
          <w:szCs w:val="36"/>
        </w:rPr>
      </w:pPr>
      <w:r>
        <w:rPr>
          <w:rFonts w:ascii="宋体" w:hAnsi="宋体" w:hint="eastAsia"/>
          <w:b/>
          <w:bCs/>
          <w:color w:val="000000"/>
          <w:sz w:val="36"/>
          <w:szCs w:val="36"/>
        </w:rPr>
        <w:t>基金托管人：</w:t>
      </w:r>
      <w:proofErr w:type="gramStart"/>
      <w:r>
        <w:rPr>
          <w:rFonts w:ascii="宋体" w:hAnsi="宋体" w:hint="eastAsia"/>
          <w:b/>
          <w:bCs/>
          <w:color w:val="000000"/>
          <w:sz w:val="36"/>
          <w:szCs w:val="36"/>
        </w:rPr>
        <w:t>国泰海通</w:t>
      </w:r>
      <w:proofErr w:type="gramEnd"/>
      <w:r>
        <w:rPr>
          <w:rFonts w:ascii="宋体" w:hAnsi="宋体" w:hint="eastAsia"/>
          <w:b/>
          <w:bCs/>
          <w:color w:val="000000"/>
          <w:sz w:val="36"/>
          <w:szCs w:val="36"/>
        </w:rPr>
        <w:t>证券股份有限公司</w:t>
      </w:r>
    </w:p>
    <w:p w:rsidR="00D06337" w:rsidRDefault="00F0626B">
      <w:pPr>
        <w:spacing w:line="360" w:lineRule="auto"/>
        <w:ind w:firstLine="602"/>
        <w:jc w:val="center"/>
        <w:rPr>
          <w:rFonts w:ascii="宋体" w:hAnsi="宋体"/>
          <w:color w:val="000000"/>
        </w:rPr>
      </w:pPr>
      <w:r>
        <w:rPr>
          <w:b/>
          <w:bCs/>
          <w:sz w:val="30"/>
        </w:rPr>
        <w:t>二零</w:t>
      </w:r>
      <w:r>
        <w:rPr>
          <w:rFonts w:hint="eastAsia"/>
          <w:b/>
          <w:bCs/>
          <w:sz w:val="30"/>
        </w:rPr>
        <w:t>二五</w:t>
      </w:r>
      <w:r>
        <w:rPr>
          <w:b/>
          <w:bCs/>
          <w:sz w:val="30"/>
        </w:rPr>
        <w:t>年</w:t>
      </w:r>
      <w:r>
        <w:rPr>
          <w:rFonts w:hint="eastAsia"/>
          <w:b/>
          <w:bCs/>
          <w:sz w:val="30"/>
        </w:rPr>
        <w:t>十一</w:t>
      </w:r>
      <w:r>
        <w:rPr>
          <w:b/>
          <w:bCs/>
          <w:sz w:val="30"/>
        </w:rPr>
        <w:t>月</w:t>
      </w:r>
    </w:p>
    <w:p w:rsidR="00D06337" w:rsidRDefault="00D06337">
      <w:pPr>
        <w:spacing w:line="360" w:lineRule="auto"/>
        <w:ind w:firstLineChars="200" w:firstLine="420"/>
        <w:rPr>
          <w:color w:val="000000"/>
        </w:rPr>
      </w:pPr>
    </w:p>
    <w:p w:rsidR="00D06337" w:rsidRDefault="00F0626B">
      <w:pPr>
        <w:tabs>
          <w:tab w:val="left" w:pos="7185"/>
        </w:tabs>
        <w:sectPr w:rsidR="00D06337">
          <w:footerReference w:type="even" r:id="rId10"/>
          <w:headerReference w:type="first" r:id="rId11"/>
          <w:pgSz w:w="11906" w:h="16838"/>
          <w:pgMar w:top="1440" w:right="1800" w:bottom="1440" w:left="1800" w:header="851" w:footer="992" w:gutter="0"/>
          <w:pgNumType w:start="1"/>
          <w:cols w:space="425"/>
          <w:docGrid w:type="lines" w:linePitch="312"/>
        </w:sectPr>
      </w:pPr>
      <w:r>
        <w:tab/>
      </w:r>
    </w:p>
    <w:p w:rsidR="00D06337" w:rsidRDefault="00F0626B">
      <w:pPr>
        <w:spacing w:line="360" w:lineRule="auto"/>
        <w:jc w:val="center"/>
        <w:rPr>
          <w:color w:val="000000"/>
          <w:sz w:val="28"/>
          <w:szCs w:val="28"/>
        </w:rPr>
      </w:pPr>
      <w:r>
        <w:rPr>
          <w:color w:val="000000"/>
          <w:sz w:val="28"/>
          <w:szCs w:val="28"/>
        </w:rPr>
        <w:lastRenderedPageBreak/>
        <w:t>目录</w:t>
      </w:r>
    </w:p>
    <w:p w:rsidR="00D06337" w:rsidRDefault="00F0626B">
      <w:pPr>
        <w:pStyle w:val="11"/>
        <w:ind w:firstLine="420"/>
        <w:rPr>
          <w:b w:val="0"/>
          <w:sz w:val="21"/>
          <w:szCs w:val="21"/>
        </w:rPr>
      </w:pPr>
      <w:r>
        <w:rPr>
          <w:rStyle w:val="af4"/>
          <w:b w:val="0"/>
          <w:bCs/>
          <w:color w:val="000000"/>
          <w:sz w:val="21"/>
          <w:szCs w:val="21"/>
        </w:rPr>
        <w:fldChar w:fldCharType="begin"/>
      </w:r>
      <w:r>
        <w:rPr>
          <w:rStyle w:val="af4"/>
          <w:b w:val="0"/>
          <w:bCs/>
          <w:color w:val="000000"/>
          <w:sz w:val="21"/>
          <w:szCs w:val="21"/>
        </w:rPr>
        <w:instrText xml:space="preserve"> TOC \h \z \t "</w:instrText>
      </w:r>
      <w:r>
        <w:rPr>
          <w:rStyle w:val="af4"/>
          <w:b w:val="0"/>
          <w:bCs/>
          <w:color w:val="000000"/>
          <w:sz w:val="21"/>
          <w:szCs w:val="21"/>
        </w:rPr>
        <w:instrText>标题</w:instrText>
      </w:r>
      <w:r>
        <w:rPr>
          <w:rStyle w:val="af4"/>
          <w:b w:val="0"/>
          <w:bCs/>
          <w:color w:val="000000"/>
          <w:sz w:val="21"/>
          <w:szCs w:val="21"/>
        </w:rPr>
        <w:instrText xml:space="preserve"> 1,1"</w:instrText>
      </w:r>
      <w:r>
        <w:rPr>
          <w:rStyle w:val="af4"/>
          <w:b w:val="0"/>
          <w:bCs/>
          <w:color w:val="000000"/>
          <w:sz w:val="21"/>
          <w:szCs w:val="21"/>
        </w:rPr>
        <w:fldChar w:fldCharType="separate"/>
      </w:r>
      <w:hyperlink w:anchor="_Toc508720679" w:history="1">
        <w:r>
          <w:rPr>
            <w:rStyle w:val="af4"/>
            <w:b w:val="0"/>
            <w:sz w:val="21"/>
            <w:szCs w:val="21"/>
          </w:rPr>
          <w:t>一、基金托管协议当事人</w:t>
        </w:r>
        <w:r>
          <w:rPr>
            <w:b w:val="0"/>
            <w:sz w:val="21"/>
            <w:szCs w:val="21"/>
          </w:rPr>
          <w:tab/>
        </w:r>
        <w:r>
          <w:rPr>
            <w:b w:val="0"/>
            <w:sz w:val="21"/>
            <w:szCs w:val="21"/>
          </w:rPr>
          <w:fldChar w:fldCharType="begin"/>
        </w:r>
        <w:r>
          <w:rPr>
            <w:b w:val="0"/>
            <w:sz w:val="21"/>
            <w:szCs w:val="21"/>
          </w:rPr>
          <w:instrText xml:space="preserve"> PAGEREF _Toc508720679 \h </w:instrText>
        </w:r>
        <w:r>
          <w:rPr>
            <w:b w:val="0"/>
            <w:sz w:val="21"/>
            <w:szCs w:val="21"/>
          </w:rPr>
        </w:r>
        <w:r>
          <w:rPr>
            <w:b w:val="0"/>
            <w:sz w:val="21"/>
            <w:szCs w:val="21"/>
          </w:rPr>
          <w:fldChar w:fldCharType="separate"/>
        </w:r>
        <w:r w:rsidR="00AF2AA5">
          <w:rPr>
            <w:b w:val="0"/>
            <w:noProof/>
            <w:sz w:val="21"/>
            <w:szCs w:val="21"/>
          </w:rPr>
          <w:t>3</w:t>
        </w:r>
        <w:r>
          <w:rPr>
            <w:b w:val="0"/>
            <w:sz w:val="21"/>
            <w:szCs w:val="21"/>
          </w:rPr>
          <w:fldChar w:fldCharType="end"/>
        </w:r>
      </w:hyperlink>
    </w:p>
    <w:p w:rsidR="00D06337" w:rsidRDefault="00021FBA">
      <w:pPr>
        <w:pStyle w:val="11"/>
        <w:ind w:firstLine="402"/>
        <w:rPr>
          <w:b w:val="0"/>
          <w:sz w:val="21"/>
          <w:szCs w:val="21"/>
        </w:rPr>
      </w:pPr>
      <w:hyperlink w:anchor="_Toc508720680" w:history="1">
        <w:r w:rsidR="00F0626B">
          <w:rPr>
            <w:rStyle w:val="af4"/>
            <w:b w:val="0"/>
            <w:sz w:val="21"/>
            <w:szCs w:val="21"/>
          </w:rPr>
          <w:t>二、基金托管协议的依据、目的和原则</w:t>
        </w:r>
        <w:r w:rsidR="00F0626B">
          <w:rPr>
            <w:b w:val="0"/>
            <w:sz w:val="21"/>
            <w:szCs w:val="21"/>
          </w:rPr>
          <w:tab/>
        </w:r>
        <w:r w:rsidR="00F0626B">
          <w:rPr>
            <w:b w:val="0"/>
            <w:sz w:val="21"/>
            <w:szCs w:val="21"/>
          </w:rPr>
          <w:fldChar w:fldCharType="begin"/>
        </w:r>
        <w:r w:rsidR="00F0626B">
          <w:rPr>
            <w:b w:val="0"/>
            <w:sz w:val="21"/>
            <w:szCs w:val="21"/>
          </w:rPr>
          <w:instrText xml:space="preserve"> PAGEREF _Toc508720680 \h </w:instrText>
        </w:r>
        <w:r w:rsidR="00F0626B">
          <w:rPr>
            <w:b w:val="0"/>
            <w:sz w:val="21"/>
            <w:szCs w:val="21"/>
          </w:rPr>
        </w:r>
        <w:r w:rsidR="00F0626B">
          <w:rPr>
            <w:b w:val="0"/>
            <w:sz w:val="21"/>
            <w:szCs w:val="21"/>
          </w:rPr>
          <w:fldChar w:fldCharType="separate"/>
        </w:r>
        <w:r w:rsidR="00AF2AA5">
          <w:rPr>
            <w:b w:val="0"/>
            <w:noProof/>
            <w:sz w:val="21"/>
            <w:szCs w:val="21"/>
          </w:rPr>
          <w:t>3</w:t>
        </w:r>
        <w:r w:rsidR="00F0626B">
          <w:rPr>
            <w:b w:val="0"/>
            <w:sz w:val="21"/>
            <w:szCs w:val="21"/>
          </w:rPr>
          <w:fldChar w:fldCharType="end"/>
        </w:r>
      </w:hyperlink>
    </w:p>
    <w:p w:rsidR="00D06337" w:rsidRDefault="00021FBA">
      <w:pPr>
        <w:pStyle w:val="11"/>
        <w:ind w:firstLine="402"/>
        <w:rPr>
          <w:b w:val="0"/>
          <w:sz w:val="21"/>
          <w:szCs w:val="21"/>
        </w:rPr>
      </w:pPr>
      <w:hyperlink w:anchor="_Toc508720681" w:history="1">
        <w:r w:rsidR="00F0626B">
          <w:rPr>
            <w:rStyle w:val="af4"/>
            <w:b w:val="0"/>
            <w:sz w:val="21"/>
            <w:szCs w:val="21"/>
          </w:rPr>
          <w:t>三、基金托管人对基金管理人的业务监督和核查</w:t>
        </w:r>
        <w:r w:rsidR="00F0626B">
          <w:rPr>
            <w:b w:val="0"/>
            <w:sz w:val="21"/>
            <w:szCs w:val="21"/>
          </w:rPr>
          <w:tab/>
        </w:r>
        <w:r w:rsidR="00F0626B">
          <w:rPr>
            <w:b w:val="0"/>
            <w:sz w:val="21"/>
            <w:szCs w:val="21"/>
          </w:rPr>
          <w:fldChar w:fldCharType="begin"/>
        </w:r>
        <w:r w:rsidR="00F0626B">
          <w:rPr>
            <w:b w:val="0"/>
            <w:sz w:val="21"/>
            <w:szCs w:val="21"/>
          </w:rPr>
          <w:instrText xml:space="preserve"> PAGEREF _Toc508720681 \h </w:instrText>
        </w:r>
        <w:r w:rsidR="00F0626B">
          <w:rPr>
            <w:b w:val="0"/>
            <w:sz w:val="21"/>
            <w:szCs w:val="21"/>
          </w:rPr>
        </w:r>
        <w:r w:rsidR="00F0626B">
          <w:rPr>
            <w:b w:val="0"/>
            <w:sz w:val="21"/>
            <w:szCs w:val="21"/>
          </w:rPr>
          <w:fldChar w:fldCharType="separate"/>
        </w:r>
        <w:r w:rsidR="00AF2AA5">
          <w:rPr>
            <w:b w:val="0"/>
            <w:noProof/>
            <w:sz w:val="21"/>
            <w:szCs w:val="21"/>
          </w:rPr>
          <w:t>4</w:t>
        </w:r>
        <w:r w:rsidR="00F0626B">
          <w:rPr>
            <w:b w:val="0"/>
            <w:sz w:val="21"/>
            <w:szCs w:val="21"/>
          </w:rPr>
          <w:fldChar w:fldCharType="end"/>
        </w:r>
      </w:hyperlink>
    </w:p>
    <w:p w:rsidR="00D06337" w:rsidRDefault="00021FBA">
      <w:pPr>
        <w:pStyle w:val="11"/>
        <w:ind w:firstLine="402"/>
        <w:rPr>
          <w:b w:val="0"/>
          <w:sz w:val="21"/>
          <w:szCs w:val="21"/>
        </w:rPr>
      </w:pPr>
      <w:hyperlink w:anchor="_Toc508720682" w:history="1">
        <w:r w:rsidR="00F0626B">
          <w:rPr>
            <w:rStyle w:val="af4"/>
            <w:b w:val="0"/>
            <w:sz w:val="21"/>
            <w:szCs w:val="21"/>
          </w:rPr>
          <w:t>四、基金管理人对基金托管人的业务核查</w:t>
        </w:r>
        <w:r w:rsidR="00F0626B">
          <w:rPr>
            <w:b w:val="0"/>
            <w:sz w:val="21"/>
            <w:szCs w:val="21"/>
          </w:rPr>
          <w:tab/>
        </w:r>
        <w:r w:rsidR="00F0626B">
          <w:rPr>
            <w:b w:val="0"/>
            <w:sz w:val="21"/>
            <w:szCs w:val="21"/>
          </w:rPr>
          <w:fldChar w:fldCharType="begin"/>
        </w:r>
        <w:r w:rsidR="00F0626B">
          <w:rPr>
            <w:b w:val="0"/>
            <w:sz w:val="21"/>
            <w:szCs w:val="21"/>
          </w:rPr>
          <w:instrText xml:space="preserve"> PAGEREF _Toc508720682 \h </w:instrText>
        </w:r>
        <w:r w:rsidR="00F0626B">
          <w:rPr>
            <w:b w:val="0"/>
            <w:sz w:val="21"/>
            <w:szCs w:val="21"/>
          </w:rPr>
        </w:r>
        <w:r w:rsidR="00F0626B">
          <w:rPr>
            <w:b w:val="0"/>
            <w:sz w:val="21"/>
            <w:szCs w:val="21"/>
          </w:rPr>
          <w:fldChar w:fldCharType="separate"/>
        </w:r>
        <w:r w:rsidR="00AF2AA5">
          <w:rPr>
            <w:b w:val="0"/>
            <w:noProof/>
            <w:sz w:val="21"/>
            <w:szCs w:val="21"/>
          </w:rPr>
          <w:t>12</w:t>
        </w:r>
        <w:r w:rsidR="00F0626B">
          <w:rPr>
            <w:b w:val="0"/>
            <w:sz w:val="21"/>
            <w:szCs w:val="21"/>
          </w:rPr>
          <w:fldChar w:fldCharType="end"/>
        </w:r>
      </w:hyperlink>
    </w:p>
    <w:p w:rsidR="00D06337" w:rsidRDefault="00021FBA">
      <w:pPr>
        <w:pStyle w:val="11"/>
        <w:ind w:firstLine="402"/>
        <w:rPr>
          <w:b w:val="0"/>
          <w:sz w:val="21"/>
          <w:szCs w:val="21"/>
        </w:rPr>
      </w:pPr>
      <w:hyperlink w:anchor="_Toc508720683" w:history="1">
        <w:r w:rsidR="00F0626B">
          <w:rPr>
            <w:rStyle w:val="af4"/>
            <w:b w:val="0"/>
            <w:sz w:val="21"/>
            <w:szCs w:val="21"/>
          </w:rPr>
          <w:t>五、基金财产的保管</w:t>
        </w:r>
        <w:r w:rsidR="00F0626B">
          <w:rPr>
            <w:b w:val="0"/>
            <w:sz w:val="21"/>
            <w:szCs w:val="21"/>
          </w:rPr>
          <w:tab/>
        </w:r>
        <w:r w:rsidR="00F0626B">
          <w:rPr>
            <w:b w:val="0"/>
            <w:sz w:val="21"/>
            <w:szCs w:val="21"/>
          </w:rPr>
          <w:fldChar w:fldCharType="begin"/>
        </w:r>
        <w:r w:rsidR="00F0626B">
          <w:rPr>
            <w:b w:val="0"/>
            <w:sz w:val="21"/>
            <w:szCs w:val="21"/>
          </w:rPr>
          <w:instrText xml:space="preserve"> PAGEREF _Toc508720683 \h </w:instrText>
        </w:r>
        <w:r w:rsidR="00F0626B">
          <w:rPr>
            <w:b w:val="0"/>
            <w:sz w:val="21"/>
            <w:szCs w:val="21"/>
          </w:rPr>
        </w:r>
        <w:r w:rsidR="00F0626B">
          <w:rPr>
            <w:b w:val="0"/>
            <w:sz w:val="21"/>
            <w:szCs w:val="21"/>
          </w:rPr>
          <w:fldChar w:fldCharType="separate"/>
        </w:r>
        <w:r w:rsidR="00AF2AA5">
          <w:rPr>
            <w:b w:val="0"/>
            <w:noProof/>
            <w:sz w:val="21"/>
            <w:szCs w:val="21"/>
          </w:rPr>
          <w:t>13</w:t>
        </w:r>
        <w:r w:rsidR="00F0626B">
          <w:rPr>
            <w:b w:val="0"/>
            <w:sz w:val="21"/>
            <w:szCs w:val="21"/>
          </w:rPr>
          <w:fldChar w:fldCharType="end"/>
        </w:r>
      </w:hyperlink>
    </w:p>
    <w:p w:rsidR="00D06337" w:rsidRDefault="00021FBA">
      <w:pPr>
        <w:pStyle w:val="11"/>
        <w:ind w:firstLine="402"/>
        <w:rPr>
          <w:b w:val="0"/>
          <w:sz w:val="21"/>
          <w:szCs w:val="21"/>
        </w:rPr>
      </w:pPr>
      <w:hyperlink w:anchor="_Toc508720684" w:history="1">
        <w:r w:rsidR="00F0626B">
          <w:rPr>
            <w:rStyle w:val="af4"/>
            <w:b w:val="0"/>
            <w:sz w:val="21"/>
            <w:szCs w:val="21"/>
          </w:rPr>
          <w:t>六、指令的发送、确认和执行</w:t>
        </w:r>
        <w:r w:rsidR="00F0626B">
          <w:rPr>
            <w:b w:val="0"/>
            <w:sz w:val="21"/>
            <w:szCs w:val="21"/>
          </w:rPr>
          <w:tab/>
        </w:r>
        <w:r w:rsidR="00F0626B">
          <w:rPr>
            <w:b w:val="0"/>
            <w:sz w:val="21"/>
            <w:szCs w:val="21"/>
          </w:rPr>
          <w:fldChar w:fldCharType="begin"/>
        </w:r>
        <w:r w:rsidR="00F0626B">
          <w:rPr>
            <w:b w:val="0"/>
            <w:sz w:val="21"/>
            <w:szCs w:val="21"/>
          </w:rPr>
          <w:instrText xml:space="preserve"> PAGEREF _Toc508720684 \h </w:instrText>
        </w:r>
        <w:r w:rsidR="00F0626B">
          <w:rPr>
            <w:b w:val="0"/>
            <w:sz w:val="21"/>
            <w:szCs w:val="21"/>
          </w:rPr>
        </w:r>
        <w:r w:rsidR="00F0626B">
          <w:rPr>
            <w:b w:val="0"/>
            <w:sz w:val="21"/>
            <w:szCs w:val="21"/>
          </w:rPr>
          <w:fldChar w:fldCharType="separate"/>
        </w:r>
        <w:r w:rsidR="00AF2AA5">
          <w:rPr>
            <w:b w:val="0"/>
            <w:noProof/>
            <w:sz w:val="21"/>
            <w:szCs w:val="21"/>
          </w:rPr>
          <w:t>16</w:t>
        </w:r>
        <w:r w:rsidR="00F0626B">
          <w:rPr>
            <w:b w:val="0"/>
            <w:sz w:val="21"/>
            <w:szCs w:val="21"/>
          </w:rPr>
          <w:fldChar w:fldCharType="end"/>
        </w:r>
      </w:hyperlink>
    </w:p>
    <w:p w:rsidR="00D06337" w:rsidRDefault="00021FBA">
      <w:pPr>
        <w:pStyle w:val="11"/>
        <w:ind w:firstLine="402"/>
        <w:rPr>
          <w:b w:val="0"/>
          <w:sz w:val="21"/>
          <w:szCs w:val="21"/>
        </w:rPr>
      </w:pPr>
      <w:hyperlink w:anchor="_Toc508720685" w:history="1">
        <w:r w:rsidR="00F0626B">
          <w:rPr>
            <w:rStyle w:val="af4"/>
            <w:b w:val="0"/>
            <w:sz w:val="21"/>
            <w:szCs w:val="21"/>
          </w:rPr>
          <w:t>七、交易及清算交收安排</w:t>
        </w:r>
        <w:r w:rsidR="00F0626B">
          <w:rPr>
            <w:b w:val="0"/>
            <w:sz w:val="21"/>
            <w:szCs w:val="21"/>
          </w:rPr>
          <w:tab/>
        </w:r>
        <w:r w:rsidR="00F0626B">
          <w:rPr>
            <w:b w:val="0"/>
            <w:sz w:val="21"/>
            <w:szCs w:val="21"/>
          </w:rPr>
          <w:fldChar w:fldCharType="begin"/>
        </w:r>
        <w:r w:rsidR="00F0626B">
          <w:rPr>
            <w:b w:val="0"/>
            <w:sz w:val="21"/>
            <w:szCs w:val="21"/>
          </w:rPr>
          <w:instrText xml:space="preserve"> PAGEREF _Toc508720685 \h </w:instrText>
        </w:r>
        <w:r w:rsidR="00F0626B">
          <w:rPr>
            <w:b w:val="0"/>
            <w:sz w:val="21"/>
            <w:szCs w:val="21"/>
          </w:rPr>
        </w:r>
        <w:r w:rsidR="00F0626B">
          <w:rPr>
            <w:b w:val="0"/>
            <w:sz w:val="21"/>
            <w:szCs w:val="21"/>
          </w:rPr>
          <w:fldChar w:fldCharType="separate"/>
        </w:r>
        <w:r w:rsidR="00AF2AA5">
          <w:rPr>
            <w:b w:val="0"/>
            <w:noProof/>
            <w:sz w:val="21"/>
            <w:szCs w:val="21"/>
          </w:rPr>
          <w:t>19</w:t>
        </w:r>
        <w:r w:rsidR="00F0626B">
          <w:rPr>
            <w:b w:val="0"/>
            <w:sz w:val="21"/>
            <w:szCs w:val="21"/>
          </w:rPr>
          <w:fldChar w:fldCharType="end"/>
        </w:r>
      </w:hyperlink>
    </w:p>
    <w:p w:rsidR="00D06337" w:rsidRDefault="00021FBA">
      <w:pPr>
        <w:pStyle w:val="11"/>
        <w:ind w:firstLine="402"/>
        <w:rPr>
          <w:b w:val="0"/>
          <w:sz w:val="21"/>
          <w:szCs w:val="21"/>
        </w:rPr>
      </w:pPr>
      <w:hyperlink w:anchor="_Toc508720686" w:history="1">
        <w:r w:rsidR="00F0626B">
          <w:rPr>
            <w:rStyle w:val="af4"/>
            <w:b w:val="0"/>
            <w:sz w:val="21"/>
            <w:szCs w:val="21"/>
          </w:rPr>
          <w:t>八、基金资产净值计算和会计核算</w:t>
        </w:r>
        <w:r w:rsidR="00F0626B">
          <w:rPr>
            <w:b w:val="0"/>
            <w:sz w:val="21"/>
            <w:szCs w:val="21"/>
          </w:rPr>
          <w:tab/>
        </w:r>
        <w:r w:rsidR="00F0626B">
          <w:rPr>
            <w:b w:val="0"/>
            <w:sz w:val="21"/>
            <w:szCs w:val="21"/>
          </w:rPr>
          <w:fldChar w:fldCharType="begin"/>
        </w:r>
        <w:r w:rsidR="00F0626B">
          <w:rPr>
            <w:b w:val="0"/>
            <w:sz w:val="21"/>
            <w:szCs w:val="21"/>
          </w:rPr>
          <w:instrText xml:space="preserve"> PAGEREF _Toc508720686 \h </w:instrText>
        </w:r>
        <w:r w:rsidR="00F0626B">
          <w:rPr>
            <w:b w:val="0"/>
            <w:sz w:val="21"/>
            <w:szCs w:val="21"/>
          </w:rPr>
        </w:r>
        <w:r w:rsidR="00F0626B">
          <w:rPr>
            <w:b w:val="0"/>
            <w:sz w:val="21"/>
            <w:szCs w:val="21"/>
          </w:rPr>
          <w:fldChar w:fldCharType="separate"/>
        </w:r>
        <w:r w:rsidR="00AF2AA5">
          <w:rPr>
            <w:b w:val="0"/>
            <w:noProof/>
            <w:sz w:val="21"/>
            <w:szCs w:val="21"/>
          </w:rPr>
          <w:t>21</w:t>
        </w:r>
        <w:r w:rsidR="00F0626B">
          <w:rPr>
            <w:b w:val="0"/>
            <w:sz w:val="21"/>
            <w:szCs w:val="21"/>
          </w:rPr>
          <w:fldChar w:fldCharType="end"/>
        </w:r>
      </w:hyperlink>
    </w:p>
    <w:p w:rsidR="00D06337" w:rsidRDefault="00021FBA">
      <w:pPr>
        <w:pStyle w:val="11"/>
        <w:ind w:firstLine="402"/>
        <w:rPr>
          <w:b w:val="0"/>
          <w:sz w:val="21"/>
          <w:szCs w:val="21"/>
        </w:rPr>
      </w:pPr>
      <w:hyperlink w:anchor="_Toc508720687" w:history="1">
        <w:r w:rsidR="00F0626B">
          <w:rPr>
            <w:rStyle w:val="af4"/>
            <w:b w:val="0"/>
            <w:sz w:val="21"/>
            <w:szCs w:val="21"/>
          </w:rPr>
          <w:t>九、基金收益分配</w:t>
        </w:r>
        <w:r w:rsidR="00F0626B">
          <w:rPr>
            <w:b w:val="0"/>
            <w:sz w:val="21"/>
            <w:szCs w:val="21"/>
          </w:rPr>
          <w:tab/>
        </w:r>
        <w:r w:rsidR="00F0626B">
          <w:rPr>
            <w:b w:val="0"/>
            <w:sz w:val="21"/>
            <w:szCs w:val="21"/>
          </w:rPr>
          <w:fldChar w:fldCharType="begin"/>
        </w:r>
        <w:r w:rsidR="00F0626B">
          <w:rPr>
            <w:b w:val="0"/>
            <w:sz w:val="21"/>
            <w:szCs w:val="21"/>
          </w:rPr>
          <w:instrText xml:space="preserve"> PAGEREF _Toc508720687 \h </w:instrText>
        </w:r>
        <w:r w:rsidR="00F0626B">
          <w:rPr>
            <w:b w:val="0"/>
            <w:sz w:val="21"/>
            <w:szCs w:val="21"/>
          </w:rPr>
        </w:r>
        <w:r w:rsidR="00F0626B">
          <w:rPr>
            <w:b w:val="0"/>
            <w:sz w:val="21"/>
            <w:szCs w:val="21"/>
          </w:rPr>
          <w:fldChar w:fldCharType="separate"/>
        </w:r>
        <w:r w:rsidR="00AF2AA5">
          <w:rPr>
            <w:b w:val="0"/>
            <w:noProof/>
            <w:sz w:val="21"/>
            <w:szCs w:val="21"/>
          </w:rPr>
          <w:t>23</w:t>
        </w:r>
        <w:r w:rsidR="00F0626B">
          <w:rPr>
            <w:b w:val="0"/>
            <w:sz w:val="21"/>
            <w:szCs w:val="21"/>
          </w:rPr>
          <w:fldChar w:fldCharType="end"/>
        </w:r>
      </w:hyperlink>
    </w:p>
    <w:p w:rsidR="00D06337" w:rsidRDefault="00021FBA">
      <w:pPr>
        <w:pStyle w:val="11"/>
        <w:ind w:firstLine="402"/>
        <w:rPr>
          <w:b w:val="0"/>
          <w:sz w:val="21"/>
          <w:szCs w:val="21"/>
        </w:rPr>
      </w:pPr>
      <w:hyperlink w:anchor="_Toc508720688" w:history="1">
        <w:r w:rsidR="00F0626B">
          <w:rPr>
            <w:rStyle w:val="af4"/>
            <w:b w:val="0"/>
            <w:sz w:val="21"/>
            <w:szCs w:val="21"/>
          </w:rPr>
          <w:t>十、基金信息披露</w:t>
        </w:r>
        <w:r w:rsidR="00F0626B">
          <w:rPr>
            <w:b w:val="0"/>
            <w:sz w:val="21"/>
            <w:szCs w:val="21"/>
          </w:rPr>
          <w:tab/>
        </w:r>
        <w:r w:rsidR="00F0626B">
          <w:rPr>
            <w:b w:val="0"/>
            <w:sz w:val="21"/>
            <w:szCs w:val="21"/>
          </w:rPr>
          <w:fldChar w:fldCharType="begin"/>
        </w:r>
        <w:r w:rsidR="00F0626B">
          <w:rPr>
            <w:b w:val="0"/>
            <w:sz w:val="21"/>
            <w:szCs w:val="21"/>
          </w:rPr>
          <w:instrText xml:space="preserve"> PAGEREF _Toc508720688 \h </w:instrText>
        </w:r>
        <w:r w:rsidR="00F0626B">
          <w:rPr>
            <w:b w:val="0"/>
            <w:sz w:val="21"/>
            <w:szCs w:val="21"/>
          </w:rPr>
        </w:r>
        <w:r w:rsidR="00F0626B">
          <w:rPr>
            <w:b w:val="0"/>
            <w:sz w:val="21"/>
            <w:szCs w:val="21"/>
          </w:rPr>
          <w:fldChar w:fldCharType="separate"/>
        </w:r>
        <w:r w:rsidR="00AF2AA5">
          <w:rPr>
            <w:b w:val="0"/>
            <w:noProof/>
            <w:sz w:val="21"/>
            <w:szCs w:val="21"/>
          </w:rPr>
          <w:t>23</w:t>
        </w:r>
        <w:r w:rsidR="00F0626B">
          <w:rPr>
            <w:b w:val="0"/>
            <w:sz w:val="21"/>
            <w:szCs w:val="21"/>
          </w:rPr>
          <w:fldChar w:fldCharType="end"/>
        </w:r>
      </w:hyperlink>
    </w:p>
    <w:p w:rsidR="00D06337" w:rsidRDefault="00021FBA">
      <w:pPr>
        <w:pStyle w:val="11"/>
        <w:ind w:firstLine="402"/>
        <w:rPr>
          <w:b w:val="0"/>
          <w:sz w:val="21"/>
          <w:szCs w:val="21"/>
        </w:rPr>
      </w:pPr>
      <w:hyperlink w:anchor="_Toc508720689" w:history="1">
        <w:r w:rsidR="00F0626B">
          <w:rPr>
            <w:rStyle w:val="af4"/>
            <w:b w:val="0"/>
            <w:sz w:val="21"/>
            <w:szCs w:val="21"/>
          </w:rPr>
          <w:t>十一、基金费用</w:t>
        </w:r>
        <w:r w:rsidR="00F0626B">
          <w:rPr>
            <w:b w:val="0"/>
            <w:sz w:val="21"/>
            <w:szCs w:val="21"/>
          </w:rPr>
          <w:tab/>
        </w:r>
        <w:r w:rsidR="00F0626B">
          <w:rPr>
            <w:b w:val="0"/>
            <w:sz w:val="21"/>
            <w:szCs w:val="21"/>
          </w:rPr>
          <w:fldChar w:fldCharType="begin"/>
        </w:r>
        <w:r w:rsidR="00F0626B">
          <w:rPr>
            <w:b w:val="0"/>
            <w:sz w:val="21"/>
            <w:szCs w:val="21"/>
          </w:rPr>
          <w:instrText xml:space="preserve"> PAGEREF _Toc508720689 \h </w:instrText>
        </w:r>
        <w:r w:rsidR="00F0626B">
          <w:rPr>
            <w:b w:val="0"/>
            <w:sz w:val="21"/>
            <w:szCs w:val="21"/>
          </w:rPr>
        </w:r>
        <w:r w:rsidR="00F0626B">
          <w:rPr>
            <w:b w:val="0"/>
            <w:sz w:val="21"/>
            <w:szCs w:val="21"/>
          </w:rPr>
          <w:fldChar w:fldCharType="separate"/>
        </w:r>
        <w:r w:rsidR="00AF2AA5">
          <w:rPr>
            <w:b w:val="0"/>
            <w:noProof/>
            <w:sz w:val="21"/>
            <w:szCs w:val="21"/>
          </w:rPr>
          <w:t>25</w:t>
        </w:r>
        <w:r w:rsidR="00F0626B">
          <w:rPr>
            <w:b w:val="0"/>
            <w:sz w:val="21"/>
            <w:szCs w:val="21"/>
          </w:rPr>
          <w:fldChar w:fldCharType="end"/>
        </w:r>
      </w:hyperlink>
    </w:p>
    <w:p w:rsidR="00D06337" w:rsidRDefault="00021FBA">
      <w:pPr>
        <w:pStyle w:val="11"/>
        <w:ind w:firstLine="402"/>
        <w:rPr>
          <w:b w:val="0"/>
          <w:sz w:val="21"/>
          <w:szCs w:val="21"/>
        </w:rPr>
      </w:pPr>
      <w:hyperlink w:anchor="_Toc508720690" w:history="1">
        <w:r w:rsidR="00F0626B">
          <w:rPr>
            <w:rStyle w:val="af4"/>
            <w:b w:val="0"/>
            <w:sz w:val="21"/>
            <w:szCs w:val="21"/>
          </w:rPr>
          <w:t>十二、基金份额持有人名册的保管</w:t>
        </w:r>
        <w:r w:rsidR="00F0626B">
          <w:rPr>
            <w:b w:val="0"/>
            <w:sz w:val="21"/>
            <w:szCs w:val="21"/>
          </w:rPr>
          <w:tab/>
        </w:r>
        <w:r w:rsidR="00F0626B">
          <w:rPr>
            <w:b w:val="0"/>
            <w:sz w:val="21"/>
            <w:szCs w:val="21"/>
          </w:rPr>
          <w:fldChar w:fldCharType="begin"/>
        </w:r>
        <w:r w:rsidR="00F0626B">
          <w:rPr>
            <w:b w:val="0"/>
            <w:sz w:val="21"/>
            <w:szCs w:val="21"/>
          </w:rPr>
          <w:instrText xml:space="preserve"> PAGEREF _Toc508720690 \h </w:instrText>
        </w:r>
        <w:r w:rsidR="00F0626B">
          <w:rPr>
            <w:b w:val="0"/>
            <w:sz w:val="21"/>
            <w:szCs w:val="21"/>
          </w:rPr>
        </w:r>
        <w:r w:rsidR="00F0626B">
          <w:rPr>
            <w:b w:val="0"/>
            <w:sz w:val="21"/>
            <w:szCs w:val="21"/>
          </w:rPr>
          <w:fldChar w:fldCharType="separate"/>
        </w:r>
        <w:r w:rsidR="00AF2AA5">
          <w:rPr>
            <w:b w:val="0"/>
            <w:noProof/>
            <w:sz w:val="21"/>
            <w:szCs w:val="21"/>
          </w:rPr>
          <w:t>25</w:t>
        </w:r>
        <w:r w:rsidR="00F0626B">
          <w:rPr>
            <w:b w:val="0"/>
            <w:sz w:val="21"/>
            <w:szCs w:val="21"/>
          </w:rPr>
          <w:fldChar w:fldCharType="end"/>
        </w:r>
      </w:hyperlink>
    </w:p>
    <w:p w:rsidR="00D06337" w:rsidRDefault="00021FBA">
      <w:pPr>
        <w:pStyle w:val="11"/>
        <w:ind w:firstLine="402"/>
        <w:rPr>
          <w:b w:val="0"/>
          <w:sz w:val="21"/>
          <w:szCs w:val="21"/>
        </w:rPr>
      </w:pPr>
      <w:hyperlink w:anchor="_Toc508720691" w:history="1">
        <w:r w:rsidR="00F0626B">
          <w:rPr>
            <w:rStyle w:val="af4"/>
            <w:b w:val="0"/>
            <w:sz w:val="21"/>
            <w:szCs w:val="21"/>
          </w:rPr>
          <w:t>十三、基金有关文件档案的保存</w:t>
        </w:r>
        <w:r w:rsidR="00F0626B">
          <w:rPr>
            <w:b w:val="0"/>
            <w:sz w:val="21"/>
            <w:szCs w:val="21"/>
          </w:rPr>
          <w:tab/>
        </w:r>
        <w:r w:rsidR="00F0626B">
          <w:rPr>
            <w:b w:val="0"/>
            <w:sz w:val="21"/>
            <w:szCs w:val="21"/>
          </w:rPr>
          <w:fldChar w:fldCharType="begin"/>
        </w:r>
        <w:r w:rsidR="00F0626B">
          <w:rPr>
            <w:b w:val="0"/>
            <w:sz w:val="21"/>
            <w:szCs w:val="21"/>
          </w:rPr>
          <w:instrText xml:space="preserve"> PAGEREF _Toc508720691 \h </w:instrText>
        </w:r>
        <w:r w:rsidR="00F0626B">
          <w:rPr>
            <w:b w:val="0"/>
            <w:sz w:val="21"/>
            <w:szCs w:val="21"/>
          </w:rPr>
        </w:r>
        <w:r w:rsidR="00F0626B">
          <w:rPr>
            <w:b w:val="0"/>
            <w:sz w:val="21"/>
            <w:szCs w:val="21"/>
          </w:rPr>
          <w:fldChar w:fldCharType="separate"/>
        </w:r>
        <w:r w:rsidR="00AF2AA5">
          <w:rPr>
            <w:b w:val="0"/>
            <w:noProof/>
            <w:sz w:val="21"/>
            <w:szCs w:val="21"/>
          </w:rPr>
          <w:t>26</w:t>
        </w:r>
        <w:r w:rsidR="00F0626B">
          <w:rPr>
            <w:b w:val="0"/>
            <w:sz w:val="21"/>
            <w:szCs w:val="21"/>
          </w:rPr>
          <w:fldChar w:fldCharType="end"/>
        </w:r>
      </w:hyperlink>
    </w:p>
    <w:p w:rsidR="00D06337" w:rsidRDefault="00021FBA">
      <w:pPr>
        <w:pStyle w:val="11"/>
        <w:ind w:firstLine="402"/>
        <w:rPr>
          <w:b w:val="0"/>
          <w:sz w:val="21"/>
          <w:szCs w:val="21"/>
        </w:rPr>
      </w:pPr>
      <w:hyperlink w:anchor="_Toc508720692" w:history="1">
        <w:r w:rsidR="00F0626B">
          <w:rPr>
            <w:rStyle w:val="af4"/>
            <w:b w:val="0"/>
            <w:sz w:val="21"/>
            <w:szCs w:val="21"/>
          </w:rPr>
          <w:t>十四、基金管理人和基金托管人的更换</w:t>
        </w:r>
        <w:r w:rsidR="00F0626B">
          <w:rPr>
            <w:b w:val="0"/>
            <w:sz w:val="21"/>
            <w:szCs w:val="21"/>
          </w:rPr>
          <w:tab/>
        </w:r>
        <w:r w:rsidR="00F0626B">
          <w:rPr>
            <w:b w:val="0"/>
            <w:sz w:val="21"/>
            <w:szCs w:val="21"/>
          </w:rPr>
          <w:fldChar w:fldCharType="begin"/>
        </w:r>
        <w:r w:rsidR="00F0626B">
          <w:rPr>
            <w:b w:val="0"/>
            <w:sz w:val="21"/>
            <w:szCs w:val="21"/>
          </w:rPr>
          <w:instrText xml:space="preserve"> PAGEREF _Toc508720692 \h </w:instrText>
        </w:r>
        <w:r w:rsidR="00F0626B">
          <w:rPr>
            <w:b w:val="0"/>
            <w:sz w:val="21"/>
            <w:szCs w:val="21"/>
          </w:rPr>
        </w:r>
        <w:r w:rsidR="00F0626B">
          <w:rPr>
            <w:b w:val="0"/>
            <w:sz w:val="21"/>
            <w:szCs w:val="21"/>
          </w:rPr>
          <w:fldChar w:fldCharType="separate"/>
        </w:r>
        <w:r w:rsidR="00AF2AA5">
          <w:rPr>
            <w:b w:val="0"/>
            <w:noProof/>
            <w:sz w:val="21"/>
            <w:szCs w:val="21"/>
          </w:rPr>
          <w:t>26</w:t>
        </w:r>
        <w:r w:rsidR="00F0626B">
          <w:rPr>
            <w:b w:val="0"/>
            <w:sz w:val="21"/>
            <w:szCs w:val="21"/>
          </w:rPr>
          <w:fldChar w:fldCharType="end"/>
        </w:r>
      </w:hyperlink>
    </w:p>
    <w:p w:rsidR="00D06337" w:rsidRDefault="00021FBA">
      <w:pPr>
        <w:pStyle w:val="11"/>
        <w:ind w:firstLine="402"/>
        <w:rPr>
          <w:b w:val="0"/>
          <w:sz w:val="21"/>
          <w:szCs w:val="21"/>
        </w:rPr>
      </w:pPr>
      <w:hyperlink w:anchor="_Toc508720693" w:history="1">
        <w:r w:rsidR="00F0626B">
          <w:rPr>
            <w:rStyle w:val="af4"/>
            <w:b w:val="0"/>
            <w:sz w:val="21"/>
            <w:szCs w:val="21"/>
          </w:rPr>
          <w:t>十五、禁止行为</w:t>
        </w:r>
        <w:r w:rsidR="00F0626B">
          <w:rPr>
            <w:b w:val="0"/>
            <w:sz w:val="21"/>
            <w:szCs w:val="21"/>
          </w:rPr>
          <w:tab/>
        </w:r>
        <w:r w:rsidR="00F0626B">
          <w:rPr>
            <w:b w:val="0"/>
            <w:sz w:val="21"/>
            <w:szCs w:val="21"/>
          </w:rPr>
          <w:fldChar w:fldCharType="begin"/>
        </w:r>
        <w:r w:rsidR="00F0626B">
          <w:rPr>
            <w:b w:val="0"/>
            <w:sz w:val="21"/>
            <w:szCs w:val="21"/>
          </w:rPr>
          <w:instrText xml:space="preserve"> PAGEREF _Toc508720693 \h </w:instrText>
        </w:r>
        <w:r w:rsidR="00F0626B">
          <w:rPr>
            <w:b w:val="0"/>
            <w:sz w:val="21"/>
            <w:szCs w:val="21"/>
          </w:rPr>
        </w:r>
        <w:r w:rsidR="00F0626B">
          <w:rPr>
            <w:b w:val="0"/>
            <w:sz w:val="21"/>
            <w:szCs w:val="21"/>
          </w:rPr>
          <w:fldChar w:fldCharType="separate"/>
        </w:r>
        <w:r w:rsidR="00AF2AA5">
          <w:rPr>
            <w:b w:val="0"/>
            <w:noProof/>
            <w:sz w:val="21"/>
            <w:szCs w:val="21"/>
          </w:rPr>
          <w:t>29</w:t>
        </w:r>
        <w:r w:rsidR="00F0626B">
          <w:rPr>
            <w:b w:val="0"/>
            <w:sz w:val="21"/>
            <w:szCs w:val="21"/>
          </w:rPr>
          <w:fldChar w:fldCharType="end"/>
        </w:r>
      </w:hyperlink>
    </w:p>
    <w:p w:rsidR="00D06337" w:rsidRDefault="00021FBA">
      <w:pPr>
        <w:pStyle w:val="11"/>
        <w:ind w:firstLine="402"/>
        <w:rPr>
          <w:b w:val="0"/>
          <w:sz w:val="21"/>
          <w:szCs w:val="21"/>
        </w:rPr>
      </w:pPr>
      <w:hyperlink w:anchor="_Toc508720694" w:history="1">
        <w:r w:rsidR="00F0626B">
          <w:rPr>
            <w:rStyle w:val="af4"/>
            <w:b w:val="0"/>
            <w:sz w:val="21"/>
            <w:szCs w:val="21"/>
          </w:rPr>
          <w:t>十六、基金托管协议的变更、终止与基金财产的清算</w:t>
        </w:r>
        <w:r w:rsidR="00F0626B">
          <w:rPr>
            <w:b w:val="0"/>
            <w:sz w:val="21"/>
            <w:szCs w:val="21"/>
          </w:rPr>
          <w:tab/>
        </w:r>
        <w:r w:rsidR="00F0626B">
          <w:rPr>
            <w:b w:val="0"/>
            <w:sz w:val="21"/>
            <w:szCs w:val="21"/>
          </w:rPr>
          <w:fldChar w:fldCharType="begin"/>
        </w:r>
        <w:r w:rsidR="00F0626B">
          <w:rPr>
            <w:b w:val="0"/>
            <w:sz w:val="21"/>
            <w:szCs w:val="21"/>
          </w:rPr>
          <w:instrText xml:space="preserve"> PAGEREF _Toc508720694 \h </w:instrText>
        </w:r>
        <w:r w:rsidR="00F0626B">
          <w:rPr>
            <w:b w:val="0"/>
            <w:sz w:val="21"/>
            <w:szCs w:val="21"/>
          </w:rPr>
        </w:r>
        <w:r w:rsidR="00F0626B">
          <w:rPr>
            <w:b w:val="0"/>
            <w:sz w:val="21"/>
            <w:szCs w:val="21"/>
          </w:rPr>
          <w:fldChar w:fldCharType="separate"/>
        </w:r>
        <w:r w:rsidR="00AF2AA5">
          <w:rPr>
            <w:b w:val="0"/>
            <w:noProof/>
            <w:sz w:val="21"/>
            <w:szCs w:val="21"/>
          </w:rPr>
          <w:t>30</w:t>
        </w:r>
        <w:r w:rsidR="00F0626B">
          <w:rPr>
            <w:b w:val="0"/>
            <w:sz w:val="21"/>
            <w:szCs w:val="21"/>
          </w:rPr>
          <w:fldChar w:fldCharType="end"/>
        </w:r>
      </w:hyperlink>
    </w:p>
    <w:p w:rsidR="00D06337" w:rsidRDefault="00021FBA">
      <w:pPr>
        <w:pStyle w:val="11"/>
        <w:ind w:firstLine="402"/>
        <w:rPr>
          <w:b w:val="0"/>
          <w:sz w:val="21"/>
          <w:szCs w:val="21"/>
        </w:rPr>
      </w:pPr>
      <w:hyperlink w:anchor="_Toc508720695" w:history="1">
        <w:r w:rsidR="00F0626B">
          <w:rPr>
            <w:rStyle w:val="af4"/>
            <w:b w:val="0"/>
            <w:sz w:val="21"/>
            <w:szCs w:val="21"/>
          </w:rPr>
          <w:t>十七、违约责任</w:t>
        </w:r>
        <w:r w:rsidR="00F0626B">
          <w:rPr>
            <w:b w:val="0"/>
            <w:sz w:val="21"/>
            <w:szCs w:val="21"/>
          </w:rPr>
          <w:tab/>
        </w:r>
        <w:r w:rsidR="00F0626B">
          <w:rPr>
            <w:b w:val="0"/>
            <w:sz w:val="21"/>
            <w:szCs w:val="21"/>
          </w:rPr>
          <w:fldChar w:fldCharType="begin"/>
        </w:r>
        <w:r w:rsidR="00F0626B">
          <w:rPr>
            <w:b w:val="0"/>
            <w:sz w:val="21"/>
            <w:szCs w:val="21"/>
          </w:rPr>
          <w:instrText xml:space="preserve"> PAGEREF _Toc508720695 \h </w:instrText>
        </w:r>
        <w:r w:rsidR="00F0626B">
          <w:rPr>
            <w:b w:val="0"/>
            <w:sz w:val="21"/>
            <w:szCs w:val="21"/>
          </w:rPr>
        </w:r>
        <w:r w:rsidR="00F0626B">
          <w:rPr>
            <w:b w:val="0"/>
            <w:sz w:val="21"/>
            <w:szCs w:val="21"/>
          </w:rPr>
          <w:fldChar w:fldCharType="separate"/>
        </w:r>
        <w:r w:rsidR="00AF2AA5">
          <w:rPr>
            <w:b w:val="0"/>
            <w:noProof/>
            <w:sz w:val="21"/>
            <w:szCs w:val="21"/>
          </w:rPr>
          <w:t>32</w:t>
        </w:r>
        <w:r w:rsidR="00F0626B">
          <w:rPr>
            <w:b w:val="0"/>
            <w:sz w:val="21"/>
            <w:szCs w:val="21"/>
          </w:rPr>
          <w:fldChar w:fldCharType="end"/>
        </w:r>
      </w:hyperlink>
    </w:p>
    <w:p w:rsidR="00D06337" w:rsidRDefault="00021FBA">
      <w:pPr>
        <w:pStyle w:val="11"/>
        <w:ind w:firstLine="402"/>
        <w:rPr>
          <w:b w:val="0"/>
          <w:sz w:val="21"/>
          <w:szCs w:val="21"/>
        </w:rPr>
      </w:pPr>
      <w:hyperlink w:anchor="_Toc508720696" w:history="1">
        <w:r w:rsidR="00F0626B">
          <w:rPr>
            <w:rStyle w:val="af4"/>
            <w:b w:val="0"/>
            <w:sz w:val="21"/>
            <w:szCs w:val="21"/>
          </w:rPr>
          <w:t>十八、争议解决方式</w:t>
        </w:r>
        <w:r w:rsidR="00F0626B">
          <w:rPr>
            <w:b w:val="0"/>
            <w:sz w:val="21"/>
            <w:szCs w:val="21"/>
          </w:rPr>
          <w:tab/>
        </w:r>
        <w:r w:rsidR="00F0626B">
          <w:rPr>
            <w:b w:val="0"/>
            <w:sz w:val="21"/>
            <w:szCs w:val="21"/>
          </w:rPr>
          <w:fldChar w:fldCharType="begin"/>
        </w:r>
        <w:r w:rsidR="00F0626B">
          <w:rPr>
            <w:b w:val="0"/>
            <w:sz w:val="21"/>
            <w:szCs w:val="21"/>
          </w:rPr>
          <w:instrText xml:space="preserve"> PAGEREF _Toc508720696 \h </w:instrText>
        </w:r>
        <w:r w:rsidR="00F0626B">
          <w:rPr>
            <w:b w:val="0"/>
            <w:sz w:val="21"/>
            <w:szCs w:val="21"/>
          </w:rPr>
        </w:r>
        <w:r w:rsidR="00F0626B">
          <w:rPr>
            <w:b w:val="0"/>
            <w:sz w:val="21"/>
            <w:szCs w:val="21"/>
          </w:rPr>
          <w:fldChar w:fldCharType="separate"/>
        </w:r>
        <w:r w:rsidR="00AF2AA5">
          <w:rPr>
            <w:b w:val="0"/>
            <w:noProof/>
            <w:sz w:val="21"/>
            <w:szCs w:val="21"/>
          </w:rPr>
          <w:t>33</w:t>
        </w:r>
        <w:r w:rsidR="00F0626B">
          <w:rPr>
            <w:b w:val="0"/>
            <w:sz w:val="21"/>
            <w:szCs w:val="21"/>
          </w:rPr>
          <w:fldChar w:fldCharType="end"/>
        </w:r>
      </w:hyperlink>
    </w:p>
    <w:p w:rsidR="00D06337" w:rsidRDefault="00021FBA">
      <w:pPr>
        <w:pStyle w:val="11"/>
        <w:ind w:firstLine="402"/>
        <w:rPr>
          <w:b w:val="0"/>
          <w:sz w:val="21"/>
          <w:szCs w:val="21"/>
        </w:rPr>
      </w:pPr>
      <w:hyperlink w:anchor="_Toc508720697" w:history="1">
        <w:r w:rsidR="00F0626B">
          <w:rPr>
            <w:rStyle w:val="af4"/>
            <w:b w:val="0"/>
            <w:sz w:val="21"/>
            <w:szCs w:val="21"/>
          </w:rPr>
          <w:t>十九、基金托管协议的效力</w:t>
        </w:r>
        <w:r w:rsidR="00F0626B">
          <w:rPr>
            <w:b w:val="0"/>
            <w:sz w:val="21"/>
            <w:szCs w:val="21"/>
          </w:rPr>
          <w:tab/>
        </w:r>
        <w:r w:rsidR="00F0626B">
          <w:rPr>
            <w:b w:val="0"/>
            <w:sz w:val="21"/>
            <w:szCs w:val="21"/>
          </w:rPr>
          <w:fldChar w:fldCharType="begin"/>
        </w:r>
        <w:r w:rsidR="00F0626B">
          <w:rPr>
            <w:b w:val="0"/>
            <w:sz w:val="21"/>
            <w:szCs w:val="21"/>
          </w:rPr>
          <w:instrText xml:space="preserve"> PAGEREF _Toc508720697 \h </w:instrText>
        </w:r>
        <w:r w:rsidR="00F0626B">
          <w:rPr>
            <w:b w:val="0"/>
            <w:sz w:val="21"/>
            <w:szCs w:val="21"/>
          </w:rPr>
        </w:r>
        <w:r w:rsidR="00F0626B">
          <w:rPr>
            <w:b w:val="0"/>
            <w:sz w:val="21"/>
            <w:szCs w:val="21"/>
          </w:rPr>
          <w:fldChar w:fldCharType="separate"/>
        </w:r>
        <w:r w:rsidR="00AF2AA5">
          <w:rPr>
            <w:b w:val="0"/>
            <w:noProof/>
            <w:sz w:val="21"/>
            <w:szCs w:val="21"/>
          </w:rPr>
          <w:t>34</w:t>
        </w:r>
        <w:r w:rsidR="00F0626B">
          <w:rPr>
            <w:b w:val="0"/>
            <w:sz w:val="21"/>
            <w:szCs w:val="21"/>
          </w:rPr>
          <w:fldChar w:fldCharType="end"/>
        </w:r>
      </w:hyperlink>
    </w:p>
    <w:p w:rsidR="00D06337" w:rsidRDefault="00021FBA">
      <w:pPr>
        <w:pStyle w:val="11"/>
        <w:ind w:firstLine="402"/>
        <w:rPr>
          <w:b w:val="0"/>
          <w:sz w:val="21"/>
          <w:szCs w:val="21"/>
        </w:rPr>
      </w:pPr>
      <w:hyperlink w:anchor="_Toc508720698" w:history="1">
        <w:r w:rsidR="00F0626B">
          <w:rPr>
            <w:rStyle w:val="af4"/>
            <w:b w:val="0"/>
            <w:sz w:val="21"/>
            <w:szCs w:val="21"/>
          </w:rPr>
          <w:t>二十、其他事项</w:t>
        </w:r>
        <w:r w:rsidR="00F0626B">
          <w:rPr>
            <w:b w:val="0"/>
            <w:sz w:val="21"/>
            <w:szCs w:val="21"/>
          </w:rPr>
          <w:tab/>
        </w:r>
        <w:r w:rsidR="00F0626B">
          <w:rPr>
            <w:b w:val="0"/>
            <w:sz w:val="21"/>
            <w:szCs w:val="21"/>
          </w:rPr>
          <w:fldChar w:fldCharType="begin"/>
        </w:r>
        <w:r w:rsidR="00F0626B">
          <w:rPr>
            <w:b w:val="0"/>
            <w:sz w:val="21"/>
            <w:szCs w:val="21"/>
          </w:rPr>
          <w:instrText xml:space="preserve"> PAGEREF _Toc508720698 \h </w:instrText>
        </w:r>
        <w:r w:rsidR="00F0626B">
          <w:rPr>
            <w:b w:val="0"/>
            <w:sz w:val="21"/>
            <w:szCs w:val="21"/>
          </w:rPr>
        </w:r>
        <w:r w:rsidR="00F0626B">
          <w:rPr>
            <w:b w:val="0"/>
            <w:sz w:val="21"/>
            <w:szCs w:val="21"/>
          </w:rPr>
          <w:fldChar w:fldCharType="separate"/>
        </w:r>
        <w:r w:rsidR="00AF2AA5">
          <w:rPr>
            <w:b w:val="0"/>
            <w:noProof/>
            <w:sz w:val="21"/>
            <w:szCs w:val="21"/>
          </w:rPr>
          <w:t>34</w:t>
        </w:r>
        <w:r w:rsidR="00F0626B">
          <w:rPr>
            <w:b w:val="0"/>
            <w:sz w:val="21"/>
            <w:szCs w:val="21"/>
          </w:rPr>
          <w:fldChar w:fldCharType="end"/>
        </w:r>
      </w:hyperlink>
    </w:p>
    <w:p w:rsidR="00D06337" w:rsidRDefault="00021FBA">
      <w:pPr>
        <w:pStyle w:val="11"/>
        <w:ind w:firstLine="402"/>
        <w:rPr>
          <w:b w:val="0"/>
          <w:sz w:val="21"/>
          <w:szCs w:val="21"/>
        </w:rPr>
      </w:pPr>
      <w:hyperlink w:anchor="_Toc508720699" w:history="1">
        <w:r w:rsidR="00F0626B">
          <w:rPr>
            <w:rStyle w:val="af4"/>
            <w:b w:val="0"/>
            <w:sz w:val="21"/>
            <w:szCs w:val="21"/>
          </w:rPr>
          <w:t>二十一、基金托管协议的签订</w:t>
        </w:r>
        <w:r w:rsidR="00F0626B">
          <w:rPr>
            <w:b w:val="0"/>
            <w:sz w:val="21"/>
            <w:szCs w:val="21"/>
          </w:rPr>
          <w:tab/>
        </w:r>
        <w:r w:rsidR="00F0626B">
          <w:rPr>
            <w:b w:val="0"/>
            <w:sz w:val="21"/>
            <w:szCs w:val="21"/>
          </w:rPr>
          <w:fldChar w:fldCharType="begin"/>
        </w:r>
        <w:r w:rsidR="00F0626B">
          <w:rPr>
            <w:b w:val="0"/>
            <w:sz w:val="21"/>
            <w:szCs w:val="21"/>
          </w:rPr>
          <w:instrText xml:space="preserve"> PAGEREF _Toc508720699 \h </w:instrText>
        </w:r>
        <w:r w:rsidR="00F0626B">
          <w:rPr>
            <w:b w:val="0"/>
            <w:sz w:val="21"/>
            <w:szCs w:val="21"/>
          </w:rPr>
        </w:r>
        <w:r w:rsidR="00F0626B">
          <w:rPr>
            <w:b w:val="0"/>
            <w:sz w:val="21"/>
            <w:szCs w:val="21"/>
          </w:rPr>
          <w:fldChar w:fldCharType="separate"/>
        </w:r>
        <w:r w:rsidR="00AF2AA5">
          <w:rPr>
            <w:b w:val="0"/>
            <w:noProof/>
            <w:sz w:val="21"/>
            <w:szCs w:val="21"/>
          </w:rPr>
          <w:t>34</w:t>
        </w:r>
        <w:r w:rsidR="00F0626B">
          <w:rPr>
            <w:b w:val="0"/>
            <w:sz w:val="21"/>
            <w:szCs w:val="21"/>
          </w:rPr>
          <w:fldChar w:fldCharType="end"/>
        </w:r>
      </w:hyperlink>
    </w:p>
    <w:p w:rsidR="00D06337" w:rsidRDefault="00F0626B">
      <w:pPr>
        <w:pStyle w:val="11"/>
        <w:ind w:firstLine="420"/>
        <w:rPr>
          <w:rStyle w:val="af4"/>
          <w:rFonts w:ascii="宋体" w:hAnsi="宋体"/>
          <w:b w:val="0"/>
          <w:bCs/>
          <w:caps w:val="0"/>
          <w:color w:val="000000"/>
          <w:sz w:val="21"/>
          <w:szCs w:val="24"/>
        </w:rPr>
      </w:pPr>
      <w:r>
        <w:rPr>
          <w:rStyle w:val="af4"/>
          <w:b w:val="0"/>
          <w:bCs/>
          <w:color w:val="000000"/>
          <w:sz w:val="21"/>
          <w:szCs w:val="21"/>
        </w:rPr>
        <w:fldChar w:fldCharType="end"/>
      </w:r>
    </w:p>
    <w:p w:rsidR="00D06337" w:rsidRDefault="00F0626B">
      <w:pPr>
        <w:spacing w:line="360" w:lineRule="auto"/>
        <w:ind w:firstLineChars="200" w:firstLine="420"/>
        <w:rPr>
          <w:rFonts w:ascii="宋体" w:hAnsi="宋体"/>
          <w:color w:val="000000"/>
          <w:kern w:val="0"/>
          <w:sz w:val="24"/>
        </w:rPr>
      </w:pPr>
      <w:r>
        <w:rPr>
          <w:rStyle w:val="af4"/>
          <w:rFonts w:ascii="宋体" w:hAnsi="宋体"/>
          <w:bCs/>
          <w:color w:val="000000"/>
        </w:rPr>
        <w:br w:type="page"/>
      </w:r>
      <w:bookmarkStart w:id="1" w:name="_Toc125892432"/>
      <w:bookmarkStart w:id="2" w:name="_Toc22454432"/>
      <w:bookmarkStart w:id="3" w:name="_Toc523829992"/>
      <w:r>
        <w:rPr>
          <w:rFonts w:ascii="宋体" w:hAnsi="宋体" w:hint="eastAsia"/>
          <w:color w:val="000000"/>
          <w:kern w:val="0"/>
          <w:sz w:val="24"/>
        </w:rPr>
        <w:lastRenderedPageBreak/>
        <w:t>鉴于交银施罗德基金管理有限公司系一家依照中国法律合法成立并有效存续的有限责任公司，按照相关法律法规的规定具备担任基金管理人的资格和能力，拟募集注册交银施罗德中</w:t>
      </w:r>
      <w:proofErr w:type="gramStart"/>
      <w:r>
        <w:rPr>
          <w:rFonts w:ascii="宋体" w:hAnsi="宋体" w:hint="eastAsia"/>
          <w:color w:val="000000"/>
          <w:kern w:val="0"/>
          <w:sz w:val="24"/>
        </w:rPr>
        <w:t>证智选沪</w:t>
      </w:r>
      <w:proofErr w:type="gramEnd"/>
      <w:r>
        <w:rPr>
          <w:rFonts w:ascii="宋体" w:hAnsi="宋体" w:hint="eastAsia"/>
          <w:color w:val="000000"/>
          <w:kern w:val="0"/>
          <w:sz w:val="24"/>
        </w:rPr>
        <w:t>深港科技50交易型开放式指数证券投资基金（以下简称“本基金”或“基金”）；</w:t>
      </w:r>
      <w:bookmarkEnd w:id="1"/>
    </w:p>
    <w:p w:rsidR="00D06337" w:rsidRDefault="00F0626B">
      <w:pPr>
        <w:spacing w:line="360" w:lineRule="auto"/>
        <w:ind w:firstLineChars="200" w:firstLine="480"/>
        <w:rPr>
          <w:rFonts w:ascii="宋体" w:hAnsi="宋体"/>
          <w:color w:val="000000"/>
          <w:kern w:val="0"/>
          <w:sz w:val="24"/>
        </w:rPr>
      </w:pPr>
      <w:bookmarkStart w:id="4" w:name="_Toc125892433"/>
      <w:r>
        <w:rPr>
          <w:rFonts w:ascii="宋体" w:hAnsi="宋体" w:hint="eastAsia"/>
          <w:color w:val="000000"/>
          <w:kern w:val="0"/>
          <w:sz w:val="24"/>
        </w:rPr>
        <w:t>鉴于</w:t>
      </w:r>
      <w:proofErr w:type="gramStart"/>
      <w:r>
        <w:rPr>
          <w:rFonts w:ascii="宋体" w:hAnsi="宋体" w:hint="eastAsia"/>
          <w:color w:val="000000"/>
          <w:kern w:val="0"/>
          <w:sz w:val="24"/>
        </w:rPr>
        <w:t>国泰海通</w:t>
      </w:r>
      <w:proofErr w:type="gramEnd"/>
      <w:r>
        <w:rPr>
          <w:rFonts w:ascii="宋体" w:hAnsi="宋体" w:hint="eastAsia"/>
          <w:color w:val="000000"/>
          <w:kern w:val="0"/>
          <w:sz w:val="24"/>
        </w:rPr>
        <w:t>证券股份有限公司系一家依照中国法律合法成立并有效存续的证券公司，按照相关法律法规的规定具备担任基金托管人的资格和能力；</w:t>
      </w:r>
      <w:bookmarkEnd w:id="4"/>
    </w:p>
    <w:p w:rsidR="00D06337" w:rsidRDefault="00F0626B">
      <w:pPr>
        <w:spacing w:line="360" w:lineRule="auto"/>
        <w:ind w:firstLineChars="200" w:firstLine="480"/>
        <w:rPr>
          <w:rFonts w:ascii="宋体" w:hAnsi="宋体"/>
          <w:color w:val="000000"/>
          <w:kern w:val="0"/>
          <w:sz w:val="24"/>
        </w:rPr>
      </w:pPr>
      <w:bookmarkStart w:id="5" w:name="_Toc125892434"/>
      <w:r>
        <w:rPr>
          <w:rFonts w:ascii="宋体" w:hAnsi="宋体" w:hint="eastAsia"/>
          <w:color w:val="000000"/>
          <w:kern w:val="0"/>
          <w:sz w:val="24"/>
        </w:rPr>
        <w:t>鉴于交银施罗德基金管理有限公司拟担任交银施罗德中</w:t>
      </w:r>
      <w:proofErr w:type="gramStart"/>
      <w:r>
        <w:rPr>
          <w:rFonts w:ascii="宋体" w:hAnsi="宋体" w:hint="eastAsia"/>
          <w:color w:val="000000"/>
          <w:kern w:val="0"/>
          <w:sz w:val="24"/>
        </w:rPr>
        <w:t>证智选沪</w:t>
      </w:r>
      <w:proofErr w:type="gramEnd"/>
      <w:r>
        <w:rPr>
          <w:rFonts w:ascii="宋体" w:hAnsi="宋体" w:hint="eastAsia"/>
          <w:color w:val="000000"/>
          <w:kern w:val="0"/>
          <w:sz w:val="24"/>
        </w:rPr>
        <w:t>深港科技50交易型开放式指数证券投资基金的基金管理人，</w:t>
      </w:r>
      <w:proofErr w:type="gramStart"/>
      <w:r>
        <w:rPr>
          <w:rFonts w:ascii="宋体" w:hAnsi="宋体" w:hint="eastAsia"/>
          <w:color w:val="000000"/>
          <w:kern w:val="0"/>
          <w:sz w:val="24"/>
        </w:rPr>
        <w:t>国泰海通</w:t>
      </w:r>
      <w:proofErr w:type="gramEnd"/>
      <w:r>
        <w:rPr>
          <w:rFonts w:ascii="宋体" w:hAnsi="宋体" w:hint="eastAsia"/>
          <w:color w:val="000000"/>
          <w:kern w:val="0"/>
          <w:sz w:val="24"/>
        </w:rPr>
        <w:t>证券股份有限公司拟担任交银施罗德中</w:t>
      </w:r>
      <w:proofErr w:type="gramStart"/>
      <w:r>
        <w:rPr>
          <w:rFonts w:ascii="宋体" w:hAnsi="宋体" w:hint="eastAsia"/>
          <w:color w:val="000000"/>
          <w:kern w:val="0"/>
          <w:sz w:val="24"/>
        </w:rPr>
        <w:t>证智选沪</w:t>
      </w:r>
      <w:proofErr w:type="gramEnd"/>
      <w:r>
        <w:rPr>
          <w:rFonts w:ascii="宋体" w:hAnsi="宋体" w:hint="eastAsia"/>
          <w:color w:val="000000"/>
          <w:kern w:val="0"/>
          <w:sz w:val="24"/>
        </w:rPr>
        <w:t>深港科技50交易型开放式指数证券投资基金的基金托管人；</w:t>
      </w:r>
      <w:bookmarkEnd w:id="5"/>
    </w:p>
    <w:p w:rsidR="00D06337" w:rsidRDefault="00F0626B">
      <w:pPr>
        <w:spacing w:line="360" w:lineRule="auto"/>
        <w:ind w:firstLineChars="200" w:firstLine="480"/>
        <w:rPr>
          <w:rFonts w:ascii="宋体" w:hAnsi="宋体"/>
          <w:color w:val="000000"/>
          <w:kern w:val="0"/>
          <w:sz w:val="24"/>
        </w:rPr>
      </w:pPr>
      <w:bookmarkStart w:id="6" w:name="_Toc125892435"/>
      <w:r>
        <w:rPr>
          <w:rFonts w:ascii="宋体" w:hAnsi="宋体" w:hint="eastAsia"/>
          <w:color w:val="000000"/>
          <w:kern w:val="0"/>
          <w:sz w:val="24"/>
        </w:rPr>
        <w:t>为</w:t>
      </w:r>
      <w:proofErr w:type="gramStart"/>
      <w:r>
        <w:rPr>
          <w:rFonts w:ascii="宋体" w:hAnsi="宋体" w:hint="eastAsia"/>
          <w:color w:val="000000"/>
          <w:kern w:val="0"/>
          <w:sz w:val="24"/>
        </w:rPr>
        <w:t>明确交</w:t>
      </w:r>
      <w:proofErr w:type="gramEnd"/>
      <w:r>
        <w:rPr>
          <w:rFonts w:ascii="宋体" w:hAnsi="宋体" w:hint="eastAsia"/>
          <w:color w:val="000000"/>
          <w:kern w:val="0"/>
          <w:sz w:val="24"/>
        </w:rPr>
        <w:t>银施罗德中</w:t>
      </w:r>
      <w:proofErr w:type="gramStart"/>
      <w:r>
        <w:rPr>
          <w:rFonts w:ascii="宋体" w:hAnsi="宋体" w:hint="eastAsia"/>
          <w:color w:val="000000"/>
          <w:kern w:val="0"/>
          <w:sz w:val="24"/>
        </w:rPr>
        <w:t>证智选沪</w:t>
      </w:r>
      <w:proofErr w:type="gramEnd"/>
      <w:r>
        <w:rPr>
          <w:rFonts w:ascii="宋体" w:hAnsi="宋体" w:hint="eastAsia"/>
          <w:color w:val="000000"/>
          <w:kern w:val="0"/>
          <w:sz w:val="24"/>
        </w:rPr>
        <w:t>深港科技50交易型开放式指数证券投资基金的基金管理人和基金托管人之间的权利义务关系，特制订本协议；</w:t>
      </w:r>
      <w:bookmarkEnd w:id="6"/>
    </w:p>
    <w:p w:rsidR="00D06337" w:rsidRDefault="00F0626B">
      <w:pPr>
        <w:spacing w:line="360" w:lineRule="auto"/>
        <w:ind w:firstLineChars="200" w:firstLine="480"/>
        <w:rPr>
          <w:rFonts w:ascii="宋体" w:hAnsi="宋体"/>
          <w:color w:val="000000"/>
          <w:kern w:val="0"/>
          <w:sz w:val="24"/>
        </w:rPr>
      </w:pPr>
      <w:bookmarkStart w:id="7" w:name="_Toc125892436"/>
      <w:r>
        <w:rPr>
          <w:rFonts w:ascii="宋体" w:hAnsi="宋体" w:hint="eastAsia"/>
          <w:color w:val="000000"/>
          <w:kern w:val="0"/>
          <w:sz w:val="24"/>
        </w:rPr>
        <w:t>除非文义另有所指，本协议的所有术语或简称与《交银施罗德中证智选沪深港科技50交易型开放式指数证券投资基金基金合同》（以下简称“《基金合同》”或“基金合同”）中定义的相应术语或简称具有相同的含义。若有抵触应以《基金合同》为准，并依其条款解释。</w:t>
      </w:r>
      <w:bookmarkStart w:id="8" w:name="_Toc125892437"/>
      <w:bookmarkEnd w:id="7"/>
    </w:p>
    <w:p w:rsidR="00D06337" w:rsidRDefault="00F0626B">
      <w:pPr>
        <w:tabs>
          <w:tab w:val="left" w:pos="3780"/>
        </w:tabs>
        <w:autoSpaceDE w:val="0"/>
        <w:autoSpaceDN w:val="0"/>
        <w:spacing w:line="360" w:lineRule="auto"/>
        <w:ind w:firstLineChars="200" w:firstLine="420"/>
        <w:textAlignment w:val="bottom"/>
        <w:outlineLvl w:val="0"/>
        <w:rPr>
          <w:rFonts w:ascii="宋体" w:hAnsi="宋体"/>
          <w:color w:val="000000"/>
          <w:kern w:val="0"/>
          <w:sz w:val="24"/>
        </w:rPr>
      </w:pPr>
      <w:r>
        <w:br w:type="page"/>
      </w:r>
      <w:bookmarkStart w:id="9" w:name="_Toc508720679"/>
    </w:p>
    <w:p w:rsidR="00D06337" w:rsidRDefault="00F0626B">
      <w:pPr>
        <w:pStyle w:val="1"/>
        <w:spacing w:before="0" w:after="0"/>
        <w:ind w:firstLineChars="200" w:firstLine="482"/>
      </w:pPr>
      <w:r>
        <w:rPr>
          <w:rFonts w:hint="eastAsia"/>
        </w:rPr>
        <w:lastRenderedPageBreak/>
        <w:t>一、基金托管协议当事人</w:t>
      </w:r>
      <w:bookmarkEnd w:id="2"/>
      <w:bookmarkEnd w:id="3"/>
      <w:bookmarkEnd w:id="8"/>
      <w:bookmarkEnd w:id="9"/>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10" w:name="_Toc22454433"/>
      <w:bookmarkStart w:id="11" w:name="_Toc77662992"/>
      <w:r>
        <w:rPr>
          <w:rFonts w:ascii="宋体" w:hAnsi="宋体" w:hint="eastAsia"/>
          <w:b/>
          <w:bCs/>
          <w:color w:val="000000"/>
          <w:sz w:val="24"/>
        </w:rPr>
        <w:t>（一）基金管理人</w:t>
      </w:r>
      <w:bookmarkEnd w:id="10"/>
      <w:bookmarkEnd w:id="11"/>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名称：交银施罗德基金管理有限公司</w:t>
      </w:r>
    </w:p>
    <w:p w:rsidR="00D06337" w:rsidRDefault="00F0626B">
      <w:pPr>
        <w:spacing w:line="360" w:lineRule="auto"/>
        <w:ind w:firstLine="480"/>
        <w:rPr>
          <w:rFonts w:ascii="宋体"/>
          <w:sz w:val="24"/>
        </w:rPr>
      </w:pPr>
      <w:r>
        <w:rPr>
          <w:rFonts w:ascii="宋体" w:hAnsi="宋体"/>
          <w:sz w:val="24"/>
        </w:rPr>
        <w:t>住所</w:t>
      </w:r>
      <w:r>
        <w:rPr>
          <w:rFonts w:ascii="宋体" w:hAnsi="宋体" w:hint="eastAsia"/>
          <w:sz w:val="24"/>
        </w:rPr>
        <w:t>：</w:t>
      </w:r>
      <w:r>
        <w:rPr>
          <w:rFonts w:ascii="宋体" w:hint="eastAsia"/>
          <w:sz w:val="24"/>
        </w:rPr>
        <w:t>中国（上海）自由贸易试验区银城中路188号交通银行大楼二层（裙）</w:t>
      </w:r>
    </w:p>
    <w:p w:rsidR="00D06337" w:rsidRDefault="00F0626B">
      <w:pPr>
        <w:tabs>
          <w:tab w:val="left" w:pos="2200"/>
        </w:tabs>
        <w:spacing w:line="360" w:lineRule="auto"/>
        <w:ind w:firstLine="480"/>
        <w:rPr>
          <w:rFonts w:ascii="宋体"/>
          <w:sz w:val="24"/>
        </w:rPr>
      </w:pPr>
      <w:r>
        <w:rPr>
          <w:rFonts w:ascii="宋体" w:hAnsi="宋体"/>
          <w:sz w:val="24"/>
        </w:rPr>
        <w:t>办公地址：</w:t>
      </w:r>
      <w:r>
        <w:rPr>
          <w:rFonts w:ascii="宋体" w:hAnsi="宋体" w:hint="eastAsia"/>
          <w:sz w:val="24"/>
        </w:rPr>
        <w:t>上海市浦东</w:t>
      </w:r>
      <w:proofErr w:type="gramStart"/>
      <w:r>
        <w:rPr>
          <w:rFonts w:ascii="宋体" w:hAnsi="宋体" w:hint="eastAsia"/>
          <w:sz w:val="24"/>
        </w:rPr>
        <w:t>新区世纪</w:t>
      </w:r>
      <w:proofErr w:type="gramEnd"/>
      <w:r>
        <w:rPr>
          <w:rFonts w:ascii="宋体" w:hAnsi="宋体" w:hint="eastAsia"/>
          <w:sz w:val="24"/>
        </w:rPr>
        <w:t>大道8号国</w:t>
      </w:r>
      <w:proofErr w:type="gramStart"/>
      <w:r>
        <w:rPr>
          <w:rFonts w:ascii="宋体" w:hAnsi="宋体" w:hint="eastAsia"/>
          <w:sz w:val="24"/>
        </w:rPr>
        <w:t>金中心</w:t>
      </w:r>
      <w:proofErr w:type="gramEnd"/>
      <w:r>
        <w:rPr>
          <w:rFonts w:ascii="宋体" w:hAnsi="宋体" w:hint="eastAsia"/>
          <w:sz w:val="24"/>
        </w:rPr>
        <w:t>二期21-22楼</w:t>
      </w:r>
    </w:p>
    <w:p w:rsidR="00D06337" w:rsidRDefault="00F0626B">
      <w:pPr>
        <w:spacing w:line="360" w:lineRule="auto"/>
        <w:ind w:firstLine="480"/>
        <w:rPr>
          <w:sz w:val="24"/>
        </w:rPr>
      </w:pPr>
      <w:r>
        <w:rPr>
          <w:rFonts w:ascii="宋体" w:hAnsi="宋体"/>
          <w:sz w:val="24"/>
        </w:rPr>
        <w:t>法定代表人：</w:t>
      </w:r>
      <w:r>
        <w:rPr>
          <w:rFonts w:ascii="宋体" w:hAnsi="宋体" w:hint="eastAsia"/>
          <w:sz w:val="24"/>
        </w:rPr>
        <w:t>张宏良</w:t>
      </w:r>
    </w:p>
    <w:p w:rsidR="00D06337" w:rsidRDefault="00F0626B">
      <w:pPr>
        <w:spacing w:line="360" w:lineRule="auto"/>
        <w:ind w:firstLine="480"/>
        <w:rPr>
          <w:rFonts w:ascii="宋体"/>
          <w:sz w:val="24"/>
        </w:rPr>
      </w:pPr>
      <w:r>
        <w:rPr>
          <w:rFonts w:ascii="宋体" w:hAnsi="宋体"/>
          <w:sz w:val="24"/>
        </w:rPr>
        <w:t>成立时间：</w:t>
      </w:r>
      <w:r>
        <w:rPr>
          <w:rFonts w:ascii="宋体" w:hint="eastAsia"/>
          <w:sz w:val="24"/>
        </w:rPr>
        <w:t>2005年8月4日</w:t>
      </w:r>
    </w:p>
    <w:p w:rsidR="00D06337" w:rsidRDefault="00F0626B">
      <w:pPr>
        <w:spacing w:line="360" w:lineRule="auto"/>
        <w:ind w:firstLine="480"/>
        <w:rPr>
          <w:rFonts w:ascii="宋体"/>
          <w:sz w:val="24"/>
        </w:rPr>
      </w:pPr>
      <w:r>
        <w:rPr>
          <w:rFonts w:ascii="宋体" w:hAnsi="宋体"/>
          <w:sz w:val="24"/>
        </w:rPr>
        <w:t>批准设立机关及批准设立文号：</w:t>
      </w:r>
      <w:r>
        <w:rPr>
          <w:rFonts w:ascii="宋体" w:hint="eastAsia"/>
          <w:sz w:val="24"/>
        </w:rPr>
        <w:t>中国证监会证</w:t>
      </w:r>
      <w:proofErr w:type="gramStart"/>
      <w:r>
        <w:rPr>
          <w:rFonts w:ascii="宋体" w:hint="eastAsia"/>
          <w:sz w:val="24"/>
        </w:rPr>
        <w:t>监基金字</w:t>
      </w:r>
      <w:proofErr w:type="gramEnd"/>
      <w:r>
        <w:rPr>
          <w:rFonts w:ascii="宋体" w:hint="eastAsia"/>
          <w:sz w:val="24"/>
        </w:rPr>
        <w:t>[2005]128号</w:t>
      </w:r>
    </w:p>
    <w:p w:rsidR="00D06337" w:rsidRDefault="00F0626B">
      <w:pPr>
        <w:spacing w:line="360" w:lineRule="auto"/>
        <w:ind w:firstLine="480"/>
        <w:rPr>
          <w:sz w:val="24"/>
        </w:rPr>
      </w:pPr>
      <w:r>
        <w:rPr>
          <w:rFonts w:ascii="宋体" w:hAnsi="宋体"/>
          <w:sz w:val="24"/>
        </w:rPr>
        <w:t>注册资本：</w:t>
      </w:r>
      <w:r>
        <w:rPr>
          <w:rFonts w:ascii="宋体" w:hAnsi="宋体" w:hint="eastAsia"/>
          <w:sz w:val="24"/>
        </w:rPr>
        <w:t>2亿元人民币</w:t>
      </w:r>
      <w:r>
        <w:rPr>
          <w:sz w:val="24"/>
        </w:rPr>
        <w:t xml:space="preserve"> </w:t>
      </w:r>
    </w:p>
    <w:p w:rsidR="00D06337" w:rsidRDefault="00F0626B">
      <w:pPr>
        <w:spacing w:line="360" w:lineRule="auto"/>
        <w:ind w:firstLine="480"/>
        <w:rPr>
          <w:rFonts w:ascii="宋体"/>
          <w:sz w:val="24"/>
        </w:rPr>
      </w:pPr>
      <w:r>
        <w:rPr>
          <w:rFonts w:ascii="宋体" w:hAnsi="宋体"/>
          <w:sz w:val="24"/>
        </w:rPr>
        <w:t>组织形式：</w:t>
      </w:r>
      <w:r>
        <w:rPr>
          <w:rFonts w:ascii="宋体" w:hAnsi="宋体" w:hint="eastAsia"/>
          <w:sz w:val="24"/>
        </w:rPr>
        <w:t>有限责任公司</w:t>
      </w:r>
      <w:r>
        <w:rPr>
          <w:rFonts w:ascii="宋体"/>
          <w:sz w:val="24"/>
        </w:rPr>
        <w:t xml:space="preserve"> </w:t>
      </w:r>
    </w:p>
    <w:p w:rsidR="00D06337" w:rsidRDefault="00F0626B">
      <w:pPr>
        <w:spacing w:line="360" w:lineRule="auto"/>
        <w:ind w:firstLineChars="200" w:firstLine="480"/>
        <w:rPr>
          <w:rFonts w:ascii="宋体"/>
          <w:sz w:val="24"/>
        </w:rPr>
      </w:pPr>
      <w:r>
        <w:rPr>
          <w:rFonts w:ascii="宋体" w:hAnsi="宋体"/>
          <w:sz w:val="24"/>
        </w:rPr>
        <w:t>存续期间：</w:t>
      </w:r>
      <w:r>
        <w:rPr>
          <w:rFonts w:ascii="宋体" w:hint="eastAsia"/>
          <w:sz w:val="24"/>
        </w:rPr>
        <w:t>持续经营</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12" w:name="_Toc22454434"/>
      <w:bookmarkStart w:id="13" w:name="_Toc77662993"/>
      <w:r>
        <w:rPr>
          <w:rFonts w:ascii="宋体" w:hAnsi="宋体" w:hint="eastAsia"/>
          <w:b/>
          <w:bCs/>
          <w:color w:val="000000"/>
          <w:sz w:val="24"/>
        </w:rPr>
        <w:t>（二）基金托管人</w:t>
      </w:r>
    </w:p>
    <w:p w:rsidR="00D06337" w:rsidRDefault="00F0626B">
      <w:pPr>
        <w:autoSpaceDE w:val="0"/>
        <w:autoSpaceDN w:val="0"/>
        <w:adjustRightInd w:val="0"/>
        <w:spacing w:line="360" w:lineRule="auto"/>
        <w:ind w:firstLine="465"/>
        <w:jc w:val="left"/>
        <w:rPr>
          <w:rFonts w:ascii="宋体" w:hAnsi="宋体" w:cs="宋体-WinCharSetFFFF-H"/>
          <w:kern w:val="0"/>
          <w:sz w:val="24"/>
        </w:rPr>
      </w:pPr>
      <w:r>
        <w:rPr>
          <w:rFonts w:ascii="宋体" w:hAnsi="宋体" w:cs="宋体-WinCharSetFFFF-H" w:hint="eastAsia"/>
          <w:kern w:val="0"/>
          <w:sz w:val="24"/>
        </w:rPr>
        <w:t>名称：</w:t>
      </w:r>
      <w:proofErr w:type="gramStart"/>
      <w:r>
        <w:rPr>
          <w:rFonts w:ascii="宋体" w:hAnsi="宋体" w:cs="宋体-WinCharSetFFFF-H" w:hint="eastAsia"/>
          <w:kern w:val="0"/>
          <w:sz w:val="24"/>
        </w:rPr>
        <w:t>国泰海通</w:t>
      </w:r>
      <w:proofErr w:type="gramEnd"/>
      <w:r>
        <w:rPr>
          <w:rFonts w:ascii="宋体" w:hAnsi="宋体" w:cs="宋体-WinCharSetFFFF-H" w:hint="eastAsia"/>
          <w:kern w:val="0"/>
          <w:sz w:val="24"/>
        </w:rPr>
        <w:t>证券股份有限公司</w:t>
      </w:r>
    </w:p>
    <w:p w:rsidR="00D06337" w:rsidRDefault="00F0626B">
      <w:pPr>
        <w:autoSpaceDE w:val="0"/>
        <w:autoSpaceDN w:val="0"/>
        <w:adjustRightInd w:val="0"/>
        <w:spacing w:line="360" w:lineRule="auto"/>
        <w:ind w:firstLine="465"/>
        <w:jc w:val="left"/>
        <w:rPr>
          <w:rFonts w:ascii="宋体" w:hAnsi="宋体" w:cs="宋体-WinCharSetFFFF-H"/>
          <w:kern w:val="0"/>
          <w:sz w:val="24"/>
        </w:rPr>
      </w:pPr>
      <w:r>
        <w:rPr>
          <w:rFonts w:ascii="宋体" w:hAnsi="宋体" w:cs="宋体-WinCharSetFFFF-H" w:hint="eastAsia"/>
          <w:kern w:val="0"/>
          <w:sz w:val="24"/>
        </w:rPr>
        <w:t>住所：中国（上海）自由贸易试验区商城路618号</w:t>
      </w:r>
    </w:p>
    <w:p w:rsidR="00D06337" w:rsidRDefault="00F0626B">
      <w:pPr>
        <w:autoSpaceDE w:val="0"/>
        <w:autoSpaceDN w:val="0"/>
        <w:adjustRightInd w:val="0"/>
        <w:spacing w:line="360" w:lineRule="auto"/>
        <w:ind w:firstLine="465"/>
        <w:jc w:val="left"/>
        <w:rPr>
          <w:rFonts w:ascii="宋体" w:hAnsi="宋体" w:cs="宋体-WinCharSetFFFF-H"/>
          <w:kern w:val="0"/>
          <w:sz w:val="24"/>
        </w:rPr>
      </w:pPr>
      <w:r>
        <w:rPr>
          <w:rFonts w:ascii="宋体" w:hAnsi="宋体" w:cs="宋体-WinCharSetFFFF-H" w:hint="eastAsia"/>
          <w:kern w:val="0"/>
          <w:sz w:val="24"/>
        </w:rPr>
        <w:t>办公地址：</w:t>
      </w:r>
      <w:r>
        <w:rPr>
          <w:rFonts w:hint="eastAsia"/>
          <w:bCs/>
          <w:sz w:val="24"/>
        </w:rPr>
        <w:t>上海市静安区新闸路</w:t>
      </w:r>
      <w:r>
        <w:rPr>
          <w:rFonts w:hint="eastAsia"/>
          <w:bCs/>
          <w:sz w:val="24"/>
        </w:rPr>
        <w:t>669</w:t>
      </w:r>
      <w:r>
        <w:rPr>
          <w:rFonts w:hint="eastAsia"/>
          <w:bCs/>
          <w:sz w:val="24"/>
        </w:rPr>
        <w:t>号</w:t>
      </w:r>
      <w:r>
        <w:rPr>
          <w:rFonts w:hint="eastAsia"/>
          <w:bCs/>
          <w:sz w:val="24"/>
        </w:rPr>
        <w:t>19</w:t>
      </w:r>
      <w:r>
        <w:rPr>
          <w:rFonts w:hint="eastAsia"/>
          <w:bCs/>
          <w:sz w:val="24"/>
        </w:rPr>
        <w:t>楼</w:t>
      </w:r>
    </w:p>
    <w:p w:rsidR="00D06337" w:rsidRDefault="00F0626B">
      <w:pPr>
        <w:autoSpaceDE w:val="0"/>
        <w:autoSpaceDN w:val="0"/>
        <w:adjustRightInd w:val="0"/>
        <w:spacing w:line="360" w:lineRule="auto"/>
        <w:ind w:firstLine="465"/>
        <w:jc w:val="left"/>
        <w:rPr>
          <w:rFonts w:ascii="宋体" w:hAnsi="宋体" w:cs="宋体-WinCharSetFFFF-H"/>
          <w:kern w:val="0"/>
          <w:sz w:val="24"/>
        </w:rPr>
      </w:pPr>
      <w:r>
        <w:rPr>
          <w:rFonts w:ascii="宋体" w:hAnsi="宋体" w:cs="宋体-WinCharSetFFFF-H" w:hint="eastAsia"/>
          <w:kern w:val="0"/>
          <w:sz w:val="24"/>
        </w:rPr>
        <w:t>法定代表人：朱健</w:t>
      </w:r>
    </w:p>
    <w:p w:rsidR="00D06337" w:rsidRDefault="00F0626B">
      <w:pPr>
        <w:autoSpaceDE w:val="0"/>
        <w:autoSpaceDN w:val="0"/>
        <w:adjustRightInd w:val="0"/>
        <w:spacing w:line="360" w:lineRule="auto"/>
        <w:ind w:firstLine="465"/>
        <w:jc w:val="left"/>
        <w:rPr>
          <w:rFonts w:ascii="宋体" w:hAnsi="宋体"/>
          <w:sz w:val="24"/>
        </w:rPr>
      </w:pPr>
      <w:r>
        <w:rPr>
          <w:rFonts w:ascii="宋体" w:hAnsi="宋体" w:cs="宋体-WinCharSetFFFF-H" w:hint="eastAsia"/>
          <w:kern w:val="0"/>
          <w:sz w:val="24"/>
        </w:rPr>
        <w:t>成立时间：</w:t>
      </w:r>
      <w:r>
        <w:rPr>
          <w:rFonts w:ascii="宋体" w:hAnsi="宋体" w:hint="eastAsia"/>
          <w:sz w:val="24"/>
        </w:rPr>
        <w:t>1999年8月18日</w:t>
      </w:r>
    </w:p>
    <w:p w:rsidR="00D06337" w:rsidRDefault="00F0626B">
      <w:pPr>
        <w:autoSpaceDE w:val="0"/>
        <w:autoSpaceDN w:val="0"/>
        <w:adjustRightInd w:val="0"/>
        <w:spacing w:line="360" w:lineRule="auto"/>
        <w:ind w:firstLine="465"/>
        <w:jc w:val="left"/>
        <w:rPr>
          <w:rFonts w:ascii="宋体" w:hAnsi="宋体" w:cs="宋体-WinCharSetFFFF-H"/>
          <w:kern w:val="0"/>
          <w:sz w:val="24"/>
        </w:rPr>
      </w:pPr>
      <w:r>
        <w:rPr>
          <w:rFonts w:ascii="宋体" w:hAnsi="宋体" w:cs="宋体-WinCharSetFFFF-H" w:hint="eastAsia"/>
          <w:kern w:val="0"/>
          <w:sz w:val="24"/>
        </w:rPr>
        <w:t>批准设立机关及批准设立文号：中国证监会证监机构字[1999]77号</w:t>
      </w:r>
    </w:p>
    <w:p w:rsidR="00D06337" w:rsidRDefault="00F0626B">
      <w:pPr>
        <w:autoSpaceDE w:val="0"/>
        <w:autoSpaceDN w:val="0"/>
        <w:adjustRightInd w:val="0"/>
        <w:spacing w:line="360" w:lineRule="auto"/>
        <w:ind w:firstLine="465"/>
        <w:jc w:val="left"/>
        <w:rPr>
          <w:rFonts w:ascii="宋体" w:hAnsi="宋体"/>
          <w:sz w:val="24"/>
        </w:rPr>
      </w:pPr>
      <w:r>
        <w:rPr>
          <w:rFonts w:ascii="宋体" w:hAnsi="宋体" w:cs="宋体-WinCharSetFFFF-H" w:hint="eastAsia"/>
          <w:kern w:val="0"/>
          <w:sz w:val="24"/>
        </w:rPr>
        <w:t>组织形式：其他</w:t>
      </w:r>
      <w:r>
        <w:rPr>
          <w:rFonts w:ascii="宋体" w:hAnsi="宋体" w:hint="eastAsia"/>
          <w:sz w:val="24"/>
        </w:rPr>
        <w:t>股份有限公司（上市）</w:t>
      </w:r>
    </w:p>
    <w:p w:rsidR="00D06337" w:rsidRDefault="00F0626B">
      <w:pPr>
        <w:autoSpaceDE w:val="0"/>
        <w:autoSpaceDN w:val="0"/>
        <w:adjustRightInd w:val="0"/>
        <w:spacing w:line="360" w:lineRule="auto"/>
        <w:ind w:firstLine="465"/>
        <w:jc w:val="left"/>
        <w:rPr>
          <w:rFonts w:ascii="宋体" w:hAnsi="宋体" w:cs="宋体-WinCharSetFFFF-H"/>
          <w:kern w:val="0"/>
          <w:sz w:val="24"/>
        </w:rPr>
      </w:pPr>
      <w:r>
        <w:rPr>
          <w:rFonts w:ascii="宋体" w:hAnsi="宋体" w:cs="宋体-WinCharSetFFFF-H" w:hint="eastAsia"/>
          <w:kern w:val="0"/>
          <w:sz w:val="24"/>
        </w:rPr>
        <w:t>注册资本：人民币</w:t>
      </w:r>
      <w:r>
        <w:rPr>
          <w:rFonts w:ascii="宋体" w:hAnsi="宋体" w:cs="宋体-WinCharSetFFFF-H"/>
          <w:kern w:val="0"/>
          <w:sz w:val="24"/>
        </w:rPr>
        <w:t>17,629,708,696</w:t>
      </w:r>
      <w:r>
        <w:rPr>
          <w:rFonts w:ascii="宋体" w:hAnsi="宋体" w:cs="宋体-WinCharSetFFFF-H" w:hint="eastAsia"/>
          <w:kern w:val="0"/>
          <w:sz w:val="24"/>
        </w:rPr>
        <w:t>元整</w:t>
      </w:r>
    </w:p>
    <w:p w:rsidR="00D06337" w:rsidRDefault="00F0626B">
      <w:pPr>
        <w:autoSpaceDE w:val="0"/>
        <w:autoSpaceDN w:val="0"/>
        <w:adjustRightInd w:val="0"/>
        <w:spacing w:line="360" w:lineRule="auto"/>
        <w:ind w:firstLine="465"/>
        <w:jc w:val="left"/>
        <w:rPr>
          <w:rFonts w:ascii="宋体" w:hAnsi="宋体" w:cs="宋体-WinCharSetFFFF-H"/>
          <w:kern w:val="0"/>
          <w:sz w:val="24"/>
        </w:rPr>
      </w:pPr>
      <w:r>
        <w:rPr>
          <w:rFonts w:ascii="宋体" w:hAnsi="宋体" w:cs="宋体-WinCharSetFFFF-H" w:hint="eastAsia"/>
          <w:kern w:val="0"/>
          <w:sz w:val="24"/>
        </w:rPr>
        <w:t>存续期间：</w:t>
      </w:r>
      <w:r>
        <w:rPr>
          <w:rFonts w:ascii="宋体" w:hAnsi="宋体" w:hint="eastAsia"/>
          <w:sz w:val="24"/>
        </w:rPr>
        <w:t>持续经营</w:t>
      </w:r>
    </w:p>
    <w:p w:rsidR="00D06337" w:rsidRDefault="00F0626B">
      <w:pPr>
        <w:autoSpaceDE w:val="0"/>
        <w:autoSpaceDN w:val="0"/>
        <w:adjustRightInd w:val="0"/>
        <w:spacing w:line="360" w:lineRule="auto"/>
        <w:ind w:firstLine="465"/>
        <w:jc w:val="left"/>
        <w:rPr>
          <w:rFonts w:ascii="宋体" w:hAnsi="宋体" w:cs="宋体-WinCharSetFFFF-H"/>
          <w:kern w:val="0"/>
          <w:sz w:val="24"/>
        </w:rPr>
      </w:pPr>
      <w:r>
        <w:rPr>
          <w:rFonts w:ascii="宋体" w:hAnsi="宋体" w:cs="宋体-WinCharSetFFFF-H" w:hint="eastAsia"/>
          <w:kern w:val="0"/>
          <w:sz w:val="24"/>
        </w:rPr>
        <w:t>基金托管业务批准文号：中国证监会</w:t>
      </w:r>
      <w:r>
        <w:rPr>
          <w:rFonts w:ascii="宋体" w:hAnsi="宋体" w:hint="eastAsia"/>
          <w:sz w:val="24"/>
        </w:rPr>
        <w:t>证监许可[2014]511号</w:t>
      </w:r>
    </w:p>
    <w:p w:rsidR="00D06337" w:rsidRDefault="00F0626B">
      <w:pPr>
        <w:autoSpaceDE w:val="0"/>
        <w:autoSpaceDN w:val="0"/>
        <w:adjustRightInd w:val="0"/>
        <w:spacing w:line="360" w:lineRule="auto"/>
        <w:ind w:firstLine="465"/>
        <w:jc w:val="left"/>
        <w:rPr>
          <w:rFonts w:ascii="宋体" w:hAnsi="宋体" w:cs="宋体-WinCharSetFFFF-H"/>
          <w:kern w:val="0"/>
          <w:sz w:val="24"/>
        </w:rPr>
      </w:pPr>
      <w:r>
        <w:rPr>
          <w:rFonts w:ascii="宋体" w:hAnsi="宋体" w:cs="宋体-WinCharSetFFFF-H" w:hint="eastAsia"/>
          <w:kern w:val="0"/>
          <w:sz w:val="24"/>
        </w:rPr>
        <w:t>联系人：丛艳</w:t>
      </w:r>
    </w:p>
    <w:p w:rsidR="00D06337" w:rsidRDefault="00F0626B">
      <w:pPr>
        <w:autoSpaceDE w:val="0"/>
        <w:autoSpaceDN w:val="0"/>
        <w:adjustRightInd w:val="0"/>
        <w:spacing w:line="360" w:lineRule="auto"/>
        <w:ind w:firstLine="465"/>
        <w:jc w:val="left"/>
        <w:rPr>
          <w:rFonts w:ascii="宋体" w:hAnsi="宋体"/>
          <w:color w:val="000000"/>
          <w:kern w:val="0"/>
          <w:sz w:val="24"/>
        </w:rPr>
      </w:pPr>
      <w:r>
        <w:rPr>
          <w:rFonts w:ascii="宋体" w:hAnsi="宋体" w:cs="宋体-WinCharSetFFFF-H" w:hint="eastAsia"/>
          <w:kern w:val="0"/>
          <w:sz w:val="24"/>
        </w:rPr>
        <w:t>联系电话：</w:t>
      </w:r>
      <w:r>
        <w:rPr>
          <w:rFonts w:ascii="宋体" w:hAnsi="宋体"/>
          <w:sz w:val="24"/>
        </w:rPr>
        <w:t>021-38677336</w:t>
      </w:r>
    </w:p>
    <w:p w:rsidR="00D06337" w:rsidRDefault="00D06337">
      <w:pPr>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14" w:name="_Toc22454435"/>
      <w:bookmarkStart w:id="15" w:name="_Toc466788852"/>
      <w:bookmarkStart w:id="16" w:name="_Toc508720680"/>
      <w:bookmarkStart w:id="17" w:name="_Toc523829993"/>
      <w:bookmarkStart w:id="18" w:name="_Toc125892438"/>
      <w:bookmarkEnd w:id="12"/>
      <w:bookmarkEnd w:id="13"/>
      <w:r>
        <w:rPr>
          <w:rFonts w:hint="eastAsia"/>
        </w:rPr>
        <w:t>二、基金托管协议的依据、目的和原则</w:t>
      </w:r>
      <w:bookmarkEnd w:id="14"/>
      <w:bookmarkEnd w:id="15"/>
      <w:bookmarkEnd w:id="16"/>
      <w:bookmarkEnd w:id="17"/>
      <w:bookmarkEnd w:id="18"/>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本协议依据《中华人民共和国证券投资基金法》（以下简称</w:t>
      </w:r>
      <w:r>
        <w:rPr>
          <w:rFonts w:ascii="宋体" w:hAnsi="宋体" w:hint="eastAsia"/>
          <w:sz w:val="24"/>
        </w:rPr>
        <w:t>“</w:t>
      </w:r>
      <w:r>
        <w:rPr>
          <w:rFonts w:ascii="宋体" w:hAnsi="宋体" w:hint="eastAsia"/>
          <w:color w:val="000000"/>
          <w:kern w:val="0"/>
          <w:sz w:val="24"/>
        </w:rPr>
        <w:t>《基金法》</w:t>
      </w:r>
      <w:r>
        <w:rPr>
          <w:rFonts w:ascii="宋体" w:hAnsi="宋体" w:hint="eastAsia"/>
          <w:sz w:val="24"/>
        </w:rPr>
        <w:t>”</w:t>
      </w:r>
      <w:r>
        <w:rPr>
          <w:rFonts w:ascii="宋体" w:hAnsi="宋体" w:hint="eastAsia"/>
          <w:color w:val="000000"/>
          <w:kern w:val="0"/>
          <w:sz w:val="24"/>
        </w:rPr>
        <w:t>）、《公开募集证券投资基金销售机构监督管理办法》（以下简称</w:t>
      </w:r>
      <w:r>
        <w:rPr>
          <w:rFonts w:ascii="宋体" w:hAnsi="宋体" w:hint="eastAsia"/>
          <w:sz w:val="24"/>
        </w:rPr>
        <w:lastRenderedPageBreak/>
        <w:t>“</w:t>
      </w:r>
      <w:r>
        <w:rPr>
          <w:rFonts w:ascii="宋体" w:hAnsi="宋体" w:hint="eastAsia"/>
          <w:color w:val="000000"/>
          <w:kern w:val="0"/>
          <w:sz w:val="24"/>
        </w:rPr>
        <w:t>《销售办法》</w:t>
      </w:r>
      <w:r>
        <w:rPr>
          <w:rFonts w:ascii="宋体" w:hAnsi="宋体" w:hint="eastAsia"/>
          <w:sz w:val="24"/>
        </w:rPr>
        <w:t>”</w:t>
      </w:r>
      <w:r>
        <w:rPr>
          <w:rFonts w:ascii="宋体" w:hAnsi="宋体" w:hint="eastAsia"/>
          <w:color w:val="000000"/>
          <w:kern w:val="0"/>
          <w:sz w:val="24"/>
        </w:rPr>
        <w:t>）、《公开募集证券投资基金运作管理办法》（以下简称</w:t>
      </w:r>
      <w:r>
        <w:rPr>
          <w:rFonts w:ascii="宋体" w:hAnsi="宋体" w:hint="eastAsia"/>
          <w:sz w:val="24"/>
        </w:rPr>
        <w:t>“</w:t>
      </w:r>
      <w:r>
        <w:rPr>
          <w:rFonts w:ascii="宋体" w:hAnsi="宋体" w:hint="eastAsia"/>
          <w:color w:val="000000"/>
          <w:kern w:val="0"/>
          <w:sz w:val="24"/>
        </w:rPr>
        <w:t>《运作办法》</w:t>
      </w:r>
      <w:r>
        <w:rPr>
          <w:rFonts w:ascii="宋体" w:hAnsi="宋体" w:hint="eastAsia"/>
          <w:sz w:val="24"/>
        </w:rPr>
        <w:t>”</w:t>
      </w:r>
      <w:r>
        <w:rPr>
          <w:rFonts w:ascii="宋体" w:hAnsi="宋体" w:hint="eastAsia"/>
          <w:color w:val="000000"/>
          <w:kern w:val="0"/>
          <w:sz w:val="24"/>
        </w:rPr>
        <w:t>）、《证券投资基金信息披露内容与格式准则第7号〈托管协议的内容与格式〉》、《公开募集证券投资基金信息披露管理办法》（以下简称“《信息披露办法》”）、</w:t>
      </w:r>
      <w:r>
        <w:rPr>
          <w:rFonts w:ascii="宋体" w:hAnsi="宋体" w:hint="eastAsia"/>
          <w:sz w:val="24"/>
        </w:rPr>
        <w:t>《公开募集开放式证券投资基金流动性风险管理规定》（以下简称“《流动性风险管理规定》”）</w:t>
      </w:r>
      <w:r>
        <w:rPr>
          <w:rFonts w:ascii="宋体" w:hAnsi="宋体"/>
          <w:sz w:val="24"/>
        </w:rPr>
        <w:t>、《公开募集证券投资基金运作指引第3号——指数基金指引》</w:t>
      </w:r>
      <w:r>
        <w:rPr>
          <w:rFonts w:ascii="宋体" w:hAnsi="宋体" w:hint="eastAsia"/>
          <w:sz w:val="24"/>
        </w:rPr>
        <w:t>、</w:t>
      </w:r>
      <w:r>
        <w:rPr>
          <w:rFonts w:ascii="宋体" w:hAnsi="宋体" w:hint="eastAsia"/>
          <w:color w:val="000000"/>
          <w:kern w:val="0"/>
          <w:sz w:val="24"/>
        </w:rPr>
        <w:t>《交银施罗德中证智选沪深港科技50交易型开放式指数证券投资基金基金合同》及其他有关规定订立。</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基金管理人和基金托管人遵循平等自愿、诚实信用、充分保护投资者合法利益的原则，经协商一致，签订本协议。</w:t>
      </w:r>
    </w:p>
    <w:p w:rsidR="00D06337" w:rsidRDefault="00D06337">
      <w:pPr>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19" w:name="_Toc466788853"/>
      <w:bookmarkStart w:id="20" w:name="_Toc125892439"/>
      <w:bookmarkStart w:id="21" w:name="_Toc22454436"/>
      <w:bookmarkStart w:id="22" w:name="_Toc508720681"/>
      <w:bookmarkStart w:id="23" w:name="_Toc523829994"/>
      <w:r>
        <w:rPr>
          <w:rFonts w:hint="eastAsia"/>
        </w:rPr>
        <w:t>三、基金托管人对基金管理人</w:t>
      </w:r>
      <w:bookmarkEnd w:id="19"/>
      <w:r>
        <w:rPr>
          <w:rFonts w:hint="eastAsia"/>
        </w:rPr>
        <w:t>的业务监督和核查</w:t>
      </w:r>
      <w:bookmarkEnd w:id="20"/>
      <w:bookmarkEnd w:id="21"/>
      <w:bookmarkEnd w:id="22"/>
      <w:bookmarkEnd w:id="23"/>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（一）基金托管人对基金管理人的投资行为行使监督权</w:t>
      </w:r>
    </w:p>
    <w:p w:rsidR="00D06337" w:rsidRDefault="00F0626B">
      <w:pPr>
        <w:spacing w:line="360" w:lineRule="auto"/>
        <w:ind w:firstLineChars="200" w:firstLine="482"/>
        <w:rPr>
          <w:rFonts w:ascii="宋体" w:hAnsi="宋体"/>
          <w:b/>
          <w:bCs/>
          <w:color w:val="000000"/>
          <w:sz w:val="24"/>
        </w:rPr>
      </w:pPr>
      <w:bookmarkStart w:id="24" w:name="_Hlk205494159"/>
      <w:r>
        <w:rPr>
          <w:rFonts w:ascii="宋体" w:hAnsi="宋体" w:hint="eastAsia"/>
          <w:b/>
          <w:bCs/>
          <w:color w:val="000000"/>
          <w:sz w:val="24"/>
        </w:rPr>
        <w:t>1、基金托管人根据有关法律法规的规定及《基金合同》和本协议的约定，对基金的投资范围、投资对象进行监督。</w:t>
      </w:r>
    </w:p>
    <w:p w:rsidR="00D06337" w:rsidRDefault="00F0626B">
      <w:pPr>
        <w:spacing w:line="360" w:lineRule="auto"/>
        <w:ind w:firstLine="480"/>
        <w:rPr>
          <w:rFonts w:ascii="宋体" w:hAnsi="宋体"/>
          <w:color w:val="000000"/>
          <w:kern w:val="0"/>
          <w:sz w:val="24"/>
        </w:rPr>
      </w:pPr>
      <w:r>
        <w:rPr>
          <w:rFonts w:ascii="宋体" w:hAnsi="宋体" w:hint="eastAsia"/>
          <w:color w:val="000000"/>
          <w:kern w:val="0"/>
          <w:sz w:val="24"/>
        </w:rPr>
        <w:t>本基金的投资范围为具有良好流动性的金融工具，包括中</w:t>
      </w:r>
      <w:proofErr w:type="gramStart"/>
      <w:r>
        <w:rPr>
          <w:rFonts w:ascii="宋体" w:hAnsi="宋体" w:hint="eastAsia"/>
          <w:color w:val="000000"/>
          <w:kern w:val="0"/>
          <w:sz w:val="24"/>
        </w:rPr>
        <w:t>证智选沪</w:t>
      </w:r>
      <w:proofErr w:type="gramEnd"/>
      <w:r>
        <w:rPr>
          <w:rFonts w:ascii="宋体" w:hAnsi="宋体" w:hint="eastAsia"/>
          <w:color w:val="000000"/>
          <w:kern w:val="0"/>
          <w:sz w:val="24"/>
        </w:rPr>
        <w:t>深港科技</w:t>
      </w:r>
      <w:r>
        <w:rPr>
          <w:rFonts w:ascii="宋体" w:hAnsi="宋体"/>
          <w:color w:val="000000"/>
          <w:kern w:val="0"/>
          <w:sz w:val="24"/>
        </w:rPr>
        <w:t>50</w:t>
      </w:r>
      <w:r>
        <w:rPr>
          <w:rFonts w:ascii="宋体" w:hAnsi="宋体" w:hint="eastAsia"/>
          <w:color w:val="000000"/>
          <w:kern w:val="0"/>
          <w:sz w:val="24"/>
        </w:rPr>
        <w:t>指数的成份股（</w:t>
      </w:r>
      <w:proofErr w:type="gramStart"/>
      <w:r>
        <w:rPr>
          <w:rFonts w:ascii="宋体" w:hAnsi="宋体" w:hint="eastAsia"/>
          <w:color w:val="000000"/>
          <w:kern w:val="0"/>
          <w:sz w:val="24"/>
        </w:rPr>
        <w:t>含存托</w:t>
      </w:r>
      <w:proofErr w:type="gramEnd"/>
      <w:r>
        <w:rPr>
          <w:rFonts w:ascii="宋体" w:hAnsi="宋体" w:hint="eastAsia"/>
          <w:color w:val="000000"/>
          <w:kern w:val="0"/>
          <w:sz w:val="24"/>
        </w:rPr>
        <w:t>凭证）及备选成份股（</w:t>
      </w:r>
      <w:proofErr w:type="gramStart"/>
      <w:r>
        <w:rPr>
          <w:rFonts w:ascii="宋体" w:hAnsi="宋体" w:hint="eastAsia"/>
          <w:color w:val="000000"/>
          <w:kern w:val="0"/>
          <w:sz w:val="24"/>
        </w:rPr>
        <w:t>含存托</w:t>
      </w:r>
      <w:proofErr w:type="gramEnd"/>
      <w:r>
        <w:rPr>
          <w:rFonts w:ascii="宋体" w:hAnsi="宋体" w:hint="eastAsia"/>
          <w:color w:val="000000"/>
          <w:kern w:val="0"/>
          <w:sz w:val="24"/>
        </w:rPr>
        <w:t>凭证）、其他股票（含主板、创业板、</w:t>
      </w:r>
      <w:proofErr w:type="gramStart"/>
      <w:r>
        <w:rPr>
          <w:rFonts w:ascii="宋体" w:hAnsi="宋体" w:hint="eastAsia"/>
          <w:color w:val="000000"/>
          <w:kern w:val="0"/>
          <w:sz w:val="24"/>
        </w:rPr>
        <w:t>科创板</w:t>
      </w:r>
      <w:proofErr w:type="gramEnd"/>
      <w:r>
        <w:rPr>
          <w:rFonts w:ascii="宋体" w:hAnsi="宋体" w:hint="eastAsia"/>
          <w:color w:val="000000"/>
          <w:kern w:val="0"/>
          <w:sz w:val="24"/>
        </w:rPr>
        <w:t>及其他经中国证监会核准或注册上市的股票、存托凭证）、港股通标的股票、债券（含国债、央行票据、金融债券、政府支持债券、政府支持机构债券、地方政府债券、企业债券、公司债券、可转换债券（</w:t>
      </w:r>
      <w:proofErr w:type="gramStart"/>
      <w:r>
        <w:rPr>
          <w:rFonts w:ascii="宋体" w:hAnsi="宋体" w:hint="eastAsia"/>
          <w:color w:val="000000"/>
          <w:kern w:val="0"/>
          <w:sz w:val="24"/>
        </w:rPr>
        <w:t>含可分离</w:t>
      </w:r>
      <w:proofErr w:type="gramEnd"/>
      <w:r>
        <w:rPr>
          <w:rFonts w:ascii="宋体" w:hAnsi="宋体" w:hint="eastAsia"/>
          <w:color w:val="000000"/>
          <w:kern w:val="0"/>
          <w:sz w:val="24"/>
        </w:rPr>
        <w:t>交易可转换债券）、可交换公司债券、次级债券、中期票据、短期融资</w:t>
      </w:r>
      <w:proofErr w:type="gramStart"/>
      <w:r>
        <w:rPr>
          <w:rFonts w:ascii="宋体" w:hAnsi="宋体" w:hint="eastAsia"/>
          <w:color w:val="000000"/>
          <w:kern w:val="0"/>
          <w:sz w:val="24"/>
        </w:rPr>
        <w:t>券</w:t>
      </w:r>
      <w:proofErr w:type="gramEnd"/>
      <w:r>
        <w:rPr>
          <w:rFonts w:ascii="宋体" w:hAnsi="宋体" w:hint="eastAsia"/>
          <w:color w:val="000000"/>
          <w:kern w:val="0"/>
          <w:sz w:val="24"/>
        </w:rPr>
        <w:t>、超短期融资</w:t>
      </w:r>
      <w:proofErr w:type="gramStart"/>
      <w:r>
        <w:rPr>
          <w:rFonts w:ascii="宋体" w:hAnsi="宋体" w:hint="eastAsia"/>
          <w:color w:val="000000"/>
          <w:kern w:val="0"/>
          <w:sz w:val="24"/>
        </w:rPr>
        <w:t>券</w:t>
      </w:r>
      <w:proofErr w:type="gramEnd"/>
      <w:r>
        <w:rPr>
          <w:rFonts w:ascii="宋体" w:hAnsi="宋体" w:hint="eastAsia"/>
          <w:color w:val="000000"/>
          <w:kern w:val="0"/>
          <w:sz w:val="24"/>
        </w:rPr>
        <w:t>等）、资产支持证券、货币市场工具、债券回购、同业存单、银行存款（</w:t>
      </w:r>
      <w:proofErr w:type="gramStart"/>
      <w:r>
        <w:rPr>
          <w:rFonts w:ascii="宋体" w:hAnsi="宋体" w:hint="eastAsia"/>
          <w:color w:val="000000"/>
          <w:kern w:val="0"/>
          <w:sz w:val="24"/>
        </w:rPr>
        <w:t>含协议</w:t>
      </w:r>
      <w:proofErr w:type="gramEnd"/>
      <w:r>
        <w:rPr>
          <w:rFonts w:ascii="宋体" w:hAnsi="宋体" w:hint="eastAsia"/>
          <w:color w:val="000000"/>
          <w:kern w:val="0"/>
          <w:sz w:val="24"/>
        </w:rPr>
        <w:t>存款、定期存款及其他银行存款）、股指期货以及法律法规或中国证监会允许基金投资的其他金融工具（但须符合中国证监会相关规定）。</w:t>
      </w:r>
    </w:p>
    <w:p w:rsidR="00D06337" w:rsidRDefault="00F0626B">
      <w:pPr>
        <w:spacing w:line="360" w:lineRule="auto"/>
        <w:ind w:firstLine="480"/>
        <w:rPr>
          <w:rFonts w:ascii="宋体" w:hAnsi="宋体"/>
          <w:color w:val="000000"/>
          <w:kern w:val="0"/>
          <w:sz w:val="24"/>
        </w:rPr>
      </w:pPr>
      <w:r>
        <w:rPr>
          <w:rFonts w:ascii="宋体" w:hAnsi="宋体" w:hint="eastAsia"/>
          <w:color w:val="000000"/>
          <w:kern w:val="0"/>
          <w:sz w:val="24"/>
        </w:rPr>
        <w:t>本基金可根据法律法规的规定参与融资及转融通证券出借业务。未来在法律法规允许的前提下，本基金可根据相关法律法规规定参与融券业务。</w:t>
      </w:r>
    </w:p>
    <w:p w:rsidR="00D06337" w:rsidRDefault="00F0626B">
      <w:pPr>
        <w:spacing w:line="360" w:lineRule="auto"/>
        <w:ind w:firstLine="480"/>
        <w:rPr>
          <w:rFonts w:ascii="宋体" w:hAnsi="宋体"/>
          <w:color w:val="000000"/>
          <w:kern w:val="0"/>
          <w:sz w:val="24"/>
        </w:rPr>
      </w:pPr>
      <w:r>
        <w:rPr>
          <w:rFonts w:ascii="宋体" w:hAnsi="宋体" w:hint="eastAsia"/>
          <w:color w:val="000000"/>
          <w:kern w:val="0"/>
          <w:sz w:val="24"/>
        </w:rPr>
        <w:lastRenderedPageBreak/>
        <w:t>如法律法规或监管机构以后允许基金投资其他品种，基金管理人在履行适当程序后，可以将其纳入投资范围。</w:t>
      </w:r>
    </w:p>
    <w:p w:rsidR="00D06337" w:rsidRDefault="00F0626B">
      <w:pPr>
        <w:spacing w:line="360" w:lineRule="auto"/>
        <w:ind w:firstLine="480"/>
        <w:rPr>
          <w:rFonts w:ascii="宋体" w:hAnsi="宋体"/>
          <w:color w:val="000000"/>
          <w:kern w:val="0"/>
          <w:sz w:val="24"/>
        </w:rPr>
      </w:pPr>
      <w:r>
        <w:rPr>
          <w:rFonts w:ascii="宋体" w:hAnsi="宋体" w:hint="eastAsia"/>
          <w:color w:val="000000"/>
          <w:kern w:val="0"/>
          <w:sz w:val="24"/>
        </w:rPr>
        <w:t>基金的投资组合比例为：本基金投资于中</w:t>
      </w:r>
      <w:proofErr w:type="gramStart"/>
      <w:r>
        <w:rPr>
          <w:rFonts w:ascii="宋体" w:hAnsi="宋体" w:hint="eastAsia"/>
          <w:color w:val="000000"/>
          <w:kern w:val="0"/>
          <w:sz w:val="24"/>
        </w:rPr>
        <w:t>证智选沪</w:t>
      </w:r>
      <w:proofErr w:type="gramEnd"/>
      <w:r>
        <w:rPr>
          <w:rFonts w:ascii="宋体" w:hAnsi="宋体" w:hint="eastAsia"/>
          <w:color w:val="000000"/>
          <w:kern w:val="0"/>
          <w:sz w:val="24"/>
        </w:rPr>
        <w:t>深港科技50指数成份股（</w:t>
      </w:r>
      <w:proofErr w:type="gramStart"/>
      <w:r>
        <w:rPr>
          <w:rFonts w:ascii="宋体" w:hAnsi="宋体" w:hint="eastAsia"/>
          <w:color w:val="000000"/>
          <w:kern w:val="0"/>
          <w:sz w:val="24"/>
        </w:rPr>
        <w:t>含存托</w:t>
      </w:r>
      <w:proofErr w:type="gramEnd"/>
      <w:r>
        <w:rPr>
          <w:rFonts w:ascii="宋体" w:hAnsi="宋体" w:hint="eastAsia"/>
          <w:color w:val="000000"/>
          <w:kern w:val="0"/>
          <w:sz w:val="24"/>
        </w:rPr>
        <w:t>凭证）及备选成份股（</w:t>
      </w:r>
      <w:proofErr w:type="gramStart"/>
      <w:r>
        <w:rPr>
          <w:rFonts w:ascii="宋体" w:hAnsi="宋体" w:hint="eastAsia"/>
          <w:color w:val="000000"/>
          <w:kern w:val="0"/>
          <w:sz w:val="24"/>
        </w:rPr>
        <w:t>含存托</w:t>
      </w:r>
      <w:proofErr w:type="gramEnd"/>
      <w:r>
        <w:rPr>
          <w:rFonts w:ascii="宋体" w:hAnsi="宋体" w:hint="eastAsia"/>
          <w:color w:val="000000"/>
          <w:kern w:val="0"/>
          <w:sz w:val="24"/>
        </w:rPr>
        <w:t>凭证）的比例不低于基金资产净值的90%且不低于非现金基金资产的80%，因法律法规的规定而受限制的情形除外。</w:t>
      </w:r>
    </w:p>
    <w:p w:rsidR="00D06337" w:rsidRDefault="00F0626B">
      <w:pPr>
        <w:spacing w:line="360" w:lineRule="auto"/>
        <w:ind w:firstLine="480"/>
        <w:rPr>
          <w:rFonts w:ascii="宋体" w:hAnsi="宋体"/>
          <w:color w:val="000000"/>
          <w:kern w:val="0"/>
          <w:sz w:val="24"/>
        </w:rPr>
      </w:pPr>
      <w:r>
        <w:rPr>
          <w:rFonts w:ascii="宋体" w:hAnsi="宋体" w:hint="eastAsia"/>
          <w:color w:val="000000"/>
          <w:kern w:val="0"/>
          <w:sz w:val="24"/>
        </w:rPr>
        <w:t>如果法律法规或中国证监会变更投资品种的投资比例限制，基金管理人在履行适当程序后，可以调整上述投资品种的投资比例。</w:t>
      </w:r>
    </w:p>
    <w:p w:rsidR="00D06337" w:rsidRDefault="00F0626B">
      <w:pPr>
        <w:spacing w:line="360" w:lineRule="auto"/>
        <w:ind w:firstLineChars="200" w:firstLine="482"/>
        <w:rPr>
          <w:rFonts w:ascii="宋体" w:hAnsi="宋体"/>
          <w:b/>
          <w:bCs/>
          <w:color w:val="000000"/>
          <w:sz w:val="24"/>
        </w:rPr>
      </w:pPr>
      <w:r>
        <w:rPr>
          <w:rFonts w:ascii="宋体" w:hAnsi="宋体" w:hint="eastAsia"/>
          <w:b/>
          <w:bCs/>
          <w:color w:val="000000"/>
          <w:sz w:val="24"/>
        </w:rPr>
        <w:t>2、基金托管人根据有关法律法规的规定及《基金合同》和本协议的约定，对基金投资、融资比例进行监督。</w:t>
      </w:r>
    </w:p>
    <w:p w:rsidR="00D06337" w:rsidRDefault="00F0626B">
      <w:pPr>
        <w:tabs>
          <w:tab w:val="left" w:pos="1260"/>
        </w:tabs>
        <w:spacing w:line="336" w:lineRule="auto"/>
        <w:ind w:firstLineChars="200" w:firstLine="480"/>
        <w:rPr>
          <w:rFonts w:ascii="宋体"/>
          <w:sz w:val="24"/>
        </w:rPr>
      </w:pPr>
      <w:r>
        <w:rPr>
          <w:rFonts w:ascii="宋体" w:hAnsi="宋体"/>
          <w:sz w:val="24"/>
        </w:rPr>
        <w:t>根据《基金合同》的约定，本基金投资组合比例应符合以下规定：</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1</w:t>
      </w:r>
      <w:r>
        <w:rPr>
          <w:rFonts w:hint="eastAsia"/>
          <w:sz w:val="24"/>
        </w:rPr>
        <w:t>）本基金投资于中</w:t>
      </w:r>
      <w:proofErr w:type="gramStart"/>
      <w:r>
        <w:rPr>
          <w:rFonts w:hint="eastAsia"/>
          <w:sz w:val="24"/>
        </w:rPr>
        <w:t>证智选沪</w:t>
      </w:r>
      <w:proofErr w:type="gramEnd"/>
      <w:r>
        <w:rPr>
          <w:rFonts w:hint="eastAsia"/>
          <w:sz w:val="24"/>
        </w:rPr>
        <w:t>深港科技</w:t>
      </w:r>
      <w:r>
        <w:rPr>
          <w:rFonts w:hint="eastAsia"/>
          <w:sz w:val="24"/>
        </w:rPr>
        <w:t>50</w:t>
      </w:r>
      <w:r>
        <w:rPr>
          <w:rFonts w:hint="eastAsia"/>
          <w:sz w:val="24"/>
        </w:rPr>
        <w:t>指数成份股（</w:t>
      </w:r>
      <w:proofErr w:type="gramStart"/>
      <w:r>
        <w:rPr>
          <w:rFonts w:hint="eastAsia"/>
          <w:sz w:val="24"/>
        </w:rPr>
        <w:t>含存托</w:t>
      </w:r>
      <w:proofErr w:type="gramEnd"/>
      <w:r>
        <w:rPr>
          <w:rFonts w:hint="eastAsia"/>
          <w:sz w:val="24"/>
        </w:rPr>
        <w:t>凭证）及备选成份股（</w:t>
      </w:r>
      <w:proofErr w:type="gramStart"/>
      <w:r>
        <w:rPr>
          <w:rFonts w:hint="eastAsia"/>
          <w:sz w:val="24"/>
        </w:rPr>
        <w:t>含存托</w:t>
      </w:r>
      <w:proofErr w:type="gramEnd"/>
      <w:r>
        <w:rPr>
          <w:rFonts w:hint="eastAsia"/>
          <w:sz w:val="24"/>
        </w:rPr>
        <w:t>凭证）的比例不低于基金资产净值的</w:t>
      </w:r>
      <w:r>
        <w:rPr>
          <w:rFonts w:hint="eastAsia"/>
          <w:sz w:val="24"/>
        </w:rPr>
        <w:t>90%</w:t>
      </w:r>
      <w:r>
        <w:rPr>
          <w:rFonts w:hint="eastAsia"/>
          <w:sz w:val="24"/>
        </w:rPr>
        <w:t>且不低于非现金基金资产的</w:t>
      </w:r>
      <w:r>
        <w:rPr>
          <w:rFonts w:hint="eastAsia"/>
          <w:sz w:val="24"/>
        </w:rPr>
        <w:t>80%</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2</w:t>
      </w:r>
      <w:r>
        <w:rPr>
          <w:rFonts w:hint="eastAsia"/>
          <w:sz w:val="24"/>
        </w:rPr>
        <w:t>）本基金投资于同一原始权益人的各类资产支持证券的比例，不得超过基金资产净值的</w:t>
      </w:r>
      <w:r>
        <w:rPr>
          <w:rFonts w:hint="eastAsia"/>
          <w:sz w:val="24"/>
        </w:rPr>
        <w:t>10</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3</w:t>
      </w:r>
      <w:r>
        <w:rPr>
          <w:rFonts w:hint="eastAsia"/>
          <w:sz w:val="24"/>
        </w:rPr>
        <w:t>）本基金持有的全部资产支持证券，其市值不得超过基金资产净值的</w:t>
      </w:r>
      <w:r>
        <w:rPr>
          <w:rFonts w:hint="eastAsia"/>
          <w:sz w:val="24"/>
        </w:rPr>
        <w:t>20</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4</w:t>
      </w:r>
      <w:r>
        <w:rPr>
          <w:rFonts w:hint="eastAsia"/>
          <w:sz w:val="24"/>
        </w:rPr>
        <w:t>）本基金持有的同一（指同一信用级别）资产支持证券的比例，不得超过该资产支持证券规模的</w:t>
      </w:r>
      <w:r>
        <w:rPr>
          <w:rFonts w:hint="eastAsia"/>
          <w:sz w:val="24"/>
        </w:rPr>
        <w:t>10</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5</w:t>
      </w:r>
      <w:r>
        <w:rPr>
          <w:rFonts w:hint="eastAsia"/>
          <w:sz w:val="24"/>
        </w:rPr>
        <w:t>）本基金管理人管理的全部基金投资于同一原始权益人的各类资产支持证券，不得超过其各类资产支持证券合计规模的</w:t>
      </w:r>
      <w:r>
        <w:rPr>
          <w:rFonts w:hint="eastAsia"/>
          <w:sz w:val="24"/>
        </w:rPr>
        <w:t>10</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6</w:t>
      </w:r>
      <w:r>
        <w:rPr>
          <w:rFonts w:hint="eastAsia"/>
          <w:sz w:val="24"/>
        </w:rPr>
        <w:t>）本基金应投资于信用级别评级为</w:t>
      </w:r>
      <w:r>
        <w:rPr>
          <w:rFonts w:hint="eastAsia"/>
          <w:sz w:val="24"/>
        </w:rPr>
        <w:t>BBB</w:t>
      </w:r>
      <w:r>
        <w:rPr>
          <w:rFonts w:hint="eastAsia"/>
          <w:sz w:val="24"/>
        </w:rPr>
        <w:t>以上（含</w:t>
      </w:r>
      <w:r>
        <w:rPr>
          <w:rFonts w:hint="eastAsia"/>
          <w:sz w:val="24"/>
        </w:rPr>
        <w:t>BBB</w:t>
      </w:r>
      <w:r>
        <w:rPr>
          <w:rFonts w:hint="eastAsia"/>
          <w:sz w:val="24"/>
        </w:rPr>
        <w:t>）的资产支持证券。基金持有资产支持证券期间，如果其信用等级下降、不再符合投资标准，应在评级报告发布之日起</w:t>
      </w:r>
      <w:r>
        <w:rPr>
          <w:rFonts w:hint="eastAsia"/>
          <w:sz w:val="24"/>
        </w:rPr>
        <w:t>3</w:t>
      </w:r>
      <w:r>
        <w:rPr>
          <w:rFonts w:hint="eastAsia"/>
          <w:sz w:val="24"/>
        </w:rPr>
        <w:t>个月内予以全部卖出；</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7</w:t>
      </w:r>
      <w:r>
        <w:rPr>
          <w:rFonts w:hint="eastAsia"/>
          <w:sz w:val="24"/>
        </w:rPr>
        <w:t>）基金财产参与股票发行申购，本基金所申报的金额不超过本基金的总资产，本基金所申报的股票数量不超过拟发行股票公司本次发行股票的总量；</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8</w:t>
      </w:r>
      <w:r>
        <w:rPr>
          <w:rFonts w:hint="eastAsia"/>
          <w:sz w:val="24"/>
        </w:rPr>
        <w:t>）本基金主动投资于流动性受限资产的市值合计不得超过该基金资产净值的</w:t>
      </w:r>
      <w:r>
        <w:rPr>
          <w:rFonts w:hint="eastAsia"/>
          <w:sz w:val="24"/>
        </w:rPr>
        <w:t>15%</w:t>
      </w:r>
      <w:r>
        <w:rPr>
          <w:rFonts w:hint="eastAsia"/>
          <w:sz w:val="24"/>
        </w:rPr>
        <w:t>；因证券市场波动、上市公司股票停牌、基金规模变动等基金管理人之外的因素致使基金不符合该比例限制的，基金管理人不得主动新增流动性受限资产的投资；</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9</w:t>
      </w:r>
      <w:r>
        <w:rPr>
          <w:rFonts w:hint="eastAsia"/>
          <w:sz w:val="24"/>
        </w:rPr>
        <w:t>）本基金与私募类</w:t>
      </w:r>
      <w:proofErr w:type="gramStart"/>
      <w:r>
        <w:rPr>
          <w:rFonts w:hint="eastAsia"/>
          <w:sz w:val="24"/>
        </w:rPr>
        <w:t>证券资管产品</w:t>
      </w:r>
      <w:proofErr w:type="gramEnd"/>
      <w:r>
        <w:rPr>
          <w:rFonts w:hint="eastAsia"/>
          <w:sz w:val="24"/>
        </w:rPr>
        <w:t>及中国证监会认定的其他主体为交易对</w:t>
      </w:r>
      <w:r>
        <w:rPr>
          <w:rFonts w:hint="eastAsia"/>
          <w:sz w:val="24"/>
        </w:rPr>
        <w:lastRenderedPageBreak/>
        <w:t>手开展逆回购交易的，可接受质押品的资质要求应当与基金合同约定的投资范围保持一致；</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10</w:t>
      </w:r>
      <w:r>
        <w:rPr>
          <w:rFonts w:hint="eastAsia"/>
          <w:sz w:val="24"/>
        </w:rPr>
        <w:t>）本基金资产总值不超过基金资产净值的</w:t>
      </w:r>
      <w:r>
        <w:rPr>
          <w:rFonts w:hint="eastAsia"/>
          <w:sz w:val="24"/>
        </w:rPr>
        <w:t>140%</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11</w:t>
      </w:r>
      <w:r>
        <w:rPr>
          <w:rFonts w:hint="eastAsia"/>
          <w:sz w:val="24"/>
        </w:rPr>
        <w:t>）本基金参与股指期货交易，则：</w:t>
      </w:r>
    </w:p>
    <w:p w:rsidR="00D06337" w:rsidRDefault="00F0626B">
      <w:pPr>
        <w:tabs>
          <w:tab w:val="left" w:pos="1260"/>
        </w:tabs>
        <w:spacing w:line="336" w:lineRule="auto"/>
        <w:ind w:firstLineChars="200" w:firstLine="480"/>
        <w:rPr>
          <w:sz w:val="24"/>
        </w:rPr>
      </w:pPr>
      <w:r>
        <w:rPr>
          <w:rFonts w:hint="eastAsia"/>
          <w:sz w:val="24"/>
        </w:rPr>
        <w:t>1</w:t>
      </w:r>
      <w:r>
        <w:rPr>
          <w:rFonts w:hint="eastAsia"/>
          <w:sz w:val="24"/>
        </w:rPr>
        <w:t>）本基金在任何交易日日终，持有的买入股指期货合约价值，不得超过基金资产净值的</w:t>
      </w:r>
      <w:r>
        <w:rPr>
          <w:rFonts w:hint="eastAsia"/>
          <w:sz w:val="24"/>
        </w:rPr>
        <w:t>10%</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2</w:t>
      </w:r>
      <w:r>
        <w:rPr>
          <w:rFonts w:hint="eastAsia"/>
          <w:sz w:val="24"/>
        </w:rPr>
        <w:t>）本基金在任何交易日日终，持有的买入股指期货合约价值与有价证券市值之和，不得超过基金资产净值的</w:t>
      </w:r>
      <w:r>
        <w:rPr>
          <w:rFonts w:hint="eastAsia"/>
          <w:sz w:val="24"/>
        </w:rPr>
        <w:t>100%</w:t>
      </w:r>
      <w:r>
        <w:rPr>
          <w:rFonts w:hint="eastAsia"/>
          <w:sz w:val="24"/>
        </w:rPr>
        <w:t>。其中，有价证券指股票、债券（不含到期日在一年以内的政府债券）、资产支持证券、买入返售金融资产（不含质押式回购）等；</w:t>
      </w:r>
    </w:p>
    <w:p w:rsidR="00D06337" w:rsidRDefault="00F0626B">
      <w:pPr>
        <w:tabs>
          <w:tab w:val="left" w:pos="1260"/>
        </w:tabs>
        <w:spacing w:line="336" w:lineRule="auto"/>
        <w:ind w:firstLineChars="200" w:firstLine="480"/>
        <w:rPr>
          <w:sz w:val="24"/>
        </w:rPr>
      </w:pPr>
      <w:r>
        <w:rPr>
          <w:rFonts w:hint="eastAsia"/>
          <w:sz w:val="24"/>
        </w:rPr>
        <w:t>3</w:t>
      </w:r>
      <w:r>
        <w:rPr>
          <w:rFonts w:hint="eastAsia"/>
          <w:sz w:val="24"/>
        </w:rPr>
        <w:t>）本基金在任何交易日日终，持有的卖出股指期货合约价值不得超过基金持有的股票总市值的</w:t>
      </w:r>
      <w:r>
        <w:rPr>
          <w:rFonts w:hint="eastAsia"/>
          <w:sz w:val="24"/>
        </w:rPr>
        <w:t>20%</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4</w:t>
      </w:r>
      <w:r>
        <w:rPr>
          <w:rFonts w:hint="eastAsia"/>
          <w:sz w:val="24"/>
        </w:rPr>
        <w:t>）本基金所持有的股票市值和买入、卖出股指期货合约价值，合计（轧差计算）应当符合基金合同关于股票投资比例的有关约定；</w:t>
      </w:r>
    </w:p>
    <w:p w:rsidR="00D06337" w:rsidRDefault="00F0626B">
      <w:pPr>
        <w:tabs>
          <w:tab w:val="left" w:pos="1260"/>
        </w:tabs>
        <w:spacing w:line="336" w:lineRule="auto"/>
        <w:ind w:firstLineChars="200" w:firstLine="480"/>
        <w:rPr>
          <w:sz w:val="24"/>
        </w:rPr>
      </w:pPr>
      <w:r>
        <w:rPr>
          <w:rFonts w:hint="eastAsia"/>
          <w:sz w:val="24"/>
        </w:rPr>
        <w:t>5</w:t>
      </w:r>
      <w:r>
        <w:rPr>
          <w:rFonts w:hint="eastAsia"/>
          <w:sz w:val="24"/>
        </w:rPr>
        <w:t>）本基金在任何交易日内交易（不包括平仓）的股指期货合约的成交金额不得超过上一交易日基金资产净值的</w:t>
      </w:r>
      <w:r>
        <w:rPr>
          <w:rFonts w:hint="eastAsia"/>
          <w:sz w:val="24"/>
        </w:rPr>
        <w:t>20%</w:t>
      </w:r>
      <w:r>
        <w:rPr>
          <w:rFonts w:hint="eastAsia"/>
          <w:sz w:val="24"/>
        </w:rPr>
        <w:t>；</w:t>
      </w:r>
    </w:p>
    <w:p w:rsidR="00D06337" w:rsidRDefault="00F0626B">
      <w:pPr>
        <w:spacing w:line="360" w:lineRule="auto"/>
        <w:ind w:firstLineChars="200" w:firstLine="480"/>
        <w:rPr>
          <w:bCs/>
          <w:sz w:val="24"/>
        </w:rPr>
      </w:pPr>
      <w:r>
        <w:rPr>
          <w:rFonts w:hint="eastAsia"/>
          <w:bCs/>
          <w:sz w:val="24"/>
        </w:rPr>
        <w:t>6</w:t>
      </w:r>
      <w:r>
        <w:rPr>
          <w:rFonts w:hint="eastAsia"/>
          <w:bCs/>
          <w:sz w:val="24"/>
        </w:rPr>
        <w:t>）本基金每个交易日日终在扣除股指期货合约需缴纳的交易保证金后，本基金应当保持不低于交易保证金一倍的现金；</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12</w:t>
      </w:r>
      <w:r>
        <w:rPr>
          <w:rFonts w:hint="eastAsia"/>
          <w:sz w:val="24"/>
        </w:rPr>
        <w:t>）本基金参与融资业务后，每个交易日日终，本基金持有的融资买入股票与其他有价证券市值之和，不得超过基金资产净值的</w:t>
      </w:r>
      <w:r>
        <w:rPr>
          <w:rFonts w:hint="eastAsia"/>
          <w:sz w:val="24"/>
        </w:rPr>
        <w:t>95%</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13</w:t>
      </w:r>
      <w:r>
        <w:rPr>
          <w:rFonts w:hint="eastAsia"/>
          <w:sz w:val="24"/>
        </w:rPr>
        <w:t>）本基金参与转融通证券出借业务，需遵守下列投资限制：</w:t>
      </w:r>
    </w:p>
    <w:p w:rsidR="00D06337" w:rsidRDefault="00F0626B">
      <w:pPr>
        <w:tabs>
          <w:tab w:val="left" w:pos="1260"/>
        </w:tabs>
        <w:spacing w:line="336" w:lineRule="auto"/>
        <w:ind w:firstLineChars="200" w:firstLine="480"/>
        <w:rPr>
          <w:sz w:val="24"/>
        </w:rPr>
      </w:pPr>
      <w:r>
        <w:rPr>
          <w:rFonts w:hint="eastAsia"/>
          <w:sz w:val="24"/>
        </w:rPr>
        <w:t>1</w:t>
      </w:r>
      <w:r>
        <w:rPr>
          <w:rFonts w:hint="eastAsia"/>
          <w:sz w:val="24"/>
        </w:rPr>
        <w:t>）出借证券资产不得超过基金资产净值的</w:t>
      </w:r>
      <w:r>
        <w:rPr>
          <w:rFonts w:hint="eastAsia"/>
          <w:sz w:val="24"/>
        </w:rPr>
        <w:t>30%</w:t>
      </w:r>
      <w:r>
        <w:rPr>
          <w:rFonts w:hint="eastAsia"/>
          <w:sz w:val="24"/>
        </w:rPr>
        <w:t>，出借期限在</w:t>
      </w:r>
      <w:r>
        <w:rPr>
          <w:rFonts w:hint="eastAsia"/>
          <w:sz w:val="24"/>
        </w:rPr>
        <w:t>10</w:t>
      </w:r>
      <w:r>
        <w:rPr>
          <w:rFonts w:hint="eastAsia"/>
          <w:sz w:val="24"/>
        </w:rPr>
        <w:t>个交易日以上的出借证券应纳入《流动性风险管理规定》所述流动性受限证券的范围；</w:t>
      </w:r>
    </w:p>
    <w:p w:rsidR="00D06337" w:rsidRDefault="00F0626B">
      <w:pPr>
        <w:tabs>
          <w:tab w:val="left" w:pos="1260"/>
        </w:tabs>
        <w:spacing w:line="336" w:lineRule="auto"/>
        <w:ind w:firstLineChars="200" w:firstLine="480"/>
        <w:rPr>
          <w:sz w:val="24"/>
        </w:rPr>
      </w:pPr>
      <w:r>
        <w:rPr>
          <w:rFonts w:hint="eastAsia"/>
          <w:sz w:val="24"/>
        </w:rPr>
        <w:t>2</w:t>
      </w:r>
      <w:r>
        <w:rPr>
          <w:rFonts w:hint="eastAsia"/>
          <w:sz w:val="24"/>
        </w:rPr>
        <w:t>）参与出借业务的单只证券不得超过本基金持有该证券总量的</w:t>
      </w:r>
      <w:r>
        <w:rPr>
          <w:sz w:val="24"/>
        </w:rPr>
        <w:t>3</w:t>
      </w:r>
      <w:r>
        <w:rPr>
          <w:rFonts w:hint="eastAsia"/>
          <w:sz w:val="24"/>
        </w:rPr>
        <w:t>0%</w:t>
      </w:r>
      <w:r>
        <w:rPr>
          <w:rFonts w:hint="eastAsia"/>
          <w:sz w:val="24"/>
        </w:rPr>
        <w:t>；</w:t>
      </w:r>
    </w:p>
    <w:p w:rsidR="00D06337" w:rsidRDefault="00F0626B">
      <w:pPr>
        <w:tabs>
          <w:tab w:val="left" w:pos="1260"/>
        </w:tabs>
        <w:spacing w:line="336" w:lineRule="auto"/>
        <w:ind w:firstLineChars="200" w:firstLine="480"/>
        <w:rPr>
          <w:sz w:val="24"/>
        </w:rPr>
      </w:pPr>
      <w:r>
        <w:rPr>
          <w:rFonts w:hint="eastAsia"/>
          <w:sz w:val="24"/>
        </w:rPr>
        <w:t>3</w:t>
      </w:r>
      <w:r>
        <w:rPr>
          <w:rFonts w:hint="eastAsia"/>
          <w:sz w:val="24"/>
        </w:rPr>
        <w:t>）最近</w:t>
      </w:r>
      <w:r>
        <w:rPr>
          <w:rFonts w:hint="eastAsia"/>
          <w:sz w:val="24"/>
        </w:rPr>
        <w:t>6</w:t>
      </w:r>
      <w:r>
        <w:rPr>
          <w:rFonts w:hint="eastAsia"/>
          <w:sz w:val="24"/>
        </w:rPr>
        <w:t>个月内日均基金资产净值不得低于</w:t>
      </w:r>
      <w:r>
        <w:rPr>
          <w:rFonts w:hint="eastAsia"/>
          <w:sz w:val="24"/>
        </w:rPr>
        <w:t>2</w:t>
      </w:r>
      <w:r>
        <w:rPr>
          <w:rFonts w:hint="eastAsia"/>
          <w:sz w:val="24"/>
        </w:rPr>
        <w:t>亿元；</w:t>
      </w:r>
    </w:p>
    <w:p w:rsidR="00D06337" w:rsidRDefault="00F0626B">
      <w:pPr>
        <w:tabs>
          <w:tab w:val="left" w:pos="1260"/>
        </w:tabs>
        <w:spacing w:line="336" w:lineRule="auto"/>
        <w:ind w:firstLineChars="200" w:firstLine="480"/>
        <w:rPr>
          <w:sz w:val="24"/>
        </w:rPr>
      </w:pPr>
      <w:r>
        <w:rPr>
          <w:rFonts w:hint="eastAsia"/>
          <w:sz w:val="24"/>
        </w:rPr>
        <w:t>4</w:t>
      </w:r>
      <w:r>
        <w:rPr>
          <w:rFonts w:hint="eastAsia"/>
          <w:sz w:val="24"/>
        </w:rPr>
        <w:t>）证券出借的平均剩余期限不得超过</w:t>
      </w:r>
      <w:r>
        <w:rPr>
          <w:rFonts w:hint="eastAsia"/>
          <w:sz w:val="24"/>
        </w:rPr>
        <w:t>30</w:t>
      </w:r>
      <w:r>
        <w:rPr>
          <w:rFonts w:hint="eastAsia"/>
          <w:sz w:val="24"/>
        </w:rPr>
        <w:t>天，平均剩余期限按照市值加权平均计算；</w:t>
      </w:r>
    </w:p>
    <w:p w:rsidR="00D06337" w:rsidRDefault="00F0626B">
      <w:pPr>
        <w:tabs>
          <w:tab w:val="left" w:pos="1260"/>
        </w:tabs>
        <w:spacing w:line="336" w:lineRule="auto"/>
        <w:ind w:firstLineChars="200" w:firstLine="480"/>
        <w:rPr>
          <w:sz w:val="24"/>
        </w:rPr>
      </w:pPr>
      <w:r>
        <w:rPr>
          <w:rFonts w:hint="eastAsia"/>
          <w:sz w:val="24"/>
        </w:rPr>
        <w:t>因证券市场波动、上市公司合并、基金规模变动等基金管理人之外的因素致使基金投资不符合上述规定的，基金管理人不得新增出借业务；</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1</w:t>
      </w:r>
      <w:r>
        <w:rPr>
          <w:sz w:val="24"/>
        </w:rPr>
        <w:t>4</w:t>
      </w:r>
      <w:r>
        <w:rPr>
          <w:rFonts w:hint="eastAsia"/>
          <w:sz w:val="24"/>
        </w:rPr>
        <w:t>）本基金投资存托凭证的比例限制依照境内上市交易的股票执行；</w:t>
      </w:r>
    </w:p>
    <w:p w:rsidR="00D06337" w:rsidRDefault="00F0626B">
      <w:pPr>
        <w:tabs>
          <w:tab w:val="left" w:pos="1260"/>
        </w:tabs>
        <w:spacing w:line="336" w:lineRule="auto"/>
        <w:ind w:firstLineChars="200" w:firstLine="480"/>
        <w:rPr>
          <w:sz w:val="24"/>
        </w:rPr>
      </w:pPr>
      <w:r>
        <w:rPr>
          <w:rFonts w:hint="eastAsia"/>
          <w:sz w:val="24"/>
        </w:rPr>
        <w:t>（</w:t>
      </w:r>
      <w:r>
        <w:rPr>
          <w:rFonts w:hint="eastAsia"/>
          <w:sz w:val="24"/>
        </w:rPr>
        <w:t>1</w:t>
      </w:r>
      <w:r>
        <w:rPr>
          <w:sz w:val="24"/>
        </w:rPr>
        <w:t>5</w:t>
      </w:r>
      <w:r>
        <w:rPr>
          <w:rFonts w:hint="eastAsia"/>
          <w:sz w:val="24"/>
        </w:rPr>
        <w:t>）法律法规及中国证监会规定的和《基金合同》约定的其他投资限制。</w:t>
      </w:r>
    </w:p>
    <w:p w:rsidR="00D06337" w:rsidRDefault="00F0626B">
      <w:pPr>
        <w:spacing w:line="360" w:lineRule="auto"/>
        <w:ind w:firstLineChars="200" w:firstLine="480"/>
        <w:rPr>
          <w:sz w:val="24"/>
        </w:rPr>
      </w:pPr>
      <w:r>
        <w:rPr>
          <w:rFonts w:hint="eastAsia"/>
          <w:sz w:val="24"/>
        </w:rPr>
        <w:lastRenderedPageBreak/>
        <w:t>除上述（</w:t>
      </w:r>
      <w:r>
        <w:rPr>
          <w:rFonts w:hint="eastAsia"/>
          <w:sz w:val="24"/>
        </w:rPr>
        <w:t>6</w:t>
      </w:r>
      <w:r>
        <w:rPr>
          <w:rFonts w:hint="eastAsia"/>
          <w:sz w:val="24"/>
        </w:rPr>
        <w:t>）、（</w:t>
      </w:r>
      <w:r>
        <w:rPr>
          <w:rFonts w:hint="eastAsia"/>
          <w:sz w:val="24"/>
        </w:rPr>
        <w:t>8</w:t>
      </w:r>
      <w:r>
        <w:rPr>
          <w:rFonts w:hint="eastAsia"/>
          <w:sz w:val="24"/>
        </w:rPr>
        <w:t>）、（</w:t>
      </w:r>
      <w:r>
        <w:rPr>
          <w:rFonts w:hint="eastAsia"/>
          <w:sz w:val="24"/>
        </w:rPr>
        <w:t>9</w:t>
      </w:r>
      <w:r>
        <w:rPr>
          <w:rFonts w:hint="eastAsia"/>
          <w:sz w:val="24"/>
        </w:rPr>
        <w:t>）、（</w:t>
      </w:r>
      <w:r>
        <w:rPr>
          <w:rFonts w:hint="eastAsia"/>
          <w:sz w:val="24"/>
        </w:rPr>
        <w:t>13</w:t>
      </w:r>
      <w:r>
        <w:rPr>
          <w:rFonts w:hint="eastAsia"/>
          <w:sz w:val="24"/>
        </w:rPr>
        <w:t>）情形之外，因证券、期货市场波动、证券发行人合并、基金规模变动、标的指数成份股调整、标的指数成份股流动性限制等基金管理人之外的因素致使基金投资比例不符合上述规定投资比例的，基金管理人应当在</w:t>
      </w:r>
      <w:r>
        <w:rPr>
          <w:rFonts w:hint="eastAsia"/>
          <w:sz w:val="24"/>
        </w:rPr>
        <w:t>10</w:t>
      </w:r>
      <w:r>
        <w:rPr>
          <w:rFonts w:hint="eastAsia"/>
          <w:sz w:val="24"/>
        </w:rPr>
        <w:t>个交易日内进行调整，但中国证监会规定的特殊情形除外。法律法规另有规定的，从其规定。</w:t>
      </w:r>
    </w:p>
    <w:p w:rsidR="00D06337" w:rsidRDefault="00F0626B">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D06337" w:rsidRDefault="00F0626B">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基金托管人依照上述规定对本基金的投资组合限制及调整期限进行监督。</w:t>
      </w:r>
    </w:p>
    <w:p w:rsidR="00D06337" w:rsidRDefault="00F0626B">
      <w:pPr>
        <w:spacing w:line="360" w:lineRule="auto"/>
        <w:ind w:firstLineChars="200" w:firstLine="482"/>
        <w:rPr>
          <w:rFonts w:ascii="宋体" w:hAnsi="宋体"/>
          <w:b/>
          <w:bCs/>
          <w:color w:val="000000"/>
          <w:sz w:val="24"/>
        </w:rPr>
      </w:pPr>
      <w:r>
        <w:rPr>
          <w:rFonts w:ascii="宋体" w:hAnsi="宋体" w:hint="eastAsia"/>
          <w:b/>
          <w:bCs/>
          <w:color w:val="000000"/>
          <w:sz w:val="24"/>
        </w:rPr>
        <w:t>3、基金托管人根据有关法律、法规的规定及基金合同和本协议的约定，对基金投资禁止行为进行监督。基金财产不得用于下列投资或者活动。</w:t>
      </w:r>
    </w:p>
    <w:p w:rsidR="00D06337" w:rsidRDefault="00F0626B">
      <w:pPr>
        <w:pStyle w:val="div"/>
        <w:spacing w:line="360" w:lineRule="auto"/>
        <w:ind w:firstLine="480"/>
        <w:rPr>
          <w:rFonts w:ascii="宋体" w:hAnsi="宋体" w:cs="宋体"/>
          <w:sz w:val="24"/>
          <w:szCs w:val="24"/>
        </w:rPr>
      </w:pPr>
      <w:r>
        <w:rPr>
          <w:rStyle w:val="custom"/>
          <w:rFonts w:ascii="宋体" w:hAnsi="宋体" w:cs="宋体"/>
          <w:sz w:val="24"/>
          <w:szCs w:val="24"/>
        </w:rPr>
        <w:t>（1）承销证券；</w:t>
      </w:r>
    </w:p>
    <w:p w:rsidR="00D06337" w:rsidRDefault="00F0626B">
      <w:pPr>
        <w:pStyle w:val="div"/>
        <w:spacing w:line="360" w:lineRule="auto"/>
        <w:ind w:firstLine="480"/>
        <w:rPr>
          <w:rFonts w:ascii="宋体" w:hAnsi="宋体" w:cs="宋体"/>
          <w:sz w:val="24"/>
          <w:szCs w:val="24"/>
        </w:rPr>
      </w:pPr>
      <w:r>
        <w:rPr>
          <w:rStyle w:val="custom"/>
          <w:rFonts w:ascii="宋体" w:hAnsi="宋体" w:cs="宋体"/>
          <w:sz w:val="24"/>
          <w:szCs w:val="24"/>
        </w:rPr>
        <w:t>（2）违反规定向他人贷款或者提供担保；</w:t>
      </w:r>
    </w:p>
    <w:p w:rsidR="00D06337" w:rsidRDefault="00F0626B">
      <w:pPr>
        <w:pStyle w:val="div"/>
        <w:spacing w:line="360" w:lineRule="auto"/>
        <w:ind w:firstLine="480"/>
        <w:rPr>
          <w:rFonts w:ascii="宋体" w:hAnsi="宋体" w:cs="宋体"/>
          <w:sz w:val="24"/>
          <w:szCs w:val="24"/>
        </w:rPr>
      </w:pPr>
      <w:r>
        <w:rPr>
          <w:rStyle w:val="custom"/>
          <w:rFonts w:ascii="宋体" w:hAnsi="宋体" w:cs="宋体"/>
          <w:sz w:val="24"/>
          <w:szCs w:val="24"/>
        </w:rPr>
        <w:t>（3）从事承担无限责任的投资；</w:t>
      </w:r>
    </w:p>
    <w:p w:rsidR="00D06337" w:rsidRDefault="00F0626B">
      <w:pPr>
        <w:pStyle w:val="div"/>
        <w:spacing w:line="360" w:lineRule="auto"/>
        <w:ind w:firstLine="480"/>
        <w:rPr>
          <w:rFonts w:ascii="宋体" w:hAnsi="宋体" w:cs="宋体"/>
          <w:sz w:val="24"/>
          <w:szCs w:val="24"/>
        </w:rPr>
      </w:pPr>
      <w:r>
        <w:rPr>
          <w:rStyle w:val="custom"/>
          <w:rFonts w:ascii="宋体" w:hAnsi="宋体" w:cs="宋体"/>
          <w:sz w:val="24"/>
          <w:szCs w:val="24"/>
        </w:rPr>
        <w:t>（4）买卖其他基金份额，但是中国证监会另有规定的除外；</w:t>
      </w:r>
    </w:p>
    <w:p w:rsidR="00D06337" w:rsidRDefault="00F0626B">
      <w:pPr>
        <w:pStyle w:val="div"/>
        <w:spacing w:line="360" w:lineRule="auto"/>
        <w:ind w:firstLine="480"/>
        <w:rPr>
          <w:rFonts w:ascii="宋体" w:hAnsi="宋体" w:cs="宋体"/>
          <w:sz w:val="24"/>
          <w:szCs w:val="24"/>
        </w:rPr>
      </w:pPr>
      <w:r>
        <w:rPr>
          <w:rStyle w:val="custom"/>
          <w:rFonts w:ascii="宋体" w:hAnsi="宋体" w:cs="宋体"/>
          <w:sz w:val="24"/>
          <w:szCs w:val="24"/>
        </w:rPr>
        <w:t>（5）向其基金管理人、基金托管人出资；</w:t>
      </w:r>
    </w:p>
    <w:p w:rsidR="00D06337" w:rsidRDefault="00F0626B">
      <w:pPr>
        <w:pStyle w:val="div"/>
        <w:spacing w:line="360" w:lineRule="auto"/>
        <w:ind w:firstLine="480"/>
        <w:rPr>
          <w:rFonts w:ascii="宋体" w:hAnsi="宋体" w:cs="宋体"/>
          <w:sz w:val="24"/>
          <w:szCs w:val="24"/>
        </w:rPr>
      </w:pPr>
      <w:r>
        <w:rPr>
          <w:rStyle w:val="custom"/>
          <w:rFonts w:ascii="宋体" w:hAnsi="宋体" w:cs="宋体"/>
          <w:sz w:val="24"/>
          <w:szCs w:val="24"/>
        </w:rPr>
        <w:t>（6）从事内幕交易、操纵证券交易价格及其他不正当的证券交易活动；</w:t>
      </w:r>
    </w:p>
    <w:p w:rsidR="00D06337" w:rsidRDefault="00F0626B">
      <w:pPr>
        <w:pStyle w:val="div"/>
        <w:spacing w:line="360" w:lineRule="auto"/>
        <w:ind w:firstLine="480"/>
        <w:rPr>
          <w:rFonts w:ascii="宋体" w:hAnsi="宋体" w:cs="宋体"/>
          <w:sz w:val="24"/>
          <w:szCs w:val="24"/>
        </w:rPr>
      </w:pPr>
      <w:r>
        <w:rPr>
          <w:rStyle w:val="custom"/>
          <w:rFonts w:ascii="宋体" w:hAnsi="宋体" w:cs="宋体"/>
          <w:sz w:val="24"/>
          <w:szCs w:val="24"/>
        </w:rPr>
        <w:t>（7）法律、行政法规和中国证监会规定禁止的其他活动。</w:t>
      </w:r>
    </w:p>
    <w:p w:rsidR="00D06337" w:rsidRDefault="00F0626B">
      <w:pPr>
        <w:pStyle w:val="div"/>
        <w:spacing w:line="360" w:lineRule="auto"/>
        <w:ind w:firstLine="480"/>
        <w:rPr>
          <w:rFonts w:ascii="宋体" w:hAnsi="宋体" w:cs="宋体"/>
          <w:sz w:val="24"/>
          <w:szCs w:val="24"/>
        </w:rPr>
      </w:pPr>
      <w:r>
        <w:rPr>
          <w:rFonts w:ascii="宋体" w:hAnsi="宋体" w:cs="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06337" w:rsidRDefault="00F0626B">
      <w:pPr>
        <w:tabs>
          <w:tab w:val="left" w:pos="1260"/>
        </w:tabs>
        <w:spacing w:line="360" w:lineRule="auto"/>
        <w:ind w:firstLineChars="200" w:firstLine="480"/>
        <w:rPr>
          <w:rFonts w:ascii="宋体" w:hAnsi="宋体" w:cs="宋体"/>
          <w:sz w:val="24"/>
        </w:rPr>
      </w:pPr>
      <w:r>
        <w:rPr>
          <w:rFonts w:ascii="宋体" w:hAnsi="宋体" w:cs="宋体" w:hint="eastAsia"/>
          <w:sz w:val="24"/>
        </w:rPr>
        <w:lastRenderedPageBreak/>
        <w:t>如法律、行政法规或监管部门取消或变更上述规定，如适用于本基金，基金管理人在履行适当程序后，本基金可不受上述规定的限制或以变更后的规定为准。</w:t>
      </w:r>
    </w:p>
    <w:p w:rsidR="00D06337" w:rsidRDefault="00F0626B">
      <w:pPr>
        <w:tabs>
          <w:tab w:val="left" w:pos="1260"/>
        </w:tabs>
        <w:spacing w:line="360" w:lineRule="auto"/>
        <w:ind w:firstLineChars="200" w:firstLine="480"/>
        <w:rPr>
          <w:rFonts w:ascii="宋体" w:hAnsi="宋体"/>
          <w:bCs/>
          <w:color w:val="000000"/>
          <w:kern w:val="0"/>
          <w:sz w:val="24"/>
        </w:rPr>
      </w:pPr>
      <w:r>
        <w:rPr>
          <w:rFonts w:ascii="宋体" w:hAnsi="宋体" w:hint="eastAsia"/>
          <w:bCs/>
          <w:color w:val="000000"/>
          <w:kern w:val="0"/>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并负责及时将更新后的名单发送给对方。</w:t>
      </w:r>
    </w:p>
    <w:p w:rsidR="00D06337" w:rsidRDefault="00F0626B">
      <w:pPr>
        <w:spacing w:line="360" w:lineRule="auto"/>
        <w:ind w:firstLineChars="200" w:firstLine="482"/>
        <w:rPr>
          <w:rFonts w:ascii="宋体" w:hAnsi="宋体"/>
          <w:b/>
          <w:bCs/>
          <w:color w:val="000000"/>
          <w:sz w:val="24"/>
        </w:rPr>
      </w:pPr>
      <w:bookmarkStart w:id="25" w:name="OLE_LINK4"/>
      <w:bookmarkStart w:id="26" w:name="OLE_LINK2"/>
      <w:bookmarkEnd w:id="24"/>
      <w:r>
        <w:rPr>
          <w:rFonts w:ascii="宋体" w:hAnsi="宋体" w:hint="eastAsia"/>
          <w:b/>
          <w:bCs/>
          <w:color w:val="000000"/>
          <w:sz w:val="24"/>
        </w:rPr>
        <w:t>4、基金托管人根据有关法律、法规规定及基金合同和本协议约定，对基金管理人参与银行间债券市场进行监督。</w:t>
      </w:r>
    </w:p>
    <w:bookmarkEnd w:id="25"/>
    <w:bookmarkEnd w:id="26"/>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基金托管人依据有关法律、法规规定和《基金合同》约定对基金管理人参与银行间债券市场交易时面临的交易对手资信风险进行监督。</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在基金投资运作之前向基金托管人提供符合法律、法规及行业标准的、经慎重选择的、本基金适用的银行间债券市场交易对手的名单。基金管理人应严格按照交易对手名单的范围在银行间债券市场选择交易对手，如基金管理人在基金投资运作之前未向基金托管人提供银行间债券市场交易对手名单的，视为基金管理人认可全市场交易对手。基金托管人监督基金管理人是否按事前提供的银行间债券市场交易对手名单进行交易。</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基金管理人可以定期（每半年）和不定期对银行间债券市场现券及回购交易对手的名单进行更新。新名单生效前已与本次剔除的交易对手所进行但尚未结算的交易，仍应按照协议进行结算。</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参与银行间债券市场交易时，应按银行间债券市场的交易规则进行交易，并有责任控制交易对手的资信风险，由于交易对手资信风险引起的损失,基金管理人应当负责向相关责任人追偿。基金托管人不承担由此造成的相应法律责任及损失。</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如基金托管人事后发现基金管理人没有按照事先约定的交易对手进行交易时，基金托管人应及时提醒基金管理人，但基金托管人不承担由此造成的相应损失和责任。</w:t>
      </w:r>
    </w:p>
    <w:p w:rsidR="00D06337" w:rsidRDefault="00F0626B">
      <w:pPr>
        <w:spacing w:line="360" w:lineRule="auto"/>
        <w:ind w:firstLineChars="200" w:firstLine="482"/>
        <w:rPr>
          <w:rFonts w:ascii="宋体" w:hAnsi="宋体"/>
          <w:b/>
          <w:bCs/>
          <w:color w:val="000000"/>
          <w:sz w:val="24"/>
        </w:rPr>
      </w:pPr>
      <w:r>
        <w:rPr>
          <w:rFonts w:ascii="宋体" w:hAnsi="宋体" w:hint="eastAsia"/>
          <w:b/>
          <w:bCs/>
          <w:color w:val="000000"/>
          <w:sz w:val="24"/>
        </w:rPr>
        <w:t>5、基金托管人根据有关法律、法规的规定及基金合同和本协议的约定，对基金管理人选择存款银行进行监督。</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基金投资银行定期存款的，基金管理人应根据法律、法规的规定及基金合同的约定选择存款银行。</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本基金投资银行存款应符合如下规定：</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（1）基金管理人、基金托管人应当与存款银行建立定期对账机制，确保基金银行存款业务账目及核算的真实、准确。</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（2）基金托管人应加强对基金银行存款业务的监督与核查，严格审查、复核相关协议、账户资料、投资指令、存款证实书等有关文件，切实履行托管职责。</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（3）基金管理人与基金托管人在开展基金存款业务时，应严格遵守《基金法》、《运作办法》等有关法律、法规，以及国家有关账户管理、利率管理、支付结算等的各项规定。</w:t>
      </w:r>
    </w:p>
    <w:p w:rsidR="00D06337" w:rsidRDefault="00F0626B">
      <w:pPr>
        <w:spacing w:line="360" w:lineRule="auto"/>
        <w:ind w:firstLineChars="200" w:firstLine="480"/>
        <w:rPr>
          <w:rFonts w:ascii="宋体" w:hAnsi="宋体"/>
          <w:b/>
          <w:bCs/>
          <w:color w:val="000000"/>
          <w:sz w:val="24"/>
        </w:rPr>
      </w:pPr>
      <w:r>
        <w:rPr>
          <w:rFonts w:ascii="宋体" w:hAnsi="宋体" w:hint="eastAsia"/>
          <w:color w:val="000000"/>
          <w:kern w:val="0"/>
          <w:sz w:val="24"/>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r>
        <w:rPr>
          <w:rFonts w:ascii="宋体" w:hAnsi="宋体"/>
          <w:color w:val="000000"/>
          <w:kern w:val="0"/>
          <w:sz w:val="24"/>
        </w:rPr>
        <w:cr/>
        <w:t xml:space="preserve">    </w:t>
      </w:r>
      <w:r>
        <w:rPr>
          <w:rFonts w:ascii="宋体" w:hAnsi="宋体"/>
          <w:b/>
          <w:bCs/>
          <w:color w:val="000000"/>
          <w:sz w:val="24"/>
        </w:rPr>
        <w:t>6</w:t>
      </w:r>
      <w:r>
        <w:rPr>
          <w:rFonts w:ascii="宋体" w:hAnsi="宋体" w:hint="eastAsia"/>
          <w:b/>
          <w:bCs/>
          <w:color w:val="000000"/>
          <w:sz w:val="24"/>
        </w:rPr>
        <w:t>、基金托管人根据有关法律法规的规定及《基金合同》的约定，对基金管理人投资流通受限证券进行监督。</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（1）基金投资流通受限证券，应遵守《关于基金投资非公开发行股票等流通受限证券有关问题的通知》等有关法律法规规定。</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流通受限证券与上文所述的流动性受限资产并不完全一致，包括由相关法律法规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cs="宋体" w:hint="eastAsia"/>
          <w:color w:val="000000"/>
          <w:kern w:val="0"/>
          <w:sz w:val="24"/>
        </w:rPr>
        <w:t>券</w:t>
      </w:r>
      <w:proofErr w:type="gramEnd"/>
      <w:r>
        <w:rPr>
          <w:rFonts w:ascii="宋体" w:hAnsi="宋体" w:cs="宋体" w:hint="eastAsia"/>
          <w:color w:val="000000"/>
          <w:kern w:val="0"/>
          <w:sz w:val="24"/>
        </w:rPr>
        <w:t>等流通受限证券。</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（3）基金管理人应保证本基金投资的流通受限证券登记存管在本基金名下，并确保基金托管人能够正常查询。因基金管理</w:t>
      </w:r>
      <w:proofErr w:type="gramStart"/>
      <w:r>
        <w:rPr>
          <w:rFonts w:ascii="宋体" w:hAnsi="宋体" w:cs="宋体" w:hint="eastAsia"/>
          <w:color w:val="000000"/>
          <w:kern w:val="0"/>
          <w:sz w:val="24"/>
        </w:rPr>
        <w:t>人原因</w:t>
      </w:r>
      <w:proofErr w:type="gramEnd"/>
      <w:r>
        <w:rPr>
          <w:rFonts w:ascii="宋体" w:hAnsi="宋体" w:cs="宋体" w:hint="eastAsia"/>
          <w:color w:val="000000"/>
          <w:kern w:val="0"/>
          <w:sz w:val="24"/>
        </w:rPr>
        <w:t>产生的流通受限证券登记存管问题，造成基金托管人无法安全保管本基金资产的责任与损失，及基金财产的损失，由基金管理人承担。</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（4）在首次投资流通受限证券之前，基金管理人应当制定相关投资决策流</w:t>
      </w:r>
      <w:r>
        <w:rPr>
          <w:rFonts w:ascii="宋体" w:hAnsi="宋体" w:cs="宋体" w:hint="eastAsia"/>
          <w:color w:val="000000"/>
          <w:kern w:val="0"/>
          <w:sz w:val="24"/>
        </w:rPr>
        <w:lastRenderedPageBreak/>
        <w:t>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5）在投资非公开发行股票之前，基金管理人应提前向基金托管人提供有关流通受限证券的相关信息，具体应当包括但不限于如下文件（如有）：基金拟认购的数量、价格、总成本、划款账号、划款金额、划款时间文件等。基金管理人应保证上述信息的真实、完整。</w:t>
      </w:r>
    </w:p>
    <w:p w:rsidR="00D06337" w:rsidRDefault="00F0626B">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（6）</w:t>
      </w:r>
      <w:r>
        <w:rPr>
          <w:rFonts w:ascii="宋体" w:hAnsi="宋体" w:cs="宋体"/>
          <w:color w:val="000000"/>
          <w:kern w:val="0"/>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w:t>
      </w:r>
      <w:r>
        <w:rPr>
          <w:rFonts w:ascii="宋体" w:hAnsi="宋体" w:cs="宋体" w:hint="eastAsia"/>
          <w:color w:val="000000"/>
          <w:kern w:val="0"/>
          <w:sz w:val="24"/>
        </w:rPr>
        <w:t>相应</w:t>
      </w:r>
      <w:r>
        <w:rPr>
          <w:rFonts w:ascii="宋体" w:hAnsi="宋体" w:cs="宋体"/>
          <w:color w:val="000000"/>
          <w:kern w:val="0"/>
          <w:sz w:val="24"/>
        </w:rPr>
        <w:t>责任，并有权报告中国证监会。</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7）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（8）基金托管人根据有关规定有权对基金管理人进行以下事项监督：</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1）本基金投资流通受限证券时的法律法规遵守情况。</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2）在基金投资流通受限证券管理工作方面有关制度、流动性风险处置预案的建立与完善情况。</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3）有关比例限制的执行情况。</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4）信息披露情况。</w:t>
      </w:r>
    </w:p>
    <w:p w:rsidR="00D06337" w:rsidRDefault="00F0626B">
      <w:pPr>
        <w:tabs>
          <w:tab w:val="left" w:pos="1260"/>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（9）相关法律法规对基金投资流通受限证券有新规定的，从其规定。</w:t>
      </w:r>
    </w:p>
    <w:p w:rsidR="00D06337" w:rsidRDefault="00F0626B">
      <w:pPr>
        <w:spacing w:line="360" w:lineRule="auto"/>
        <w:ind w:firstLineChars="200" w:firstLine="482"/>
        <w:rPr>
          <w:rFonts w:ascii="宋体" w:hAnsi="宋体"/>
          <w:b/>
          <w:bCs/>
          <w:color w:val="000000"/>
          <w:sz w:val="24"/>
        </w:rPr>
      </w:pPr>
      <w:r>
        <w:rPr>
          <w:rFonts w:ascii="宋体" w:hAnsi="宋体" w:hint="eastAsia"/>
          <w:b/>
          <w:bCs/>
          <w:color w:val="000000"/>
          <w:sz w:val="24"/>
        </w:rPr>
        <w:t>7、基金托管人根据有关法律、法规的规定及基金合同和本协议的约定，对基金管理人基金禁投池进行监督。</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基金管理人可以向基金托管人提供基金禁投池清单。基金管理人可以定期</w:t>
      </w:r>
      <w:r>
        <w:rPr>
          <w:rFonts w:ascii="宋体" w:hAnsi="宋体" w:hint="eastAsia"/>
          <w:color w:val="000000"/>
          <w:kern w:val="0"/>
          <w:sz w:val="24"/>
        </w:rPr>
        <w:lastRenderedPageBreak/>
        <w:t>和不定期对基金禁投池清单进行更新。新清单生效</w:t>
      </w:r>
      <w:proofErr w:type="gramStart"/>
      <w:r>
        <w:rPr>
          <w:rFonts w:ascii="宋体" w:hAnsi="宋体" w:hint="eastAsia"/>
          <w:color w:val="000000"/>
          <w:kern w:val="0"/>
          <w:sz w:val="24"/>
        </w:rPr>
        <w:t>前基金</w:t>
      </w:r>
      <w:proofErr w:type="gramEnd"/>
      <w:r>
        <w:rPr>
          <w:rFonts w:ascii="宋体" w:hAnsi="宋体" w:hint="eastAsia"/>
          <w:color w:val="000000"/>
          <w:kern w:val="0"/>
          <w:sz w:val="24"/>
        </w:rPr>
        <w:t>托管人仍</w:t>
      </w:r>
      <w:proofErr w:type="gramStart"/>
      <w:r>
        <w:rPr>
          <w:rFonts w:ascii="宋体" w:hAnsi="宋体" w:hint="eastAsia"/>
          <w:color w:val="000000"/>
          <w:kern w:val="0"/>
          <w:sz w:val="24"/>
        </w:rPr>
        <w:t>按原禁投池</w:t>
      </w:r>
      <w:proofErr w:type="gramEnd"/>
      <w:r>
        <w:rPr>
          <w:rFonts w:ascii="宋体" w:hAnsi="宋体" w:hint="eastAsia"/>
          <w:color w:val="000000"/>
          <w:kern w:val="0"/>
          <w:sz w:val="24"/>
        </w:rPr>
        <w:t>清单进行监督。</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基金管理人超越名单范围进行投资的，基金托管人应及时提醒基金管理人，但基金托管人不承担由此造成的相应损失和责任。</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color w:val="000000"/>
          <w:kern w:val="0"/>
          <w:sz w:val="24"/>
        </w:rPr>
        <w:t>8</w:t>
      </w:r>
      <w:r>
        <w:rPr>
          <w:rFonts w:ascii="宋体" w:hAnsi="宋体" w:hint="eastAsia"/>
          <w:color w:val="000000"/>
          <w:kern w:val="0"/>
          <w:sz w:val="24"/>
        </w:rPr>
        <w:t>、基金托管人对基金管理人转融通证券出借业务进行监督</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运用基金财产参与出借业务，应当遵守审慎经营原则，配备技术系统和专业人员，制定科学合理的投资策略和风险管理制度，完善业务流程，有效防范和控制风险，基金托管人将对基金参与出借业务进行监督和复核。</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托管人应根据有关法律、法规的规定及基金合同的约定，对基金资产净值计算、基金份额净值计算、基金费用开支及收入确认、基金收益分配、相关信息披露、基金宣传推介材料中登载基金业绩表现数据等进行监督和核查。</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有权报告中国证监会。</w:t>
      </w:r>
    </w:p>
    <w:p w:rsidR="00D06337" w:rsidRDefault="00F0626B">
      <w:pPr>
        <w:tabs>
          <w:tab w:val="left" w:pos="1260"/>
        </w:tabs>
        <w:spacing w:line="360" w:lineRule="auto"/>
        <w:ind w:firstLineChars="200" w:firstLine="480"/>
        <w:rPr>
          <w:rFonts w:ascii="宋体" w:hAnsi="宋体"/>
          <w:color w:val="000000"/>
          <w:kern w:val="0"/>
          <w:sz w:val="24"/>
        </w:rPr>
      </w:pPr>
      <w:proofErr w:type="gramStart"/>
      <w:r>
        <w:rPr>
          <w:rFonts w:ascii="宋体" w:hAnsi="宋体" w:hint="eastAsia"/>
          <w:color w:val="000000"/>
          <w:kern w:val="0"/>
          <w:sz w:val="24"/>
        </w:rPr>
        <w:t>若基金</w:t>
      </w:r>
      <w:proofErr w:type="gramEnd"/>
      <w:r>
        <w:rPr>
          <w:rFonts w:ascii="宋体" w:hAnsi="宋体" w:hint="eastAsia"/>
          <w:color w:val="000000"/>
          <w:kern w:val="0"/>
          <w:sz w:val="24"/>
        </w:rPr>
        <w:t>托管人发现基金管理人依据交易程序已经生效的指令违反法律、行政法规和其他有关规定，或者违反《基金合同》约定的，应当立即通知基金管理人，并报告中国证监会。</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基金托管人发现基金管理人有重大违规行为，应及时报告中国证监会，同时通知基金管理人限期纠正，并有权将纠正结果报告中国证监会。基金管理人</w:t>
      </w:r>
      <w:r>
        <w:rPr>
          <w:rFonts w:ascii="宋体" w:hAnsi="宋体" w:hint="eastAsia"/>
          <w:color w:val="000000"/>
          <w:kern w:val="0"/>
          <w:sz w:val="24"/>
        </w:rPr>
        <w:lastRenderedPageBreak/>
        <w:t>无正当理由，拒绝、阻挠对方根据本托管协议规定行使监督权，或采取拖延、欺诈等手段妨碍对方进行有效监督，情节严重或经基金托管人提出警告仍不改正的，基金托管人有权报告中国证监会。</w:t>
      </w:r>
      <w:bookmarkStart w:id="27" w:name="_Toc125892440"/>
    </w:p>
    <w:p w:rsidR="00D06337" w:rsidRDefault="00D06337">
      <w:pPr>
        <w:tabs>
          <w:tab w:val="left" w:pos="1260"/>
        </w:tabs>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28" w:name="_Toc508720682"/>
      <w:r>
        <w:rPr>
          <w:rFonts w:hint="eastAsia"/>
        </w:rPr>
        <w:t>四、基金管理人对基金托管人的业务核查</w:t>
      </w:r>
      <w:bookmarkEnd w:id="27"/>
      <w:bookmarkEnd w:id="28"/>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根据《基金法》及其他有关法规、《基金合同》和本协议规定，基金管理人对基金托管人履行托管职责的情况进行核查，核查事项包括但不限于基金托管人是否安全保管基金财产，是否开立基金财产的托管账户、证券账户、债券托管账户等投资所需账户，是否协助提供开立股指期货业务相关账户及交易编码的基金托管人相关信息，是否及时、准确复核基金管理人计算的基金资产净值和基金份额净值，是否根据基金管理人指令办理清算交收，是否按照法规规定和《基金合同》规定进行相关信息披露和监督基金投资运作等行为。</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基金管理人可以定期（每半年）和不定期地对基金托管人保管的基金资产进行核查。基金托管人应积极配合基金管理人的核查行为，包括但不限于：提交相关资料以</w:t>
      </w:r>
      <w:proofErr w:type="gramStart"/>
      <w:r>
        <w:rPr>
          <w:rFonts w:ascii="宋体" w:hAnsi="宋体" w:hint="eastAsia"/>
          <w:color w:val="000000"/>
          <w:kern w:val="0"/>
          <w:sz w:val="24"/>
        </w:rPr>
        <w:t>供基金</w:t>
      </w:r>
      <w:proofErr w:type="gramEnd"/>
      <w:r>
        <w:rPr>
          <w:rFonts w:ascii="宋体" w:hAnsi="宋体" w:hint="eastAsia"/>
          <w:color w:val="000000"/>
          <w:kern w:val="0"/>
          <w:sz w:val="24"/>
        </w:rPr>
        <w:t>管理人核查基金财产的完整性和真实性，在规定时间内答复并改正。</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在下一工作日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r>
        <w:rPr>
          <w:rFonts w:ascii="宋体" w:hAnsi="宋体" w:hint="eastAsia"/>
          <w:color w:val="000000"/>
          <w:sz w:val="24"/>
        </w:rPr>
        <w:t>对基金管理人按照法规要求需向中国证监会报送基金监督报告的，基金托管人应积极配合提供相关数据资料和制度等。</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发现基金托管人有重大违规行为，应立即报告中国证监会，同时通知基金托管人在限期内纠正。基金托管人无正当理由，拒绝、阻挠对方根据本协议规定行使监督权，或采取拖延、欺诈等手段妨碍对方进行有效监督，</w:t>
      </w:r>
      <w:r>
        <w:rPr>
          <w:rFonts w:ascii="宋体" w:hAnsi="宋体" w:hint="eastAsia"/>
          <w:color w:val="000000"/>
          <w:kern w:val="0"/>
          <w:sz w:val="24"/>
        </w:rPr>
        <w:lastRenderedPageBreak/>
        <w:t>情节严重或经基金管理人提出警告仍不改正的，基金管理人应报告中国证监会。</w:t>
      </w:r>
    </w:p>
    <w:p w:rsidR="00D06337" w:rsidRDefault="00D06337">
      <w:pPr>
        <w:tabs>
          <w:tab w:val="left" w:pos="1260"/>
        </w:tabs>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29" w:name="_Toc125892441"/>
      <w:bookmarkStart w:id="30" w:name="_Toc523829995"/>
      <w:bookmarkStart w:id="31" w:name="_Toc466788854"/>
      <w:bookmarkStart w:id="32" w:name="_Toc22454437"/>
      <w:bookmarkStart w:id="33" w:name="_Toc508720683"/>
      <w:r>
        <w:rPr>
          <w:rFonts w:hint="eastAsia"/>
        </w:rPr>
        <w:t>五、基金财产的保管</w:t>
      </w:r>
      <w:bookmarkEnd w:id="29"/>
      <w:bookmarkEnd w:id="30"/>
      <w:bookmarkEnd w:id="31"/>
      <w:bookmarkEnd w:id="32"/>
      <w:bookmarkEnd w:id="33"/>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34" w:name="_Toc37159173"/>
      <w:bookmarkStart w:id="35" w:name="_Toc77662997"/>
      <w:r>
        <w:rPr>
          <w:rFonts w:ascii="宋体" w:hAnsi="宋体" w:hint="eastAsia"/>
          <w:b/>
          <w:bCs/>
          <w:color w:val="000000"/>
          <w:sz w:val="24"/>
        </w:rPr>
        <w:t>（一）基金财产保管的原则</w:t>
      </w:r>
      <w:bookmarkEnd w:id="34"/>
      <w:bookmarkEnd w:id="35"/>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1、基金托管人应安全保管基金财产，未经基金管理人的指令，不得自行运用、处分、分配基金的任何资产</w:t>
      </w:r>
      <w:r>
        <w:rPr>
          <w:rFonts w:ascii="宋体" w:hAnsi="宋体"/>
          <w:sz w:val="24"/>
        </w:rPr>
        <w:t>，非因基金财产本身承担的债务，不得对基金财产强制执行</w:t>
      </w:r>
      <w:r>
        <w:rPr>
          <w:rFonts w:ascii="宋体" w:hAnsi="宋体" w:hint="eastAsia"/>
          <w:color w:val="000000"/>
          <w:kern w:val="0"/>
          <w:sz w:val="24"/>
        </w:rPr>
        <w:t>。</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2、基金财产应独立于基金管理人、基金托管人的固有财产。</w:t>
      </w:r>
      <w:r>
        <w:rPr>
          <w:rFonts w:ascii="宋体" w:hAnsi="宋体"/>
          <w:sz w:val="24"/>
        </w:rPr>
        <w:t>基金财产的债权</w:t>
      </w:r>
      <w:r>
        <w:rPr>
          <w:rFonts w:ascii="宋体" w:hAnsi="宋体" w:hint="eastAsia"/>
          <w:sz w:val="24"/>
        </w:rPr>
        <w:t>，</w:t>
      </w:r>
      <w:r>
        <w:rPr>
          <w:rFonts w:ascii="宋体" w:hAnsi="宋体"/>
          <w:sz w:val="24"/>
        </w:rPr>
        <w:t>不得与基金管理人、基金托管人固有财产的债务相</w:t>
      </w:r>
      <w:proofErr w:type="gramStart"/>
      <w:r>
        <w:rPr>
          <w:rFonts w:ascii="宋体" w:hAnsi="宋体"/>
          <w:sz w:val="24"/>
        </w:rPr>
        <w:t>抵销</w:t>
      </w:r>
      <w:proofErr w:type="gramEnd"/>
      <w:r>
        <w:rPr>
          <w:rFonts w:ascii="宋体" w:hAnsi="宋体"/>
          <w:sz w:val="24"/>
        </w:rPr>
        <w:t>，不同基金财产的债权债务，不得相互</w:t>
      </w:r>
      <w:proofErr w:type="gramStart"/>
      <w:r>
        <w:rPr>
          <w:rFonts w:ascii="宋体" w:hAnsi="宋体"/>
          <w:sz w:val="24"/>
        </w:rPr>
        <w:t>抵销</w:t>
      </w:r>
      <w:proofErr w:type="gramEnd"/>
      <w:r>
        <w:rPr>
          <w:rFonts w:ascii="宋体" w:hAnsi="宋体"/>
          <w:sz w:val="24"/>
        </w:rPr>
        <w:t>。基金管理人、基金托管人以其自有资产承担法律责任，其债权人不得对基金财产行使请求冻结、扣押和其他权利。</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3、基金托管人按照规定开立基金财产的托管账户、证券账户、债券托管账户等投资所需账户。</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4、基金托管人对所托管的不同基金财产分别设置账户，与基金托管人的其他业务和其他基金的托管业务实行严格的分账管理，独立核算，确保基金财产的完整和独立。</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w:t>
      </w:r>
      <w:bookmarkStart w:id="36" w:name="_Toc37159174"/>
      <w:bookmarkStart w:id="37" w:name="_Toc77662998"/>
      <w:r>
        <w:rPr>
          <w:rFonts w:ascii="宋体" w:hAnsi="宋体" w:hint="eastAsia"/>
          <w:color w:val="000000"/>
          <w:kern w:val="0"/>
          <w:sz w:val="24"/>
        </w:rPr>
        <w:t>基金托管人对此予以必要的配合与协助，但不承担相应责任。</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6、除依据法律法规和《基金合同》的规定外，基金托管人不得委托第三人托管基金财产。</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（二）基金合同生效时募集资产的验证</w:t>
      </w:r>
      <w:bookmarkEnd w:id="36"/>
      <w:bookmarkEnd w:id="37"/>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基金募集期间募集的资金应存于在具有托管资格的商业银行开设的基金募集专用账户。该账户由基金管理人开立并管理。</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募集期满或基金停止募集时，募集的基金份额总额、基金募集金额（含网下股票认购所募集的股票市值）、基金份额持有人人数符合《基金法》、《运作办法》等有关规定后，基金管理人应将属于基金财产的全部资金划入基</w:t>
      </w:r>
      <w:r>
        <w:rPr>
          <w:rFonts w:ascii="宋体" w:hAnsi="宋体" w:hint="eastAsia"/>
          <w:color w:val="000000"/>
          <w:kern w:val="0"/>
          <w:sz w:val="24"/>
        </w:rPr>
        <w:lastRenderedPageBreak/>
        <w:t>金银行存款账户，同时在规定时间内，聘请符合《中华人民共和国证券法》规定的会计师事务所进行验资，出具验资报告。出具的验资报告由参加验资的2 名或2名以上中国注册会计师签字方为有效。</w:t>
      </w:r>
    </w:p>
    <w:p w:rsidR="00D06337" w:rsidRDefault="00F0626B">
      <w:pPr>
        <w:tabs>
          <w:tab w:val="left" w:pos="3780"/>
        </w:tabs>
        <w:autoSpaceDE w:val="0"/>
        <w:autoSpaceDN w:val="0"/>
        <w:spacing w:line="360" w:lineRule="auto"/>
        <w:ind w:firstLineChars="200" w:firstLine="480"/>
        <w:textAlignment w:val="bottom"/>
        <w:outlineLvl w:val="0"/>
        <w:rPr>
          <w:rFonts w:ascii="宋体" w:hAnsi="宋体"/>
          <w:color w:val="000000"/>
          <w:kern w:val="0"/>
          <w:sz w:val="24"/>
        </w:rPr>
      </w:pPr>
      <w:proofErr w:type="gramStart"/>
      <w:r>
        <w:rPr>
          <w:rFonts w:ascii="宋体" w:hAnsi="宋体" w:hint="eastAsia"/>
          <w:color w:val="000000"/>
          <w:kern w:val="0"/>
          <w:sz w:val="24"/>
        </w:rPr>
        <w:t>若基金</w:t>
      </w:r>
      <w:proofErr w:type="gramEnd"/>
      <w:r>
        <w:rPr>
          <w:rFonts w:ascii="宋体" w:hAnsi="宋体" w:hint="eastAsia"/>
          <w:color w:val="000000"/>
          <w:kern w:val="0"/>
          <w:sz w:val="24"/>
        </w:rPr>
        <w:t>募集期限届满，未能达到基金备案的条件，由基金管理人按规定办理相关资金退还等事宜，</w:t>
      </w:r>
      <w:r>
        <w:rPr>
          <w:rFonts w:ascii="宋体" w:hAnsi="宋体" w:hint="eastAsia"/>
          <w:kern w:val="0"/>
          <w:sz w:val="24"/>
        </w:rPr>
        <w:t>基金托管人应提供充分协助</w:t>
      </w:r>
      <w:r>
        <w:rPr>
          <w:rFonts w:ascii="宋体" w:hAnsi="宋体" w:hint="eastAsia"/>
          <w:color w:val="000000"/>
          <w:kern w:val="0"/>
          <w:sz w:val="24"/>
        </w:rPr>
        <w:t>。</w:t>
      </w:r>
      <w:bookmarkStart w:id="38" w:name="_Toc77663000"/>
      <w:bookmarkStart w:id="39" w:name="_Toc37159176"/>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（三）基金的银行存款账户的开立和管理</w:t>
      </w:r>
      <w:bookmarkEnd w:id="38"/>
      <w:bookmarkEnd w:id="39"/>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1、基金托管人应负责本基金银行存款账户（即托管账户）的开立和管理。</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2、基金托管人在</w:t>
      </w:r>
      <w:r>
        <w:rPr>
          <w:rFonts w:ascii="宋体" w:hAnsi="宋体" w:hint="eastAsia"/>
          <w:kern w:val="0"/>
          <w:sz w:val="24"/>
        </w:rPr>
        <w:t>具有证券投资基金托管资格的</w:t>
      </w:r>
      <w:r>
        <w:rPr>
          <w:rFonts w:ascii="宋体" w:hAnsi="宋体" w:hint="eastAsia"/>
          <w:color w:val="000000"/>
          <w:kern w:val="0"/>
          <w:sz w:val="24"/>
        </w:rPr>
        <w:t>商业银行开立基金的银行存款账户，并根据中国人民银行规定计息，根据基金管理人合法合</w:t>
      </w:r>
      <w:proofErr w:type="gramStart"/>
      <w:r>
        <w:rPr>
          <w:rFonts w:ascii="宋体" w:hAnsi="宋体" w:hint="eastAsia"/>
          <w:color w:val="000000"/>
          <w:kern w:val="0"/>
          <w:sz w:val="24"/>
        </w:rPr>
        <w:t>规</w:t>
      </w:r>
      <w:proofErr w:type="gramEnd"/>
      <w:r>
        <w:rPr>
          <w:rFonts w:ascii="宋体" w:hAnsi="宋体" w:hint="eastAsia"/>
          <w:color w:val="000000"/>
          <w:kern w:val="0"/>
          <w:sz w:val="24"/>
        </w:rPr>
        <w:t>的指令办理资金收付。本基金的银行预留印鉴由基金托管</w:t>
      </w:r>
      <w:proofErr w:type="gramStart"/>
      <w:r>
        <w:rPr>
          <w:rFonts w:ascii="宋体" w:hAnsi="宋体" w:hint="eastAsia"/>
          <w:color w:val="000000"/>
          <w:kern w:val="0"/>
          <w:sz w:val="24"/>
        </w:rPr>
        <w:t>人制</w:t>
      </w:r>
      <w:proofErr w:type="gramEnd"/>
      <w:r>
        <w:rPr>
          <w:rFonts w:ascii="宋体" w:hAnsi="宋体" w:hint="eastAsia"/>
          <w:color w:val="000000"/>
          <w:kern w:val="0"/>
          <w:sz w:val="24"/>
        </w:rPr>
        <w:t>作、保管和使用。本基金的一切货币收支活动，包括但不限于投资、支付赎回对价的现金部分、支付基金收益、收取申购款项，均需通过本基金的银行存款账户进行。</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rsidR="00D06337" w:rsidRDefault="00F0626B">
      <w:pPr>
        <w:tabs>
          <w:tab w:val="left" w:pos="1260"/>
        </w:tabs>
        <w:spacing w:line="360" w:lineRule="auto"/>
        <w:ind w:firstLineChars="200" w:firstLine="480"/>
        <w:rPr>
          <w:rFonts w:ascii="宋体" w:hAnsi="宋体"/>
          <w:color w:val="000000"/>
          <w:kern w:val="0"/>
          <w:sz w:val="24"/>
        </w:rPr>
      </w:pPr>
      <w:bookmarkStart w:id="40" w:name="_Hlk180590434"/>
      <w:r>
        <w:rPr>
          <w:rFonts w:ascii="宋体" w:hAnsi="宋体" w:hint="eastAsia"/>
          <w:color w:val="000000"/>
          <w:kern w:val="0"/>
          <w:sz w:val="24"/>
        </w:rPr>
        <w:t>4、基金托管人可以通过本基金银行存款账户的企业网上银行（简称“网银”）等方式进行资金支付，并</w:t>
      </w:r>
      <w:proofErr w:type="gramStart"/>
      <w:r>
        <w:rPr>
          <w:rFonts w:ascii="宋体" w:hAnsi="宋体" w:hint="eastAsia"/>
          <w:color w:val="000000"/>
          <w:kern w:val="0"/>
          <w:sz w:val="24"/>
        </w:rPr>
        <w:t>使用网银等</w:t>
      </w:r>
      <w:proofErr w:type="gramEnd"/>
      <w:r>
        <w:rPr>
          <w:rFonts w:ascii="宋体" w:hAnsi="宋体" w:hint="eastAsia"/>
          <w:color w:val="000000"/>
          <w:kern w:val="0"/>
          <w:sz w:val="24"/>
        </w:rPr>
        <w:t>方式办理托管资产的资金结算汇划业务。</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5、基金银行存款账户的管理应符合法律、法规以及银行业监督管理机构的其他规定。</w:t>
      </w:r>
      <w:bookmarkStart w:id="41" w:name="_Toc77663001"/>
      <w:bookmarkStart w:id="42" w:name="_Toc37159177"/>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（四）基金的证券账户和</w:t>
      </w:r>
      <w:r>
        <w:rPr>
          <w:rFonts w:ascii="宋体" w:hAnsi="宋体" w:hint="eastAsia"/>
          <w:b/>
          <w:color w:val="000000"/>
          <w:kern w:val="0"/>
          <w:sz w:val="24"/>
        </w:rPr>
        <w:t>证券交易资金账户</w:t>
      </w:r>
      <w:r>
        <w:rPr>
          <w:rFonts w:ascii="宋体" w:hAnsi="宋体" w:hint="eastAsia"/>
          <w:b/>
          <w:bCs/>
          <w:color w:val="000000"/>
          <w:sz w:val="24"/>
        </w:rPr>
        <w:t>的开立和管理</w:t>
      </w:r>
      <w:bookmarkEnd w:id="40"/>
      <w:bookmarkEnd w:id="41"/>
      <w:bookmarkEnd w:id="42"/>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基金托管人为本基金在中国证券登记结算有限责任公司（以下简称“中登公司”）开立证券账户。</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bookmarkStart w:id="43" w:name="_Toc37159179"/>
      <w:bookmarkStart w:id="44" w:name="_Toc77663003"/>
    </w:p>
    <w:p w:rsidR="00D06337" w:rsidRDefault="00F0626B">
      <w:pPr>
        <w:tabs>
          <w:tab w:val="left" w:pos="3780"/>
        </w:tabs>
        <w:autoSpaceDE w:val="0"/>
        <w:autoSpaceDN w:val="0"/>
        <w:spacing w:line="360" w:lineRule="auto"/>
        <w:ind w:firstLineChars="200" w:firstLine="480"/>
        <w:textAlignment w:val="bottom"/>
        <w:outlineLvl w:val="0"/>
        <w:rPr>
          <w:rFonts w:ascii="宋体" w:hAnsi="宋体"/>
          <w:color w:val="000000"/>
          <w:kern w:val="0"/>
          <w:sz w:val="24"/>
        </w:rPr>
      </w:pPr>
      <w:r>
        <w:rPr>
          <w:rFonts w:ascii="宋体" w:hAnsi="宋体" w:hint="eastAsia"/>
          <w:color w:val="000000"/>
          <w:kern w:val="0"/>
          <w:sz w:val="24"/>
        </w:rPr>
        <w:t>基金管理人为基金财产在证券经纪机构开立证券交易资金账户，用于基金财产证券交易结算资金的存管、记载交易结算资金的变动明细以及场内证券交易清算。基金托管人和基金管理人不得出借或转让证券账户、证券交易资金账</w:t>
      </w:r>
      <w:r>
        <w:rPr>
          <w:rFonts w:ascii="宋体" w:hAnsi="宋体" w:hint="eastAsia"/>
          <w:color w:val="000000"/>
          <w:kern w:val="0"/>
          <w:sz w:val="24"/>
        </w:rPr>
        <w:lastRenderedPageBreak/>
        <w:t>户，亦不得使用证券账户或证券交易资金账户进行本基金业务以外的活动。</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（五）债券托管账户的开立和管理</w:t>
      </w:r>
    </w:p>
    <w:p w:rsidR="00D06337" w:rsidRDefault="00F0626B">
      <w:pPr>
        <w:tabs>
          <w:tab w:val="left" w:pos="1260"/>
        </w:tabs>
        <w:spacing w:line="360" w:lineRule="auto"/>
        <w:ind w:firstLineChars="200" w:firstLine="480"/>
        <w:rPr>
          <w:rFonts w:ascii="宋体" w:hAnsi="宋体"/>
          <w:color w:val="000000"/>
          <w:kern w:val="0"/>
          <w:sz w:val="24"/>
          <w:szCs w:val="21"/>
        </w:rPr>
      </w:pPr>
      <w:r>
        <w:rPr>
          <w:rFonts w:ascii="宋体" w:hAnsi="宋体" w:hint="eastAsia"/>
          <w:color w:val="000000"/>
          <w:kern w:val="0"/>
          <w:sz w:val="24"/>
        </w:rPr>
        <w:t>基金合同生效后，基金托管人负责在中央国债登记结算有限责任公司及</w:t>
      </w:r>
      <w:r>
        <w:rPr>
          <w:rFonts w:ascii="宋体" w:hAnsi="宋体"/>
          <w:color w:val="000000"/>
          <w:kern w:val="0"/>
          <w:sz w:val="24"/>
        </w:rPr>
        <w:t>银行间市场清算所股份有限公司</w:t>
      </w:r>
      <w:r>
        <w:rPr>
          <w:rFonts w:ascii="宋体" w:hAnsi="宋体" w:hint="eastAsia"/>
          <w:color w:val="000000"/>
          <w:kern w:val="0"/>
          <w:sz w:val="24"/>
        </w:rPr>
        <w:t>以本基金的名义开立债券托管账户</w:t>
      </w:r>
      <w:bookmarkStart w:id="45" w:name="_Hlk180590467"/>
      <w:r>
        <w:rPr>
          <w:rFonts w:ascii="宋体" w:hAnsi="宋体" w:hint="eastAsia"/>
          <w:color w:val="000000"/>
          <w:kern w:val="0"/>
          <w:sz w:val="24"/>
        </w:rPr>
        <w:t>和资金结算账户</w:t>
      </w:r>
      <w:bookmarkEnd w:id="45"/>
      <w:r>
        <w:rPr>
          <w:rFonts w:ascii="宋体" w:hAnsi="宋体" w:hint="eastAsia"/>
          <w:color w:val="000000"/>
          <w:kern w:val="0"/>
          <w:sz w:val="24"/>
        </w:rPr>
        <w:t>，并由基金托管人负责基金的债券及资金的清算。</w:t>
      </w:r>
      <w:r>
        <w:rPr>
          <w:rFonts w:ascii="宋体" w:hAnsi="宋体" w:hint="eastAsia"/>
          <w:color w:val="000000"/>
          <w:kern w:val="0"/>
          <w:sz w:val="24"/>
          <w:szCs w:val="21"/>
        </w:rPr>
        <w:t>基金管理人代表基金签订全国银行间债券市场债券回购主协议。</w:t>
      </w:r>
    </w:p>
    <w:p w:rsidR="00D06337" w:rsidRDefault="00F0626B">
      <w:pPr>
        <w:tabs>
          <w:tab w:val="left" w:pos="1260"/>
        </w:tabs>
        <w:spacing w:line="360" w:lineRule="auto"/>
        <w:ind w:firstLineChars="200" w:firstLine="482"/>
        <w:rPr>
          <w:rFonts w:ascii="宋体" w:hAnsi="宋体"/>
          <w:b/>
          <w:bCs/>
          <w:sz w:val="24"/>
        </w:rPr>
      </w:pPr>
      <w:bookmarkStart w:id="46" w:name="_Hlk180590479"/>
      <w:r>
        <w:rPr>
          <w:rFonts w:ascii="宋体" w:hAnsi="宋体" w:hint="eastAsia"/>
          <w:b/>
          <w:color w:val="000000"/>
          <w:kern w:val="0"/>
          <w:sz w:val="24"/>
        </w:rPr>
        <w:t>（六</w:t>
      </w:r>
      <w:r>
        <w:rPr>
          <w:rFonts w:ascii="宋体" w:hAnsi="宋体" w:hint="eastAsia"/>
          <w:b/>
          <w:color w:val="000000"/>
          <w:kern w:val="0"/>
          <w:sz w:val="24"/>
          <w:szCs w:val="21"/>
        </w:rPr>
        <w:t>）</w:t>
      </w:r>
      <w:r>
        <w:rPr>
          <w:rFonts w:ascii="宋体" w:hAnsi="宋体" w:hint="eastAsia"/>
          <w:b/>
          <w:bCs/>
          <w:sz w:val="24"/>
        </w:rPr>
        <w:t>期货的相关账户的开立和管理</w:t>
      </w:r>
    </w:p>
    <w:p w:rsidR="00D06337" w:rsidRDefault="00F0626B">
      <w:pPr>
        <w:tabs>
          <w:tab w:val="left" w:pos="1260"/>
        </w:tabs>
        <w:spacing w:line="360" w:lineRule="auto"/>
        <w:ind w:firstLineChars="200" w:firstLine="480"/>
        <w:rPr>
          <w:rFonts w:ascii="宋体"/>
          <w:color w:val="000000"/>
          <w:kern w:val="0"/>
          <w:sz w:val="24"/>
        </w:rPr>
      </w:pPr>
      <w:r>
        <w:rPr>
          <w:rFonts w:ascii="宋体" w:hint="eastAsia"/>
          <w:kern w:val="0"/>
          <w:sz w:val="24"/>
        </w:rPr>
        <w:t>基金管理人应当按照相关规定开立期货账户及交易编码。期货账户名称及交易编码对应名称应按照有关规定设立。基金托管人和基金管理人应当在开户过程中相互配合，并提供所需资料。</w:t>
      </w:r>
    </w:p>
    <w:p w:rsidR="00D06337" w:rsidRDefault="00F0626B">
      <w:pPr>
        <w:tabs>
          <w:tab w:val="left" w:pos="3780"/>
        </w:tabs>
        <w:autoSpaceDE w:val="0"/>
        <w:autoSpaceDN w:val="0"/>
        <w:spacing w:beforeLines="50" w:before="156" w:afterLines="50" w:after="156" w:line="360" w:lineRule="auto"/>
        <w:ind w:firstLine="482"/>
        <w:textAlignment w:val="bottom"/>
        <w:outlineLvl w:val="0"/>
        <w:rPr>
          <w:rFonts w:ascii="宋体" w:hAnsi="宋体"/>
          <w:b/>
          <w:bCs/>
          <w:sz w:val="24"/>
        </w:rPr>
      </w:pPr>
      <w:r>
        <w:rPr>
          <w:rFonts w:ascii="宋体" w:hAnsi="宋体" w:hint="eastAsia"/>
          <w:b/>
          <w:bCs/>
          <w:color w:val="000000"/>
          <w:sz w:val="24"/>
        </w:rPr>
        <w:t>（七）</w:t>
      </w:r>
      <w:r>
        <w:rPr>
          <w:rFonts w:ascii="宋体" w:hAnsi="宋体" w:hint="eastAsia"/>
          <w:b/>
          <w:bCs/>
          <w:sz w:val="24"/>
        </w:rPr>
        <w:t>基金投资银行存款账户的开立和管理</w:t>
      </w:r>
    </w:p>
    <w:p w:rsidR="00D06337" w:rsidRDefault="00F0626B">
      <w:pPr>
        <w:tabs>
          <w:tab w:val="left" w:pos="1260"/>
        </w:tabs>
        <w:spacing w:line="360" w:lineRule="auto"/>
        <w:ind w:firstLineChars="200" w:firstLine="480"/>
        <w:rPr>
          <w:rFonts w:ascii="宋体"/>
          <w:kern w:val="0"/>
          <w:sz w:val="24"/>
        </w:rPr>
      </w:pPr>
      <w:r>
        <w:rPr>
          <w:rFonts w:ascii="宋体" w:hint="eastAsia"/>
          <w:kern w:val="0"/>
          <w:sz w:val="24"/>
        </w:rPr>
        <w:t>存款账户名称应</w:t>
      </w:r>
      <w:r>
        <w:rPr>
          <w:rFonts w:ascii="宋体"/>
          <w:kern w:val="0"/>
          <w:sz w:val="24"/>
        </w:rPr>
        <w:t>为</w:t>
      </w:r>
      <w:r>
        <w:rPr>
          <w:rFonts w:ascii="宋体" w:hint="eastAsia"/>
          <w:kern w:val="0"/>
          <w:sz w:val="24"/>
        </w:rPr>
        <w:t>基金名称（具体名称以实际开立为准），存款账户开户文件中的预留印鉴须包含基金托管人印章。</w:t>
      </w:r>
    </w:p>
    <w:p w:rsidR="00D06337" w:rsidRDefault="00F0626B">
      <w:pPr>
        <w:tabs>
          <w:tab w:val="left" w:pos="1260"/>
        </w:tabs>
        <w:spacing w:line="360" w:lineRule="auto"/>
        <w:ind w:firstLineChars="200" w:firstLine="480"/>
        <w:rPr>
          <w:rFonts w:ascii="宋体"/>
          <w:kern w:val="0"/>
          <w:sz w:val="24"/>
        </w:rPr>
      </w:pPr>
      <w:r>
        <w:rPr>
          <w:rFonts w:ascii="宋体" w:hint="eastAsia"/>
          <w:kern w:val="0"/>
          <w:sz w:val="24"/>
        </w:rPr>
        <w:t>本基金投资银行存款时，基金管理人应当与存款银行签订具体存款协议或存款确认单据，明确存款的类型、期限、利率、金额、账号、对账方式、支取方式、存款到期指定收款账户等细则。</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int="eastAsia"/>
          <w:kern w:val="0"/>
          <w:sz w:val="24"/>
        </w:rPr>
        <w:t>为防范特殊情况下的流动性风险，定期存款协议中应当约定提前支取条款。</w:t>
      </w:r>
      <w:bookmarkEnd w:id="46"/>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（八）其他账户的开立和管理</w:t>
      </w:r>
    </w:p>
    <w:p w:rsidR="00D06337" w:rsidRDefault="00F0626B">
      <w:pPr>
        <w:pStyle w:val="21"/>
        <w:rPr>
          <w:color w:val="000000"/>
        </w:rPr>
      </w:pPr>
      <w:bookmarkStart w:id="47" w:name="_Hlk180592403"/>
      <w:r>
        <w:rPr>
          <w:rFonts w:hint="eastAsia"/>
          <w:color w:val="000000"/>
        </w:rPr>
        <w:t>若中国证监会或其他监管机构在本托管协议订立日之后允许基金从事其他投资品种的投资业务，涉及相关账户的开立、使用的，根据有关法律、法规的规定和《基金合同》的约定，基金管理与基金托管人协商后开立有关账户。该账户按有关规则使用并管理。</w:t>
      </w:r>
      <w:bookmarkEnd w:id="47"/>
    </w:p>
    <w:p w:rsidR="00D06337" w:rsidRDefault="00F0626B">
      <w:pPr>
        <w:pStyle w:val="21"/>
        <w:rPr>
          <w:color w:val="000000"/>
        </w:rPr>
      </w:pPr>
      <w:r>
        <w:rPr>
          <w:rFonts w:hint="eastAsia"/>
          <w:color w:val="000000"/>
        </w:rPr>
        <w:t>法律法规等</w:t>
      </w:r>
      <w:r>
        <w:rPr>
          <w:color w:val="000000"/>
        </w:rPr>
        <w:t>有关规定对相关账户的开立和管理另</w:t>
      </w:r>
      <w:r>
        <w:rPr>
          <w:rFonts w:hint="eastAsia"/>
          <w:color w:val="000000"/>
        </w:rPr>
        <w:t>有</w:t>
      </w:r>
      <w:r>
        <w:rPr>
          <w:color w:val="000000"/>
        </w:rPr>
        <w:t>规定的，从其规定办理。</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（九）基金财产投资的有关实物证券、银行存款定期存单等有价凭证的保管</w:t>
      </w:r>
      <w:bookmarkEnd w:id="43"/>
      <w:bookmarkEnd w:id="44"/>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实物证券由基金托管人存放于基金托管人或其他基金管理人与基金托管人协商一致的第三方机构的保管库，保管凭证由基金托管人持有。实物证券的购买和转让，由基金托管人根据基金管理人的指令办理。属于基金托管人实际有效控制下的实物证券等有价凭证在基金托管人保管期间的损坏、灭失，由此产</w:t>
      </w:r>
      <w:r>
        <w:rPr>
          <w:rFonts w:ascii="宋体" w:hAnsi="宋体" w:hint="eastAsia"/>
          <w:color w:val="000000"/>
          <w:kern w:val="0"/>
          <w:sz w:val="24"/>
        </w:rPr>
        <w:lastRenderedPageBreak/>
        <w:t>生的责任应由基金托管人承担。基金托管人对由基金托管人以外机构实际有效控制的本基金资产不承担保管责任。</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银行存款定期存单等有价凭证由基金托管人负责保管。</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48" w:name="_Toc77663004"/>
      <w:bookmarkStart w:id="49" w:name="_Toc37159180"/>
      <w:r>
        <w:rPr>
          <w:rFonts w:ascii="宋体" w:hAnsi="宋体" w:hint="eastAsia"/>
          <w:b/>
          <w:bCs/>
          <w:color w:val="000000"/>
          <w:sz w:val="24"/>
        </w:rPr>
        <w:t>（十）与基金财产有关的重大合同的保管</w:t>
      </w:r>
      <w:bookmarkEnd w:id="48"/>
      <w:bookmarkEnd w:id="49"/>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由基金管理人代表基金签署的与基金有关的重大合同的原件分别由基金托管人、基金管理人保管，相关业务程序另有限制除外。除本协议另有规定外，基金管理人在代表基金签署与基金有关的重大合同时应尽可能保证基金一方持有二份及以上的正本，以便基金管理人和基金托管人至少各持有一份正本的原件，基金管理人在合同签署后15个工作日内通过专人送达、挂号邮寄等安全方式将合同原件送达基金托管人处。合同的保管期限不低于</w:t>
      </w:r>
      <w:r>
        <w:rPr>
          <w:rFonts w:ascii="宋体" w:hAnsi="宋体"/>
          <w:color w:val="000000"/>
          <w:kern w:val="0"/>
          <w:sz w:val="24"/>
        </w:rPr>
        <w:t>法律法规规定的</w:t>
      </w:r>
      <w:r>
        <w:rPr>
          <w:rFonts w:ascii="宋体" w:hAnsi="宋体" w:hint="eastAsia"/>
          <w:color w:val="000000"/>
          <w:kern w:val="0"/>
          <w:sz w:val="24"/>
        </w:rPr>
        <w:t>最低年限。</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对于无法取得二份以上的正本的，基金管理人应向基金托管人提供合同复印件，并在复印件上加盖公章，未经双方协商或未在合同约定范围内，合同原件不得转移。</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因基金管理人未按本协议约定及时向基金托管人送达重大合同原件或复印件导致的法律责任，基金托管人不予承担。</w:t>
      </w:r>
    </w:p>
    <w:p w:rsidR="00D06337" w:rsidRDefault="00D06337">
      <w:pPr>
        <w:tabs>
          <w:tab w:val="left" w:pos="1260"/>
        </w:tabs>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50" w:name="_Toc125892442"/>
      <w:bookmarkStart w:id="51" w:name="_Toc466788855"/>
      <w:bookmarkStart w:id="52" w:name="_Toc508720684"/>
      <w:bookmarkStart w:id="53" w:name="_Toc523829996"/>
      <w:r>
        <w:rPr>
          <w:rFonts w:hint="eastAsia"/>
        </w:rPr>
        <w:t>六、指令的发送、确认和执行</w:t>
      </w:r>
      <w:bookmarkEnd w:id="50"/>
      <w:bookmarkEnd w:id="51"/>
      <w:bookmarkEnd w:id="52"/>
      <w:bookmarkEnd w:id="53"/>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54" w:name="_Toc77663006"/>
      <w:r>
        <w:rPr>
          <w:rFonts w:ascii="宋体" w:hAnsi="宋体" w:hint="eastAsia"/>
          <w:b/>
          <w:bCs/>
          <w:color w:val="000000"/>
          <w:sz w:val="24"/>
        </w:rPr>
        <w:t>（一）基金管理人对发送指令人员的书面授权</w:t>
      </w:r>
      <w:bookmarkEnd w:id="54"/>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向基金托管人提供预留印鉴和授权人签章样本，事先书面通知（以下简称“授权通知”）基金托管人有权发送指令的人员名单，注明相应的交易权限，并规定基金管理人向基金托管人发送指令时基金托管人确认有权发送人员（以下简称“被授权人”）身份的方法。</w:t>
      </w:r>
      <w:r>
        <w:rPr>
          <w:rFonts w:ascii="宋体" w:hAnsi="宋体" w:hint="eastAsia"/>
          <w:sz w:val="24"/>
        </w:rPr>
        <w:t>基金管理人应通过邮件或双方认可的其他形式向基金托管人发出加盖公章的授权通知扫描件。基金管理人应在此后三个工作日内将授权通知的正本送交基金托管人。</w:t>
      </w:r>
      <w:r>
        <w:rPr>
          <w:rFonts w:ascii="宋体" w:hAnsi="宋体" w:hint="eastAsia"/>
          <w:kern w:val="0"/>
          <w:sz w:val="24"/>
        </w:rPr>
        <w:t>扫描件如与正本不一致，基金托管人以扫描件为准并及时通知基金管理人。</w:t>
      </w:r>
      <w:r>
        <w:rPr>
          <w:rFonts w:ascii="宋体" w:hAnsi="宋体" w:hint="eastAsia"/>
          <w:color w:val="000000"/>
          <w:kern w:val="0"/>
          <w:sz w:val="24"/>
        </w:rPr>
        <w:t>基金管理人和基金托管人对授权通知负有保密义务，其内容不得向授权人及相关操作人员以外的任何人泄露，但法律法规规定或有权机关要求的除外。</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55" w:name="_Toc77663007"/>
      <w:r>
        <w:rPr>
          <w:rFonts w:ascii="宋体" w:hAnsi="宋体" w:hint="eastAsia"/>
          <w:b/>
          <w:bCs/>
          <w:color w:val="000000"/>
          <w:sz w:val="24"/>
        </w:rPr>
        <w:t>（二）指令的内容</w:t>
      </w:r>
      <w:bookmarkEnd w:id="55"/>
    </w:p>
    <w:p w:rsidR="00D06337" w:rsidRDefault="00F0626B">
      <w:pPr>
        <w:tabs>
          <w:tab w:val="left" w:pos="1260"/>
        </w:tabs>
        <w:spacing w:line="360" w:lineRule="auto"/>
        <w:ind w:firstLineChars="200" w:firstLine="480"/>
        <w:rPr>
          <w:rFonts w:ascii="宋体" w:hAnsi="宋体"/>
          <w:color w:val="000000"/>
          <w:kern w:val="0"/>
          <w:sz w:val="24"/>
        </w:rPr>
      </w:pPr>
      <w:bookmarkStart w:id="56" w:name="_Hlk180592471"/>
      <w:r>
        <w:rPr>
          <w:rFonts w:ascii="宋体" w:hAnsi="宋体" w:hint="eastAsia"/>
          <w:color w:val="000000"/>
          <w:kern w:val="0"/>
          <w:sz w:val="24"/>
        </w:rPr>
        <w:lastRenderedPageBreak/>
        <w:t>指令是基金管理人在运用基金资产时，向基金托管人发出的资金划拨及其他款项收付的指令。</w:t>
      </w:r>
      <w:bookmarkStart w:id="57" w:name="_Toc77663008"/>
      <w:r>
        <w:rPr>
          <w:rFonts w:ascii="宋体" w:hAnsi="宋体" w:hint="eastAsia"/>
          <w:color w:val="000000"/>
          <w:kern w:val="0"/>
          <w:sz w:val="24"/>
        </w:rPr>
        <w:t>指令应写明款项事由、支付时间、金额、账户等执行支付所需内容，加盖预留印鉴。</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cs="宋体"/>
          <w:sz w:val="24"/>
        </w:rPr>
        <w:t>基金托管人</w:t>
      </w:r>
      <w:r>
        <w:rPr>
          <w:rFonts w:ascii="宋体" w:hAnsi="宋体" w:cs="宋体" w:hint="eastAsia"/>
          <w:sz w:val="24"/>
        </w:rPr>
        <w:t>根据基金管理人的授权，</w:t>
      </w:r>
      <w:r>
        <w:rPr>
          <w:rFonts w:ascii="宋体" w:hAnsi="宋体" w:cs="宋体"/>
          <w:sz w:val="24"/>
        </w:rPr>
        <w:t>基于双方协商一致所设定的业务规则、登记结算机构数据等形成的指令</w:t>
      </w:r>
      <w:r>
        <w:rPr>
          <w:rFonts w:ascii="宋体" w:hAnsi="宋体" w:cs="宋体" w:hint="eastAsia"/>
          <w:sz w:val="24"/>
        </w:rPr>
        <w:t>，</w:t>
      </w:r>
      <w:r>
        <w:rPr>
          <w:rFonts w:ascii="宋体" w:hAnsi="宋体" w:hint="eastAsia"/>
          <w:color w:val="000000"/>
          <w:sz w:val="24"/>
        </w:rPr>
        <w:t>也视为基金管理人向基金托管人发出的有效指令，无须基金管理人向基金托管人另行出具指令</w:t>
      </w:r>
      <w:r>
        <w:rPr>
          <w:rFonts w:ascii="宋体" w:hAnsi="宋体" w:cs="宋体" w:hint="eastAsia"/>
          <w:sz w:val="24"/>
        </w:rPr>
        <w:t>。</w:t>
      </w:r>
      <w:r>
        <w:rPr>
          <w:rFonts w:ascii="宋体" w:hAnsi="宋体" w:cs="宋体"/>
          <w:sz w:val="24"/>
        </w:rPr>
        <w:t>具体适用条件、确认和执行等相关要求均由双方根据业务需要另行协商确定。</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sz w:val="24"/>
        </w:rPr>
        <w:t>本基金银行存款账户发生的银行结算费用等银行费用，由基金资产承担。</w:t>
      </w:r>
      <w:bookmarkEnd w:id="56"/>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（三）指令的发送、确认和执行</w:t>
      </w:r>
      <w:bookmarkEnd w:id="57"/>
      <w:r>
        <w:rPr>
          <w:rFonts w:ascii="宋体" w:hAnsi="宋体" w:hint="eastAsia"/>
          <w:b/>
          <w:bCs/>
          <w:color w:val="000000"/>
          <w:sz w:val="24"/>
        </w:rPr>
        <w:t>的时间和程序</w:t>
      </w:r>
    </w:p>
    <w:p w:rsidR="00D06337" w:rsidRDefault="00F0626B">
      <w:pPr>
        <w:tabs>
          <w:tab w:val="left" w:pos="1260"/>
        </w:tabs>
        <w:spacing w:line="360" w:lineRule="auto"/>
        <w:ind w:firstLineChars="200" w:firstLine="480"/>
        <w:rPr>
          <w:rFonts w:ascii="宋体" w:hAnsi="宋体" w:cs="Arial"/>
          <w:color w:val="000000"/>
          <w:sz w:val="24"/>
        </w:rPr>
      </w:pPr>
      <w:r>
        <w:rPr>
          <w:rFonts w:ascii="宋体" w:hAnsi="宋体" w:hint="eastAsia"/>
          <w:color w:val="000000"/>
          <w:kern w:val="0"/>
          <w:sz w:val="24"/>
        </w:rPr>
        <w:t>基金管理人应按照《基金法》及其他有关法规、《基金合同》和本协议的规定，在其合法的经营权限和交易权限内发送指令，被授权人应按照其授权权限发送指令。指令由基金管理人通过基金托管</w:t>
      </w:r>
      <w:r>
        <w:rPr>
          <w:rFonts w:ascii="宋体" w:hAnsi="宋体"/>
          <w:color w:val="000000"/>
          <w:kern w:val="0"/>
          <w:sz w:val="24"/>
        </w:rPr>
        <w:t>人</w:t>
      </w:r>
      <w:r>
        <w:rPr>
          <w:rFonts w:ascii="宋体" w:hAnsi="宋体" w:hint="eastAsia"/>
          <w:color w:val="000000"/>
          <w:kern w:val="0"/>
          <w:sz w:val="24"/>
        </w:rPr>
        <w:t>电子平台提交，若特殊情况下需“授权通知”确定的被授权人代表基金管理人用邮件的方式向基金托管人发送。发送后基金管理人</w:t>
      </w:r>
      <w:r>
        <w:rPr>
          <w:rFonts w:ascii="宋体" w:hAnsi="宋体" w:hint="eastAsia"/>
          <w:color w:val="000000"/>
          <w:sz w:val="24"/>
        </w:rPr>
        <w:t>需</w:t>
      </w:r>
      <w:r>
        <w:rPr>
          <w:rFonts w:ascii="宋体" w:hAnsi="宋体" w:hint="eastAsia"/>
          <w:color w:val="000000"/>
          <w:kern w:val="0"/>
          <w:sz w:val="24"/>
        </w:rPr>
        <w:t>及时通过电话或者双方约定一致的方式与基金托管人确认指令内容。除需考虑资金在途时间外，基金管理人还需为基金托管人留有</w:t>
      </w:r>
      <w:r>
        <w:rPr>
          <w:rFonts w:ascii="宋体" w:hAnsi="宋体"/>
          <w:color w:val="000000"/>
          <w:kern w:val="0"/>
          <w:sz w:val="24"/>
        </w:rPr>
        <w:t>2</w:t>
      </w:r>
      <w:r>
        <w:rPr>
          <w:rFonts w:ascii="宋体" w:hAnsi="宋体" w:hint="eastAsia"/>
          <w:color w:val="000000"/>
          <w:kern w:val="0"/>
          <w:sz w:val="24"/>
        </w:rPr>
        <w:t>个工作小时的复核和审批时间。在每个交易日的</w:t>
      </w:r>
      <w:r>
        <w:rPr>
          <w:rFonts w:ascii="宋体" w:hAnsi="宋体"/>
          <w:color w:val="000000"/>
          <w:kern w:val="0"/>
          <w:sz w:val="24"/>
        </w:rPr>
        <w:t>13</w:t>
      </w:r>
      <w:r>
        <w:rPr>
          <w:rFonts w:ascii="宋体" w:hAnsi="宋体" w:hint="eastAsia"/>
          <w:color w:val="000000"/>
          <w:kern w:val="0"/>
          <w:sz w:val="24"/>
        </w:rPr>
        <w:t>：</w:t>
      </w:r>
      <w:r>
        <w:rPr>
          <w:rFonts w:ascii="宋体" w:hAnsi="宋体"/>
          <w:color w:val="000000"/>
          <w:kern w:val="0"/>
          <w:sz w:val="24"/>
        </w:rPr>
        <w:t>30</w:t>
      </w:r>
      <w:r>
        <w:rPr>
          <w:rFonts w:ascii="宋体" w:hAnsi="宋体" w:hint="eastAsia"/>
          <w:color w:val="000000"/>
          <w:kern w:val="0"/>
          <w:sz w:val="24"/>
        </w:rPr>
        <w:t>以后接收基金管理人发出的场内交易转账划款指令的，基金托管人</w:t>
      </w:r>
      <w:r>
        <w:rPr>
          <w:rFonts w:ascii="宋体" w:hAnsi="宋体" w:hint="eastAsia"/>
          <w:kern w:val="0"/>
          <w:sz w:val="24"/>
        </w:rPr>
        <w:t>应尽力配合，但</w:t>
      </w:r>
      <w:r>
        <w:rPr>
          <w:rFonts w:ascii="宋体" w:hAnsi="宋体" w:hint="eastAsia"/>
          <w:color w:val="000000"/>
          <w:kern w:val="0"/>
          <w:sz w:val="24"/>
        </w:rPr>
        <w:t>不保证当日完成划转流程；在每个交易日的</w:t>
      </w:r>
      <w:r>
        <w:rPr>
          <w:rFonts w:ascii="宋体" w:hAnsi="宋体"/>
          <w:color w:val="000000"/>
          <w:kern w:val="0"/>
          <w:sz w:val="24"/>
        </w:rPr>
        <w:t>15</w:t>
      </w:r>
      <w:r>
        <w:rPr>
          <w:rFonts w:ascii="宋体" w:hAnsi="宋体" w:hint="eastAsia"/>
          <w:color w:val="000000"/>
          <w:kern w:val="0"/>
          <w:sz w:val="24"/>
        </w:rPr>
        <w:t>：</w:t>
      </w:r>
      <w:r>
        <w:rPr>
          <w:rFonts w:ascii="宋体" w:hAnsi="宋体"/>
          <w:color w:val="000000"/>
          <w:kern w:val="0"/>
          <w:sz w:val="24"/>
        </w:rPr>
        <w:t>00</w:t>
      </w:r>
      <w:r>
        <w:rPr>
          <w:rFonts w:ascii="宋体" w:hAnsi="宋体" w:hint="eastAsia"/>
          <w:color w:val="000000"/>
          <w:kern w:val="0"/>
          <w:sz w:val="24"/>
        </w:rPr>
        <w:t>以后接收基金管理人发出的其他划款指令的，基金托管人</w:t>
      </w:r>
      <w:r>
        <w:rPr>
          <w:rFonts w:ascii="宋体" w:hAnsi="宋体" w:hint="eastAsia"/>
          <w:kern w:val="0"/>
          <w:sz w:val="24"/>
        </w:rPr>
        <w:t>应尽力配合，但</w:t>
      </w:r>
      <w:r>
        <w:rPr>
          <w:rFonts w:ascii="宋体" w:hAnsi="宋体" w:hint="eastAsia"/>
          <w:color w:val="000000"/>
          <w:kern w:val="0"/>
          <w:sz w:val="24"/>
        </w:rPr>
        <w:t>不保证当日完成划付流程。基金管理人指令传输不及时，未能留出足够的执行时间，致使指令未能及时执行的，基金托管人不承担由此导致的损失</w:t>
      </w:r>
      <w:r>
        <w:rPr>
          <w:rFonts w:ascii="宋体" w:hAnsi="宋体" w:hint="eastAsia"/>
          <w:kern w:val="0"/>
          <w:sz w:val="24"/>
        </w:rPr>
        <w:t>，但应及时通知基金管理人</w:t>
      </w:r>
      <w:r>
        <w:rPr>
          <w:rFonts w:ascii="宋体" w:hAnsi="宋体" w:hint="eastAsia"/>
          <w:color w:val="000000"/>
          <w:kern w:val="0"/>
          <w:sz w:val="24"/>
        </w:rPr>
        <w:t>。基金管理人向基金托管人下达指令时，应确保基金银行存款账户有足够的资金余额，对基金管理人在没有充足资金的情况下向基金托管人发出的指令，基金托管人可不予执行，并立即通知基金管理人，基金托管人不承担因为不执行该指令而造成损失的责任。基金管理人应将银行间市场成交单扫描给基金托管人。对于被授权人发出的指令，基金管理人不得否认其效力。基金托管人依照“授权通知”规定的方法确认指令的有效后，方可执行指令。</w:t>
      </w:r>
      <w:r>
        <w:rPr>
          <w:rFonts w:cs="Arial" w:hint="eastAsia"/>
          <w:color w:val="000000"/>
          <w:sz w:val="24"/>
        </w:rPr>
        <w:t>指令</w:t>
      </w:r>
      <w:r>
        <w:rPr>
          <w:rFonts w:ascii="宋体" w:hAnsi="宋体" w:cs="Arial" w:hint="eastAsia"/>
          <w:color w:val="000000"/>
          <w:sz w:val="24"/>
        </w:rPr>
        <w:t>执行完毕后，基金托管人应及时通知基金管理人。</w:t>
      </w:r>
      <w:r>
        <w:rPr>
          <w:rFonts w:ascii="宋体" w:hAnsi="宋体" w:hint="eastAsia"/>
          <w:color w:val="000000"/>
          <w:kern w:val="0"/>
          <w:sz w:val="24"/>
        </w:rPr>
        <w:t>对基金管理人的资金划拨指令，基金托管人在复核无误后应在规定期限内执行，不得延误。</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cs="Arial" w:hint="eastAsia"/>
          <w:color w:val="000000"/>
          <w:sz w:val="24"/>
        </w:rPr>
        <w:lastRenderedPageBreak/>
        <w:t>基金托管人仅根据基金管理人的授权通知对指令进行表面相符性的形式审查，对其真实性不承担责任。基金托管人对准确执行基金管理人的指令对基金财产造成的损失不承担赔偿责任。</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（四）基金管理人发送错误指令的情形和处理程序</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 </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（五）基金托管人依照法律、法规暂缓、拒绝执行指令的情形和处理程序</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发现基金管理人发送的指令违反《基金法》、《基金合同》、本协议或有关基金法律法规的有关规定，应当视情况暂缓或不予执行，并应及时以书面形式通知基金管理人纠正，基金管理人收到通知后应及时核对，并以书面形式对基金托管人发出回函确认，由此造成的损失由基金管理人承担。</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（六）基金托管人未按照基金管理人指令执行的处理方法</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对于基金管理人的有效指令和通知，除非违反法律法规、基金合同、托管协议，基金托管人不得无故拒绝或拖延执行。基金托管人由于自身原因造成未按照基金管理人发送的正常指令执行，给基金份额持有人、基金财产或基金管理人造成损失的，对由此造成的直接经济损失负赔偿责任。</w:t>
      </w:r>
      <w:bookmarkStart w:id="58" w:name="_Toc77663009"/>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（七）被授权人</w:t>
      </w:r>
      <w:bookmarkEnd w:id="58"/>
      <w:r>
        <w:rPr>
          <w:rFonts w:ascii="宋体" w:hAnsi="宋体" w:hint="eastAsia"/>
          <w:b/>
          <w:bCs/>
          <w:color w:val="000000"/>
          <w:sz w:val="24"/>
        </w:rPr>
        <w:t>的更换</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基金管理人撤换被授权人或改变被授权人的权限，必须提前至少三个工作日，使用邮件</w:t>
      </w:r>
      <w:r>
        <w:rPr>
          <w:rFonts w:ascii="宋体" w:hAnsi="宋体"/>
          <w:color w:val="000000"/>
          <w:kern w:val="0"/>
          <w:sz w:val="24"/>
        </w:rPr>
        <w:t>形式</w:t>
      </w:r>
      <w:r>
        <w:rPr>
          <w:rFonts w:ascii="宋体" w:hAnsi="宋体" w:hint="eastAsia"/>
          <w:color w:val="000000"/>
          <w:kern w:val="0"/>
          <w:sz w:val="24"/>
        </w:rPr>
        <w:t>或其他双方认可的方式向基金托管人发出加盖公章的被授权人变更通知（包括姓名、权限、预留印鉴和签章样本等），注明启用日期，同时电话通知基金托管人。被授权人变更通知自基金托管人收到邮件或其他双方认可的方式并电话确认后，方视为通知送达。被授权人变更通知在送达后</w:t>
      </w:r>
      <w:r>
        <w:rPr>
          <w:rFonts w:ascii="??" w:hAnsi="??" w:hint="eastAsia"/>
          <w:color w:val="000000"/>
          <w:sz w:val="18"/>
          <w:szCs w:val="18"/>
        </w:rPr>
        <w:t>，</w:t>
      </w:r>
      <w:r>
        <w:rPr>
          <w:rFonts w:ascii="宋体" w:hAnsi="宋体" w:hint="eastAsia"/>
          <w:color w:val="000000"/>
          <w:kern w:val="0"/>
          <w:sz w:val="24"/>
        </w:rPr>
        <w:t>自其上面注明的启用日期起开始生效。如通知送达的日期晚于通知中注明的启用日期的，则被授权人变更通知自通知送达时生效。被授权人变更通知生效前，基金托管人仍应按原约定执行指令，基金管理人不得否认其效力。基金管理人在此后七个工作日内将被授权人变更通知的正本送交基金托管人。基金托管人收到的扫描件与正本不一致时，以扫描件为准。</w:t>
      </w:r>
    </w:p>
    <w:p w:rsidR="00D06337" w:rsidRDefault="00F0626B">
      <w:pPr>
        <w:tabs>
          <w:tab w:val="left" w:pos="1260"/>
        </w:tabs>
        <w:spacing w:line="360" w:lineRule="auto"/>
        <w:ind w:firstLineChars="200" w:firstLine="480"/>
        <w:rPr>
          <w:rFonts w:ascii="宋体"/>
          <w:color w:val="000000"/>
          <w:kern w:val="0"/>
          <w:sz w:val="24"/>
        </w:rPr>
      </w:pPr>
      <w:r>
        <w:rPr>
          <w:rFonts w:ascii="宋体" w:hint="eastAsia"/>
          <w:color w:val="000000"/>
          <w:kern w:val="0"/>
          <w:sz w:val="24"/>
        </w:rPr>
        <w:lastRenderedPageBreak/>
        <w:t>基金托管人更改接收基金管理人指令的人员及联系方式，应至少提前1个工作日以邮件或其他双方认可的方式发送基金管理人。基金托管人更改接收基金管理人指令的人员及联系方式自基金管理人电话确认后生效。</w:t>
      </w:r>
    </w:p>
    <w:p w:rsidR="00D06337" w:rsidRDefault="00D06337">
      <w:pPr>
        <w:tabs>
          <w:tab w:val="left" w:pos="1260"/>
        </w:tabs>
        <w:spacing w:line="360" w:lineRule="auto"/>
        <w:ind w:firstLineChars="200" w:firstLine="480"/>
        <w:rPr>
          <w:rFonts w:ascii="宋体"/>
          <w:color w:val="000000"/>
          <w:kern w:val="0"/>
          <w:sz w:val="24"/>
        </w:rPr>
      </w:pPr>
    </w:p>
    <w:p w:rsidR="00D06337" w:rsidRDefault="00F0626B">
      <w:pPr>
        <w:pStyle w:val="1"/>
        <w:spacing w:before="0" w:after="0"/>
        <w:ind w:firstLineChars="200" w:firstLine="482"/>
      </w:pPr>
      <w:bookmarkStart w:id="59" w:name="_Toc523829997"/>
      <w:bookmarkStart w:id="60" w:name="_Toc125892443"/>
      <w:bookmarkStart w:id="61" w:name="_Toc508720685"/>
      <w:bookmarkStart w:id="62" w:name="_Toc466788856"/>
      <w:bookmarkStart w:id="63" w:name="_Toc22454451"/>
      <w:r>
        <w:rPr>
          <w:rFonts w:hint="eastAsia"/>
        </w:rPr>
        <w:t>七、交易及清算交收安排</w:t>
      </w:r>
      <w:bookmarkEnd w:id="59"/>
      <w:bookmarkEnd w:id="60"/>
      <w:bookmarkEnd w:id="61"/>
      <w:bookmarkEnd w:id="62"/>
      <w:bookmarkEnd w:id="63"/>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64" w:name="_Toc77663011"/>
      <w:bookmarkStart w:id="65" w:name="_Toc22454452"/>
      <w:r>
        <w:rPr>
          <w:rFonts w:ascii="宋体" w:hAnsi="宋体" w:hint="eastAsia"/>
          <w:b/>
          <w:bCs/>
          <w:color w:val="000000"/>
          <w:sz w:val="24"/>
        </w:rPr>
        <w:t>（一）代理证券、期货买卖的证券经纪机构</w:t>
      </w:r>
      <w:bookmarkEnd w:id="64"/>
      <w:bookmarkEnd w:id="65"/>
      <w:r>
        <w:rPr>
          <w:rFonts w:ascii="宋体" w:hAnsi="宋体" w:hint="eastAsia"/>
          <w:b/>
          <w:bCs/>
          <w:color w:val="000000"/>
          <w:sz w:val="24"/>
        </w:rPr>
        <w:t>和期货经纪机构</w:t>
      </w:r>
    </w:p>
    <w:p w:rsidR="00D06337" w:rsidRDefault="00F0626B">
      <w:pPr>
        <w:tabs>
          <w:tab w:val="left" w:pos="1260"/>
        </w:tabs>
        <w:spacing w:line="360" w:lineRule="auto"/>
        <w:ind w:firstLine="420"/>
        <w:rPr>
          <w:rFonts w:ascii="宋体" w:hAnsi="宋体"/>
          <w:color w:val="000000"/>
          <w:kern w:val="0"/>
          <w:sz w:val="24"/>
        </w:rPr>
      </w:pPr>
      <w:r>
        <w:rPr>
          <w:rFonts w:ascii="宋体" w:hAnsi="宋体" w:hint="eastAsia"/>
          <w:color w:val="000000"/>
          <w:kern w:val="0"/>
          <w:sz w:val="24"/>
        </w:rPr>
        <w:t>基金管理人应制</w:t>
      </w:r>
      <w:proofErr w:type="gramStart"/>
      <w:r>
        <w:rPr>
          <w:rFonts w:ascii="宋体" w:hAnsi="宋体" w:hint="eastAsia"/>
          <w:color w:val="000000"/>
          <w:kern w:val="0"/>
          <w:sz w:val="24"/>
        </w:rPr>
        <w:t>定选择</w:t>
      </w:r>
      <w:proofErr w:type="gramEnd"/>
      <w:r>
        <w:rPr>
          <w:rFonts w:ascii="宋体" w:hAnsi="宋体" w:hint="eastAsia"/>
          <w:color w:val="000000"/>
          <w:kern w:val="0"/>
          <w:sz w:val="24"/>
        </w:rPr>
        <w:t>的标准和程序，并负责根据相关标准以及内部管理制度对有关证券经</w:t>
      </w:r>
      <w:r>
        <w:rPr>
          <w:rFonts w:ascii="宋体" w:hAnsi="宋体" w:hint="eastAsia"/>
          <w:bCs/>
          <w:color w:val="000000"/>
          <w:sz w:val="24"/>
        </w:rPr>
        <w:t>纪</w:t>
      </w:r>
      <w:r>
        <w:rPr>
          <w:rFonts w:ascii="宋体" w:hAnsi="宋体" w:hint="eastAsia"/>
          <w:color w:val="000000"/>
          <w:kern w:val="0"/>
          <w:sz w:val="24"/>
        </w:rPr>
        <w:t>机构进行考察后确定代理本基金证券买卖证券经</w:t>
      </w:r>
      <w:r>
        <w:rPr>
          <w:rFonts w:ascii="宋体" w:hAnsi="宋体" w:hint="eastAsia"/>
          <w:bCs/>
          <w:color w:val="000000"/>
          <w:sz w:val="24"/>
        </w:rPr>
        <w:t>纪</w:t>
      </w:r>
      <w:r>
        <w:rPr>
          <w:rFonts w:ascii="宋体" w:hAnsi="宋体" w:hint="eastAsia"/>
          <w:color w:val="000000"/>
          <w:kern w:val="0"/>
          <w:sz w:val="24"/>
        </w:rPr>
        <w:t>机构，并承担相应责任。</w:t>
      </w:r>
      <w:r>
        <w:rPr>
          <w:rFonts w:ascii="宋体" w:hAnsi="宋体"/>
          <w:sz w:val="24"/>
        </w:rPr>
        <w:t>基金管理人、基金托管人、证券经纪机构三方签署证券经纪服务协议。</w:t>
      </w:r>
      <w:r>
        <w:rPr>
          <w:rFonts w:ascii="宋体" w:hAnsi="宋体" w:hint="eastAsia"/>
          <w:bCs/>
          <w:color w:val="000000"/>
          <w:sz w:val="24"/>
        </w:rPr>
        <w:t>基金管理人、基金托管人和证券经</w:t>
      </w:r>
      <w:bookmarkStart w:id="66" w:name="OLE_LINK20"/>
      <w:bookmarkStart w:id="67" w:name="OLE_LINK17"/>
      <w:bookmarkStart w:id="68" w:name="OLE_LINK19"/>
      <w:bookmarkStart w:id="69" w:name="OLE_LINK18"/>
      <w:r>
        <w:rPr>
          <w:rFonts w:ascii="宋体" w:hAnsi="宋体" w:hint="eastAsia"/>
          <w:bCs/>
          <w:color w:val="000000"/>
          <w:sz w:val="24"/>
        </w:rPr>
        <w:t>纪</w:t>
      </w:r>
      <w:bookmarkEnd w:id="66"/>
      <w:bookmarkEnd w:id="67"/>
      <w:bookmarkEnd w:id="68"/>
      <w:bookmarkEnd w:id="69"/>
      <w:r>
        <w:rPr>
          <w:rFonts w:ascii="宋体" w:hAnsi="宋体" w:hint="eastAsia"/>
          <w:bCs/>
          <w:color w:val="000000"/>
          <w:sz w:val="24"/>
        </w:rPr>
        <w:t>机构可就本基金参与证券交易的具体事项另行签订协议。</w:t>
      </w:r>
    </w:p>
    <w:p w:rsidR="00D06337" w:rsidRDefault="00F0626B">
      <w:pPr>
        <w:tabs>
          <w:tab w:val="left" w:pos="1260"/>
        </w:tabs>
        <w:spacing w:line="360" w:lineRule="auto"/>
        <w:ind w:firstLine="420"/>
        <w:rPr>
          <w:rFonts w:ascii="宋体" w:hAnsi="宋体"/>
          <w:color w:val="000000"/>
          <w:kern w:val="0"/>
          <w:sz w:val="24"/>
        </w:rPr>
      </w:pPr>
      <w:r>
        <w:rPr>
          <w:rFonts w:ascii="宋体" w:hAnsi="宋体" w:hint="eastAsia"/>
          <w:color w:val="000000"/>
          <w:kern w:val="0"/>
          <w:sz w:val="24"/>
        </w:rPr>
        <w:t>基金管理人应及时将基金佣金费率等基本信息以及变更情况以书面形式通知基金托管人。</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基金管理人负责选择代理本基金期货交易的期货经纪机构，并与其签订期货经纪合同。</w:t>
      </w:r>
      <w:r>
        <w:rPr>
          <w:rFonts w:ascii="宋体" w:hAnsi="宋体" w:hint="eastAsia"/>
          <w:bCs/>
          <w:color w:val="000000"/>
          <w:sz w:val="24"/>
        </w:rPr>
        <w:t>基金管理人、基金托管人和期货经纪机构可就本基金参与期货交易的具体事项另行签订协议。</w:t>
      </w:r>
      <w:r>
        <w:rPr>
          <w:rFonts w:ascii="宋体" w:hAnsi="宋体" w:hint="eastAsia"/>
          <w:color w:val="000000"/>
          <w:kern w:val="0"/>
          <w:sz w:val="24"/>
        </w:rPr>
        <w:t>其他事宜根据法律法规、《基金合同》的相关规定执行，若无明确规定的，可参照有关证券买卖、证券经纪机构选择的规则执行。</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70" w:name="_Toc77663012"/>
      <w:r>
        <w:rPr>
          <w:rFonts w:ascii="宋体" w:hAnsi="宋体" w:hint="eastAsia"/>
          <w:b/>
          <w:bCs/>
          <w:color w:val="000000"/>
          <w:sz w:val="24"/>
        </w:rPr>
        <w:t>（二）基金投资证券后的清算</w:t>
      </w:r>
      <w:bookmarkEnd w:id="70"/>
      <w:r>
        <w:rPr>
          <w:rFonts w:ascii="宋体" w:hAnsi="宋体" w:hint="eastAsia"/>
          <w:b/>
          <w:bCs/>
          <w:color w:val="000000"/>
          <w:sz w:val="24"/>
        </w:rPr>
        <w:t>交收安排</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1、基金管理人和基金托管人在基金清算和交收中的责任 </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 xml:space="preserve">本基金通过证券经纪机构进行的交易由证券经纪机构作为结算参与人代理本基金进行结算；本基金其他证券交易由基金托管人或相关机构负责结算。基金管理人、基金托管人以及被选择的证券经纪机构应根据有关法律法规及相关业务规则，签订相关协议，用以具体明确三方在证券交易资金结算业务中的责任。 </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证券经纪机构代理本基金财产与中登公司完成证券交易及</w:t>
      </w:r>
      <w:proofErr w:type="gramStart"/>
      <w:r>
        <w:rPr>
          <w:rFonts w:ascii="宋体" w:hAnsi="宋体" w:hint="eastAsia"/>
          <w:color w:val="000000"/>
          <w:kern w:val="0"/>
          <w:sz w:val="24"/>
        </w:rPr>
        <w:t>非交易</w:t>
      </w:r>
      <w:proofErr w:type="gramEnd"/>
      <w:r>
        <w:rPr>
          <w:rFonts w:ascii="宋体" w:hAnsi="宋体" w:hint="eastAsia"/>
          <w:color w:val="000000"/>
          <w:kern w:val="0"/>
          <w:sz w:val="24"/>
        </w:rPr>
        <w:t>涉及的证券资金结算业务，并承担由证券经纪机构原因造成的正常结算、交收业务无法完成的责任；若由于基金管理</w:t>
      </w:r>
      <w:proofErr w:type="gramStart"/>
      <w:r>
        <w:rPr>
          <w:rFonts w:ascii="宋体" w:hAnsi="宋体" w:hint="eastAsia"/>
          <w:color w:val="000000"/>
          <w:kern w:val="0"/>
          <w:sz w:val="24"/>
        </w:rPr>
        <w:t>人原因</w:t>
      </w:r>
      <w:proofErr w:type="gramEnd"/>
      <w:r>
        <w:rPr>
          <w:rFonts w:ascii="宋体" w:hAnsi="宋体" w:hint="eastAsia"/>
          <w:color w:val="000000"/>
          <w:kern w:val="0"/>
          <w:sz w:val="24"/>
        </w:rPr>
        <w:t>造成的正常结算业务无法完成，责任由基金管理人承担。</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本基金投资于证券发生的所有场外交易的资金汇划，全部由基金托管人负责办理。</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71" w:name="_Toc77663013"/>
      <w:r>
        <w:rPr>
          <w:rFonts w:ascii="宋体" w:hAnsi="宋体" w:hint="eastAsia"/>
          <w:b/>
          <w:bCs/>
          <w:color w:val="000000"/>
          <w:sz w:val="24"/>
        </w:rPr>
        <w:t>（三）基金管理人与基金托管人进行资金、证券账目和交易记录的核对</w:t>
      </w:r>
      <w:bookmarkEnd w:id="71"/>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对基金的交易记录，由基金管理人和基金托管人按日进行核对。每个工作日对外披露基金份额净值之前，必须保证当天所有实际交易记录与基金会计账簿上的交易记录完全一致。如果交易记录与会计账簿记录不一致，造成基金会计核算不完整或不真实，由此导致的损失由基金的会计责任方承担。基金管理人每一交易日以双方认可的方式在当日全部交易结束后，将编制的基金资金、证券账目传送给基金托管人，基金托管人按日进行账目核对。</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对实物</w:t>
      </w:r>
      <w:proofErr w:type="gramStart"/>
      <w:r>
        <w:rPr>
          <w:rFonts w:ascii="宋体" w:hAnsi="宋体" w:hint="eastAsia"/>
          <w:color w:val="000000"/>
          <w:kern w:val="0"/>
          <w:sz w:val="24"/>
        </w:rPr>
        <w:t>券</w:t>
      </w:r>
      <w:proofErr w:type="gramEnd"/>
      <w:r>
        <w:rPr>
          <w:rFonts w:ascii="宋体" w:hAnsi="宋体" w:hint="eastAsia"/>
          <w:color w:val="000000"/>
          <w:kern w:val="0"/>
          <w:sz w:val="24"/>
        </w:rPr>
        <w:t>账目，相关各方定期进行账实核对。</w:t>
      </w:r>
    </w:p>
    <w:p w:rsidR="00D06337" w:rsidRDefault="00F0626B">
      <w:pPr>
        <w:tabs>
          <w:tab w:val="left" w:pos="1260"/>
        </w:tabs>
        <w:spacing w:line="360" w:lineRule="auto"/>
        <w:ind w:firstLineChars="200" w:firstLine="480"/>
        <w:rPr>
          <w:rFonts w:ascii="宋体" w:hAnsi="宋体"/>
          <w:b/>
          <w:bCs/>
          <w:color w:val="000000"/>
          <w:kern w:val="0"/>
          <w:sz w:val="24"/>
        </w:rPr>
      </w:pPr>
      <w:r>
        <w:rPr>
          <w:rFonts w:ascii="宋体" w:hAnsi="宋体" w:hint="eastAsia"/>
          <w:color w:val="000000"/>
          <w:kern w:val="0"/>
          <w:sz w:val="24"/>
        </w:rPr>
        <w:t>基金托管人应按定期核对证券账户中的证券数量和种类。</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双方可协商采用电子对</w:t>
      </w:r>
      <w:proofErr w:type="gramStart"/>
      <w:r>
        <w:rPr>
          <w:rFonts w:ascii="宋体" w:hAnsi="宋体" w:hint="eastAsia"/>
          <w:color w:val="000000"/>
          <w:kern w:val="0"/>
          <w:sz w:val="24"/>
        </w:rPr>
        <w:t>账</w:t>
      </w:r>
      <w:proofErr w:type="gramEnd"/>
      <w:r>
        <w:rPr>
          <w:rFonts w:ascii="宋体" w:hAnsi="宋体" w:hint="eastAsia"/>
          <w:color w:val="000000"/>
          <w:kern w:val="0"/>
          <w:sz w:val="24"/>
        </w:rPr>
        <w:t>方式进行账目核对。</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sz w:val="24"/>
        </w:rPr>
      </w:pPr>
      <w:bookmarkStart w:id="72" w:name="_Toc466788858"/>
      <w:bookmarkStart w:id="73" w:name="_Toc523829999"/>
      <w:r>
        <w:rPr>
          <w:rFonts w:ascii="宋体" w:hAnsi="宋体" w:hint="eastAsia"/>
          <w:b/>
          <w:bCs/>
          <w:color w:val="000000"/>
          <w:sz w:val="24"/>
        </w:rPr>
        <w:t>（四）</w:t>
      </w:r>
      <w:r>
        <w:rPr>
          <w:rFonts w:ascii="宋体" w:hAnsi="宋体" w:hint="eastAsia"/>
          <w:b/>
          <w:sz w:val="24"/>
        </w:rPr>
        <w:t>申购、赎回证券交收、基金清算和数据传递的时间和程序</w:t>
      </w:r>
    </w:p>
    <w:p w:rsidR="00D06337" w:rsidRDefault="00F0626B">
      <w:pPr>
        <w:spacing w:line="360" w:lineRule="auto"/>
        <w:ind w:right="28" w:firstLineChars="200" w:firstLine="480"/>
        <w:rPr>
          <w:rFonts w:ascii="宋体" w:hAnsi="宋体"/>
          <w:sz w:val="24"/>
        </w:rPr>
      </w:pPr>
      <w:r>
        <w:rPr>
          <w:rFonts w:ascii="宋体" w:hAnsi="宋体" w:hint="eastAsia"/>
          <w:sz w:val="24"/>
        </w:rPr>
        <w:t>1、本基金申购、赎回业务根据《基金合同》及/或相关信息披露文件确定的时间开始办理，基金管理人应及时通知基金托管</w:t>
      </w:r>
      <w:proofErr w:type="gramStart"/>
      <w:r>
        <w:rPr>
          <w:rFonts w:ascii="宋体" w:hAnsi="宋体" w:hint="eastAsia"/>
          <w:sz w:val="24"/>
        </w:rPr>
        <w:t>人上述</w:t>
      </w:r>
      <w:proofErr w:type="gramEnd"/>
      <w:r>
        <w:rPr>
          <w:rFonts w:ascii="宋体" w:hAnsi="宋体" w:hint="eastAsia"/>
          <w:sz w:val="24"/>
        </w:rPr>
        <w:t xml:space="preserve">业务的开办时间。 </w:t>
      </w:r>
    </w:p>
    <w:p w:rsidR="00D06337" w:rsidRDefault="00F0626B">
      <w:pPr>
        <w:spacing w:line="360" w:lineRule="auto"/>
        <w:ind w:right="28" w:firstLineChars="200" w:firstLine="480"/>
        <w:rPr>
          <w:rFonts w:ascii="宋体" w:hAnsi="宋体"/>
          <w:sz w:val="24"/>
        </w:rPr>
      </w:pPr>
      <w:r>
        <w:rPr>
          <w:rFonts w:ascii="宋体" w:hAnsi="宋体" w:hint="eastAsia"/>
          <w:sz w:val="24"/>
        </w:rPr>
        <w:t>2、基金管理人和基金托管人应当按照基金合同的约定，在基金申购、赎回的时间、场所、方式、程序、价格、费用、收款或付款等各方面相互配合，积极履行各自的义务，保证基金的申购、赎回工作能够顺利进行。</w:t>
      </w:r>
    </w:p>
    <w:p w:rsidR="00D06337" w:rsidRDefault="00F0626B">
      <w:pPr>
        <w:spacing w:line="360" w:lineRule="auto"/>
        <w:ind w:right="28" w:firstLineChars="200" w:firstLine="480"/>
        <w:rPr>
          <w:rFonts w:ascii="宋体" w:hAnsi="宋体"/>
          <w:sz w:val="24"/>
        </w:rPr>
      </w:pPr>
      <w:r>
        <w:rPr>
          <w:rFonts w:ascii="宋体" w:hAnsi="宋体" w:hint="eastAsia"/>
          <w:sz w:val="24"/>
        </w:rPr>
        <w:t>3、基金份额申购、赎回的确认、清算由登记机构负责。基金托管人根据登记机构、基金管理人的通知办理资金的划拨。赎回的现金替代的交</w:t>
      </w:r>
      <w:proofErr w:type="gramStart"/>
      <w:r>
        <w:rPr>
          <w:rFonts w:ascii="宋体" w:hAnsi="宋体" w:hint="eastAsia"/>
          <w:sz w:val="24"/>
        </w:rPr>
        <w:t>收以及现金替代款</w:t>
      </w:r>
      <w:proofErr w:type="gramEnd"/>
      <w:r>
        <w:rPr>
          <w:rFonts w:ascii="宋体" w:hAnsi="宋体" w:hint="eastAsia"/>
          <w:sz w:val="24"/>
        </w:rPr>
        <w:t>的退款和补款由相关当事人根据基金招募说明书办理。如遇特殊情况，各方协商处理。</w:t>
      </w:r>
    </w:p>
    <w:p w:rsidR="00D06337" w:rsidRDefault="00F0626B">
      <w:pPr>
        <w:spacing w:line="360" w:lineRule="auto"/>
        <w:ind w:right="28" w:firstLineChars="200" w:firstLine="480"/>
        <w:rPr>
          <w:rFonts w:ascii="宋体" w:hAnsi="宋体"/>
          <w:sz w:val="24"/>
        </w:rPr>
      </w:pPr>
      <w:r>
        <w:rPr>
          <w:rFonts w:ascii="宋体" w:hAnsi="宋体" w:hint="eastAsia"/>
          <w:sz w:val="24"/>
        </w:rPr>
        <w:t>如果登记机构相关的结算交收业务规则发生变更，则按最新规则办理。基金管理人和基金托管人也可经协商一致后，在法律法规规定和《基金合同》约定的范围内，采取其他可行的交收方式。</w:t>
      </w:r>
    </w:p>
    <w:p w:rsidR="00D06337" w:rsidRDefault="00F0626B">
      <w:pPr>
        <w:tabs>
          <w:tab w:val="left" w:pos="3780"/>
        </w:tabs>
        <w:autoSpaceDE w:val="0"/>
        <w:autoSpaceDN w:val="0"/>
        <w:spacing w:line="360" w:lineRule="auto"/>
        <w:ind w:firstLineChars="150" w:firstLine="361"/>
        <w:textAlignment w:val="bottom"/>
        <w:outlineLvl w:val="0"/>
        <w:rPr>
          <w:rFonts w:ascii="宋体" w:hAnsi="宋体"/>
          <w:b/>
          <w:bCs/>
          <w:color w:val="000000"/>
          <w:sz w:val="24"/>
        </w:rPr>
      </w:pPr>
      <w:r>
        <w:rPr>
          <w:rFonts w:ascii="宋体" w:hAnsi="宋体" w:hint="eastAsia"/>
          <w:b/>
          <w:bCs/>
          <w:color w:val="000000"/>
          <w:sz w:val="24"/>
        </w:rPr>
        <w:t>（五）基金收益分配的清算交收安排</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w:t>
      </w:r>
      <w:r>
        <w:rPr>
          <w:rFonts w:ascii="宋体" w:hAnsi="宋体" w:hint="eastAsia"/>
          <w:bCs/>
          <w:color w:val="000000"/>
          <w:sz w:val="24"/>
        </w:rPr>
        <w:t>、</w:t>
      </w:r>
      <w:r>
        <w:rPr>
          <w:rFonts w:ascii="宋体" w:hAnsi="宋体" w:hint="eastAsia"/>
          <w:color w:val="000000"/>
          <w:kern w:val="0"/>
          <w:sz w:val="24"/>
        </w:rPr>
        <w:t>基金管理人决定收益分配方案并通知基金托管人，经基金托管人复核后依照《信息披露办法》的有关规定在中国证监会规定媒介上公告。</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hint="eastAsia"/>
          <w:bCs/>
          <w:color w:val="000000"/>
          <w:sz w:val="24"/>
        </w:rPr>
        <w:t>、</w:t>
      </w:r>
      <w:r>
        <w:rPr>
          <w:rFonts w:ascii="宋体" w:hAnsi="宋体" w:hint="eastAsia"/>
          <w:color w:val="000000"/>
          <w:kern w:val="0"/>
          <w:sz w:val="24"/>
        </w:rPr>
        <w:t>基金托管人和基金管理人对基金收益分配进行账务处理并核对后，基金</w:t>
      </w:r>
      <w:r>
        <w:rPr>
          <w:rFonts w:ascii="宋体" w:hAnsi="宋体" w:hint="eastAsia"/>
          <w:color w:val="000000"/>
          <w:kern w:val="0"/>
          <w:sz w:val="24"/>
        </w:rPr>
        <w:lastRenderedPageBreak/>
        <w:t>管理人应及时向基金托管人发送分发现金红利的划款指令，基金托管人依据划款指令在指定</w:t>
      </w:r>
      <w:proofErr w:type="gramStart"/>
      <w:r>
        <w:rPr>
          <w:rFonts w:ascii="宋体" w:hAnsi="宋体" w:hint="eastAsia"/>
          <w:color w:val="000000"/>
          <w:kern w:val="0"/>
          <w:sz w:val="24"/>
        </w:rPr>
        <w:t>划付日</w:t>
      </w:r>
      <w:proofErr w:type="gramEnd"/>
      <w:r>
        <w:rPr>
          <w:rFonts w:ascii="宋体" w:hAnsi="宋体" w:hint="eastAsia"/>
          <w:color w:val="000000"/>
          <w:kern w:val="0"/>
          <w:sz w:val="24"/>
        </w:rPr>
        <w:t>及时将资金划至基金管理人指定账户。</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w:t>
      </w:r>
      <w:r>
        <w:rPr>
          <w:rFonts w:ascii="宋体" w:hAnsi="宋体" w:hint="eastAsia"/>
          <w:bCs/>
          <w:color w:val="000000"/>
          <w:sz w:val="24"/>
        </w:rPr>
        <w:t>、</w:t>
      </w:r>
      <w:r>
        <w:rPr>
          <w:rFonts w:ascii="宋体" w:hAnsi="宋体" w:hint="eastAsia"/>
          <w:color w:val="000000"/>
          <w:kern w:val="0"/>
          <w:sz w:val="24"/>
        </w:rPr>
        <w:t>基金管理人在下达分红款支付指令时，应给基金托管人留出必需的划款时间。</w:t>
      </w:r>
      <w:bookmarkStart w:id="74" w:name="_Toc125892444"/>
    </w:p>
    <w:p w:rsidR="00D06337" w:rsidRDefault="00F0626B">
      <w:pPr>
        <w:tabs>
          <w:tab w:val="left" w:pos="1260"/>
        </w:tabs>
        <w:spacing w:line="360" w:lineRule="auto"/>
        <w:ind w:firstLineChars="200" w:firstLine="482"/>
        <w:rPr>
          <w:rFonts w:ascii="宋体" w:hAnsi="宋体"/>
          <w:b/>
          <w:color w:val="000000"/>
          <w:kern w:val="0"/>
          <w:sz w:val="24"/>
          <w:lang w:val="en-GB"/>
        </w:rPr>
      </w:pPr>
      <w:r>
        <w:rPr>
          <w:rFonts w:ascii="宋体" w:hAnsi="宋体"/>
          <w:b/>
          <w:color w:val="000000"/>
          <w:kern w:val="0"/>
          <w:sz w:val="24"/>
          <w:lang w:val="en-GB"/>
        </w:rPr>
        <w:t>（</w:t>
      </w:r>
      <w:r>
        <w:rPr>
          <w:rFonts w:ascii="宋体" w:hAnsi="宋体" w:hint="eastAsia"/>
          <w:b/>
          <w:color w:val="000000"/>
          <w:kern w:val="0"/>
          <w:sz w:val="24"/>
          <w:lang w:val="en-GB"/>
        </w:rPr>
        <w:t>六</w:t>
      </w:r>
      <w:r>
        <w:rPr>
          <w:rFonts w:ascii="宋体" w:hAnsi="宋体"/>
          <w:b/>
          <w:color w:val="000000"/>
          <w:kern w:val="0"/>
          <w:sz w:val="24"/>
          <w:lang w:val="en-GB"/>
        </w:rPr>
        <w:t>）</w:t>
      </w:r>
      <w:r>
        <w:rPr>
          <w:rFonts w:ascii="宋体" w:hAnsi="宋体" w:hint="eastAsia"/>
          <w:b/>
          <w:color w:val="000000"/>
          <w:kern w:val="0"/>
          <w:sz w:val="24"/>
          <w:lang w:val="en-GB"/>
        </w:rPr>
        <w:t>基金的融资、转融通证券出借业务</w:t>
      </w:r>
    </w:p>
    <w:p w:rsidR="00D06337" w:rsidRDefault="00F0626B">
      <w:pPr>
        <w:tabs>
          <w:tab w:val="left" w:pos="1260"/>
        </w:tabs>
        <w:spacing w:line="360" w:lineRule="auto"/>
        <w:ind w:firstLineChars="200" w:firstLine="480"/>
        <w:rPr>
          <w:rFonts w:ascii="宋体" w:hAnsi="宋体"/>
          <w:color w:val="000000"/>
          <w:kern w:val="0"/>
          <w:sz w:val="24"/>
          <w:lang w:val="en-GB"/>
        </w:rPr>
      </w:pPr>
      <w:r>
        <w:rPr>
          <w:rFonts w:ascii="宋体" w:hAnsi="宋体" w:hint="eastAsia"/>
          <w:color w:val="000000"/>
          <w:kern w:val="0"/>
          <w:sz w:val="24"/>
          <w:lang w:val="en-GB"/>
        </w:rPr>
        <w:t>如本基金按国家有关规定进行融资、转融通证券出借业务时，基金托管人应为基金融资、转融通证券出借业务提供必要的协助。</w:t>
      </w:r>
    </w:p>
    <w:p w:rsidR="00D06337" w:rsidRDefault="00D06337">
      <w:pPr>
        <w:tabs>
          <w:tab w:val="left" w:pos="1260"/>
        </w:tabs>
        <w:spacing w:line="360" w:lineRule="auto"/>
        <w:ind w:firstLineChars="200" w:firstLine="480"/>
        <w:rPr>
          <w:rFonts w:ascii="宋体" w:hAnsi="宋体"/>
          <w:color w:val="000000"/>
          <w:kern w:val="0"/>
          <w:sz w:val="24"/>
          <w:lang w:val="en-GB"/>
        </w:rPr>
      </w:pPr>
    </w:p>
    <w:p w:rsidR="00D06337" w:rsidRDefault="00F0626B">
      <w:pPr>
        <w:pStyle w:val="1"/>
        <w:spacing w:before="0" w:after="0"/>
        <w:ind w:firstLineChars="200" w:firstLine="482"/>
      </w:pPr>
      <w:bookmarkStart w:id="75" w:name="_Toc508720686"/>
      <w:r>
        <w:rPr>
          <w:rFonts w:hint="eastAsia"/>
        </w:rPr>
        <w:t>八、基金资产净值计算和会计核算</w:t>
      </w:r>
      <w:bookmarkEnd w:id="72"/>
      <w:bookmarkEnd w:id="73"/>
      <w:bookmarkEnd w:id="74"/>
      <w:bookmarkEnd w:id="75"/>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76" w:name="_Toc77663017"/>
      <w:r>
        <w:rPr>
          <w:rFonts w:ascii="宋体" w:hAnsi="宋体" w:hint="eastAsia"/>
          <w:b/>
          <w:bCs/>
          <w:color w:val="000000"/>
          <w:sz w:val="24"/>
        </w:rPr>
        <w:t>（一）基金资产净值及基金份额净值的计算与复核</w:t>
      </w:r>
      <w:bookmarkEnd w:id="76"/>
    </w:p>
    <w:p w:rsidR="00D06337" w:rsidRDefault="00F0626B">
      <w:pPr>
        <w:autoSpaceDE w:val="0"/>
        <w:autoSpaceDN w:val="0"/>
        <w:adjustRightInd w:val="0"/>
        <w:spacing w:line="360" w:lineRule="auto"/>
        <w:ind w:firstLineChars="200" w:firstLine="480"/>
        <w:rPr>
          <w:rFonts w:ascii="宋体" w:cs="宋体"/>
          <w:color w:val="000000"/>
          <w:kern w:val="0"/>
          <w:sz w:val="24"/>
        </w:rPr>
      </w:pPr>
      <w:r>
        <w:rPr>
          <w:rFonts w:ascii="宋体" w:hAnsi="宋体" w:hint="eastAsia"/>
          <w:color w:val="000000"/>
          <w:kern w:val="0"/>
          <w:sz w:val="24"/>
        </w:rPr>
        <w:t>基金资产净值是指基金资产总值减去基金负债后的价值。</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w:t>
      </w:r>
      <w:proofErr w:type="gramStart"/>
      <w:r>
        <w:rPr>
          <w:rFonts w:ascii="宋体" w:hAnsi="宋体" w:hint="eastAsia"/>
          <w:color w:val="000000"/>
          <w:kern w:val="0"/>
          <w:sz w:val="24"/>
        </w:rPr>
        <w:t>应每个</w:t>
      </w:r>
      <w:proofErr w:type="gramEnd"/>
      <w:r>
        <w:rPr>
          <w:rFonts w:ascii="宋体" w:hAnsi="宋体" w:hint="eastAsia"/>
          <w:color w:val="000000"/>
          <w:kern w:val="0"/>
          <w:sz w:val="24"/>
        </w:rPr>
        <w:t>工作日对基金资产估值，但基金管理人根据法律法规或基金合同的规定暂停估值时除外。</w:t>
      </w:r>
      <w:r>
        <w:rPr>
          <w:rFonts w:ascii="宋体" w:hAnsi="宋体"/>
          <w:color w:val="000000"/>
          <w:kern w:val="0"/>
          <w:sz w:val="24"/>
        </w:rPr>
        <w:t>估值原则应符合《基金合同》、</w:t>
      </w:r>
      <w:r>
        <w:rPr>
          <w:rFonts w:ascii="宋体" w:hAnsi="宋体" w:hint="eastAsia"/>
          <w:color w:val="000000"/>
          <w:kern w:val="0"/>
          <w:sz w:val="24"/>
        </w:rPr>
        <w:t>《</w:t>
      </w:r>
      <w:r>
        <w:rPr>
          <w:rFonts w:ascii="黑体" w:hAnsi="宋体" w:hint="eastAsia"/>
          <w:color w:val="000000"/>
          <w:sz w:val="24"/>
        </w:rPr>
        <w:t>中国证券监督管理委员会</w:t>
      </w:r>
      <w:r>
        <w:rPr>
          <w:rFonts w:ascii="黑体" w:hAnsi="宋体"/>
          <w:color w:val="000000"/>
          <w:sz w:val="24"/>
        </w:rPr>
        <w:t>关于证券投资基金估值业务的指导意见》</w:t>
      </w:r>
      <w:r>
        <w:rPr>
          <w:rFonts w:ascii="宋体" w:hAnsi="宋体"/>
          <w:color w:val="000000"/>
          <w:kern w:val="0"/>
          <w:sz w:val="24"/>
        </w:rPr>
        <w:t>及其他法律、法规的规定。</w:t>
      </w:r>
      <w:r>
        <w:rPr>
          <w:rFonts w:ascii="宋体" w:hAnsi="宋体" w:hint="eastAsia"/>
          <w:color w:val="000000"/>
          <w:kern w:val="0"/>
          <w:sz w:val="24"/>
        </w:rPr>
        <w:t>基金资产净值和基金份额净值由基金管理人负责计算，基金托管人复核。基金管理人应于每个工作日交易结束后计算当日的基金资产净值和基金份额净值，以约定方式发送给基金托管人。基金托管人对净值计算结果复核后，将复核结果反馈给基金管理人，经基金托管人复核无误后，由基金管理人依据基金合同和相关法律法规的规定对基金份额净值予以公布。</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（二）基金资产的估值</w:t>
      </w:r>
    </w:p>
    <w:p w:rsidR="00D06337" w:rsidRDefault="00F0626B">
      <w:pPr>
        <w:adjustRightInd w:val="0"/>
        <w:snapToGrid w:val="0"/>
        <w:spacing w:line="360" w:lineRule="auto"/>
        <w:ind w:firstLineChars="200" w:firstLine="480"/>
        <w:rPr>
          <w:color w:val="000000"/>
          <w:kern w:val="0"/>
          <w:sz w:val="24"/>
        </w:rPr>
      </w:pPr>
      <w:r>
        <w:rPr>
          <w:rFonts w:ascii="宋体" w:hAnsi="宋体" w:hint="eastAsia"/>
          <w:color w:val="000000"/>
          <w:kern w:val="0"/>
          <w:sz w:val="24"/>
        </w:rPr>
        <w:t>基金管理人及基金托管人应当按照《基金合同》的约定进行估值。</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（三）基金份额净值错误的处理方式</w:t>
      </w:r>
    </w:p>
    <w:p w:rsidR="00D06337" w:rsidRDefault="00F0626B">
      <w:pPr>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基金管理人及基金托管人应当按照《基金合同》的约定处理基金份额净值错误。</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77" w:name="OLE_LINK5"/>
      <w:bookmarkStart w:id="78" w:name="OLE_LINK6"/>
      <w:r>
        <w:rPr>
          <w:rFonts w:ascii="宋体" w:hAnsi="宋体" w:hint="eastAsia"/>
          <w:b/>
          <w:bCs/>
          <w:color w:val="000000"/>
          <w:sz w:val="24"/>
        </w:rPr>
        <w:t>（四）暂停估值的情形</w:t>
      </w:r>
    </w:p>
    <w:bookmarkEnd w:id="77"/>
    <w:bookmarkEnd w:id="78"/>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w:t>
      </w:r>
      <w:bookmarkStart w:id="79" w:name="OLE_LINK21"/>
      <w:bookmarkStart w:id="80" w:name="OLE_LINK22"/>
      <w:r>
        <w:rPr>
          <w:rFonts w:ascii="宋体" w:hAnsi="宋体" w:hint="eastAsia"/>
          <w:color w:val="000000"/>
          <w:kern w:val="0"/>
          <w:sz w:val="24"/>
        </w:rPr>
        <w:t>基金投资所涉及的证券/期货交易市场或外汇市场遇法定节假日或因其他原因暂停营业时</w:t>
      </w:r>
      <w:bookmarkEnd w:id="79"/>
      <w:bookmarkEnd w:id="80"/>
      <w:r>
        <w:rPr>
          <w:rFonts w:ascii="宋体" w:hAnsi="宋体" w:hint="eastAsia"/>
          <w:color w:val="000000"/>
          <w:kern w:val="0"/>
          <w:sz w:val="24"/>
        </w:rPr>
        <w:t>；</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2、因不可抗力致使基金管理人、基金托管人无法准确评估基金资产价值时；</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3、当前一估值日基金资产净值50%以上的资产出现无可参考的活跃市场价</w:t>
      </w:r>
      <w:r>
        <w:rPr>
          <w:rFonts w:ascii="宋体" w:hAnsi="宋体" w:hint="eastAsia"/>
          <w:color w:val="000000"/>
          <w:kern w:val="0"/>
          <w:sz w:val="24"/>
        </w:rPr>
        <w:lastRenderedPageBreak/>
        <w:t>格且采用估值技术</w:t>
      </w:r>
      <w:proofErr w:type="gramStart"/>
      <w:r>
        <w:rPr>
          <w:rFonts w:ascii="宋体" w:hAnsi="宋体" w:hint="eastAsia"/>
          <w:color w:val="000000"/>
          <w:kern w:val="0"/>
          <w:sz w:val="24"/>
        </w:rPr>
        <w:t>仍导致</w:t>
      </w:r>
      <w:proofErr w:type="gramEnd"/>
      <w:r>
        <w:rPr>
          <w:rFonts w:ascii="宋体" w:hAnsi="宋体" w:hint="eastAsia"/>
          <w:color w:val="000000"/>
          <w:kern w:val="0"/>
          <w:sz w:val="24"/>
        </w:rPr>
        <w:t>公允价值存在重大不确定性时，经与基金托管人协商一致的，基金管理人应当暂停估值；</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4、法律法规、中国证监会和基金合同认定的其它情形。</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（五）基金会计制度</w:t>
      </w:r>
    </w:p>
    <w:p w:rsidR="00D06337" w:rsidRDefault="00F0626B">
      <w:pPr>
        <w:autoSpaceDE w:val="0"/>
        <w:autoSpaceDN w:val="0"/>
        <w:adjustRightInd w:val="0"/>
        <w:spacing w:line="360" w:lineRule="auto"/>
        <w:ind w:firstLineChars="200" w:firstLine="480"/>
        <w:rPr>
          <w:rFonts w:ascii="宋体" w:cs="宋体"/>
          <w:color w:val="000000"/>
          <w:kern w:val="0"/>
          <w:sz w:val="20"/>
          <w:szCs w:val="20"/>
        </w:rPr>
      </w:pPr>
      <w:r>
        <w:rPr>
          <w:rFonts w:ascii="宋体" w:cs="宋体" w:hint="eastAsia"/>
          <w:color w:val="000000"/>
          <w:kern w:val="0"/>
          <w:sz w:val="24"/>
        </w:rPr>
        <w:t>按国家有关部门制定的会计制度执行。</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w:t>
      </w:r>
      <w:r>
        <w:rPr>
          <w:rFonts w:ascii="宋体" w:hAnsi="宋体"/>
          <w:b/>
          <w:bCs/>
          <w:color w:val="000000"/>
          <w:sz w:val="24"/>
        </w:rPr>
        <w:t>六</w:t>
      </w:r>
      <w:r>
        <w:rPr>
          <w:rFonts w:ascii="宋体" w:hAnsi="宋体" w:hint="eastAsia"/>
          <w:b/>
          <w:bCs/>
          <w:color w:val="000000"/>
          <w:sz w:val="24"/>
        </w:rPr>
        <w:t>）基金账册的建立</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w:t>
      </w:r>
      <w:r>
        <w:rPr>
          <w:rFonts w:ascii="宋体" w:hAnsi="宋体"/>
          <w:b/>
          <w:bCs/>
          <w:color w:val="000000"/>
          <w:sz w:val="24"/>
        </w:rPr>
        <w:t>七</w:t>
      </w:r>
      <w:r>
        <w:rPr>
          <w:rFonts w:ascii="宋体" w:hAnsi="宋体" w:hint="eastAsia"/>
          <w:b/>
          <w:bCs/>
          <w:color w:val="000000"/>
          <w:sz w:val="24"/>
        </w:rPr>
        <w:t>）会计数据和财务指标的核对</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双方</w:t>
      </w:r>
      <w:proofErr w:type="gramStart"/>
      <w:r>
        <w:rPr>
          <w:rFonts w:ascii="宋体" w:hAnsi="宋体" w:hint="eastAsia"/>
          <w:color w:val="000000"/>
          <w:kern w:val="0"/>
          <w:sz w:val="24"/>
        </w:rPr>
        <w:t>应每个</w:t>
      </w:r>
      <w:proofErr w:type="gramEnd"/>
      <w:r>
        <w:rPr>
          <w:rFonts w:ascii="宋体" w:hAnsi="宋体" w:hint="eastAsia"/>
          <w:color w:val="000000"/>
          <w:kern w:val="0"/>
          <w:sz w:val="24"/>
        </w:rPr>
        <w:t>交易日核对账目，如发现双方的账目存在不符的，基金管理人和基金托管人必须及时查明原因并纠正，确保核对一致。若当日核对不符，暂时无法查找到错账的原因而影响到基金净值的计算和公告的，以基金管理人的账册为准。</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w:t>
      </w:r>
      <w:r>
        <w:rPr>
          <w:rFonts w:ascii="宋体" w:hAnsi="宋体"/>
          <w:b/>
          <w:bCs/>
          <w:color w:val="000000"/>
          <w:sz w:val="24"/>
        </w:rPr>
        <w:t>八</w:t>
      </w:r>
      <w:r>
        <w:rPr>
          <w:rFonts w:ascii="宋体" w:hAnsi="宋体" w:hint="eastAsia"/>
          <w:b/>
          <w:bCs/>
          <w:color w:val="000000"/>
          <w:sz w:val="24"/>
        </w:rPr>
        <w:t>）基金财务报表、定期报告、基金招募说明书和基金产品资料概要的编制和复核</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基金财务报表由基金管理人和基金托管人每</w:t>
      </w:r>
      <w:proofErr w:type="gramStart"/>
      <w:r>
        <w:rPr>
          <w:rFonts w:ascii="宋体" w:hAnsi="宋体" w:hint="eastAsia"/>
          <w:color w:val="000000"/>
          <w:kern w:val="0"/>
          <w:sz w:val="24"/>
        </w:rPr>
        <w:t>月分别独立</w:t>
      </w:r>
      <w:proofErr w:type="gramEnd"/>
      <w:r>
        <w:rPr>
          <w:rFonts w:ascii="宋体" w:hAnsi="宋体" w:hint="eastAsia"/>
          <w:color w:val="000000"/>
          <w:kern w:val="0"/>
          <w:sz w:val="24"/>
        </w:rPr>
        <w:t>编制。月度报表的编制，应于每月结束后</w:t>
      </w:r>
      <w:r>
        <w:rPr>
          <w:rFonts w:ascii="宋体" w:hAnsi="宋体"/>
          <w:color w:val="000000"/>
          <w:kern w:val="0"/>
          <w:sz w:val="24"/>
        </w:rPr>
        <w:t>5个工作日内完成。定期报告文件应按中国证监会</w:t>
      </w:r>
      <w:r>
        <w:rPr>
          <w:rFonts w:ascii="宋体" w:hAnsi="宋体" w:hint="eastAsia"/>
          <w:color w:val="000000"/>
          <w:kern w:val="0"/>
          <w:sz w:val="24"/>
        </w:rPr>
        <w:t>的要求公告。季度报表的编制，应于季度结束后</w:t>
      </w:r>
      <w:r>
        <w:rPr>
          <w:rFonts w:ascii="宋体" w:hAnsi="宋体"/>
          <w:color w:val="000000"/>
          <w:kern w:val="0"/>
          <w:sz w:val="24"/>
        </w:rPr>
        <w:t>15</w:t>
      </w:r>
      <w:r>
        <w:rPr>
          <w:rFonts w:ascii="宋体" w:hAnsi="宋体" w:hint="eastAsia"/>
          <w:color w:val="000000"/>
          <w:kern w:val="0"/>
          <w:sz w:val="24"/>
        </w:rPr>
        <w:t>个工作日内完成。《基金合同》生效后，基金招募说明书和基金产品资料概要的信息发生重大变更的，基金管理人应当在三个工作日内，更新基金招募说明书和基金产品资料概要并登载在规定网站上，其中基金产品资料概要还需登载在基金销售机构网站或营业网点；基金招募说明书和基金产品资料概要其他信息发生变更的，基金管理人至少每年更新一次；基金终止运作的，基金管理人不再更新基金招募说明书和基金产品资料概要。基金管理人在上半年结束之日起两个月内完成中期报告编制并公告；在每年结束之日起三个月内完成年度报告编制并公告。</w:t>
      </w:r>
      <w:r>
        <w:rPr>
          <w:rFonts w:ascii="宋体" w:hAnsi="宋体"/>
          <w:sz w:val="24"/>
        </w:rPr>
        <w:t>如果基金合同生效不足2个月的，基金管理人可以不编制当期季度报告、中期报告或者年度报告。</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基金管理人在月度报表完成当日，以约定方式将有关报表提供基金托管人；</w:t>
      </w:r>
      <w:r>
        <w:rPr>
          <w:rFonts w:ascii="宋体" w:hAnsi="宋体" w:hint="eastAsia"/>
          <w:color w:val="000000"/>
          <w:kern w:val="0"/>
          <w:sz w:val="24"/>
        </w:rPr>
        <w:lastRenderedPageBreak/>
        <w:t>基金托管人在</w:t>
      </w:r>
      <w:r>
        <w:rPr>
          <w:rFonts w:ascii="宋体" w:hAnsi="宋体"/>
          <w:color w:val="000000"/>
          <w:kern w:val="0"/>
          <w:sz w:val="24"/>
        </w:rPr>
        <w:t>2个工作日内</w:t>
      </w:r>
      <w:r>
        <w:rPr>
          <w:rFonts w:ascii="宋体" w:hAnsi="宋体" w:hint="eastAsia"/>
          <w:kern w:val="0"/>
          <w:sz w:val="24"/>
        </w:rPr>
        <w:t>对有关基金财务报告等信息</w:t>
      </w:r>
      <w:r>
        <w:rPr>
          <w:rFonts w:ascii="宋体" w:hAnsi="宋体"/>
          <w:color w:val="000000"/>
          <w:kern w:val="0"/>
          <w:sz w:val="24"/>
        </w:rPr>
        <w:t>进行复核，并将复核结果</w:t>
      </w:r>
      <w:r>
        <w:rPr>
          <w:rFonts w:ascii="宋体" w:hAnsi="宋体" w:hint="eastAsia"/>
          <w:color w:val="000000"/>
          <w:kern w:val="0"/>
          <w:sz w:val="24"/>
        </w:rPr>
        <w:t>反馈给基金管理人。</w:t>
      </w:r>
      <w:r>
        <w:rPr>
          <w:rFonts w:ascii="宋体" w:hAnsi="宋体" w:hint="eastAsia"/>
          <w:kern w:val="0"/>
          <w:sz w:val="24"/>
        </w:rPr>
        <w:t>对于季度报告、中期报告、年度报告等定期报告，基金管理人和基金托管人应在上述监管部门规定的时间内完成编制、复核及公告。基金托管人在对有关基金财务报告等信息复核过程中，发现双方的报表存在不符时，基金管理人和基金托管人应共同查明原因，进行调整，调整以双方认可的账务处理方式为准。如果基金管理人与基金托管人不能</w:t>
      </w:r>
      <w:proofErr w:type="gramStart"/>
      <w:r>
        <w:rPr>
          <w:rFonts w:ascii="宋体" w:hAnsi="宋体" w:hint="eastAsia"/>
          <w:kern w:val="0"/>
          <w:sz w:val="24"/>
        </w:rPr>
        <w:t>于应当</w:t>
      </w:r>
      <w:proofErr w:type="gramEnd"/>
      <w:r>
        <w:rPr>
          <w:rFonts w:ascii="宋体" w:hAnsi="宋体" w:hint="eastAsia"/>
          <w:kern w:val="0"/>
          <w:sz w:val="24"/>
        </w:rPr>
        <w:t>发布公告之日前就相关报表达成一致，基金管理人有权按照其编制的报表对外发布公告，基金托管人有权就相关情况报中国证监会备案。</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基金托管人在对财务报表、季度报告、中期报告或年度报告</w:t>
      </w:r>
      <w:r>
        <w:rPr>
          <w:rFonts w:ascii="宋体" w:hAnsi="宋体" w:hint="eastAsia"/>
          <w:kern w:val="0"/>
          <w:sz w:val="24"/>
        </w:rPr>
        <w:t>中有关基金财务报告等信息</w:t>
      </w:r>
      <w:r>
        <w:rPr>
          <w:rFonts w:ascii="宋体" w:hAnsi="宋体" w:hint="eastAsia"/>
          <w:color w:val="000000"/>
          <w:kern w:val="0"/>
          <w:sz w:val="24"/>
        </w:rPr>
        <w:t>复核完毕后，可以出具复核确认书（盖章）或以其他双方约定的方式确认，以</w:t>
      </w:r>
      <w:proofErr w:type="gramStart"/>
      <w:r>
        <w:rPr>
          <w:rFonts w:ascii="宋体" w:hAnsi="宋体" w:hint="eastAsia"/>
          <w:color w:val="000000"/>
          <w:kern w:val="0"/>
          <w:sz w:val="24"/>
        </w:rPr>
        <w:t>备有权</w:t>
      </w:r>
      <w:proofErr w:type="gramEnd"/>
      <w:r>
        <w:rPr>
          <w:rFonts w:ascii="宋体" w:hAnsi="宋体" w:hint="eastAsia"/>
          <w:color w:val="000000"/>
          <w:kern w:val="0"/>
          <w:sz w:val="24"/>
        </w:rPr>
        <w:t>机构对相关文件审核检查。</w:t>
      </w:r>
      <w:bookmarkStart w:id="81" w:name="_Toc22454461"/>
      <w:bookmarkStart w:id="82" w:name="_Toc466788859"/>
      <w:bookmarkStart w:id="83" w:name="_Toc125892445"/>
      <w:bookmarkStart w:id="84" w:name="_Toc523830000"/>
    </w:p>
    <w:p w:rsidR="00D06337" w:rsidRDefault="00D06337">
      <w:pPr>
        <w:tabs>
          <w:tab w:val="left" w:pos="1260"/>
        </w:tabs>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85" w:name="_Toc508720687"/>
      <w:r>
        <w:rPr>
          <w:rFonts w:hint="eastAsia"/>
        </w:rPr>
        <w:t>九、基金收益分配</w:t>
      </w:r>
      <w:bookmarkEnd w:id="81"/>
      <w:bookmarkEnd w:id="82"/>
      <w:bookmarkEnd w:id="83"/>
      <w:bookmarkEnd w:id="84"/>
      <w:bookmarkEnd w:id="85"/>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基金管理人与基金托管人按照《基金合同》的约定处理基金收益分配。</w:t>
      </w:r>
    </w:p>
    <w:p w:rsidR="00D06337" w:rsidRDefault="00D06337">
      <w:pPr>
        <w:tabs>
          <w:tab w:val="left" w:pos="1260"/>
        </w:tabs>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86" w:name="_Toc508720688"/>
      <w:bookmarkStart w:id="87" w:name="_Toc523830002"/>
      <w:bookmarkStart w:id="88" w:name="_Toc125892446"/>
      <w:bookmarkStart w:id="89" w:name="_Toc466788861"/>
      <w:bookmarkStart w:id="90" w:name="_Toc22454465"/>
      <w:r>
        <w:rPr>
          <w:rFonts w:hint="eastAsia"/>
        </w:rPr>
        <w:t>十、基金信息披露</w:t>
      </w:r>
      <w:bookmarkEnd w:id="86"/>
      <w:bookmarkEnd w:id="87"/>
      <w:bookmarkEnd w:id="88"/>
      <w:bookmarkEnd w:id="89"/>
      <w:bookmarkEnd w:id="90"/>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91" w:name="_Toc22454466"/>
      <w:bookmarkStart w:id="92" w:name="_Toc77663026"/>
      <w:r>
        <w:rPr>
          <w:rFonts w:ascii="宋体" w:hAnsi="宋体" w:hint="eastAsia"/>
          <w:b/>
          <w:bCs/>
          <w:color w:val="000000"/>
          <w:sz w:val="24"/>
        </w:rPr>
        <w:t>（一）保密义务</w:t>
      </w:r>
      <w:bookmarkEnd w:id="91"/>
      <w:bookmarkEnd w:id="92"/>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除按照《基金法》、《基金合同》、《信息披露办法》</w:t>
      </w:r>
      <w:r>
        <w:rPr>
          <w:rFonts w:ascii="宋体" w:hAnsi="宋体" w:hint="eastAsia"/>
          <w:kern w:val="0"/>
          <w:sz w:val="24"/>
        </w:rPr>
        <w:t>、</w:t>
      </w:r>
      <w:r>
        <w:rPr>
          <w:rFonts w:ascii="宋体" w:hAnsi="宋体"/>
          <w:kern w:val="0"/>
          <w:sz w:val="24"/>
        </w:rPr>
        <w:t>《</w:t>
      </w:r>
      <w:r>
        <w:rPr>
          <w:rFonts w:ascii="宋体" w:hAnsi="宋体" w:hint="eastAsia"/>
          <w:kern w:val="0"/>
          <w:sz w:val="24"/>
        </w:rPr>
        <w:t>流动性</w:t>
      </w:r>
      <w:r>
        <w:rPr>
          <w:rFonts w:ascii="宋体" w:hAnsi="宋体"/>
          <w:kern w:val="0"/>
          <w:sz w:val="24"/>
        </w:rPr>
        <w:t>风险管理规定》</w:t>
      </w:r>
      <w:r>
        <w:rPr>
          <w:rFonts w:ascii="宋体" w:hAnsi="宋体" w:hint="eastAsia"/>
          <w:color w:val="000000"/>
          <w:kern w:val="0"/>
          <w:sz w:val="24"/>
        </w:rPr>
        <w:t>及中国证监会关于基金信息披露的有关规定进行披露以外，基金管理人和基金托管人对公开披露前的基金信息、从对方获得的业务信息及其他不宜公开披露的基金信息应予保密。法律、法规另有规定的以及审计需要的除外。</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如下情况不应视为基金管理人或基金托管人违反保密义务：</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1、非因基金管理人和基金托管人的原因导致保密信息被披露、泄露或公开；</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2、基金管理人和基金托管人为遵守和服从法院判决、仲裁裁决或中国证监会等监管机构的命令决定所做出的信息披露或公开。</w:t>
      </w:r>
      <w:bookmarkStart w:id="93" w:name="_Toc22454467"/>
      <w:bookmarkStart w:id="94" w:name="_Toc77663027"/>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（二）基金管理人和基金托管人在基金信息披露中的职责和信息披露程序</w:t>
      </w:r>
      <w:bookmarkEnd w:id="93"/>
      <w:bookmarkEnd w:id="94"/>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和基金托管人应根据相关法律、法规、《基金合同》的规定各自承担相应的信息披露职责。基金托管人和基金管理人在信息披露过程中应以保护基金份额持有人利益为宗旨，诚实信用，严守秘密。基金管理人和基金托</w:t>
      </w:r>
      <w:r>
        <w:rPr>
          <w:rFonts w:ascii="宋体" w:hAnsi="宋体" w:hint="eastAsia"/>
          <w:color w:val="000000"/>
          <w:kern w:val="0"/>
          <w:sz w:val="24"/>
        </w:rPr>
        <w:lastRenderedPageBreak/>
        <w:t>管人负有积极配合、互相督促、彼此监督，保证其履行按照法定方式和时限披露的义务。</w:t>
      </w:r>
    </w:p>
    <w:p w:rsidR="00D06337" w:rsidRDefault="00F0626B">
      <w:pPr>
        <w:spacing w:line="360" w:lineRule="auto"/>
        <w:ind w:firstLineChars="200" w:firstLine="480"/>
        <w:rPr>
          <w:sz w:val="24"/>
        </w:rPr>
      </w:pPr>
      <w:r>
        <w:rPr>
          <w:rFonts w:ascii="宋体" w:hAnsi="宋体" w:hint="eastAsia"/>
          <w:color w:val="000000"/>
          <w:kern w:val="0"/>
          <w:sz w:val="24"/>
        </w:rPr>
        <w:t>本基金信息披露的文件，包括基金招募说明书、《基金合同》、基金托管协议、基金产品资料概要、基金份额发售公告、《基金合同》生效公告、基金净值信息、</w:t>
      </w:r>
      <w:r>
        <w:rPr>
          <w:rFonts w:hint="eastAsia"/>
          <w:bCs/>
          <w:sz w:val="24"/>
        </w:rPr>
        <w:t>基金份额折算日公告、基金份额折算结果公告、</w:t>
      </w:r>
      <w:r>
        <w:rPr>
          <w:sz w:val="24"/>
        </w:rPr>
        <w:t>基金份额上市交易公告书</w:t>
      </w:r>
      <w:r>
        <w:rPr>
          <w:rFonts w:hint="eastAsia"/>
          <w:sz w:val="24"/>
        </w:rPr>
        <w:t>、</w:t>
      </w:r>
      <w:r>
        <w:rPr>
          <w:bCs/>
          <w:sz w:val="24"/>
        </w:rPr>
        <w:t>申购赎回清单</w:t>
      </w:r>
      <w:r>
        <w:rPr>
          <w:rFonts w:hint="eastAsia"/>
          <w:bCs/>
          <w:sz w:val="24"/>
        </w:rPr>
        <w:t>、</w:t>
      </w:r>
      <w:r>
        <w:rPr>
          <w:bCs/>
          <w:sz w:val="24"/>
        </w:rPr>
        <w:t>基金份额申购、赎回对价</w:t>
      </w:r>
      <w:r>
        <w:rPr>
          <w:rFonts w:ascii="宋体" w:hAnsi="宋体" w:hint="eastAsia"/>
          <w:color w:val="000000"/>
          <w:kern w:val="0"/>
          <w:sz w:val="24"/>
        </w:rPr>
        <w:t>、基金定期报告（包括基金年度报告、基金中期报告和基金季度报告）、临时报告、澄清公告、清算报告、基金份额持有人大会决议、基金投资资产支持证券情况、基金投资股指期货情况、基金投资港股通标的股票情况、基金参与融资和转融通证券出借业务情况及中国证监会规定的其他必要的公告文件，由基金管理人拟定并公布。</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基金托管人应按本协议第八条第（八）款的规定对相关报告进行复核。基金</w:t>
      </w:r>
      <w:r>
        <w:rPr>
          <w:rFonts w:ascii="宋体" w:hAnsi="宋体" w:hint="eastAsia"/>
          <w:kern w:val="0"/>
          <w:sz w:val="24"/>
        </w:rPr>
        <w:t>年度报告</w:t>
      </w:r>
      <w:r>
        <w:rPr>
          <w:rFonts w:ascii="宋体" w:hAnsi="宋体"/>
          <w:kern w:val="0"/>
          <w:sz w:val="24"/>
        </w:rPr>
        <w:t>中的财务</w:t>
      </w:r>
      <w:r>
        <w:rPr>
          <w:rFonts w:ascii="宋体" w:hAnsi="宋体" w:hint="eastAsia"/>
          <w:kern w:val="0"/>
          <w:sz w:val="24"/>
        </w:rPr>
        <w:t>会计</w:t>
      </w:r>
      <w:r>
        <w:rPr>
          <w:rFonts w:ascii="宋体" w:hAnsi="宋体"/>
          <w:kern w:val="0"/>
          <w:sz w:val="24"/>
        </w:rPr>
        <w:t>报告</w:t>
      </w:r>
      <w:proofErr w:type="gramStart"/>
      <w:r>
        <w:rPr>
          <w:rFonts w:ascii="宋体" w:hAnsi="宋体" w:hint="eastAsia"/>
          <w:color w:val="000000"/>
          <w:kern w:val="0"/>
          <w:sz w:val="24"/>
        </w:rPr>
        <w:t>经符合</w:t>
      </w:r>
      <w:proofErr w:type="gramEnd"/>
      <w:r>
        <w:rPr>
          <w:rFonts w:ascii="宋体" w:hAnsi="宋体" w:hint="eastAsia"/>
          <w:color w:val="000000"/>
          <w:kern w:val="0"/>
          <w:sz w:val="24"/>
        </w:rPr>
        <w:t>《中华人民</w:t>
      </w:r>
      <w:r>
        <w:rPr>
          <w:rFonts w:ascii="宋体" w:hAnsi="宋体"/>
          <w:color w:val="000000"/>
          <w:kern w:val="0"/>
          <w:sz w:val="24"/>
        </w:rPr>
        <w:t>共和国证券法</w:t>
      </w:r>
      <w:r>
        <w:rPr>
          <w:rFonts w:ascii="宋体" w:hAnsi="宋体" w:hint="eastAsia"/>
          <w:color w:val="000000"/>
          <w:kern w:val="0"/>
          <w:sz w:val="24"/>
        </w:rPr>
        <w:t>》规定的会计师事务所审计后方可披露。</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本基金的信息披露公告，必须通过中国证监会规定媒介发布。</w:t>
      </w:r>
      <w:bookmarkStart w:id="95" w:name="_Toc466788862"/>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（三）暂停或延迟信息披露的情形</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当出现下述如暂停估值等情况时，基金管理人和基金托管人可暂停或延迟披露相关基金信息披露：</w:t>
      </w:r>
    </w:p>
    <w:p w:rsidR="00D06337" w:rsidRDefault="00F0626B">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rsidR="00D06337" w:rsidRDefault="00F0626B">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D06337" w:rsidRDefault="00F0626B">
      <w:pPr>
        <w:spacing w:line="360" w:lineRule="auto"/>
        <w:ind w:firstLineChars="200" w:firstLine="480"/>
        <w:rPr>
          <w:bCs/>
          <w:sz w:val="24"/>
        </w:rPr>
      </w:pPr>
      <w:r>
        <w:rPr>
          <w:bCs/>
          <w:sz w:val="24"/>
        </w:rPr>
        <w:t>3</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公允价值存在重大不确定性时，经与基金托管人协商一致的，基金管理人应当暂停估值；</w:t>
      </w:r>
    </w:p>
    <w:p w:rsidR="00D06337" w:rsidRDefault="00F0626B">
      <w:pPr>
        <w:spacing w:line="360" w:lineRule="auto"/>
        <w:ind w:firstLineChars="200" w:firstLine="48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（四）基金托管人报告</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基金托管人应按《基金法》和中国证监会的有关规定出具基金托管情况报告。基金托管人报告</w:t>
      </w:r>
      <w:proofErr w:type="gramStart"/>
      <w:r>
        <w:rPr>
          <w:rFonts w:ascii="宋体" w:hAnsi="宋体" w:hint="eastAsia"/>
          <w:color w:val="000000"/>
          <w:kern w:val="0"/>
          <w:sz w:val="24"/>
        </w:rPr>
        <w:t>说明该半年度</w:t>
      </w:r>
      <w:proofErr w:type="gramEnd"/>
      <w:r>
        <w:rPr>
          <w:rFonts w:ascii="宋体" w:hAnsi="宋体" w:hint="eastAsia"/>
          <w:color w:val="000000"/>
          <w:kern w:val="0"/>
          <w:sz w:val="24"/>
        </w:rPr>
        <w:t>/年度基金托管人和基金管理人履行《基金合同》的情况，是基金中期报告和年度报告的组成部分。</w:t>
      </w:r>
      <w:bookmarkStart w:id="96" w:name="_Toc125892447"/>
    </w:p>
    <w:p w:rsidR="00D06337" w:rsidRDefault="00D06337">
      <w:pPr>
        <w:tabs>
          <w:tab w:val="left" w:pos="1260"/>
        </w:tabs>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97" w:name="_Toc508720689"/>
      <w:r>
        <w:rPr>
          <w:rFonts w:hint="eastAsia"/>
        </w:rPr>
        <w:lastRenderedPageBreak/>
        <w:t>十一、基金费用</w:t>
      </w:r>
      <w:bookmarkEnd w:id="96"/>
      <w:bookmarkEnd w:id="97"/>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（一）基金托管人的托管费</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本基金的托管费按前一日基金资产净值的0.05%的年费率计提。托管费的计算方法如下：</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H＝E×0.05%÷当年天数</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H为每日应计提的基金托管费</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E为前一日的基金资产净值</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费每日计提，逐日累计至每月月末，按月支付。由基金管理人根据双方核对一致的数据向基金托管人发送划付指令，基金托管人于次月首日起5个工作日内从基金财产中一次性支取。若遇法定节假日、休息日或不可抗力致使无法按时支付的，顺延至最近可支付日支付。</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（二）其他基金费用按照《基金合同》的约定计提和支付。</w:t>
      </w:r>
    </w:p>
    <w:p w:rsidR="00D06337" w:rsidRDefault="00D06337">
      <w:pPr>
        <w:tabs>
          <w:tab w:val="left" w:pos="1260"/>
        </w:tabs>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98" w:name="_Toc125892448"/>
      <w:bookmarkStart w:id="99" w:name="_Toc508720690"/>
      <w:r>
        <w:rPr>
          <w:rFonts w:hint="eastAsia"/>
        </w:rPr>
        <w:t>十二、基金份额持有人名册的保管</w:t>
      </w:r>
      <w:bookmarkEnd w:id="98"/>
      <w:bookmarkEnd w:id="99"/>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基金管理人可委托基金登记机构登记和保管基金份额持有人名册。基金份额持有人名册的内容包括但不限于基金份额持有人的名称和持有的基金份额。</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份额持有人名册，包括基金合同生效日的基金份额持有人名册、基金合同终止日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基金管理人应根据基金托管人的要求定期和不定期向基金托管人提供基金份额持有人名册。</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（一）基金管理人于《基金合同》生效日及《基金合同》终止日后10个工作日内向基金托管人提供由登记机构编制的基金份额持有人名册；</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（二）基金管理人于基金份额持有人大会权益登记日后5个工作日内向基金托管人提供由登记机构编制的基金份额持有人名册；</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（三）基金管理人于每年最后一个交易日后10个工作日内向基金托管人提供由登记机构编制的基金份额持有人名册；</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（四）除上述约定时间外，如果确因业务需要，基金托管人与基金管理人商议一致后，由基金管理人向基金托管人提供由登记机构编制的基金份额持有人名册。</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基金托管人以电子版形式妥善保管基金份额持有人名册，并定期刻成光盘备份，保存期限</w:t>
      </w:r>
      <w:r>
        <w:rPr>
          <w:bCs/>
          <w:color w:val="000000"/>
          <w:sz w:val="24"/>
        </w:rPr>
        <w:t>不低于</w:t>
      </w:r>
      <w:r>
        <w:rPr>
          <w:color w:val="000000"/>
          <w:sz w:val="24"/>
        </w:rPr>
        <w:t>法律法规规定的</w:t>
      </w:r>
      <w:r>
        <w:rPr>
          <w:bCs/>
          <w:color w:val="000000"/>
          <w:sz w:val="24"/>
        </w:rPr>
        <w:t>最低年限</w:t>
      </w:r>
      <w:r>
        <w:rPr>
          <w:rFonts w:ascii="宋体" w:hAnsi="宋体" w:hint="eastAsia"/>
          <w:color w:val="000000"/>
          <w:kern w:val="0"/>
          <w:sz w:val="24"/>
        </w:rPr>
        <w:t>。基金托管人不得将所保管的基金份额持有人名册用于基金托管业务以外的其他用途，并应遵守保密义务。</w:t>
      </w:r>
      <w:bookmarkStart w:id="100" w:name="_Toc125892449"/>
      <w:bookmarkStart w:id="101" w:name="_Toc22454468"/>
      <w:bookmarkStart w:id="102" w:name="_Toc523830003"/>
      <w:proofErr w:type="gramStart"/>
      <w:r>
        <w:rPr>
          <w:rFonts w:ascii="宋体" w:hAnsi="宋体" w:hint="eastAsia"/>
          <w:color w:val="000000"/>
          <w:kern w:val="0"/>
          <w:sz w:val="24"/>
        </w:rPr>
        <w:t>若基金</w:t>
      </w:r>
      <w:proofErr w:type="gramEnd"/>
      <w:r>
        <w:rPr>
          <w:rFonts w:ascii="宋体" w:hAnsi="宋体" w:hint="eastAsia"/>
          <w:color w:val="000000"/>
          <w:kern w:val="0"/>
          <w:sz w:val="24"/>
        </w:rPr>
        <w:t>管理人或基金托管人由于自身原因无法妥善保管基金份额持有人名册，应按有关法规规定各自承担相应的责任。</w:t>
      </w:r>
    </w:p>
    <w:p w:rsidR="00D06337" w:rsidRDefault="00D06337">
      <w:pPr>
        <w:tabs>
          <w:tab w:val="left" w:pos="1260"/>
        </w:tabs>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103" w:name="_Toc508720691"/>
      <w:r>
        <w:rPr>
          <w:rFonts w:hint="eastAsia"/>
        </w:rPr>
        <w:t>十三、基金有关文件档案的保存</w:t>
      </w:r>
      <w:bookmarkEnd w:id="95"/>
      <w:bookmarkEnd w:id="100"/>
      <w:bookmarkEnd w:id="101"/>
      <w:bookmarkEnd w:id="102"/>
      <w:bookmarkEnd w:id="103"/>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基金管理人应保存基金财产管理业务活动的记录、账册、报表和其他相关资料，基金托管人应保存基金托管业务活动的记录、账册、报表和其他相关资料。</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基金管理人和基金托管人应按各自职责完整保存原始凭证、记账凭证、基金账册、会计报告、交易记录和重要合同等，保存期限</w:t>
      </w:r>
      <w:r>
        <w:rPr>
          <w:bCs/>
          <w:color w:val="000000"/>
          <w:sz w:val="24"/>
        </w:rPr>
        <w:t>不低于</w:t>
      </w:r>
      <w:r>
        <w:rPr>
          <w:color w:val="000000"/>
          <w:sz w:val="24"/>
        </w:rPr>
        <w:t>法律法规规定的</w:t>
      </w:r>
      <w:r>
        <w:rPr>
          <w:bCs/>
          <w:color w:val="000000"/>
          <w:sz w:val="24"/>
        </w:rPr>
        <w:t>最低年限</w:t>
      </w:r>
      <w:r>
        <w:rPr>
          <w:rFonts w:ascii="宋体" w:hAnsi="宋体" w:hint="eastAsia"/>
          <w:color w:val="000000"/>
          <w:kern w:val="0"/>
          <w:sz w:val="24"/>
        </w:rPr>
        <w:t>。</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sz w:val="24"/>
        </w:rPr>
        <w:t>除本协议另有约定外，</w:t>
      </w:r>
      <w:r>
        <w:rPr>
          <w:rFonts w:ascii="宋体" w:hAnsi="宋体" w:hint="eastAsia"/>
          <w:color w:val="000000"/>
          <w:kern w:val="0"/>
          <w:sz w:val="24"/>
        </w:rPr>
        <w:t>基金管理人签署重大合同文本后，应及时将合同文本正本送达基金托管人处。基金管理人应及时将与本基金账务处理、资金划拨等有关的合同、协议传真给基金托管人。</w:t>
      </w:r>
    </w:p>
    <w:p w:rsidR="00D06337" w:rsidRDefault="00F0626B">
      <w:pPr>
        <w:tabs>
          <w:tab w:val="left" w:pos="1260"/>
        </w:tabs>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基金管理人或基金托管人变更后，未变更的一方有义务协助接任人接收基金的有关文件。</w:t>
      </w:r>
      <w:bookmarkStart w:id="104" w:name="_Toc125892450"/>
      <w:bookmarkStart w:id="105" w:name="_Toc523830005"/>
      <w:bookmarkStart w:id="106" w:name="_Toc22454470"/>
      <w:bookmarkStart w:id="107" w:name="_Toc466788864"/>
    </w:p>
    <w:p w:rsidR="00D06337" w:rsidRDefault="00D06337">
      <w:pPr>
        <w:tabs>
          <w:tab w:val="left" w:pos="1260"/>
        </w:tabs>
        <w:spacing w:line="360" w:lineRule="auto"/>
        <w:ind w:firstLineChars="200" w:firstLine="480"/>
        <w:rPr>
          <w:rFonts w:ascii="宋体" w:hAnsi="宋体"/>
          <w:color w:val="000000"/>
          <w:kern w:val="0"/>
          <w:sz w:val="24"/>
        </w:rPr>
      </w:pPr>
    </w:p>
    <w:p w:rsidR="00D06337" w:rsidRDefault="00F0626B">
      <w:pPr>
        <w:pStyle w:val="1"/>
        <w:spacing w:before="0" w:after="0"/>
        <w:ind w:firstLineChars="200" w:firstLine="482"/>
      </w:pPr>
      <w:bookmarkStart w:id="108" w:name="_Toc508720692"/>
      <w:r>
        <w:rPr>
          <w:rFonts w:hint="eastAsia"/>
        </w:rPr>
        <w:t>十四、基金管理人和基金托管人的更换</w:t>
      </w:r>
      <w:bookmarkEnd w:id="104"/>
      <w:bookmarkEnd w:id="105"/>
      <w:bookmarkEnd w:id="106"/>
      <w:bookmarkEnd w:id="107"/>
      <w:bookmarkEnd w:id="108"/>
    </w:p>
    <w:p w:rsidR="00D06337" w:rsidRDefault="00F0626B">
      <w:pPr>
        <w:spacing w:line="360" w:lineRule="auto"/>
        <w:ind w:firstLineChars="200" w:firstLine="480"/>
        <w:rPr>
          <w:bCs/>
          <w:sz w:val="24"/>
        </w:rPr>
      </w:pPr>
      <w:bookmarkStart w:id="109" w:name="_Toc22454471"/>
      <w:bookmarkStart w:id="110" w:name="_Toc77663031"/>
      <w:r>
        <w:rPr>
          <w:rFonts w:hint="eastAsia"/>
          <w:bCs/>
          <w:sz w:val="24"/>
        </w:rPr>
        <w:t>（</w:t>
      </w:r>
      <w:r>
        <w:rPr>
          <w:bCs/>
          <w:sz w:val="24"/>
        </w:rPr>
        <w:t>一</w:t>
      </w:r>
      <w:r>
        <w:rPr>
          <w:rFonts w:hint="eastAsia"/>
          <w:bCs/>
          <w:sz w:val="24"/>
        </w:rPr>
        <w:t>）</w:t>
      </w:r>
      <w:r>
        <w:rPr>
          <w:bCs/>
          <w:sz w:val="24"/>
        </w:rPr>
        <w:t>基金管理人和基金托管人职责终止的情形</w:t>
      </w:r>
    </w:p>
    <w:p w:rsidR="00D06337" w:rsidRDefault="00F0626B">
      <w:pPr>
        <w:spacing w:line="360" w:lineRule="auto"/>
        <w:ind w:firstLineChars="200" w:firstLine="480"/>
        <w:rPr>
          <w:bCs/>
          <w:sz w:val="24"/>
        </w:rPr>
      </w:pPr>
      <w:bookmarkStart w:id="111" w:name="_Toc22005971"/>
      <w:r>
        <w:rPr>
          <w:rFonts w:hint="eastAsia"/>
          <w:bCs/>
          <w:sz w:val="24"/>
        </w:rPr>
        <w:t>1</w:t>
      </w:r>
      <w:r>
        <w:rPr>
          <w:rFonts w:hint="eastAsia"/>
          <w:bCs/>
          <w:sz w:val="24"/>
        </w:rPr>
        <w:t>、</w:t>
      </w:r>
      <w:r>
        <w:rPr>
          <w:bCs/>
          <w:sz w:val="24"/>
        </w:rPr>
        <w:t>基金管理人职责终止的情形</w:t>
      </w:r>
      <w:bookmarkEnd w:id="111"/>
    </w:p>
    <w:p w:rsidR="00D06337" w:rsidRDefault="00F0626B">
      <w:pPr>
        <w:spacing w:line="360" w:lineRule="auto"/>
        <w:ind w:firstLineChars="200" w:firstLine="480"/>
        <w:rPr>
          <w:bCs/>
          <w:sz w:val="24"/>
        </w:rPr>
      </w:pPr>
      <w:r>
        <w:rPr>
          <w:bCs/>
          <w:sz w:val="24"/>
        </w:rPr>
        <w:t>有下列情形之一的，基金管理人职责终止：</w:t>
      </w:r>
    </w:p>
    <w:p w:rsidR="00D06337" w:rsidRDefault="00F0626B">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被依法取消基金管理资格；</w:t>
      </w:r>
    </w:p>
    <w:p w:rsidR="00D06337" w:rsidRDefault="00F0626B">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被基金份额持有人大会解任；</w:t>
      </w:r>
    </w:p>
    <w:p w:rsidR="00D06337" w:rsidRDefault="00F0626B">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依法解散、被依法撤销或被依法宣告破产；</w:t>
      </w:r>
    </w:p>
    <w:p w:rsidR="00D06337" w:rsidRDefault="00F0626B">
      <w:pPr>
        <w:spacing w:line="360" w:lineRule="auto"/>
        <w:ind w:firstLineChars="200" w:firstLine="480"/>
        <w:rPr>
          <w:bCs/>
          <w:sz w:val="24"/>
        </w:rPr>
      </w:pPr>
      <w:r>
        <w:rPr>
          <w:rFonts w:hint="eastAsia"/>
          <w:bCs/>
          <w:sz w:val="24"/>
        </w:rPr>
        <w:lastRenderedPageBreak/>
        <w:t>（</w:t>
      </w:r>
      <w:r>
        <w:rPr>
          <w:bCs/>
          <w:sz w:val="24"/>
        </w:rPr>
        <w:t>4</w:t>
      </w:r>
      <w:r>
        <w:rPr>
          <w:rFonts w:hint="eastAsia"/>
          <w:bCs/>
          <w:sz w:val="24"/>
        </w:rPr>
        <w:t>）法律法规及中国证监会规定的和《基金合同》约定的其他</w:t>
      </w:r>
      <w:r>
        <w:rPr>
          <w:bCs/>
          <w:sz w:val="24"/>
        </w:rPr>
        <w:t>情形。</w:t>
      </w:r>
    </w:p>
    <w:p w:rsidR="00D06337" w:rsidRDefault="00F0626B">
      <w:pPr>
        <w:spacing w:line="360" w:lineRule="auto"/>
        <w:ind w:firstLineChars="200" w:firstLine="480"/>
        <w:rPr>
          <w:bCs/>
          <w:sz w:val="24"/>
        </w:rPr>
      </w:pPr>
      <w:bookmarkStart w:id="112" w:name="_Toc22005972"/>
      <w:r>
        <w:rPr>
          <w:rFonts w:hint="eastAsia"/>
          <w:bCs/>
          <w:sz w:val="24"/>
        </w:rPr>
        <w:t>2</w:t>
      </w:r>
      <w:r>
        <w:rPr>
          <w:rFonts w:hint="eastAsia"/>
          <w:bCs/>
          <w:sz w:val="24"/>
        </w:rPr>
        <w:t>、</w:t>
      </w:r>
      <w:r>
        <w:rPr>
          <w:bCs/>
          <w:sz w:val="24"/>
        </w:rPr>
        <w:t>基金托管人职责终止的情形</w:t>
      </w:r>
      <w:bookmarkEnd w:id="112"/>
    </w:p>
    <w:p w:rsidR="00D06337" w:rsidRDefault="00F0626B">
      <w:pPr>
        <w:spacing w:line="360" w:lineRule="auto"/>
        <w:ind w:firstLineChars="200" w:firstLine="480"/>
        <w:rPr>
          <w:bCs/>
          <w:sz w:val="24"/>
        </w:rPr>
      </w:pPr>
      <w:r>
        <w:rPr>
          <w:bCs/>
          <w:sz w:val="24"/>
        </w:rPr>
        <w:t>有下列情形之一的，基金托管人职责终止：</w:t>
      </w:r>
    </w:p>
    <w:p w:rsidR="00D06337" w:rsidRDefault="00F0626B">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被依法取消基金托管资格；</w:t>
      </w:r>
    </w:p>
    <w:p w:rsidR="00D06337" w:rsidRDefault="00F0626B">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被基金份额持有人大会解任；</w:t>
      </w:r>
    </w:p>
    <w:p w:rsidR="00D06337" w:rsidRDefault="00F0626B">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依法解散、被依法撤销或被依法宣告破产；</w:t>
      </w:r>
    </w:p>
    <w:p w:rsidR="00D06337" w:rsidRDefault="00F0626B">
      <w:pPr>
        <w:spacing w:line="360" w:lineRule="auto"/>
        <w:ind w:firstLineChars="200" w:firstLine="480"/>
        <w:rPr>
          <w:bCs/>
          <w:sz w:val="24"/>
        </w:rPr>
      </w:pPr>
      <w:r>
        <w:rPr>
          <w:rFonts w:hint="eastAsia"/>
          <w:bCs/>
          <w:sz w:val="24"/>
        </w:rPr>
        <w:t>（</w:t>
      </w:r>
      <w:r>
        <w:rPr>
          <w:bCs/>
          <w:sz w:val="24"/>
        </w:rPr>
        <w:t>4</w:t>
      </w:r>
      <w:r>
        <w:rPr>
          <w:rFonts w:hint="eastAsia"/>
          <w:bCs/>
          <w:sz w:val="24"/>
        </w:rPr>
        <w:t>）法律法规及中国证监会规定的和《基金合同》约定的其他</w:t>
      </w:r>
      <w:r>
        <w:rPr>
          <w:bCs/>
          <w:sz w:val="24"/>
        </w:rPr>
        <w:t>情形。</w:t>
      </w:r>
    </w:p>
    <w:p w:rsidR="00D06337" w:rsidRDefault="00F0626B">
      <w:pPr>
        <w:spacing w:line="360" w:lineRule="auto"/>
        <w:ind w:firstLineChars="200" w:firstLine="480"/>
        <w:rPr>
          <w:bCs/>
          <w:sz w:val="24"/>
        </w:rPr>
      </w:pPr>
      <w:bookmarkStart w:id="113" w:name="_Toc79392594"/>
      <w:bookmarkStart w:id="114" w:name="_Toc57530253"/>
      <w:bookmarkStart w:id="115" w:name="_Toc15118246"/>
      <w:r>
        <w:rPr>
          <w:rFonts w:hint="eastAsia"/>
          <w:bCs/>
          <w:sz w:val="24"/>
        </w:rPr>
        <w:t>（</w:t>
      </w:r>
      <w:r>
        <w:rPr>
          <w:bCs/>
          <w:sz w:val="24"/>
        </w:rPr>
        <w:t>二</w:t>
      </w:r>
      <w:r>
        <w:rPr>
          <w:rFonts w:hint="eastAsia"/>
          <w:bCs/>
          <w:sz w:val="24"/>
        </w:rPr>
        <w:t>）</w:t>
      </w:r>
      <w:r>
        <w:rPr>
          <w:bCs/>
          <w:sz w:val="24"/>
        </w:rPr>
        <w:t>基金管理人和基金托管人的更换程序</w:t>
      </w:r>
      <w:bookmarkEnd w:id="113"/>
      <w:bookmarkEnd w:id="114"/>
      <w:bookmarkEnd w:id="115"/>
    </w:p>
    <w:p w:rsidR="00D06337" w:rsidRDefault="00F0626B">
      <w:pPr>
        <w:spacing w:line="360" w:lineRule="auto"/>
        <w:ind w:firstLineChars="200" w:firstLine="480"/>
        <w:rPr>
          <w:bCs/>
          <w:sz w:val="24"/>
        </w:rPr>
      </w:pPr>
      <w:bookmarkStart w:id="116" w:name="_Toc22005974"/>
      <w:r>
        <w:rPr>
          <w:rFonts w:hint="eastAsia"/>
          <w:bCs/>
          <w:sz w:val="24"/>
        </w:rPr>
        <w:t>1</w:t>
      </w:r>
      <w:r>
        <w:rPr>
          <w:rFonts w:hint="eastAsia"/>
          <w:bCs/>
          <w:sz w:val="24"/>
        </w:rPr>
        <w:t>、</w:t>
      </w:r>
      <w:r>
        <w:rPr>
          <w:bCs/>
          <w:sz w:val="24"/>
        </w:rPr>
        <w:t>基金管理人的更换程序</w:t>
      </w:r>
      <w:bookmarkEnd w:id="116"/>
    </w:p>
    <w:p w:rsidR="00D06337" w:rsidRDefault="00F0626B">
      <w:pPr>
        <w:spacing w:line="360" w:lineRule="auto"/>
        <w:ind w:firstLineChars="200" w:firstLine="480"/>
        <w:rPr>
          <w:bCs/>
          <w:sz w:val="24"/>
        </w:rPr>
      </w:pPr>
      <w:r>
        <w:rPr>
          <w:rFonts w:hint="eastAsia"/>
          <w:bCs/>
          <w:sz w:val="24"/>
        </w:rPr>
        <w:t>（</w:t>
      </w:r>
      <w:r>
        <w:rPr>
          <w:bCs/>
          <w:sz w:val="24"/>
        </w:rPr>
        <w:t>1</w:t>
      </w:r>
      <w:r>
        <w:rPr>
          <w:rFonts w:hint="eastAsia"/>
          <w:bCs/>
          <w:sz w:val="24"/>
        </w:rPr>
        <w:t>）</w:t>
      </w:r>
      <w:r>
        <w:rPr>
          <w:bCs/>
          <w:sz w:val="24"/>
        </w:rPr>
        <w:t>提名：</w:t>
      </w:r>
      <w:proofErr w:type="gramStart"/>
      <w:r>
        <w:rPr>
          <w:bCs/>
          <w:sz w:val="24"/>
        </w:rPr>
        <w:t>新任基金</w:t>
      </w:r>
      <w:proofErr w:type="gramEnd"/>
      <w:r>
        <w:rPr>
          <w:bCs/>
          <w:sz w:val="24"/>
        </w:rPr>
        <w:t>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rsidR="00D06337" w:rsidRDefault="00F0626B">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决议：基金份额持有人大会在基金管理人职责终止后</w:t>
      </w:r>
      <w:r>
        <w:rPr>
          <w:rFonts w:hint="eastAsia"/>
          <w:sz w:val="24"/>
        </w:rPr>
        <w:t>6</w:t>
      </w:r>
      <w:r>
        <w:rPr>
          <w:sz w:val="24"/>
        </w:rPr>
        <w:t>个月内</w:t>
      </w:r>
      <w:r>
        <w:rPr>
          <w:bCs/>
          <w:sz w:val="24"/>
        </w:rPr>
        <w:t>对被提名的</w:t>
      </w:r>
      <w:proofErr w:type="gramStart"/>
      <w:r>
        <w:rPr>
          <w:rFonts w:hint="eastAsia"/>
          <w:bCs/>
          <w:sz w:val="24"/>
        </w:rPr>
        <w:t>新任</w:t>
      </w:r>
      <w:r>
        <w:rPr>
          <w:bCs/>
          <w:sz w:val="24"/>
        </w:rPr>
        <w:t>基金</w:t>
      </w:r>
      <w:proofErr w:type="gramEnd"/>
      <w:r>
        <w:rPr>
          <w:bCs/>
          <w:sz w:val="24"/>
        </w:rPr>
        <w:t>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r>
        <w:rPr>
          <w:rFonts w:hint="eastAsia"/>
          <w:bCs/>
          <w:sz w:val="24"/>
        </w:rPr>
        <w:t>，</w:t>
      </w:r>
      <w:proofErr w:type="gramStart"/>
      <w:r>
        <w:rPr>
          <w:rFonts w:hint="eastAsia"/>
          <w:bCs/>
          <w:sz w:val="24"/>
        </w:rPr>
        <w:t>新任基金</w:t>
      </w:r>
      <w:proofErr w:type="gramEnd"/>
      <w:r>
        <w:rPr>
          <w:rFonts w:hint="eastAsia"/>
          <w:bCs/>
          <w:sz w:val="24"/>
        </w:rPr>
        <w:t>管理人应当符合法律法规及中国证监会规定的资格条件</w:t>
      </w:r>
      <w:r>
        <w:rPr>
          <w:sz w:val="24"/>
        </w:rPr>
        <w:t>；</w:t>
      </w:r>
    </w:p>
    <w:p w:rsidR="00D06337" w:rsidRDefault="00F0626B">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临时基金管理人：</w:t>
      </w:r>
      <w:proofErr w:type="gramStart"/>
      <w:r>
        <w:rPr>
          <w:bCs/>
          <w:sz w:val="24"/>
        </w:rPr>
        <w:t>新任基金</w:t>
      </w:r>
      <w:proofErr w:type="gramEnd"/>
      <w:r>
        <w:rPr>
          <w:bCs/>
          <w:sz w:val="24"/>
        </w:rPr>
        <w:t>管理人产生之前，由中国证监会指定临时基金管理人；</w:t>
      </w:r>
    </w:p>
    <w:p w:rsidR="00D06337" w:rsidRDefault="00F0626B">
      <w:pPr>
        <w:spacing w:line="360" w:lineRule="auto"/>
        <w:ind w:firstLineChars="200" w:firstLine="480"/>
        <w:rPr>
          <w:bCs/>
          <w:sz w:val="24"/>
        </w:rPr>
      </w:pPr>
      <w:r>
        <w:rPr>
          <w:rFonts w:hint="eastAsia"/>
          <w:bCs/>
          <w:sz w:val="24"/>
        </w:rPr>
        <w:t>（</w:t>
      </w:r>
      <w:r>
        <w:rPr>
          <w:bCs/>
          <w:sz w:val="24"/>
        </w:rPr>
        <w:t>4</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D06337" w:rsidRDefault="00F0626B">
      <w:pPr>
        <w:spacing w:line="360" w:lineRule="auto"/>
        <w:ind w:firstLineChars="200" w:firstLine="480"/>
        <w:rPr>
          <w:bCs/>
          <w:sz w:val="24"/>
        </w:rPr>
      </w:pPr>
      <w:r>
        <w:rPr>
          <w:rFonts w:hint="eastAsia"/>
          <w:bCs/>
          <w:sz w:val="24"/>
        </w:rPr>
        <w:t>（</w:t>
      </w:r>
      <w:r>
        <w:rPr>
          <w:bCs/>
          <w:sz w:val="24"/>
        </w:rPr>
        <w:t>5</w:t>
      </w:r>
      <w:r>
        <w:rPr>
          <w:rFonts w:hint="eastAsia"/>
          <w:bCs/>
          <w:sz w:val="24"/>
        </w:rPr>
        <w:t>）</w:t>
      </w:r>
      <w:r>
        <w:rPr>
          <w:bCs/>
          <w:sz w:val="24"/>
        </w:rPr>
        <w:t>公告：基金管理人更换后，由基金托管人在</w:t>
      </w:r>
      <w:r>
        <w:rPr>
          <w:sz w:val="24"/>
        </w:rPr>
        <w:t>更换基金管理人的基金份额持有人大会决议生效后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D06337" w:rsidRDefault="00F0626B">
      <w:pPr>
        <w:spacing w:line="360" w:lineRule="auto"/>
        <w:ind w:firstLineChars="200" w:firstLine="480"/>
        <w:rPr>
          <w:bCs/>
          <w:sz w:val="24"/>
        </w:rPr>
      </w:pPr>
      <w:r>
        <w:rPr>
          <w:rFonts w:hint="eastAsia"/>
          <w:bCs/>
          <w:sz w:val="24"/>
        </w:rPr>
        <w:t>（</w:t>
      </w:r>
      <w:r>
        <w:rPr>
          <w:bCs/>
          <w:sz w:val="24"/>
        </w:rPr>
        <w:t>6</w:t>
      </w:r>
      <w:r>
        <w:rPr>
          <w:rFonts w:hint="eastAsia"/>
          <w:bCs/>
          <w:sz w:val="24"/>
        </w:rPr>
        <w:t>）</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或者临时基金管理人</w:t>
      </w:r>
      <w:r>
        <w:rPr>
          <w:bCs/>
          <w:sz w:val="24"/>
        </w:rPr>
        <w:t>应与基金托管人核对基金资产总值</w:t>
      </w:r>
      <w:r>
        <w:rPr>
          <w:rFonts w:hint="eastAsia"/>
          <w:bCs/>
          <w:sz w:val="24"/>
        </w:rPr>
        <w:t>和</w:t>
      </w:r>
      <w:r>
        <w:rPr>
          <w:bCs/>
          <w:sz w:val="24"/>
        </w:rPr>
        <w:t>净值；</w:t>
      </w:r>
    </w:p>
    <w:p w:rsidR="00D06337" w:rsidRDefault="00F0626B">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rsidR="00D06337" w:rsidRDefault="00F0626B">
      <w:pPr>
        <w:spacing w:line="360" w:lineRule="auto"/>
        <w:ind w:firstLineChars="200" w:firstLine="480"/>
        <w:rPr>
          <w:bCs/>
          <w:sz w:val="24"/>
        </w:rPr>
      </w:pPr>
      <w:r>
        <w:rPr>
          <w:rFonts w:hint="eastAsia"/>
          <w:bCs/>
          <w:sz w:val="24"/>
        </w:rPr>
        <w:t>（</w:t>
      </w:r>
      <w:r>
        <w:rPr>
          <w:bCs/>
          <w:sz w:val="24"/>
        </w:rPr>
        <w:t>8</w:t>
      </w:r>
      <w:r>
        <w:rPr>
          <w:rFonts w:hint="eastAsia"/>
          <w:bCs/>
          <w:sz w:val="24"/>
        </w:rPr>
        <w:t>）</w:t>
      </w:r>
      <w:r>
        <w:rPr>
          <w:bCs/>
          <w:sz w:val="24"/>
        </w:rPr>
        <w:t>基金名称变更：基金管理人更换后，如果原任或</w:t>
      </w:r>
      <w:proofErr w:type="gramStart"/>
      <w:r>
        <w:rPr>
          <w:bCs/>
          <w:sz w:val="24"/>
        </w:rPr>
        <w:t>新任基金</w:t>
      </w:r>
      <w:proofErr w:type="gramEnd"/>
      <w:r>
        <w:rPr>
          <w:bCs/>
          <w:sz w:val="24"/>
        </w:rPr>
        <w:t>管理人要求，</w:t>
      </w:r>
      <w:r>
        <w:rPr>
          <w:bCs/>
          <w:sz w:val="24"/>
        </w:rPr>
        <w:lastRenderedPageBreak/>
        <w:t>应按其要求替换或删除基金名称中与原</w:t>
      </w:r>
      <w:r>
        <w:rPr>
          <w:rFonts w:hint="eastAsia"/>
          <w:bCs/>
          <w:sz w:val="24"/>
        </w:rPr>
        <w:t>任</w:t>
      </w:r>
      <w:r>
        <w:rPr>
          <w:bCs/>
          <w:sz w:val="24"/>
        </w:rPr>
        <w:t>基金管理人有关的名称字样。</w:t>
      </w:r>
    </w:p>
    <w:p w:rsidR="00D06337" w:rsidRDefault="00F0626B">
      <w:pPr>
        <w:spacing w:line="360" w:lineRule="auto"/>
        <w:ind w:firstLineChars="200" w:firstLine="480"/>
        <w:rPr>
          <w:bCs/>
          <w:sz w:val="24"/>
        </w:rPr>
      </w:pPr>
      <w:bookmarkStart w:id="117" w:name="_Toc22005975"/>
      <w:r>
        <w:rPr>
          <w:rFonts w:hint="eastAsia"/>
          <w:bCs/>
          <w:sz w:val="24"/>
        </w:rPr>
        <w:t>2</w:t>
      </w:r>
      <w:r>
        <w:rPr>
          <w:rFonts w:hint="eastAsia"/>
          <w:bCs/>
          <w:sz w:val="24"/>
        </w:rPr>
        <w:t>、</w:t>
      </w:r>
      <w:r>
        <w:rPr>
          <w:bCs/>
          <w:sz w:val="24"/>
        </w:rPr>
        <w:t>基金托管人的更换程序</w:t>
      </w:r>
      <w:bookmarkEnd w:id="117"/>
    </w:p>
    <w:p w:rsidR="00D06337" w:rsidRDefault="00F0626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提名：</w:t>
      </w:r>
      <w:proofErr w:type="gramStart"/>
      <w:r>
        <w:rPr>
          <w:bCs/>
          <w:sz w:val="24"/>
        </w:rPr>
        <w:t>新任基金</w:t>
      </w:r>
      <w:proofErr w:type="gramEnd"/>
      <w:r>
        <w:rPr>
          <w:bCs/>
          <w:sz w:val="24"/>
        </w:rPr>
        <w:t>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rsidR="00D06337" w:rsidRDefault="00F0626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决议：基金份额持有人大会在基金托管人职责终止后</w:t>
      </w:r>
      <w:r>
        <w:rPr>
          <w:rFonts w:hint="eastAsia"/>
          <w:sz w:val="24"/>
        </w:rPr>
        <w:t>6</w:t>
      </w:r>
      <w:r>
        <w:rPr>
          <w:sz w:val="24"/>
        </w:rPr>
        <w:t>个月内</w:t>
      </w:r>
      <w:r>
        <w:rPr>
          <w:bCs/>
          <w:sz w:val="24"/>
        </w:rPr>
        <w:t>对被提名的</w:t>
      </w:r>
      <w:proofErr w:type="gramStart"/>
      <w:r>
        <w:rPr>
          <w:bCs/>
          <w:sz w:val="24"/>
        </w:rPr>
        <w:t>新任基金</w:t>
      </w:r>
      <w:proofErr w:type="gramEnd"/>
      <w:r>
        <w:rPr>
          <w:bCs/>
          <w:sz w:val="24"/>
        </w:rPr>
        <w:t>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rFonts w:hint="eastAsia"/>
          <w:bCs/>
          <w:sz w:val="24"/>
        </w:rPr>
        <w:t>，</w:t>
      </w:r>
      <w:proofErr w:type="gramStart"/>
      <w:r>
        <w:rPr>
          <w:rFonts w:hint="eastAsia"/>
          <w:bCs/>
          <w:sz w:val="24"/>
        </w:rPr>
        <w:t>新任基金</w:t>
      </w:r>
      <w:proofErr w:type="gramEnd"/>
      <w:r>
        <w:rPr>
          <w:rFonts w:hint="eastAsia"/>
          <w:bCs/>
          <w:sz w:val="24"/>
        </w:rPr>
        <w:t>托管人应当符合法律法规及中国证监会规定的资格条件</w:t>
      </w:r>
      <w:r>
        <w:rPr>
          <w:bCs/>
          <w:sz w:val="24"/>
        </w:rPr>
        <w:t>；</w:t>
      </w:r>
    </w:p>
    <w:p w:rsidR="00D06337" w:rsidRDefault="00F0626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临时基金托管人：</w:t>
      </w:r>
      <w:proofErr w:type="gramStart"/>
      <w:r>
        <w:rPr>
          <w:bCs/>
          <w:sz w:val="24"/>
        </w:rPr>
        <w:t>新任基金</w:t>
      </w:r>
      <w:proofErr w:type="gramEnd"/>
      <w:r>
        <w:rPr>
          <w:bCs/>
          <w:sz w:val="24"/>
        </w:rPr>
        <w:t>托管人产生之前，由中国证监会指定临时基金托管人；</w:t>
      </w:r>
    </w:p>
    <w:p w:rsidR="00D06337" w:rsidRDefault="00F0626B">
      <w:pPr>
        <w:spacing w:line="360" w:lineRule="auto"/>
        <w:ind w:firstLineChars="200" w:firstLine="480"/>
        <w:rPr>
          <w:bCs/>
          <w:sz w:val="24"/>
        </w:rPr>
      </w:pPr>
      <w:r>
        <w:rPr>
          <w:rFonts w:hint="eastAsia"/>
          <w:sz w:val="24"/>
        </w:rPr>
        <w:t>（</w:t>
      </w:r>
      <w:r>
        <w:rPr>
          <w:rFonts w:hint="eastAsia"/>
          <w:sz w:val="24"/>
        </w:rPr>
        <w:t>4</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D06337" w:rsidRDefault="00F0626B">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公告：基金托管人更换后，</w:t>
      </w:r>
      <w:r>
        <w:rPr>
          <w:sz w:val="24"/>
        </w:rPr>
        <w:t>由基金管理人在更换基金托管人的基金份额持有人大会决议生效后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D06337" w:rsidRDefault="00F0626B">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或者临时基金托管人</w:t>
      </w:r>
      <w:r>
        <w:rPr>
          <w:bCs/>
          <w:sz w:val="24"/>
        </w:rPr>
        <w:t>与基金管理人核对基金资产总值</w:t>
      </w:r>
      <w:r>
        <w:rPr>
          <w:rFonts w:hint="eastAsia"/>
          <w:bCs/>
          <w:sz w:val="24"/>
        </w:rPr>
        <w:t>和</w:t>
      </w:r>
      <w:r>
        <w:rPr>
          <w:bCs/>
          <w:sz w:val="24"/>
        </w:rPr>
        <w:t>净值；</w:t>
      </w:r>
      <w:r>
        <w:rPr>
          <w:bCs/>
          <w:sz w:val="24"/>
        </w:rPr>
        <w:t xml:space="preserve"> </w:t>
      </w:r>
    </w:p>
    <w:p w:rsidR="00D06337" w:rsidRDefault="00F0626B">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rsidR="00D06337" w:rsidRDefault="00F0626B">
      <w:pPr>
        <w:spacing w:line="360" w:lineRule="auto"/>
        <w:ind w:firstLineChars="200" w:firstLine="480"/>
        <w:rPr>
          <w:bCs/>
          <w:sz w:val="24"/>
        </w:rPr>
      </w:pPr>
      <w:bookmarkStart w:id="118" w:name="_Toc1357"/>
      <w:r>
        <w:rPr>
          <w:rFonts w:hint="eastAsia"/>
          <w:bCs/>
          <w:sz w:val="24"/>
        </w:rPr>
        <w:t>3</w:t>
      </w:r>
      <w:r>
        <w:rPr>
          <w:rFonts w:hint="eastAsia"/>
          <w:bCs/>
          <w:sz w:val="24"/>
        </w:rPr>
        <w:t>、</w:t>
      </w:r>
      <w:r>
        <w:rPr>
          <w:bCs/>
          <w:sz w:val="24"/>
        </w:rPr>
        <w:t>基金管理人与基金托管人同时更换的条件和程序</w:t>
      </w:r>
      <w:bookmarkEnd w:id="118"/>
    </w:p>
    <w:p w:rsidR="00D06337" w:rsidRDefault="00F0626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提名：如果基金管理人和基金托管人同时更换，由单独或合计持有基金总份额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rsidR="00D06337" w:rsidRDefault="00F0626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基金管理人和基金托管人的更换分别按上述程序进行；</w:t>
      </w:r>
    </w:p>
    <w:p w:rsidR="00D06337" w:rsidRDefault="00F0626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依照《信息披露办法》的规定</w:t>
      </w:r>
      <w:r>
        <w:rPr>
          <w:bCs/>
          <w:sz w:val="24"/>
        </w:rPr>
        <w:t>在</w:t>
      </w:r>
      <w:r>
        <w:rPr>
          <w:rFonts w:hint="eastAsia"/>
          <w:bCs/>
          <w:sz w:val="24"/>
        </w:rPr>
        <w:t>规定媒介</w:t>
      </w:r>
      <w:r>
        <w:rPr>
          <w:bCs/>
          <w:sz w:val="24"/>
        </w:rPr>
        <w:t>上联合公告。</w:t>
      </w:r>
    </w:p>
    <w:p w:rsidR="00D06337" w:rsidRDefault="00F0626B">
      <w:pPr>
        <w:spacing w:line="360" w:lineRule="auto"/>
        <w:ind w:firstLineChars="200" w:firstLine="480"/>
        <w:rPr>
          <w:bCs/>
          <w:sz w:val="24"/>
        </w:rPr>
      </w:pPr>
      <w:r>
        <w:rPr>
          <w:rFonts w:hint="eastAsia"/>
          <w:bCs/>
          <w:sz w:val="24"/>
        </w:rPr>
        <w:lastRenderedPageBreak/>
        <w:t>4</w:t>
      </w:r>
      <w:r>
        <w:rPr>
          <w:rFonts w:hint="eastAsia"/>
          <w:bCs/>
          <w:sz w:val="24"/>
        </w:rPr>
        <w:t>、</w:t>
      </w:r>
      <w:proofErr w:type="gramStart"/>
      <w:r>
        <w:rPr>
          <w:bCs/>
          <w:sz w:val="24"/>
        </w:rPr>
        <w:t>新任</w:t>
      </w:r>
      <w:r>
        <w:rPr>
          <w:rFonts w:hint="eastAsia"/>
          <w:bCs/>
          <w:sz w:val="24"/>
        </w:rPr>
        <w:t>基金</w:t>
      </w:r>
      <w:proofErr w:type="gramEnd"/>
      <w:r>
        <w:rPr>
          <w:rFonts w:hint="eastAsia"/>
          <w:bCs/>
          <w:sz w:val="24"/>
        </w:rPr>
        <w:t>管理人或临时基金管理人接收基金管理业务或</w:t>
      </w:r>
      <w:proofErr w:type="gramStart"/>
      <w:r>
        <w:rPr>
          <w:bCs/>
          <w:sz w:val="24"/>
        </w:rPr>
        <w:t>新任</w:t>
      </w:r>
      <w:r>
        <w:rPr>
          <w:rFonts w:hint="eastAsia"/>
          <w:bCs/>
          <w:sz w:val="24"/>
        </w:rPr>
        <w:t>基金</w:t>
      </w:r>
      <w:proofErr w:type="gramEnd"/>
      <w:r>
        <w:rPr>
          <w:rFonts w:hint="eastAsia"/>
          <w:bCs/>
          <w:sz w:val="24"/>
        </w:rPr>
        <w:t>托管人或临时基金托管人接收基金财产和基金托管业务前，原</w:t>
      </w:r>
      <w:r>
        <w:rPr>
          <w:bCs/>
          <w:sz w:val="24"/>
        </w:rPr>
        <w:t>任</w:t>
      </w:r>
      <w:r>
        <w:rPr>
          <w:rFonts w:hint="eastAsia"/>
          <w:bCs/>
          <w:sz w:val="24"/>
        </w:rPr>
        <w:t>基金管理人或原</w:t>
      </w:r>
      <w:r>
        <w:rPr>
          <w:bCs/>
          <w:sz w:val="24"/>
        </w:rPr>
        <w:t>任</w:t>
      </w:r>
      <w:r>
        <w:rPr>
          <w:rFonts w:hint="eastAsia"/>
          <w:bCs/>
          <w:sz w:val="24"/>
        </w:rPr>
        <w:t>基金托管人应继续履行相关职责，并保证不做出对基金份额持有人的利益造成损害的行为。原</w:t>
      </w:r>
      <w:r>
        <w:rPr>
          <w:bCs/>
          <w:sz w:val="24"/>
        </w:rPr>
        <w:t>任</w:t>
      </w:r>
      <w:r>
        <w:rPr>
          <w:rFonts w:hint="eastAsia"/>
          <w:bCs/>
          <w:sz w:val="24"/>
        </w:rPr>
        <w:t>基金管理人或原</w:t>
      </w:r>
      <w:r>
        <w:rPr>
          <w:bCs/>
          <w:sz w:val="24"/>
        </w:rPr>
        <w:t>任</w:t>
      </w:r>
      <w:r>
        <w:rPr>
          <w:rFonts w:hint="eastAsia"/>
          <w:bCs/>
          <w:sz w:val="24"/>
        </w:rPr>
        <w:t>基金托管人在继续履行相关职责期间，仍有权按照基金合同的约定收取基金管理费或基金托管费。</w:t>
      </w:r>
    </w:p>
    <w:p w:rsidR="00D06337" w:rsidRDefault="00F0626B">
      <w:pPr>
        <w:spacing w:line="360" w:lineRule="auto"/>
        <w:ind w:firstLineChars="200" w:firstLine="480"/>
        <w:rPr>
          <w:bCs/>
          <w:sz w:val="24"/>
        </w:rPr>
      </w:pPr>
      <w:r>
        <w:rPr>
          <w:bCs/>
          <w:sz w:val="24"/>
        </w:rPr>
        <w:t>5</w:t>
      </w:r>
      <w:r>
        <w:rPr>
          <w:rFonts w:hint="eastAsia"/>
          <w:bCs/>
          <w:sz w:val="24"/>
        </w:rPr>
        <w:t>、本部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rsidR="00D06337" w:rsidRDefault="00D06337">
      <w:pPr>
        <w:spacing w:line="360" w:lineRule="auto"/>
        <w:ind w:firstLineChars="200" w:firstLine="480"/>
        <w:rPr>
          <w:bCs/>
          <w:sz w:val="24"/>
        </w:rPr>
      </w:pPr>
    </w:p>
    <w:p w:rsidR="00D06337" w:rsidRDefault="00F0626B">
      <w:pPr>
        <w:pStyle w:val="1"/>
        <w:spacing w:before="0" w:after="0"/>
        <w:ind w:firstLineChars="200" w:firstLine="482"/>
      </w:pPr>
      <w:bookmarkStart w:id="119" w:name="_Toc523830007"/>
      <w:bookmarkStart w:id="120" w:name="_Toc22454478"/>
      <w:bookmarkStart w:id="121" w:name="_Toc125892451"/>
      <w:bookmarkStart w:id="122" w:name="_Toc508720693"/>
      <w:bookmarkStart w:id="123" w:name="_Toc466788866"/>
      <w:bookmarkEnd w:id="109"/>
      <w:bookmarkEnd w:id="110"/>
      <w:r>
        <w:rPr>
          <w:rFonts w:hint="eastAsia"/>
        </w:rPr>
        <w:t>十五、禁止行为</w:t>
      </w:r>
      <w:bookmarkEnd w:id="119"/>
      <w:bookmarkEnd w:id="120"/>
      <w:bookmarkEnd w:id="121"/>
      <w:bookmarkEnd w:id="122"/>
      <w:bookmarkEnd w:id="123"/>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本协议项下的基金管理人和基金托管人禁止行为如下：</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（一）基金管理人、基金托管人将其固有财产或者他人财产混同于基金财产从事证券投资。</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（二）基金管理人不公平地对待其管理的不同基金财产。基金托管人不公平地对待其托管的不同基金财产。</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（三）基金管理人、基金托管人利用基金财产为基金份额持有人以外的第三人牟取利益。</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（四）基金管理人、基金托管人向基金份额持有人违规承诺收益或者承担损失。</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（五）基金管理人、基金托管人侵占、挪用基金财产。</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（六）基金管理人、基金托管人对他人泄露基金经营过程中任何尚未按法律法规规定的方式公开披露的信息。</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（七）基金管理人、基金托管人玩忽职守，不按照规定履行职责。</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（八）基金管理人在没有充足资金的情况下向基金托管人发出投资指令和付款指令，或违规向基金托管人发出指令；基金托管人对基金管理人的正常有效指令拖延或拒绝执行。</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（九）基金管理人、基金托管人在行政上、财务上不独立，其高级管理人员和其他从业人员相互兼职。</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lastRenderedPageBreak/>
        <w:t>（十）基金托管人私自动用或处分基金资产，根据基金管理人的合法指令、基金合同或托管协议的规定进行处分的除外。</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（十一）基金财产用于下列投资或者活动：</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1、承销证券；</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2、</w:t>
      </w:r>
      <w:bookmarkStart w:id="124" w:name="OLE_LINK28"/>
      <w:bookmarkStart w:id="125" w:name="OLE_LINK27"/>
      <w:r>
        <w:rPr>
          <w:rFonts w:ascii="宋体" w:hAnsi="宋体" w:hint="eastAsia"/>
          <w:bCs/>
          <w:color w:val="000000"/>
          <w:sz w:val="24"/>
        </w:rPr>
        <w:t>违反规定向他人贷款或者提供担保</w:t>
      </w:r>
      <w:bookmarkEnd w:id="124"/>
      <w:bookmarkEnd w:id="125"/>
      <w:r>
        <w:rPr>
          <w:rFonts w:ascii="宋体" w:hAnsi="宋体" w:hint="eastAsia"/>
          <w:bCs/>
          <w:color w:val="000000"/>
          <w:sz w:val="24"/>
        </w:rPr>
        <w:t>；</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3、从事承担无限责任的投资；</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4、买卖其他基金份额，但是中国证监会另有规定的除外；</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5、向其基金管理人、基金托管人出资；</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6、从事内幕交易、操纵证券交易价格及其他不正当的证券交易活动；</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7、法律、行政法规和中国证监会规定禁止的其他活动。</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如法律、行政法规或监管部门取消或变更上述规定，如适用于本基金，基金管理人在履行适当程序后，本基金可不受上述规定的限制或以变更后的规定为准。</w:t>
      </w:r>
    </w:p>
    <w:p w:rsidR="00D06337" w:rsidRDefault="00F0626B">
      <w:pPr>
        <w:spacing w:line="360" w:lineRule="auto"/>
        <w:ind w:firstLineChars="200" w:firstLine="480"/>
        <w:rPr>
          <w:rFonts w:ascii="宋体" w:hAnsi="宋体"/>
          <w:bCs/>
          <w:color w:val="000000"/>
          <w:sz w:val="24"/>
        </w:rPr>
      </w:pPr>
      <w:r>
        <w:rPr>
          <w:rFonts w:ascii="宋体" w:hAnsi="宋体" w:hint="eastAsia"/>
          <w:bCs/>
          <w:color w:val="000000"/>
          <w:sz w:val="24"/>
        </w:rPr>
        <w:t>（十二）法律法规和基金合同禁止的其他行为，以及法律、行政法规和中国证监会规定禁止基金管理人、基金托管人从事的其他行为。</w:t>
      </w:r>
    </w:p>
    <w:p w:rsidR="00D06337" w:rsidRDefault="00D06337">
      <w:pPr>
        <w:spacing w:line="360" w:lineRule="auto"/>
        <w:ind w:firstLineChars="200" w:firstLine="480"/>
        <w:rPr>
          <w:rFonts w:ascii="宋体" w:hAnsi="宋体"/>
          <w:bCs/>
          <w:color w:val="000000"/>
          <w:sz w:val="24"/>
        </w:rPr>
      </w:pPr>
    </w:p>
    <w:p w:rsidR="00D06337" w:rsidRDefault="00F0626B">
      <w:pPr>
        <w:pStyle w:val="1"/>
        <w:spacing w:before="0" w:after="0"/>
        <w:ind w:firstLineChars="200" w:firstLine="482"/>
      </w:pPr>
      <w:bookmarkStart w:id="126" w:name="_Toc508720694"/>
      <w:bookmarkStart w:id="127" w:name="_Toc125892452"/>
      <w:bookmarkStart w:id="128" w:name="_Toc523830008"/>
      <w:bookmarkStart w:id="129" w:name="_Toc466788867"/>
      <w:bookmarkStart w:id="130" w:name="_Toc22454479"/>
      <w:r>
        <w:rPr>
          <w:rFonts w:hint="eastAsia"/>
        </w:rPr>
        <w:t>十六、基金托管协议的变更、终止与基金财产的清算</w:t>
      </w:r>
      <w:bookmarkEnd w:id="126"/>
      <w:bookmarkEnd w:id="127"/>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131" w:name="_Toc510842757"/>
      <w:r>
        <w:rPr>
          <w:rFonts w:ascii="宋体" w:hAnsi="宋体" w:hint="eastAsia"/>
          <w:b/>
          <w:bCs/>
          <w:color w:val="000000"/>
          <w:sz w:val="24"/>
        </w:rPr>
        <w:t>（一）基金托管协议的变更</w:t>
      </w:r>
    </w:p>
    <w:bookmarkEnd w:id="131"/>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本协议双方当事人经协商一致，可以对协议进行修改。修改后的新协议，其内容不得与《基金合同》的规定有任何冲突，并按规定报中国证监会备案。</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r>
        <w:rPr>
          <w:rFonts w:ascii="宋体" w:hAnsi="宋体" w:hint="eastAsia"/>
          <w:b/>
          <w:bCs/>
          <w:color w:val="000000"/>
          <w:sz w:val="24"/>
        </w:rPr>
        <w:t>（二）基金托管协议的终止</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1、《基金合同》终止；</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2、基金托管人解散、依法被撤销、破产，被依法取消基金托管资格或因其他事由造成其他基金托管人接管基金财产；</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3、基金管理人解散、依法被撤销、破产，被依法取消基金管理资格或因其他事由造成其他基金管理人接管基金管理权；</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4、发生《基金法》、《销售办法》、《运作办法》或其他法律、法规规定的终止事项。</w:t>
      </w:r>
    </w:p>
    <w:p w:rsidR="00D06337" w:rsidRDefault="00F0626B">
      <w:pPr>
        <w:tabs>
          <w:tab w:val="left" w:pos="3780"/>
        </w:tabs>
        <w:autoSpaceDE w:val="0"/>
        <w:autoSpaceDN w:val="0"/>
        <w:spacing w:line="360" w:lineRule="auto"/>
        <w:ind w:firstLineChars="200" w:firstLine="482"/>
        <w:textAlignment w:val="bottom"/>
        <w:outlineLvl w:val="0"/>
        <w:rPr>
          <w:rFonts w:ascii="宋体" w:hAnsi="宋体"/>
          <w:b/>
          <w:bCs/>
          <w:color w:val="000000"/>
          <w:sz w:val="24"/>
        </w:rPr>
      </w:pPr>
      <w:bookmarkStart w:id="132" w:name="_Hlk204000373"/>
      <w:r>
        <w:rPr>
          <w:rFonts w:ascii="宋体" w:hAnsi="宋体" w:hint="eastAsia"/>
          <w:b/>
          <w:bCs/>
          <w:color w:val="000000"/>
          <w:sz w:val="24"/>
        </w:rPr>
        <w:t>（三）基金财产的清算</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1、基金财产清算小组：自出现《基金合同》终止事由之日起30个工作日内成立清算小组，基金管理人组织基金财产清算小组并在中国证监会的监督下进行基金清算。</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3、基金财产清算小组职责：基金财产清算小组负责基金财产的保管、清理、估价、变现和分配。基金财产清算小组可以依法进行必要的民事活动。</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4、基金财产清算程序：</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（1）《基金合同》终止情形出现时，由基金财产清算小组统一接管基金财产；</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（2）对基金财产和债权债务进行清理和确认；</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（3）对基金财产进行估值和变现；</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（4）制作清算报告；</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（5）聘请会计师事务所对清算报告进行外部审计，聘请律师事务所对清算报告出具法律意见书；</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（6）将清算报告报中国证监会备案并公告；</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（7）对基金剩余财产进行分配。</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5、基金财产清算的期限为6个月，</w:t>
      </w:r>
      <w:r>
        <w:rPr>
          <w:rFonts w:ascii="宋体" w:hAnsi="宋体" w:hint="eastAsia"/>
          <w:bCs/>
          <w:color w:val="000000"/>
          <w:kern w:val="0"/>
          <w:sz w:val="24"/>
        </w:rPr>
        <w:t>但因本基金所持证券的流动性受到限制而不能及时变现的，清算期限相应顺延</w:t>
      </w:r>
      <w:r>
        <w:rPr>
          <w:rFonts w:ascii="宋体" w:hAnsi="宋体"/>
          <w:bCs/>
          <w:color w:val="000000"/>
          <w:kern w:val="0"/>
          <w:sz w:val="24"/>
        </w:rPr>
        <w:t>。</w:t>
      </w:r>
    </w:p>
    <w:p w:rsidR="00D06337" w:rsidRDefault="00F0626B">
      <w:pPr>
        <w:spacing w:line="360" w:lineRule="auto"/>
        <w:ind w:firstLineChars="200" w:firstLine="480"/>
        <w:rPr>
          <w:bCs/>
          <w:sz w:val="24"/>
        </w:rPr>
      </w:pPr>
      <w:r>
        <w:rPr>
          <w:rFonts w:ascii="宋体" w:hAnsi="宋体" w:hint="eastAsia"/>
          <w:color w:val="000000"/>
          <w:kern w:val="0"/>
          <w:sz w:val="24"/>
        </w:rPr>
        <w:t>6、</w:t>
      </w:r>
      <w:r>
        <w:rPr>
          <w:rFonts w:hint="eastAsia"/>
          <w:bCs/>
          <w:sz w:val="24"/>
        </w:rPr>
        <w:t>清算费用</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清算费用是指基金财产清算小组在进行基金财产清算过程中发生的所有合理费用，清算费用由基金财产清算小组优先从基金财产中支付。</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7、基金财产清算剩余资产的分配</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依据基金财产清算的分配方案，将基金财产清算后的全部剩余资产扣除基金财产清算费用、交纳所欠税款并清偿基金债务后，按基金份额持有人持有的基金份额比例进行分配。</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8、基金财产清算的公告</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清算过程中的有关重大事项须及时公告；基金财产清算报告</w:t>
      </w:r>
      <w:proofErr w:type="gramStart"/>
      <w:r>
        <w:rPr>
          <w:rFonts w:ascii="宋体" w:hAnsi="宋体" w:hint="eastAsia"/>
          <w:color w:val="000000"/>
          <w:kern w:val="0"/>
          <w:sz w:val="24"/>
        </w:rPr>
        <w:t>经符合</w:t>
      </w:r>
      <w:proofErr w:type="gramEnd"/>
      <w:r>
        <w:rPr>
          <w:rFonts w:ascii="宋体" w:hAnsi="宋体" w:hint="eastAsia"/>
          <w:color w:val="000000"/>
          <w:kern w:val="0"/>
          <w:sz w:val="24"/>
        </w:rPr>
        <w:t>《中华</w:t>
      </w:r>
      <w:r>
        <w:rPr>
          <w:rFonts w:ascii="宋体" w:hAnsi="宋体" w:hint="eastAsia"/>
          <w:color w:val="000000"/>
          <w:kern w:val="0"/>
          <w:sz w:val="24"/>
        </w:rPr>
        <w:lastRenderedPageBreak/>
        <w:t>人民</w:t>
      </w:r>
      <w:r>
        <w:rPr>
          <w:rFonts w:ascii="宋体" w:hAnsi="宋体"/>
          <w:color w:val="000000"/>
          <w:kern w:val="0"/>
          <w:sz w:val="24"/>
        </w:rPr>
        <w:t>共和国证券法</w:t>
      </w:r>
      <w:r>
        <w:rPr>
          <w:rFonts w:ascii="宋体" w:hAnsi="宋体" w:hint="eastAsia"/>
          <w:color w:val="000000"/>
          <w:kern w:val="0"/>
          <w:sz w:val="24"/>
        </w:rPr>
        <w:t>》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9、基金财产清算账册及文件的保存</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基金财产清算账册及有关文件由基金托管人保存</w:t>
      </w:r>
      <w:r>
        <w:rPr>
          <w:bCs/>
          <w:color w:val="000000"/>
          <w:sz w:val="24"/>
        </w:rPr>
        <w:t>不低于</w:t>
      </w:r>
      <w:r>
        <w:rPr>
          <w:color w:val="000000"/>
          <w:sz w:val="24"/>
        </w:rPr>
        <w:t>法律法规规定的</w:t>
      </w:r>
      <w:r>
        <w:rPr>
          <w:bCs/>
          <w:color w:val="000000"/>
          <w:sz w:val="24"/>
        </w:rPr>
        <w:t>最低</w:t>
      </w:r>
      <w:r>
        <w:rPr>
          <w:rFonts w:hint="eastAsia"/>
          <w:bCs/>
          <w:color w:val="000000"/>
          <w:sz w:val="24"/>
        </w:rPr>
        <w:t>期</w:t>
      </w:r>
      <w:r>
        <w:rPr>
          <w:bCs/>
          <w:color w:val="000000"/>
          <w:sz w:val="24"/>
        </w:rPr>
        <w:t>限</w:t>
      </w:r>
      <w:r>
        <w:rPr>
          <w:rFonts w:ascii="宋体" w:hAnsi="宋体" w:hint="eastAsia"/>
          <w:color w:val="000000"/>
          <w:kern w:val="0"/>
          <w:sz w:val="24"/>
        </w:rPr>
        <w:t>。</w:t>
      </w:r>
      <w:bookmarkStart w:id="133" w:name="_Toc125892453"/>
    </w:p>
    <w:p w:rsidR="00D06337" w:rsidRDefault="00D06337">
      <w:pPr>
        <w:pStyle w:val="1"/>
        <w:spacing w:before="0" w:after="0"/>
        <w:ind w:firstLineChars="200" w:firstLine="482"/>
      </w:pPr>
      <w:bookmarkStart w:id="134" w:name="_Toc508720695"/>
      <w:bookmarkEnd w:id="132"/>
    </w:p>
    <w:p w:rsidR="00D06337" w:rsidRDefault="00F0626B">
      <w:pPr>
        <w:pStyle w:val="1"/>
        <w:spacing w:before="0" w:after="0"/>
        <w:ind w:firstLineChars="200" w:firstLine="482"/>
      </w:pPr>
      <w:r>
        <w:rPr>
          <w:rFonts w:hint="eastAsia"/>
        </w:rPr>
        <w:t>十七、违约责任</w:t>
      </w:r>
      <w:bookmarkEnd w:id="128"/>
      <w:bookmarkEnd w:id="129"/>
      <w:bookmarkEnd w:id="130"/>
      <w:bookmarkEnd w:id="133"/>
      <w:bookmarkEnd w:id="134"/>
    </w:p>
    <w:p w:rsidR="00D06337" w:rsidRDefault="00F0626B">
      <w:pPr>
        <w:spacing w:line="360" w:lineRule="auto"/>
        <w:ind w:firstLineChars="200" w:firstLine="480"/>
        <w:rPr>
          <w:b/>
          <w:color w:val="000000"/>
          <w:sz w:val="24"/>
        </w:rPr>
      </w:pPr>
      <w:r>
        <w:rPr>
          <w:rFonts w:hint="eastAsia"/>
          <w:color w:val="000000"/>
          <w:sz w:val="24"/>
        </w:rPr>
        <w:t>（一）基金管理人或基金托管人不履行本协议或履行本协议不符合约定的，应当承担违约责任；</w:t>
      </w:r>
    </w:p>
    <w:p w:rsidR="00D06337" w:rsidRDefault="00F0626B">
      <w:pPr>
        <w:spacing w:line="360" w:lineRule="auto"/>
        <w:ind w:firstLineChars="200" w:firstLine="480"/>
        <w:rPr>
          <w:color w:val="000000"/>
          <w:sz w:val="24"/>
        </w:rPr>
      </w:pPr>
      <w:r>
        <w:rPr>
          <w:rFonts w:hint="eastAsia"/>
          <w:color w:val="000000"/>
          <w:sz w:val="24"/>
        </w:rPr>
        <w:t>（二）</w:t>
      </w:r>
      <w:bookmarkStart w:id="135" w:name="OLE_LINK3"/>
      <w:r>
        <w:rPr>
          <w:color w:val="000000"/>
          <w:sz w:val="24"/>
        </w:rPr>
        <w:t>基金管理人、基金托管人在履行各自职责的过程中，违反</w:t>
      </w:r>
      <w:r>
        <w:rPr>
          <w:rFonts w:hint="eastAsia"/>
          <w:color w:val="000000"/>
          <w:sz w:val="24"/>
        </w:rPr>
        <w:t>《基金法》等法律法规的</w:t>
      </w:r>
      <w:r>
        <w:rPr>
          <w:color w:val="000000"/>
          <w:sz w:val="24"/>
        </w:rPr>
        <w:t>规定</w:t>
      </w:r>
      <w:r>
        <w:rPr>
          <w:rFonts w:hint="eastAsia"/>
          <w:color w:val="000000"/>
          <w:sz w:val="24"/>
        </w:rPr>
        <w:t>、基金合同</w:t>
      </w:r>
      <w:r>
        <w:rPr>
          <w:color w:val="000000"/>
          <w:sz w:val="24"/>
        </w:rPr>
        <w:t>或者</w:t>
      </w:r>
      <w:r>
        <w:rPr>
          <w:rFonts w:hint="eastAsia"/>
          <w:color w:val="000000"/>
          <w:sz w:val="24"/>
        </w:rPr>
        <w:t>本托管协议</w:t>
      </w:r>
      <w:r>
        <w:rPr>
          <w:color w:val="000000"/>
          <w:sz w:val="24"/>
        </w:rPr>
        <w:t>约定，给基金财产或者基金份额持有人造成损害的，应当分别对各自的行为依法承担赔偿责任；因共同行为给基金财产或者基金份额持有人造成损害的，应当承担连带赔偿责任</w:t>
      </w:r>
      <w:r>
        <w:rPr>
          <w:rFonts w:hint="eastAsia"/>
          <w:color w:val="000000"/>
          <w:sz w:val="24"/>
        </w:rPr>
        <w:t>，</w:t>
      </w:r>
      <w:r>
        <w:rPr>
          <w:color w:val="000000"/>
          <w:sz w:val="24"/>
        </w:rPr>
        <w:t>对损失的赔偿，仅限于直接损失</w:t>
      </w:r>
      <w:r>
        <w:rPr>
          <w:rFonts w:hint="eastAsia"/>
          <w:color w:val="000000"/>
          <w:sz w:val="24"/>
        </w:rPr>
        <w:t>。</w:t>
      </w:r>
      <w:bookmarkEnd w:id="135"/>
      <w:r>
        <w:rPr>
          <w:rFonts w:hint="eastAsia"/>
          <w:color w:val="000000"/>
          <w:sz w:val="24"/>
        </w:rPr>
        <w:t>但是发生下列情况，</w:t>
      </w:r>
      <w:r>
        <w:rPr>
          <w:rFonts w:hint="eastAsia"/>
          <w:bCs/>
          <w:sz w:val="24"/>
        </w:rPr>
        <w:t>相应</w:t>
      </w:r>
      <w:r>
        <w:rPr>
          <w:rFonts w:hint="eastAsia"/>
          <w:color w:val="000000"/>
          <w:sz w:val="24"/>
        </w:rPr>
        <w:t>当事人免责：</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1、不可抗力；</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2、基金管理人和</w:t>
      </w:r>
      <w:r>
        <w:rPr>
          <w:rFonts w:ascii="宋体" w:hAnsi="宋体"/>
          <w:color w:val="000000"/>
          <w:kern w:val="0"/>
          <w:sz w:val="24"/>
        </w:rPr>
        <w:t>/</w:t>
      </w:r>
      <w:r>
        <w:rPr>
          <w:rFonts w:ascii="宋体" w:hAnsi="宋体" w:hint="eastAsia"/>
          <w:color w:val="000000"/>
          <w:kern w:val="0"/>
          <w:sz w:val="24"/>
        </w:rPr>
        <w:t>或基金托管人按照</w:t>
      </w:r>
      <w:r>
        <w:rPr>
          <w:bCs/>
          <w:sz w:val="24"/>
        </w:rPr>
        <w:t>当时有效的法律法规或中国证监会</w:t>
      </w:r>
      <w:r>
        <w:rPr>
          <w:rFonts w:hint="eastAsia"/>
          <w:bCs/>
          <w:sz w:val="24"/>
        </w:rPr>
        <w:t>等监管机构</w:t>
      </w:r>
      <w:r>
        <w:rPr>
          <w:bCs/>
          <w:sz w:val="24"/>
        </w:rPr>
        <w:t>的规定</w:t>
      </w:r>
      <w:r>
        <w:rPr>
          <w:rFonts w:ascii="宋体" w:hAnsi="宋体" w:hint="eastAsia"/>
          <w:color w:val="000000"/>
          <w:kern w:val="0"/>
          <w:sz w:val="24"/>
        </w:rPr>
        <w:t>作为或不作为而造成的损失等；</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3、基金管理人由于按照《基金合同》规定的投资原则</w:t>
      </w:r>
      <w:r>
        <w:rPr>
          <w:bCs/>
          <w:sz w:val="24"/>
        </w:rPr>
        <w:t>行使或不行使其投资权</w:t>
      </w:r>
      <w:r>
        <w:rPr>
          <w:rFonts w:ascii="宋体" w:hAnsi="宋体" w:hint="eastAsia"/>
          <w:color w:val="000000"/>
          <w:kern w:val="0"/>
          <w:sz w:val="24"/>
        </w:rPr>
        <w:t>而造成的损失等；</w:t>
      </w:r>
    </w:p>
    <w:p w:rsidR="00D06337" w:rsidRDefault="00F0626B">
      <w:pPr>
        <w:spacing w:line="360" w:lineRule="auto"/>
        <w:ind w:firstLineChars="200" w:firstLine="480"/>
        <w:rPr>
          <w:bCs/>
          <w:sz w:val="24"/>
        </w:rPr>
      </w:pPr>
      <w:r>
        <w:rPr>
          <w:rFonts w:hint="eastAsia"/>
          <w:bCs/>
          <w:sz w:val="24"/>
        </w:rPr>
        <w:t>4</w:t>
      </w:r>
      <w:r>
        <w:rPr>
          <w:rFonts w:hint="eastAsia"/>
          <w:bCs/>
          <w:sz w:val="24"/>
        </w:rPr>
        <w:t>、计算机系统故障、网络故障、通讯故障、电力故障、计算机病毒攻击及其它</w:t>
      </w:r>
      <w:proofErr w:type="gramStart"/>
      <w:r>
        <w:rPr>
          <w:rFonts w:hint="eastAsia"/>
          <w:bCs/>
          <w:sz w:val="24"/>
        </w:rPr>
        <w:t>非基金</w:t>
      </w:r>
      <w:proofErr w:type="gramEnd"/>
      <w:r>
        <w:rPr>
          <w:rFonts w:hint="eastAsia"/>
          <w:bCs/>
          <w:sz w:val="24"/>
        </w:rPr>
        <w:t>管理人、基金托管人故意或重大过失造成的意外事故。</w:t>
      </w:r>
    </w:p>
    <w:p w:rsidR="00D06337" w:rsidRDefault="00F0626B">
      <w:pPr>
        <w:spacing w:line="360" w:lineRule="auto"/>
        <w:ind w:firstLineChars="200" w:firstLine="480"/>
        <w:rPr>
          <w:bCs/>
          <w:sz w:val="24"/>
        </w:rPr>
      </w:pPr>
      <w:r>
        <w:rPr>
          <w:bCs/>
          <w:sz w:val="24"/>
        </w:rPr>
        <w:t>5</w:t>
      </w:r>
      <w:r>
        <w:rPr>
          <w:rFonts w:hint="eastAsia"/>
          <w:bCs/>
          <w:sz w:val="24"/>
        </w:rPr>
        <w:t>、基金托管人由于按基金管理人符合《基金合同》及托管协议约定的有效指令执行而造成的损失等；</w:t>
      </w:r>
    </w:p>
    <w:p w:rsidR="00D06337" w:rsidRDefault="00F0626B">
      <w:pPr>
        <w:spacing w:line="360" w:lineRule="auto"/>
        <w:ind w:firstLineChars="200" w:firstLine="480"/>
        <w:rPr>
          <w:bCs/>
          <w:sz w:val="24"/>
        </w:rPr>
      </w:pPr>
      <w:r>
        <w:rPr>
          <w:bCs/>
          <w:sz w:val="24"/>
        </w:rPr>
        <w:t>6</w:t>
      </w:r>
      <w:r>
        <w:rPr>
          <w:rFonts w:hint="eastAsia"/>
          <w:bCs/>
          <w:sz w:val="24"/>
        </w:rPr>
        <w:t>、基金托管人对存放或存管在基金托管人以外机构的基金资产，或交由证券</w:t>
      </w:r>
      <w:r>
        <w:rPr>
          <w:rFonts w:hint="eastAsia"/>
          <w:bCs/>
          <w:sz w:val="24"/>
        </w:rPr>
        <w:t>/</w:t>
      </w:r>
      <w:r>
        <w:rPr>
          <w:rFonts w:hint="eastAsia"/>
          <w:bCs/>
          <w:sz w:val="24"/>
        </w:rPr>
        <w:t>期货经纪机构等其他机构负责清算交收的基金资产及其收益，因该等机构欺诈、疏忽、过失、破产等原因给基金资产带来的损失等，但由于基金托管人过错造成的除外；</w:t>
      </w:r>
    </w:p>
    <w:p w:rsidR="00D06337" w:rsidRDefault="00F0626B">
      <w:pPr>
        <w:spacing w:line="360" w:lineRule="auto"/>
        <w:ind w:firstLineChars="200" w:firstLine="480"/>
        <w:rPr>
          <w:bCs/>
          <w:sz w:val="24"/>
        </w:rPr>
      </w:pPr>
      <w:r>
        <w:rPr>
          <w:bCs/>
          <w:sz w:val="24"/>
        </w:rPr>
        <w:lastRenderedPageBreak/>
        <w:t>7</w:t>
      </w:r>
      <w:r>
        <w:rPr>
          <w:rFonts w:hint="eastAsia"/>
          <w:bCs/>
          <w:sz w:val="24"/>
        </w:rPr>
        <w:t>、基金管理人、基金托管人对由于第三方（包括但不限于证券、</w:t>
      </w:r>
      <w:r>
        <w:rPr>
          <w:bCs/>
          <w:sz w:val="24"/>
        </w:rPr>
        <w:t>期货</w:t>
      </w:r>
      <w:r>
        <w:rPr>
          <w:rFonts w:hint="eastAsia"/>
          <w:bCs/>
          <w:sz w:val="24"/>
        </w:rPr>
        <w:t>交易所、中登公司等）发送或提供的数据错误给本基金资产造成的损失等。</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（三）当事人违约，给另一方当事人造成损失的，应就直接损失进行赔偿；给基金资产造成损失的，应就直接损失进行赔偿，另一方当事人有权利及义务代表基金向违约方追偿。</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四）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rsidR="00D06337" w:rsidRDefault="00F0626B">
      <w:pPr>
        <w:spacing w:line="360" w:lineRule="auto"/>
        <w:ind w:firstLineChars="200" w:firstLine="480"/>
        <w:rPr>
          <w:color w:val="000000"/>
          <w:sz w:val="24"/>
        </w:rPr>
      </w:pPr>
      <w:r>
        <w:rPr>
          <w:rFonts w:ascii="宋体" w:hAnsi="宋体" w:hint="eastAsia"/>
          <w:color w:val="000000"/>
          <w:kern w:val="0"/>
          <w:sz w:val="24"/>
        </w:rPr>
        <w:t>（五）</w:t>
      </w:r>
      <w:r>
        <w:rPr>
          <w:rFonts w:hint="eastAsia"/>
          <w:color w:val="000000"/>
          <w:sz w:val="24"/>
        </w:rPr>
        <w:t>违约行为虽已发生，但本托管协议能够继续履行的，在最大限度地保护基金份额持有人利益的前提下，基金管理人和基金托管人应当继续履行本协议；</w:t>
      </w:r>
      <w:bookmarkStart w:id="136" w:name="_Toc523830010"/>
      <w:bookmarkStart w:id="137" w:name="_Toc466788868"/>
      <w:bookmarkStart w:id="138" w:name="_Toc22454480"/>
      <w:bookmarkStart w:id="139" w:name="_Toc125892454"/>
      <w:proofErr w:type="gramStart"/>
      <w:r>
        <w:rPr>
          <w:rFonts w:hint="eastAsia"/>
          <w:color w:val="000000"/>
          <w:sz w:val="24"/>
        </w:rPr>
        <w:t>若基金</w:t>
      </w:r>
      <w:proofErr w:type="gramEnd"/>
      <w:r>
        <w:rPr>
          <w:rFonts w:hint="eastAsia"/>
          <w:color w:val="000000"/>
          <w:sz w:val="24"/>
        </w:rPr>
        <w:t>管理人或基金托管人因履行本协议而被起诉，另一方应提供合理的必要支持。</w:t>
      </w:r>
    </w:p>
    <w:p w:rsidR="00D06337" w:rsidRDefault="00F0626B">
      <w:pPr>
        <w:spacing w:line="360" w:lineRule="auto"/>
        <w:ind w:firstLineChars="200" w:firstLine="480"/>
        <w:rPr>
          <w:color w:val="000000"/>
          <w:sz w:val="24"/>
        </w:rPr>
      </w:pPr>
      <w:r>
        <w:rPr>
          <w:rFonts w:hint="eastAsia"/>
          <w:color w:val="000000"/>
          <w:sz w:val="24"/>
        </w:rPr>
        <w:t>（六）由于基金管理人、基金托管人不可控制的因素导致业务出现差错，基金管理人和基金托管人虽然已经采取必要、适当、合理的措施进行检查，但是未能发现该错误的，由此造成基金财产或基金投资者损失，基金管理人和基金托管人免除赔偿责任。但基金管理人和基金托管人应当积极采取必要的措施消除或减轻由此造成的影响。</w:t>
      </w:r>
    </w:p>
    <w:p w:rsidR="00D06337" w:rsidRDefault="00F0626B">
      <w:pPr>
        <w:spacing w:line="360" w:lineRule="auto"/>
        <w:ind w:firstLineChars="200" w:firstLine="480"/>
        <w:rPr>
          <w:b/>
          <w:color w:val="000000"/>
          <w:sz w:val="24"/>
        </w:rPr>
      </w:pPr>
      <w:r>
        <w:rPr>
          <w:rFonts w:hint="eastAsia"/>
          <w:color w:val="000000"/>
          <w:sz w:val="24"/>
        </w:rPr>
        <w:t>（七）本协议所指损失均为直接损失。</w:t>
      </w:r>
    </w:p>
    <w:p w:rsidR="00D06337" w:rsidRDefault="00D06337">
      <w:pPr>
        <w:pStyle w:val="1"/>
        <w:spacing w:before="0" w:after="0"/>
        <w:ind w:firstLineChars="200" w:firstLine="482"/>
      </w:pPr>
      <w:bookmarkStart w:id="140" w:name="_Toc508720696"/>
    </w:p>
    <w:p w:rsidR="00D06337" w:rsidRDefault="00F0626B">
      <w:pPr>
        <w:pStyle w:val="1"/>
        <w:spacing w:before="0" w:after="0"/>
        <w:ind w:firstLineChars="200" w:firstLine="482"/>
      </w:pPr>
      <w:r>
        <w:rPr>
          <w:rFonts w:hint="eastAsia"/>
        </w:rPr>
        <w:t>十八、争议</w:t>
      </w:r>
      <w:bookmarkEnd w:id="136"/>
      <w:bookmarkEnd w:id="137"/>
      <w:bookmarkEnd w:id="138"/>
      <w:r>
        <w:rPr>
          <w:rFonts w:hint="eastAsia"/>
        </w:rPr>
        <w:t>解决方式</w:t>
      </w:r>
      <w:bookmarkEnd w:id="139"/>
      <w:bookmarkEnd w:id="140"/>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双方当事人同意，因本协议而产生的或与本协议有关的一切争议，如经友好协商未能解决的，任何一方均有权将争议提交上海仲裁委员会仲裁，根据上海仲裁委员会届时有效的仲裁规则进行仲裁，仲裁的地点为上海市。仲裁裁决是终局的，对各方当事人均有约束力，除非仲裁裁决另有规定，仲裁费由败诉方承担。</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争议处理期间，双方当事人应恪守基金管理人和基金托管人职责，继续忠实、勤勉、尽责地履行《基金合同》和本协议规定的义务，维护基金份额持有人的合法权益。</w:t>
      </w:r>
    </w:p>
    <w:p w:rsidR="00D06337" w:rsidRDefault="00F0626B">
      <w:pPr>
        <w:spacing w:line="360" w:lineRule="auto"/>
        <w:ind w:firstLineChars="200" w:firstLine="480"/>
        <w:rPr>
          <w:rFonts w:ascii="宋体" w:hAnsi="宋体"/>
          <w:color w:val="000000"/>
          <w:kern w:val="0"/>
          <w:sz w:val="24"/>
        </w:rPr>
      </w:pPr>
      <w:r>
        <w:rPr>
          <w:rFonts w:ascii="宋体" w:hAnsi="宋体" w:hint="eastAsia"/>
          <w:color w:val="000000"/>
          <w:kern w:val="0"/>
          <w:sz w:val="24"/>
        </w:rPr>
        <w:t>本协议受中华人民共和国</w:t>
      </w:r>
      <w:r>
        <w:rPr>
          <w:rFonts w:ascii="宋体" w:hAnsi="宋体" w:hint="eastAsia"/>
          <w:sz w:val="24"/>
        </w:rPr>
        <w:t>（为本托管协议之目的，不包括香港、澳门特别</w:t>
      </w:r>
      <w:r>
        <w:rPr>
          <w:rFonts w:ascii="宋体" w:hAnsi="宋体" w:hint="eastAsia"/>
          <w:sz w:val="24"/>
        </w:rPr>
        <w:lastRenderedPageBreak/>
        <w:t>行政区及台湾地区</w:t>
      </w:r>
      <w:r>
        <w:rPr>
          <w:rFonts w:ascii="宋体" w:hAnsi="宋体" w:hint="eastAsia"/>
          <w:color w:val="000000"/>
          <w:kern w:val="0"/>
          <w:sz w:val="24"/>
        </w:rPr>
        <w:t>）法律管辖。</w:t>
      </w:r>
      <w:bookmarkStart w:id="141" w:name="_Toc466788869"/>
      <w:bookmarkStart w:id="142" w:name="_Toc125892455"/>
      <w:bookmarkStart w:id="143" w:name="_Toc523830011"/>
      <w:bookmarkStart w:id="144" w:name="_Toc22454481"/>
    </w:p>
    <w:p w:rsidR="00D06337" w:rsidRDefault="00D06337">
      <w:pPr>
        <w:pStyle w:val="1"/>
        <w:spacing w:before="0" w:after="0"/>
        <w:ind w:firstLineChars="200" w:firstLine="482"/>
      </w:pPr>
      <w:bookmarkStart w:id="145" w:name="_Toc508720697"/>
    </w:p>
    <w:p w:rsidR="00D06337" w:rsidRDefault="00F0626B">
      <w:pPr>
        <w:pStyle w:val="1"/>
        <w:spacing w:before="0" w:after="0"/>
        <w:ind w:firstLineChars="200" w:firstLine="482"/>
      </w:pPr>
      <w:r>
        <w:rPr>
          <w:rFonts w:hint="eastAsia"/>
        </w:rPr>
        <w:t>十九、基金托管协议的效力</w:t>
      </w:r>
      <w:bookmarkEnd w:id="141"/>
      <w:bookmarkEnd w:id="142"/>
      <w:bookmarkEnd w:id="143"/>
      <w:bookmarkEnd w:id="144"/>
      <w:bookmarkEnd w:id="145"/>
    </w:p>
    <w:p w:rsidR="00D06337" w:rsidRDefault="00F0626B">
      <w:pPr>
        <w:spacing w:line="360" w:lineRule="auto"/>
        <w:ind w:firstLineChars="200" w:firstLine="480"/>
        <w:rPr>
          <w:color w:val="000000"/>
          <w:sz w:val="24"/>
        </w:rPr>
      </w:pPr>
      <w:r>
        <w:rPr>
          <w:rFonts w:hint="eastAsia"/>
          <w:color w:val="000000"/>
          <w:sz w:val="24"/>
        </w:rPr>
        <w:t>（一）基金管理人在向中国证监会申请基金募集注册时提交的基金托管协议草案，应经托管协议当事人双方盖章以及双方法定代表人或授权代表签章，协议当事人双方根据中国证监会的意见修改托管协议草案。托管协议以报中国证监会注册的文本为正式文本。</w:t>
      </w:r>
    </w:p>
    <w:p w:rsidR="00D06337" w:rsidRDefault="00F0626B">
      <w:pPr>
        <w:spacing w:line="360" w:lineRule="auto"/>
        <w:ind w:firstLineChars="200" w:firstLine="480"/>
        <w:rPr>
          <w:color w:val="000000"/>
          <w:sz w:val="24"/>
        </w:rPr>
      </w:pPr>
      <w:r>
        <w:rPr>
          <w:rFonts w:hint="eastAsia"/>
          <w:color w:val="000000"/>
          <w:sz w:val="24"/>
        </w:rPr>
        <w:t>（二）基金托管协议自《基金合同》成立之日起成立，自《基金合同》生效之日起生效。基金托管协议的有效期自其生效之日起至基金财产清算结果报中国证监会备案并公告之日止。</w:t>
      </w:r>
    </w:p>
    <w:p w:rsidR="00D06337" w:rsidRDefault="00F0626B">
      <w:pPr>
        <w:spacing w:line="360" w:lineRule="auto"/>
        <w:ind w:firstLineChars="200" w:firstLine="480"/>
        <w:rPr>
          <w:color w:val="000000"/>
          <w:sz w:val="24"/>
        </w:rPr>
      </w:pPr>
      <w:r>
        <w:rPr>
          <w:rFonts w:hint="eastAsia"/>
          <w:color w:val="000000"/>
          <w:sz w:val="24"/>
        </w:rPr>
        <w:t>（三）基金托管协议自生效之日起对托管协议当事人具有同等的法律约束力。</w:t>
      </w:r>
    </w:p>
    <w:p w:rsidR="00D06337" w:rsidRDefault="00F0626B">
      <w:pPr>
        <w:spacing w:line="360" w:lineRule="auto"/>
        <w:ind w:firstLineChars="200" w:firstLine="480"/>
        <w:rPr>
          <w:b/>
          <w:color w:val="000000"/>
          <w:sz w:val="24"/>
        </w:rPr>
      </w:pPr>
      <w:r>
        <w:rPr>
          <w:rFonts w:hint="eastAsia"/>
          <w:color w:val="000000"/>
          <w:sz w:val="24"/>
        </w:rPr>
        <w:t>（四）基金托管协议一式三份，除上报中国证监会一份外，基金管理人和基金托管人分别持有一份，每份具有同等的法律效力。</w:t>
      </w:r>
    </w:p>
    <w:p w:rsidR="00D06337" w:rsidRDefault="00D06337">
      <w:pPr>
        <w:pStyle w:val="1"/>
        <w:spacing w:before="0" w:after="0"/>
        <w:ind w:firstLineChars="200" w:firstLine="482"/>
      </w:pPr>
      <w:bookmarkStart w:id="146" w:name="_Toc508720698"/>
    </w:p>
    <w:p w:rsidR="00D06337" w:rsidRDefault="00F0626B">
      <w:pPr>
        <w:pStyle w:val="1"/>
        <w:spacing w:before="0" w:after="0"/>
        <w:ind w:firstLineChars="200" w:firstLine="482"/>
      </w:pPr>
      <w:r>
        <w:rPr>
          <w:rFonts w:hint="eastAsia"/>
        </w:rPr>
        <w:t>二十、其他事项</w:t>
      </w:r>
      <w:bookmarkEnd w:id="146"/>
    </w:p>
    <w:p w:rsidR="00D06337" w:rsidRDefault="00F0626B">
      <w:pPr>
        <w:spacing w:line="360" w:lineRule="auto"/>
        <w:ind w:firstLineChars="200" w:firstLine="480"/>
        <w:rPr>
          <w:color w:val="000000"/>
          <w:sz w:val="24"/>
        </w:rPr>
      </w:pPr>
      <w:r>
        <w:rPr>
          <w:rFonts w:hint="eastAsia"/>
          <w:color w:val="000000"/>
          <w:sz w:val="24"/>
        </w:rPr>
        <w:t>本协议未尽事宜，当事人依据基金合同、有关法律、法规等规定协商办理。</w:t>
      </w:r>
    </w:p>
    <w:p w:rsidR="00D06337" w:rsidRDefault="00D06337">
      <w:pPr>
        <w:pStyle w:val="1"/>
        <w:spacing w:before="0" w:after="0"/>
        <w:ind w:firstLineChars="200" w:firstLine="482"/>
      </w:pPr>
      <w:bookmarkStart w:id="147" w:name="_Toc523830014"/>
      <w:bookmarkStart w:id="148" w:name="_Toc22454484"/>
      <w:bookmarkStart w:id="149" w:name="_Toc508720699"/>
    </w:p>
    <w:p w:rsidR="00D06337" w:rsidRDefault="00F0626B">
      <w:pPr>
        <w:pStyle w:val="1"/>
        <w:spacing w:before="0" w:after="0"/>
        <w:ind w:firstLineChars="200" w:firstLine="482"/>
      </w:pPr>
      <w:r>
        <w:rPr>
          <w:rFonts w:hint="eastAsia"/>
        </w:rPr>
        <w:t>二十一、基金托管协议的签订</w:t>
      </w:r>
      <w:bookmarkEnd w:id="147"/>
      <w:bookmarkEnd w:id="148"/>
      <w:bookmarkEnd w:id="149"/>
    </w:p>
    <w:p w:rsidR="00D06337" w:rsidRDefault="00F0626B">
      <w:pPr>
        <w:spacing w:line="360" w:lineRule="auto"/>
        <w:ind w:firstLineChars="200" w:firstLine="480"/>
        <w:rPr>
          <w:color w:val="000000"/>
          <w:sz w:val="24"/>
        </w:rPr>
      </w:pPr>
      <w:r>
        <w:rPr>
          <w:rFonts w:hint="eastAsia"/>
          <w:color w:val="000000"/>
          <w:sz w:val="24"/>
        </w:rPr>
        <w:t>本托管协议双方盖章及双方法定代表人或授权代表签章、签订地、签订日，</w:t>
      </w:r>
      <w:proofErr w:type="gramStart"/>
      <w:r>
        <w:rPr>
          <w:rFonts w:hint="eastAsia"/>
          <w:color w:val="000000"/>
          <w:sz w:val="24"/>
        </w:rPr>
        <w:t>见签署页</w:t>
      </w:r>
      <w:proofErr w:type="gramEnd"/>
      <w:r>
        <w:rPr>
          <w:rFonts w:hint="eastAsia"/>
          <w:color w:val="000000"/>
          <w:sz w:val="24"/>
        </w:rPr>
        <w:t>。</w:t>
      </w:r>
    </w:p>
    <w:p w:rsidR="00D06337" w:rsidRDefault="00D06337"/>
    <w:p w:rsidR="00D06337" w:rsidRDefault="00D06337">
      <w:pPr>
        <w:spacing w:line="360" w:lineRule="auto"/>
        <w:rPr>
          <w:color w:val="000000"/>
          <w:sz w:val="24"/>
        </w:rPr>
        <w:sectPr w:rsidR="00D06337">
          <w:headerReference w:type="default" r:id="rId12"/>
          <w:footerReference w:type="default" r:id="rId13"/>
          <w:pgSz w:w="11906" w:h="16838"/>
          <w:pgMar w:top="1440" w:right="1797" w:bottom="1440" w:left="1797" w:header="851" w:footer="992" w:gutter="0"/>
          <w:pgNumType w:start="1"/>
          <w:cols w:space="425"/>
          <w:titlePg/>
          <w:docGrid w:type="linesAndChars" w:linePitch="312"/>
        </w:sectPr>
      </w:pPr>
    </w:p>
    <w:p w:rsidR="00D06337" w:rsidRDefault="00F0626B">
      <w:pPr>
        <w:spacing w:line="360" w:lineRule="auto"/>
        <w:rPr>
          <w:color w:val="000000"/>
          <w:sz w:val="24"/>
        </w:rPr>
      </w:pPr>
      <w:r>
        <w:rPr>
          <w:rFonts w:hint="eastAsia"/>
          <w:color w:val="000000"/>
          <w:sz w:val="24"/>
        </w:rPr>
        <w:lastRenderedPageBreak/>
        <w:t>（本页无正文，为《交银施罗德中证智选沪深港科技</w:t>
      </w:r>
      <w:r>
        <w:rPr>
          <w:rFonts w:hint="eastAsia"/>
          <w:color w:val="000000"/>
          <w:sz w:val="24"/>
        </w:rPr>
        <w:t>50</w:t>
      </w:r>
      <w:r>
        <w:rPr>
          <w:rFonts w:hint="eastAsia"/>
          <w:color w:val="000000"/>
          <w:sz w:val="24"/>
        </w:rPr>
        <w:t>交易型开放式指数证券投资基金托管协议》签署页）</w:t>
      </w: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F0626B">
      <w:pPr>
        <w:spacing w:line="360" w:lineRule="auto"/>
        <w:ind w:firstLineChars="200" w:firstLine="480"/>
        <w:rPr>
          <w:color w:val="000000"/>
          <w:sz w:val="24"/>
        </w:rPr>
      </w:pPr>
      <w:r>
        <w:rPr>
          <w:rFonts w:hint="eastAsia"/>
          <w:color w:val="000000"/>
          <w:sz w:val="24"/>
        </w:rPr>
        <w:t>基金管理人：交银施罗德基金管理有限公司（盖章）</w:t>
      </w: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F0626B">
      <w:pPr>
        <w:spacing w:line="360" w:lineRule="auto"/>
        <w:ind w:firstLineChars="200" w:firstLine="480"/>
        <w:rPr>
          <w:color w:val="000000"/>
          <w:sz w:val="24"/>
        </w:rPr>
      </w:pPr>
      <w:r>
        <w:rPr>
          <w:rFonts w:hint="eastAsia"/>
          <w:color w:val="000000"/>
          <w:sz w:val="24"/>
        </w:rPr>
        <w:t>法定代表人或授权代表（签章）：</w:t>
      </w: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F0626B">
      <w:pPr>
        <w:spacing w:line="360" w:lineRule="auto"/>
        <w:ind w:firstLineChars="200" w:firstLine="480"/>
        <w:rPr>
          <w:color w:val="000000"/>
          <w:sz w:val="24"/>
        </w:rPr>
      </w:pPr>
      <w:r>
        <w:rPr>
          <w:rFonts w:hint="eastAsia"/>
          <w:color w:val="000000"/>
          <w:sz w:val="24"/>
        </w:rPr>
        <w:t>签订地点：</w:t>
      </w:r>
    </w:p>
    <w:p w:rsidR="00D06337" w:rsidRDefault="00F0626B">
      <w:pPr>
        <w:spacing w:line="360" w:lineRule="auto"/>
        <w:ind w:firstLineChars="200" w:firstLine="480"/>
        <w:rPr>
          <w:color w:val="000000"/>
          <w:sz w:val="24"/>
        </w:rPr>
      </w:pPr>
      <w:r>
        <w:rPr>
          <w:rFonts w:hint="eastAsia"/>
          <w:color w:val="000000"/>
          <w:sz w:val="24"/>
        </w:rPr>
        <w:t>签订日期：</w:t>
      </w:r>
      <w:r>
        <w:rPr>
          <w:rFonts w:hint="eastAsia"/>
          <w:color w:val="000000"/>
          <w:sz w:val="24"/>
        </w:rPr>
        <w:t xml:space="preserve"> </w:t>
      </w:r>
      <w:r>
        <w:rPr>
          <w:color w:val="000000"/>
          <w:sz w:val="24"/>
        </w:rPr>
        <w:t xml:space="preserve">   </w:t>
      </w:r>
      <w:r>
        <w:rPr>
          <w:rFonts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日</w:t>
      </w: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F0626B">
      <w:pPr>
        <w:spacing w:line="360" w:lineRule="auto"/>
        <w:ind w:firstLineChars="200" w:firstLine="480"/>
        <w:rPr>
          <w:color w:val="000000"/>
          <w:sz w:val="24"/>
        </w:rPr>
      </w:pPr>
      <w:r>
        <w:rPr>
          <w:rFonts w:hint="eastAsia"/>
          <w:color w:val="000000"/>
          <w:sz w:val="24"/>
        </w:rPr>
        <w:t>基金托管人：</w:t>
      </w:r>
      <w:proofErr w:type="gramStart"/>
      <w:r>
        <w:rPr>
          <w:rFonts w:hint="eastAsia"/>
          <w:color w:val="000000"/>
          <w:sz w:val="24"/>
        </w:rPr>
        <w:t>国泰海通</w:t>
      </w:r>
      <w:proofErr w:type="gramEnd"/>
      <w:r>
        <w:rPr>
          <w:rFonts w:hint="eastAsia"/>
          <w:color w:val="000000"/>
          <w:sz w:val="24"/>
        </w:rPr>
        <w:t>证券股份有限公司（盖章）</w:t>
      </w: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D06337">
      <w:pPr>
        <w:spacing w:line="360" w:lineRule="auto"/>
        <w:rPr>
          <w:color w:val="000000"/>
          <w:sz w:val="24"/>
        </w:rPr>
      </w:pPr>
    </w:p>
    <w:p w:rsidR="00D06337" w:rsidRDefault="00F0626B">
      <w:pPr>
        <w:spacing w:line="360" w:lineRule="auto"/>
        <w:ind w:firstLineChars="200" w:firstLine="480"/>
        <w:rPr>
          <w:color w:val="000000"/>
          <w:sz w:val="24"/>
        </w:rPr>
      </w:pPr>
      <w:r>
        <w:rPr>
          <w:rFonts w:hint="eastAsia"/>
          <w:color w:val="000000"/>
          <w:sz w:val="24"/>
        </w:rPr>
        <w:t>法定代表人或授权代表（签章）：</w:t>
      </w: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D06337">
      <w:pPr>
        <w:spacing w:line="360" w:lineRule="auto"/>
        <w:ind w:firstLineChars="200" w:firstLine="480"/>
        <w:rPr>
          <w:color w:val="000000"/>
          <w:sz w:val="24"/>
        </w:rPr>
      </w:pPr>
    </w:p>
    <w:p w:rsidR="00D06337" w:rsidRDefault="00F0626B">
      <w:pPr>
        <w:spacing w:line="360" w:lineRule="auto"/>
        <w:ind w:firstLineChars="200" w:firstLine="480"/>
        <w:rPr>
          <w:color w:val="000000"/>
          <w:sz w:val="24"/>
        </w:rPr>
      </w:pPr>
      <w:r>
        <w:rPr>
          <w:rFonts w:hint="eastAsia"/>
          <w:color w:val="000000"/>
          <w:sz w:val="24"/>
        </w:rPr>
        <w:t>签订地点：</w:t>
      </w:r>
    </w:p>
    <w:p w:rsidR="00D06337" w:rsidRDefault="00F0626B">
      <w:pPr>
        <w:spacing w:line="360" w:lineRule="auto"/>
        <w:ind w:firstLineChars="200" w:firstLine="480"/>
        <w:rPr>
          <w:color w:val="000000"/>
        </w:rPr>
      </w:pPr>
      <w:r>
        <w:rPr>
          <w:rFonts w:hint="eastAsia"/>
          <w:color w:val="000000"/>
          <w:sz w:val="24"/>
        </w:rPr>
        <w:t>签订日期：</w:t>
      </w:r>
      <w:r>
        <w:rPr>
          <w:rFonts w:hint="eastAsia"/>
          <w:color w:val="000000"/>
          <w:sz w:val="24"/>
        </w:rPr>
        <w:t xml:space="preserve"> </w:t>
      </w:r>
      <w:r>
        <w:rPr>
          <w:color w:val="000000"/>
          <w:sz w:val="24"/>
        </w:rPr>
        <w:t xml:space="preserve">    </w:t>
      </w:r>
      <w:r>
        <w:rPr>
          <w:rFonts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日</w:t>
      </w:r>
    </w:p>
    <w:p w:rsidR="00D06337" w:rsidRDefault="00D06337">
      <w:pPr>
        <w:spacing w:line="360" w:lineRule="auto"/>
        <w:ind w:firstLineChars="200" w:firstLine="420"/>
        <w:rPr>
          <w:color w:val="000000"/>
        </w:rPr>
      </w:pPr>
    </w:p>
    <w:sectPr w:rsidR="00D06337">
      <w:pgSz w:w="11906" w:h="16838"/>
      <w:pgMar w:top="1440" w:right="1797" w:bottom="1440" w:left="1797" w:header="851" w:footer="992" w:gutter="0"/>
      <w:pgNumType w:start="1"/>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FBA" w:rsidRDefault="00021FBA">
      <w:r>
        <w:separator/>
      </w:r>
    </w:p>
  </w:endnote>
  <w:endnote w:type="continuationSeparator" w:id="0">
    <w:p w:rsidR="00021FBA" w:rsidRDefault="0002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WinCharSetFFFF-H">
    <w:altName w:val="宋体"/>
    <w:charset w:val="86"/>
    <w:family w:val="auto"/>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337" w:rsidRDefault="00F0626B">
    <w:pPr>
      <w:pStyle w:val="ad"/>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06337" w:rsidRDefault="00D0633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337" w:rsidRDefault="00F0626B">
    <w:pPr>
      <w:pStyle w:val="ad"/>
      <w:jc w:val="center"/>
      <w:rPr>
        <w:rStyle w:val="af3"/>
      </w:rPr>
    </w:pPr>
    <w:r>
      <w:rPr>
        <w:rStyle w:val="af3"/>
      </w:rPr>
      <w:fldChar w:fldCharType="begin"/>
    </w:r>
    <w:r>
      <w:rPr>
        <w:rStyle w:val="af3"/>
      </w:rPr>
      <w:instrText xml:space="preserve">PAGE  </w:instrText>
    </w:r>
    <w:r>
      <w:rPr>
        <w:rStyle w:val="af3"/>
      </w:rPr>
      <w:fldChar w:fldCharType="separate"/>
    </w:r>
    <w:r w:rsidR="00AF2AA5">
      <w:rPr>
        <w:rStyle w:val="af3"/>
        <w:noProof/>
      </w:rPr>
      <w:t>34</w:t>
    </w:r>
    <w:r>
      <w:rPr>
        <w:rStyle w:val="af3"/>
      </w:rPr>
      <w:fldChar w:fldCharType="end"/>
    </w:r>
  </w:p>
  <w:p w:rsidR="00D06337" w:rsidRDefault="00D0633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FBA" w:rsidRDefault="00021FBA">
      <w:r>
        <w:separator/>
      </w:r>
    </w:p>
  </w:footnote>
  <w:footnote w:type="continuationSeparator" w:id="0">
    <w:p w:rsidR="00021FBA" w:rsidRDefault="0002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337" w:rsidRDefault="00F0626B">
    <w:pPr>
      <w:pStyle w:val="af"/>
      <w:tabs>
        <w:tab w:val="clear" w:pos="4153"/>
      </w:tabs>
      <w:jc w:val="right"/>
    </w:pPr>
    <w:r>
      <w:rPr>
        <w:rFonts w:hint="eastAsia"/>
      </w:rPr>
      <w:t>交银施罗德中</w:t>
    </w:r>
    <w:proofErr w:type="gramStart"/>
    <w:r>
      <w:rPr>
        <w:rFonts w:hint="eastAsia"/>
      </w:rPr>
      <w:t>证智选沪</w:t>
    </w:r>
    <w:proofErr w:type="gramEnd"/>
    <w:r>
      <w:rPr>
        <w:rFonts w:hint="eastAsia"/>
      </w:rPr>
      <w:t>深港科技</w:t>
    </w:r>
    <w:r>
      <w:rPr>
        <w:rFonts w:hint="eastAsia"/>
      </w:rPr>
      <w:t>50</w:t>
    </w:r>
    <w:r>
      <w:rPr>
        <w:rFonts w:hint="eastAsia"/>
      </w:rPr>
      <w:t>交易型开放式指数证券投资基金托管协议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337" w:rsidRDefault="00F0626B">
    <w:pPr>
      <w:pStyle w:val="af"/>
      <w:jc w:val="right"/>
    </w:pPr>
    <w:r>
      <w:rPr>
        <w:rFonts w:hint="eastAsia"/>
      </w:rPr>
      <w:t>交银施罗德中</w:t>
    </w:r>
    <w:proofErr w:type="gramStart"/>
    <w:r>
      <w:rPr>
        <w:rFonts w:hint="eastAsia"/>
      </w:rPr>
      <w:t>证智选沪</w:t>
    </w:r>
    <w:proofErr w:type="gramEnd"/>
    <w:r>
      <w:rPr>
        <w:rFonts w:hint="eastAsia"/>
      </w:rPr>
      <w:t>深港科技</w:t>
    </w:r>
    <w:r>
      <w:rPr>
        <w:rFonts w:hint="eastAsia"/>
      </w:rPr>
      <w:t>50</w:t>
    </w:r>
    <w:r>
      <w:rPr>
        <w:rFonts w:hint="eastAsia"/>
      </w:rPr>
      <w:t>交易型开放式指数证券投资基金托管协议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CDB"/>
    <w:multiLevelType w:val="multilevel"/>
    <w:tmpl w:val="06786CDB"/>
    <w:lvl w:ilvl="0">
      <w:start w:val="1"/>
      <w:numFmt w:val="decimal"/>
      <w:pStyle w:val="UCAlpha2"/>
      <w:lvlText w:val="(%1)"/>
      <w:lvlJc w:val="left"/>
      <w:pPr>
        <w:tabs>
          <w:tab w:val="left" w:pos="1941"/>
        </w:tabs>
        <w:ind w:left="1941" w:hanging="681"/>
      </w:pPr>
      <w:rPr>
        <w:rFonts w:ascii="Arial" w:hAnsi="Arial" w:hint="default"/>
        <w:b w:val="0"/>
        <w:i w:val="0"/>
        <w:sz w:val="20"/>
      </w:rPr>
    </w:lvl>
    <w:lvl w:ilvl="1">
      <w:start w:val="1"/>
      <w:numFmt w:val="lowerLetter"/>
      <w:lvlText w:val="%2."/>
      <w:lvlJc w:val="left"/>
      <w:pPr>
        <w:tabs>
          <w:tab w:val="left" w:pos="1620"/>
        </w:tabs>
        <w:ind w:left="1620" w:hanging="360"/>
      </w:pPr>
      <w:rPr>
        <w:rFonts w:hint="default"/>
      </w:rPr>
    </w:lvl>
    <w:lvl w:ilvl="2">
      <w:start w:val="1"/>
      <w:numFmt w:val="lowerRoman"/>
      <w:lvlText w:val="%3."/>
      <w:lvlJc w:val="right"/>
      <w:pPr>
        <w:tabs>
          <w:tab w:val="left" w:pos="2340"/>
        </w:tabs>
        <w:ind w:left="2340" w:hanging="180"/>
      </w:pPr>
      <w:rPr>
        <w:rFonts w:hint="default"/>
      </w:rPr>
    </w:lvl>
    <w:lvl w:ilvl="3">
      <w:start w:val="1"/>
      <w:numFmt w:val="decimal"/>
      <w:lvlText w:val="%4."/>
      <w:lvlJc w:val="left"/>
      <w:pPr>
        <w:tabs>
          <w:tab w:val="left" w:pos="3060"/>
        </w:tabs>
        <w:ind w:left="3060" w:hanging="360"/>
      </w:pPr>
      <w:rPr>
        <w:rFonts w:hint="default"/>
      </w:rPr>
    </w:lvl>
    <w:lvl w:ilvl="4">
      <w:start w:val="1"/>
      <w:numFmt w:val="lowerLetter"/>
      <w:lvlText w:val="%5."/>
      <w:lvlJc w:val="left"/>
      <w:pPr>
        <w:tabs>
          <w:tab w:val="left" w:pos="3780"/>
        </w:tabs>
        <w:ind w:left="3780" w:hanging="360"/>
      </w:pPr>
      <w:rPr>
        <w:rFonts w:hint="default"/>
      </w:rPr>
    </w:lvl>
    <w:lvl w:ilvl="5">
      <w:start w:val="1"/>
      <w:numFmt w:val="lowerRoman"/>
      <w:lvlText w:val="%6."/>
      <w:lvlJc w:val="right"/>
      <w:pPr>
        <w:tabs>
          <w:tab w:val="left" w:pos="4500"/>
        </w:tabs>
        <w:ind w:left="4500" w:hanging="180"/>
      </w:pPr>
      <w:rPr>
        <w:rFonts w:hint="default"/>
      </w:rPr>
    </w:lvl>
    <w:lvl w:ilvl="6">
      <w:start w:val="1"/>
      <w:numFmt w:val="decimal"/>
      <w:lvlText w:val="%7."/>
      <w:lvlJc w:val="left"/>
      <w:pPr>
        <w:tabs>
          <w:tab w:val="left" w:pos="5220"/>
        </w:tabs>
        <w:ind w:left="5220" w:hanging="360"/>
      </w:pPr>
      <w:rPr>
        <w:rFonts w:hint="default"/>
      </w:rPr>
    </w:lvl>
    <w:lvl w:ilvl="7">
      <w:start w:val="1"/>
      <w:numFmt w:val="lowerLetter"/>
      <w:lvlText w:val="%8."/>
      <w:lvlJc w:val="left"/>
      <w:pPr>
        <w:tabs>
          <w:tab w:val="left" w:pos="5940"/>
        </w:tabs>
        <w:ind w:left="5940" w:hanging="360"/>
      </w:pPr>
      <w:rPr>
        <w:rFonts w:hint="default"/>
      </w:rPr>
    </w:lvl>
    <w:lvl w:ilvl="8">
      <w:start w:val="1"/>
      <w:numFmt w:val="lowerRoman"/>
      <w:lvlText w:val="%9."/>
      <w:lvlJc w:val="right"/>
      <w:pPr>
        <w:tabs>
          <w:tab w:val="left" w:pos="6660"/>
        </w:tabs>
        <w:ind w:left="666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33"/>
    <w:rsid w:val="00021FBA"/>
    <w:rsid w:val="000246B1"/>
    <w:rsid w:val="00026343"/>
    <w:rsid w:val="00032BDA"/>
    <w:rsid w:val="0004080B"/>
    <w:rsid w:val="00045A1A"/>
    <w:rsid w:val="00054B84"/>
    <w:rsid w:val="000603A3"/>
    <w:rsid w:val="000706A8"/>
    <w:rsid w:val="000761DD"/>
    <w:rsid w:val="0007642D"/>
    <w:rsid w:val="000843FD"/>
    <w:rsid w:val="0008734E"/>
    <w:rsid w:val="000A3EE3"/>
    <w:rsid w:val="000D1F82"/>
    <w:rsid w:val="000D43EF"/>
    <w:rsid w:val="000E17F7"/>
    <w:rsid w:val="000E4093"/>
    <w:rsid w:val="00100165"/>
    <w:rsid w:val="00124AA6"/>
    <w:rsid w:val="001507B4"/>
    <w:rsid w:val="001507EB"/>
    <w:rsid w:val="00155BA1"/>
    <w:rsid w:val="001731FF"/>
    <w:rsid w:val="00176406"/>
    <w:rsid w:val="001B21E8"/>
    <w:rsid w:val="001C40A5"/>
    <w:rsid w:val="001D5F0E"/>
    <w:rsid w:val="001E1E71"/>
    <w:rsid w:val="00201D24"/>
    <w:rsid w:val="0022192C"/>
    <w:rsid w:val="00227CAA"/>
    <w:rsid w:val="00245B92"/>
    <w:rsid w:val="0024609E"/>
    <w:rsid w:val="00272221"/>
    <w:rsid w:val="00281C45"/>
    <w:rsid w:val="002A0D92"/>
    <w:rsid w:val="002A22E9"/>
    <w:rsid w:val="002C1130"/>
    <w:rsid w:val="002C729A"/>
    <w:rsid w:val="002D4421"/>
    <w:rsid w:val="002D7704"/>
    <w:rsid w:val="002E2365"/>
    <w:rsid w:val="002E4BC8"/>
    <w:rsid w:val="002E79D7"/>
    <w:rsid w:val="002F2C6C"/>
    <w:rsid w:val="002F5EA5"/>
    <w:rsid w:val="00302E3D"/>
    <w:rsid w:val="0032481C"/>
    <w:rsid w:val="00332A9E"/>
    <w:rsid w:val="003362C8"/>
    <w:rsid w:val="003533F8"/>
    <w:rsid w:val="00363FE0"/>
    <w:rsid w:val="00365691"/>
    <w:rsid w:val="00374371"/>
    <w:rsid w:val="00381FF7"/>
    <w:rsid w:val="00385EF3"/>
    <w:rsid w:val="003924BC"/>
    <w:rsid w:val="003C7888"/>
    <w:rsid w:val="003D19AC"/>
    <w:rsid w:val="003D708D"/>
    <w:rsid w:val="003E3C33"/>
    <w:rsid w:val="003E7B82"/>
    <w:rsid w:val="003F1B1C"/>
    <w:rsid w:val="003F20B3"/>
    <w:rsid w:val="004164C2"/>
    <w:rsid w:val="00420A59"/>
    <w:rsid w:val="00426BB0"/>
    <w:rsid w:val="004428C1"/>
    <w:rsid w:val="00450D32"/>
    <w:rsid w:val="0047181C"/>
    <w:rsid w:val="004813A2"/>
    <w:rsid w:val="00482649"/>
    <w:rsid w:val="004A1D0A"/>
    <w:rsid w:val="004B0122"/>
    <w:rsid w:val="004D4BB6"/>
    <w:rsid w:val="004E5646"/>
    <w:rsid w:val="004E60DC"/>
    <w:rsid w:val="004E71DB"/>
    <w:rsid w:val="004F6FBF"/>
    <w:rsid w:val="00511F9E"/>
    <w:rsid w:val="00520923"/>
    <w:rsid w:val="00540B95"/>
    <w:rsid w:val="00552A1D"/>
    <w:rsid w:val="005607F6"/>
    <w:rsid w:val="0057216B"/>
    <w:rsid w:val="00583D32"/>
    <w:rsid w:val="005946A3"/>
    <w:rsid w:val="005A3BB1"/>
    <w:rsid w:val="005A4BEE"/>
    <w:rsid w:val="005B4287"/>
    <w:rsid w:val="005C13E6"/>
    <w:rsid w:val="005C6603"/>
    <w:rsid w:val="005F7C80"/>
    <w:rsid w:val="006002F0"/>
    <w:rsid w:val="00600C4D"/>
    <w:rsid w:val="006167DA"/>
    <w:rsid w:val="006264FB"/>
    <w:rsid w:val="00626F30"/>
    <w:rsid w:val="00632A51"/>
    <w:rsid w:val="00644910"/>
    <w:rsid w:val="006453C3"/>
    <w:rsid w:val="006461B0"/>
    <w:rsid w:val="00653CE3"/>
    <w:rsid w:val="0067181F"/>
    <w:rsid w:val="0067380B"/>
    <w:rsid w:val="00674B10"/>
    <w:rsid w:val="00680E38"/>
    <w:rsid w:val="00682B4D"/>
    <w:rsid w:val="006A283E"/>
    <w:rsid w:val="006A2960"/>
    <w:rsid w:val="006A7F7B"/>
    <w:rsid w:val="006C5881"/>
    <w:rsid w:val="006D00AC"/>
    <w:rsid w:val="006D11CD"/>
    <w:rsid w:val="006E01CC"/>
    <w:rsid w:val="006F122A"/>
    <w:rsid w:val="006F7D63"/>
    <w:rsid w:val="00700C13"/>
    <w:rsid w:val="007122A2"/>
    <w:rsid w:val="007311B2"/>
    <w:rsid w:val="00737593"/>
    <w:rsid w:val="007410CE"/>
    <w:rsid w:val="00746644"/>
    <w:rsid w:val="007626DC"/>
    <w:rsid w:val="00765C25"/>
    <w:rsid w:val="007A3413"/>
    <w:rsid w:val="007B18E9"/>
    <w:rsid w:val="007D60D4"/>
    <w:rsid w:val="007E59AD"/>
    <w:rsid w:val="007F2FF9"/>
    <w:rsid w:val="007F71E6"/>
    <w:rsid w:val="00800561"/>
    <w:rsid w:val="008031D8"/>
    <w:rsid w:val="00811B1C"/>
    <w:rsid w:val="00824AD9"/>
    <w:rsid w:val="00837174"/>
    <w:rsid w:val="008429CA"/>
    <w:rsid w:val="00842F8C"/>
    <w:rsid w:val="00845417"/>
    <w:rsid w:val="0084784F"/>
    <w:rsid w:val="00850466"/>
    <w:rsid w:val="00856DCE"/>
    <w:rsid w:val="00870749"/>
    <w:rsid w:val="00870CBA"/>
    <w:rsid w:val="00873F37"/>
    <w:rsid w:val="00887981"/>
    <w:rsid w:val="00894C6F"/>
    <w:rsid w:val="008964E1"/>
    <w:rsid w:val="008A0FC0"/>
    <w:rsid w:val="008B7545"/>
    <w:rsid w:val="008C45FB"/>
    <w:rsid w:val="008E34D7"/>
    <w:rsid w:val="008F31B2"/>
    <w:rsid w:val="008F7B7B"/>
    <w:rsid w:val="008F7C97"/>
    <w:rsid w:val="00944EC8"/>
    <w:rsid w:val="0095328D"/>
    <w:rsid w:val="009635CF"/>
    <w:rsid w:val="0097776A"/>
    <w:rsid w:val="0098575A"/>
    <w:rsid w:val="009B0563"/>
    <w:rsid w:val="009B4324"/>
    <w:rsid w:val="009C6469"/>
    <w:rsid w:val="009D07C2"/>
    <w:rsid w:val="009D3D31"/>
    <w:rsid w:val="009D7217"/>
    <w:rsid w:val="009E281A"/>
    <w:rsid w:val="009F03B7"/>
    <w:rsid w:val="00A015F8"/>
    <w:rsid w:val="00A25223"/>
    <w:rsid w:val="00A336FF"/>
    <w:rsid w:val="00A42AB0"/>
    <w:rsid w:val="00A4417F"/>
    <w:rsid w:val="00A47B0E"/>
    <w:rsid w:val="00A561E9"/>
    <w:rsid w:val="00A56ED8"/>
    <w:rsid w:val="00A60EEA"/>
    <w:rsid w:val="00A824BD"/>
    <w:rsid w:val="00A85EF0"/>
    <w:rsid w:val="00A91335"/>
    <w:rsid w:val="00A93195"/>
    <w:rsid w:val="00A9761B"/>
    <w:rsid w:val="00AA23EF"/>
    <w:rsid w:val="00AA5604"/>
    <w:rsid w:val="00AA6D43"/>
    <w:rsid w:val="00AB6342"/>
    <w:rsid w:val="00AB6736"/>
    <w:rsid w:val="00AC03B3"/>
    <w:rsid w:val="00AC225D"/>
    <w:rsid w:val="00AC3774"/>
    <w:rsid w:val="00AD5D17"/>
    <w:rsid w:val="00AD78C8"/>
    <w:rsid w:val="00AE4CFB"/>
    <w:rsid w:val="00AF0C9C"/>
    <w:rsid w:val="00AF26D7"/>
    <w:rsid w:val="00AF2AA5"/>
    <w:rsid w:val="00B01E84"/>
    <w:rsid w:val="00B23F6C"/>
    <w:rsid w:val="00B259AA"/>
    <w:rsid w:val="00B50D09"/>
    <w:rsid w:val="00B513DB"/>
    <w:rsid w:val="00B51E8E"/>
    <w:rsid w:val="00B75BE0"/>
    <w:rsid w:val="00B8077C"/>
    <w:rsid w:val="00B8254D"/>
    <w:rsid w:val="00B83918"/>
    <w:rsid w:val="00B870E1"/>
    <w:rsid w:val="00B95CD2"/>
    <w:rsid w:val="00B95D69"/>
    <w:rsid w:val="00BA6B7F"/>
    <w:rsid w:val="00BB2319"/>
    <w:rsid w:val="00BC0EB7"/>
    <w:rsid w:val="00BC3E73"/>
    <w:rsid w:val="00BE183A"/>
    <w:rsid w:val="00C01791"/>
    <w:rsid w:val="00C0612D"/>
    <w:rsid w:val="00C320A7"/>
    <w:rsid w:val="00C36FAC"/>
    <w:rsid w:val="00C45000"/>
    <w:rsid w:val="00C63FF5"/>
    <w:rsid w:val="00C658DE"/>
    <w:rsid w:val="00C74A4D"/>
    <w:rsid w:val="00C93B7F"/>
    <w:rsid w:val="00C943DE"/>
    <w:rsid w:val="00CA107C"/>
    <w:rsid w:val="00CA2220"/>
    <w:rsid w:val="00CB44A6"/>
    <w:rsid w:val="00CB5B12"/>
    <w:rsid w:val="00CB5CC0"/>
    <w:rsid w:val="00CC3625"/>
    <w:rsid w:val="00CD6227"/>
    <w:rsid w:val="00CF468D"/>
    <w:rsid w:val="00CF516F"/>
    <w:rsid w:val="00D04AF3"/>
    <w:rsid w:val="00D058A4"/>
    <w:rsid w:val="00D06337"/>
    <w:rsid w:val="00D13969"/>
    <w:rsid w:val="00D1487D"/>
    <w:rsid w:val="00D17528"/>
    <w:rsid w:val="00D3215F"/>
    <w:rsid w:val="00D36E58"/>
    <w:rsid w:val="00D57F10"/>
    <w:rsid w:val="00D668E4"/>
    <w:rsid w:val="00D72F79"/>
    <w:rsid w:val="00D90AE0"/>
    <w:rsid w:val="00D94EF0"/>
    <w:rsid w:val="00DA591E"/>
    <w:rsid w:val="00DB47E1"/>
    <w:rsid w:val="00DC578D"/>
    <w:rsid w:val="00DE56F0"/>
    <w:rsid w:val="00DE58A7"/>
    <w:rsid w:val="00DE7261"/>
    <w:rsid w:val="00DF01B0"/>
    <w:rsid w:val="00DF0D44"/>
    <w:rsid w:val="00DF50A3"/>
    <w:rsid w:val="00E148A0"/>
    <w:rsid w:val="00E270D9"/>
    <w:rsid w:val="00E318E3"/>
    <w:rsid w:val="00E32C72"/>
    <w:rsid w:val="00E50315"/>
    <w:rsid w:val="00E81CF8"/>
    <w:rsid w:val="00E821E0"/>
    <w:rsid w:val="00E95782"/>
    <w:rsid w:val="00E97D4E"/>
    <w:rsid w:val="00EB237C"/>
    <w:rsid w:val="00EC5BDE"/>
    <w:rsid w:val="00ED0D81"/>
    <w:rsid w:val="00EE2202"/>
    <w:rsid w:val="00EE65FE"/>
    <w:rsid w:val="00F0626B"/>
    <w:rsid w:val="00F12ED4"/>
    <w:rsid w:val="00F237C2"/>
    <w:rsid w:val="00F26D8C"/>
    <w:rsid w:val="00F3200E"/>
    <w:rsid w:val="00F441C2"/>
    <w:rsid w:val="00F45B3E"/>
    <w:rsid w:val="00F51FF5"/>
    <w:rsid w:val="00F71935"/>
    <w:rsid w:val="00F87DF8"/>
    <w:rsid w:val="00F92B07"/>
    <w:rsid w:val="00F93787"/>
    <w:rsid w:val="00FA355B"/>
    <w:rsid w:val="00FB287C"/>
    <w:rsid w:val="00FC5648"/>
    <w:rsid w:val="00FD2856"/>
    <w:rsid w:val="00FD2882"/>
    <w:rsid w:val="00FD7D1D"/>
    <w:rsid w:val="00FE2933"/>
    <w:rsid w:val="00FF70DF"/>
    <w:rsid w:val="08934B1E"/>
    <w:rsid w:val="0B7A2363"/>
    <w:rsid w:val="115C0A42"/>
    <w:rsid w:val="12DE2BB2"/>
    <w:rsid w:val="13144A95"/>
    <w:rsid w:val="140E57F5"/>
    <w:rsid w:val="1A1224C3"/>
    <w:rsid w:val="1C690BFF"/>
    <w:rsid w:val="1CA02ED8"/>
    <w:rsid w:val="1CBA41C9"/>
    <w:rsid w:val="1F167A11"/>
    <w:rsid w:val="21B82483"/>
    <w:rsid w:val="29204723"/>
    <w:rsid w:val="295E6CA6"/>
    <w:rsid w:val="2E2271A7"/>
    <w:rsid w:val="32FA4EB9"/>
    <w:rsid w:val="34A21037"/>
    <w:rsid w:val="38EC035C"/>
    <w:rsid w:val="39D468C3"/>
    <w:rsid w:val="45915326"/>
    <w:rsid w:val="49F153DD"/>
    <w:rsid w:val="4D077052"/>
    <w:rsid w:val="4D500667"/>
    <w:rsid w:val="52C7469D"/>
    <w:rsid w:val="5B6E5BD4"/>
    <w:rsid w:val="5DF356C5"/>
    <w:rsid w:val="61AC2FF1"/>
    <w:rsid w:val="67867E22"/>
    <w:rsid w:val="682F7FFB"/>
    <w:rsid w:val="69D24114"/>
    <w:rsid w:val="6CDF10DD"/>
    <w:rsid w:val="6E3D3E77"/>
    <w:rsid w:val="750E0B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5C317D-2587-460D-A394-1A51E524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120" w:after="120" w:line="360" w:lineRule="auto"/>
      <w:jc w:val="center"/>
      <w:outlineLvl w:val="0"/>
    </w:pPr>
    <w:rPr>
      <w:rFonts w:ascii="宋体"/>
      <w:b/>
      <w:color w:val="000000"/>
      <w:kern w:val="0"/>
      <w:sz w:val="24"/>
      <w:szCs w:val="20"/>
    </w:rPr>
  </w:style>
  <w:style w:type="paragraph" w:styleId="2">
    <w:name w:val="heading 2"/>
    <w:basedOn w:val="a"/>
    <w:next w:val="a"/>
    <w:link w:val="20"/>
    <w:uiPriority w:val="9"/>
    <w:semiHidden/>
    <w:unhideWhenUsed/>
    <w:qFormat/>
    <w:pPr>
      <w:keepNext/>
      <w:keepLines/>
      <w:spacing w:before="120" w:after="120" w:line="360" w:lineRule="auto"/>
      <w:outlineLvl w:val="1"/>
    </w:pPr>
    <w:rPr>
      <w:rFonts w:ascii="宋体"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style>
  <w:style w:type="paragraph" w:styleId="a3">
    <w:name w:val="Document Map"/>
    <w:basedOn w:val="a"/>
    <w:link w:val="a4"/>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tabs>
        <w:tab w:val="left" w:pos="3780"/>
      </w:tabs>
      <w:autoSpaceDE w:val="0"/>
      <w:autoSpaceDN w:val="0"/>
      <w:spacing w:beforeLines="50" w:afterLines="50" w:line="360" w:lineRule="auto"/>
      <w:textAlignment w:val="bottom"/>
      <w:outlineLvl w:val="0"/>
    </w:pPr>
    <w:rPr>
      <w:rFonts w:ascii="宋体" w:hAnsi="宋体"/>
      <w:b/>
      <w:bCs/>
      <w:color w:val="FF0000"/>
      <w:sz w:val="24"/>
    </w:rPr>
  </w:style>
  <w:style w:type="paragraph" w:styleId="a9">
    <w:name w:val="Body Text Indent"/>
    <w:basedOn w:val="a"/>
    <w:link w:val="aa"/>
    <w:qFormat/>
    <w:pPr>
      <w:spacing w:line="360" w:lineRule="auto"/>
      <w:ind w:firstLine="420"/>
    </w:pPr>
    <w:rPr>
      <w:szCs w:val="20"/>
    </w:r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21">
    <w:name w:val="Body Text Indent 2"/>
    <w:basedOn w:val="a"/>
    <w:link w:val="22"/>
    <w:qFormat/>
    <w:pPr>
      <w:tabs>
        <w:tab w:val="left" w:pos="1260"/>
      </w:tabs>
      <w:spacing w:line="360" w:lineRule="auto"/>
      <w:ind w:firstLineChars="200" w:firstLine="480"/>
    </w:pPr>
    <w:rPr>
      <w:rFonts w:ascii="宋体" w:hAnsi="宋体"/>
      <w:kern w:val="0"/>
      <w:sz w:val="24"/>
    </w:rPr>
  </w:style>
  <w:style w:type="paragraph" w:styleId="ab">
    <w:name w:val="Balloon Text"/>
    <w:basedOn w:val="a"/>
    <w:link w:val="ac"/>
    <w:qFormat/>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line="360" w:lineRule="auto"/>
      <w:ind w:firstLineChars="200" w:firstLine="482"/>
    </w:pPr>
    <w:rPr>
      <w:b/>
      <w:caps/>
      <w:sz w:val="20"/>
      <w:szCs w:val="20"/>
    </w:rPr>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23">
    <w:name w:val="toc 2"/>
    <w:basedOn w:val="a"/>
    <w:next w:val="a"/>
    <w:qFormat/>
    <w:pPr>
      <w:ind w:leftChars="200" w:left="420"/>
    </w:pPr>
  </w:style>
  <w:style w:type="paragraph" w:styleId="9">
    <w:name w:val="toc 9"/>
    <w:basedOn w:val="a"/>
    <w:next w:val="a"/>
    <w:qFormat/>
    <w:pPr>
      <w:ind w:leftChars="1600" w:left="3360"/>
    </w:pPr>
  </w:style>
  <w:style w:type="paragraph" w:styleId="24">
    <w:name w:val="Body Text 2"/>
    <w:basedOn w:val="a"/>
    <w:link w:val="25"/>
    <w:qFormat/>
    <w:pPr>
      <w:tabs>
        <w:tab w:val="left" w:pos="3780"/>
      </w:tabs>
      <w:autoSpaceDE w:val="0"/>
      <w:autoSpaceDN w:val="0"/>
      <w:spacing w:beforeLines="50" w:afterLines="50" w:line="300" w:lineRule="auto"/>
      <w:textAlignment w:val="bottom"/>
      <w:outlineLvl w:val="0"/>
    </w:pPr>
    <w:rPr>
      <w:rFonts w:ascii="宋体" w:hAnsi="宋体"/>
      <w:b/>
      <w:bCs/>
      <w:sz w:val="24"/>
    </w:rPr>
  </w:style>
  <w:style w:type="paragraph" w:styleId="af1">
    <w:name w:val="annotation subject"/>
    <w:basedOn w:val="a5"/>
    <w:next w:val="a5"/>
    <w:link w:val="af2"/>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10">
    <w:name w:val="标题 1 字符"/>
    <w:link w:val="1"/>
    <w:qFormat/>
    <w:rPr>
      <w:rFonts w:ascii="宋体" w:eastAsia="宋体" w:hAnsi="Times New Roman" w:cs="Times New Roman"/>
      <w:b/>
      <w:color w:val="000000"/>
      <w:sz w:val="24"/>
      <w:szCs w:val="20"/>
    </w:rPr>
  </w:style>
  <w:style w:type="character" w:customStyle="1" w:styleId="20">
    <w:name w:val="标题 2 字符"/>
    <w:link w:val="2"/>
    <w:qFormat/>
    <w:rPr>
      <w:rFonts w:ascii="宋体" w:eastAsia="宋体" w:hAnsi="Arial" w:cs="Times New Roman"/>
      <w:b/>
      <w:kern w:val="2"/>
      <w:sz w:val="21"/>
      <w:szCs w:val="20"/>
    </w:rPr>
  </w:style>
  <w:style w:type="character" w:customStyle="1" w:styleId="af0">
    <w:name w:val="页眉 字符"/>
    <w:link w:val="af"/>
    <w:qFormat/>
    <w:rPr>
      <w:rFonts w:ascii="Times New Roman" w:eastAsia="宋体" w:hAnsi="Times New Roman" w:cs="Times New Roman"/>
      <w:kern w:val="2"/>
      <w:sz w:val="18"/>
      <w:szCs w:val="18"/>
    </w:rPr>
  </w:style>
  <w:style w:type="character" w:customStyle="1" w:styleId="ae">
    <w:name w:val="页脚 字符"/>
    <w:link w:val="ad"/>
    <w:qFormat/>
    <w:rPr>
      <w:rFonts w:ascii="Times New Roman" w:eastAsia="宋体" w:hAnsi="Times New Roman" w:cs="Times New Roman"/>
      <w:kern w:val="2"/>
      <w:sz w:val="18"/>
      <w:szCs w:val="18"/>
    </w:rPr>
  </w:style>
  <w:style w:type="character" w:customStyle="1" w:styleId="aa">
    <w:name w:val="正文文本缩进 字符"/>
    <w:link w:val="a9"/>
    <w:qFormat/>
    <w:rPr>
      <w:rFonts w:ascii="Times New Roman" w:eastAsia="宋体" w:hAnsi="Times New Roman" w:cs="Times New Roman"/>
      <w:kern w:val="2"/>
      <w:sz w:val="21"/>
      <w:szCs w:val="20"/>
    </w:rPr>
  </w:style>
  <w:style w:type="paragraph" w:customStyle="1" w:styleId="af6">
    <w:name w:val="正文所"/>
    <w:basedOn w:val="a"/>
    <w:qFormat/>
    <w:pPr>
      <w:spacing w:line="360" w:lineRule="auto"/>
      <w:ind w:firstLine="420"/>
    </w:pPr>
  </w:style>
  <w:style w:type="paragraph" w:customStyle="1" w:styleId="2025025">
    <w:name w:val="样式 首行缩进:  2 字符 段前: 0.25 行 段后: 0.25 行"/>
    <w:basedOn w:val="a"/>
    <w:qFormat/>
    <w:pPr>
      <w:spacing w:beforeLines="25" w:afterLines="25" w:line="300" w:lineRule="auto"/>
      <w:ind w:firstLineChars="200" w:firstLine="420"/>
    </w:pPr>
    <w:rPr>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c">
    <w:name w:val="批注框文本 字符"/>
    <w:link w:val="ab"/>
    <w:qFormat/>
    <w:rPr>
      <w:rFonts w:ascii="Times New Roman" w:eastAsia="宋体" w:hAnsi="Times New Roman" w:cs="Times New Roman"/>
      <w:kern w:val="2"/>
      <w:sz w:val="18"/>
      <w:szCs w:val="18"/>
    </w:rPr>
  </w:style>
  <w:style w:type="paragraph" w:customStyle="1" w:styleId="ParaChar">
    <w:name w:val="默认段落字体 Para Char"/>
    <w:basedOn w:val="a"/>
    <w:qFormat/>
  </w:style>
  <w:style w:type="character" w:customStyle="1" w:styleId="a4">
    <w:name w:val="文档结构图 字符"/>
    <w:link w:val="a3"/>
    <w:qFormat/>
    <w:rPr>
      <w:rFonts w:ascii="Times New Roman" w:eastAsia="宋体" w:hAnsi="Times New Roman" w:cs="Times New Roman"/>
      <w:kern w:val="2"/>
      <w:sz w:val="21"/>
      <w:szCs w:val="24"/>
      <w:shd w:val="clear" w:color="auto" w:fill="000080"/>
    </w:rPr>
  </w:style>
  <w:style w:type="character" w:customStyle="1" w:styleId="a6">
    <w:name w:val="批注文字 字符"/>
    <w:link w:val="a5"/>
    <w:qFormat/>
    <w:rPr>
      <w:rFonts w:ascii="Times New Roman" w:eastAsia="宋体" w:hAnsi="Times New Roman" w:cs="Times New Roman"/>
      <w:kern w:val="2"/>
      <w:sz w:val="21"/>
      <w:szCs w:val="24"/>
    </w:rPr>
  </w:style>
  <w:style w:type="character" w:customStyle="1" w:styleId="af2">
    <w:name w:val="批注主题 字符"/>
    <w:link w:val="af1"/>
    <w:qFormat/>
    <w:rPr>
      <w:rFonts w:ascii="Times New Roman" w:eastAsia="宋体" w:hAnsi="Times New Roman" w:cs="Times New Roman"/>
      <w:b/>
      <w:bCs/>
      <w:kern w:val="2"/>
      <w:sz w:val="21"/>
      <w:szCs w:val="24"/>
    </w:rPr>
  </w:style>
  <w:style w:type="paragraph" w:customStyle="1" w:styleId="Char">
    <w:name w:val="Char"/>
    <w:basedOn w:val="a"/>
    <w:qFormat/>
  </w:style>
  <w:style w:type="character" w:customStyle="1" w:styleId="22">
    <w:name w:val="正文文本缩进 2 字符"/>
    <w:link w:val="21"/>
    <w:qFormat/>
    <w:rPr>
      <w:rFonts w:ascii="宋体" w:eastAsia="宋体" w:hAnsi="宋体" w:cs="Times New Roman"/>
      <w:sz w:val="24"/>
      <w:szCs w:val="24"/>
    </w:rPr>
  </w:style>
  <w:style w:type="character" w:customStyle="1" w:styleId="a8">
    <w:name w:val="正文文本 字符"/>
    <w:link w:val="a7"/>
    <w:qFormat/>
    <w:rPr>
      <w:rFonts w:ascii="宋体" w:eastAsia="宋体" w:hAnsi="宋体" w:cs="Times New Roman"/>
      <w:b/>
      <w:bCs/>
      <w:color w:val="FF0000"/>
      <w:kern w:val="2"/>
      <w:sz w:val="24"/>
      <w:szCs w:val="24"/>
    </w:rPr>
  </w:style>
  <w:style w:type="character" w:customStyle="1" w:styleId="25">
    <w:name w:val="正文文本 2 字符"/>
    <w:link w:val="24"/>
    <w:qFormat/>
    <w:rPr>
      <w:rFonts w:ascii="宋体" w:eastAsia="宋体" w:hAnsi="宋体" w:cs="Times New Roman"/>
      <w:b/>
      <w:bCs/>
      <w:kern w:val="2"/>
      <w:sz w:val="24"/>
      <w:szCs w:val="24"/>
    </w:rPr>
  </w:style>
  <w:style w:type="paragraph" w:customStyle="1" w:styleId="UCAlpha2">
    <w:name w:val="UCAlpha 2"/>
    <w:basedOn w:val="a"/>
    <w:qFormat/>
    <w:pPr>
      <w:widowControl/>
      <w:numPr>
        <w:numId w:val="1"/>
      </w:numPr>
      <w:spacing w:after="140" w:line="290" w:lineRule="auto"/>
    </w:pPr>
    <w:rPr>
      <w:rFonts w:ascii="Arial" w:hAnsi="Arial"/>
      <w:kern w:val="20"/>
      <w:sz w:val="20"/>
      <w:lang w:val="en-GB" w:eastAsia="en-US"/>
    </w:rPr>
  </w:style>
  <w:style w:type="paragraph" w:customStyle="1" w:styleId="12">
    <w:name w:val="修订1"/>
    <w:uiPriority w:val="99"/>
    <w:qFormat/>
    <w:rPr>
      <w:kern w:val="2"/>
      <w:sz w:val="21"/>
      <w:szCs w:val="24"/>
    </w:rPr>
  </w:style>
  <w:style w:type="paragraph" w:customStyle="1" w:styleId="13">
    <w:name w:val="列出段落1"/>
    <w:basedOn w:val="a"/>
    <w:uiPriority w:val="34"/>
    <w:qFormat/>
    <w:pPr>
      <w:ind w:firstLineChars="200" w:firstLine="420"/>
    </w:pPr>
  </w:style>
  <w:style w:type="character" w:customStyle="1" w:styleId="read">
    <w:name w:val="read"/>
    <w:basedOn w:val="a0"/>
    <w:qFormat/>
  </w:style>
  <w:style w:type="paragraph" w:customStyle="1" w:styleId="26">
    <w:name w:val="修订2"/>
    <w:uiPriority w:val="99"/>
    <w:qFormat/>
    <w:rPr>
      <w:kern w:val="2"/>
      <w:sz w:val="21"/>
      <w:szCs w:val="24"/>
    </w:rPr>
  </w:style>
  <w:style w:type="paragraph" w:customStyle="1" w:styleId="30">
    <w:name w:val="修订3"/>
    <w:hidden/>
    <w:uiPriority w:val="99"/>
    <w:semiHidden/>
    <w:qFormat/>
    <w:rPr>
      <w:kern w:val="2"/>
      <w:sz w:val="21"/>
      <w:szCs w:val="24"/>
    </w:rPr>
  </w:style>
  <w:style w:type="paragraph" w:customStyle="1" w:styleId="40">
    <w:name w:val="修订4"/>
    <w:hidden/>
    <w:uiPriority w:val="99"/>
    <w:unhideWhenUsed/>
    <w:qFormat/>
    <w:rPr>
      <w:kern w:val="2"/>
      <w:sz w:val="21"/>
      <w:szCs w:val="24"/>
    </w:rPr>
  </w:style>
  <w:style w:type="paragraph" w:customStyle="1" w:styleId="div">
    <w:name w:val="div"/>
    <w:basedOn w:val="a"/>
    <w:qFormat/>
    <w:pPr>
      <w:widowControl/>
      <w:jc w:val="left"/>
    </w:pPr>
    <w:rPr>
      <w:kern w:val="0"/>
      <w:sz w:val="20"/>
      <w:szCs w:val="20"/>
    </w:rPr>
  </w:style>
  <w:style w:type="character" w:customStyle="1" w:styleId="custom">
    <w:name w:val="custom"/>
    <w:basedOn w:val="a0"/>
    <w:qFormat/>
  </w:style>
  <w:style w:type="paragraph" w:customStyle="1" w:styleId="50">
    <w:name w:val="修订5"/>
    <w:hidden/>
    <w:uiPriority w:val="99"/>
    <w:semiHidden/>
    <w:rPr>
      <w:kern w:val="2"/>
      <w:sz w:val="21"/>
      <w:szCs w:val="24"/>
    </w:rPr>
  </w:style>
  <w:style w:type="character" w:customStyle="1" w:styleId="14">
    <w:name w:val="批注文字 字符1"/>
    <w:qFormat/>
    <w:rPr>
      <w:kern w:val="2"/>
      <w:sz w:val="21"/>
    </w:rPr>
  </w:style>
  <w:style w:type="paragraph" w:styleId="af7">
    <w:name w:val="Revision"/>
    <w:hidden/>
    <w:uiPriority w:val="99"/>
    <w:semiHidden/>
    <w:rsid w:val="009D3D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7DB4-C801-4A60-8768-4E233B9BCC78}">
  <ds:schemaRefs>
    <ds:schemaRef ds:uri="http://www.wps.cn/android/officeDocument/2013/mofficeCustomData"/>
  </ds:schemaRefs>
</ds:datastoreItem>
</file>

<file path=customXml/itemProps2.xml><?xml version="1.0" encoding="utf-8"?>
<ds:datastoreItem xmlns:ds="http://schemas.openxmlformats.org/officeDocument/2006/customXml" ds:itemID="{D8E15F04-1527-48F8-987C-218B5CE9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4041</Words>
  <Characters>23038</Characters>
  <Application>Microsoft Office Word</Application>
  <DocSecurity>0</DocSecurity>
  <Lines>191</Lines>
  <Paragraphs>54</Paragraphs>
  <ScaleCrop>false</ScaleCrop>
  <Company>Lenovo (Beijing) Limited</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博道基金管理有限公司</dc:creator>
  <cp:lastModifiedBy>张婕茹</cp:lastModifiedBy>
  <cp:revision>15</cp:revision>
  <cp:lastPrinted>2025-11-13T05:55:00Z</cp:lastPrinted>
  <dcterms:created xsi:type="dcterms:W3CDTF">2025-08-11T01:12:00Z</dcterms:created>
  <dcterms:modified xsi:type="dcterms:W3CDTF">2025-11-13T05:56:00Z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3A8A10C6DBFC4A9AB75A423731939706</vt:lpwstr>
  </property>
</Properties>
</file>