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交银施罗德科锐科技创新混合型证券投资基金（C类份额）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2025-10-27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2025-11-21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交银科锐科技创新混合C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013949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2021-08-11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本基金的投资范围为具有良好流动性的金融工具，包括国内依法发行上市的股票(含中小板、创业板、科创板及其他经中国证监会核准或准予注册上市的股票、存托凭证)、 债券(含国债、央行票据、金融债券、政府支持债券、政府支持机构债券、地方政 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 如法律法规或监管机构以后允许基金投资其他品种，基金管理人在履行适当程序后，可以将其纳入投资范围。 基金的投资组合比例为：股票投资（含存托凭证）占基金资产的比例为 60%-95%，其中投资于科技创新主题相关证券的比例不低于非现金基金资产的 80%；每个交易日日终在扣除股指期货合约需缴纳的交易保证金后，本基金保留的现金或者投资于到期日在一年以内的政府债券的比例合计不低于基金资产净值的5%，其中现金不包括结算备付金、存出保证金、应收申购款等。 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1、大类资产配置；2、股票投资策略；3、科创板股票投资策略；4债券投资策略；5、资产支持证券投资策略；6、股指期货投资策略。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中国战略新兴产业成份指数收益率×65%+中证综合债券指数收益率×35%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详见《交银施罗德科锐科技创新混合型证券投资基金招募说明书》第十部分“基金的投资”。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2、本基金自2021年10月29日起，开始销售C类份额，基金份额类别首次确认当年净值增长率按实际存续期计算。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9、投资流通受限证券的特定风险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●《交银施罗德科锐科技创新混合型证券投资基金基金合同》、</w:t>
      </w:r>
    </w:p>
    <w:p>
      <w:pPr>
        <w:ind w:firstLine="420"/>
        <w:jc w:val="left"/>
        <w:rPr>
          <w:rFonts w:ascii="仿宋_GB2312" w:eastAsia="仿宋_GB2312"/>
          <w:szCs w:val="21"/>
        </w:rPr>
      </w:pPr>
      <w:r>
        <w:rPr>
          <w:rFonts w:hint="eastAsia" w:ascii="仿宋_GB2312" w:eastAsia="仿宋_GB2312"/>
          <w:szCs w:val="21"/>
        </w:rPr>
        <w:t>《交银施罗德科锐科技创新混合型证券投资基金托管协议》、</w:t>
      </w:r>
    </w:p>
    <w:p>
      <w:pPr>
        <w:ind w:firstLine="420"/>
        <w:jc w:val="left"/>
        <w:rPr>
          <w:rFonts w:ascii="仿宋_GB2312" w:eastAsia="仿宋_GB2312"/>
          <w:szCs w:val="21"/>
        </w:rPr>
      </w:pPr>
      <w:r>
        <w:rPr>
          <w:rFonts w:hint="eastAsia" w:ascii="仿宋_GB2312" w:eastAsia="仿宋_GB2312"/>
          <w:szCs w:val="21"/>
        </w:rPr>
        <w:t>《交银施罗德科锐科技创新混合型证券投资基金招募说明书》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9512C"/>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60D2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742</Words>
  <Characters>4231</Characters>
  <Lines>35</Lines>
  <Paragraphs>9</Paragraphs>
  <TotalTime>0</TotalTime>
  <ScaleCrop>false</ScaleCrop>
  <LinksUpToDate>false</LinksUpToDate>
  <CharactersWithSpaces>4964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2025-11-11T02:41:00Z</dcterms:created>
  <dc:creator>Cc</dc:creator>
  <cp:lastModifiedBy>haotingting</cp:lastModifiedBy>
  <dcterms:modified xsi:type="dcterms:W3CDTF">2025-11-11T02:55:40Z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65B9FDE78C8E469387D6A3B647828F48</vt:lpwstr>
  </property>
</Properties>
</file>