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7CEE7" w14:textId="77777777" w:rsidR="002411B3" w:rsidRDefault="002411B3">
      <w:pPr>
        <w:rPr>
          <w:sz w:val="32"/>
        </w:rPr>
      </w:pPr>
    </w:p>
    <w:p w14:paraId="5A9944D2" w14:textId="77777777" w:rsidR="002411B3" w:rsidRDefault="002411B3">
      <w:pPr>
        <w:rPr>
          <w:sz w:val="32"/>
        </w:rPr>
      </w:pPr>
    </w:p>
    <w:p w14:paraId="44F21497" w14:textId="77777777" w:rsidR="002411B3" w:rsidRDefault="002411B3">
      <w:pPr>
        <w:rPr>
          <w:sz w:val="32"/>
        </w:rPr>
      </w:pPr>
    </w:p>
    <w:p w14:paraId="160CB8B4" w14:textId="36B464D5" w:rsidR="002411B3" w:rsidRDefault="004626CF">
      <w:pPr>
        <w:jc w:val="center"/>
        <w:rPr>
          <w:sz w:val="32"/>
        </w:rPr>
      </w:pPr>
      <w:r>
        <w:rPr>
          <w:noProof/>
        </w:rPr>
        <w:drawing>
          <wp:inline distT="0" distB="0" distL="0" distR="0" wp14:anchorId="0E7259F7" wp14:editId="3B39E289">
            <wp:extent cx="4343400" cy="57150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A15848C" w14:textId="77777777" w:rsidR="002411B3" w:rsidRDefault="002411B3">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768AA52E" w14:textId="77777777" w:rsidR="002411B3" w:rsidRDefault="002411B3">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3FEFCA00" w14:textId="77777777" w:rsidR="002411B3" w:rsidRDefault="00BA6CE7">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交银施罗德中高等级信用债债券型证券投资基金</w:t>
      </w:r>
    </w:p>
    <w:p w14:paraId="6D25383D" w14:textId="77777777" w:rsidR="002411B3" w:rsidRDefault="00BA6CE7">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w:t>
      </w:r>
      <w:r>
        <w:rPr>
          <w:rFonts w:ascii="宋体" w:hAnsi="宋体"/>
          <w:b/>
          <w:spacing w:val="2"/>
          <w:w w:val="99"/>
          <w:kern w:val="0"/>
          <w:sz w:val="44"/>
          <w:szCs w:val="44"/>
        </w:rPr>
        <w:t>(</w:t>
      </w:r>
      <w:r>
        <w:rPr>
          <w:rFonts w:ascii="宋体" w:hAnsi="宋体"/>
          <w:b/>
          <w:spacing w:val="2"/>
          <w:w w:val="99"/>
          <w:kern w:val="0"/>
          <w:sz w:val="44"/>
          <w:szCs w:val="44"/>
        </w:rPr>
        <w:t>更新</w:t>
      </w:r>
      <w:r>
        <w:rPr>
          <w:rFonts w:ascii="宋体" w:hAnsi="宋体"/>
          <w:b/>
          <w:spacing w:val="2"/>
          <w:w w:val="99"/>
          <w:kern w:val="0"/>
          <w:sz w:val="44"/>
          <w:szCs w:val="44"/>
        </w:rPr>
        <w:t>)</w:t>
      </w:r>
    </w:p>
    <w:p w14:paraId="47EB7EFC" w14:textId="77777777" w:rsidR="002411B3" w:rsidRDefault="002411B3">
      <w:pPr>
        <w:snapToGrid w:val="0"/>
        <w:spacing w:line="360" w:lineRule="auto"/>
        <w:jc w:val="center"/>
        <w:rPr>
          <w:rFonts w:ascii="宋体" w:hAnsi="宋体"/>
          <w:b/>
          <w:sz w:val="30"/>
          <w:szCs w:val="30"/>
        </w:rPr>
      </w:pPr>
    </w:p>
    <w:p w14:paraId="30736915"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569314CF"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3921C4B"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75453F1"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9253790"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23D188A0"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38731899" w14:textId="77777777" w:rsidR="002411B3" w:rsidRDefault="00BA6CE7">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32838172" w14:textId="77777777" w:rsidR="002411B3" w:rsidRDefault="00BA6CE7">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基金托管人：中国农业银行股份有限公司</w:t>
      </w:r>
    </w:p>
    <w:p w14:paraId="7A09C069"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3277FB7" w14:textId="77777777" w:rsidR="002411B3" w:rsidRDefault="002411B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7D5B8E2E" w14:textId="40414BA6" w:rsidR="002411B3" w:rsidRDefault="00BA6CE7">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二〇二五年</w:t>
      </w:r>
      <w:r>
        <w:rPr>
          <w:rFonts w:ascii="Times New Roman" w:hAnsi="Times New Roman" w:hint="eastAsia"/>
          <w:b/>
          <w:spacing w:val="2"/>
          <w:w w:val="99"/>
          <w:kern w:val="0"/>
          <w:sz w:val="28"/>
          <w:szCs w:val="32"/>
        </w:rPr>
        <w:t>十</w:t>
      </w:r>
      <w:r>
        <w:rPr>
          <w:rFonts w:ascii="Times New Roman" w:hAnsi="Times New Roman" w:hint="eastAsia"/>
          <w:b/>
          <w:spacing w:val="2"/>
          <w:w w:val="99"/>
          <w:kern w:val="0"/>
          <w:sz w:val="28"/>
          <w:szCs w:val="32"/>
        </w:rPr>
        <w:t>一</w:t>
      </w:r>
      <w:r>
        <w:rPr>
          <w:rFonts w:ascii="Times New Roman" w:hAnsi="Times New Roman"/>
          <w:b/>
          <w:spacing w:val="2"/>
          <w:w w:val="99"/>
          <w:kern w:val="0"/>
          <w:sz w:val="28"/>
          <w:szCs w:val="32"/>
        </w:rPr>
        <w:t>月</w:t>
      </w:r>
    </w:p>
    <w:p w14:paraId="65739CB3" w14:textId="77777777" w:rsidR="002411B3" w:rsidRDefault="002411B3">
      <w:pPr>
        <w:autoSpaceDE w:val="0"/>
        <w:autoSpaceDN w:val="0"/>
        <w:adjustRightInd w:val="0"/>
        <w:snapToGrid w:val="0"/>
        <w:spacing w:line="360" w:lineRule="auto"/>
        <w:ind w:left="1347" w:rightChars="6" w:right="13"/>
        <w:rPr>
          <w:rFonts w:ascii="宋体" w:hAnsi="宋体"/>
          <w:kern w:val="0"/>
          <w:sz w:val="32"/>
          <w:szCs w:val="32"/>
        </w:rPr>
        <w:sectPr w:rsidR="002411B3">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14:paraId="1F4F665B" w14:textId="77777777" w:rsidR="002411B3" w:rsidRDefault="00BA6CE7">
      <w:pPr>
        <w:pStyle w:val="1"/>
        <w:snapToGrid w:val="0"/>
        <w:spacing w:beforeLines="0" w:before="240" w:after="240"/>
        <w:rPr>
          <w:rFonts w:ascii="宋体" w:hAnsi="宋体"/>
          <w:kern w:val="0"/>
        </w:rPr>
      </w:pPr>
      <w:bookmarkStart w:id="0" w:name="_Toc324920538"/>
      <w:bookmarkStart w:id="1" w:name="_Toc202521648"/>
      <w:bookmarkStart w:id="2" w:name="_Toc496884613"/>
      <w:r>
        <w:rPr>
          <w:rFonts w:ascii="Times New Roman" w:hAnsi="Times New Roman"/>
          <w:kern w:val="0"/>
        </w:rPr>
        <w:lastRenderedPageBreak/>
        <w:t>重要提示</w:t>
      </w:r>
      <w:bookmarkEnd w:id="0"/>
      <w:bookmarkEnd w:id="1"/>
      <w:bookmarkEnd w:id="2"/>
    </w:p>
    <w:p w14:paraId="4416770B"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交银施罗德中高等级信用债债券型证券投资基金（以下简称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）由交银施罗德理财</w:t>
      </w:r>
      <w:r>
        <w:rPr>
          <w:rFonts w:ascii="Times New Roman" w:hAnsi="Times New Roman"/>
          <w:kern w:val="0"/>
          <w:sz w:val="24"/>
        </w:rPr>
        <w:t>21</w:t>
      </w:r>
      <w:r>
        <w:rPr>
          <w:rFonts w:ascii="Times New Roman" w:hAnsi="Times New Roman"/>
          <w:kern w:val="0"/>
          <w:sz w:val="24"/>
        </w:rPr>
        <w:t>天债券型证券投资基金变更注册而来。</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3</w:t>
      </w:r>
      <w:r>
        <w:rPr>
          <w:rFonts w:ascii="Times New Roman" w:hAnsi="Times New Roman"/>
          <w:kern w:val="0"/>
          <w:sz w:val="24"/>
        </w:rPr>
        <w:t>月</w:t>
      </w:r>
      <w:r>
        <w:rPr>
          <w:rFonts w:ascii="Times New Roman" w:hAnsi="Times New Roman"/>
          <w:kern w:val="0"/>
          <w:sz w:val="24"/>
        </w:rPr>
        <w:t>26</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595</w:t>
      </w:r>
      <w:r>
        <w:rPr>
          <w:rFonts w:ascii="Times New Roman" w:hAnsi="Times New Roman"/>
          <w:kern w:val="0"/>
          <w:sz w:val="24"/>
        </w:rPr>
        <w:t>号文准予交银施罗德理财</w:t>
      </w:r>
      <w:r>
        <w:rPr>
          <w:rFonts w:ascii="Times New Roman" w:hAnsi="Times New Roman"/>
          <w:kern w:val="0"/>
          <w:sz w:val="24"/>
        </w:rPr>
        <w:t>21</w:t>
      </w:r>
      <w:r>
        <w:rPr>
          <w:rFonts w:ascii="Times New Roman" w:hAnsi="Times New Roman"/>
          <w:kern w:val="0"/>
          <w:sz w:val="24"/>
        </w:rPr>
        <w:t>天债券型证券投资基金变更注册。自</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7</w:t>
      </w:r>
      <w:r>
        <w:rPr>
          <w:rFonts w:ascii="Times New Roman" w:hAnsi="Times New Roman"/>
          <w:kern w:val="0"/>
          <w:sz w:val="24"/>
        </w:rPr>
        <w:t>月</w:t>
      </w:r>
      <w:r>
        <w:rPr>
          <w:rFonts w:ascii="Times New Roman" w:hAnsi="Times New Roman"/>
          <w:kern w:val="0"/>
          <w:sz w:val="24"/>
        </w:rPr>
        <w:t>28</w:t>
      </w:r>
      <w:r>
        <w:rPr>
          <w:rFonts w:ascii="Times New Roman" w:hAnsi="Times New Roman"/>
          <w:kern w:val="0"/>
          <w:sz w:val="24"/>
        </w:rPr>
        <w:t>日起，由《交银施罗德理财</w:t>
      </w:r>
      <w:r>
        <w:rPr>
          <w:rFonts w:ascii="Times New Roman" w:hAnsi="Times New Roman"/>
          <w:kern w:val="0"/>
          <w:sz w:val="24"/>
        </w:rPr>
        <w:t>21</w:t>
      </w:r>
      <w:r>
        <w:rPr>
          <w:rFonts w:ascii="Times New Roman" w:hAnsi="Times New Roman"/>
          <w:kern w:val="0"/>
          <w:sz w:val="24"/>
        </w:rPr>
        <w:t>天债券型证券投资基金基金合同》修订而成的《交银施罗德中高等级信用债债券型证券投资基金基金合同》生效。</w:t>
      </w:r>
    </w:p>
    <w:p w14:paraId="2CE1AD80"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基金管理人保证招募说明书的内容真实、准确、完整。本招募说明书经中国证监会注册，但中国证监会对交银施罗德理财</w:t>
      </w:r>
      <w:r>
        <w:rPr>
          <w:rFonts w:ascii="Times New Roman" w:hAnsi="Times New Roman"/>
          <w:kern w:val="0"/>
          <w:sz w:val="24"/>
        </w:rPr>
        <w:t>21</w:t>
      </w:r>
      <w:r>
        <w:rPr>
          <w:rFonts w:ascii="Times New Roman" w:hAnsi="Times New Roman"/>
          <w:kern w:val="0"/>
          <w:sz w:val="24"/>
        </w:rPr>
        <w:t>天债券型证券投资基金的核准以及变更注册，并不表明其对本基金的投资价值和市场前景作出实质性判断或保证，也不表明投资于本基金没有风险。中国证监会不对基金的投资价值及市场前景等作出实质性判断或者保证。</w:t>
      </w:r>
    </w:p>
    <w:p w14:paraId="68C9CC6F"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0B49C5D"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w:t>
      </w:r>
      <w:r>
        <w:rPr>
          <w:rFonts w:ascii="Times New Roman" w:hAnsi="Times New Roman"/>
          <w:kern w:val="0"/>
          <w:sz w:val="24"/>
        </w:rPr>
        <w:t>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包括实施侧袋机制时的特定风险）；交易对手违约风险；投资资产</w:t>
      </w:r>
      <w:r>
        <w:rPr>
          <w:rFonts w:ascii="Times New Roman" w:hAnsi="Times New Roman"/>
          <w:kern w:val="0"/>
          <w:sz w:val="24"/>
        </w:rPr>
        <w:t>支持证券的特有风险；连续五十个工作日出现基金份额持有人数量不满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万元情形时基金管理人提前终止基金合同的风险；投资本基金特有的其他风险等等。</w:t>
      </w:r>
    </w:p>
    <w:p w14:paraId="4BDF4DB0"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0B431BA"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lastRenderedPageBreak/>
        <w:t>本基金是一只债券型基金，其预期风险与预期收益高于货币市场基金，低于混合型基金和股票型基金。</w:t>
      </w:r>
    </w:p>
    <w:p w14:paraId="2BE48FC7"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w:t>
      </w:r>
      <w:r>
        <w:rPr>
          <w:rFonts w:ascii="Times New Roman" w:hAnsi="Times New Roman"/>
          <w:kern w:val="0"/>
          <w:sz w:val="24"/>
        </w:rPr>
        <w:t>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14:paraId="7A6C8BA6" w14:textId="77777777"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31364EA6" w14:textId="387BDD9C" w:rsidR="002411B3" w:rsidRDefault="00BA6CE7">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hint="eastAsia"/>
          <w:kern w:val="0"/>
          <w:sz w:val="24"/>
        </w:rPr>
        <w:t>本次更</w:t>
      </w:r>
      <w:r>
        <w:rPr>
          <w:rFonts w:ascii="Times New Roman" w:hAnsi="Times New Roman" w:hint="eastAsia"/>
          <w:kern w:val="0"/>
          <w:sz w:val="24"/>
        </w:rPr>
        <w:t>新招募说明书</w:t>
      </w:r>
      <w:r>
        <w:rPr>
          <w:rFonts w:ascii="宋体" w:hAnsi="宋体" w:hint="eastAsia"/>
          <w:sz w:val="24"/>
        </w:rPr>
        <w:t>增加</w:t>
      </w:r>
      <w:r w:rsidRPr="006F0975">
        <w:rPr>
          <w:rFonts w:ascii="宋体" w:hAnsi="宋体" w:hint="eastAsia"/>
          <w:sz w:val="24"/>
        </w:rPr>
        <w:t>债项评级相关投资限制条款</w:t>
      </w:r>
      <w:r>
        <w:rPr>
          <w:rFonts w:ascii="宋体" w:hAnsi="宋体" w:hint="eastAsia"/>
          <w:sz w:val="24"/>
        </w:rPr>
        <w:t>等</w:t>
      </w:r>
      <w:r>
        <w:rPr>
          <w:rFonts w:ascii="宋体" w:hAnsi="宋体" w:hint="eastAsia"/>
          <w:sz w:val="24"/>
        </w:rPr>
        <w:t>表述，</w:t>
      </w:r>
      <w:r>
        <w:rPr>
          <w:rFonts w:ascii="Times New Roman" w:hAnsi="Times New Roman" w:hint="eastAsia"/>
          <w:kern w:val="0"/>
          <w:sz w:val="24"/>
        </w:rPr>
        <w:t>前述内容更新截止日为</w:t>
      </w:r>
      <w:r>
        <w:rPr>
          <w:rFonts w:ascii="Times New Roman" w:hAnsi="Times New Roman" w:hint="eastAsia"/>
          <w:kern w:val="0"/>
          <w:sz w:val="24"/>
        </w:rPr>
        <w:t>2025</w:t>
      </w:r>
      <w:r>
        <w:rPr>
          <w:rFonts w:ascii="Times New Roman" w:hAnsi="Times New Roman" w:hint="eastAsia"/>
          <w:kern w:val="0"/>
          <w:sz w:val="24"/>
        </w:rPr>
        <w:t>年</w:t>
      </w:r>
      <w:r>
        <w:rPr>
          <w:rFonts w:ascii="Times New Roman" w:hAnsi="Times New Roman"/>
          <w:kern w:val="0"/>
          <w:sz w:val="24"/>
        </w:rPr>
        <w:t>11</w:t>
      </w:r>
      <w:r>
        <w:rPr>
          <w:rFonts w:ascii="Times New Roman" w:hAnsi="Times New Roman" w:hint="eastAsia"/>
          <w:kern w:val="0"/>
          <w:sz w:val="24"/>
        </w:rPr>
        <w:t>月</w:t>
      </w:r>
      <w:r>
        <w:rPr>
          <w:rFonts w:ascii="Times New Roman" w:hAnsi="Times New Roman"/>
          <w:kern w:val="0"/>
          <w:sz w:val="24"/>
        </w:rPr>
        <w:t>18</w:t>
      </w:r>
      <w:r>
        <w:rPr>
          <w:rFonts w:ascii="Times New Roman" w:hAnsi="Times New Roman" w:hint="eastAsia"/>
          <w:kern w:val="0"/>
          <w:sz w:val="24"/>
        </w:rPr>
        <w:t>日。</w:t>
      </w:r>
      <w:r>
        <w:rPr>
          <w:rFonts w:ascii="Times New Roman" w:hAnsi="Times New Roman"/>
          <w:kern w:val="0"/>
          <w:sz w:val="24"/>
        </w:rPr>
        <w:t>除非另有说明，</w:t>
      </w:r>
      <w:r>
        <w:rPr>
          <w:rFonts w:ascii="Times New Roman" w:hAnsi="Times New Roman"/>
          <w:kern w:val="0"/>
          <w:sz w:val="24"/>
        </w:rPr>
        <w:t>本招募说明书</w:t>
      </w:r>
      <w:r>
        <w:rPr>
          <w:rFonts w:ascii="Times New Roman" w:hAnsi="Times New Roman" w:hint="eastAsia"/>
          <w:kern w:val="0"/>
          <w:sz w:val="24"/>
        </w:rPr>
        <w:t>其他</w:t>
      </w:r>
      <w:r>
        <w:rPr>
          <w:rFonts w:ascii="Times New Roman" w:hAnsi="Times New Roman"/>
          <w:kern w:val="0"/>
          <w:sz w:val="24"/>
        </w:rPr>
        <w:t>所载内容截止日为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06</w:t>
      </w:r>
      <w:r>
        <w:rPr>
          <w:rFonts w:ascii="Times New Roman" w:hAnsi="Times New Roman"/>
          <w:kern w:val="0"/>
          <w:sz w:val="24"/>
        </w:rPr>
        <w:t>月</w:t>
      </w:r>
      <w:r>
        <w:rPr>
          <w:rFonts w:ascii="Times New Roman" w:hAnsi="Times New Roman"/>
          <w:kern w:val="0"/>
          <w:sz w:val="24"/>
        </w:rPr>
        <w:t>20</w:t>
      </w:r>
      <w:r>
        <w:rPr>
          <w:rFonts w:ascii="Times New Roman" w:hAnsi="Times New Roman"/>
          <w:kern w:val="0"/>
          <w:sz w:val="24"/>
        </w:rPr>
        <w:t>日，有关财务数据和净值表现截止日为</w:t>
      </w:r>
      <w:r>
        <w:rPr>
          <w:rFonts w:ascii="Times New Roman" w:hAnsi="Times New Roman"/>
          <w:kern w:val="0"/>
          <w:sz w:val="24"/>
        </w:rPr>
        <w:t>2025</w:t>
      </w:r>
      <w:r>
        <w:rPr>
          <w:rFonts w:ascii="Times New Roman" w:hAnsi="Times New Roman"/>
          <w:kern w:val="0"/>
          <w:sz w:val="24"/>
        </w:rPr>
        <w:t>年</w:t>
      </w:r>
      <w:r>
        <w:rPr>
          <w:rFonts w:ascii="Times New Roman" w:hAnsi="Times New Roman"/>
          <w:kern w:val="0"/>
          <w:sz w:val="24"/>
        </w:rPr>
        <w:t>03</w:t>
      </w:r>
      <w:r>
        <w:rPr>
          <w:rFonts w:ascii="Times New Roman" w:hAnsi="Times New Roman"/>
          <w:kern w:val="0"/>
          <w:sz w:val="24"/>
        </w:rPr>
        <w:t>月</w:t>
      </w:r>
      <w:r>
        <w:rPr>
          <w:rFonts w:ascii="Times New Roman" w:hAnsi="Times New Roman"/>
          <w:kern w:val="0"/>
          <w:sz w:val="24"/>
        </w:rPr>
        <w:t>31</w:t>
      </w:r>
      <w:r>
        <w:rPr>
          <w:rFonts w:ascii="Times New Roman" w:hAnsi="Times New Roman"/>
          <w:kern w:val="0"/>
          <w:sz w:val="24"/>
        </w:rPr>
        <w:t>日。本招募说明书所载的财务数据未经审计。</w:t>
      </w:r>
    </w:p>
    <w:p w14:paraId="6E92CDB0" w14:textId="77777777" w:rsidR="002411B3" w:rsidRDefault="002411B3">
      <w:pPr>
        <w:autoSpaceDE w:val="0"/>
        <w:autoSpaceDN w:val="0"/>
        <w:adjustRightInd w:val="0"/>
        <w:snapToGrid w:val="0"/>
        <w:spacing w:before="51" w:line="360" w:lineRule="auto"/>
        <w:ind w:left="120" w:rightChars="6" w:right="13" w:firstLine="480"/>
        <w:rPr>
          <w:rFonts w:ascii="宋体" w:hAnsi="宋体"/>
          <w:kern w:val="0"/>
          <w:szCs w:val="24"/>
        </w:rPr>
        <w:sectPr w:rsidR="002411B3">
          <w:headerReference w:type="default" r:id="rId12"/>
          <w:pgSz w:w="11920" w:h="16840"/>
          <w:pgMar w:top="1440" w:right="1680" w:bottom="280" w:left="1680" w:header="0" w:footer="1073" w:gutter="0"/>
          <w:pgNumType w:start="1"/>
          <w:cols w:space="720"/>
        </w:sectPr>
      </w:pPr>
    </w:p>
    <w:p w14:paraId="10E9C8CF" w14:textId="77777777" w:rsidR="002411B3" w:rsidRDefault="00BA6CE7">
      <w:pPr>
        <w:pStyle w:val="Style19"/>
        <w:snapToGrid w:val="0"/>
        <w:spacing w:after="240" w:line="360" w:lineRule="auto"/>
        <w:jc w:val="center"/>
        <w:rPr>
          <w:rFonts w:ascii="宋体" w:hAnsi="宋体"/>
          <w:sz w:val="24"/>
        </w:rPr>
      </w:pPr>
      <w:r>
        <w:rPr>
          <w:rFonts w:ascii="宋体" w:hAnsi="宋体"/>
          <w:color w:val="000000"/>
          <w:position w:val="-4"/>
          <w:sz w:val="24"/>
          <w:szCs w:val="30"/>
        </w:rPr>
        <w:lastRenderedPageBreak/>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14:paraId="73C96804" w14:textId="77777777" w:rsidR="002411B3" w:rsidRDefault="00BA6CE7">
      <w:pPr>
        <w:pStyle w:val="11"/>
        <w:tabs>
          <w:tab w:val="right" w:leader="dot" w:pos="8550"/>
        </w:tabs>
        <w:spacing w:line="360" w:lineRule="auto"/>
        <w:rPr>
          <w:rFonts w:ascii="宋体" w:hAnsi="宋体"/>
          <w:sz w:val="24"/>
        </w:rPr>
      </w:pPr>
      <w:hyperlink w:anchor="_Toc202521648" w:history="1">
        <w:r>
          <w:rPr>
            <w:rStyle w:val="af1"/>
            <w:rFonts w:ascii="宋体" w:hAnsi="宋体" w:hint="eastAsia"/>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_Toc202521648 \h </w:instrText>
        </w:r>
        <w:r>
          <w:rPr>
            <w:rFonts w:ascii="宋体" w:hAnsi="宋体"/>
            <w:sz w:val="24"/>
          </w:rPr>
        </w:r>
        <w:r>
          <w:rPr>
            <w:rFonts w:ascii="宋体" w:hAnsi="宋体"/>
            <w:sz w:val="24"/>
          </w:rPr>
          <w:fldChar w:fldCharType="separate"/>
        </w:r>
        <w:r>
          <w:rPr>
            <w:rFonts w:ascii="宋体" w:hAnsi="宋体"/>
            <w:sz w:val="24"/>
          </w:rPr>
          <w:t>1</w:t>
        </w:r>
        <w:r>
          <w:rPr>
            <w:rFonts w:ascii="宋体" w:hAnsi="宋体"/>
            <w:sz w:val="24"/>
          </w:rPr>
          <w:fldChar w:fldCharType="end"/>
        </w:r>
      </w:hyperlink>
    </w:p>
    <w:p w14:paraId="10A851D9" w14:textId="77777777" w:rsidR="002411B3" w:rsidRDefault="00BA6CE7">
      <w:pPr>
        <w:pStyle w:val="11"/>
        <w:tabs>
          <w:tab w:val="right" w:leader="dot" w:pos="8550"/>
        </w:tabs>
        <w:spacing w:line="360" w:lineRule="auto"/>
        <w:rPr>
          <w:rFonts w:ascii="宋体" w:hAnsi="宋体"/>
          <w:sz w:val="24"/>
        </w:rPr>
      </w:pPr>
      <w:hyperlink w:anchor="_Toc202521649" w:history="1">
        <w:r>
          <w:rPr>
            <w:rStyle w:val="af1"/>
            <w:rFonts w:ascii="宋体" w:hAnsi="宋体" w:hint="eastAsia"/>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_Toc202521649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14:paraId="2458B6FE" w14:textId="77777777" w:rsidR="002411B3" w:rsidRDefault="00BA6CE7">
      <w:pPr>
        <w:pStyle w:val="11"/>
        <w:tabs>
          <w:tab w:val="right" w:leader="dot" w:pos="8550"/>
        </w:tabs>
        <w:spacing w:line="360" w:lineRule="auto"/>
        <w:rPr>
          <w:rFonts w:ascii="宋体" w:hAnsi="宋体"/>
          <w:sz w:val="24"/>
        </w:rPr>
      </w:pPr>
      <w:hyperlink w:anchor="_Toc202521650" w:history="1">
        <w:r>
          <w:rPr>
            <w:rStyle w:val="af1"/>
            <w:rFonts w:ascii="宋体" w:hAnsi="宋体" w:hint="eastAsia"/>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_Toc202521650 \h </w:instrText>
        </w:r>
        <w:r>
          <w:rPr>
            <w:rFonts w:ascii="宋体" w:hAnsi="宋体"/>
            <w:sz w:val="24"/>
          </w:rPr>
        </w:r>
        <w:r>
          <w:rPr>
            <w:rFonts w:ascii="宋体" w:hAnsi="宋体"/>
            <w:sz w:val="24"/>
          </w:rPr>
          <w:fldChar w:fldCharType="separate"/>
        </w:r>
        <w:r>
          <w:rPr>
            <w:rFonts w:ascii="宋体" w:hAnsi="宋体"/>
            <w:sz w:val="24"/>
          </w:rPr>
          <w:t>5</w:t>
        </w:r>
        <w:r>
          <w:rPr>
            <w:rFonts w:ascii="宋体" w:hAnsi="宋体"/>
            <w:sz w:val="24"/>
          </w:rPr>
          <w:fldChar w:fldCharType="end"/>
        </w:r>
      </w:hyperlink>
    </w:p>
    <w:p w14:paraId="7A70FAD9" w14:textId="77777777" w:rsidR="002411B3" w:rsidRDefault="00BA6CE7">
      <w:pPr>
        <w:pStyle w:val="11"/>
        <w:tabs>
          <w:tab w:val="right" w:leader="dot" w:pos="8550"/>
        </w:tabs>
        <w:spacing w:line="360" w:lineRule="auto"/>
        <w:rPr>
          <w:rFonts w:ascii="宋体" w:hAnsi="宋体"/>
          <w:sz w:val="24"/>
        </w:rPr>
      </w:pPr>
      <w:hyperlink w:anchor="_Toc202521651" w:history="1">
        <w:r>
          <w:rPr>
            <w:rStyle w:val="af1"/>
            <w:rFonts w:ascii="宋体" w:hAnsi="宋体" w:hint="eastAsia"/>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_Toc202</w:instrText>
        </w:r>
        <w:r>
          <w:rPr>
            <w:rFonts w:ascii="宋体" w:hAnsi="宋体"/>
            <w:sz w:val="24"/>
          </w:rPr>
          <w:instrText xml:space="preserve">521651 \h </w:instrText>
        </w:r>
        <w:r>
          <w:rPr>
            <w:rFonts w:ascii="宋体" w:hAnsi="宋体"/>
            <w:sz w:val="24"/>
          </w:rPr>
        </w:r>
        <w:r>
          <w:rPr>
            <w:rFonts w:ascii="宋体" w:hAnsi="宋体"/>
            <w:sz w:val="24"/>
          </w:rPr>
          <w:fldChar w:fldCharType="separate"/>
        </w:r>
        <w:r>
          <w:rPr>
            <w:rFonts w:ascii="宋体" w:hAnsi="宋体"/>
            <w:sz w:val="24"/>
          </w:rPr>
          <w:t>10</w:t>
        </w:r>
        <w:r>
          <w:rPr>
            <w:rFonts w:ascii="宋体" w:hAnsi="宋体"/>
            <w:sz w:val="24"/>
          </w:rPr>
          <w:fldChar w:fldCharType="end"/>
        </w:r>
      </w:hyperlink>
    </w:p>
    <w:p w14:paraId="5B544919" w14:textId="77777777" w:rsidR="002411B3" w:rsidRDefault="00BA6CE7">
      <w:pPr>
        <w:pStyle w:val="11"/>
        <w:tabs>
          <w:tab w:val="right" w:leader="dot" w:pos="8550"/>
        </w:tabs>
        <w:spacing w:line="360" w:lineRule="auto"/>
        <w:rPr>
          <w:rFonts w:ascii="宋体" w:hAnsi="宋体"/>
          <w:sz w:val="24"/>
        </w:rPr>
      </w:pPr>
      <w:hyperlink w:anchor="_Toc202521652" w:history="1">
        <w:r>
          <w:rPr>
            <w:rStyle w:val="af1"/>
            <w:rFonts w:ascii="宋体" w:hAnsi="宋体" w:hint="eastAsia"/>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_Toc202521652 \h </w:instrText>
        </w:r>
        <w:r>
          <w:rPr>
            <w:rFonts w:ascii="宋体" w:hAnsi="宋体"/>
            <w:sz w:val="24"/>
          </w:rPr>
        </w:r>
        <w:r>
          <w:rPr>
            <w:rFonts w:ascii="宋体" w:hAnsi="宋体"/>
            <w:sz w:val="24"/>
          </w:rPr>
          <w:fldChar w:fldCharType="separate"/>
        </w:r>
        <w:r>
          <w:rPr>
            <w:rFonts w:ascii="宋体" w:hAnsi="宋体"/>
            <w:sz w:val="24"/>
          </w:rPr>
          <w:t>18</w:t>
        </w:r>
        <w:r>
          <w:rPr>
            <w:rFonts w:ascii="宋体" w:hAnsi="宋体"/>
            <w:sz w:val="24"/>
          </w:rPr>
          <w:fldChar w:fldCharType="end"/>
        </w:r>
      </w:hyperlink>
    </w:p>
    <w:p w14:paraId="4B851E12" w14:textId="77777777" w:rsidR="002411B3" w:rsidRDefault="00BA6CE7">
      <w:pPr>
        <w:pStyle w:val="11"/>
        <w:tabs>
          <w:tab w:val="right" w:leader="dot" w:pos="8550"/>
        </w:tabs>
        <w:spacing w:line="360" w:lineRule="auto"/>
        <w:rPr>
          <w:rFonts w:ascii="宋体" w:hAnsi="宋体"/>
          <w:sz w:val="24"/>
        </w:rPr>
      </w:pPr>
      <w:hyperlink w:anchor="_Toc202521653" w:history="1">
        <w:r>
          <w:rPr>
            <w:rStyle w:val="af1"/>
            <w:rFonts w:ascii="宋体" w:hAnsi="宋体" w:hint="eastAsia"/>
            <w:sz w:val="24"/>
          </w:rPr>
          <w:t>五、相关</w:t>
        </w:r>
        <w:r>
          <w:rPr>
            <w:rStyle w:val="af1"/>
            <w:rFonts w:ascii="宋体" w:hAnsi="宋体" w:hint="eastAsia"/>
            <w:sz w:val="24"/>
          </w:rPr>
          <w:t>服务机构</w:t>
        </w:r>
        <w:r>
          <w:rPr>
            <w:rFonts w:ascii="宋体" w:hAnsi="宋体"/>
            <w:sz w:val="24"/>
          </w:rPr>
          <w:tab/>
        </w:r>
        <w:r>
          <w:rPr>
            <w:rFonts w:ascii="宋体" w:hAnsi="宋体"/>
            <w:sz w:val="24"/>
          </w:rPr>
          <w:fldChar w:fldCharType="begin"/>
        </w:r>
        <w:r>
          <w:rPr>
            <w:rFonts w:ascii="宋体" w:hAnsi="宋体"/>
            <w:sz w:val="24"/>
          </w:rPr>
          <w:instrText xml:space="preserve"> PAGEREF _Toc202521653 \h </w:instrText>
        </w:r>
        <w:r>
          <w:rPr>
            <w:rFonts w:ascii="宋体" w:hAnsi="宋体"/>
            <w:sz w:val="24"/>
          </w:rPr>
        </w:r>
        <w:r>
          <w:rPr>
            <w:rFonts w:ascii="宋体" w:hAnsi="宋体"/>
            <w:sz w:val="24"/>
          </w:rPr>
          <w:fldChar w:fldCharType="separate"/>
        </w:r>
        <w:r>
          <w:rPr>
            <w:rFonts w:ascii="宋体" w:hAnsi="宋体"/>
            <w:sz w:val="24"/>
          </w:rPr>
          <w:t>21</w:t>
        </w:r>
        <w:r>
          <w:rPr>
            <w:rFonts w:ascii="宋体" w:hAnsi="宋体"/>
            <w:sz w:val="24"/>
          </w:rPr>
          <w:fldChar w:fldCharType="end"/>
        </w:r>
      </w:hyperlink>
    </w:p>
    <w:p w14:paraId="4CDF7826" w14:textId="77777777" w:rsidR="002411B3" w:rsidRDefault="00BA6CE7">
      <w:pPr>
        <w:pStyle w:val="11"/>
        <w:tabs>
          <w:tab w:val="right" w:leader="dot" w:pos="8550"/>
        </w:tabs>
        <w:spacing w:line="360" w:lineRule="auto"/>
        <w:rPr>
          <w:rFonts w:ascii="宋体" w:hAnsi="宋体"/>
          <w:sz w:val="24"/>
        </w:rPr>
      </w:pPr>
      <w:hyperlink w:anchor="_Toc202521654" w:history="1">
        <w:r>
          <w:rPr>
            <w:rStyle w:val="af1"/>
            <w:rFonts w:ascii="宋体" w:hAnsi="宋体" w:hint="eastAsia"/>
            <w:sz w:val="24"/>
          </w:rPr>
          <w:t>六、基金的历史沿革</w:t>
        </w:r>
        <w:r>
          <w:rPr>
            <w:rFonts w:ascii="宋体" w:hAnsi="宋体"/>
            <w:sz w:val="24"/>
          </w:rPr>
          <w:tab/>
        </w:r>
        <w:r>
          <w:rPr>
            <w:rFonts w:ascii="宋体" w:hAnsi="宋体"/>
            <w:sz w:val="24"/>
          </w:rPr>
          <w:fldChar w:fldCharType="begin"/>
        </w:r>
        <w:r>
          <w:rPr>
            <w:rFonts w:ascii="宋体" w:hAnsi="宋体"/>
            <w:sz w:val="24"/>
          </w:rPr>
          <w:instrText xml:space="preserve"> PAGEREF _Toc202521654 \h </w:instrText>
        </w:r>
        <w:r>
          <w:rPr>
            <w:rFonts w:ascii="宋体" w:hAnsi="宋体"/>
            <w:sz w:val="24"/>
          </w:rPr>
        </w:r>
        <w:r>
          <w:rPr>
            <w:rFonts w:ascii="宋体" w:hAnsi="宋体"/>
            <w:sz w:val="24"/>
          </w:rPr>
          <w:fldChar w:fldCharType="separate"/>
        </w:r>
        <w:r>
          <w:rPr>
            <w:rFonts w:ascii="宋体" w:hAnsi="宋体"/>
            <w:sz w:val="24"/>
          </w:rPr>
          <w:t>33</w:t>
        </w:r>
        <w:r>
          <w:rPr>
            <w:rFonts w:ascii="宋体" w:hAnsi="宋体"/>
            <w:sz w:val="24"/>
          </w:rPr>
          <w:fldChar w:fldCharType="end"/>
        </w:r>
      </w:hyperlink>
    </w:p>
    <w:p w14:paraId="34111AF4" w14:textId="77777777" w:rsidR="002411B3" w:rsidRDefault="00BA6CE7">
      <w:pPr>
        <w:pStyle w:val="11"/>
        <w:tabs>
          <w:tab w:val="right" w:leader="dot" w:pos="8550"/>
        </w:tabs>
        <w:spacing w:line="360" w:lineRule="auto"/>
        <w:rPr>
          <w:rFonts w:ascii="宋体" w:hAnsi="宋体"/>
          <w:sz w:val="24"/>
        </w:rPr>
      </w:pPr>
      <w:hyperlink w:anchor="_Toc202521655" w:history="1">
        <w:r>
          <w:rPr>
            <w:rStyle w:val="af1"/>
            <w:rFonts w:ascii="宋体" w:hAnsi="宋体" w:hint="eastAsia"/>
            <w:sz w:val="24"/>
          </w:rPr>
          <w:t>七、基金的存续</w:t>
        </w:r>
        <w:r>
          <w:rPr>
            <w:rFonts w:ascii="宋体" w:hAnsi="宋体"/>
            <w:sz w:val="24"/>
          </w:rPr>
          <w:tab/>
        </w:r>
        <w:r>
          <w:rPr>
            <w:rFonts w:ascii="宋体" w:hAnsi="宋体"/>
            <w:sz w:val="24"/>
          </w:rPr>
          <w:fldChar w:fldCharType="begin"/>
        </w:r>
        <w:r>
          <w:rPr>
            <w:rFonts w:ascii="宋体" w:hAnsi="宋体"/>
            <w:sz w:val="24"/>
          </w:rPr>
          <w:instrText xml:space="preserve"> PAGEREF _Toc202521655 \h </w:instrText>
        </w:r>
        <w:r>
          <w:rPr>
            <w:rFonts w:ascii="宋体" w:hAnsi="宋体"/>
            <w:sz w:val="24"/>
          </w:rPr>
        </w:r>
        <w:r>
          <w:rPr>
            <w:rFonts w:ascii="宋体" w:hAnsi="宋体"/>
            <w:sz w:val="24"/>
          </w:rPr>
          <w:fldChar w:fldCharType="separate"/>
        </w:r>
        <w:r>
          <w:rPr>
            <w:rFonts w:ascii="宋体" w:hAnsi="宋体"/>
            <w:sz w:val="24"/>
          </w:rPr>
          <w:t>34</w:t>
        </w:r>
        <w:r>
          <w:rPr>
            <w:rFonts w:ascii="宋体" w:hAnsi="宋体"/>
            <w:sz w:val="24"/>
          </w:rPr>
          <w:fldChar w:fldCharType="end"/>
        </w:r>
      </w:hyperlink>
    </w:p>
    <w:p w14:paraId="0F43D19E" w14:textId="77777777" w:rsidR="002411B3" w:rsidRDefault="00BA6CE7">
      <w:pPr>
        <w:pStyle w:val="11"/>
        <w:tabs>
          <w:tab w:val="right" w:leader="dot" w:pos="8550"/>
        </w:tabs>
        <w:spacing w:line="360" w:lineRule="auto"/>
        <w:rPr>
          <w:rFonts w:ascii="宋体" w:hAnsi="宋体"/>
          <w:sz w:val="24"/>
        </w:rPr>
      </w:pPr>
      <w:hyperlink w:anchor="_Toc202521656" w:history="1">
        <w:r>
          <w:rPr>
            <w:rStyle w:val="af1"/>
            <w:rFonts w:ascii="宋体" w:hAnsi="宋体" w:hint="eastAsia"/>
            <w:sz w:val="24"/>
          </w:rPr>
          <w:t>八、基金份额的申购与赎回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_Toc202521656 \h </w:instrText>
        </w:r>
        <w:r>
          <w:rPr>
            <w:rFonts w:ascii="宋体" w:hAnsi="宋体"/>
            <w:sz w:val="24"/>
          </w:rPr>
        </w:r>
        <w:r>
          <w:rPr>
            <w:rFonts w:ascii="宋体" w:hAnsi="宋体"/>
            <w:sz w:val="24"/>
          </w:rPr>
          <w:fldChar w:fldCharType="separate"/>
        </w:r>
        <w:r>
          <w:rPr>
            <w:rFonts w:ascii="宋体" w:hAnsi="宋体"/>
            <w:sz w:val="24"/>
          </w:rPr>
          <w:t>35</w:t>
        </w:r>
        <w:r>
          <w:rPr>
            <w:rFonts w:ascii="宋体" w:hAnsi="宋体"/>
            <w:sz w:val="24"/>
          </w:rPr>
          <w:fldChar w:fldCharType="end"/>
        </w:r>
      </w:hyperlink>
    </w:p>
    <w:p w14:paraId="37CD5F1C" w14:textId="77777777" w:rsidR="002411B3" w:rsidRDefault="00BA6CE7">
      <w:pPr>
        <w:pStyle w:val="11"/>
        <w:tabs>
          <w:tab w:val="right" w:leader="dot" w:pos="8550"/>
        </w:tabs>
        <w:spacing w:line="360" w:lineRule="auto"/>
        <w:rPr>
          <w:rFonts w:ascii="宋体" w:hAnsi="宋体"/>
          <w:sz w:val="24"/>
        </w:rPr>
      </w:pPr>
      <w:hyperlink w:anchor="_Toc202521657" w:history="1">
        <w:r>
          <w:rPr>
            <w:rStyle w:val="af1"/>
            <w:rFonts w:ascii="宋体" w:hAnsi="宋体" w:hint="eastAsia"/>
            <w:sz w:val="24"/>
          </w:rPr>
          <w:t>九、基金的转换</w:t>
        </w:r>
        <w:r>
          <w:rPr>
            <w:rFonts w:ascii="宋体" w:hAnsi="宋体"/>
            <w:sz w:val="24"/>
          </w:rPr>
          <w:tab/>
        </w:r>
        <w:r>
          <w:rPr>
            <w:rFonts w:ascii="宋体" w:hAnsi="宋体"/>
            <w:sz w:val="24"/>
          </w:rPr>
          <w:fldChar w:fldCharType="begin"/>
        </w:r>
        <w:r>
          <w:rPr>
            <w:rFonts w:ascii="宋体" w:hAnsi="宋体"/>
            <w:sz w:val="24"/>
          </w:rPr>
          <w:instrText xml:space="preserve"> PAGEREF</w:instrText>
        </w:r>
        <w:r>
          <w:rPr>
            <w:rFonts w:ascii="宋体" w:hAnsi="宋体"/>
            <w:sz w:val="24"/>
          </w:rPr>
          <w:instrText xml:space="preserve"> _Toc202521657 \h </w:instrText>
        </w:r>
        <w:r>
          <w:rPr>
            <w:rFonts w:ascii="宋体" w:hAnsi="宋体"/>
            <w:sz w:val="24"/>
          </w:rPr>
        </w:r>
        <w:r>
          <w:rPr>
            <w:rFonts w:ascii="宋体" w:hAnsi="宋体"/>
            <w:sz w:val="24"/>
          </w:rPr>
          <w:fldChar w:fldCharType="separate"/>
        </w:r>
        <w:r>
          <w:rPr>
            <w:rFonts w:ascii="宋体" w:hAnsi="宋体"/>
            <w:sz w:val="24"/>
          </w:rPr>
          <w:t>47</w:t>
        </w:r>
        <w:r>
          <w:rPr>
            <w:rFonts w:ascii="宋体" w:hAnsi="宋体"/>
            <w:sz w:val="24"/>
          </w:rPr>
          <w:fldChar w:fldCharType="end"/>
        </w:r>
      </w:hyperlink>
    </w:p>
    <w:p w14:paraId="5CC67E4D" w14:textId="77777777" w:rsidR="002411B3" w:rsidRDefault="00BA6CE7">
      <w:pPr>
        <w:pStyle w:val="11"/>
        <w:tabs>
          <w:tab w:val="right" w:leader="dot" w:pos="8550"/>
        </w:tabs>
        <w:spacing w:line="360" w:lineRule="auto"/>
        <w:rPr>
          <w:rFonts w:ascii="宋体" w:hAnsi="宋体"/>
          <w:sz w:val="24"/>
        </w:rPr>
      </w:pPr>
      <w:hyperlink w:anchor="_Toc202521658" w:history="1">
        <w:r>
          <w:rPr>
            <w:rStyle w:val="af1"/>
            <w:rFonts w:ascii="宋体" w:hAnsi="宋体" w:hint="eastAsia"/>
            <w:sz w:val="24"/>
          </w:rPr>
          <w:t>十、基金的投资</w:t>
        </w:r>
        <w:r>
          <w:rPr>
            <w:rFonts w:ascii="宋体" w:hAnsi="宋体"/>
            <w:sz w:val="24"/>
          </w:rPr>
          <w:tab/>
        </w:r>
        <w:r>
          <w:rPr>
            <w:rFonts w:ascii="宋体" w:hAnsi="宋体"/>
            <w:sz w:val="24"/>
          </w:rPr>
          <w:fldChar w:fldCharType="begin"/>
        </w:r>
        <w:r>
          <w:rPr>
            <w:rFonts w:ascii="宋体" w:hAnsi="宋体"/>
            <w:sz w:val="24"/>
          </w:rPr>
          <w:instrText xml:space="preserve"> PAGEREF _Toc202521658 \h </w:instrText>
        </w:r>
        <w:r>
          <w:rPr>
            <w:rFonts w:ascii="宋体" w:hAnsi="宋体"/>
            <w:sz w:val="24"/>
          </w:rPr>
        </w:r>
        <w:r>
          <w:rPr>
            <w:rFonts w:ascii="宋体" w:hAnsi="宋体"/>
            <w:sz w:val="24"/>
          </w:rPr>
          <w:fldChar w:fldCharType="separate"/>
        </w:r>
        <w:r>
          <w:rPr>
            <w:rFonts w:ascii="宋体" w:hAnsi="宋体"/>
            <w:sz w:val="24"/>
          </w:rPr>
          <w:t>54</w:t>
        </w:r>
        <w:r>
          <w:rPr>
            <w:rFonts w:ascii="宋体" w:hAnsi="宋体"/>
            <w:sz w:val="24"/>
          </w:rPr>
          <w:fldChar w:fldCharType="end"/>
        </w:r>
      </w:hyperlink>
    </w:p>
    <w:p w14:paraId="45E8349A" w14:textId="77777777" w:rsidR="002411B3" w:rsidRDefault="00BA6CE7">
      <w:pPr>
        <w:pStyle w:val="11"/>
        <w:tabs>
          <w:tab w:val="right" w:leader="dot" w:pos="8550"/>
        </w:tabs>
        <w:spacing w:line="360" w:lineRule="auto"/>
        <w:rPr>
          <w:rFonts w:ascii="宋体" w:hAnsi="宋体"/>
          <w:sz w:val="24"/>
        </w:rPr>
      </w:pPr>
      <w:hyperlink w:anchor="_Toc202521659" w:history="1">
        <w:r>
          <w:rPr>
            <w:rStyle w:val="af1"/>
            <w:rFonts w:ascii="宋体" w:hAnsi="宋体" w:hint="eastAsia"/>
            <w:sz w:val="24"/>
          </w:rPr>
          <w:t>十一、基金的业绩</w:t>
        </w:r>
        <w:r>
          <w:rPr>
            <w:rFonts w:ascii="宋体" w:hAnsi="宋体"/>
            <w:sz w:val="24"/>
          </w:rPr>
          <w:tab/>
        </w:r>
        <w:r>
          <w:rPr>
            <w:rFonts w:ascii="宋体" w:hAnsi="宋体"/>
            <w:sz w:val="24"/>
          </w:rPr>
          <w:fldChar w:fldCharType="begin"/>
        </w:r>
        <w:r>
          <w:rPr>
            <w:rFonts w:ascii="宋体" w:hAnsi="宋体"/>
            <w:sz w:val="24"/>
          </w:rPr>
          <w:instrText xml:space="preserve"> PAGEREF _Toc202521659 \h </w:instrText>
        </w:r>
        <w:r>
          <w:rPr>
            <w:rFonts w:ascii="宋体" w:hAnsi="宋体"/>
            <w:sz w:val="24"/>
          </w:rPr>
        </w:r>
        <w:r>
          <w:rPr>
            <w:rFonts w:ascii="宋体" w:hAnsi="宋体"/>
            <w:sz w:val="24"/>
          </w:rPr>
          <w:fldChar w:fldCharType="separate"/>
        </w:r>
        <w:r>
          <w:rPr>
            <w:rFonts w:ascii="宋体" w:hAnsi="宋体"/>
            <w:sz w:val="24"/>
          </w:rPr>
          <w:t>64</w:t>
        </w:r>
        <w:r>
          <w:rPr>
            <w:rFonts w:ascii="宋体" w:hAnsi="宋体"/>
            <w:sz w:val="24"/>
          </w:rPr>
          <w:fldChar w:fldCharType="end"/>
        </w:r>
      </w:hyperlink>
    </w:p>
    <w:p w14:paraId="7836CF9C" w14:textId="77777777" w:rsidR="002411B3" w:rsidRDefault="00BA6CE7">
      <w:pPr>
        <w:pStyle w:val="11"/>
        <w:tabs>
          <w:tab w:val="right" w:leader="dot" w:pos="8550"/>
        </w:tabs>
        <w:spacing w:line="360" w:lineRule="auto"/>
        <w:rPr>
          <w:rFonts w:ascii="宋体" w:hAnsi="宋体"/>
          <w:sz w:val="24"/>
        </w:rPr>
      </w:pPr>
      <w:hyperlink w:anchor="_Toc202521660" w:history="1">
        <w:r>
          <w:rPr>
            <w:rStyle w:val="af1"/>
            <w:rFonts w:ascii="宋体" w:hAnsi="宋体" w:hint="eastAsia"/>
            <w:sz w:val="24"/>
          </w:rPr>
          <w:t>十二、基金的财产</w:t>
        </w:r>
        <w:r>
          <w:rPr>
            <w:rFonts w:ascii="宋体" w:hAnsi="宋体"/>
            <w:sz w:val="24"/>
          </w:rPr>
          <w:tab/>
        </w:r>
        <w:r>
          <w:rPr>
            <w:rFonts w:ascii="宋体" w:hAnsi="宋体"/>
            <w:sz w:val="24"/>
          </w:rPr>
          <w:fldChar w:fldCharType="begin"/>
        </w:r>
        <w:r>
          <w:rPr>
            <w:rFonts w:ascii="宋体" w:hAnsi="宋体"/>
            <w:sz w:val="24"/>
          </w:rPr>
          <w:instrText xml:space="preserve"> PAGEREF _Toc202521660 \h </w:instrText>
        </w:r>
        <w:r>
          <w:rPr>
            <w:rFonts w:ascii="宋体" w:hAnsi="宋体"/>
            <w:sz w:val="24"/>
          </w:rPr>
        </w:r>
        <w:r>
          <w:rPr>
            <w:rFonts w:ascii="宋体" w:hAnsi="宋体"/>
            <w:sz w:val="24"/>
          </w:rPr>
          <w:fldChar w:fldCharType="separate"/>
        </w:r>
        <w:r>
          <w:rPr>
            <w:rFonts w:ascii="宋体" w:hAnsi="宋体"/>
            <w:sz w:val="24"/>
          </w:rPr>
          <w:t>66</w:t>
        </w:r>
        <w:r>
          <w:rPr>
            <w:rFonts w:ascii="宋体" w:hAnsi="宋体"/>
            <w:sz w:val="24"/>
          </w:rPr>
          <w:fldChar w:fldCharType="end"/>
        </w:r>
      </w:hyperlink>
    </w:p>
    <w:p w14:paraId="69C78171" w14:textId="77777777" w:rsidR="002411B3" w:rsidRDefault="00BA6CE7">
      <w:pPr>
        <w:pStyle w:val="11"/>
        <w:tabs>
          <w:tab w:val="right" w:leader="dot" w:pos="8550"/>
        </w:tabs>
        <w:spacing w:line="360" w:lineRule="auto"/>
        <w:rPr>
          <w:rFonts w:ascii="宋体" w:hAnsi="宋体"/>
          <w:sz w:val="24"/>
        </w:rPr>
      </w:pPr>
      <w:hyperlink w:anchor="_Toc202521661" w:history="1">
        <w:r>
          <w:rPr>
            <w:rStyle w:val="af1"/>
            <w:rFonts w:ascii="宋体" w:hAnsi="宋体" w:hint="eastAsia"/>
            <w:sz w:val="24"/>
          </w:rPr>
          <w:t>十三、基金资产的估值</w:t>
        </w:r>
        <w:r>
          <w:rPr>
            <w:rFonts w:ascii="宋体" w:hAnsi="宋体"/>
            <w:sz w:val="24"/>
          </w:rPr>
          <w:tab/>
        </w:r>
        <w:r>
          <w:rPr>
            <w:rFonts w:ascii="宋体" w:hAnsi="宋体"/>
            <w:sz w:val="24"/>
          </w:rPr>
          <w:fldChar w:fldCharType="begin"/>
        </w:r>
        <w:r>
          <w:rPr>
            <w:rFonts w:ascii="宋体" w:hAnsi="宋体"/>
            <w:sz w:val="24"/>
          </w:rPr>
          <w:instrText xml:space="preserve"> PAGEREF _Toc202521661 \h </w:instrText>
        </w:r>
        <w:r>
          <w:rPr>
            <w:rFonts w:ascii="宋体" w:hAnsi="宋体"/>
            <w:sz w:val="24"/>
          </w:rPr>
        </w:r>
        <w:r>
          <w:rPr>
            <w:rFonts w:ascii="宋体" w:hAnsi="宋体"/>
            <w:sz w:val="24"/>
          </w:rPr>
          <w:fldChar w:fldCharType="separate"/>
        </w:r>
        <w:r>
          <w:rPr>
            <w:rFonts w:ascii="宋体" w:hAnsi="宋体"/>
            <w:sz w:val="24"/>
          </w:rPr>
          <w:t>67</w:t>
        </w:r>
        <w:r>
          <w:rPr>
            <w:rFonts w:ascii="宋体" w:hAnsi="宋体"/>
            <w:sz w:val="24"/>
          </w:rPr>
          <w:fldChar w:fldCharType="end"/>
        </w:r>
      </w:hyperlink>
    </w:p>
    <w:p w14:paraId="25BDA9F0" w14:textId="77777777" w:rsidR="002411B3" w:rsidRDefault="00BA6CE7">
      <w:pPr>
        <w:pStyle w:val="11"/>
        <w:tabs>
          <w:tab w:val="right" w:leader="dot" w:pos="8550"/>
        </w:tabs>
        <w:spacing w:line="360" w:lineRule="auto"/>
        <w:rPr>
          <w:rFonts w:ascii="宋体" w:hAnsi="宋体"/>
          <w:sz w:val="24"/>
        </w:rPr>
      </w:pPr>
      <w:hyperlink w:anchor="_Toc202521662" w:history="1">
        <w:r>
          <w:rPr>
            <w:rStyle w:val="af1"/>
            <w:rFonts w:ascii="宋体" w:hAnsi="宋体" w:hint="eastAsia"/>
            <w:sz w:val="24"/>
          </w:rPr>
          <w:t>十四、基金收益与分配</w:t>
        </w:r>
        <w:r>
          <w:rPr>
            <w:rFonts w:ascii="宋体" w:hAnsi="宋体"/>
            <w:sz w:val="24"/>
          </w:rPr>
          <w:tab/>
        </w:r>
        <w:r>
          <w:rPr>
            <w:rFonts w:ascii="宋体" w:hAnsi="宋体"/>
            <w:sz w:val="24"/>
          </w:rPr>
          <w:fldChar w:fldCharType="begin"/>
        </w:r>
        <w:r>
          <w:rPr>
            <w:rFonts w:ascii="宋体" w:hAnsi="宋体"/>
            <w:sz w:val="24"/>
          </w:rPr>
          <w:instrText xml:space="preserve"> PAGEREF _Toc202521662 \h </w:instrText>
        </w:r>
        <w:r>
          <w:rPr>
            <w:rFonts w:ascii="宋体" w:hAnsi="宋体"/>
            <w:sz w:val="24"/>
          </w:rPr>
        </w:r>
        <w:r>
          <w:rPr>
            <w:rFonts w:ascii="宋体" w:hAnsi="宋体"/>
            <w:sz w:val="24"/>
          </w:rPr>
          <w:fldChar w:fldCharType="separate"/>
        </w:r>
        <w:r>
          <w:rPr>
            <w:rFonts w:ascii="宋体" w:hAnsi="宋体"/>
            <w:sz w:val="24"/>
          </w:rPr>
          <w:t>72</w:t>
        </w:r>
        <w:r>
          <w:rPr>
            <w:rFonts w:ascii="宋体" w:hAnsi="宋体"/>
            <w:sz w:val="24"/>
          </w:rPr>
          <w:fldChar w:fldCharType="end"/>
        </w:r>
      </w:hyperlink>
    </w:p>
    <w:p w14:paraId="782D2683" w14:textId="77777777" w:rsidR="002411B3" w:rsidRDefault="00BA6CE7">
      <w:pPr>
        <w:pStyle w:val="11"/>
        <w:tabs>
          <w:tab w:val="right" w:leader="dot" w:pos="8550"/>
        </w:tabs>
        <w:spacing w:line="360" w:lineRule="auto"/>
        <w:rPr>
          <w:rFonts w:ascii="宋体" w:hAnsi="宋体"/>
          <w:sz w:val="24"/>
        </w:rPr>
      </w:pPr>
      <w:hyperlink w:anchor="_Toc202521663" w:history="1">
        <w:r>
          <w:rPr>
            <w:rStyle w:val="af1"/>
            <w:rFonts w:ascii="宋体" w:hAnsi="宋体" w:hint="eastAsia"/>
            <w:sz w:val="24"/>
          </w:rPr>
          <w:t>十五、基金的费用与税收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_Toc202521663 \h </w:instrText>
        </w:r>
        <w:r>
          <w:rPr>
            <w:rFonts w:ascii="宋体" w:hAnsi="宋体"/>
            <w:sz w:val="24"/>
          </w:rPr>
        </w:r>
        <w:r>
          <w:rPr>
            <w:rFonts w:ascii="宋体" w:hAnsi="宋体"/>
            <w:sz w:val="24"/>
          </w:rPr>
          <w:fldChar w:fldCharType="separate"/>
        </w:r>
        <w:r>
          <w:rPr>
            <w:rFonts w:ascii="宋体" w:hAnsi="宋体"/>
            <w:sz w:val="24"/>
          </w:rPr>
          <w:t>74</w:t>
        </w:r>
        <w:r>
          <w:rPr>
            <w:rFonts w:ascii="宋体" w:hAnsi="宋体"/>
            <w:sz w:val="24"/>
          </w:rPr>
          <w:fldChar w:fldCharType="end"/>
        </w:r>
      </w:hyperlink>
    </w:p>
    <w:p w14:paraId="772B76FB" w14:textId="77777777" w:rsidR="002411B3" w:rsidRDefault="00BA6CE7">
      <w:pPr>
        <w:pStyle w:val="11"/>
        <w:tabs>
          <w:tab w:val="right" w:leader="dot" w:pos="8550"/>
        </w:tabs>
        <w:spacing w:line="360" w:lineRule="auto"/>
        <w:rPr>
          <w:rFonts w:ascii="宋体" w:hAnsi="宋体"/>
          <w:sz w:val="24"/>
        </w:rPr>
      </w:pPr>
      <w:hyperlink w:anchor="_Toc202521664" w:history="1">
        <w:r>
          <w:rPr>
            <w:rStyle w:val="af1"/>
            <w:rFonts w:ascii="宋体" w:hAnsi="宋体" w:hint="eastAsia"/>
            <w:sz w:val="24"/>
          </w:rPr>
          <w:t>十六、基金的会计与审计</w:t>
        </w:r>
        <w:r>
          <w:rPr>
            <w:rFonts w:ascii="宋体" w:hAnsi="宋体"/>
            <w:sz w:val="24"/>
          </w:rPr>
          <w:tab/>
        </w:r>
        <w:r>
          <w:rPr>
            <w:rFonts w:ascii="宋体" w:hAnsi="宋体"/>
            <w:sz w:val="24"/>
          </w:rPr>
          <w:fldChar w:fldCharType="begin"/>
        </w:r>
        <w:r>
          <w:rPr>
            <w:rFonts w:ascii="宋体" w:hAnsi="宋体"/>
            <w:sz w:val="24"/>
          </w:rPr>
          <w:instrText xml:space="preserve"> PAG</w:instrText>
        </w:r>
        <w:r>
          <w:rPr>
            <w:rFonts w:ascii="宋体" w:hAnsi="宋体"/>
            <w:sz w:val="24"/>
          </w:rPr>
          <w:instrText xml:space="preserve">EREF _Toc202521664 \h </w:instrText>
        </w:r>
        <w:r>
          <w:rPr>
            <w:rFonts w:ascii="宋体" w:hAnsi="宋体"/>
            <w:sz w:val="24"/>
          </w:rPr>
        </w:r>
        <w:r>
          <w:rPr>
            <w:rFonts w:ascii="宋体" w:hAnsi="宋体"/>
            <w:sz w:val="24"/>
          </w:rPr>
          <w:fldChar w:fldCharType="separate"/>
        </w:r>
        <w:r>
          <w:rPr>
            <w:rFonts w:ascii="宋体" w:hAnsi="宋体"/>
            <w:sz w:val="24"/>
          </w:rPr>
          <w:t>77</w:t>
        </w:r>
        <w:r>
          <w:rPr>
            <w:rFonts w:ascii="宋体" w:hAnsi="宋体"/>
            <w:sz w:val="24"/>
          </w:rPr>
          <w:fldChar w:fldCharType="end"/>
        </w:r>
      </w:hyperlink>
    </w:p>
    <w:p w14:paraId="59808414" w14:textId="77777777" w:rsidR="002411B3" w:rsidRDefault="00BA6CE7">
      <w:pPr>
        <w:pStyle w:val="11"/>
        <w:tabs>
          <w:tab w:val="right" w:leader="dot" w:pos="8550"/>
        </w:tabs>
        <w:spacing w:line="360" w:lineRule="auto"/>
        <w:rPr>
          <w:rFonts w:ascii="宋体" w:hAnsi="宋体"/>
          <w:sz w:val="24"/>
        </w:rPr>
      </w:pPr>
      <w:hyperlink w:anchor="_Toc202521665" w:history="1">
        <w:r>
          <w:rPr>
            <w:rStyle w:val="af1"/>
            <w:rFonts w:ascii="宋体" w:hAnsi="宋体" w:hint="eastAsia"/>
            <w:sz w:val="24"/>
          </w:rPr>
          <w:t>十七、基金的信息披露</w:t>
        </w:r>
        <w:r>
          <w:rPr>
            <w:rFonts w:ascii="宋体" w:hAnsi="宋体"/>
            <w:sz w:val="24"/>
          </w:rPr>
          <w:tab/>
        </w:r>
        <w:r>
          <w:rPr>
            <w:rFonts w:ascii="宋体" w:hAnsi="宋体"/>
            <w:sz w:val="24"/>
          </w:rPr>
          <w:fldChar w:fldCharType="begin"/>
        </w:r>
        <w:r>
          <w:rPr>
            <w:rFonts w:ascii="宋体" w:hAnsi="宋体"/>
            <w:sz w:val="24"/>
          </w:rPr>
          <w:instrText xml:space="preserve"> PAGEREF _Toc202521665 \h </w:instrText>
        </w:r>
        <w:r>
          <w:rPr>
            <w:rFonts w:ascii="宋体" w:hAnsi="宋体"/>
            <w:sz w:val="24"/>
          </w:rPr>
        </w:r>
        <w:r>
          <w:rPr>
            <w:rFonts w:ascii="宋体" w:hAnsi="宋体"/>
            <w:sz w:val="24"/>
          </w:rPr>
          <w:fldChar w:fldCharType="separate"/>
        </w:r>
        <w:r>
          <w:rPr>
            <w:rFonts w:ascii="宋体" w:hAnsi="宋体"/>
            <w:sz w:val="24"/>
          </w:rPr>
          <w:t>78</w:t>
        </w:r>
        <w:r>
          <w:rPr>
            <w:rFonts w:ascii="宋体" w:hAnsi="宋体"/>
            <w:sz w:val="24"/>
          </w:rPr>
          <w:fldChar w:fldCharType="end"/>
        </w:r>
      </w:hyperlink>
    </w:p>
    <w:p w14:paraId="3257C7B6" w14:textId="77777777" w:rsidR="002411B3" w:rsidRDefault="00BA6CE7">
      <w:pPr>
        <w:pStyle w:val="11"/>
        <w:tabs>
          <w:tab w:val="right" w:leader="dot" w:pos="8550"/>
        </w:tabs>
        <w:spacing w:line="360" w:lineRule="auto"/>
        <w:rPr>
          <w:rFonts w:ascii="宋体" w:hAnsi="宋体"/>
          <w:sz w:val="24"/>
        </w:rPr>
      </w:pPr>
      <w:hyperlink w:anchor="_Toc202521666" w:history="1">
        <w:r>
          <w:rPr>
            <w:rStyle w:val="af1"/>
            <w:rFonts w:ascii="宋体" w:hAnsi="宋体" w:hint="eastAsia"/>
            <w:sz w:val="24"/>
          </w:rPr>
          <w:t>十八、侧袋机制</w:t>
        </w:r>
        <w:r>
          <w:rPr>
            <w:rFonts w:ascii="宋体" w:hAnsi="宋体"/>
            <w:sz w:val="24"/>
          </w:rPr>
          <w:tab/>
        </w:r>
        <w:r>
          <w:rPr>
            <w:rFonts w:ascii="宋体" w:hAnsi="宋体"/>
            <w:sz w:val="24"/>
          </w:rPr>
          <w:fldChar w:fldCharType="begin"/>
        </w:r>
        <w:r>
          <w:rPr>
            <w:rFonts w:ascii="宋体" w:hAnsi="宋体"/>
            <w:sz w:val="24"/>
          </w:rPr>
          <w:instrText xml:space="preserve"> PAGEREF _Toc202521666 \h </w:instrText>
        </w:r>
        <w:r>
          <w:rPr>
            <w:rFonts w:ascii="宋体" w:hAnsi="宋体"/>
            <w:sz w:val="24"/>
          </w:rPr>
        </w:r>
        <w:r>
          <w:rPr>
            <w:rFonts w:ascii="宋体" w:hAnsi="宋体"/>
            <w:sz w:val="24"/>
          </w:rPr>
          <w:fldChar w:fldCharType="separate"/>
        </w:r>
        <w:r>
          <w:rPr>
            <w:rFonts w:ascii="宋体" w:hAnsi="宋体"/>
            <w:sz w:val="24"/>
          </w:rPr>
          <w:t>84</w:t>
        </w:r>
        <w:r>
          <w:rPr>
            <w:rFonts w:ascii="宋体" w:hAnsi="宋体"/>
            <w:sz w:val="24"/>
          </w:rPr>
          <w:fldChar w:fldCharType="end"/>
        </w:r>
      </w:hyperlink>
    </w:p>
    <w:p w14:paraId="6C955FCA" w14:textId="77777777" w:rsidR="002411B3" w:rsidRDefault="00BA6CE7">
      <w:pPr>
        <w:pStyle w:val="11"/>
        <w:tabs>
          <w:tab w:val="right" w:leader="dot" w:pos="8550"/>
        </w:tabs>
        <w:spacing w:line="360" w:lineRule="auto"/>
        <w:rPr>
          <w:rFonts w:ascii="宋体" w:hAnsi="宋体"/>
          <w:sz w:val="24"/>
        </w:rPr>
      </w:pPr>
      <w:hyperlink w:anchor="_Toc202521667" w:history="1">
        <w:r>
          <w:rPr>
            <w:rStyle w:val="af1"/>
            <w:rFonts w:ascii="宋体" w:hAnsi="宋体" w:hint="eastAsia"/>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_Toc202521667 \h </w:instrText>
        </w:r>
        <w:r>
          <w:rPr>
            <w:rFonts w:ascii="宋体" w:hAnsi="宋体"/>
            <w:sz w:val="24"/>
          </w:rPr>
        </w:r>
        <w:r>
          <w:rPr>
            <w:rFonts w:ascii="宋体" w:hAnsi="宋体"/>
            <w:sz w:val="24"/>
          </w:rPr>
          <w:fldChar w:fldCharType="separate"/>
        </w:r>
        <w:r>
          <w:rPr>
            <w:rFonts w:ascii="宋体" w:hAnsi="宋体"/>
            <w:sz w:val="24"/>
          </w:rPr>
          <w:t>87</w:t>
        </w:r>
        <w:r>
          <w:rPr>
            <w:rFonts w:ascii="宋体" w:hAnsi="宋体"/>
            <w:sz w:val="24"/>
          </w:rPr>
          <w:fldChar w:fldCharType="end"/>
        </w:r>
      </w:hyperlink>
    </w:p>
    <w:p w14:paraId="3988BDF2" w14:textId="77777777" w:rsidR="002411B3" w:rsidRDefault="00BA6CE7">
      <w:pPr>
        <w:pStyle w:val="11"/>
        <w:tabs>
          <w:tab w:val="right" w:leader="dot" w:pos="8550"/>
        </w:tabs>
        <w:spacing w:line="360" w:lineRule="auto"/>
        <w:rPr>
          <w:rFonts w:ascii="宋体" w:hAnsi="宋体"/>
          <w:sz w:val="24"/>
        </w:rPr>
      </w:pPr>
      <w:hyperlink w:anchor="_Toc202521668" w:history="1">
        <w:r>
          <w:rPr>
            <w:rStyle w:val="af1"/>
            <w:rFonts w:ascii="宋体" w:hAnsi="宋体" w:hint="eastAsia"/>
            <w:sz w:val="24"/>
          </w:rPr>
          <w:t>二十、基金合同的变更、终止与基金财产的清算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_Toc202521668 \h </w:instrText>
        </w:r>
        <w:r>
          <w:rPr>
            <w:rFonts w:ascii="宋体" w:hAnsi="宋体"/>
            <w:sz w:val="24"/>
          </w:rPr>
        </w:r>
        <w:r>
          <w:rPr>
            <w:rFonts w:ascii="宋体" w:hAnsi="宋体"/>
            <w:sz w:val="24"/>
          </w:rPr>
          <w:fldChar w:fldCharType="separate"/>
        </w:r>
        <w:r>
          <w:rPr>
            <w:rFonts w:ascii="宋体" w:hAnsi="宋体"/>
            <w:sz w:val="24"/>
          </w:rPr>
          <w:t>94</w:t>
        </w:r>
        <w:r>
          <w:rPr>
            <w:rFonts w:ascii="宋体" w:hAnsi="宋体"/>
            <w:sz w:val="24"/>
          </w:rPr>
          <w:fldChar w:fldCharType="end"/>
        </w:r>
      </w:hyperlink>
    </w:p>
    <w:p w14:paraId="4DEBC69A" w14:textId="77777777" w:rsidR="002411B3" w:rsidRDefault="00BA6CE7">
      <w:pPr>
        <w:pStyle w:val="11"/>
        <w:tabs>
          <w:tab w:val="right" w:leader="dot" w:pos="8550"/>
        </w:tabs>
        <w:spacing w:line="360" w:lineRule="auto"/>
        <w:rPr>
          <w:rFonts w:ascii="宋体" w:hAnsi="宋体"/>
          <w:sz w:val="24"/>
        </w:rPr>
      </w:pPr>
      <w:hyperlink w:anchor="_Toc202521669" w:history="1">
        <w:r>
          <w:rPr>
            <w:rStyle w:val="af1"/>
            <w:rFonts w:ascii="宋体" w:hAnsi="宋体" w:hint="eastAsia"/>
            <w:sz w:val="24"/>
          </w:rPr>
          <w:t>二十一、基金合同内容摘要</w:t>
        </w:r>
        <w:r>
          <w:rPr>
            <w:rFonts w:ascii="宋体" w:hAnsi="宋体"/>
            <w:sz w:val="24"/>
          </w:rPr>
          <w:tab/>
        </w:r>
        <w:r>
          <w:rPr>
            <w:rFonts w:ascii="宋体" w:hAnsi="宋体"/>
            <w:sz w:val="24"/>
          </w:rPr>
          <w:fldChar w:fldCharType="begin"/>
        </w:r>
        <w:r>
          <w:rPr>
            <w:rFonts w:ascii="宋体" w:hAnsi="宋体"/>
            <w:sz w:val="24"/>
          </w:rPr>
          <w:instrText xml:space="preserve"> PAGEREF _Toc202521669 \h </w:instrText>
        </w:r>
        <w:r>
          <w:rPr>
            <w:rFonts w:ascii="宋体" w:hAnsi="宋体"/>
            <w:sz w:val="24"/>
          </w:rPr>
        </w:r>
        <w:r>
          <w:rPr>
            <w:rFonts w:ascii="宋体" w:hAnsi="宋体"/>
            <w:sz w:val="24"/>
          </w:rPr>
          <w:fldChar w:fldCharType="separate"/>
        </w:r>
        <w:r>
          <w:rPr>
            <w:rFonts w:ascii="宋体" w:hAnsi="宋体"/>
            <w:sz w:val="24"/>
          </w:rPr>
          <w:t>96</w:t>
        </w:r>
        <w:r>
          <w:rPr>
            <w:rFonts w:ascii="宋体" w:hAnsi="宋体"/>
            <w:sz w:val="24"/>
          </w:rPr>
          <w:fldChar w:fldCharType="end"/>
        </w:r>
      </w:hyperlink>
    </w:p>
    <w:p w14:paraId="692EEC0B" w14:textId="77777777" w:rsidR="002411B3" w:rsidRDefault="00BA6CE7">
      <w:pPr>
        <w:pStyle w:val="11"/>
        <w:tabs>
          <w:tab w:val="right" w:leader="dot" w:pos="8550"/>
        </w:tabs>
        <w:spacing w:line="360" w:lineRule="auto"/>
        <w:rPr>
          <w:rFonts w:ascii="宋体" w:hAnsi="宋体"/>
          <w:sz w:val="24"/>
        </w:rPr>
      </w:pPr>
      <w:hyperlink w:anchor="_Toc202521670" w:history="1">
        <w:r>
          <w:rPr>
            <w:rStyle w:val="af1"/>
            <w:rFonts w:ascii="宋体" w:hAnsi="宋体" w:hint="eastAsia"/>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w:instrText>
        </w:r>
        <w:r>
          <w:rPr>
            <w:rFonts w:ascii="宋体" w:hAnsi="宋体"/>
            <w:sz w:val="24"/>
          </w:rPr>
          <w:instrText xml:space="preserve">AGEREF _Toc202521670 \h </w:instrText>
        </w:r>
        <w:r>
          <w:rPr>
            <w:rFonts w:ascii="宋体" w:hAnsi="宋体"/>
            <w:sz w:val="24"/>
          </w:rPr>
        </w:r>
        <w:r>
          <w:rPr>
            <w:rFonts w:ascii="宋体" w:hAnsi="宋体"/>
            <w:sz w:val="24"/>
          </w:rPr>
          <w:fldChar w:fldCharType="separate"/>
        </w:r>
        <w:r>
          <w:rPr>
            <w:rFonts w:ascii="宋体" w:hAnsi="宋体"/>
            <w:sz w:val="24"/>
          </w:rPr>
          <w:t>113</w:t>
        </w:r>
        <w:r>
          <w:rPr>
            <w:rFonts w:ascii="宋体" w:hAnsi="宋体"/>
            <w:sz w:val="24"/>
          </w:rPr>
          <w:fldChar w:fldCharType="end"/>
        </w:r>
      </w:hyperlink>
    </w:p>
    <w:p w14:paraId="482243A1" w14:textId="77777777" w:rsidR="002411B3" w:rsidRDefault="00BA6CE7">
      <w:pPr>
        <w:pStyle w:val="11"/>
        <w:tabs>
          <w:tab w:val="right" w:leader="dot" w:pos="8550"/>
        </w:tabs>
        <w:spacing w:line="360" w:lineRule="auto"/>
        <w:rPr>
          <w:rFonts w:ascii="宋体" w:hAnsi="宋体"/>
          <w:sz w:val="24"/>
        </w:rPr>
      </w:pPr>
      <w:hyperlink w:anchor="_Toc202521671" w:history="1">
        <w:r>
          <w:rPr>
            <w:rStyle w:val="af1"/>
            <w:rFonts w:ascii="宋体" w:hAnsi="宋体" w:hint="eastAsia"/>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_Toc202521671 \h </w:instrText>
        </w:r>
        <w:r>
          <w:rPr>
            <w:rFonts w:ascii="宋体" w:hAnsi="宋体"/>
            <w:sz w:val="24"/>
          </w:rPr>
        </w:r>
        <w:r>
          <w:rPr>
            <w:rFonts w:ascii="宋体" w:hAnsi="宋体"/>
            <w:sz w:val="24"/>
          </w:rPr>
          <w:fldChar w:fldCharType="separate"/>
        </w:r>
        <w:r>
          <w:rPr>
            <w:rFonts w:ascii="宋体" w:hAnsi="宋体"/>
            <w:sz w:val="24"/>
          </w:rPr>
          <w:t>131</w:t>
        </w:r>
        <w:r>
          <w:rPr>
            <w:rFonts w:ascii="宋体" w:hAnsi="宋体"/>
            <w:sz w:val="24"/>
          </w:rPr>
          <w:fldChar w:fldCharType="end"/>
        </w:r>
      </w:hyperlink>
    </w:p>
    <w:p w14:paraId="658944F6" w14:textId="77777777" w:rsidR="002411B3" w:rsidRDefault="00BA6CE7">
      <w:pPr>
        <w:pStyle w:val="11"/>
        <w:tabs>
          <w:tab w:val="right" w:leader="dot" w:pos="8550"/>
        </w:tabs>
        <w:spacing w:line="360" w:lineRule="auto"/>
        <w:rPr>
          <w:rFonts w:ascii="宋体" w:hAnsi="宋体"/>
          <w:sz w:val="24"/>
        </w:rPr>
      </w:pPr>
      <w:hyperlink w:anchor="_Toc202521672" w:history="1">
        <w:r>
          <w:rPr>
            <w:rStyle w:val="af1"/>
            <w:rFonts w:ascii="宋体" w:hAnsi="宋体" w:hint="eastAsia"/>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_Toc202521672 \h </w:instrText>
        </w:r>
        <w:r>
          <w:rPr>
            <w:rFonts w:ascii="宋体" w:hAnsi="宋体"/>
            <w:sz w:val="24"/>
          </w:rPr>
        </w:r>
        <w:r>
          <w:rPr>
            <w:rFonts w:ascii="宋体" w:hAnsi="宋体"/>
            <w:sz w:val="24"/>
          </w:rPr>
          <w:fldChar w:fldCharType="separate"/>
        </w:r>
        <w:r>
          <w:rPr>
            <w:rFonts w:ascii="宋体" w:hAnsi="宋体"/>
            <w:sz w:val="24"/>
          </w:rPr>
          <w:t>133</w:t>
        </w:r>
        <w:r>
          <w:rPr>
            <w:rFonts w:ascii="宋体" w:hAnsi="宋体"/>
            <w:sz w:val="24"/>
          </w:rPr>
          <w:fldChar w:fldCharType="end"/>
        </w:r>
      </w:hyperlink>
    </w:p>
    <w:p w14:paraId="5E278A86" w14:textId="77777777" w:rsidR="002411B3" w:rsidRDefault="00BA6CE7">
      <w:pPr>
        <w:pStyle w:val="11"/>
        <w:tabs>
          <w:tab w:val="right" w:leader="dot" w:pos="8550"/>
        </w:tabs>
        <w:spacing w:line="360" w:lineRule="auto"/>
        <w:rPr>
          <w:rFonts w:ascii="宋体" w:hAnsi="宋体"/>
          <w:sz w:val="24"/>
        </w:rPr>
      </w:pPr>
      <w:hyperlink w:anchor="_Toc202521673" w:history="1">
        <w:r>
          <w:rPr>
            <w:rStyle w:val="af1"/>
            <w:rFonts w:ascii="宋体" w:hAnsi="宋体" w:hint="eastAsia"/>
            <w:sz w:val="24"/>
          </w:rPr>
          <w:t>二十五、招募说明书的存放及查阅方式</w:t>
        </w:r>
        <w:r>
          <w:rPr>
            <w:rFonts w:ascii="宋体" w:hAnsi="宋体"/>
            <w:sz w:val="24"/>
          </w:rPr>
          <w:tab/>
        </w:r>
        <w:r>
          <w:rPr>
            <w:rFonts w:ascii="宋体" w:hAnsi="宋体"/>
            <w:sz w:val="24"/>
          </w:rPr>
          <w:fldChar w:fldCharType="begin"/>
        </w:r>
        <w:r>
          <w:rPr>
            <w:rFonts w:ascii="宋体" w:hAnsi="宋体"/>
            <w:sz w:val="24"/>
          </w:rPr>
          <w:instrText xml:space="preserve"> PAGEREF _Toc202521673 \h </w:instrText>
        </w:r>
        <w:r>
          <w:rPr>
            <w:rFonts w:ascii="宋体" w:hAnsi="宋体"/>
            <w:sz w:val="24"/>
          </w:rPr>
        </w:r>
        <w:r>
          <w:rPr>
            <w:rFonts w:ascii="宋体" w:hAnsi="宋体"/>
            <w:sz w:val="24"/>
          </w:rPr>
          <w:fldChar w:fldCharType="separate"/>
        </w:r>
        <w:r>
          <w:rPr>
            <w:rFonts w:ascii="宋体" w:hAnsi="宋体"/>
            <w:sz w:val="24"/>
          </w:rPr>
          <w:t>135</w:t>
        </w:r>
        <w:r>
          <w:rPr>
            <w:rFonts w:ascii="宋体" w:hAnsi="宋体"/>
            <w:sz w:val="24"/>
          </w:rPr>
          <w:fldChar w:fldCharType="end"/>
        </w:r>
      </w:hyperlink>
    </w:p>
    <w:p w14:paraId="2DFA2BDE" w14:textId="77777777" w:rsidR="002411B3" w:rsidRDefault="00BA6CE7">
      <w:pPr>
        <w:pStyle w:val="11"/>
        <w:tabs>
          <w:tab w:val="right" w:leader="dot" w:pos="8550"/>
        </w:tabs>
        <w:spacing w:line="360" w:lineRule="auto"/>
        <w:rPr>
          <w:rFonts w:ascii="宋体" w:hAnsi="宋体"/>
          <w:sz w:val="24"/>
        </w:rPr>
      </w:pPr>
      <w:hyperlink w:anchor="_Toc202521674" w:history="1">
        <w:r>
          <w:rPr>
            <w:rStyle w:val="af1"/>
            <w:rFonts w:ascii="宋体" w:hAnsi="宋体" w:hint="eastAsia"/>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_Toc202521674 \h </w:instrText>
        </w:r>
        <w:r>
          <w:rPr>
            <w:rFonts w:ascii="宋体" w:hAnsi="宋体"/>
            <w:sz w:val="24"/>
          </w:rPr>
        </w:r>
        <w:r>
          <w:rPr>
            <w:rFonts w:ascii="宋体" w:hAnsi="宋体"/>
            <w:sz w:val="24"/>
          </w:rPr>
          <w:fldChar w:fldCharType="separate"/>
        </w:r>
        <w:r>
          <w:rPr>
            <w:rFonts w:ascii="宋体" w:hAnsi="宋体"/>
            <w:sz w:val="24"/>
          </w:rPr>
          <w:t>136</w:t>
        </w:r>
        <w:r>
          <w:rPr>
            <w:rFonts w:ascii="宋体" w:hAnsi="宋体"/>
            <w:sz w:val="24"/>
          </w:rPr>
          <w:fldChar w:fldCharType="end"/>
        </w:r>
      </w:hyperlink>
    </w:p>
    <w:p w14:paraId="33FDB065" w14:textId="31B4BD18" w:rsidR="002411B3" w:rsidRDefault="00BA6CE7" w:rsidP="00B15DD5">
      <w:pPr>
        <w:pStyle w:val="Style19"/>
        <w:snapToGrid w:val="0"/>
        <w:spacing w:after="240" w:line="360" w:lineRule="auto"/>
        <w:rPr>
          <w:rFonts w:ascii="宋体" w:hAnsi="宋体" w:hint="eastAsia"/>
          <w:szCs w:val="24"/>
        </w:rPr>
        <w:sectPr w:rsidR="002411B3">
          <w:pgSz w:w="11920" w:h="16840"/>
          <w:pgMar w:top="1480" w:right="1680" w:bottom="280" w:left="1680" w:header="0" w:footer="1073" w:gutter="0"/>
          <w:cols w:space="720"/>
        </w:sectPr>
      </w:pPr>
      <w:r>
        <w:rPr>
          <w:rFonts w:ascii="宋体" w:hAnsi="宋体"/>
          <w:color w:val="000000"/>
          <w:position w:val="-4"/>
          <w:sz w:val="24"/>
          <w:szCs w:val="30"/>
        </w:rPr>
        <w:fldChar w:fldCharType="end"/>
      </w:r>
      <w:bookmarkStart w:id="3" w:name="_GoBack"/>
      <w:bookmarkEnd w:id="3"/>
    </w:p>
    <w:p w14:paraId="2664D05C" w14:textId="77777777" w:rsidR="002411B3" w:rsidRDefault="00BA6CE7">
      <w:pPr>
        <w:pStyle w:val="1"/>
        <w:snapToGrid w:val="0"/>
        <w:spacing w:beforeLines="0" w:before="240" w:after="240"/>
        <w:rPr>
          <w:rFonts w:ascii="宋体" w:hAnsi="宋体"/>
          <w:szCs w:val="30"/>
        </w:rPr>
      </w:pPr>
      <w:bookmarkStart w:id="4" w:name="_Toc202521649"/>
      <w:r>
        <w:rPr>
          <w:rFonts w:ascii="Times New Roman" w:hAnsi="Times New Roman"/>
          <w:sz w:val="30"/>
        </w:rPr>
        <w:lastRenderedPageBreak/>
        <w:t>一</w:t>
      </w:r>
      <w:r>
        <w:rPr>
          <w:rFonts w:ascii="Times New Roman" w:hAnsi="Times New Roman"/>
          <w:sz w:val="30"/>
        </w:rPr>
        <w:t>、绪言</w:t>
      </w:r>
      <w:bookmarkEnd w:id="4"/>
    </w:p>
    <w:p w14:paraId="049A1FB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《交银施罗德中高等级信用债债券型证券投资基金招募说明书》（以下简称</w:t>
      </w:r>
      <w:r>
        <w:rPr>
          <w:rFonts w:ascii="宋体" w:hAnsi="宋体"/>
          <w:sz w:val="24"/>
        </w:rPr>
        <w:t>“</w:t>
      </w:r>
      <w:r>
        <w:rPr>
          <w:rFonts w:ascii="宋体" w:hAnsi="宋体"/>
          <w:sz w:val="24"/>
        </w:rPr>
        <w:t>本招募说明书</w:t>
      </w:r>
      <w:r>
        <w:rPr>
          <w:rFonts w:ascii="宋体" w:hAnsi="宋体"/>
          <w:sz w:val="24"/>
        </w:rPr>
        <w:t>”</w:t>
      </w:r>
      <w:r>
        <w:rPr>
          <w:rFonts w:ascii="宋体" w:hAnsi="宋体"/>
          <w:sz w:val="24"/>
        </w:rPr>
        <w:t>）依据《中华人民共和国证券投资基金法》（以下简称</w:t>
      </w:r>
      <w:r>
        <w:rPr>
          <w:rFonts w:ascii="宋体" w:hAnsi="宋体"/>
          <w:sz w:val="24"/>
        </w:rPr>
        <w:t>“</w:t>
      </w:r>
      <w:r>
        <w:rPr>
          <w:rFonts w:ascii="宋体" w:hAnsi="宋体"/>
          <w:sz w:val="24"/>
        </w:rPr>
        <w:t>《基金法》</w:t>
      </w:r>
      <w:r>
        <w:rPr>
          <w:rFonts w:ascii="宋体" w:hAnsi="宋体"/>
          <w:sz w:val="24"/>
        </w:rPr>
        <w:t>”</w:t>
      </w:r>
      <w:r>
        <w:rPr>
          <w:rFonts w:ascii="宋体" w:hAnsi="宋体"/>
          <w:sz w:val="24"/>
        </w:rPr>
        <w:t>）、《公开募集证券投资基金运作管理办法》（以下简称</w:t>
      </w:r>
      <w:r>
        <w:rPr>
          <w:rFonts w:ascii="宋体" w:hAnsi="宋体"/>
          <w:sz w:val="24"/>
        </w:rPr>
        <w:t>“</w:t>
      </w:r>
      <w:r>
        <w:rPr>
          <w:rFonts w:ascii="宋体" w:hAnsi="宋体"/>
          <w:sz w:val="24"/>
        </w:rPr>
        <w:t>《运作办法》</w:t>
      </w:r>
      <w:r>
        <w:rPr>
          <w:rFonts w:ascii="宋体" w:hAnsi="宋体"/>
          <w:sz w:val="24"/>
        </w:rPr>
        <w:t>”</w:t>
      </w:r>
      <w:r>
        <w:rPr>
          <w:rFonts w:ascii="宋体" w:hAnsi="宋体"/>
          <w:sz w:val="24"/>
        </w:rPr>
        <w:t>）、《证券投资基金销售管理办法》（以下简称</w:t>
      </w:r>
      <w:r>
        <w:rPr>
          <w:rFonts w:ascii="宋体" w:hAnsi="宋体"/>
          <w:sz w:val="24"/>
        </w:rPr>
        <w:t>“</w:t>
      </w:r>
      <w:r>
        <w:rPr>
          <w:rFonts w:ascii="宋体" w:hAnsi="宋体"/>
          <w:sz w:val="24"/>
        </w:rPr>
        <w:t>《销售办法》</w:t>
      </w:r>
      <w:r>
        <w:rPr>
          <w:rFonts w:ascii="宋体" w:hAnsi="宋体"/>
          <w:sz w:val="24"/>
        </w:rPr>
        <w:t>”</w:t>
      </w:r>
      <w:r>
        <w:rPr>
          <w:rFonts w:ascii="宋体" w:hAnsi="宋体"/>
          <w:sz w:val="24"/>
        </w:rPr>
        <w:t>）、《公开募集证券投资基金信息披露管理办法》（以下简称</w:t>
      </w:r>
      <w:r>
        <w:rPr>
          <w:rFonts w:ascii="宋体" w:hAnsi="宋体"/>
          <w:sz w:val="24"/>
        </w:rPr>
        <w:t>“</w:t>
      </w:r>
      <w:r>
        <w:rPr>
          <w:rFonts w:ascii="宋体" w:hAnsi="宋体"/>
          <w:sz w:val="24"/>
        </w:rPr>
        <w:t>《信息披露办法》</w:t>
      </w:r>
      <w:r>
        <w:rPr>
          <w:rFonts w:ascii="宋体" w:hAnsi="宋体"/>
          <w:sz w:val="24"/>
        </w:rPr>
        <w:t>”</w:t>
      </w:r>
      <w:r>
        <w:rPr>
          <w:rFonts w:ascii="宋体" w:hAnsi="宋体"/>
          <w:sz w:val="24"/>
        </w:rPr>
        <w:t>）、《公开募集开放式证券投资基金流动性风险管理规定》（以下简称</w:t>
      </w:r>
      <w:r>
        <w:rPr>
          <w:rFonts w:ascii="宋体" w:hAnsi="宋体"/>
          <w:sz w:val="24"/>
        </w:rPr>
        <w:t>“</w:t>
      </w:r>
      <w:r>
        <w:rPr>
          <w:rFonts w:ascii="宋体" w:hAnsi="宋体"/>
          <w:sz w:val="24"/>
        </w:rPr>
        <w:t>《流动性风险管理规定》</w:t>
      </w:r>
      <w:r>
        <w:rPr>
          <w:rFonts w:ascii="宋体" w:hAnsi="宋体"/>
          <w:sz w:val="24"/>
        </w:rPr>
        <w:t>”</w:t>
      </w:r>
      <w:r>
        <w:rPr>
          <w:rFonts w:ascii="宋体" w:hAnsi="宋体"/>
          <w:sz w:val="24"/>
        </w:rPr>
        <w:t>）和其他相关法律法规的规定以及《交银施罗德中高等级信用债债券型证券投资基金基金合同</w:t>
      </w:r>
      <w:r>
        <w:rPr>
          <w:rFonts w:ascii="宋体" w:hAnsi="宋体"/>
          <w:sz w:val="24"/>
        </w:rPr>
        <w:t>》（以下简称</w:t>
      </w:r>
      <w:r>
        <w:rPr>
          <w:rFonts w:ascii="宋体" w:hAnsi="宋体"/>
          <w:sz w:val="24"/>
        </w:rPr>
        <w:t>“</w:t>
      </w:r>
      <w:r>
        <w:rPr>
          <w:rFonts w:ascii="宋体" w:hAnsi="宋体"/>
          <w:sz w:val="24"/>
        </w:rPr>
        <w:t>基金合同</w:t>
      </w:r>
      <w:r>
        <w:rPr>
          <w:rFonts w:ascii="宋体" w:hAnsi="宋体"/>
          <w:sz w:val="24"/>
        </w:rPr>
        <w:t>”</w:t>
      </w:r>
      <w:r>
        <w:rPr>
          <w:rFonts w:ascii="宋体" w:hAnsi="宋体"/>
          <w:sz w:val="24"/>
        </w:rPr>
        <w:t>）编写。</w:t>
      </w:r>
    </w:p>
    <w:p w14:paraId="27BF24C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6AF24E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w:t>
      </w:r>
      <w:r>
        <w:rPr>
          <w:rFonts w:ascii="宋体" w:hAnsi="宋体"/>
          <w:sz w:val="24"/>
        </w:rPr>
        <w:t>身即表明其对基金合同的承认和接受，并按照《基金法》、基金合同及其他有关规定享有权利、承担义务。基金投资人欲了解基金份额持有人的权利和义务，应详细查阅基金合同。</w:t>
      </w:r>
    </w:p>
    <w:p w14:paraId="6CA7CEFC"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CBC8A29" w14:textId="77777777" w:rsidR="002411B3" w:rsidRDefault="00BA6CE7">
      <w:pPr>
        <w:pStyle w:val="1"/>
        <w:snapToGrid w:val="0"/>
        <w:spacing w:beforeLines="0" w:before="240" w:after="240"/>
        <w:rPr>
          <w:rFonts w:ascii="宋体" w:hAnsi="宋体"/>
          <w:szCs w:val="30"/>
        </w:rPr>
      </w:pPr>
      <w:bookmarkStart w:id="5" w:name="_Toc202521650"/>
      <w:r>
        <w:rPr>
          <w:rFonts w:ascii="Times New Roman" w:hAnsi="Times New Roman"/>
          <w:sz w:val="30"/>
        </w:rPr>
        <w:lastRenderedPageBreak/>
        <w:t>二、释义</w:t>
      </w:r>
      <w:bookmarkEnd w:id="5"/>
    </w:p>
    <w:p w14:paraId="680D476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6078DB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、基金或本基金：指交银施罗德中高等级信用债债券型证券投资基金，由交银施罗德理财</w:t>
      </w:r>
      <w:r>
        <w:rPr>
          <w:rFonts w:ascii="宋体" w:hAnsi="宋体"/>
          <w:sz w:val="24"/>
        </w:rPr>
        <w:t>21</w:t>
      </w:r>
      <w:r>
        <w:rPr>
          <w:rFonts w:ascii="宋体" w:hAnsi="宋体"/>
          <w:sz w:val="24"/>
        </w:rPr>
        <w:t>天债券型证券投资基金转型而来</w:t>
      </w:r>
    </w:p>
    <w:p w14:paraId="17825BF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、基金管理人：指交银施罗德基金管理有限公司</w:t>
      </w:r>
    </w:p>
    <w:p w14:paraId="7F0DD1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、基金托管人：指中国农业银行股份有限公司</w:t>
      </w:r>
    </w:p>
    <w:p w14:paraId="503616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、基金合同：指《交银施罗德中高等级信用债债券型证券投资基金基金合同</w:t>
      </w:r>
      <w:r>
        <w:rPr>
          <w:rFonts w:ascii="宋体" w:hAnsi="宋体"/>
          <w:sz w:val="24"/>
        </w:rPr>
        <w:t>》及对基金合同的任何有效修订和补充</w:t>
      </w:r>
    </w:p>
    <w:p w14:paraId="461506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、托管协议：指基金管理人与基金托管人就本基金签订之《交银施罗德中高等级信用债债券型证券投资基金托管协议》及对该托管协议的任何有效修订和补充</w:t>
      </w:r>
    </w:p>
    <w:p w14:paraId="2F998D3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、招募说明书或本招募说明书：指《交银施罗德中高等级信用债债券型证券投资基金招募说明书》及其更新</w:t>
      </w:r>
    </w:p>
    <w:p w14:paraId="30CB2D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、基金产品资料概要：指《交银施罗德中高等级信用债债券型证券投资基金基金产品资料概要》及其更新</w:t>
      </w:r>
    </w:p>
    <w:p w14:paraId="7D95D74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、法律法规：指中国现行有效并公布实施的法律、行政法规、规范性文件、司法解释、行政规章以及其他对基金合同当事人有约束力的决定、决议、通知等</w:t>
      </w:r>
    </w:p>
    <w:p w14:paraId="786FFB9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、《基金法》：指《中华人民共和国证券投资基金法》及颁布机关对其不时做出的修订</w:t>
      </w:r>
    </w:p>
    <w:p w14:paraId="7B135FA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、《销售办法》：指《证券投资基金销售管理办法》及颁布机关对其不时做出的修订</w:t>
      </w:r>
    </w:p>
    <w:p w14:paraId="3149E3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、《信息披露办法》：指《公开募集证券投资基金信息披露管理办法》及颁布机关对其不时做出的修订</w:t>
      </w:r>
    </w:p>
    <w:p w14:paraId="7A9D679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、《运作办法》：指《公开募集证券投资基金运作管理办法》及颁布机关对其不时做出的修订</w:t>
      </w:r>
    </w:p>
    <w:p w14:paraId="039C5D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、《流动性风险管理规定》：指《公开募集开放式证券投资基金流动性风险管理规定》及颁布机关对其不时做出的修订</w:t>
      </w:r>
    </w:p>
    <w:p w14:paraId="20BC00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、中国证监会：指中国证券监督管理委员会</w:t>
      </w:r>
    </w:p>
    <w:p w14:paraId="6773768B" w14:textId="0629ABF2"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、银行业监督管理机构：指中国人民银行和</w:t>
      </w:r>
      <w:r>
        <w:rPr>
          <w:rFonts w:ascii="宋体" w:hAnsi="宋体"/>
          <w:sz w:val="24"/>
        </w:rPr>
        <w:t>/</w:t>
      </w:r>
      <w:r>
        <w:rPr>
          <w:rFonts w:ascii="宋体" w:hAnsi="宋体"/>
          <w:sz w:val="24"/>
        </w:rPr>
        <w:t>或</w:t>
      </w:r>
      <w:r>
        <w:rPr>
          <w:rFonts w:ascii="宋体" w:hAnsi="宋体" w:hint="eastAsia"/>
          <w:sz w:val="24"/>
        </w:rPr>
        <w:t>国家金融监督管理总局</w:t>
      </w:r>
    </w:p>
    <w:p w14:paraId="5397901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、基金合同当事人：指受基金合同约束，根据基金合同享有权利并承担义务</w:t>
      </w:r>
      <w:r>
        <w:rPr>
          <w:rFonts w:ascii="宋体" w:hAnsi="宋体"/>
          <w:sz w:val="24"/>
        </w:rPr>
        <w:lastRenderedPageBreak/>
        <w:t>的法律主体，包括基金管理人、基金托管人和基金份额持有人</w:t>
      </w:r>
    </w:p>
    <w:p w14:paraId="787F4A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w:t>
      </w:r>
      <w:r>
        <w:rPr>
          <w:rFonts w:ascii="宋体" w:hAnsi="宋体"/>
          <w:sz w:val="24"/>
        </w:rPr>
        <w:t>、个人投资者：指依据有关法律法规规定可投资于证券投资基金的自然人</w:t>
      </w:r>
    </w:p>
    <w:p w14:paraId="4657E8E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w:t>
      </w:r>
      <w:r>
        <w:rPr>
          <w:rFonts w:ascii="宋体" w:hAnsi="宋体"/>
          <w:sz w:val="24"/>
        </w:rPr>
        <w:t>、机构投资者：指依法可以投资证券投资基金的、在中华人民共和国境内合法登记并存续或经有关政府部门批准设立并存续的企业法人、事业法人、社会团体或其他组织</w:t>
      </w:r>
    </w:p>
    <w:p w14:paraId="358FD3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w:t>
      </w:r>
      <w:r>
        <w:rPr>
          <w:rFonts w:ascii="宋体" w:hAnsi="宋体"/>
          <w:sz w:val="24"/>
        </w:rPr>
        <w:t>、合格境外机构投资者：指符合《合格境外机构投资者境内证券投资管理办法》及相关法律法规规定可以投资于在中国境内依法募集的证券投资基金的中国境外的机构投资者</w:t>
      </w:r>
    </w:p>
    <w:p w14:paraId="69B16B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w:t>
      </w:r>
      <w:r>
        <w:rPr>
          <w:rFonts w:ascii="宋体" w:hAnsi="宋体"/>
          <w:sz w:val="24"/>
        </w:rPr>
        <w:t>、人民币合格境外机构投资者：指按照《人民币合格境外机构投资者境内证券投资试点办法》及相关法律法规规定，运用来自境外的人民币资金进行境内证券投资的境外法人</w:t>
      </w:r>
    </w:p>
    <w:p w14:paraId="566B83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Pr>
          <w:rFonts w:ascii="宋体" w:hAnsi="宋体"/>
          <w:sz w:val="24"/>
        </w:rPr>
        <w:t>、投资人、投资者：指个人投资者、机构投资者、合格境外机构投资者和人民币合格境外机构投资者以及法律法规或中国证监会允许购买证券投资基金的其他投资人的合称</w:t>
      </w:r>
    </w:p>
    <w:p w14:paraId="75AD749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Pr>
          <w:rFonts w:ascii="宋体" w:hAnsi="宋体"/>
          <w:sz w:val="24"/>
        </w:rPr>
        <w:t>、基金份额持有人：指依基金合同和招募</w:t>
      </w:r>
      <w:r>
        <w:rPr>
          <w:rFonts w:ascii="宋体" w:hAnsi="宋体"/>
          <w:sz w:val="24"/>
        </w:rPr>
        <w:t>说明书合法取得基金份额的投资人</w:t>
      </w:r>
    </w:p>
    <w:p w14:paraId="1A5DD7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w:t>
      </w:r>
      <w:r>
        <w:rPr>
          <w:rFonts w:ascii="宋体" w:hAnsi="宋体"/>
          <w:sz w:val="24"/>
        </w:rPr>
        <w:t>、基金销售业务：指基金管理人或销售机构宣传推介基金，发售基金份额，办理基金份额的申购、赎回、转换、转托管及定期定额投资等业务</w:t>
      </w:r>
    </w:p>
    <w:p w14:paraId="1D33BB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w:t>
      </w:r>
      <w:r>
        <w:rPr>
          <w:rFonts w:ascii="宋体" w:hAnsi="宋体"/>
          <w:sz w:val="24"/>
        </w:rPr>
        <w:t>、销售机构：指交银施罗德基金管理有限公司以及符合《销售办法》和中国证监会规定的其他条件，取得基金销售业务资格并与基金管理人签订了基金销售服务协议，办理基金销售业务的机构</w:t>
      </w:r>
    </w:p>
    <w:p w14:paraId="64A87A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w:t>
      </w:r>
      <w:r>
        <w:rPr>
          <w:rFonts w:ascii="宋体" w:hAnsi="宋体"/>
          <w:sz w:val="24"/>
        </w:rPr>
        <w:t>、登记业务：指基金登记、存管、过户、清算和结算业务，具体内容包括投资人基金账户的建立和管理、基金份额登记、基金销售业务的确认、清算和结算、代理发放红利、建立并保管基金份额持</w:t>
      </w:r>
      <w:r>
        <w:rPr>
          <w:rFonts w:ascii="宋体" w:hAnsi="宋体"/>
          <w:sz w:val="24"/>
        </w:rPr>
        <w:t>有人名册和办理非交易过户等</w:t>
      </w:r>
    </w:p>
    <w:p w14:paraId="2E6EF5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w:t>
      </w:r>
      <w:r>
        <w:rPr>
          <w:rFonts w:ascii="宋体" w:hAnsi="宋体"/>
          <w:sz w:val="24"/>
        </w:rPr>
        <w:t>、登记机构：指办理登记业务的机构。基金的登记机构为交银施罗德基金管理有限公司或接受交银施罗德基金管理有限公司委托代为办理登记业务的机构</w:t>
      </w:r>
    </w:p>
    <w:p w14:paraId="71C2B5A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w:t>
      </w:r>
      <w:r>
        <w:rPr>
          <w:rFonts w:ascii="宋体" w:hAnsi="宋体"/>
          <w:sz w:val="24"/>
        </w:rPr>
        <w:t>、基金账户：指登记机构为投资人开立的、记录其持有的、基金管理人所管理的基金份额余额及其变动情况的账户</w:t>
      </w:r>
    </w:p>
    <w:p w14:paraId="55BF53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w:t>
      </w:r>
      <w:r>
        <w:rPr>
          <w:rFonts w:ascii="宋体" w:hAnsi="宋体"/>
          <w:sz w:val="24"/>
        </w:rPr>
        <w:t>、基金交易账户：指销售机构为投资人开立的、记录投资人通过该销售机构办理认购、申购、赎回、转换及转托管等业务而引起的基金份额变动及结余情况的账户</w:t>
      </w:r>
    </w:p>
    <w:p w14:paraId="27EAD0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29</w:t>
      </w:r>
      <w:r>
        <w:rPr>
          <w:rFonts w:ascii="宋体" w:hAnsi="宋体"/>
          <w:sz w:val="24"/>
        </w:rPr>
        <w:t>、基金合同生效日：指《交银施罗德中高等级信用债债券型证券投资基金基金合同》生效日，原《</w:t>
      </w:r>
      <w:r>
        <w:rPr>
          <w:rFonts w:ascii="宋体" w:hAnsi="宋体"/>
          <w:sz w:val="24"/>
        </w:rPr>
        <w:t>交银施罗德理财</w:t>
      </w:r>
      <w:r>
        <w:rPr>
          <w:rFonts w:ascii="宋体" w:hAnsi="宋体"/>
          <w:sz w:val="24"/>
        </w:rPr>
        <w:t>21</w:t>
      </w:r>
      <w:r>
        <w:rPr>
          <w:rFonts w:ascii="宋体" w:hAnsi="宋体"/>
          <w:sz w:val="24"/>
        </w:rPr>
        <w:t>天债券型证券投资基金基金合同》自同一日起失效</w:t>
      </w:r>
    </w:p>
    <w:p w14:paraId="76605F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w:t>
      </w:r>
      <w:r>
        <w:rPr>
          <w:rFonts w:ascii="宋体" w:hAnsi="宋体"/>
          <w:sz w:val="24"/>
        </w:rPr>
        <w:t>、基金转型实施日：指基金管理人公告的交银施罗德理财</w:t>
      </w:r>
      <w:r>
        <w:rPr>
          <w:rFonts w:ascii="宋体" w:hAnsi="宋体"/>
          <w:sz w:val="24"/>
        </w:rPr>
        <w:t>21</w:t>
      </w:r>
      <w:r>
        <w:rPr>
          <w:rFonts w:ascii="宋体" w:hAnsi="宋体"/>
          <w:sz w:val="24"/>
        </w:rPr>
        <w:t>天债券型证券投资基金转型为交银施罗德中高等级信用债债券型证券投资基金的实施日期</w:t>
      </w:r>
    </w:p>
    <w:p w14:paraId="6A4E49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w:t>
      </w:r>
      <w:r>
        <w:rPr>
          <w:rFonts w:ascii="宋体" w:hAnsi="宋体"/>
          <w:sz w:val="24"/>
        </w:rPr>
        <w:t>、基金合同终止日：指基金合同规定的基金合同终止事由出现后，基金财产清算完毕，清算结果报中国证监会备案并予以公告的日期</w:t>
      </w:r>
    </w:p>
    <w:p w14:paraId="58607A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w:t>
      </w:r>
      <w:r>
        <w:rPr>
          <w:rFonts w:ascii="宋体" w:hAnsi="宋体"/>
          <w:sz w:val="24"/>
        </w:rPr>
        <w:t>、存续期：指《交银施罗德理财</w:t>
      </w:r>
      <w:r>
        <w:rPr>
          <w:rFonts w:ascii="宋体" w:hAnsi="宋体"/>
          <w:sz w:val="24"/>
        </w:rPr>
        <w:t>21</w:t>
      </w:r>
      <w:r>
        <w:rPr>
          <w:rFonts w:ascii="宋体" w:hAnsi="宋体"/>
          <w:sz w:val="24"/>
        </w:rPr>
        <w:t>天债券型证券投资基金基金合同》生效至《交银施罗德中高等级信用债债券型证券投资基金基金合同》终止之间的不定期期限</w:t>
      </w:r>
    </w:p>
    <w:p w14:paraId="0856CF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w:t>
      </w:r>
      <w:r>
        <w:rPr>
          <w:rFonts w:ascii="宋体" w:hAnsi="宋体"/>
          <w:sz w:val="24"/>
        </w:rPr>
        <w:t>、工作日：指上海证券交易所、深圳证券</w:t>
      </w:r>
      <w:r>
        <w:rPr>
          <w:rFonts w:ascii="宋体" w:hAnsi="宋体"/>
          <w:sz w:val="24"/>
        </w:rPr>
        <w:t>交易所的正常交易日</w:t>
      </w:r>
    </w:p>
    <w:p w14:paraId="055A79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w:t>
      </w:r>
      <w:r>
        <w:rPr>
          <w:rFonts w:ascii="宋体" w:hAnsi="宋体"/>
          <w:sz w:val="24"/>
        </w:rPr>
        <w:t>、</w:t>
      </w:r>
      <w:r>
        <w:rPr>
          <w:rFonts w:ascii="宋体" w:hAnsi="宋体"/>
          <w:sz w:val="24"/>
        </w:rPr>
        <w:t>T</w:t>
      </w:r>
      <w:r>
        <w:rPr>
          <w:rFonts w:ascii="宋体" w:hAnsi="宋体"/>
          <w:sz w:val="24"/>
        </w:rPr>
        <w:t>日：指销售机构在规定时间受理投资人申购、赎回或其他业务申请的开放日</w:t>
      </w:r>
    </w:p>
    <w:p w14:paraId="7AF367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w:t>
      </w:r>
      <w:r>
        <w:rPr>
          <w:rFonts w:ascii="宋体" w:hAnsi="宋体"/>
          <w:sz w:val="24"/>
        </w:rPr>
        <w:t>、</w:t>
      </w:r>
      <w:r>
        <w:rPr>
          <w:rFonts w:ascii="宋体" w:hAnsi="宋体"/>
          <w:sz w:val="24"/>
        </w:rPr>
        <w:t>T+n</w:t>
      </w:r>
      <w:r>
        <w:rPr>
          <w:rFonts w:ascii="宋体" w:hAnsi="宋体"/>
          <w:sz w:val="24"/>
        </w:rPr>
        <w:t>日：指自</w:t>
      </w:r>
      <w:r>
        <w:rPr>
          <w:rFonts w:ascii="宋体" w:hAnsi="宋体"/>
          <w:sz w:val="24"/>
        </w:rPr>
        <w:t>T</w:t>
      </w:r>
      <w:r>
        <w:rPr>
          <w:rFonts w:ascii="宋体" w:hAnsi="宋体"/>
          <w:sz w:val="24"/>
        </w:rPr>
        <w:t>日起第</w:t>
      </w:r>
      <w:r>
        <w:rPr>
          <w:rFonts w:ascii="宋体" w:hAnsi="宋体"/>
          <w:sz w:val="24"/>
        </w:rPr>
        <w:t>n</w:t>
      </w:r>
      <w:r>
        <w:rPr>
          <w:rFonts w:ascii="宋体" w:hAnsi="宋体"/>
          <w:sz w:val="24"/>
        </w:rPr>
        <w:t>个工作日（不包含</w:t>
      </w:r>
      <w:r>
        <w:rPr>
          <w:rFonts w:ascii="宋体" w:hAnsi="宋体"/>
          <w:sz w:val="24"/>
        </w:rPr>
        <w:t>T</w:t>
      </w:r>
      <w:r>
        <w:rPr>
          <w:rFonts w:ascii="宋体" w:hAnsi="宋体"/>
          <w:sz w:val="24"/>
        </w:rPr>
        <w:t>日）</w:t>
      </w:r>
    </w:p>
    <w:p w14:paraId="66DE66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w:t>
      </w:r>
      <w:r>
        <w:rPr>
          <w:rFonts w:ascii="宋体" w:hAnsi="宋体"/>
          <w:sz w:val="24"/>
        </w:rPr>
        <w:t>、开放日：指为投资人办理基金份额申购、赎回或其他业务的工作日</w:t>
      </w:r>
    </w:p>
    <w:p w14:paraId="7D10A9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w:t>
      </w:r>
      <w:r>
        <w:rPr>
          <w:rFonts w:ascii="宋体" w:hAnsi="宋体"/>
          <w:sz w:val="24"/>
        </w:rPr>
        <w:t>、开放时间：指开放日基金接受申购、赎回或其他交易的时间段</w:t>
      </w:r>
    </w:p>
    <w:p w14:paraId="0347614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w:t>
      </w:r>
      <w:r>
        <w:rPr>
          <w:rFonts w:ascii="宋体" w:hAnsi="宋体"/>
          <w:sz w:val="24"/>
        </w:rPr>
        <w:t>、《业务规则》：指中国证券登记结算有限责任公司相关业务规则及其不时做出的修订</w:t>
      </w:r>
    </w:p>
    <w:p w14:paraId="646A81B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w:t>
      </w:r>
      <w:r>
        <w:rPr>
          <w:rFonts w:ascii="宋体" w:hAnsi="宋体"/>
          <w:sz w:val="24"/>
        </w:rPr>
        <w:t>、申购：指基金合同生效后，投资人根据基金合同和招募说明书的规定申请购买基金份额的行为</w:t>
      </w:r>
    </w:p>
    <w:p w14:paraId="64FFC69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w:t>
      </w:r>
      <w:r>
        <w:rPr>
          <w:rFonts w:ascii="宋体" w:hAnsi="宋体"/>
          <w:sz w:val="24"/>
        </w:rPr>
        <w:t>、赎回：指基金合同生效后，基金份额持有人按基金合同和招募说</w:t>
      </w:r>
      <w:r>
        <w:rPr>
          <w:rFonts w:ascii="宋体" w:hAnsi="宋体"/>
          <w:sz w:val="24"/>
        </w:rPr>
        <w:t>明书规定的条件要求将基金份额兑换为现金的行为</w:t>
      </w:r>
    </w:p>
    <w:p w14:paraId="43726F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w:t>
      </w:r>
      <w:r>
        <w:rPr>
          <w:rFonts w:ascii="宋体" w:hAnsi="宋体"/>
          <w:sz w:val="24"/>
        </w:rPr>
        <w:t>、基金转换：指基金份额持有人按照基金合同和基金管理人届时有效公告规定的条件，申请将其持有基金管理人管理的、某一基金的基金份额转换为基金管理人管理的其他基金基金份额的行为</w:t>
      </w:r>
    </w:p>
    <w:p w14:paraId="18329A5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w:t>
      </w:r>
      <w:r>
        <w:rPr>
          <w:rFonts w:ascii="宋体" w:hAnsi="宋体"/>
          <w:sz w:val="24"/>
        </w:rPr>
        <w:t>、转托管：指基金份额持有人在本基金的不同销售机构之间实施的变更所持基金份额销售机构的操作</w:t>
      </w:r>
    </w:p>
    <w:p w14:paraId="6856A2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w:t>
      </w:r>
      <w:r>
        <w:rPr>
          <w:rFonts w:ascii="宋体" w:hAnsi="宋体"/>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5EA379E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44</w:t>
      </w:r>
      <w:r>
        <w:rPr>
          <w:rFonts w:ascii="宋体" w:hAnsi="宋体"/>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宋体" w:hAnsi="宋体"/>
          <w:sz w:val="24"/>
        </w:rPr>
        <w:t>10%</w:t>
      </w:r>
      <w:r>
        <w:rPr>
          <w:rFonts w:ascii="宋体" w:hAnsi="宋体"/>
          <w:sz w:val="24"/>
        </w:rPr>
        <w:t>的情形</w:t>
      </w:r>
    </w:p>
    <w:p w14:paraId="4089A35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w:t>
      </w:r>
      <w:r>
        <w:rPr>
          <w:rFonts w:ascii="宋体" w:hAnsi="宋体"/>
          <w:sz w:val="24"/>
        </w:rPr>
        <w:t>、元：指人民币元</w:t>
      </w:r>
    </w:p>
    <w:p w14:paraId="7B4BE81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w:t>
      </w:r>
      <w:r>
        <w:rPr>
          <w:rFonts w:ascii="宋体" w:hAnsi="宋体"/>
          <w:sz w:val="24"/>
        </w:rPr>
        <w:t>、基金收益：指基金投资所得债券利息、买卖证券价差、银行存款利息、已实现的其他合法收入及因运用基金财产带来的成本和费用的节约</w:t>
      </w:r>
    </w:p>
    <w:p w14:paraId="2A13AF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w:t>
      </w:r>
      <w:r>
        <w:rPr>
          <w:rFonts w:ascii="宋体" w:hAnsi="宋体"/>
          <w:sz w:val="24"/>
        </w:rPr>
        <w:t>、基金资产总值：指基金拥有的各类有价证券、银行存款本息、基金应收申购款及其他资产的价值总和</w:t>
      </w:r>
    </w:p>
    <w:p w14:paraId="505384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w:t>
      </w:r>
      <w:r>
        <w:rPr>
          <w:rFonts w:ascii="宋体" w:hAnsi="宋体"/>
          <w:sz w:val="24"/>
        </w:rPr>
        <w:t>、基金资产净值：指基金资产总值减去基金负债后的价值</w:t>
      </w:r>
    </w:p>
    <w:p w14:paraId="2EFC07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w:t>
      </w:r>
      <w:r>
        <w:rPr>
          <w:rFonts w:ascii="宋体" w:hAnsi="宋体"/>
          <w:sz w:val="24"/>
        </w:rPr>
        <w:t>、基金份</w:t>
      </w:r>
      <w:r>
        <w:rPr>
          <w:rFonts w:ascii="宋体" w:hAnsi="宋体"/>
          <w:sz w:val="24"/>
        </w:rPr>
        <w:t>额净值：指计算日基金资产净值除以计算日基金份额总数</w:t>
      </w:r>
    </w:p>
    <w:p w14:paraId="15B13F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w:t>
      </w:r>
      <w:r>
        <w:rPr>
          <w:rFonts w:ascii="宋体" w:hAnsi="宋体"/>
          <w:sz w:val="24"/>
        </w:rPr>
        <w:t>、基金资产估值：指计算评估基金资产和负债的价值，以确定基金资产净值和基金份额净值的过程</w:t>
      </w:r>
    </w:p>
    <w:p w14:paraId="4BE127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w:t>
      </w:r>
      <w:r>
        <w:rPr>
          <w:rFonts w:ascii="宋体" w:hAnsi="宋体"/>
          <w:sz w:val="24"/>
        </w:rPr>
        <w:t>、指定媒介：指中国证监会指定的用以进行信息披露的全国性报刊及指定互联网网站（包括基金管理人网站、基金托管人网站、中国证监会基金电子披露网站）等媒介</w:t>
      </w:r>
    </w:p>
    <w:p w14:paraId="17C184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w:t>
      </w:r>
      <w:r>
        <w:rPr>
          <w:rFonts w:ascii="宋体" w:hAnsi="宋体"/>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sz w:val="24"/>
        </w:rPr>
        <w:t>个交易日以上的逆回购与银行定期存款（含协议约定有条件提前支取的银行存款）、资产支持证券、因发行人债</w:t>
      </w:r>
      <w:r>
        <w:rPr>
          <w:rFonts w:ascii="宋体" w:hAnsi="宋体"/>
          <w:sz w:val="24"/>
        </w:rPr>
        <w:t>务违约无法进行转让或交易的债券等</w:t>
      </w:r>
    </w:p>
    <w:p w14:paraId="75FE20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w:t>
      </w:r>
      <w:r>
        <w:rPr>
          <w:rFonts w:ascii="宋体" w:hAnsi="宋体"/>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127DE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w:t>
      </w:r>
      <w:r>
        <w:rPr>
          <w:rFonts w:ascii="宋体" w:hAnsi="宋体"/>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18788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w:t>
      </w:r>
      <w:r>
        <w:rPr>
          <w:rFonts w:ascii="宋体" w:hAnsi="宋体"/>
          <w:sz w:val="24"/>
        </w:rPr>
        <w:t>、特定资产：包括：</w:t>
      </w:r>
      <w:r>
        <w:rPr>
          <w:rFonts w:ascii="宋体" w:hAnsi="宋体"/>
          <w:sz w:val="24"/>
        </w:rPr>
        <w:t>（一）无可参考的活跃市场价格且采用估值技术仍导致公允价值存在重大不确定性的资产；（二）按摊余成本计量且计提资产减值准备仍导致资产价值存在重大不确定性的资产；（三）其他资产价值存在重大不确定性的</w:t>
      </w:r>
      <w:r>
        <w:rPr>
          <w:rFonts w:ascii="宋体" w:hAnsi="宋体"/>
          <w:sz w:val="24"/>
        </w:rPr>
        <w:lastRenderedPageBreak/>
        <w:t>资产</w:t>
      </w:r>
    </w:p>
    <w:p w14:paraId="279760E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w:t>
      </w:r>
      <w:r>
        <w:rPr>
          <w:rFonts w:ascii="宋体" w:hAnsi="宋体"/>
          <w:sz w:val="24"/>
        </w:rPr>
        <w:t>、不可抗力：指基金合同当事人不能预见、不能避免且不能克服的客观事件</w:t>
      </w:r>
    </w:p>
    <w:p w14:paraId="756E8976"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C9C6F80" w14:textId="77777777" w:rsidR="002411B3" w:rsidRDefault="00BA6CE7">
      <w:pPr>
        <w:pStyle w:val="1"/>
        <w:snapToGrid w:val="0"/>
        <w:spacing w:beforeLines="0" w:before="240" w:after="240"/>
        <w:rPr>
          <w:rFonts w:ascii="宋体" w:hAnsi="宋体"/>
          <w:szCs w:val="30"/>
        </w:rPr>
      </w:pPr>
      <w:bookmarkStart w:id="6" w:name="_Toc202521651"/>
      <w:r>
        <w:rPr>
          <w:rFonts w:ascii="Times New Roman" w:hAnsi="Times New Roman"/>
          <w:sz w:val="30"/>
        </w:rPr>
        <w:lastRenderedPageBreak/>
        <w:t>三、基金管理人</w:t>
      </w:r>
      <w:bookmarkEnd w:id="6"/>
    </w:p>
    <w:p w14:paraId="086E504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0B097D6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061D475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w:t>
      </w:r>
      <w:r>
        <w:rPr>
          <w:rFonts w:ascii="宋体" w:hAnsi="宋体"/>
          <w:sz w:val="24"/>
        </w:rPr>
        <w:t>(</w:t>
      </w:r>
      <w:r>
        <w:rPr>
          <w:rFonts w:ascii="宋体" w:hAnsi="宋体"/>
          <w:sz w:val="24"/>
        </w:rPr>
        <w:t>上海</w:t>
      </w:r>
      <w:r>
        <w:rPr>
          <w:rFonts w:ascii="宋体" w:hAnsi="宋体"/>
          <w:sz w:val="24"/>
        </w:rPr>
        <w:t>)</w:t>
      </w:r>
      <w:r>
        <w:rPr>
          <w:rFonts w:ascii="宋体" w:hAnsi="宋体"/>
          <w:sz w:val="24"/>
        </w:rPr>
        <w:t>自由贸易试验区银城中路</w:t>
      </w:r>
      <w:r>
        <w:rPr>
          <w:rFonts w:ascii="宋体" w:hAnsi="宋体"/>
          <w:sz w:val="24"/>
        </w:rPr>
        <w:t>188</w:t>
      </w:r>
      <w:r>
        <w:rPr>
          <w:rFonts w:ascii="宋体" w:hAnsi="宋体"/>
          <w:sz w:val="24"/>
        </w:rPr>
        <w:t>号交通银行大楼二层（裙）</w:t>
      </w:r>
    </w:p>
    <w:p w14:paraId="2C479E4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w:t>
      </w:r>
      <w:r>
        <w:rPr>
          <w:rFonts w:ascii="宋体" w:hAnsi="宋体"/>
          <w:sz w:val="24"/>
        </w:rPr>
        <w:t>8</w:t>
      </w:r>
      <w:r>
        <w:rPr>
          <w:rFonts w:ascii="宋体" w:hAnsi="宋体"/>
          <w:sz w:val="24"/>
        </w:rPr>
        <w:t>号国金中心二期</w:t>
      </w:r>
      <w:r>
        <w:rPr>
          <w:rFonts w:ascii="宋体" w:hAnsi="宋体"/>
          <w:sz w:val="24"/>
        </w:rPr>
        <w:t>21-22</w:t>
      </w:r>
      <w:r>
        <w:rPr>
          <w:rFonts w:ascii="宋体" w:hAnsi="宋体"/>
          <w:sz w:val="24"/>
        </w:rPr>
        <w:t>楼</w:t>
      </w:r>
    </w:p>
    <w:p w14:paraId="52905F1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w:t>
      </w:r>
      <w:r>
        <w:rPr>
          <w:rFonts w:ascii="宋体" w:hAnsi="宋体"/>
          <w:sz w:val="24"/>
        </w:rPr>
        <w:t>200120</w:t>
      </w:r>
    </w:p>
    <w:p w14:paraId="079DBA6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14:paraId="49048C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w:t>
      </w:r>
      <w:r>
        <w:rPr>
          <w:rFonts w:ascii="宋体" w:hAnsi="宋体"/>
          <w:sz w:val="24"/>
        </w:rPr>
        <w:t>2005</w:t>
      </w:r>
      <w:r>
        <w:rPr>
          <w:rFonts w:ascii="宋体" w:hAnsi="宋体"/>
          <w:sz w:val="24"/>
        </w:rPr>
        <w:t>年</w:t>
      </w:r>
      <w:r>
        <w:rPr>
          <w:rFonts w:ascii="宋体" w:hAnsi="宋体"/>
          <w:sz w:val="24"/>
        </w:rPr>
        <w:t>8</w:t>
      </w:r>
      <w:r>
        <w:rPr>
          <w:rFonts w:ascii="宋体" w:hAnsi="宋体"/>
          <w:sz w:val="24"/>
        </w:rPr>
        <w:t>月</w:t>
      </w:r>
      <w:r>
        <w:rPr>
          <w:rFonts w:ascii="宋体" w:hAnsi="宋体"/>
          <w:sz w:val="24"/>
        </w:rPr>
        <w:t>4</w:t>
      </w:r>
      <w:r>
        <w:rPr>
          <w:rFonts w:ascii="宋体" w:hAnsi="宋体"/>
          <w:sz w:val="24"/>
        </w:rPr>
        <w:t>日</w:t>
      </w:r>
    </w:p>
    <w:p w14:paraId="4E9D8B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r>
        <w:rPr>
          <w:rFonts w:ascii="宋体" w:hAnsi="宋体"/>
          <w:sz w:val="24"/>
        </w:rPr>
        <w:t>2</w:t>
      </w:r>
      <w:r>
        <w:rPr>
          <w:rFonts w:ascii="宋体" w:hAnsi="宋体"/>
          <w:sz w:val="24"/>
        </w:rPr>
        <w:t>亿元人民币</w:t>
      </w:r>
    </w:p>
    <w:p w14:paraId="0D0DC4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64275F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联系人：何佳妮</w:t>
      </w:r>
    </w:p>
    <w:p w14:paraId="5592E19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61055050</w:t>
      </w:r>
    </w:p>
    <w:p w14:paraId="7EE608F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61055034</w:t>
      </w:r>
    </w:p>
    <w:p w14:paraId="59F2F02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w:t>
      </w:r>
      <w:r>
        <w:rPr>
          <w:rFonts w:ascii="宋体" w:hAnsi="宋体"/>
          <w:sz w:val="24"/>
        </w:rPr>
        <w:t>“</w:t>
      </w:r>
      <w:r>
        <w:rPr>
          <w:rFonts w:ascii="宋体" w:hAnsi="宋体"/>
          <w:sz w:val="24"/>
        </w:rPr>
        <w:t>公司</w:t>
      </w:r>
      <w:r>
        <w:rPr>
          <w:rFonts w:ascii="宋体" w:hAnsi="宋体"/>
          <w:sz w:val="24"/>
        </w:rPr>
        <w:t>”</w:t>
      </w:r>
      <w:r>
        <w:rPr>
          <w:rFonts w:ascii="宋体" w:hAnsi="宋体"/>
          <w:sz w:val="24"/>
        </w:rPr>
        <w:t>）经中国证监会证监基金字</w:t>
      </w:r>
      <w:r>
        <w:rPr>
          <w:rFonts w:ascii="宋体" w:hAnsi="宋体"/>
          <w:sz w:val="24"/>
        </w:rPr>
        <w:t>[2005]128</w:t>
      </w:r>
      <w:r>
        <w:rPr>
          <w:rFonts w:ascii="宋体" w:hAnsi="宋体"/>
          <w:sz w:val="24"/>
        </w:rPr>
        <w:t>号文批准设立。公司股权结构如下：</w:t>
      </w:r>
    </w:p>
    <w:tbl>
      <w:tblPr>
        <w:tblW w:w="5000" w:type="pct"/>
        <w:tblCellMar>
          <w:left w:w="0" w:type="dxa"/>
          <w:right w:w="0" w:type="dxa"/>
        </w:tblCellMar>
        <w:tblLook w:val="04A0" w:firstRow="1" w:lastRow="0" w:firstColumn="1" w:lastColumn="0" w:noHBand="0" w:noVBand="1"/>
      </w:tblPr>
      <w:tblGrid>
        <w:gridCol w:w="2162"/>
        <w:gridCol w:w="6488"/>
      </w:tblGrid>
      <w:tr w:rsidR="002411B3" w14:paraId="3133848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7F2FA5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14:paraId="1F7A484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2411B3" w14:paraId="10598E2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06F82B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70F55F6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2411B3" w14:paraId="7054E49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AEDD0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0D617F1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2411B3" w14:paraId="6F71E07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3D1D21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23758B6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7EBCD3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2D191D7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、基金管理人董事会成员</w:t>
      </w:r>
    </w:p>
    <w:p w14:paraId="378BC65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14:paraId="0844608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袁庆伟女士，董事，总经理，硕士。历任交通银行乌鲁木齐分行财务会计处副</w:t>
      </w:r>
      <w:r>
        <w:rPr>
          <w:rFonts w:ascii="宋体" w:hAnsi="宋体"/>
          <w:sz w:val="24"/>
        </w:rPr>
        <w:lastRenderedPageBreak/>
        <w:t>处长、会计结算部高级经理，交通银行总行资产托管业务中心（资产托管部）副总裁、总裁，交通银行总行金融机构部总经理、资产管理业务中心总裁等职务。</w:t>
      </w:r>
    </w:p>
    <w:p w14:paraId="4237F6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夏华龙先生，董事，博士，现任</w:t>
      </w:r>
      <w:r>
        <w:rPr>
          <w:rFonts w:ascii="宋体" w:hAnsi="宋体"/>
          <w:sz w:val="24"/>
        </w:rPr>
        <w:t>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780AD0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14:paraId="51E0414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w:t>
      </w:r>
      <w:r>
        <w:rPr>
          <w:rFonts w:ascii="宋体" w:hAnsi="宋体"/>
          <w:sz w:val="24"/>
        </w:rPr>
        <w:t>Chris Durack</w:t>
      </w:r>
      <w:r>
        <w:rPr>
          <w:rFonts w:ascii="宋体" w:hAnsi="宋体"/>
          <w:sz w:val="24"/>
        </w:rPr>
        <w:t>）先生，董事，硕士。现任施罗德投资亚太区行政总裁。历任施罗德投</w:t>
      </w:r>
      <w:r>
        <w:rPr>
          <w:rFonts w:ascii="宋体" w:hAnsi="宋体"/>
          <w:sz w:val="24"/>
        </w:rPr>
        <w:t>资澳大利亚董事兼产品及分销主管、香港行政总裁兼亚太区机构业务主管、澳大利亚行政总裁兼亚太区联席主管等职。</w:t>
      </w:r>
    </w:p>
    <w:p w14:paraId="233459C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w:t>
      </w:r>
      <w:r>
        <w:rPr>
          <w:rFonts w:ascii="宋体" w:hAnsi="宋体"/>
          <w:sz w:val="24"/>
        </w:rPr>
        <w:t>(CFA)</w:t>
      </w:r>
      <w:r>
        <w:rPr>
          <w:rFonts w:ascii="宋体" w:hAnsi="宋体"/>
          <w:sz w:val="24"/>
        </w:rPr>
        <w:t>持证人。现任施罗德投资管理</w:t>
      </w:r>
      <w:r>
        <w:rPr>
          <w:rFonts w:ascii="宋体" w:hAnsi="宋体"/>
          <w:sz w:val="24"/>
        </w:rPr>
        <w:t>(</w:t>
      </w:r>
      <w:r>
        <w:rPr>
          <w:rFonts w:ascii="宋体" w:hAnsi="宋体"/>
          <w:sz w:val="24"/>
        </w:rPr>
        <w:t>香港</w:t>
      </w:r>
      <w:r>
        <w:rPr>
          <w:rFonts w:ascii="宋体" w:hAnsi="宋体"/>
          <w:sz w:val="24"/>
        </w:rPr>
        <w:t>)</w:t>
      </w:r>
      <w:r>
        <w:rPr>
          <w:rFonts w:ascii="宋体" w:hAnsi="宋体"/>
          <w:sz w:val="24"/>
        </w:rPr>
        <w:t>有限公司亚洲投资风险主管。历任渣打银行（香港）交易风险监控，华宝兴业基金管理有限公司风险管理部总经理，法国安盛投资管理（香港）有限公司亚洲风险经理等职。</w:t>
      </w:r>
    </w:p>
    <w:p w14:paraId="2A6497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r>
        <w:rPr>
          <w:rFonts w:ascii="宋体" w:hAnsi="宋体"/>
          <w:sz w:val="24"/>
        </w:rPr>
        <w:t>。</w:t>
      </w:r>
    </w:p>
    <w:p w14:paraId="70115D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653CE6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6C70C3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、基金管理人高级管理人员</w:t>
      </w:r>
    </w:p>
    <w:p w14:paraId="3D019B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袁庆伟女士，总经理。简历同上。</w:t>
      </w:r>
    </w:p>
    <w:p w14:paraId="01B9086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w:t>
      </w:r>
      <w:r>
        <w:rPr>
          <w:rFonts w:ascii="宋体" w:hAnsi="宋体"/>
          <w:sz w:val="24"/>
        </w:rPr>
        <w:lastRenderedPageBreak/>
        <w:t>证券有限责任公司综合发展部高级经理、投资银行部项目经理，银河基金管理有限公司监察部总监，交银施罗德基金管理有限公司监察稽核部总经理、监察风控副总监、投资运营总监。</w:t>
      </w:r>
    </w:p>
    <w:p w14:paraId="32850AC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14:paraId="34FB2B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周云康先生，首席信息官，硕士。历任交通银行柳州分行电脑中心科员、软件开发科长、</w:t>
      </w:r>
      <w:r>
        <w:rPr>
          <w:rFonts w:ascii="宋体" w:hAnsi="宋体"/>
          <w:sz w:val="24"/>
        </w:rPr>
        <w:t>副经理、经理；交通银行总行信息技术部（电脑部）主管、副处长；交通银行总行软件开发中心副高级经理、高级经理；交通银行总行金融科技部高级经理；交通银行总行营运与渠道部副总经理。</w:t>
      </w:r>
    </w:p>
    <w:p w14:paraId="22B5D34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、本基金基金经理</w:t>
      </w:r>
    </w:p>
    <w:p w14:paraId="3477B6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连端清先生</w:t>
      </w:r>
      <w:r>
        <w:rPr>
          <w:rFonts w:ascii="宋体" w:hAnsi="宋体"/>
          <w:sz w:val="24"/>
        </w:rPr>
        <w:t>:</w:t>
      </w:r>
      <w:r>
        <w:rPr>
          <w:rFonts w:ascii="宋体" w:hAnsi="宋体"/>
          <w:sz w:val="24"/>
        </w:rPr>
        <w:t>基金经理。复旦大学经济学博士，</w:t>
      </w:r>
      <w:r>
        <w:rPr>
          <w:rFonts w:ascii="宋体" w:hAnsi="宋体"/>
          <w:sz w:val="24"/>
        </w:rPr>
        <w:t>16</w:t>
      </w:r>
      <w:r>
        <w:rPr>
          <w:rFonts w:ascii="宋体" w:hAnsi="宋体"/>
          <w:sz w:val="24"/>
        </w:rPr>
        <w:t>年证券投资相关从业经验。</w:t>
      </w:r>
      <w:r>
        <w:rPr>
          <w:rFonts w:ascii="宋体" w:hAnsi="宋体"/>
          <w:sz w:val="24"/>
        </w:rPr>
        <w:t>2009</w:t>
      </w:r>
      <w:r>
        <w:rPr>
          <w:rFonts w:ascii="宋体" w:hAnsi="宋体"/>
          <w:sz w:val="24"/>
        </w:rPr>
        <w:t>年至</w:t>
      </w:r>
      <w:r>
        <w:rPr>
          <w:rFonts w:ascii="宋体" w:hAnsi="宋体"/>
          <w:sz w:val="24"/>
        </w:rPr>
        <w:t>2011</w:t>
      </w:r>
      <w:r>
        <w:rPr>
          <w:rFonts w:ascii="宋体" w:hAnsi="宋体"/>
          <w:sz w:val="24"/>
        </w:rPr>
        <w:t>年于交通银行总行金融市场部任职，</w:t>
      </w:r>
      <w:r>
        <w:rPr>
          <w:rFonts w:ascii="宋体" w:hAnsi="宋体"/>
          <w:sz w:val="24"/>
        </w:rPr>
        <w:t>2011</w:t>
      </w:r>
      <w:r>
        <w:rPr>
          <w:rFonts w:ascii="宋体" w:hAnsi="宋体"/>
          <w:sz w:val="24"/>
        </w:rPr>
        <w:t>年至</w:t>
      </w:r>
      <w:r>
        <w:rPr>
          <w:rFonts w:ascii="宋体" w:hAnsi="宋体"/>
          <w:sz w:val="24"/>
        </w:rPr>
        <w:t>2013</w:t>
      </w:r>
      <w:r>
        <w:rPr>
          <w:rFonts w:ascii="宋体" w:hAnsi="宋体"/>
          <w:sz w:val="24"/>
        </w:rPr>
        <w:t>年任湘财证券研究所研究员，</w:t>
      </w:r>
      <w:r>
        <w:rPr>
          <w:rFonts w:ascii="宋体" w:hAnsi="宋体"/>
          <w:sz w:val="24"/>
        </w:rPr>
        <w:t>2013</w:t>
      </w:r>
      <w:r>
        <w:rPr>
          <w:rFonts w:ascii="宋体" w:hAnsi="宋体"/>
          <w:sz w:val="24"/>
        </w:rPr>
        <w:t>年至</w:t>
      </w:r>
      <w:r>
        <w:rPr>
          <w:rFonts w:ascii="宋体" w:hAnsi="宋体"/>
          <w:sz w:val="24"/>
        </w:rPr>
        <w:t>2015</w:t>
      </w:r>
      <w:r>
        <w:rPr>
          <w:rFonts w:ascii="宋体" w:hAnsi="宋体"/>
          <w:sz w:val="24"/>
        </w:rPr>
        <w:t>年任中航信托资产管理部投资经理。</w:t>
      </w:r>
      <w:r>
        <w:rPr>
          <w:rFonts w:ascii="宋体" w:hAnsi="宋体"/>
          <w:sz w:val="24"/>
        </w:rPr>
        <w:t>2015</w:t>
      </w:r>
      <w:r>
        <w:rPr>
          <w:rFonts w:ascii="宋体" w:hAnsi="宋体"/>
          <w:sz w:val="24"/>
        </w:rPr>
        <w:t>年加入交银施罗德基金管理有限公司，曾任固定收益部基金经理，现任混合资产投资部基金经理。曾任交银施罗德丰盈收益债券型证券投资基金</w:t>
      </w:r>
      <w:r>
        <w:rPr>
          <w:rFonts w:ascii="宋体" w:hAnsi="宋体"/>
          <w:sz w:val="24"/>
        </w:rPr>
        <w:t>(2015</w:t>
      </w:r>
      <w:r>
        <w:rPr>
          <w:rFonts w:ascii="宋体" w:hAnsi="宋体"/>
          <w:sz w:val="24"/>
        </w:rPr>
        <w:t>年</w:t>
      </w:r>
      <w:r>
        <w:rPr>
          <w:rFonts w:ascii="宋体" w:hAnsi="宋体"/>
          <w:sz w:val="24"/>
        </w:rPr>
        <w:t>08</w:t>
      </w:r>
      <w:r>
        <w:rPr>
          <w:rFonts w:ascii="宋体" w:hAnsi="宋体"/>
          <w:sz w:val="24"/>
        </w:rPr>
        <w:t>月</w:t>
      </w:r>
      <w:r>
        <w:rPr>
          <w:rFonts w:ascii="宋体" w:hAnsi="宋体"/>
          <w:sz w:val="24"/>
        </w:rPr>
        <w:t>04</w:t>
      </w:r>
      <w:r>
        <w:rPr>
          <w:rFonts w:ascii="宋体" w:hAnsi="宋体"/>
          <w:sz w:val="24"/>
        </w:rPr>
        <w:t>日至</w:t>
      </w:r>
      <w:r>
        <w:rPr>
          <w:rFonts w:ascii="宋体" w:hAnsi="宋体"/>
          <w:sz w:val="24"/>
        </w:rPr>
        <w:t>2024</w:t>
      </w:r>
      <w:r>
        <w:rPr>
          <w:rFonts w:ascii="宋体" w:hAnsi="宋体"/>
          <w:sz w:val="24"/>
        </w:rPr>
        <w:t>年</w:t>
      </w:r>
      <w:r>
        <w:rPr>
          <w:rFonts w:ascii="宋体" w:hAnsi="宋体"/>
          <w:sz w:val="24"/>
        </w:rPr>
        <w:t>12</w:t>
      </w:r>
      <w:r>
        <w:rPr>
          <w:rFonts w:ascii="宋体" w:hAnsi="宋体"/>
          <w:sz w:val="24"/>
        </w:rPr>
        <w:t>月</w:t>
      </w:r>
      <w:r>
        <w:rPr>
          <w:rFonts w:ascii="宋体" w:hAnsi="宋体"/>
          <w:sz w:val="24"/>
        </w:rPr>
        <w:t>03</w:t>
      </w:r>
      <w:r>
        <w:rPr>
          <w:rFonts w:ascii="宋体" w:hAnsi="宋体"/>
          <w:sz w:val="24"/>
        </w:rPr>
        <w:t>日</w:t>
      </w:r>
      <w:r>
        <w:rPr>
          <w:rFonts w:ascii="宋体" w:hAnsi="宋体"/>
          <w:sz w:val="24"/>
        </w:rPr>
        <w:t>)</w:t>
      </w:r>
      <w:r>
        <w:rPr>
          <w:rFonts w:ascii="宋体" w:hAnsi="宋体"/>
          <w:sz w:val="24"/>
        </w:rPr>
        <w:t>、交银施罗德现金宝货币市场基金</w:t>
      </w:r>
      <w:r>
        <w:rPr>
          <w:rFonts w:ascii="宋体" w:hAnsi="宋体"/>
          <w:sz w:val="24"/>
        </w:rPr>
        <w:t>(2015</w:t>
      </w:r>
      <w:r>
        <w:rPr>
          <w:rFonts w:ascii="宋体" w:hAnsi="宋体"/>
          <w:sz w:val="24"/>
        </w:rPr>
        <w:t>年</w:t>
      </w:r>
      <w:r>
        <w:rPr>
          <w:rFonts w:ascii="宋体" w:hAnsi="宋体"/>
          <w:sz w:val="24"/>
        </w:rPr>
        <w:t>08</w:t>
      </w:r>
      <w:r>
        <w:rPr>
          <w:rFonts w:ascii="宋体" w:hAnsi="宋体"/>
          <w:sz w:val="24"/>
        </w:rPr>
        <w:t>月</w:t>
      </w:r>
      <w:r>
        <w:rPr>
          <w:rFonts w:ascii="宋体" w:hAnsi="宋体"/>
          <w:sz w:val="24"/>
        </w:rPr>
        <w:t>04</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、交银施罗德丰润收益债券型证</w:t>
      </w:r>
      <w:r>
        <w:rPr>
          <w:rFonts w:ascii="宋体" w:hAnsi="宋体"/>
          <w:sz w:val="24"/>
        </w:rPr>
        <w:t>券投资基金</w:t>
      </w:r>
      <w:r>
        <w:rPr>
          <w:rFonts w:ascii="宋体" w:hAnsi="宋体"/>
          <w:sz w:val="24"/>
        </w:rPr>
        <w:t>(2015</w:t>
      </w:r>
      <w:r>
        <w:rPr>
          <w:rFonts w:ascii="宋体" w:hAnsi="宋体"/>
          <w:sz w:val="24"/>
        </w:rPr>
        <w:t>年</w:t>
      </w:r>
      <w:r>
        <w:rPr>
          <w:rFonts w:ascii="宋体" w:hAnsi="宋体"/>
          <w:sz w:val="24"/>
        </w:rPr>
        <w:t>08</w:t>
      </w:r>
      <w:r>
        <w:rPr>
          <w:rFonts w:ascii="宋体" w:hAnsi="宋体"/>
          <w:sz w:val="24"/>
        </w:rPr>
        <w:t>月</w:t>
      </w:r>
      <w:r>
        <w:rPr>
          <w:rFonts w:ascii="宋体" w:hAnsi="宋体"/>
          <w:sz w:val="24"/>
        </w:rPr>
        <w:t>04</w:t>
      </w:r>
      <w:r>
        <w:rPr>
          <w:rFonts w:ascii="宋体" w:hAnsi="宋体"/>
          <w:sz w:val="24"/>
        </w:rPr>
        <w:t>日至</w:t>
      </w:r>
      <w:r>
        <w:rPr>
          <w:rFonts w:ascii="宋体" w:hAnsi="宋体"/>
          <w:sz w:val="24"/>
        </w:rPr>
        <w:t>2020</w:t>
      </w:r>
      <w:r>
        <w:rPr>
          <w:rFonts w:ascii="宋体" w:hAnsi="宋体"/>
          <w:sz w:val="24"/>
        </w:rPr>
        <w:t>年</w:t>
      </w:r>
      <w:r>
        <w:rPr>
          <w:rFonts w:ascii="宋体" w:hAnsi="宋体"/>
          <w:sz w:val="24"/>
        </w:rPr>
        <w:t>08</w:t>
      </w:r>
      <w:r>
        <w:rPr>
          <w:rFonts w:ascii="宋体" w:hAnsi="宋体"/>
          <w:sz w:val="24"/>
        </w:rPr>
        <w:t>月</w:t>
      </w:r>
      <w:r>
        <w:rPr>
          <w:rFonts w:ascii="宋体" w:hAnsi="宋体"/>
          <w:sz w:val="24"/>
        </w:rPr>
        <w:t>21</w:t>
      </w:r>
      <w:r>
        <w:rPr>
          <w:rFonts w:ascii="宋体" w:hAnsi="宋体"/>
          <w:sz w:val="24"/>
        </w:rPr>
        <w:t>日</w:t>
      </w:r>
      <w:r>
        <w:rPr>
          <w:rFonts w:ascii="宋体" w:hAnsi="宋体"/>
          <w:sz w:val="24"/>
        </w:rPr>
        <w:t>)</w:t>
      </w:r>
      <w:r>
        <w:rPr>
          <w:rFonts w:ascii="宋体" w:hAnsi="宋体"/>
          <w:sz w:val="24"/>
        </w:rPr>
        <w:t>、交银施罗德货币市场证券投资基金</w:t>
      </w:r>
      <w:r>
        <w:rPr>
          <w:rFonts w:ascii="宋体" w:hAnsi="宋体"/>
          <w:sz w:val="24"/>
        </w:rPr>
        <w:t>(2015</w:t>
      </w:r>
      <w:r>
        <w:rPr>
          <w:rFonts w:ascii="宋体" w:hAnsi="宋体"/>
          <w:sz w:val="24"/>
        </w:rPr>
        <w:t>年</w:t>
      </w:r>
      <w:r>
        <w:rPr>
          <w:rFonts w:ascii="宋体" w:hAnsi="宋体"/>
          <w:sz w:val="24"/>
        </w:rPr>
        <w:t>10</w:t>
      </w:r>
      <w:r>
        <w:rPr>
          <w:rFonts w:ascii="宋体" w:hAnsi="宋体"/>
          <w:sz w:val="24"/>
        </w:rPr>
        <w:t>月</w:t>
      </w:r>
      <w:r>
        <w:rPr>
          <w:rFonts w:ascii="宋体" w:hAnsi="宋体"/>
          <w:sz w:val="24"/>
        </w:rPr>
        <w:t>16</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、交银施罗德理财</w:t>
      </w:r>
      <w:r>
        <w:rPr>
          <w:rFonts w:ascii="宋体" w:hAnsi="宋体"/>
          <w:sz w:val="24"/>
        </w:rPr>
        <w:t>60</w:t>
      </w:r>
      <w:r>
        <w:rPr>
          <w:rFonts w:ascii="宋体" w:hAnsi="宋体"/>
          <w:sz w:val="24"/>
        </w:rPr>
        <w:t>天债券型证券投资基金</w:t>
      </w:r>
      <w:r>
        <w:rPr>
          <w:rFonts w:ascii="宋体" w:hAnsi="宋体"/>
          <w:sz w:val="24"/>
        </w:rPr>
        <w:t>(2015</w:t>
      </w:r>
      <w:r>
        <w:rPr>
          <w:rFonts w:ascii="宋体" w:hAnsi="宋体"/>
          <w:sz w:val="24"/>
        </w:rPr>
        <w:t>年</w:t>
      </w:r>
      <w:r>
        <w:rPr>
          <w:rFonts w:ascii="宋体" w:hAnsi="宋体"/>
          <w:sz w:val="24"/>
        </w:rPr>
        <w:t>10</w:t>
      </w:r>
      <w:r>
        <w:rPr>
          <w:rFonts w:ascii="宋体" w:hAnsi="宋体"/>
          <w:sz w:val="24"/>
        </w:rPr>
        <w:t>月</w:t>
      </w:r>
      <w:r>
        <w:rPr>
          <w:rFonts w:ascii="宋体" w:hAnsi="宋体"/>
          <w:sz w:val="24"/>
        </w:rPr>
        <w:t>16</w:t>
      </w:r>
      <w:r>
        <w:rPr>
          <w:rFonts w:ascii="宋体" w:hAnsi="宋体"/>
          <w:sz w:val="24"/>
        </w:rPr>
        <w:t>日至</w:t>
      </w:r>
      <w:r>
        <w:rPr>
          <w:rFonts w:ascii="宋体" w:hAnsi="宋体"/>
          <w:sz w:val="24"/>
        </w:rPr>
        <w:t>2020</w:t>
      </w:r>
      <w:r>
        <w:rPr>
          <w:rFonts w:ascii="宋体" w:hAnsi="宋体"/>
          <w:sz w:val="24"/>
        </w:rPr>
        <w:t>年</w:t>
      </w:r>
      <w:r>
        <w:rPr>
          <w:rFonts w:ascii="宋体" w:hAnsi="宋体"/>
          <w:sz w:val="24"/>
        </w:rPr>
        <w:t>07</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、交银施罗德活期通货币市场基金</w:t>
      </w:r>
      <w:r>
        <w:rPr>
          <w:rFonts w:ascii="宋体" w:hAnsi="宋体"/>
          <w:sz w:val="24"/>
        </w:rPr>
        <w:t>(2016</w:t>
      </w:r>
      <w:r>
        <w:rPr>
          <w:rFonts w:ascii="宋体" w:hAnsi="宋体"/>
          <w:sz w:val="24"/>
        </w:rPr>
        <w:t>年</w:t>
      </w:r>
      <w:r>
        <w:rPr>
          <w:rFonts w:ascii="宋体" w:hAnsi="宋体"/>
          <w:sz w:val="24"/>
        </w:rPr>
        <w:t>07</w:t>
      </w:r>
      <w:r>
        <w:rPr>
          <w:rFonts w:ascii="宋体" w:hAnsi="宋体"/>
          <w:sz w:val="24"/>
        </w:rPr>
        <w:t>月</w:t>
      </w:r>
      <w:r>
        <w:rPr>
          <w:rFonts w:ascii="宋体" w:hAnsi="宋体"/>
          <w:sz w:val="24"/>
        </w:rPr>
        <w:t>27</w:t>
      </w:r>
      <w:r>
        <w:rPr>
          <w:rFonts w:ascii="宋体" w:hAnsi="宋体"/>
          <w:sz w:val="24"/>
        </w:rPr>
        <w:t>日至</w:t>
      </w:r>
      <w:r>
        <w:rPr>
          <w:rFonts w:ascii="宋体" w:hAnsi="宋体"/>
          <w:sz w:val="24"/>
        </w:rPr>
        <w:t>2024</w:t>
      </w:r>
      <w:r>
        <w:rPr>
          <w:rFonts w:ascii="宋体" w:hAnsi="宋体"/>
          <w:sz w:val="24"/>
        </w:rPr>
        <w:t>年</w:t>
      </w:r>
      <w:r>
        <w:rPr>
          <w:rFonts w:ascii="宋体" w:hAnsi="宋体"/>
          <w:sz w:val="24"/>
        </w:rPr>
        <w:t>04</w:t>
      </w:r>
      <w:r>
        <w:rPr>
          <w:rFonts w:ascii="宋体" w:hAnsi="宋体"/>
          <w:sz w:val="24"/>
        </w:rPr>
        <w:t>月</w:t>
      </w:r>
      <w:r>
        <w:rPr>
          <w:rFonts w:ascii="宋体" w:hAnsi="宋体"/>
          <w:sz w:val="24"/>
        </w:rPr>
        <w:t>26</w:t>
      </w:r>
      <w:r>
        <w:rPr>
          <w:rFonts w:ascii="宋体" w:hAnsi="宋体"/>
          <w:sz w:val="24"/>
        </w:rPr>
        <w:t>日</w:t>
      </w:r>
      <w:r>
        <w:rPr>
          <w:rFonts w:ascii="宋体" w:hAnsi="宋体"/>
          <w:sz w:val="24"/>
        </w:rPr>
        <w:t>)</w:t>
      </w:r>
      <w:r>
        <w:rPr>
          <w:rFonts w:ascii="宋体" w:hAnsi="宋体"/>
          <w:sz w:val="24"/>
        </w:rPr>
        <w:t>、交银施罗德天利宝货币市场基金</w:t>
      </w:r>
      <w:r>
        <w:rPr>
          <w:rFonts w:ascii="宋体" w:hAnsi="宋体"/>
          <w:sz w:val="24"/>
        </w:rPr>
        <w:t>(2016</w:t>
      </w:r>
      <w:r>
        <w:rPr>
          <w:rFonts w:ascii="宋体" w:hAnsi="宋体"/>
          <w:sz w:val="24"/>
        </w:rPr>
        <w:t>年</w:t>
      </w:r>
      <w:r>
        <w:rPr>
          <w:rFonts w:ascii="宋体" w:hAnsi="宋体"/>
          <w:sz w:val="24"/>
        </w:rPr>
        <w:t>10</w:t>
      </w:r>
      <w:r>
        <w:rPr>
          <w:rFonts w:ascii="宋体" w:hAnsi="宋体"/>
          <w:sz w:val="24"/>
        </w:rPr>
        <w:t>月</w:t>
      </w:r>
      <w:r>
        <w:rPr>
          <w:rFonts w:ascii="宋体" w:hAnsi="宋体"/>
          <w:sz w:val="24"/>
        </w:rPr>
        <w:t>19</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、交银施罗德裕隆纯债债券型证券投资基金</w:t>
      </w:r>
      <w:r>
        <w:rPr>
          <w:rFonts w:ascii="宋体" w:hAnsi="宋体"/>
          <w:sz w:val="24"/>
        </w:rPr>
        <w:t>(2016</w:t>
      </w:r>
      <w:r>
        <w:rPr>
          <w:rFonts w:ascii="宋体" w:hAnsi="宋体"/>
          <w:sz w:val="24"/>
        </w:rPr>
        <w:t>年</w:t>
      </w:r>
      <w:r>
        <w:rPr>
          <w:rFonts w:ascii="宋体" w:hAnsi="宋体"/>
          <w:sz w:val="24"/>
        </w:rPr>
        <w:t>11</w:t>
      </w:r>
      <w:r>
        <w:rPr>
          <w:rFonts w:ascii="宋体" w:hAnsi="宋体"/>
          <w:sz w:val="24"/>
        </w:rPr>
        <w:t>月</w:t>
      </w:r>
      <w:r>
        <w:rPr>
          <w:rFonts w:ascii="宋体" w:hAnsi="宋体"/>
          <w:sz w:val="24"/>
        </w:rPr>
        <w:t>28</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、交银施罗德天鑫宝货币市场基金</w:t>
      </w:r>
      <w:r>
        <w:rPr>
          <w:rFonts w:ascii="宋体" w:hAnsi="宋体"/>
          <w:sz w:val="24"/>
        </w:rPr>
        <w:t>(</w:t>
      </w:r>
      <w:r>
        <w:rPr>
          <w:rFonts w:ascii="宋体" w:hAnsi="宋体"/>
          <w:sz w:val="24"/>
        </w:rPr>
        <w:t>2016</w:t>
      </w:r>
      <w:r>
        <w:rPr>
          <w:rFonts w:ascii="宋体" w:hAnsi="宋体"/>
          <w:sz w:val="24"/>
        </w:rPr>
        <w:t>年</w:t>
      </w:r>
      <w:r>
        <w:rPr>
          <w:rFonts w:ascii="宋体" w:hAnsi="宋体"/>
          <w:sz w:val="24"/>
        </w:rPr>
        <w:t>12</w:t>
      </w:r>
      <w:r>
        <w:rPr>
          <w:rFonts w:ascii="宋体" w:hAnsi="宋体"/>
          <w:sz w:val="24"/>
        </w:rPr>
        <w:t>月</w:t>
      </w:r>
      <w:r>
        <w:rPr>
          <w:rFonts w:ascii="宋体" w:hAnsi="宋体"/>
          <w:sz w:val="24"/>
        </w:rPr>
        <w:t>07</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、交银施罗德天益宝货币市场基金</w:t>
      </w:r>
      <w:r>
        <w:rPr>
          <w:rFonts w:ascii="宋体" w:hAnsi="宋体"/>
          <w:sz w:val="24"/>
        </w:rPr>
        <w:t>(2016</w:t>
      </w:r>
      <w:r>
        <w:rPr>
          <w:rFonts w:ascii="宋体" w:hAnsi="宋体"/>
          <w:sz w:val="24"/>
        </w:rPr>
        <w:t>年</w:t>
      </w:r>
      <w:r>
        <w:rPr>
          <w:rFonts w:ascii="宋体" w:hAnsi="宋体"/>
          <w:sz w:val="24"/>
        </w:rPr>
        <w:t>12</w:t>
      </w:r>
      <w:r>
        <w:rPr>
          <w:rFonts w:ascii="宋体" w:hAnsi="宋体"/>
          <w:sz w:val="24"/>
        </w:rPr>
        <w:t>月</w:t>
      </w:r>
      <w:r>
        <w:rPr>
          <w:rFonts w:ascii="宋体" w:hAnsi="宋体"/>
          <w:sz w:val="24"/>
        </w:rPr>
        <w:t>20</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、交银施罗德境尚收益债券型证券投资基金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03</w:t>
      </w:r>
      <w:r>
        <w:rPr>
          <w:rFonts w:ascii="宋体" w:hAnsi="宋体"/>
          <w:sz w:val="24"/>
        </w:rPr>
        <w:t>日至</w:t>
      </w:r>
      <w:r>
        <w:rPr>
          <w:rFonts w:ascii="宋体" w:hAnsi="宋体"/>
          <w:sz w:val="24"/>
        </w:rPr>
        <w:t>2019</w:t>
      </w:r>
      <w:r>
        <w:rPr>
          <w:rFonts w:ascii="宋体" w:hAnsi="宋体"/>
          <w:sz w:val="24"/>
        </w:rPr>
        <w:t>年</w:t>
      </w:r>
      <w:r>
        <w:rPr>
          <w:rFonts w:ascii="宋体" w:hAnsi="宋体"/>
          <w:sz w:val="24"/>
        </w:rPr>
        <w:t>09</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、交银施罗德裕兴纯债债券型证券投资基金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日至</w:t>
      </w:r>
      <w:r>
        <w:rPr>
          <w:rFonts w:ascii="宋体" w:hAnsi="宋体"/>
          <w:sz w:val="24"/>
        </w:rPr>
        <w:t>2018</w:t>
      </w:r>
      <w:r>
        <w:rPr>
          <w:rFonts w:ascii="宋体" w:hAnsi="宋体"/>
          <w:sz w:val="24"/>
        </w:rPr>
        <w:t>年</w:t>
      </w:r>
      <w:r>
        <w:rPr>
          <w:rFonts w:ascii="宋体" w:hAnsi="宋体"/>
          <w:sz w:val="24"/>
        </w:rPr>
        <w:t>08</w:t>
      </w:r>
      <w:r>
        <w:rPr>
          <w:rFonts w:ascii="宋体" w:hAnsi="宋体"/>
          <w:sz w:val="24"/>
        </w:rPr>
        <w:t>月</w:t>
      </w:r>
      <w:r>
        <w:rPr>
          <w:rFonts w:ascii="宋体" w:hAnsi="宋体"/>
          <w:sz w:val="24"/>
        </w:rPr>
        <w:t>23</w:t>
      </w:r>
      <w:r>
        <w:rPr>
          <w:rFonts w:ascii="宋体" w:hAnsi="宋体"/>
          <w:sz w:val="24"/>
        </w:rPr>
        <w:t>日</w:t>
      </w:r>
      <w:r>
        <w:rPr>
          <w:rFonts w:ascii="宋体" w:hAnsi="宋体"/>
          <w:sz w:val="24"/>
        </w:rPr>
        <w:t>)</w:t>
      </w:r>
      <w:r>
        <w:rPr>
          <w:rFonts w:ascii="宋体" w:hAnsi="宋体"/>
          <w:sz w:val="24"/>
        </w:rPr>
        <w:t>、交银施罗德裕盈纯债债券型证券投资基金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日至</w:t>
      </w:r>
      <w:r>
        <w:rPr>
          <w:rFonts w:ascii="宋体" w:hAnsi="宋体"/>
          <w:sz w:val="24"/>
        </w:rPr>
        <w:t>2022</w:t>
      </w:r>
      <w:r>
        <w:rPr>
          <w:rFonts w:ascii="宋体" w:hAnsi="宋体"/>
          <w:sz w:val="24"/>
        </w:rPr>
        <w:t>年</w:t>
      </w:r>
      <w:r>
        <w:rPr>
          <w:rFonts w:ascii="宋体" w:hAnsi="宋体"/>
          <w:sz w:val="24"/>
        </w:rPr>
        <w:t>11</w:t>
      </w:r>
      <w:r>
        <w:rPr>
          <w:rFonts w:ascii="宋体" w:hAnsi="宋体"/>
          <w:sz w:val="24"/>
        </w:rPr>
        <w:t>月</w:t>
      </w:r>
      <w:r>
        <w:rPr>
          <w:rFonts w:ascii="宋体" w:hAnsi="宋体"/>
          <w:sz w:val="24"/>
        </w:rPr>
        <w:t>19</w:t>
      </w:r>
      <w:r>
        <w:rPr>
          <w:rFonts w:ascii="宋体" w:hAnsi="宋体"/>
          <w:sz w:val="24"/>
        </w:rPr>
        <w:t>日</w:t>
      </w:r>
      <w:r>
        <w:rPr>
          <w:rFonts w:ascii="宋体" w:hAnsi="宋体"/>
          <w:sz w:val="24"/>
        </w:rPr>
        <w:t>)</w:t>
      </w:r>
      <w:r>
        <w:rPr>
          <w:rFonts w:ascii="宋体" w:hAnsi="宋体"/>
          <w:sz w:val="24"/>
        </w:rPr>
        <w:t>、交银施罗德天运宝货币市场基金</w:t>
      </w:r>
      <w:r>
        <w:rPr>
          <w:rFonts w:ascii="宋体" w:hAnsi="宋体"/>
          <w:sz w:val="24"/>
        </w:rPr>
        <w:t>(2017</w:t>
      </w:r>
      <w:r>
        <w:rPr>
          <w:rFonts w:ascii="宋体" w:hAnsi="宋体"/>
          <w:sz w:val="24"/>
        </w:rPr>
        <w:t>年</w:t>
      </w:r>
      <w:r>
        <w:rPr>
          <w:rFonts w:ascii="宋体" w:hAnsi="宋体"/>
          <w:sz w:val="24"/>
        </w:rPr>
        <w:t>12</w:t>
      </w:r>
      <w:r>
        <w:rPr>
          <w:rFonts w:ascii="宋体" w:hAnsi="宋体"/>
          <w:sz w:val="24"/>
        </w:rPr>
        <w:t>月</w:t>
      </w:r>
      <w:r>
        <w:rPr>
          <w:rFonts w:ascii="宋体" w:hAnsi="宋体"/>
          <w:sz w:val="24"/>
        </w:rPr>
        <w:t>29</w:t>
      </w:r>
      <w:r>
        <w:rPr>
          <w:rFonts w:ascii="宋体" w:hAnsi="宋体"/>
          <w:sz w:val="24"/>
        </w:rPr>
        <w:t>日至</w:t>
      </w:r>
      <w:r>
        <w:rPr>
          <w:rFonts w:ascii="宋体" w:hAnsi="宋体"/>
          <w:sz w:val="24"/>
        </w:rPr>
        <w:t>2019</w:t>
      </w:r>
      <w:r>
        <w:rPr>
          <w:rFonts w:ascii="宋体" w:hAnsi="宋体"/>
          <w:sz w:val="24"/>
        </w:rPr>
        <w:t>年</w:t>
      </w:r>
      <w:r>
        <w:rPr>
          <w:rFonts w:ascii="宋体" w:hAnsi="宋体"/>
          <w:sz w:val="24"/>
        </w:rPr>
        <w:t>08</w:t>
      </w:r>
      <w:r>
        <w:rPr>
          <w:rFonts w:ascii="宋体" w:hAnsi="宋体"/>
          <w:sz w:val="24"/>
        </w:rPr>
        <w:t>月</w:t>
      </w:r>
      <w:r>
        <w:rPr>
          <w:rFonts w:ascii="宋体" w:hAnsi="宋体"/>
          <w:sz w:val="24"/>
        </w:rPr>
        <w:t>02</w:t>
      </w:r>
      <w:r>
        <w:rPr>
          <w:rFonts w:ascii="宋体" w:hAnsi="宋体"/>
          <w:sz w:val="24"/>
        </w:rPr>
        <w:t>日</w:t>
      </w:r>
      <w:r>
        <w:rPr>
          <w:rFonts w:ascii="宋体" w:hAnsi="宋体"/>
          <w:sz w:val="24"/>
        </w:rPr>
        <w:t>)</w:t>
      </w:r>
      <w:r>
        <w:rPr>
          <w:rFonts w:ascii="宋体" w:hAnsi="宋体"/>
          <w:sz w:val="24"/>
        </w:rPr>
        <w:t>的基金经理。现任交银施罗德裕利纯债债券型</w:t>
      </w:r>
      <w:r>
        <w:rPr>
          <w:rFonts w:ascii="宋体" w:hAnsi="宋体"/>
          <w:sz w:val="24"/>
        </w:rPr>
        <w:t>证券投资基金</w:t>
      </w:r>
      <w:r>
        <w:rPr>
          <w:rFonts w:ascii="宋体" w:hAnsi="宋体"/>
          <w:sz w:val="24"/>
        </w:rPr>
        <w:t>(2017</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日至今</w:t>
      </w:r>
      <w:r>
        <w:rPr>
          <w:rFonts w:ascii="宋体" w:hAnsi="宋体"/>
          <w:sz w:val="24"/>
        </w:rPr>
        <w:t>)</w:t>
      </w:r>
      <w:r>
        <w:rPr>
          <w:rFonts w:ascii="宋体" w:hAnsi="宋体"/>
          <w:sz w:val="24"/>
        </w:rPr>
        <w:t>、交银施罗德裕惠纯债债券型证券投资基金</w:t>
      </w:r>
      <w:r>
        <w:rPr>
          <w:rFonts w:ascii="宋体" w:hAnsi="宋体"/>
          <w:sz w:val="24"/>
        </w:rPr>
        <w:t>(2020</w:t>
      </w:r>
      <w:r>
        <w:rPr>
          <w:rFonts w:ascii="宋体" w:hAnsi="宋体"/>
          <w:sz w:val="24"/>
        </w:rPr>
        <w:t>年</w:t>
      </w:r>
      <w:r>
        <w:rPr>
          <w:rFonts w:ascii="宋体" w:hAnsi="宋体"/>
          <w:sz w:val="24"/>
        </w:rPr>
        <w:t>07</w:t>
      </w:r>
      <w:r>
        <w:rPr>
          <w:rFonts w:ascii="宋体" w:hAnsi="宋体"/>
          <w:sz w:val="24"/>
        </w:rPr>
        <w:t>月</w:t>
      </w:r>
      <w:r>
        <w:rPr>
          <w:rFonts w:ascii="宋体" w:hAnsi="宋体"/>
          <w:sz w:val="24"/>
        </w:rPr>
        <w:t>28</w:t>
      </w:r>
      <w:r>
        <w:rPr>
          <w:rFonts w:ascii="宋体" w:hAnsi="宋体"/>
          <w:sz w:val="24"/>
        </w:rPr>
        <w:t>日至今</w:t>
      </w:r>
      <w:r>
        <w:rPr>
          <w:rFonts w:ascii="宋体" w:hAnsi="宋体"/>
          <w:sz w:val="24"/>
        </w:rPr>
        <w:t>)</w:t>
      </w:r>
      <w:r>
        <w:rPr>
          <w:rFonts w:ascii="宋体" w:hAnsi="宋体"/>
          <w:sz w:val="24"/>
        </w:rPr>
        <w:t>、交银施</w:t>
      </w:r>
      <w:r>
        <w:rPr>
          <w:rFonts w:ascii="宋体" w:hAnsi="宋体"/>
          <w:sz w:val="24"/>
        </w:rPr>
        <w:lastRenderedPageBreak/>
        <w:t>罗德中高等级信用债债券型证券投资基金</w:t>
      </w:r>
      <w:r>
        <w:rPr>
          <w:rFonts w:ascii="宋体" w:hAnsi="宋体"/>
          <w:sz w:val="24"/>
        </w:rPr>
        <w:t>(2022</w:t>
      </w:r>
      <w:r>
        <w:rPr>
          <w:rFonts w:ascii="宋体" w:hAnsi="宋体"/>
          <w:sz w:val="24"/>
        </w:rPr>
        <w:t>年</w:t>
      </w:r>
      <w:r>
        <w:rPr>
          <w:rFonts w:ascii="宋体" w:hAnsi="宋体"/>
          <w:sz w:val="24"/>
        </w:rPr>
        <w:t>07</w:t>
      </w:r>
      <w:r>
        <w:rPr>
          <w:rFonts w:ascii="宋体" w:hAnsi="宋体"/>
          <w:sz w:val="24"/>
        </w:rPr>
        <w:t>月</w:t>
      </w:r>
      <w:r>
        <w:rPr>
          <w:rFonts w:ascii="宋体" w:hAnsi="宋体"/>
          <w:sz w:val="24"/>
        </w:rPr>
        <w:t>06</w:t>
      </w:r>
      <w:r>
        <w:rPr>
          <w:rFonts w:ascii="宋体" w:hAnsi="宋体"/>
          <w:sz w:val="24"/>
        </w:rPr>
        <w:t>日至今</w:t>
      </w:r>
      <w:r>
        <w:rPr>
          <w:rFonts w:ascii="宋体" w:hAnsi="宋体"/>
          <w:sz w:val="24"/>
        </w:rPr>
        <w:t>)</w:t>
      </w:r>
      <w:r>
        <w:rPr>
          <w:rFonts w:ascii="宋体" w:hAnsi="宋体"/>
          <w:sz w:val="24"/>
        </w:rPr>
        <w:t>的基金经理。</w:t>
      </w:r>
    </w:p>
    <w:p w14:paraId="6FAD503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14:paraId="66EAEAC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林洪钧先生</w:t>
      </w:r>
      <w:r>
        <w:rPr>
          <w:rFonts w:ascii="宋体" w:hAnsi="宋体"/>
          <w:sz w:val="24"/>
        </w:rPr>
        <w:t>(2012</w:t>
      </w:r>
      <w:r>
        <w:rPr>
          <w:rFonts w:ascii="宋体" w:hAnsi="宋体"/>
          <w:sz w:val="24"/>
        </w:rPr>
        <w:t>年</w:t>
      </w:r>
      <w:r>
        <w:rPr>
          <w:rFonts w:ascii="宋体" w:hAnsi="宋体"/>
          <w:sz w:val="24"/>
        </w:rPr>
        <w:t>11</w:t>
      </w:r>
      <w:r>
        <w:rPr>
          <w:rFonts w:ascii="宋体" w:hAnsi="宋体"/>
          <w:sz w:val="24"/>
        </w:rPr>
        <w:t>月</w:t>
      </w:r>
      <w:r>
        <w:rPr>
          <w:rFonts w:ascii="宋体" w:hAnsi="宋体"/>
          <w:sz w:val="24"/>
        </w:rPr>
        <w:t>05</w:t>
      </w:r>
      <w:r>
        <w:rPr>
          <w:rFonts w:ascii="宋体" w:hAnsi="宋体"/>
          <w:sz w:val="24"/>
        </w:rPr>
        <w:t>日至</w:t>
      </w:r>
      <w:r>
        <w:rPr>
          <w:rFonts w:ascii="宋体" w:hAnsi="宋体"/>
          <w:sz w:val="24"/>
        </w:rPr>
        <w:t>2015</w:t>
      </w:r>
      <w:r>
        <w:rPr>
          <w:rFonts w:ascii="宋体" w:hAnsi="宋体"/>
          <w:sz w:val="24"/>
        </w:rPr>
        <w:t>年</w:t>
      </w:r>
      <w:r>
        <w:rPr>
          <w:rFonts w:ascii="宋体" w:hAnsi="宋体"/>
          <w:sz w:val="24"/>
        </w:rPr>
        <w:t>06</w:t>
      </w:r>
      <w:r>
        <w:rPr>
          <w:rFonts w:ascii="宋体" w:hAnsi="宋体"/>
          <w:sz w:val="24"/>
        </w:rPr>
        <w:t>月</w:t>
      </w:r>
      <w:r>
        <w:rPr>
          <w:rFonts w:ascii="宋体" w:hAnsi="宋体"/>
          <w:sz w:val="24"/>
        </w:rPr>
        <w:t>01</w:t>
      </w:r>
      <w:r>
        <w:rPr>
          <w:rFonts w:ascii="宋体" w:hAnsi="宋体"/>
          <w:sz w:val="24"/>
        </w:rPr>
        <w:t>日</w:t>
      </w:r>
      <w:r>
        <w:rPr>
          <w:rFonts w:ascii="宋体" w:hAnsi="宋体"/>
          <w:sz w:val="24"/>
        </w:rPr>
        <w:t>)</w:t>
      </w:r>
      <w:r>
        <w:rPr>
          <w:rFonts w:ascii="宋体" w:hAnsi="宋体"/>
          <w:sz w:val="24"/>
        </w:rPr>
        <w:t>；</w:t>
      </w:r>
    </w:p>
    <w:p w14:paraId="5D3CBE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黄莹洁女士</w:t>
      </w:r>
      <w:r>
        <w:rPr>
          <w:rFonts w:ascii="宋体" w:hAnsi="宋体"/>
          <w:sz w:val="24"/>
        </w:rPr>
        <w:t>(2020</w:t>
      </w:r>
      <w:r>
        <w:rPr>
          <w:rFonts w:ascii="宋体" w:hAnsi="宋体"/>
          <w:sz w:val="24"/>
        </w:rPr>
        <w:t>年</w:t>
      </w:r>
      <w:r>
        <w:rPr>
          <w:rFonts w:ascii="宋体" w:hAnsi="宋体"/>
          <w:sz w:val="24"/>
        </w:rPr>
        <w:t>07</w:t>
      </w:r>
      <w:r>
        <w:rPr>
          <w:rFonts w:ascii="宋体" w:hAnsi="宋体"/>
          <w:sz w:val="24"/>
        </w:rPr>
        <w:t>月</w:t>
      </w:r>
      <w:r>
        <w:rPr>
          <w:rFonts w:ascii="宋体" w:hAnsi="宋体"/>
          <w:sz w:val="24"/>
        </w:rPr>
        <w:t>28</w:t>
      </w:r>
      <w:r>
        <w:rPr>
          <w:rFonts w:ascii="宋体" w:hAnsi="宋体"/>
          <w:sz w:val="24"/>
        </w:rPr>
        <w:t>日至</w:t>
      </w:r>
      <w:r>
        <w:rPr>
          <w:rFonts w:ascii="宋体" w:hAnsi="宋体"/>
          <w:sz w:val="24"/>
        </w:rPr>
        <w:t>2022</w:t>
      </w:r>
      <w:r>
        <w:rPr>
          <w:rFonts w:ascii="宋体" w:hAnsi="宋体"/>
          <w:sz w:val="24"/>
        </w:rPr>
        <w:t>年</w:t>
      </w:r>
      <w:r>
        <w:rPr>
          <w:rFonts w:ascii="宋体" w:hAnsi="宋体"/>
          <w:sz w:val="24"/>
        </w:rPr>
        <w:t>07</w:t>
      </w:r>
      <w:r>
        <w:rPr>
          <w:rFonts w:ascii="宋体" w:hAnsi="宋体"/>
          <w:sz w:val="24"/>
        </w:rPr>
        <w:t>月</w:t>
      </w:r>
      <w:r>
        <w:rPr>
          <w:rFonts w:ascii="宋体" w:hAnsi="宋体"/>
          <w:sz w:val="24"/>
        </w:rPr>
        <w:t>05</w:t>
      </w:r>
      <w:r>
        <w:rPr>
          <w:rFonts w:ascii="宋体" w:hAnsi="宋体"/>
          <w:sz w:val="24"/>
        </w:rPr>
        <w:t>日</w:t>
      </w:r>
      <w:r>
        <w:rPr>
          <w:rFonts w:ascii="宋体" w:hAnsi="宋体"/>
          <w:sz w:val="24"/>
        </w:rPr>
        <w:t>)</w:t>
      </w:r>
      <w:r>
        <w:rPr>
          <w:rFonts w:ascii="宋体" w:hAnsi="宋体"/>
          <w:sz w:val="24"/>
        </w:rPr>
        <w:t>。</w:t>
      </w:r>
    </w:p>
    <w:p w14:paraId="7E5FBD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、投资决策委员会成员</w:t>
      </w:r>
    </w:p>
    <w:p w14:paraId="3A03BD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委员：袁庆伟（总经理）</w:t>
      </w:r>
    </w:p>
    <w:p w14:paraId="3C87A9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14:paraId="687537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于海颖（混合资产投资总监兼多元资产管理总监、基金经理）</w:t>
      </w:r>
    </w:p>
    <w:p w14:paraId="73E90B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14:paraId="4E6B41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马韬（研究总监）</w:t>
      </w:r>
    </w:p>
    <w:p w14:paraId="03C1C1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w:t>
      </w:r>
    </w:p>
    <w:p w14:paraId="3B3239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10E77F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、依法募集资金，办理或者委托经中国证监会认定的其他机构办理基金份额的发售、申购、赎回和登记事宜；</w:t>
      </w:r>
    </w:p>
    <w:p w14:paraId="1C2423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、办理基金备案手续；</w:t>
      </w:r>
    </w:p>
    <w:p w14:paraId="315FD12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、对所管理的不同基金财产分别管理、分别记账，进行证券投资；</w:t>
      </w:r>
    </w:p>
    <w:p w14:paraId="43E6AA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、按照基金合同的约定确定基金收益分配方案，及时向基金份额持有人分配收益；</w:t>
      </w:r>
    </w:p>
    <w:p w14:paraId="0333E6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、进行基金会计核算并编制基金财务会计报告；</w:t>
      </w:r>
    </w:p>
    <w:p w14:paraId="792CD5C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、编制季度报告、中期报告和年度报告；</w:t>
      </w:r>
    </w:p>
    <w:p w14:paraId="4811E1D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、计算并公告基金净值信息，确定基金份额</w:t>
      </w:r>
      <w:r>
        <w:rPr>
          <w:rFonts w:ascii="宋体" w:hAnsi="宋体"/>
          <w:sz w:val="24"/>
        </w:rPr>
        <w:t>申购、赎回价格；</w:t>
      </w:r>
    </w:p>
    <w:p w14:paraId="711144C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、办理与基金财产管理业务活动有关的信息披露事项；</w:t>
      </w:r>
    </w:p>
    <w:p w14:paraId="3E885A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、按照规定召集基金份额持有人大会；</w:t>
      </w:r>
    </w:p>
    <w:p w14:paraId="0FF3F4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、保存基金财产管理业务活动的记录、账册、报表和其他相关资料；</w:t>
      </w:r>
    </w:p>
    <w:p w14:paraId="1CFD602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、以基金管理人名义，代表基金份额持有人利益行使诉讼权利或者实施其他法律行为；</w:t>
      </w:r>
    </w:p>
    <w:p w14:paraId="3F5F1F9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、有关法律法规和中国证监会规定的其他职责。</w:t>
      </w:r>
    </w:p>
    <w:p w14:paraId="3F4CF3F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06386FC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、基金管理人承诺不从事违反《中华人民共和国证券法》的行为，并承诺建立健全内部控制制度，采取有效措施，防止违反《中华人民共和国证券法》行为的</w:t>
      </w:r>
      <w:r>
        <w:rPr>
          <w:rFonts w:ascii="宋体" w:hAnsi="宋体"/>
          <w:sz w:val="24"/>
        </w:rPr>
        <w:lastRenderedPageBreak/>
        <w:t>发生；</w:t>
      </w:r>
    </w:p>
    <w:p w14:paraId="3E25C4D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、基金管理人承诺不从事违反《基金法》的行为，并承诺建立健全内部风险控制制度，采取有效措施，防止下列行为的发生：</w:t>
      </w:r>
    </w:p>
    <w:p w14:paraId="49FE57B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）将基金管理人固有财产或者他人财产混同于基金财产从事证券投资；</w:t>
      </w:r>
    </w:p>
    <w:p w14:paraId="3D788E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）不公平地对待管理的不同基金财产；</w:t>
      </w:r>
    </w:p>
    <w:p w14:paraId="54ED8E5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）利用基金财产为基金份额持有人以外的第三人牟取利益；</w:t>
      </w:r>
    </w:p>
    <w:p w14:paraId="387B6E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）向基金份额持有人违规承诺收益或者承担损失；</w:t>
      </w:r>
    </w:p>
    <w:p w14:paraId="7240D5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）侵占、挪用基金财产；</w:t>
      </w:r>
    </w:p>
    <w:p w14:paraId="3C4E6A2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）法律、行政法规和中国证监会禁止的其他行为。</w:t>
      </w:r>
    </w:p>
    <w:p w14:paraId="274C31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、基金管理人承诺严格遵守基金合同，并承诺建立健全内部控制制度，采取有效措施，防止违反基金合同行为的发生</w:t>
      </w:r>
      <w:r>
        <w:rPr>
          <w:rFonts w:ascii="宋体" w:hAnsi="宋体"/>
          <w:sz w:val="24"/>
        </w:rPr>
        <w:t>；</w:t>
      </w:r>
    </w:p>
    <w:p w14:paraId="310ACD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、基金管理人承诺加强人员管理，强化职业操守，督促和约束员工遵守国家有关法律法规及行业规范，诚实信用、勤勉尽责；</w:t>
      </w:r>
    </w:p>
    <w:p w14:paraId="0671F2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、基金管理人承诺不从事其他法规规定禁止从事的行为。</w:t>
      </w:r>
    </w:p>
    <w:p w14:paraId="5C7FBC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2B821D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、依照有关法律法规和基金合同的规定，本着谨慎的原则为基金份额持有人谋取最大利益；</w:t>
      </w:r>
    </w:p>
    <w:p w14:paraId="39B3F2A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、不利用职务之便为自己、受雇人或任何第三者谋取利益；</w:t>
      </w:r>
    </w:p>
    <w:p w14:paraId="476FC6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、不泄露在任职期间知悉的有关证券、基金的商业秘密，尚未依法公开的基金投资内容、基金投资计划等信息，或利用该信息从事或者明示、暗示他人从事相关的交易活动；</w:t>
      </w:r>
    </w:p>
    <w:p w14:paraId="261F2FA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、不以任何形式为其他组</w:t>
      </w:r>
      <w:r>
        <w:rPr>
          <w:rFonts w:ascii="宋体" w:hAnsi="宋体"/>
          <w:sz w:val="24"/>
        </w:rPr>
        <w:t>织或个人进行证券交易。</w:t>
      </w:r>
    </w:p>
    <w:p w14:paraId="1574365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2655A0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、风险管理的原则</w:t>
      </w:r>
    </w:p>
    <w:p w14:paraId="3DFCAE6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）全面性原则</w:t>
      </w:r>
    </w:p>
    <w:p w14:paraId="21BC02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14:paraId="44A5D6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）独立性原则</w:t>
      </w:r>
    </w:p>
    <w:p w14:paraId="2934FCE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14:paraId="70D6F9B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3</w:t>
      </w:r>
      <w:r>
        <w:rPr>
          <w:rFonts w:ascii="宋体" w:hAnsi="宋体"/>
          <w:sz w:val="24"/>
        </w:rPr>
        <w:t>）相互制约原则</w:t>
      </w:r>
    </w:p>
    <w:p w14:paraId="0236CC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0B4F4C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）定性和定量相结合原则</w:t>
      </w:r>
    </w:p>
    <w:p w14:paraId="7C43E3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5370C9A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、风险管理和内部风险控制体系结构</w:t>
      </w:r>
    </w:p>
    <w:p w14:paraId="28F3FE9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337A4C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）董事会</w:t>
      </w:r>
    </w:p>
    <w:p w14:paraId="75D4E6E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03ABB6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）监事会</w:t>
      </w:r>
    </w:p>
    <w:p w14:paraId="6D7A24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14:paraId="01E0287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）合规审核及风险管理委员会</w:t>
      </w:r>
    </w:p>
    <w:p w14:paraId="0F7C89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37C0AA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）风险控制委员会</w:t>
      </w:r>
    </w:p>
    <w:p w14:paraId="754ED7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6CB982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）督察长</w:t>
      </w:r>
    </w:p>
    <w:p w14:paraId="23CE71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w:t>
      </w:r>
      <w:r>
        <w:rPr>
          <w:rFonts w:ascii="宋体" w:hAnsi="宋体"/>
          <w:sz w:val="24"/>
        </w:rPr>
        <w:t>能；定期和不定期地向董事会报告公司内部控制执行情况。</w:t>
      </w:r>
    </w:p>
    <w:p w14:paraId="41EFF7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）风险管理部</w:t>
      </w:r>
    </w:p>
    <w:p w14:paraId="2DEA33F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w:t>
      </w:r>
      <w:r>
        <w:rPr>
          <w:rFonts w:ascii="宋体" w:hAnsi="宋体"/>
          <w:sz w:val="24"/>
        </w:rPr>
        <w:lastRenderedPageBreak/>
        <w:t>现业务目标。</w:t>
      </w:r>
    </w:p>
    <w:p w14:paraId="0CD780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）审计部</w:t>
      </w:r>
    </w:p>
    <w:p w14:paraId="4257D12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DFFB6F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）内控合规及法律事务部</w:t>
      </w:r>
    </w:p>
    <w:p w14:paraId="161BB8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406F3C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）业务部门</w:t>
      </w:r>
    </w:p>
    <w:p w14:paraId="066F278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14:paraId="714C23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、风险管理和内部风险控制的措施</w:t>
      </w:r>
    </w:p>
    <w:p w14:paraId="10F743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）建立内控体系，完善内控制度</w:t>
      </w:r>
    </w:p>
    <w:p w14:paraId="78F561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w:t>
      </w:r>
      <w:r>
        <w:rPr>
          <w:rFonts w:ascii="宋体" w:hAnsi="宋体"/>
          <w:sz w:val="24"/>
        </w:rPr>
        <w:t>通过高管人员关于内控的明确分工，确保各项业务活动有恰当的组织和授权，确保监察活动独立，并得到高管人员的支持，同时置备操作手册，并定期更新。</w:t>
      </w:r>
    </w:p>
    <w:p w14:paraId="7897BD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）建立相互分离、相互制衡的内控机制</w:t>
      </w:r>
    </w:p>
    <w:p w14:paraId="705587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1C4C21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）建立、健全岗位责任制</w:t>
      </w:r>
    </w:p>
    <w:p w14:paraId="2F9B0D1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6A51EA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）建立风险分类、识别、评估、报告、提示程序</w:t>
      </w:r>
    </w:p>
    <w:p w14:paraId="63906F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371338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）建立有效的内部监控系统</w:t>
      </w:r>
    </w:p>
    <w:p w14:paraId="776F4C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w:t>
      </w:r>
      <w:r>
        <w:rPr>
          <w:rFonts w:ascii="宋体" w:hAnsi="宋体"/>
          <w:sz w:val="24"/>
        </w:rPr>
        <w:lastRenderedPageBreak/>
        <w:t>出现的各种风险进行全面和实时的监控。</w:t>
      </w:r>
    </w:p>
    <w:p w14:paraId="03D1F6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）使用数量化的风险管理手段</w:t>
      </w:r>
    </w:p>
    <w:p w14:paraId="28E323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w:t>
      </w:r>
      <w:r>
        <w:rPr>
          <w:rFonts w:ascii="宋体" w:hAnsi="宋体"/>
          <w:sz w:val="24"/>
        </w:rPr>
        <w:t>地减少损失。</w:t>
      </w:r>
    </w:p>
    <w:p w14:paraId="2CCAF21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）提供足够的培训</w:t>
      </w:r>
    </w:p>
    <w:p w14:paraId="00B7030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07FCCC43"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834E536" w14:textId="77777777" w:rsidR="002411B3" w:rsidRDefault="00BA6CE7">
      <w:pPr>
        <w:pStyle w:val="1"/>
        <w:snapToGrid w:val="0"/>
        <w:spacing w:beforeLines="0" w:before="240" w:after="240"/>
        <w:rPr>
          <w:rFonts w:ascii="宋体" w:hAnsi="宋体"/>
          <w:szCs w:val="30"/>
        </w:rPr>
      </w:pPr>
      <w:bookmarkStart w:id="7" w:name="_Toc202521652"/>
      <w:r>
        <w:rPr>
          <w:rFonts w:ascii="Times New Roman" w:hAnsi="Times New Roman"/>
          <w:sz w:val="30"/>
        </w:rPr>
        <w:lastRenderedPageBreak/>
        <w:t>四、基金托管人</w:t>
      </w:r>
      <w:bookmarkEnd w:id="7"/>
    </w:p>
    <w:p w14:paraId="7049F07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（一）基金托管人情况</w:t>
      </w:r>
    </w:p>
    <w:p w14:paraId="5F99FA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、基本情况</w:t>
      </w:r>
    </w:p>
    <w:p w14:paraId="312BE1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名称：中国农业银行股份有限公司（简称中国农业银行）</w:t>
      </w:r>
    </w:p>
    <w:p w14:paraId="7B8380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w:t>
      </w:r>
      <w:r>
        <w:rPr>
          <w:rFonts w:ascii="宋体" w:hAnsi="宋体"/>
          <w:sz w:val="24"/>
        </w:rPr>
        <w:t>69</w:t>
      </w:r>
      <w:r>
        <w:rPr>
          <w:rFonts w:ascii="宋体" w:hAnsi="宋体"/>
          <w:sz w:val="24"/>
        </w:rPr>
        <w:t>号</w:t>
      </w:r>
    </w:p>
    <w:p w14:paraId="7EDF93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w:t>
      </w:r>
      <w:r>
        <w:rPr>
          <w:rFonts w:ascii="宋体" w:hAnsi="宋体"/>
          <w:sz w:val="24"/>
        </w:rPr>
        <w:t>28</w:t>
      </w:r>
      <w:r>
        <w:rPr>
          <w:rFonts w:ascii="宋体" w:hAnsi="宋体"/>
          <w:sz w:val="24"/>
        </w:rPr>
        <w:t>号凯晨世贸中心东座</w:t>
      </w:r>
    </w:p>
    <w:p w14:paraId="6220CB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法定代表人：谷澍</w:t>
      </w:r>
    </w:p>
    <w:p w14:paraId="1F3191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w:t>
      </w:r>
      <w:r>
        <w:rPr>
          <w:rFonts w:ascii="宋体" w:hAnsi="宋体"/>
          <w:sz w:val="24"/>
        </w:rPr>
        <w:t>2009</w:t>
      </w:r>
      <w:r>
        <w:rPr>
          <w:rFonts w:ascii="宋体" w:hAnsi="宋体"/>
          <w:sz w:val="24"/>
        </w:rPr>
        <w:t>年</w:t>
      </w:r>
      <w:r>
        <w:rPr>
          <w:rFonts w:ascii="宋体" w:hAnsi="宋体"/>
          <w:sz w:val="24"/>
        </w:rPr>
        <w:t>1</w:t>
      </w:r>
      <w:r>
        <w:rPr>
          <w:rFonts w:ascii="宋体" w:hAnsi="宋体"/>
          <w:sz w:val="24"/>
        </w:rPr>
        <w:t>月</w:t>
      </w:r>
      <w:r>
        <w:rPr>
          <w:rFonts w:ascii="宋体" w:hAnsi="宋体"/>
          <w:sz w:val="24"/>
        </w:rPr>
        <w:t>15</w:t>
      </w:r>
      <w:r>
        <w:rPr>
          <w:rFonts w:ascii="宋体" w:hAnsi="宋体"/>
          <w:sz w:val="24"/>
        </w:rPr>
        <w:t>日</w:t>
      </w:r>
    </w:p>
    <w:p w14:paraId="4BAA67F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批准设立机关和批准设立文号：中国银监会银监复</w:t>
      </w:r>
      <w:r>
        <w:rPr>
          <w:rFonts w:ascii="宋体" w:hAnsi="宋体"/>
          <w:sz w:val="24"/>
        </w:rPr>
        <w:t>[2009]13</w:t>
      </w:r>
      <w:r>
        <w:rPr>
          <w:rFonts w:ascii="宋体" w:hAnsi="宋体"/>
          <w:sz w:val="24"/>
        </w:rPr>
        <w:t>号</w:t>
      </w:r>
    </w:p>
    <w:p w14:paraId="6362D4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基金托管资格批文及文号：中国证监会证监基字</w:t>
      </w:r>
      <w:r>
        <w:rPr>
          <w:rFonts w:ascii="宋体" w:hAnsi="宋体"/>
          <w:sz w:val="24"/>
        </w:rPr>
        <w:t>[1998]23</w:t>
      </w:r>
      <w:r>
        <w:rPr>
          <w:rFonts w:ascii="宋体" w:hAnsi="宋体"/>
          <w:sz w:val="24"/>
        </w:rPr>
        <w:t>号</w:t>
      </w:r>
    </w:p>
    <w:p w14:paraId="6176A36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r>
        <w:rPr>
          <w:rFonts w:ascii="宋体" w:hAnsi="宋体"/>
          <w:sz w:val="24"/>
        </w:rPr>
        <w:t>34,998,303.4</w:t>
      </w:r>
      <w:r>
        <w:rPr>
          <w:rFonts w:ascii="宋体" w:hAnsi="宋体"/>
          <w:sz w:val="24"/>
        </w:rPr>
        <w:t>万元人民币</w:t>
      </w:r>
    </w:p>
    <w:p w14:paraId="1F685B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017F7B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w:t>
      </w:r>
      <w:r>
        <w:rPr>
          <w:rFonts w:ascii="宋体" w:hAnsi="宋体"/>
          <w:sz w:val="24"/>
        </w:rPr>
        <w:t>010-66060069</w:t>
      </w:r>
    </w:p>
    <w:p w14:paraId="12BB9F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010-68121816</w:t>
      </w:r>
    </w:p>
    <w:p w14:paraId="42D7BD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联系人：任航</w:t>
      </w:r>
    </w:p>
    <w:p w14:paraId="6988DA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中国农业银行股份有限公司是中国金融体系的重要组成部分</w:t>
      </w:r>
      <w:r>
        <w:rPr>
          <w:rFonts w:ascii="宋体" w:hAnsi="宋体"/>
          <w:sz w:val="24"/>
        </w:rPr>
        <w:t>,</w:t>
      </w:r>
      <w:r>
        <w:rPr>
          <w:rFonts w:ascii="宋体" w:hAnsi="宋体"/>
          <w:sz w:val="24"/>
        </w:rPr>
        <w:t>总行设在北京。经国务院批准，中国农业银行整体改制为中国农业银行股份有限公司并于</w:t>
      </w:r>
      <w:r>
        <w:rPr>
          <w:rFonts w:ascii="宋体" w:hAnsi="宋体"/>
          <w:sz w:val="24"/>
        </w:rPr>
        <w:t>2009</w:t>
      </w:r>
      <w:r>
        <w:rPr>
          <w:rFonts w:ascii="宋体" w:hAnsi="宋体"/>
          <w:sz w:val="24"/>
        </w:rPr>
        <w:t>年</w:t>
      </w:r>
      <w:r>
        <w:rPr>
          <w:rFonts w:ascii="宋体" w:hAnsi="宋体"/>
          <w:sz w:val="24"/>
        </w:rPr>
        <w:t>1</w:t>
      </w:r>
      <w:r>
        <w:rPr>
          <w:rFonts w:ascii="宋体" w:hAnsi="宋体"/>
          <w:sz w:val="24"/>
        </w:rPr>
        <w:t>月</w:t>
      </w:r>
      <w:r>
        <w:rPr>
          <w:rFonts w:ascii="宋体" w:hAnsi="宋体"/>
          <w:sz w:val="24"/>
        </w:rPr>
        <w:t>15</w:t>
      </w:r>
      <w:r>
        <w:rPr>
          <w:rFonts w:ascii="宋体" w:hAnsi="宋体"/>
          <w:sz w:val="24"/>
        </w:rPr>
        <w:t>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w:t>
      </w:r>
      <w:r>
        <w:rPr>
          <w:rFonts w:ascii="宋体" w:hAnsi="宋体"/>
          <w:sz w:val="24"/>
        </w:rPr>
        <w:t>行之一。在海外，中国农业银行同样通过自己的努力赢得了良好的信誉，每年位居《财富》世界</w:t>
      </w:r>
      <w:r>
        <w:rPr>
          <w:rFonts w:ascii="宋体" w:hAnsi="宋体"/>
          <w:sz w:val="24"/>
        </w:rPr>
        <w:t>500</w:t>
      </w:r>
      <w:r>
        <w:rPr>
          <w:rFonts w:ascii="宋体" w:hAnsi="宋体"/>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w:t>
      </w:r>
      <w:r>
        <w:rPr>
          <w:rFonts w:ascii="宋体" w:hAnsi="宋体"/>
          <w:sz w:val="24"/>
        </w:rPr>
        <w:t>“</w:t>
      </w:r>
      <w:r>
        <w:rPr>
          <w:rFonts w:ascii="宋体" w:hAnsi="宋体"/>
          <w:sz w:val="24"/>
        </w:rPr>
        <w:t>伴你成长</w:t>
      </w:r>
      <w:r>
        <w:rPr>
          <w:rFonts w:ascii="宋体" w:hAnsi="宋体"/>
          <w:sz w:val="24"/>
        </w:rPr>
        <w:t>”</w:t>
      </w:r>
      <w:r>
        <w:rPr>
          <w:rFonts w:ascii="宋体" w:hAnsi="宋体"/>
          <w:sz w:val="24"/>
        </w:rPr>
        <w:t>服务品牌，依托覆盖全国的分支机构、庞大的电子化网络和多元化的金融产品，致力为广大客户提供优质的金融服务，与广大客户共创价值、共同成长。</w:t>
      </w:r>
    </w:p>
    <w:p w14:paraId="422B12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中国农业银行是中国第一批开展托管业务的国内商业银行，经验丰富，服务优质，业绩突出，</w:t>
      </w:r>
      <w:r>
        <w:rPr>
          <w:rFonts w:ascii="宋体" w:hAnsi="宋体"/>
          <w:sz w:val="24"/>
        </w:rPr>
        <w:t>2004</w:t>
      </w:r>
      <w:r>
        <w:rPr>
          <w:rFonts w:ascii="宋体" w:hAnsi="宋体"/>
          <w:sz w:val="24"/>
        </w:rPr>
        <w:t>年被英国《全球托管人》评为中国</w:t>
      </w:r>
      <w:r>
        <w:rPr>
          <w:rFonts w:ascii="宋体" w:hAnsi="宋体"/>
          <w:sz w:val="24"/>
        </w:rPr>
        <w:t>“</w:t>
      </w:r>
      <w:r>
        <w:rPr>
          <w:rFonts w:ascii="宋体" w:hAnsi="宋体"/>
          <w:sz w:val="24"/>
        </w:rPr>
        <w:t>最佳托管银行</w:t>
      </w:r>
      <w:r>
        <w:rPr>
          <w:rFonts w:ascii="宋体" w:hAnsi="宋体"/>
          <w:sz w:val="24"/>
        </w:rPr>
        <w:t>”</w:t>
      </w:r>
      <w:r>
        <w:rPr>
          <w:rFonts w:ascii="宋体" w:hAnsi="宋体"/>
          <w:sz w:val="24"/>
        </w:rPr>
        <w:t>。</w:t>
      </w:r>
      <w:r>
        <w:rPr>
          <w:rFonts w:ascii="宋体" w:hAnsi="宋体"/>
          <w:sz w:val="24"/>
        </w:rPr>
        <w:t>2007</w:t>
      </w:r>
      <w:r>
        <w:rPr>
          <w:rFonts w:ascii="宋体" w:hAnsi="宋体"/>
          <w:sz w:val="24"/>
        </w:rPr>
        <w:t>年</w:t>
      </w:r>
      <w:r>
        <w:rPr>
          <w:rFonts w:ascii="宋体" w:hAnsi="宋体"/>
          <w:sz w:val="24"/>
        </w:rPr>
        <w:lastRenderedPageBreak/>
        <w:t>中国农业银行通过了美国</w:t>
      </w:r>
      <w:r>
        <w:rPr>
          <w:rFonts w:ascii="宋体" w:hAnsi="宋体"/>
          <w:sz w:val="24"/>
        </w:rPr>
        <w:t>SAS70</w:t>
      </w:r>
      <w:r>
        <w:rPr>
          <w:rFonts w:ascii="宋体" w:hAnsi="宋体"/>
          <w:sz w:val="24"/>
        </w:rPr>
        <w:t>内部控制审计，并获得无保留意见的</w:t>
      </w:r>
      <w:r>
        <w:rPr>
          <w:rFonts w:ascii="宋体" w:hAnsi="宋体"/>
          <w:sz w:val="24"/>
        </w:rPr>
        <w:t>SAS70</w:t>
      </w:r>
      <w:r>
        <w:rPr>
          <w:rFonts w:ascii="宋体" w:hAnsi="宋体"/>
          <w:sz w:val="24"/>
        </w:rPr>
        <w:t>审计报告。自</w:t>
      </w:r>
      <w:r>
        <w:rPr>
          <w:rFonts w:ascii="宋体" w:hAnsi="宋体"/>
          <w:sz w:val="24"/>
        </w:rPr>
        <w:t>2010</w:t>
      </w:r>
      <w:r>
        <w:rPr>
          <w:rFonts w:ascii="宋体" w:hAnsi="宋体"/>
          <w:sz w:val="24"/>
        </w:rPr>
        <w:t>年起中国农业银行连续通过托管业务国际内控标准（</w:t>
      </w:r>
      <w:r>
        <w:rPr>
          <w:rFonts w:ascii="宋体" w:hAnsi="宋体"/>
          <w:sz w:val="24"/>
        </w:rPr>
        <w:t>ISAE3402</w:t>
      </w:r>
      <w:r>
        <w:rPr>
          <w:rFonts w:ascii="宋体" w:hAnsi="宋体"/>
          <w:sz w:val="24"/>
        </w:rPr>
        <w:t>）认证，表明了独立公正第三方对中国农业银行托管服务运作流程的风险管理、内部控制的健全有效性的全面认可。中国农业银行着力加强能力建设，品牌声誉进一步提升，在</w:t>
      </w:r>
      <w:r>
        <w:rPr>
          <w:rFonts w:ascii="宋体" w:hAnsi="宋体"/>
          <w:sz w:val="24"/>
        </w:rPr>
        <w:t>2010</w:t>
      </w:r>
      <w:r>
        <w:rPr>
          <w:rFonts w:ascii="宋体" w:hAnsi="宋体"/>
          <w:sz w:val="24"/>
        </w:rPr>
        <w:t>年首届</w:t>
      </w:r>
      <w:r>
        <w:rPr>
          <w:rFonts w:ascii="宋体" w:hAnsi="宋体"/>
          <w:sz w:val="24"/>
        </w:rPr>
        <w:t>“‘</w:t>
      </w:r>
      <w:r>
        <w:rPr>
          <w:rFonts w:ascii="宋体" w:hAnsi="宋体"/>
          <w:sz w:val="24"/>
        </w:rPr>
        <w:t>金牌理财</w:t>
      </w:r>
      <w:r>
        <w:rPr>
          <w:rFonts w:ascii="宋体" w:hAnsi="宋体"/>
          <w:sz w:val="24"/>
        </w:rPr>
        <w:t>’TOP10</w:t>
      </w:r>
      <w:r>
        <w:rPr>
          <w:rFonts w:ascii="宋体" w:hAnsi="宋体"/>
          <w:sz w:val="24"/>
        </w:rPr>
        <w:t>颁奖盛典</w:t>
      </w:r>
      <w:r>
        <w:rPr>
          <w:rFonts w:ascii="宋体" w:hAnsi="宋体"/>
          <w:sz w:val="24"/>
        </w:rPr>
        <w:t>”</w:t>
      </w:r>
      <w:r>
        <w:rPr>
          <w:rFonts w:ascii="宋体" w:hAnsi="宋体"/>
          <w:sz w:val="24"/>
        </w:rPr>
        <w:t>中成绩</w:t>
      </w:r>
      <w:r>
        <w:rPr>
          <w:rFonts w:ascii="宋体" w:hAnsi="宋体"/>
          <w:sz w:val="24"/>
        </w:rPr>
        <w:t>突出，获</w:t>
      </w:r>
      <w:r>
        <w:rPr>
          <w:rFonts w:ascii="宋体" w:hAnsi="宋体"/>
          <w:sz w:val="24"/>
        </w:rPr>
        <w:t>“</w:t>
      </w:r>
      <w:r>
        <w:rPr>
          <w:rFonts w:ascii="宋体" w:hAnsi="宋体"/>
          <w:sz w:val="24"/>
        </w:rPr>
        <w:t>最佳托管银行</w:t>
      </w:r>
      <w:r>
        <w:rPr>
          <w:rFonts w:ascii="宋体" w:hAnsi="宋体"/>
          <w:sz w:val="24"/>
        </w:rPr>
        <w:t>”</w:t>
      </w:r>
      <w:r>
        <w:rPr>
          <w:rFonts w:ascii="宋体" w:hAnsi="宋体"/>
          <w:sz w:val="24"/>
        </w:rPr>
        <w:t>奖。</w:t>
      </w:r>
      <w:r>
        <w:rPr>
          <w:rFonts w:ascii="宋体" w:hAnsi="宋体"/>
          <w:sz w:val="24"/>
        </w:rPr>
        <w:t>2010</w:t>
      </w:r>
      <w:r>
        <w:rPr>
          <w:rFonts w:ascii="宋体" w:hAnsi="宋体"/>
          <w:sz w:val="24"/>
        </w:rPr>
        <w:t>年再次荣获《首席财务官》杂志颁发的</w:t>
      </w:r>
      <w:r>
        <w:rPr>
          <w:rFonts w:ascii="宋体" w:hAnsi="宋体"/>
          <w:sz w:val="24"/>
        </w:rPr>
        <w:t>“</w:t>
      </w:r>
      <w:r>
        <w:rPr>
          <w:rFonts w:ascii="宋体" w:hAnsi="宋体"/>
          <w:sz w:val="24"/>
        </w:rPr>
        <w:t>最佳资产托管奖</w:t>
      </w:r>
      <w:r>
        <w:rPr>
          <w:rFonts w:ascii="宋体" w:hAnsi="宋体"/>
          <w:sz w:val="24"/>
        </w:rPr>
        <w:t>”</w:t>
      </w:r>
      <w:r>
        <w:rPr>
          <w:rFonts w:ascii="宋体" w:hAnsi="宋体"/>
          <w:sz w:val="24"/>
        </w:rPr>
        <w:t>。</w:t>
      </w:r>
      <w:r>
        <w:rPr>
          <w:rFonts w:ascii="宋体" w:hAnsi="宋体"/>
          <w:sz w:val="24"/>
        </w:rPr>
        <w:t>2012</w:t>
      </w:r>
      <w:r>
        <w:rPr>
          <w:rFonts w:ascii="宋体" w:hAnsi="宋体"/>
          <w:sz w:val="24"/>
        </w:rPr>
        <w:t>年荣获第十届中国财经风云榜</w:t>
      </w:r>
      <w:r>
        <w:rPr>
          <w:rFonts w:ascii="宋体" w:hAnsi="宋体"/>
          <w:sz w:val="24"/>
        </w:rPr>
        <w:t>“</w:t>
      </w:r>
      <w:r>
        <w:rPr>
          <w:rFonts w:ascii="宋体" w:hAnsi="宋体"/>
          <w:sz w:val="24"/>
        </w:rPr>
        <w:t>最佳资产托管银行</w:t>
      </w:r>
      <w:r>
        <w:rPr>
          <w:rFonts w:ascii="宋体" w:hAnsi="宋体"/>
          <w:sz w:val="24"/>
        </w:rPr>
        <w:t>”</w:t>
      </w:r>
      <w:r>
        <w:rPr>
          <w:rFonts w:ascii="宋体" w:hAnsi="宋体"/>
          <w:sz w:val="24"/>
        </w:rPr>
        <w:t>称号；</w:t>
      </w:r>
      <w:r>
        <w:rPr>
          <w:rFonts w:ascii="宋体" w:hAnsi="宋体"/>
          <w:sz w:val="24"/>
        </w:rPr>
        <w:t>2013</w:t>
      </w:r>
      <w:r>
        <w:rPr>
          <w:rFonts w:ascii="宋体" w:hAnsi="宋体"/>
          <w:sz w:val="24"/>
        </w:rPr>
        <w:t>年至</w:t>
      </w:r>
      <w:r>
        <w:rPr>
          <w:rFonts w:ascii="宋体" w:hAnsi="宋体"/>
          <w:sz w:val="24"/>
        </w:rPr>
        <w:t>2017</w:t>
      </w:r>
      <w:r>
        <w:rPr>
          <w:rFonts w:ascii="宋体" w:hAnsi="宋体"/>
          <w:sz w:val="24"/>
        </w:rPr>
        <w:t>年连续荣获上海清算所授予的</w:t>
      </w:r>
      <w:r>
        <w:rPr>
          <w:rFonts w:ascii="宋体" w:hAnsi="宋体"/>
          <w:sz w:val="24"/>
        </w:rPr>
        <w:t>“</w:t>
      </w:r>
      <w:r>
        <w:rPr>
          <w:rFonts w:ascii="宋体" w:hAnsi="宋体"/>
          <w:sz w:val="24"/>
        </w:rPr>
        <w:t>托管银行优秀奖</w:t>
      </w:r>
      <w:r>
        <w:rPr>
          <w:rFonts w:ascii="宋体" w:hAnsi="宋体"/>
          <w:sz w:val="24"/>
        </w:rPr>
        <w:t>”</w:t>
      </w:r>
      <w:r>
        <w:rPr>
          <w:rFonts w:ascii="宋体" w:hAnsi="宋体"/>
          <w:sz w:val="24"/>
        </w:rPr>
        <w:t>和中央国债登记结算有限责任公司授予的</w:t>
      </w:r>
      <w:r>
        <w:rPr>
          <w:rFonts w:ascii="宋体" w:hAnsi="宋体"/>
          <w:sz w:val="24"/>
        </w:rPr>
        <w:t>“</w:t>
      </w:r>
      <w:r>
        <w:rPr>
          <w:rFonts w:ascii="宋体" w:hAnsi="宋体"/>
          <w:sz w:val="24"/>
        </w:rPr>
        <w:t>优秀托管机构奖</w:t>
      </w:r>
      <w:r>
        <w:rPr>
          <w:rFonts w:ascii="宋体" w:hAnsi="宋体"/>
          <w:sz w:val="24"/>
        </w:rPr>
        <w:t>”</w:t>
      </w:r>
      <w:r>
        <w:rPr>
          <w:rFonts w:ascii="宋体" w:hAnsi="宋体"/>
          <w:sz w:val="24"/>
        </w:rPr>
        <w:t>称号；</w:t>
      </w:r>
      <w:r>
        <w:rPr>
          <w:rFonts w:ascii="宋体" w:hAnsi="宋体"/>
          <w:sz w:val="24"/>
        </w:rPr>
        <w:t>2015</w:t>
      </w:r>
      <w:r>
        <w:rPr>
          <w:rFonts w:ascii="宋体" w:hAnsi="宋体"/>
          <w:sz w:val="24"/>
        </w:rPr>
        <w:t>年、</w:t>
      </w:r>
      <w:r>
        <w:rPr>
          <w:rFonts w:ascii="宋体" w:hAnsi="宋体"/>
          <w:sz w:val="24"/>
        </w:rPr>
        <w:t>2016</w:t>
      </w:r>
      <w:r>
        <w:rPr>
          <w:rFonts w:ascii="宋体" w:hAnsi="宋体"/>
          <w:sz w:val="24"/>
        </w:rPr>
        <w:t>年荣获中国银行业协会授予的</w:t>
      </w:r>
      <w:r>
        <w:rPr>
          <w:rFonts w:ascii="宋体" w:hAnsi="宋体"/>
          <w:sz w:val="24"/>
        </w:rPr>
        <w:t>“</w:t>
      </w:r>
      <w:r>
        <w:rPr>
          <w:rFonts w:ascii="宋体" w:hAnsi="宋体"/>
          <w:sz w:val="24"/>
        </w:rPr>
        <w:t>养老金业务最佳发展奖</w:t>
      </w:r>
      <w:r>
        <w:rPr>
          <w:rFonts w:ascii="宋体" w:hAnsi="宋体"/>
          <w:sz w:val="24"/>
        </w:rPr>
        <w:t>”</w:t>
      </w:r>
      <w:r>
        <w:rPr>
          <w:rFonts w:ascii="宋体" w:hAnsi="宋体"/>
          <w:sz w:val="24"/>
        </w:rPr>
        <w:t>称号；</w:t>
      </w:r>
      <w:r>
        <w:rPr>
          <w:rFonts w:ascii="宋体" w:hAnsi="宋体"/>
          <w:sz w:val="24"/>
        </w:rPr>
        <w:t>2018</w:t>
      </w:r>
      <w:r>
        <w:rPr>
          <w:rFonts w:ascii="宋体" w:hAnsi="宋体"/>
          <w:sz w:val="24"/>
        </w:rPr>
        <w:t>年荣获中国基金报授予的公募基金</w:t>
      </w:r>
      <w:r>
        <w:rPr>
          <w:rFonts w:ascii="宋体" w:hAnsi="宋体"/>
          <w:sz w:val="24"/>
        </w:rPr>
        <w:t>20</w:t>
      </w:r>
      <w:r>
        <w:rPr>
          <w:rFonts w:ascii="宋体" w:hAnsi="宋体"/>
          <w:sz w:val="24"/>
        </w:rPr>
        <w:t>年</w:t>
      </w:r>
      <w:r>
        <w:rPr>
          <w:rFonts w:ascii="宋体" w:hAnsi="宋体"/>
          <w:sz w:val="24"/>
        </w:rPr>
        <w:t>“</w:t>
      </w:r>
      <w:r>
        <w:rPr>
          <w:rFonts w:ascii="宋体" w:hAnsi="宋体"/>
          <w:sz w:val="24"/>
        </w:rPr>
        <w:t>最佳基金托管银行</w:t>
      </w:r>
      <w:r>
        <w:rPr>
          <w:rFonts w:ascii="宋体" w:hAnsi="宋体"/>
          <w:sz w:val="24"/>
        </w:rPr>
        <w:t>”</w:t>
      </w:r>
      <w:r>
        <w:rPr>
          <w:rFonts w:ascii="宋体" w:hAnsi="宋体"/>
          <w:sz w:val="24"/>
        </w:rPr>
        <w:t>奖；</w:t>
      </w:r>
      <w:r>
        <w:rPr>
          <w:rFonts w:ascii="宋体" w:hAnsi="宋体"/>
          <w:sz w:val="24"/>
        </w:rPr>
        <w:t>2019</w:t>
      </w:r>
      <w:r>
        <w:rPr>
          <w:rFonts w:ascii="宋体" w:hAnsi="宋体"/>
          <w:sz w:val="24"/>
        </w:rPr>
        <w:t>年荣获证券时报授予的</w:t>
      </w:r>
      <w:r>
        <w:rPr>
          <w:rFonts w:ascii="宋体" w:hAnsi="宋体"/>
          <w:sz w:val="24"/>
        </w:rPr>
        <w:t>“2019</w:t>
      </w:r>
      <w:r>
        <w:rPr>
          <w:rFonts w:ascii="宋体" w:hAnsi="宋体"/>
          <w:sz w:val="24"/>
        </w:rPr>
        <w:t>年度资产托管银行天玑奖</w:t>
      </w:r>
      <w:r>
        <w:rPr>
          <w:rFonts w:ascii="宋体" w:hAnsi="宋体"/>
          <w:sz w:val="24"/>
        </w:rPr>
        <w:t>”</w:t>
      </w:r>
      <w:r>
        <w:rPr>
          <w:rFonts w:ascii="宋体" w:hAnsi="宋体"/>
          <w:sz w:val="24"/>
        </w:rPr>
        <w:t>称号；</w:t>
      </w:r>
      <w:r>
        <w:rPr>
          <w:rFonts w:ascii="宋体" w:hAnsi="宋体"/>
          <w:sz w:val="24"/>
        </w:rPr>
        <w:t>2020</w:t>
      </w:r>
      <w:r>
        <w:rPr>
          <w:rFonts w:ascii="宋体" w:hAnsi="宋体"/>
          <w:sz w:val="24"/>
        </w:rPr>
        <w:t>年被美国《环球金融</w:t>
      </w:r>
      <w:r>
        <w:rPr>
          <w:rFonts w:ascii="宋体" w:hAnsi="宋体"/>
          <w:sz w:val="24"/>
        </w:rPr>
        <w:t>》评为中国</w:t>
      </w:r>
      <w:r>
        <w:rPr>
          <w:rFonts w:ascii="宋体" w:hAnsi="宋体"/>
          <w:sz w:val="24"/>
        </w:rPr>
        <w:t>“</w:t>
      </w:r>
      <w:r>
        <w:rPr>
          <w:rFonts w:ascii="宋体" w:hAnsi="宋体"/>
          <w:sz w:val="24"/>
        </w:rPr>
        <w:t>最佳托管银行</w:t>
      </w:r>
      <w:r>
        <w:rPr>
          <w:rFonts w:ascii="宋体" w:hAnsi="宋体"/>
          <w:sz w:val="24"/>
        </w:rPr>
        <w:t>”</w:t>
      </w:r>
      <w:r>
        <w:rPr>
          <w:rFonts w:ascii="宋体" w:hAnsi="宋体"/>
          <w:sz w:val="24"/>
        </w:rPr>
        <w:t>；</w:t>
      </w:r>
      <w:r>
        <w:rPr>
          <w:rFonts w:ascii="宋体" w:hAnsi="宋体"/>
          <w:sz w:val="24"/>
        </w:rPr>
        <w:t>2021</w:t>
      </w:r>
      <w:r>
        <w:rPr>
          <w:rFonts w:ascii="宋体" w:hAnsi="宋体"/>
          <w:sz w:val="24"/>
        </w:rPr>
        <w:t>年荣获全国银行间同业拆借中心首次设立的</w:t>
      </w:r>
      <w:r>
        <w:rPr>
          <w:rFonts w:ascii="宋体" w:hAnsi="宋体"/>
          <w:sz w:val="24"/>
        </w:rPr>
        <w:t>“</w:t>
      </w:r>
      <w:r>
        <w:rPr>
          <w:rFonts w:ascii="宋体" w:hAnsi="宋体"/>
          <w:sz w:val="24"/>
        </w:rPr>
        <w:t>银行间本币市场优秀托管行</w:t>
      </w:r>
      <w:r>
        <w:rPr>
          <w:rFonts w:ascii="宋体" w:hAnsi="宋体"/>
          <w:sz w:val="24"/>
        </w:rPr>
        <w:t>”</w:t>
      </w:r>
      <w:r>
        <w:rPr>
          <w:rFonts w:ascii="宋体" w:hAnsi="宋体"/>
          <w:sz w:val="24"/>
        </w:rPr>
        <w:t>奖；</w:t>
      </w:r>
      <w:r>
        <w:rPr>
          <w:rFonts w:ascii="宋体" w:hAnsi="宋体"/>
          <w:sz w:val="24"/>
        </w:rPr>
        <w:t>2022</w:t>
      </w:r>
      <w:r>
        <w:rPr>
          <w:rFonts w:ascii="宋体" w:hAnsi="宋体"/>
          <w:sz w:val="24"/>
        </w:rPr>
        <w:t>年在权威杂志《财资》年度评选中首次荣获</w:t>
      </w:r>
      <w:r>
        <w:rPr>
          <w:rFonts w:ascii="宋体" w:hAnsi="宋体"/>
          <w:sz w:val="24"/>
        </w:rPr>
        <w:t>“</w:t>
      </w:r>
      <w:r>
        <w:rPr>
          <w:rFonts w:ascii="宋体" w:hAnsi="宋体"/>
          <w:sz w:val="24"/>
        </w:rPr>
        <w:t>中国最佳保险托管银行</w:t>
      </w:r>
      <w:r>
        <w:rPr>
          <w:rFonts w:ascii="宋体" w:hAnsi="宋体"/>
          <w:sz w:val="24"/>
        </w:rPr>
        <w:t>”</w:t>
      </w:r>
      <w:r>
        <w:rPr>
          <w:rFonts w:ascii="宋体" w:hAnsi="宋体"/>
          <w:sz w:val="24"/>
        </w:rPr>
        <w:t>。</w:t>
      </w:r>
    </w:p>
    <w:p w14:paraId="098160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中国农业银行证券投资基金托管部于</w:t>
      </w:r>
      <w:r>
        <w:rPr>
          <w:rFonts w:ascii="宋体" w:hAnsi="宋体"/>
          <w:sz w:val="24"/>
        </w:rPr>
        <w:t>1998</w:t>
      </w:r>
      <w:r>
        <w:rPr>
          <w:rFonts w:ascii="宋体" w:hAnsi="宋体"/>
          <w:sz w:val="24"/>
        </w:rPr>
        <w:t>年</w:t>
      </w:r>
      <w:r>
        <w:rPr>
          <w:rFonts w:ascii="宋体" w:hAnsi="宋体"/>
          <w:sz w:val="24"/>
        </w:rPr>
        <w:t>5</w:t>
      </w:r>
      <w:r>
        <w:rPr>
          <w:rFonts w:ascii="宋体" w:hAnsi="宋体"/>
          <w:sz w:val="24"/>
        </w:rPr>
        <w:t>月经中国证监会和中国人民银行批准成立，</w:t>
      </w:r>
      <w:r>
        <w:rPr>
          <w:rFonts w:ascii="宋体" w:hAnsi="宋体"/>
          <w:sz w:val="24"/>
        </w:rPr>
        <w:t>2004</w:t>
      </w:r>
      <w:r>
        <w:rPr>
          <w:rFonts w:ascii="宋体" w:hAnsi="宋体"/>
          <w:sz w:val="24"/>
        </w:rPr>
        <w:t>年更名为中国农业银行托管业务部。目前内设风险合规部</w:t>
      </w:r>
      <w:r>
        <w:rPr>
          <w:rFonts w:ascii="宋体" w:hAnsi="宋体"/>
          <w:sz w:val="24"/>
        </w:rPr>
        <w:t>/</w:t>
      </w:r>
      <w:r>
        <w:rPr>
          <w:rFonts w:ascii="宋体" w:hAnsi="宋体"/>
          <w:sz w:val="24"/>
        </w:rPr>
        <w:t>综合管理部、业务管理部、客户一部、客户二部、客户三部、客户四部、系统与信息管理部、营运管理部、营运一部、营运二部，拥有先进的安全防范设施和基金托管业务系统。</w:t>
      </w:r>
    </w:p>
    <w:p w14:paraId="43531E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、主要人员情况</w:t>
      </w:r>
    </w:p>
    <w:p w14:paraId="66BA566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中国农业银行托</w:t>
      </w:r>
      <w:r>
        <w:rPr>
          <w:rFonts w:ascii="宋体" w:hAnsi="宋体"/>
          <w:sz w:val="24"/>
        </w:rPr>
        <w:t>管业务部现有员工</w:t>
      </w:r>
      <w:r>
        <w:rPr>
          <w:rFonts w:ascii="宋体" w:hAnsi="宋体"/>
          <w:sz w:val="24"/>
        </w:rPr>
        <w:t>302</w:t>
      </w:r>
      <w:r>
        <w:rPr>
          <w:rFonts w:ascii="宋体" w:hAnsi="宋体"/>
          <w:sz w:val="24"/>
        </w:rPr>
        <w:t>名，其中具有高级职称的专家</w:t>
      </w:r>
      <w:r>
        <w:rPr>
          <w:rFonts w:ascii="宋体" w:hAnsi="宋体"/>
          <w:sz w:val="24"/>
        </w:rPr>
        <w:t>60</w:t>
      </w:r>
      <w:r>
        <w:rPr>
          <w:rFonts w:ascii="宋体" w:hAnsi="宋体"/>
          <w:sz w:val="24"/>
        </w:rPr>
        <w:t>名，服务团队成员专业水平高、业务素质好、服务能力强，高级管理层均有</w:t>
      </w:r>
      <w:r>
        <w:rPr>
          <w:rFonts w:ascii="宋体" w:hAnsi="宋体"/>
          <w:sz w:val="24"/>
        </w:rPr>
        <w:t>20</w:t>
      </w:r>
      <w:r>
        <w:rPr>
          <w:rFonts w:ascii="宋体" w:hAnsi="宋体"/>
          <w:sz w:val="24"/>
        </w:rPr>
        <w:t>年以上金融从业经验和高级技术职称，精通国内外证券市场的运作。</w:t>
      </w:r>
    </w:p>
    <w:p w14:paraId="159293E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、基金托管业务经营情况</w:t>
      </w:r>
    </w:p>
    <w:p w14:paraId="333FD1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截止到</w:t>
      </w:r>
      <w:r>
        <w:rPr>
          <w:rFonts w:ascii="宋体" w:hAnsi="宋体"/>
          <w:sz w:val="24"/>
        </w:rPr>
        <w:t>2025</w:t>
      </w:r>
      <w:r>
        <w:rPr>
          <w:rFonts w:ascii="宋体" w:hAnsi="宋体"/>
          <w:sz w:val="24"/>
        </w:rPr>
        <w:t>年</w:t>
      </w:r>
      <w:r>
        <w:rPr>
          <w:rFonts w:ascii="宋体" w:hAnsi="宋体"/>
          <w:sz w:val="24"/>
        </w:rPr>
        <w:t>3</w:t>
      </w:r>
      <w:r>
        <w:rPr>
          <w:rFonts w:ascii="宋体" w:hAnsi="宋体"/>
          <w:sz w:val="24"/>
        </w:rPr>
        <w:t>月</w:t>
      </w:r>
      <w:r>
        <w:rPr>
          <w:rFonts w:ascii="宋体" w:hAnsi="宋体"/>
          <w:sz w:val="24"/>
        </w:rPr>
        <w:t>31</w:t>
      </w:r>
      <w:r>
        <w:rPr>
          <w:rFonts w:ascii="宋体" w:hAnsi="宋体"/>
          <w:sz w:val="24"/>
        </w:rPr>
        <w:t>日，中国农业银行托管的封闭式证券投资基金和开放式证券投资基金共</w:t>
      </w:r>
      <w:r>
        <w:rPr>
          <w:rFonts w:ascii="宋体" w:hAnsi="宋体"/>
          <w:sz w:val="24"/>
        </w:rPr>
        <w:t>934</w:t>
      </w:r>
      <w:r>
        <w:rPr>
          <w:rFonts w:ascii="宋体" w:hAnsi="宋体"/>
          <w:sz w:val="24"/>
        </w:rPr>
        <w:t>只。</w:t>
      </w:r>
    </w:p>
    <w:p w14:paraId="32425BB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（二）基金托管人的内部风险控制制度说明</w:t>
      </w:r>
    </w:p>
    <w:p w14:paraId="36C596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、内部控制目标</w:t>
      </w:r>
    </w:p>
    <w:p w14:paraId="55374B6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w:t>
      </w:r>
      <w:r>
        <w:rPr>
          <w:rFonts w:ascii="宋体" w:hAnsi="宋体"/>
          <w:sz w:val="24"/>
        </w:rPr>
        <w:lastRenderedPageBreak/>
        <w:t>整，确保</w:t>
      </w:r>
      <w:r>
        <w:rPr>
          <w:rFonts w:ascii="宋体" w:hAnsi="宋体"/>
          <w:sz w:val="24"/>
        </w:rPr>
        <w:t>有关信息的真实、准确、完整、及时，保护基金份额持有人的合法权益。</w:t>
      </w:r>
    </w:p>
    <w:p w14:paraId="455598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、内部控制组织结构</w:t>
      </w:r>
    </w:p>
    <w:p w14:paraId="7FCFC7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61223D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、内部控制制度及措施</w:t>
      </w:r>
    </w:p>
    <w:p w14:paraId="799096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w:t>
      </w:r>
      <w:r>
        <w:rPr>
          <w:rFonts w:ascii="宋体" w:hAnsi="宋体"/>
          <w:sz w:val="24"/>
        </w:rPr>
        <w:t>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3ADFE41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（三）基金托管人对基金管理人运作基金进行监督的方法和程序</w:t>
      </w:r>
    </w:p>
    <w:p w14:paraId="3A3F43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281978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w:t>
      </w:r>
      <w:r>
        <w:rPr>
          <w:rFonts w:ascii="宋体" w:hAnsi="宋体"/>
          <w:sz w:val="24"/>
        </w:rPr>
        <w:t>基金出现异常交易行为时，基金托管人应当针对不同情况进行以下方式的处理：</w:t>
      </w:r>
    </w:p>
    <w:p w14:paraId="74309C9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、电话提示。对媒体和舆论反映集中的问题，电话提示基金管理人；</w:t>
      </w:r>
    </w:p>
    <w:p w14:paraId="07F441B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、书面警示。对本基金投资比例接近超标、资金头寸不足等问题，以书面方式对基金管理人进行提示；</w:t>
      </w:r>
    </w:p>
    <w:p w14:paraId="408AFD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、书面报告。对投资比例超标、清算资金透支以及其他涉嫌违规交易等行为，书面提示有关基金管理人并报中国证监会。</w:t>
      </w:r>
    </w:p>
    <w:p w14:paraId="2F31AB2A"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F802647" w14:textId="77777777" w:rsidR="002411B3" w:rsidRDefault="00BA6CE7">
      <w:pPr>
        <w:pStyle w:val="1"/>
        <w:snapToGrid w:val="0"/>
        <w:spacing w:beforeLines="0" w:before="240" w:after="240"/>
        <w:rPr>
          <w:rFonts w:ascii="宋体" w:hAnsi="宋体"/>
          <w:szCs w:val="30"/>
        </w:rPr>
      </w:pPr>
      <w:bookmarkStart w:id="8" w:name="_Toc202521653"/>
      <w:r>
        <w:rPr>
          <w:rFonts w:ascii="Times New Roman" w:hAnsi="Times New Roman"/>
          <w:sz w:val="30"/>
        </w:rPr>
        <w:lastRenderedPageBreak/>
        <w:t>五、相关服务机构</w:t>
      </w:r>
      <w:bookmarkEnd w:id="8"/>
    </w:p>
    <w:p w14:paraId="124938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1DFED90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、直销机构</w:t>
      </w:r>
    </w:p>
    <w:p w14:paraId="54D867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w:t>
      </w:r>
      <w:r>
        <w:rPr>
          <w:rFonts w:ascii="宋体" w:hAnsi="宋体"/>
          <w:sz w:val="24"/>
        </w:rPr>
        <w:t>APP</w:t>
      </w:r>
      <w:r>
        <w:rPr>
          <w:rFonts w:ascii="宋体" w:hAnsi="宋体"/>
          <w:sz w:val="24"/>
        </w:rPr>
        <w:t>，下同）。</w:t>
      </w:r>
    </w:p>
    <w:p w14:paraId="0D03214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14:paraId="4C1F57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w:t>
      </w:r>
      <w:r>
        <w:rPr>
          <w:rFonts w:ascii="宋体" w:hAnsi="宋体"/>
          <w:sz w:val="24"/>
        </w:rPr>
        <w:t>(</w:t>
      </w:r>
      <w:r>
        <w:rPr>
          <w:rFonts w:ascii="宋体" w:hAnsi="宋体"/>
          <w:sz w:val="24"/>
        </w:rPr>
        <w:t>上海</w:t>
      </w:r>
      <w:r>
        <w:rPr>
          <w:rFonts w:ascii="宋体" w:hAnsi="宋体"/>
          <w:sz w:val="24"/>
        </w:rPr>
        <w:t>)</w:t>
      </w:r>
      <w:r>
        <w:rPr>
          <w:rFonts w:ascii="宋体" w:hAnsi="宋体"/>
          <w:sz w:val="24"/>
        </w:rPr>
        <w:t>自由贸易试验区银城中路</w:t>
      </w:r>
      <w:r>
        <w:rPr>
          <w:rFonts w:ascii="宋体" w:hAnsi="宋体"/>
          <w:sz w:val="24"/>
        </w:rPr>
        <w:t>188</w:t>
      </w:r>
      <w:r>
        <w:rPr>
          <w:rFonts w:ascii="宋体" w:hAnsi="宋体"/>
          <w:sz w:val="24"/>
        </w:rPr>
        <w:t>号交通银行大楼二层（裙）</w:t>
      </w:r>
    </w:p>
    <w:p w14:paraId="6968413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w:t>
      </w:r>
      <w:r>
        <w:rPr>
          <w:rFonts w:ascii="宋体" w:hAnsi="宋体"/>
          <w:sz w:val="24"/>
        </w:rPr>
        <w:t>8</w:t>
      </w:r>
      <w:r>
        <w:rPr>
          <w:rFonts w:ascii="宋体" w:hAnsi="宋体"/>
          <w:sz w:val="24"/>
        </w:rPr>
        <w:t>号国金中心二期</w:t>
      </w:r>
      <w:r>
        <w:rPr>
          <w:rFonts w:ascii="宋体" w:hAnsi="宋体"/>
          <w:sz w:val="24"/>
        </w:rPr>
        <w:t>21-22</w:t>
      </w:r>
      <w:r>
        <w:rPr>
          <w:rFonts w:ascii="宋体" w:hAnsi="宋体"/>
          <w:sz w:val="24"/>
        </w:rPr>
        <w:t>楼</w:t>
      </w:r>
    </w:p>
    <w:p w14:paraId="5F9AA30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14:paraId="4A6E6C9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w:t>
      </w:r>
      <w:r>
        <w:rPr>
          <w:rFonts w:ascii="宋体" w:hAnsi="宋体"/>
          <w:sz w:val="24"/>
        </w:rPr>
        <w:t>2005</w:t>
      </w:r>
      <w:r>
        <w:rPr>
          <w:rFonts w:ascii="宋体" w:hAnsi="宋体"/>
          <w:sz w:val="24"/>
        </w:rPr>
        <w:t>年</w:t>
      </w:r>
      <w:r>
        <w:rPr>
          <w:rFonts w:ascii="宋体" w:hAnsi="宋体"/>
          <w:sz w:val="24"/>
        </w:rPr>
        <w:t>8</w:t>
      </w:r>
      <w:r>
        <w:rPr>
          <w:rFonts w:ascii="宋体" w:hAnsi="宋体"/>
          <w:sz w:val="24"/>
        </w:rPr>
        <w:t>月</w:t>
      </w:r>
      <w:r>
        <w:rPr>
          <w:rFonts w:ascii="宋体" w:hAnsi="宋体"/>
          <w:sz w:val="24"/>
        </w:rPr>
        <w:t>4</w:t>
      </w:r>
      <w:r>
        <w:rPr>
          <w:rFonts w:ascii="宋体" w:hAnsi="宋体"/>
          <w:sz w:val="24"/>
        </w:rPr>
        <w:t>日</w:t>
      </w:r>
    </w:p>
    <w:p w14:paraId="094987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61055724</w:t>
      </w:r>
    </w:p>
    <w:p w14:paraId="64E693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61055054</w:t>
      </w:r>
    </w:p>
    <w:p w14:paraId="7CBB09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2E6FA29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400-700-5000</w:t>
      </w:r>
      <w:r>
        <w:rPr>
          <w:rFonts w:ascii="宋体" w:hAnsi="宋体"/>
          <w:sz w:val="24"/>
        </w:rPr>
        <w:t>（免长途话费），（</w:t>
      </w:r>
      <w:r>
        <w:rPr>
          <w:rFonts w:ascii="宋体" w:hAnsi="宋体"/>
          <w:sz w:val="24"/>
        </w:rPr>
        <w:t>021</w:t>
      </w:r>
      <w:r>
        <w:rPr>
          <w:rFonts w:ascii="宋体" w:hAnsi="宋体"/>
          <w:sz w:val="24"/>
        </w:rPr>
        <w:t>）</w:t>
      </w:r>
      <w:r>
        <w:rPr>
          <w:rFonts w:ascii="宋体" w:hAnsi="宋体"/>
          <w:sz w:val="24"/>
        </w:rPr>
        <w:t>61055000</w:t>
      </w:r>
    </w:p>
    <w:p w14:paraId="0BBD6C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www.fund001.com</w:t>
      </w:r>
    </w:p>
    <w:p w14:paraId="7CED99B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w:t>
      </w:r>
    </w:p>
    <w:p w14:paraId="422F58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t>
      </w:r>
      <w:r>
        <w:rPr>
          <w:rFonts w:ascii="宋体" w:hAnsi="宋体"/>
          <w:sz w:val="24"/>
        </w:rPr>
        <w:t>www. fund001.com</w:t>
      </w:r>
      <w:r>
        <w:rPr>
          <w:rFonts w:ascii="宋体" w:hAnsi="宋体"/>
          <w:sz w:val="24"/>
        </w:rPr>
        <w:t>。</w:t>
      </w:r>
    </w:p>
    <w:p w14:paraId="2D5B52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、其他销售机构</w:t>
      </w:r>
    </w:p>
    <w:p w14:paraId="23851BC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）名称：交通银行股份有限公司</w:t>
      </w:r>
    </w:p>
    <w:p w14:paraId="448690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w:t>
      </w:r>
      <w:r>
        <w:rPr>
          <w:rFonts w:ascii="宋体" w:hAnsi="宋体"/>
          <w:sz w:val="24"/>
        </w:rPr>
        <w:t>188</w:t>
      </w:r>
      <w:r>
        <w:rPr>
          <w:rFonts w:ascii="宋体" w:hAnsi="宋体"/>
          <w:sz w:val="24"/>
        </w:rPr>
        <w:t>号</w:t>
      </w:r>
    </w:p>
    <w:p w14:paraId="795AEE5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w:t>
      </w:r>
      <w:r>
        <w:rPr>
          <w:rFonts w:ascii="宋体" w:hAnsi="宋体"/>
          <w:sz w:val="24"/>
        </w:rPr>
        <w:t>188</w:t>
      </w:r>
      <w:r>
        <w:rPr>
          <w:rFonts w:ascii="宋体" w:hAnsi="宋体"/>
          <w:sz w:val="24"/>
        </w:rPr>
        <w:t>号</w:t>
      </w:r>
    </w:p>
    <w:p w14:paraId="3075FF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39CD57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58781234</w:t>
      </w:r>
    </w:p>
    <w:p w14:paraId="15B0CC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58408483</w:t>
      </w:r>
    </w:p>
    <w:p w14:paraId="3AB140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3D079AB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95559</w:t>
      </w:r>
    </w:p>
    <w:p w14:paraId="67C6A7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www.bankcomm.com</w:t>
      </w:r>
    </w:p>
    <w:p w14:paraId="4B16ED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）名称：招商</w:t>
      </w:r>
      <w:r>
        <w:rPr>
          <w:rFonts w:ascii="宋体" w:hAnsi="宋体"/>
          <w:sz w:val="24"/>
        </w:rPr>
        <w:t>银行股份有限公司</w:t>
      </w:r>
    </w:p>
    <w:p w14:paraId="499B2A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住所：深圳市福田区深南大道</w:t>
      </w:r>
      <w:r>
        <w:rPr>
          <w:rFonts w:ascii="宋体" w:hAnsi="宋体"/>
          <w:sz w:val="24"/>
        </w:rPr>
        <w:t>7088</w:t>
      </w:r>
      <w:r>
        <w:rPr>
          <w:rFonts w:ascii="宋体" w:hAnsi="宋体"/>
          <w:sz w:val="24"/>
        </w:rPr>
        <w:t>号</w:t>
      </w:r>
    </w:p>
    <w:p w14:paraId="60BA1D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w:t>
      </w:r>
      <w:r>
        <w:rPr>
          <w:rFonts w:ascii="宋体" w:hAnsi="宋体"/>
          <w:sz w:val="24"/>
        </w:rPr>
        <w:t>7088</w:t>
      </w:r>
      <w:r>
        <w:rPr>
          <w:rFonts w:ascii="宋体" w:hAnsi="宋体"/>
          <w:sz w:val="24"/>
        </w:rPr>
        <w:t>号</w:t>
      </w:r>
    </w:p>
    <w:p w14:paraId="5F08EA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14:paraId="742261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w:t>
      </w:r>
      <w:r>
        <w:rPr>
          <w:rFonts w:ascii="宋体" w:hAnsi="宋体"/>
          <w:sz w:val="24"/>
        </w:rPr>
        <w:t>）</w:t>
      </w:r>
      <w:r>
        <w:rPr>
          <w:rFonts w:ascii="宋体" w:hAnsi="宋体"/>
          <w:sz w:val="24"/>
        </w:rPr>
        <w:t>83198888</w:t>
      </w:r>
    </w:p>
    <w:p w14:paraId="6609FD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w:t>
      </w:r>
      <w:r>
        <w:rPr>
          <w:rFonts w:ascii="宋体" w:hAnsi="宋体"/>
          <w:sz w:val="24"/>
        </w:rPr>
        <w:t>）</w:t>
      </w:r>
      <w:r>
        <w:rPr>
          <w:rFonts w:ascii="宋体" w:hAnsi="宋体"/>
          <w:sz w:val="24"/>
        </w:rPr>
        <w:t>83195109</w:t>
      </w:r>
    </w:p>
    <w:p w14:paraId="285C12C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14:paraId="6F48FE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95555</w:t>
      </w:r>
    </w:p>
    <w:p w14:paraId="5E56C8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www.cmbchina.com</w:t>
      </w:r>
    </w:p>
    <w:p w14:paraId="4247D2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）名称：上海银行股份有限公司</w:t>
      </w:r>
    </w:p>
    <w:p w14:paraId="5871F3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w:t>
      </w:r>
      <w:r>
        <w:rPr>
          <w:rFonts w:ascii="宋体" w:hAnsi="宋体"/>
          <w:sz w:val="24"/>
        </w:rPr>
        <w:t>168</w:t>
      </w:r>
      <w:r>
        <w:rPr>
          <w:rFonts w:ascii="宋体" w:hAnsi="宋体"/>
          <w:sz w:val="24"/>
        </w:rPr>
        <w:t>号</w:t>
      </w:r>
    </w:p>
    <w:p w14:paraId="269685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w:t>
      </w:r>
      <w:r>
        <w:rPr>
          <w:rFonts w:ascii="宋体" w:hAnsi="宋体"/>
          <w:sz w:val="24"/>
        </w:rPr>
        <w:t>168</w:t>
      </w:r>
      <w:r>
        <w:rPr>
          <w:rFonts w:ascii="宋体" w:hAnsi="宋体"/>
          <w:sz w:val="24"/>
        </w:rPr>
        <w:t>号</w:t>
      </w:r>
    </w:p>
    <w:p w14:paraId="77802B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法定代表人：金煜</w:t>
      </w:r>
    </w:p>
    <w:p w14:paraId="0B06162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68475888</w:t>
      </w:r>
    </w:p>
    <w:p w14:paraId="038D7D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68476111</w:t>
      </w:r>
    </w:p>
    <w:p w14:paraId="660D2C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联系人：张萍</w:t>
      </w:r>
    </w:p>
    <w:p w14:paraId="225F94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021</w:t>
      </w:r>
      <w:r>
        <w:rPr>
          <w:rFonts w:ascii="宋体" w:hAnsi="宋体"/>
          <w:sz w:val="24"/>
        </w:rPr>
        <w:t>）</w:t>
      </w:r>
      <w:r>
        <w:rPr>
          <w:rFonts w:ascii="宋体" w:hAnsi="宋体"/>
          <w:sz w:val="24"/>
        </w:rPr>
        <w:t>962888</w:t>
      </w:r>
    </w:p>
    <w:p w14:paraId="47DEA7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www.bankofshanghai.com</w:t>
      </w:r>
    </w:p>
    <w:p w14:paraId="43C1ED6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）名称：中国农业银行股份有限公司</w:t>
      </w:r>
    </w:p>
    <w:p w14:paraId="01BC7A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住所：北京市东城区建国门内大街</w:t>
      </w:r>
      <w:r>
        <w:rPr>
          <w:rFonts w:ascii="宋体" w:hAnsi="宋体"/>
          <w:sz w:val="24"/>
        </w:rPr>
        <w:t>69</w:t>
      </w:r>
      <w:r>
        <w:rPr>
          <w:rFonts w:ascii="宋体" w:hAnsi="宋体"/>
          <w:sz w:val="24"/>
        </w:rPr>
        <w:t>号</w:t>
      </w:r>
    </w:p>
    <w:p w14:paraId="36B47F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w:t>
      </w:r>
      <w:r>
        <w:rPr>
          <w:rFonts w:ascii="宋体" w:hAnsi="宋体"/>
          <w:sz w:val="24"/>
        </w:rPr>
        <w:t>28</w:t>
      </w:r>
      <w:r>
        <w:rPr>
          <w:rFonts w:ascii="宋体" w:hAnsi="宋体"/>
          <w:sz w:val="24"/>
        </w:rPr>
        <w:t>号凯晨世贸中心东座</w:t>
      </w:r>
    </w:p>
    <w:p w14:paraId="45920C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法定代表人：周慕冰</w:t>
      </w:r>
    </w:p>
    <w:p w14:paraId="0F04CAB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w:t>
      </w:r>
      <w:r>
        <w:rPr>
          <w:rFonts w:ascii="宋体" w:hAnsi="宋体"/>
          <w:sz w:val="24"/>
        </w:rPr>
        <w:t>010-66060069</w:t>
      </w:r>
    </w:p>
    <w:p w14:paraId="45E274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010-68121816</w:t>
      </w:r>
    </w:p>
    <w:p w14:paraId="1B9F02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联系人：贺倩</w:t>
      </w:r>
    </w:p>
    <w:p w14:paraId="3E3FD13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95599</w:t>
      </w:r>
    </w:p>
    <w:p w14:paraId="31499D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www.abchina.com</w:t>
      </w:r>
    </w:p>
    <w:p w14:paraId="703D0F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）名称：平安银行股份有限公司</w:t>
      </w:r>
    </w:p>
    <w:p w14:paraId="718973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注册地址：深圳市罗湖区深南东路</w:t>
      </w:r>
      <w:r>
        <w:rPr>
          <w:rFonts w:ascii="宋体" w:hAnsi="宋体"/>
          <w:sz w:val="24"/>
        </w:rPr>
        <w:t>5047</w:t>
      </w:r>
      <w:r>
        <w:rPr>
          <w:rFonts w:ascii="宋体" w:hAnsi="宋体"/>
          <w:sz w:val="24"/>
        </w:rPr>
        <w:t>号</w:t>
      </w:r>
    </w:p>
    <w:p w14:paraId="412F3D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办公地址：深圳市深南东路</w:t>
      </w:r>
      <w:r>
        <w:rPr>
          <w:rFonts w:ascii="宋体" w:hAnsi="宋体"/>
          <w:sz w:val="24"/>
        </w:rPr>
        <w:t>5047</w:t>
      </w:r>
      <w:r>
        <w:rPr>
          <w:rFonts w:ascii="宋体" w:hAnsi="宋体"/>
          <w:sz w:val="24"/>
        </w:rPr>
        <w:t>号</w:t>
      </w:r>
    </w:p>
    <w:p w14:paraId="4C4FA6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法定代表人：谢永林</w:t>
      </w:r>
    </w:p>
    <w:p w14:paraId="26B6ACC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w:t>
      </w:r>
      <w:r>
        <w:rPr>
          <w:rFonts w:ascii="宋体" w:hAnsi="宋体"/>
          <w:sz w:val="24"/>
        </w:rPr>
        <w:t>0755-22166574</w:t>
      </w:r>
    </w:p>
    <w:p w14:paraId="490DF6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0755-82080406</w:t>
      </w:r>
    </w:p>
    <w:p w14:paraId="37B941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联系人：赵杨</w:t>
      </w:r>
    </w:p>
    <w:p w14:paraId="590F5B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w:t>
      </w:r>
      <w:r>
        <w:rPr>
          <w:rFonts w:ascii="宋体" w:hAnsi="宋体"/>
          <w:sz w:val="24"/>
        </w:rPr>
        <w:t>95511-3</w:t>
      </w:r>
      <w:r>
        <w:rPr>
          <w:rFonts w:ascii="宋体" w:hAnsi="宋体"/>
          <w:sz w:val="24"/>
        </w:rPr>
        <w:t>或</w:t>
      </w:r>
      <w:r>
        <w:rPr>
          <w:rFonts w:ascii="宋体" w:hAnsi="宋体"/>
          <w:sz w:val="24"/>
        </w:rPr>
        <w:t>95501</w:t>
      </w:r>
    </w:p>
    <w:p w14:paraId="3D33F96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bank.pingan.com</w:t>
      </w:r>
    </w:p>
    <w:p w14:paraId="0DF2FD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）名称：宁波银行股份有限公司</w:t>
      </w:r>
    </w:p>
    <w:p w14:paraId="3DFB48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住所：宁波市江东区中山东路</w:t>
      </w:r>
      <w:r>
        <w:rPr>
          <w:rFonts w:ascii="宋体" w:hAnsi="宋体"/>
          <w:sz w:val="24"/>
        </w:rPr>
        <w:t>294</w:t>
      </w:r>
      <w:r>
        <w:rPr>
          <w:rFonts w:ascii="宋体" w:hAnsi="宋体"/>
          <w:sz w:val="24"/>
        </w:rPr>
        <w:t>号</w:t>
      </w:r>
    </w:p>
    <w:p w14:paraId="6C069D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法定代表人：陆华裕</w:t>
      </w:r>
    </w:p>
    <w:p w14:paraId="54DC59C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63586210</w:t>
      </w:r>
    </w:p>
    <w:p w14:paraId="246D16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63586215</w:t>
      </w:r>
    </w:p>
    <w:p w14:paraId="0801A2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联系人：胡技勋</w:t>
      </w:r>
    </w:p>
    <w:p w14:paraId="41BC03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96528</w:t>
      </w:r>
      <w:r>
        <w:rPr>
          <w:rFonts w:ascii="宋体" w:hAnsi="宋体"/>
          <w:sz w:val="24"/>
        </w:rPr>
        <w:t>（上海地区</w:t>
      </w:r>
      <w:r>
        <w:rPr>
          <w:rFonts w:ascii="宋体" w:hAnsi="宋体"/>
          <w:sz w:val="24"/>
        </w:rPr>
        <w:t>962528</w:t>
      </w:r>
      <w:r>
        <w:rPr>
          <w:rFonts w:ascii="宋体" w:hAnsi="宋体"/>
          <w:sz w:val="24"/>
        </w:rPr>
        <w:t>）</w:t>
      </w:r>
    </w:p>
    <w:p w14:paraId="64DFCA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www.nbcb.com.cn</w:t>
      </w:r>
    </w:p>
    <w:p w14:paraId="7875D6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）名称：兴业银行股份有限公司</w:t>
      </w:r>
    </w:p>
    <w:p w14:paraId="5BA932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注册地址：福建省福州市台江区江滨中大道</w:t>
      </w:r>
      <w:r>
        <w:rPr>
          <w:rFonts w:ascii="宋体" w:hAnsi="宋体"/>
          <w:sz w:val="24"/>
        </w:rPr>
        <w:t>398</w:t>
      </w:r>
      <w:r>
        <w:rPr>
          <w:rFonts w:ascii="宋体" w:hAnsi="宋体"/>
          <w:sz w:val="24"/>
        </w:rPr>
        <w:t>号兴业银行大厦</w:t>
      </w:r>
    </w:p>
    <w:p w14:paraId="0512F0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办公地址：上海市浦东新区银城路</w:t>
      </w:r>
      <w:r>
        <w:rPr>
          <w:rFonts w:ascii="宋体" w:hAnsi="宋体"/>
          <w:sz w:val="24"/>
        </w:rPr>
        <w:t xml:space="preserve"> 167 </w:t>
      </w:r>
      <w:r>
        <w:rPr>
          <w:rFonts w:ascii="宋体" w:hAnsi="宋体"/>
          <w:sz w:val="24"/>
        </w:rPr>
        <w:t>号兴业银行大厦</w:t>
      </w:r>
    </w:p>
    <w:p w14:paraId="42A459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法定代表人：吕家进</w:t>
      </w:r>
    </w:p>
    <w:p w14:paraId="35FAED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联系人：蔡宣铭</w:t>
      </w:r>
    </w:p>
    <w:p w14:paraId="766989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w:t>
      </w:r>
      <w:r>
        <w:rPr>
          <w:rFonts w:ascii="宋体" w:hAnsi="宋体"/>
          <w:sz w:val="24"/>
        </w:rPr>
        <w:t>021-52629999</w:t>
      </w:r>
    </w:p>
    <w:p w14:paraId="49D474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w:t>
      </w:r>
      <w:r>
        <w:rPr>
          <w:rFonts w:ascii="宋体" w:hAnsi="宋体"/>
          <w:sz w:val="24"/>
        </w:rPr>
        <w:t>95561</w:t>
      </w:r>
    </w:p>
    <w:p w14:paraId="767D1F4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www.cib.com.cn</w:t>
      </w:r>
    </w:p>
    <w:p w14:paraId="3924F68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）名称：中信建投证券股份有限公司</w:t>
      </w:r>
    </w:p>
    <w:p w14:paraId="5A13557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w:t>
      </w:r>
      <w:r>
        <w:rPr>
          <w:rFonts w:ascii="宋体" w:hAnsi="宋体"/>
          <w:sz w:val="24"/>
        </w:rPr>
        <w:t>66</w:t>
      </w:r>
      <w:r>
        <w:rPr>
          <w:rFonts w:ascii="宋体" w:hAnsi="宋体"/>
          <w:sz w:val="24"/>
        </w:rPr>
        <w:t>号</w:t>
      </w:r>
      <w:r>
        <w:rPr>
          <w:rFonts w:ascii="宋体" w:hAnsi="宋体"/>
          <w:sz w:val="24"/>
        </w:rPr>
        <w:t>4</w:t>
      </w:r>
      <w:r>
        <w:rPr>
          <w:rFonts w:ascii="宋体" w:hAnsi="宋体"/>
          <w:sz w:val="24"/>
        </w:rPr>
        <w:t>号楼</w:t>
      </w:r>
    </w:p>
    <w:p w14:paraId="32C292B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w:t>
      </w:r>
      <w:r>
        <w:rPr>
          <w:rFonts w:ascii="宋体" w:hAnsi="宋体"/>
          <w:sz w:val="24"/>
        </w:rPr>
        <w:t>188</w:t>
      </w:r>
      <w:r>
        <w:rPr>
          <w:rFonts w:ascii="宋体" w:hAnsi="宋体"/>
          <w:sz w:val="24"/>
        </w:rPr>
        <w:t>号</w:t>
      </w:r>
    </w:p>
    <w:p w14:paraId="6D826FA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14:paraId="40036F2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85130588</w:t>
      </w:r>
    </w:p>
    <w:p w14:paraId="5ECD13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65182261</w:t>
      </w:r>
    </w:p>
    <w:p w14:paraId="7C609D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14:paraId="217FB36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95587</w:t>
      </w:r>
    </w:p>
    <w:p w14:paraId="3B11FF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www.csc108.com</w:t>
      </w:r>
    </w:p>
    <w:p w14:paraId="3C8311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9</w:t>
      </w:r>
      <w:r>
        <w:rPr>
          <w:rFonts w:ascii="宋体" w:hAnsi="宋体"/>
          <w:sz w:val="24"/>
        </w:rPr>
        <w:t>）名称：华西证券股份有限公司</w:t>
      </w:r>
    </w:p>
    <w:p w14:paraId="0B3264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w:t>
      </w:r>
      <w:r>
        <w:rPr>
          <w:rFonts w:ascii="宋体" w:hAnsi="宋体"/>
          <w:sz w:val="24"/>
        </w:rPr>
        <w:t>198</w:t>
      </w:r>
      <w:r>
        <w:rPr>
          <w:rFonts w:ascii="宋体" w:hAnsi="宋体"/>
          <w:sz w:val="24"/>
        </w:rPr>
        <w:t>号华西证券大厦</w:t>
      </w:r>
    </w:p>
    <w:p w14:paraId="2748A2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w:t>
      </w:r>
      <w:r>
        <w:rPr>
          <w:rFonts w:ascii="宋体" w:hAnsi="宋体"/>
          <w:sz w:val="24"/>
        </w:rPr>
        <w:t>198</w:t>
      </w:r>
      <w:r>
        <w:rPr>
          <w:rFonts w:ascii="宋体" w:hAnsi="宋体"/>
          <w:sz w:val="24"/>
        </w:rPr>
        <w:t>号华西证券大厦</w:t>
      </w:r>
    </w:p>
    <w:p w14:paraId="28877AC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14:paraId="707EFC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028</w:t>
      </w:r>
      <w:r>
        <w:rPr>
          <w:rFonts w:ascii="宋体" w:hAnsi="宋体"/>
          <w:sz w:val="24"/>
        </w:rPr>
        <w:t>）</w:t>
      </w:r>
      <w:r>
        <w:rPr>
          <w:rFonts w:ascii="宋体" w:hAnsi="宋体"/>
          <w:sz w:val="24"/>
        </w:rPr>
        <w:t>86135991</w:t>
      </w:r>
    </w:p>
    <w:p w14:paraId="52BB58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028</w:t>
      </w:r>
      <w:r>
        <w:rPr>
          <w:rFonts w:ascii="宋体" w:hAnsi="宋体"/>
          <w:sz w:val="24"/>
        </w:rPr>
        <w:t>）</w:t>
      </w:r>
      <w:r>
        <w:rPr>
          <w:rFonts w:ascii="宋体" w:hAnsi="宋体"/>
          <w:sz w:val="24"/>
        </w:rPr>
        <w:t>86150400</w:t>
      </w:r>
    </w:p>
    <w:p w14:paraId="7832F5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14:paraId="560C23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95584</w:t>
      </w:r>
    </w:p>
    <w:p w14:paraId="2AC4167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www.hx168.com.cn</w:t>
      </w:r>
    </w:p>
    <w:p w14:paraId="3F9E1F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）名称：广发证券股份有限公司</w:t>
      </w:r>
    </w:p>
    <w:p w14:paraId="3020F2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住所：广州市黄埔区中新广州知识城腾飞一街</w:t>
      </w:r>
      <w:r>
        <w:rPr>
          <w:rFonts w:ascii="宋体" w:hAnsi="宋体"/>
          <w:sz w:val="24"/>
        </w:rPr>
        <w:t>2</w:t>
      </w:r>
      <w:r>
        <w:rPr>
          <w:rFonts w:ascii="宋体" w:hAnsi="宋体"/>
          <w:sz w:val="24"/>
        </w:rPr>
        <w:t>号</w:t>
      </w:r>
      <w:r>
        <w:rPr>
          <w:rFonts w:ascii="宋体" w:hAnsi="宋体"/>
          <w:sz w:val="24"/>
        </w:rPr>
        <w:t>618</w:t>
      </w:r>
      <w:r>
        <w:rPr>
          <w:rFonts w:ascii="宋体" w:hAnsi="宋体"/>
          <w:sz w:val="24"/>
        </w:rPr>
        <w:t>室</w:t>
      </w:r>
    </w:p>
    <w:p w14:paraId="7AF1B6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办公地址：广州市天河区马场路</w:t>
      </w:r>
      <w:r>
        <w:rPr>
          <w:rFonts w:ascii="宋体" w:hAnsi="宋体"/>
          <w:sz w:val="24"/>
        </w:rPr>
        <w:t>26</w:t>
      </w:r>
      <w:r>
        <w:rPr>
          <w:rFonts w:ascii="宋体" w:hAnsi="宋体"/>
          <w:sz w:val="24"/>
        </w:rPr>
        <w:t>号广发证券大厦</w:t>
      </w:r>
    </w:p>
    <w:p w14:paraId="26059D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法定代表人：孙树明</w:t>
      </w:r>
    </w:p>
    <w:p w14:paraId="40694A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020</w:t>
      </w:r>
      <w:r>
        <w:rPr>
          <w:rFonts w:ascii="宋体" w:hAnsi="宋体"/>
          <w:sz w:val="24"/>
        </w:rPr>
        <w:t>）</w:t>
      </w:r>
      <w:r>
        <w:rPr>
          <w:rFonts w:ascii="宋体" w:hAnsi="宋体"/>
          <w:sz w:val="24"/>
        </w:rPr>
        <w:t>66338888</w:t>
      </w:r>
    </w:p>
    <w:p w14:paraId="226D88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020</w:t>
      </w:r>
      <w:r>
        <w:rPr>
          <w:rFonts w:ascii="宋体" w:hAnsi="宋体"/>
          <w:sz w:val="24"/>
        </w:rPr>
        <w:t>）</w:t>
      </w:r>
      <w:r>
        <w:rPr>
          <w:rFonts w:ascii="宋体" w:hAnsi="宋体"/>
          <w:sz w:val="24"/>
        </w:rPr>
        <w:t>87553600</w:t>
      </w:r>
    </w:p>
    <w:p w14:paraId="5F2014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联系人：马梦洁</w:t>
      </w:r>
    </w:p>
    <w:p w14:paraId="6CBF8E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95575</w:t>
      </w:r>
    </w:p>
    <w:p w14:paraId="0BD064D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www.gf.com.cn</w:t>
      </w:r>
    </w:p>
    <w:p w14:paraId="54B8C9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）名称：中国银河证券股份有限公司</w:t>
      </w:r>
    </w:p>
    <w:p w14:paraId="5016D49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w:t>
      </w:r>
      <w:r>
        <w:rPr>
          <w:rFonts w:ascii="宋体" w:hAnsi="宋体"/>
          <w:sz w:val="24"/>
        </w:rPr>
        <w:t>35</w:t>
      </w:r>
      <w:r>
        <w:rPr>
          <w:rFonts w:ascii="宋体" w:hAnsi="宋体"/>
          <w:sz w:val="24"/>
        </w:rPr>
        <w:t>号国际企业大厦</w:t>
      </w:r>
      <w:r>
        <w:rPr>
          <w:rFonts w:ascii="宋体" w:hAnsi="宋体"/>
          <w:sz w:val="24"/>
        </w:rPr>
        <w:t>C</w:t>
      </w:r>
      <w:r>
        <w:rPr>
          <w:rFonts w:ascii="宋体" w:hAnsi="宋体"/>
          <w:sz w:val="24"/>
        </w:rPr>
        <w:t>座</w:t>
      </w:r>
    </w:p>
    <w:p w14:paraId="16E7962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w:t>
      </w:r>
      <w:r>
        <w:rPr>
          <w:rFonts w:ascii="宋体" w:hAnsi="宋体"/>
          <w:sz w:val="24"/>
        </w:rPr>
        <w:t>35</w:t>
      </w:r>
      <w:r>
        <w:rPr>
          <w:rFonts w:ascii="宋体" w:hAnsi="宋体"/>
          <w:sz w:val="24"/>
        </w:rPr>
        <w:t>号国际企业大厦</w:t>
      </w:r>
      <w:r>
        <w:rPr>
          <w:rFonts w:ascii="宋体" w:hAnsi="宋体"/>
          <w:sz w:val="24"/>
        </w:rPr>
        <w:t>C</w:t>
      </w:r>
      <w:r>
        <w:rPr>
          <w:rFonts w:ascii="宋体" w:hAnsi="宋体"/>
          <w:sz w:val="24"/>
        </w:rPr>
        <w:t>座</w:t>
      </w:r>
    </w:p>
    <w:p w14:paraId="4D7921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法定代表人：陈共炎</w:t>
      </w:r>
    </w:p>
    <w:p w14:paraId="3B184CC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010-83574507</w:t>
      </w:r>
    </w:p>
    <w:p w14:paraId="2E47596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联系人：辛国政</w:t>
      </w:r>
    </w:p>
    <w:p w14:paraId="023D5A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400-888-8888</w:t>
      </w:r>
    </w:p>
    <w:p w14:paraId="06C0D0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www.chinastock.com.cn</w:t>
      </w:r>
    </w:p>
    <w:p w14:paraId="2E17C7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）名称：上海联泰基金销售有限公司</w:t>
      </w:r>
    </w:p>
    <w:p w14:paraId="6157222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住所：上海市普陀区兰溪路</w:t>
      </w:r>
      <w:r>
        <w:rPr>
          <w:rFonts w:ascii="宋体" w:hAnsi="宋体"/>
          <w:sz w:val="24"/>
        </w:rPr>
        <w:t>900</w:t>
      </w:r>
      <w:r>
        <w:rPr>
          <w:rFonts w:ascii="宋体" w:hAnsi="宋体"/>
          <w:sz w:val="24"/>
        </w:rPr>
        <w:t>弄</w:t>
      </w:r>
      <w:r>
        <w:rPr>
          <w:rFonts w:ascii="宋体" w:hAnsi="宋体"/>
          <w:sz w:val="24"/>
        </w:rPr>
        <w:t>15</w:t>
      </w:r>
      <w:r>
        <w:rPr>
          <w:rFonts w:ascii="宋体" w:hAnsi="宋体"/>
          <w:sz w:val="24"/>
        </w:rPr>
        <w:t>号</w:t>
      </w:r>
      <w:r>
        <w:rPr>
          <w:rFonts w:ascii="宋体" w:hAnsi="宋体"/>
          <w:sz w:val="24"/>
        </w:rPr>
        <w:t>526</w:t>
      </w:r>
      <w:r>
        <w:rPr>
          <w:rFonts w:ascii="宋体" w:hAnsi="宋体"/>
          <w:sz w:val="24"/>
        </w:rPr>
        <w:t>室</w:t>
      </w:r>
    </w:p>
    <w:p w14:paraId="66C6F89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办公地址：上海市虹口区临潼路</w:t>
      </w:r>
      <w:r>
        <w:rPr>
          <w:rFonts w:ascii="宋体" w:hAnsi="宋体"/>
          <w:sz w:val="24"/>
        </w:rPr>
        <w:t>188</w:t>
      </w:r>
      <w:r>
        <w:rPr>
          <w:rFonts w:ascii="宋体" w:hAnsi="宋体"/>
          <w:sz w:val="24"/>
        </w:rPr>
        <w:t>号</w:t>
      </w:r>
    </w:p>
    <w:p w14:paraId="7A3BB21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法定代表人：尹彬彬</w:t>
      </w:r>
    </w:p>
    <w:p w14:paraId="5F2BF2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w:t>
      </w:r>
      <w:r>
        <w:rPr>
          <w:rFonts w:ascii="宋体" w:hAnsi="宋体"/>
          <w:sz w:val="24"/>
        </w:rPr>
        <w:t>021-52822063</w:t>
      </w:r>
    </w:p>
    <w:p w14:paraId="33F574E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021-52975270</w:t>
      </w:r>
    </w:p>
    <w:p w14:paraId="6A924DE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联系人：兰敏</w:t>
      </w:r>
    </w:p>
    <w:p w14:paraId="09C399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400-118-1188</w:t>
      </w:r>
    </w:p>
    <w:p w14:paraId="2FE54DC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www.66liantai.com</w:t>
      </w:r>
    </w:p>
    <w:p w14:paraId="0AE653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）名称：北京雪球基金销售有限公司</w:t>
      </w:r>
    </w:p>
    <w:p w14:paraId="41266D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住所：北京市朝阳区创远路</w:t>
      </w:r>
      <w:r>
        <w:rPr>
          <w:rFonts w:ascii="宋体" w:hAnsi="宋体"/>
          <w:sz w:val="24"/>
        </w:rPr>
        <w:t xml:space="preserve"> 34 </w:t>
      </w:r>
      <w:r>
        <w:rPr>
          <w:rFonts w:ascii="宋体" w:hAnsi="宋体"/>
          <w:sz w:val="24"/>
        </w:rPr>
        <w:t>号院</w:t>
      </w:r>
      <w:r>
        <w:rPr>
          <w:rFonts w:ascii="宋体" w:hAnsi="宋体"/>
          <w:sz w:val="24"/>
        </w:rPr>
        <w:t>6</w:t>
      </w:r>
      <w:r>
        <w:rPr>
          <w:rFonts w:ascii="宋体" w:hAnsi="宋体"/>
          <w:sz w:val="24"/>
        </w:rPr>
        <w:t>号楼</w:t>
      </w:r>
      <w:r>
        <w:rPr>
          <w:rFonts w:ascii="宋体" w:hAnsi="宋体"/>
          <w:sz w:val="24"/>
        </w:rPr>
        <w:t>15</w:t>
      </w:r>
      <w:r>
        <w:rPr>
          <w:rFonts w:ascii="宋体" w:hAnsi="宋体"/>
          <w:sz w:val="24"/>
        </w:rPr>
        <w:t>层</w:t>
      </w:r>
      <w:r>
        <w:rPr>
          <w:rFonts w:ascii="宋体" w:hAnsi="宋体"/>
          <w:sz w:val="24"/>
        </w:rPr>
        <w:t>1501</w:t>
      </w:r>
      <w:r>
        <w:rPr>
          <w:rFonts w:ascii="宋体" w:hAnsi="宋体"/>
          <w:sz w:val="24"/>
        </w:rPr>
        <w:t>室</w:t>
      </w:r>
    </w:p>
    <w:p w14:paraId="7A4B13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w:t>
      </w:r>
      <w:r>
        <w:rPr>
          <w:rFonts w:ascii="宋体" w:hAnsi="宋体"/>
          <w:sz w:val="24"/>
        </w:rPr>
        <w:t xml:space="preserve"> 34 </w:t>
      </w:r>
      <w:r>
        <w:rPr>
          <w:rFonts w:ascii="宋体" w:hAnsi="宋体"/>
          <w:sz w:val="24"/>
        </w:rPr>
        <w:t>号院融新科技中心</w:t>
      </w:r>
      <w:r>
        <w:rPr>
          <w:rFonts w:ascii="宋体" w:hAnsi="宋体"/>
          <w:sz w:val="24"/>
        </w:rPr>
        <w:t xml:space="preserve"> C </w:t>
      </w:r>
      <w:r>
        <w:rPr>
          <w:rFonts w:ascii="宋体" w:hAnsi="宋体"/>
          <w:sz w:val="24"/>
        </w:rPr>
        <w:t>座</w:t>
      </w:r>
      <w:r>
        <w:rPr>
          <w:rFonts w:ascii="宋体" w:hAnsi="宋体"/>
          <w:sz w:val="24"/>
        </w:rPr>
        <w:t xml:space="preserve"> 17 </w:t>
      </w:r>
      <w:r>
        <w:rPr>
          <w:rFonts w:ascii="宋体" w:hAnsi="宋体"/>
          <w:sz w:val="24"/>
        </w:rPr>
        <w:t>层</w:t>
      </w:r>
    </w:p>
    <w:p w14:paraId="2D43FD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法定代表人：李楠</w:t>
      </w:r>
    </w:p>
    <w:p w14:paraId="2468FF5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61840688</w:t>
      </w:r>
    </w:p>
    <w:p w14:paraId="6B1981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84997571</w:t>
      </w:r>
    </w:p>
    <w:p w14:paraId="4C7F84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联系人：武安广</w:t>
      </w:r>
    </w:p>
    <w:p w14:paraId="5300B6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400-1599-288</w:t>
      </w:r>
    </w:p>
    <w:p w14:paraId="5D66625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danjua</w:t>
      </w:r>
      <w:r>
        <w:rPr>
          <w:rFonts w:ascii="宋体" w:hAnsi="宋体"/>
          <w:sz w:val="24"/>
        </w:rPr>
        <w:t>nfunds.com</w:t>
      </w:r>
    </w:p>
    <w:p w14:paraId="3BD821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）名称：上海天天基金销售有限公司</w:t>
      </w:r>
    </w:p>
    <w:p w14:paraId="6D9134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w:t>
      </w:r>
      <w:r>
        <w:rPr>
          <w:rFonts w:ascii="宋体" w:hAnsi="宋体"/>
          <w:sz w:val="24"/>
        </w:rPr>
        <w:t>190</w:t>
      </w:r>
      <w:r>
        <w:rPr>
          <w:rFonts w:ascii="宋体" w:hAnsi="宋体"/>
          <w:sz w:val="24"/>
        </w:rPr>
        <w:t>号</w:t>
      </w:r>
      <w:r>
        <w:rPr>
          <w:rFonts w:ascii="宋体" w:hAnsi="宋体"/>
          <w:sz w:val="24"/>
        </w:rPr>
        <w:t>2</w:t>
      </w:r>
      <w:r>
        <w:rPr>
          <w:rFonts w:ascii="宋体" w:hAnsi="宋体"/>
          <w:sz w:val="24"/>
        </w:rPr>
        <w:t>号楼</w:t>
      </w:r>
      <w:r>
        <w:rPr>
          <w:rFonts w:ascii="宋体" w:hAnsi="宋体"/>
          <w:sz w:val="24"/>
        </w:rPr>
        <w:t>2</w:t>
      </w:r>
      <w:r>
        <w:rPr>
          <w:rFonts w:ascii="宋体" w:hAnsi="宋体"/>
          <w:sz w:val="24"/>
        </w:rPr>
        <w:t>层</w:t>
      </w:r>
    </w:p>
    <w:p w14:paraId="769BE5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办公地址：上海市徐汇区宛平南路</w:t>
      </w:r>
      <w:r>
        <w:rPr>
          <w:rFonts w:ascii="宋体" w:hAnsi="宋体"/>
          <w:sz w:val="24"/>
        </w:rPr>
        <w:t>88</w:t>
      </w:r>
      <w:r>
        <w:rPr>
          <w:rFonts w:ascii="宋体" w:hAnsi="宋体"/>
          <w:sz w:val="24"/>
        </w:rPr>
        <w:t>号金座东方财富大厦</w:t>
      </w:r>
    </w:p>
    <w:p w14:paraId="55C87B5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07318F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54509998</w:t>
      </w:r>
    </w:p>
    <w:p w14:paraId="135CFC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64385308</w:t>
      </w:r>
    </w:p>
    <w:p w14:paraId="7144F50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联系人：屠彦洋</w:t>
      </w:r>
    </w:p>
    <w:p w14:paraId="7D7974C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400-1818-188</w:t>
      </w:r>
    </w:p>
    <w:p w14:paraId="378198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www.1234567.com.cn</w:t>
      </w:r>
    </w:p>
    <w:p w14:paraId="01BFDA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15</w:t>
      </w:r>
      <w:r>
        <w:rPr>
          <w:rFonts w:ascii="宋体" w:hAnsi="宋体"/>
          <w:sz w:val="24"/>
        </w:rPr>
        <w:t>）名称：上海好买基金销售有限公司</w:t>
      </w:r>
    </w:p>
    <w:p w14:paraId="382732C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w:t>
      </w:r>
      <w:r>
        <w:rPr>
          <w:rFonts w:ascii="宋体" w:hAnsi="宋体"/>
          <w:sz w:val="24"/>
        </w:rPr>
        <w:t>685</w:t>
      </w:r>
      <w:r>
        <w:rPr>
          <w:rFonts w:ascii="宋体" w:hAnsi="宋体"/>
          <w:sz w:val="24"/>
        </w:rPr>
        <w:t>弄</w:t>
      </w:r>
      <w:r>
        <w:rPr>
          <w:rFonts w:ascii="宋体" w:hAnsi="宋体"/>
          <w:sz w:val="24"/>
        </w:rPr>
        <w:t>37</w:t>
      </w:r>
      <w:r>
        <w:rPr>
          <w:rFonts w:ascii="宋体" w:hAnsi="宋体"/>
          <w:sz w:val="24"/>
        </w:rPr>
        <w:t>号</w:t>
      </w:r>
      <w:r>
        <w:rPr>
          <w:rFonts w:ascii="宋体" w:hAnsi="宋体"/>
          <w:sz w:val="24"/>
        </w:rPr>
        <w:t>4</w:t>
      </w:r>
      <w:r>
        <w:rPr>
          <w:rFonts w:ascii="宋体" w:hAnsi="宋体"/>
          <w:sz w:val="24"/>
        </w:rPr>
        <w:t>号楼</w:t>
      </w:r>
      <w:r>
        <w:rPr>
          <w:rFonts w:ascii="宋体" w:hAnsi="宋体"/>
          <w:sz w:val="24"/>
        </w:rPr>
        <w:t>449</w:t>
      </w:r>
      <w:r>
        <w:rPr>
          <w:rFonts w:ascii="宋体" w:hAnsi="宋体"/>
          <w:sz w:val="24"/>
        </w:rPr>
        <w:t>室</w:t>
      </w:r>
    </w:p>
    <w:p w14:paraId="52D42F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w:t>
      </w:r>
      <w:r>
        <w:rPr>
          <w:rFonts w:ascii="宋体" w:hAnsi="宋体"/>
          <w:sz w:val="24"/>
        </w:rPr>
        <w:t>1118</w:t>
      </w:r>
      <w:r>
        <w:rPr>
          <w:rFonts w:ascii="宋体" w:hAnsi="宋体"/>
          <w:sz w:val="24"/>
        </w:rPr>
        <w:t>号鄂尔多斯国际大厦</w:t>
      </w:r>
      <w:r>
        <w:rPr>
          <w:rFonts w:ascii="宋体" w:hAnsi="宋体"/>
          <w:sz w:val="24"/>
        </w:rPr>
        <w:t>903-906</w:t>
      </w:r>
      <w:r>
        <w:rPr>
          <w:rFonts w:ascii="宋体" w:hAnsi="宋体"/>
          <w:sz w:val="24"/>
        </w:rPr>
        <w:t>室</w:t>
      </w:r>
    </w:p>
    <w:p w14:paraId="3127652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14:paraId="4F5F79C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68596916</w:t>
      </w:r>
    </w:p>
    <w:p w14:paraId="1CCEC7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14:paraId="43DB1D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400-700-9665</w:t>
      </w:r>
    </w:p>
    <w:p w14:paraId="4813736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网址：</w:t>
      </w:r>
      <w:r>
        <w:rPr>
          <w:rFonts w:ascii="宋体" w:hAnsi="宋体"/>
          <w:sz w:val="24"/>
        </w:rPr>
        <w:t>www.howbuy.com</w:t>
      </w:r>
    </w:p>
    <w:p w14:paraId="2D4005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16</w:t>
      </w:r>
      <w:r>
        <w:rPr>
          <w:rFonts w:ascii="宋体" w:hAnsi="宋体"/>
          <w:sz w:val="24"/>
        </w:rPr>
        <w:t>）名称：上海长量基金销售有限公司</w:t>
      </w:r>
    </w:p>
    <w:p w14:paraId="0C257E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w:t>
      </w:r>
      <w:r>
        <w:rPr>
          <w:rFonts w:ascii="宋体" w:hAnsi="宋体"/>
          <w:sz w:val="24"/>
        </w:rPr>
        <w:t>526</w:t>
      </w:r>
      <w:r>
        <w:rPr>
          <w:rFonts w:ascii="宋体" w:hAnsi="宋体"/>
          <w:sz w:val="24"/>
        </w:rPr>
        <w:t>号</w:t>
      </w:r>
      <w:r>
        <w:rPr>
          <w:rFonts w:ascii="宋体" w:hAnsi="宋体"/>
          <w:sz w:val="24"/>
        </w:rPr>
        <w:t>2</w:t>
      </w:r>
      <w:r>
        <w:rPr>
          <w:rFonts w:ascii="宋体" w:hAnsi="宋体"/>
          <w:sz w:val="24"/>
        </w:rPr>
        <w:t>幢</w:t>
      </w:r>
      <w:r>
        <w:rPr>
          <w:rFonts w:ascii="宋体" w:hAnsi="宋体"/>
          <w:sz w:val="24"/>
        </w:rPr>
        <w:t>220</w:t>
      </w:r>
      <w:r>
        <w:rPr>
          <w:rFonts w:ascii="宋体" w:hAnsi="宋体"/>
          <w:sz w:val="24"/>
        </w:rPr>
        <w:t>室</w:t>
      </w:r>
    </w:p>
    <w:p w14:paraId="1563B29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办公地址：上海市浦东新区浦东大道</w:t>
      </w:r>
      <w:r>
        <w:rPr>
          <w:rFonts w:ascii="宋体" w:hAnsi="宋体"/>
          <w:sz w:val="24"/>
        </w:rPr>
        <w:t>555</w:t>
      </w:r>
      <w:r>
        <w:rPr>
          <w:rFonts w:ascii="宋体" w:hAnsi="宋体"/>
          <w:sz w:val="24"/>
        </w:rPr>
        <w:t>号裕景国际</w:t>
      </w:r>
      <w:r>
        <w:rPr>
          <w:rFonts w:ascii="宋体" w:hAnsi="宋体"/>
          <w:sz w:val="24"/>
        </w:rPr>
        <w:t>B</w:t>
      </w:r>
      <w:r>
        <w:rPr>
          <w:rFonts w:ascii="宋体" w:hAnsi="宋体"/>
          <w:sz w:val="24"/>
        </w:rPr>
        <w:t>座</w:t>
      </w:r>
      <w:r>
        <w:rPr>
          <w:rFonts w:ascii="宋体" w:hAnsi="宋体"/>
          <w:sz w:val="24"/>
        </w:rPr>
        <w:t>16</w:t>
      </w:r>
      <w:r>
        <w:rPr>
          <w:rFonts w:ascii="宋体" w:hAnsi="宋体"/>
          <w:sz w:val="24"/>
        </w:rPr>
        <w:t>层</w:t>
      </w:r>
    </w:p>
    <w:p w14:paraId="2CC824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14:paraId="153E58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20691832</w:t>
      </w:r>
    </w:p>
    <w:p w14:paraId="13C468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20691861</w:t>
      </w:r>
    </w:p>
    <w:p w14:paraId="70F1788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14:paraId="7AAA13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400-820-2899</w:t>
      </w:r>
    </w:p>
    <w:p w14:paraId="69CD79E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www.erichfund.com</w:t>
      </w:r>
    </w:p>
    <w:p w14:paraId="0ACA2D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17</w:t>
      </w:r>
      <w:r>
        <w:rPr>
          <w:rFonts w:ascii="宋体" w:hAnsi="宋体"/>
          <w:sz w:val="24"/>
        </w:rPr>
        <w:t>）名称：深圳众禄基金销售股份有限公司</w:t>
      </w:r>
    </w:p>
    <w:p w14:paraId="094C8C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w:t>
      </w:r>
      <w:r>
        <w:rPr>
          <w:rFonts w:ascii="宋体" w:hAnsi="宋体"/>
          <w:sz w:val="24"/>
        </w:rPr>
        <w:t>8</w:t>
      </w:r>
      <w:r>
        <w:rPr>
          <w:rFonts w:ascii="宋体" w:hAnsi="宋体"/>
          <w:sz w:val="24"/>
        </w:rPr>
        <w:t>楼</w:t>
      </w:r>
    </w:p>
    <w:p w14:paraId="58C1B7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w:t>
      </w:r>
      <w:r>
        <w:rPr>
          <w:rFonts w:ascii="宋体" w:hAnsi="宋体"/>
          <w:sz w:val="24"/>
        </w:rPr>
        <w:t>8</w:t>
      </w:r>
      <w:r>
        <w:rPr>
          <w:rFonts w:ascii="宋体" w:hAnsi="宋体"/>
          <w:sz w:val="24"/>
        </w:rPr>
        <w:t>楼</w:t>
      </w:r>
    </w:p>
    <w:p w14:paraId="1A97C11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14:paraId="4AD679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w:t>
      </w:r>
      <w:r>
        <w:rPr>
          <w:rFonts w:ascii="宋体" w:hAnsi="宋体"/>
          <w:sz w:val="24"/>
        </w:rPr>
        <w:t>）</w:t>
      </w:r>
      <w:r>
        <w:rPr>
          <w:rFonts w:ascii="宋体" w:hAnsi="宋体"/>
          <w:sz w:val="24"/>
        </w:rPr>
        <w:t>33227953</w:t>
      </w:r>
    </w:p>
    <w:p w14:paraId="20F193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w:t>
      </w:r>
      <w:r>
        <w:rPr>
          <w:rFonts w:ascii="宋体" w:hAnsi="宋体"/>
          <w:sz w:val="24"/>
        </w:rPr>
        <w:t>）</w:t>
      </w:r>
      <w:r>
        <w:rPr>
          <w:rFonts w:ascii="宋体" w:hAnsi="宋体"/>
          <w:sz w:val="24"/>
        </w:rPr>
        <w:t>33227951</w:t>
      </w:r>
    </w:p>
    <w:p w14:paraId="6EA8C5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联系人：汤素娅</w:t>
      </w:r>
    </w:p>
    <w:p w14:paraId="5BAB8F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4006-788-887</w:t>
      </w:r>
    </w:p>
    <w:p w14:paraId="5FBCD44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www.zlfund.cn</w:t>
      </w:r>
      <w:r>
        <w:rPr>
          <w:rFonts w:ascii="宋体" w:hAnsi="宋体"/>
          <w:sz w:val="24"/>
        </w:rPr>
        <w:t>，</w:t>
      </w:r>
      <w:r>
        <w:rPr>
          <w:rFonts w:ascii="宋体" w:hAnsi="宋体"/>
          <w:sz w:val="24"/>
        </w:rPr>
        <w:t>www.jjmmw.com</w:t>
      </w:r>
    </w:p>
    <w:p w14:paraId="6A27B0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18</w:t>
      </w:r>
      <w:r>
        <w:rPr>
          <w:rFonts w:ascii="宋体" w:hAnsi="宋体"/>
          <w:sz w:val="24"/>
        </w:rPr>
        <w:t>）名称：蚂蚁（杭州）基金销售有限公司</w:t>
      </w:r>
    </w:p>
    <w:p w14:paraId="0F99FF4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w:t>
      </w:r>
      <w:r>
        <w:rPr>
          <w:rFonts w:ascii="宋体" w:hAnsi="宋体"/>
          <w:sz w:val="24"/>
        </w:rPr>
        <w:t>969</w:t>
      </w:r>
      <w:r>
        <w:rPr>
          <w:rFonts w:ascii="宋体" w:hAnsi="宋体"/>
          <w:sz w:val="24"/>
        </w:rPr>
        <w:t>号</w:t>
      </w:r>
      <w:r>
        <w:rPr>
          <w:rFonts w:ascii="宋体" w:hAnsi="宋体"/>
          <w:sz w:val="24"/>
        </w:rPr>
        <w:t>3</w:t>
      </w:r>
      <w:r>
        <w:rPr>
          <w:rFonts w:ascii="宋体" w:hAnsi="宋体"/>
          <w:sz w:val="24"/>
        </w:rPr>
        <w:t>幢</w:t>
      </w:r>
      <w:r>
        <w:rPr>
          <w:rFonts w:ascii="宋体" w:hAnsi="宋体"/>
          <w:sz w:val="24"/>
        </w:rPr>
        <w:t>5</w:t>
      </w:r>
      <w:r>
        <w:rPr>
          <w:rFonts w:ascii="宋体" w:hAnsi="宋体"/>
          <w:sz w:val="24"/>
        </w:rPr>
        <w:t>层</w:t>
      </w:r>
      <w:r>
        <w:rPr>
          <w:rFonts w:ascii="宋体" w:hAnsi="宋体"/>
          <w:sz w:val="24"/>
        </w:rPr>
        <w:t>599</w:t>
      </w:r>
      <w:r>
        <w:rPr>
          <w:rFonts w:ascii="宋体" w:hAnsi="宋体"/>
          <w:sz w:val="24"/>
        </w:rPr>
        <w:t>室</w:t>
      </w:r>
    </w:p>
    <w:p w14:paraId="21E1FE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w:t>
      </w:r>
      <w:r>
        <w:rPr>
          <w:rFonts w:ascii="宋体" w:hAnsi="宋体"/>
          <w:sz w:val="24"/>
        </w:rPr>
        <w:t>556</w:t>
      </w:r>
      <w:r>
        <w:rPr>
          <w:rFonts w:ascii="宋体" w:hAnsi="宋体"/>
          <w:sz w:val="24"/>
        </w:rPr>
        <w:t>号</w:t>
      </w:r>
    </w:p>
    <w:p w14:paraId="75FC0CA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14:paraId="617D3E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0571</w:t>
      </w:r>
      <w:r>
        <w:rPr>
          <w:rFonts w:ascii="宋体" w:hAnsi="宋体"/>
          <w:sz w:val="24"/>
        </w:rPr>
        <w:t>）</w:t>
      </w:r>
      <w:r>
        <w:rPr>
          <w:rFonts w:ascii="宋体" w:hAnsi="宋体"/>
          <w:sz w:val="24"/>
        </w:rPr>
        <w:t>28829790</w:t>
      </w:r>
      <w:r>
        <w:rPr>
          <w:rFonts w:ascii="宋体" w:hAnsi="宋体"/>
          <w:sz w:val="24"/>
        </w:rPr>
        <w:t>，（</w:t>
      </w:r>
      <w:r>
        <w:rPr>
          <w:rFonts w:ascii="宋体" w:hAnsi="宋体"/>
          <w:sz w:val="24"/>
        </w:rPr>
        <w:t>021</w:t>
      </w:r>
      <w:r>
        <w:rPr>
          <w:rFonts w:ascii="宋体" w:hAnsi="宋体"/>
          <w:sz w:val="24"/>
        </w:rPr>
        <w:t>）</w:t>
      </w:r>
      <w:r>
        <w:rPr>
          <w:rFonts w:ascii="宋体" w:hAnsi="宋体"/>
          <w:sz w:val="24"/>
        </w:rPr>
        <w:t>60897869</w:t>
      </w:r>
    </w:p>
    <w:p w14:paraId="1CE1EE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0571</w:t>
      </w:r>
      <w:r>
        <w:rPr>
          <w:rFonts w:ascii="宋体" w:hAnsi="宋体"/>
          <w:sz w:val="24"/>
        </w:rPr>
        <w:t>）</w:t>
      </w:r>
      <w:r>
        <w:rPr>
          <w:rFonts w:ascii="宋体" w:hAnsi="宋体"/>
          <w:sz w:val="24"/>
        </w:rPr>
        <w:t>26698533</w:t>
      </w:r>
    </w:p>
    <w:p w14:paraId="2293A0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14:paraId="148C4F8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95188-8</w:t>
      </w:r>
    </w:p>
    <w:p w14:paraId="65D4E3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www.fund123.cn</w:t>
      </w:r>
    </w:p>
    <w:p w14:paraId="331C71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19</w:t>
      </w:r>
      <w:r>
        <w:rPr>
          <w:rFonts w:ascii="宋体" w:hAnsi="宋体"/>
          <w:sz w:val="24"/>
        </w:rPr>
        <w:t>）名称：上海基煜基金销售有限公司</w:t>
      </w:r>
    </w:p>
    <w:p w14:paraId="65464B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住所：上海市崇明县长兴镇路潘园公路</w:t>
      </w:r>
      <w:r>
        <w:rPr>
          <w:rFonts w:ascii="宋体" w:hAnsi="宋体"/>
          <w:sz w:val="24"/>
        </w:rPr>
        <w:t>1800</w:t>
      </w:r>
      <w:r>
        <w:rPr>
          <w:rFonts w:ascii="宋体" w:hAnsi="宋体"/>
          <w:sz w:val="24"/>
        </w:rPr>
        <w:t>号</w:t>
      </w:r>
      <w:r>
        <w:rPr>
          <w:rFonts w:ascii="宋体" w:hAnsi="宋体"/>
          <w:sz w:val="24"/>
        </w:rPr>
        <w:t>2</w:t>
      </w:r>
      <w:r>
        <w:rPr>
          <w:rFonts w:ascii="宋体" w:hAnsi="宋体"/>
          <w:sz w:val="24"/>
        </w:rPr>
        <w:t>号楼</w:t>
      </w:r>
      <w:r>
        <w:rPr>
          <w:rFonts w:ascii="宋体" w:hAnsi="宋体"/>
          <w:sz w:val="24"/>
        </w:rPr>
        <w:t>6153</w:t>
      </w:r>
      <w:r>
        <w:rPr>
          <w:rFonts w:ascii="宋体" w:hAnsi="宋体"/>
          <w:sz w:val="24"/>
        </w:rPr>
        <w:t>室（上海泰和经济发</w:t>
      </w:r>
      <w:r>
        <w:rPr>
          <w:rFonts w:ascii="宋体" w:hAnsi="宋体"/>
          <w:sz w:val="24"/>
        </w:rPr>
        <w:lastRenderedPageBreak/>
        <w:t>展区）</w:t>
      </w:r>
    </w:p>
    <w:p w14:paraId="54DB41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办公地址：上海市杨浦区昆明路</w:t>
      </w:r>
      <w:r>
        <w:rPr>
          <w:rFonts w:ascii="宋体" w:hAnsi="宋体"/>
          <w:sz w:val="24"/>
        </w:rPr>
        <w:t>518</w:t>
      </w:r>
      <w:r>
        <w:rPr>
          <w:rFonts w:ascii="宋体" w:hAnsi="宋体"/>
          <w:sz w:val="24"/>
        </w:rPr>
        <w:t>号</w:t>
      </w:r>
      <w:r>
        <w:rPr>
          <w:rFonts w:ascii="宋体" w:hAnsi="宋体"/>
          <w:sz w:val="24"/>
        </w:rPr>
        <w:t>A1002</w:t>
      </w:r>
      <w:r>
        <w:rPr>
          <w:rFonts w:ascii="宋体" w:hAnsi="宋体"/>
          <w:sz w:val="24"/>
        </w:rPr>
        <w:t>室</w:t>
      </w:r>
    </w:p>
    <w:p w14:paraId="7A7352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14:paraId="352C26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65370077</w:t>
      </w:r>
    </w:p>
    <w:p w14:paraId="79CD356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55085991</w:t>
      </w:r>
    </w:p>
    <w:p w14:paraId="50862F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Pr>
          <w:rFonts w:ascii="宋体" w:hAnsi="宋体"/>
          <w:sz w:val="24"/>
        </w:rPr>
        <w:t>俞申莉</w:t>
      </w:r>
    </w:p>
    <w:p w14:paraId="46C895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021</w:t>
      </w:r>
      <w:r>
        <w:rPr>
          <w:rFonts w:ascii="宋体" w:hAnsi="宋体"/>
          <w:sz w:val="24"/>
        </w:rPr>
        <w:t>）</w:t>
      </w:r>
      <w:r>
        <w:rPr>
          <w:rFonts w:ascii="宋体" w:hAnsi="宋体"/>
          <w:sz w:val="24"/>
        </w:rPr>
        <w:t>65370077</w:t>
      </w:r>
    </w:p>
    <w:p w14:paraId="18102F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www.fofund.com.cn</w:t>
      </w:r>
    </w:p>
    <w:p w14:paraId="3FFB0BE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20</w:t>
      </w:r>
      <w:r>
        <w:rPr>
          <w:rFonts w:ascii="宋体" w:hAnsi="宋体"/>
          <w:sz w:val="24"/>
        </w:rPr>
        <w:t>）名称：和耕传承基金销售有限公司</w:t>
      </w:r>
    </w:p>
    <w:p w14:paraId="1D0484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w:t>
      </w:r>
      <w:r>
        <w:rPr>
          <w:rFonts w:ascii="宋体" w:hAnsi="宋体"/>
          <w:sz w:val="24"/>
        </w:rPr>
        <w:t>6</w:t>
      </w:r>
      <w:r>
        <w:rPr>
          <w:rFonts w:ascii="宋体" w:hAnsi="宋体"/>
          <w:sz w:val="24"/>
        </w:rPr>
        <w:t>号楼</w:t>
      </w:r>
      <w:r>
        <w:rPr>
          <w:rFonts w:ascii="宋体" w:hAnsi="宋体"/>
          <w:sz w:val="24"/>
        </w:rPr>
        <w:t>5</w:t>
      </w:r>
      <w:r>
        <w:rPr>
          <w:rFonts w:ascii="宋体" w:hAnsi="宋体"/>
          <w:sz w:val="24"/>
        </w:rPr>
        <w:t>楼</w:t>
      </w:r>
      <w:r>
        <w:rPr>
          <w:rFonts w:ascii="宋体" w:hAnsi="宋体"/>
          <w:sz w:val="24"/>
        </w:rPr>
        <w:t>503</w:t>
      </w:r>
    </w:p>
    <w:p w14:paraId="516C09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w:t>
      </w:r>
      <w:r>
        <w:rPr>
          <w:rFonts w:ascii="宋体" w:hAnsi="宋体"/>
          <w:sz w:val="24"/>
        </w:rPr>
        <w:t>6</w:t>
      </w:r>
      <w:r>
        <w:rPr>
          <w:rFonts w:ascii="宋体" w:hAnsi="宋体"/>
          <w:sz w:val="24"/>
        </w:rPr>
        <w:t>号楼</w:t>
      </w:r>
      <w:r>
        <w:rPr>
          <w:rFonts w:ascii="宋体" w:hAnsi="宋体"/>
          <w:sz w:val="24"/>
        </w:rPr>
        <w:t>5</w:t>
      </w:r>
      <w:r>
        <w:rPr>
          <w:rFonts w:ascii="宋体" w:hAnsi="宋体"/>
          <w:sz w:val="24"/>
        </w:rPr>
        <w:t>楼</w:t>
      </w:r>
      <w:r>
        <w:rPr>
          <w:rFonts w:ascii="宋体" w:hAnsi="宋体"/>
          <w:sz w:val="24"/>
        </w:rPr>
        <w:t>503</w:t>
      </w:r>
    </w:p>
    <w:p w14:paraId="38BD328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14:paraId="4D4853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0371-85518395</w:t>
      </w:r>
    </w:p>
    <w:p w14:paraId="6AC051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0371-85518397</w:t>
      </w:r>
    </w:p>
    <w:p w14:paraId="6F0FC3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14:paraId="4ADC1E6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4000555671</w:t>
      </w:r>
    </w:p>
    <w:p w14:paraId="798673E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www.hgccpb.com</w:t>
      </w:r>
    </w:p>
    <w:p w14:paraId="361A8BF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21</w:t>
      </w:r>
      <w:r>
        <w:rPr>
          <w:rFonts w:ascii="宋体" w:hAnsi="宋体"/>
          <w:sz w:val="24"/>
        </w:rPr>
        <w:t>）名称：北京度小满基金销售有限公司</w:t>
      </w:r>
    </w:p>
    <w:p w14:paraId="33784B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注册地址：北京市海淀区西北旺东路</w:t>
      </w:r>
      <w:r>
        <w:rPr>
          <w:rFonts w:ascii="宋体" w:hAnsi="宋体"/>
          <w:sz w:val="24"/>
        </w:rPr>
        <w:t>10</w:t>
      </w:r>
      <w:r>
        <w:rPr>
          <w:rFonts w:ascii="宋体" w:hAnsi="宋体"/>
          <w:sz w:val="24"/>
        </w:rPr>
        <w:t>号院西区</w:t>
      </w:r>
      <w:r>
        <w:rPr>
          <w:rFonts w:ascii="宋体" w:hAnsi="宋体"/>
          <w:sz w:val="24"/>
        </w:rPr>
        <w:t>4</w:t>
      </w:r>
      <w:r>
        <w:rPr>
          <w:rFonts w:ascii="宋体" w:hAnsi="宋体"/>
          <w:sz w:val="24"/>
        </w:rPr>
        <w:t>号楼</w:t>
      </w:r>
      <w:r>
        <w:rPr>
          <w:rFonts w:ascii="宋体" w:hAnsi="宋体"/>
          <w:sz w:val="24"/>
        </w:rPr>
        <w:t>1</w:t>
      </w:r>
      <w:r>
        <w:rPr>
          <w:rFonts w:ascii="宋体" w:hAnsi="宋体"/>
          <w:sz w:val="24"/>
        </w:rPr>
        <w:t>层</w:t>
      </w:r>
      <w:r>
        <w:rPr>
          <w:rFonts w:ascii="宋体" w:hAnsi="宋体"/>
          <w:sz w:val="24"/>
        </w:rPr>
        <w:t>103</w:t>
      </w:r>
      <w:r>
        <w:rPr>
          <w:rFonts w:ascii="宋体" w:hAnsi="宋体"/>
          <w:sz w:val="24"/>
        </w:rPr>
        <w:t>室</w:t>
      </w:r>
    </w:p>
    <w:p w14:paraId="28E93CB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法定代表人：葛新</w:t>
      </w:r>
    </w:p>
    <w:p w14:paraId="16CB0E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办公地址：北京市海淀区西北旺东路</w:t>
      </w:r>
      <w:r>
        <w:rPr>
          <w:rFonts w:ascii="宋体" w:hAnsi="宋体"/>
          <w:sz w:val="24"/>
        </w:rPr>
        <w:t>10</w:t>
      </w:r>
      <w:r>
        <w:rPr>
          <w:rFonts w:ascii="宋体" w:hAnsi="宋体"/>
          <w:sz w:val="24"/>
        </w:rPr>
        <w:t>号院西区</w:t>
      </w:r>
      <w:r>
        <w:rPr>
          <w:rFonts w:ascii="宋体" w:hAnsi="宋体"/>
          <w:sz w:val="24"/>
        </w:rPr>
        <w:t>4</w:t>
      </w:r>
      <w:r>
        <w:rPr>
          <w:rFonts w:ascii="宋体" w:hAnsi="宋体"/>
          <w:sz w:val="24"/>
        </w:rPr>
        <w:t>号楼</w:t>
      </w:r>
    </w:p>
    <w:p w14:paraId="07066B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机构联系人：王笑宇</w:t>
      </w:r>
    </w:p>
    <w:p w14:paraId="1C5372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联系人电话：</w:t>
      </w:r>
      <w:r>
        <w:rPr>
          <w:rFonts w:ascii="宋体" w:hAnsi="宋体"/>
          <w:sz w:val="24"/>
        </w:rPr>
        <w:t>010-59403028</w:t>
      </w:r>
    </w:p>
    <w:p w14:paraId="48543D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联系人传真：</w:t>
      </w:r>
      <w:r>
        <w:rPr>
          <w:rFonts w:ascii="宋体" w:hAnsi="宋体"/>
          <w:sz w:val="24"/>
        </w:rPr>
        <w:t>010-59403027</w:t>
      </w:r>
    </w:p>
    <w:p w14:paraId="62D68EA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95055-4</w:t>
      </w:r>
    </w:p>
    <w:p w14:paraId="5C2C1D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t>
      </w:r>
      <w:r>
        <w:rPr>
          <w:rFonts w:ascii="宋体" w:hAnsi="宋体"/>
          <w:sz w:val="24"/>
        </w:rPr>
        <w:t>www.baiyingfund.com</w:t>
      </w:r>
    </w:p>
    <w:p w14:paraId="2369EB2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22</w:t>
      </w:r>
      <w:r>
        <w:rPr>
          <w:rFonts w:ascii="宋体" w:hAnsi="宋体"/>
          <w:sz w:val="24"/>
        </w:rPr>
        <w:t>）名称：珠海盈米基金销售有限公司</w:t>
      </w:r>
    </w:p>
    <w:p w14:paraId="316EE9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w:t>
      </w:r>
      <w:r>
        <w:rPr>
          <w:rFonts w:ascii="宋体" w:hAnsi="宋体"/>
          <w:sz w:val="24"/>
        </w:rPr>
        <w:t>6</w:t>
      </w:r>
      <w:r>
        <w:rPr>
          <w:rFonts w:ascii="宋体" w:hAnsi="宋体"/>
          <w:sz w:val="24"/>
        </w:rPr>
        <w:t>号</w:t>
      </w:r>
      <w:r>
        <w:rPr>
          <w:rFonts w:ascii="宋体" w:hAnsi="宋体"/>
          <w:sz w:val="24"/>
        </w:rPr>
        <w:t>105</w:t>
      </w:r>
      <w:r>
        <w:rPr>
          <w:rFonts w:ascii="宋体" w:hAnsi="宋体"/>
          <w:sz w:val="24"/>
        </w:rPr>
        <w:t>室</w:t>
      </w:r>
      <w:r>
        <w:rPr>
          <w:rFonts w:ascii="宋体" w:hAnsi="宋体"/>
          <w:sz w:val="24"/>
        </w:rPr>
        <w:t>-3491</w:t>
      </w:r>
    </w:p>
    <w:p w14:paraId="07072F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w:t>
      </w:r>
      <w:r>
        <w:rPr>
          <w:rFonts w:ascii="宋体" w:hAnsi="宋体"/>
          <w:sz w:val="24"/>
        </w:rPr>
        <w:t>1</w:t>
      </w:r>
      <w:r>
        <w:rPr>
          <w:rFonts w:ascii="宋体" w:hAnsi="宋体"/>
          <w:sz w:val="24"/>
        </w:rPr>
        <w:t>号保利国际广场南塔</w:t>
      </w:r>
      <w:r>
        <w:rPr>
          <w:rFonts w:ascii="宋体" w:hAnsi="宋体"/>
          <w:sz w:val="24"/>
        </w:rPr>
        <w:t>12</w:t>
      </w:r>
      <w:r>
        <w:rPr>
          <w:rFonts w:ascii="宋体" w:hAnsi="宋体"/>
          <w:sz w:val="24"/>
        </w:rPr>
        <w:t>楼</w:t>
      </w:r>
      <w:r>
        <w:rPr>
          <w:rFonts w:ascii="宋体" w:hAnsi="宋体"/>
          <w:sz w:val="24"/>
        </w:rPr>
        <w:t>B1201-1203</w:t>
      </w:r>
    </w:p>
    <w:p w14:paraId="39AE38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法定代表人：肖雯</w:t>
      </w:r>
    </w:p>
    <w:p w14:paraId="6BC7A6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020</w:t>
      </w:r>
      <w:r>
        <w:rPr>
          <w:rFonts w:ascii="宋体" w:hAnsi="宋体"/>
          <w:sz w:val="24"/>
        </w:rPr>
        <w:t>）</w:t>
      </w:r>
      <w:r>
        <w:rPr>
          <w:rFonts w:ascii="宋体" w:hAnsi="宋体"/>
          <w:sz w:val="24"/>
        </w:rPr>
        <w:t>89629099</w:t>
      </w:r>
    </w:p>
    <w:p w14:paraId="653F529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020</w:t>
      </w:r>
      <w:r>
        <w:rPr>
          <w:rFonts w:ascii="宋体" w:hAnsi="宋体"/>
          <w:sz w:val="24"/>
        </w:rPr>
        <w:t>）</w:t>
      </w:r>
      <w:r>
        <w:rPr>
          <w:rFonts w:ascii="宋体" w:hAnsi="宋体"/>
          <w:sz w:val="24"/>
        </w:rPr>
        <w:t>89629011</w:t>
      </w:r>
    </w:p>
    <w:p w14:paraId="4950F6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14:paraId="41FF001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020</w:t>
      </w:r>
      <w:r>
        <w:rPr>
          <w:rFonts w:ascii="宋体" w:hAnsi="宋体"/>
          <w:sz w:val="24"/>
        </w:rPr>
        <w:t>）</w:t>
      </w:r>
      <w:r>
        <w:rPr>
          <w:rFonts w:ascii="宋体" w:hAnsi="宋体"/>
          <w:sz w:val="24"/>
        </w:rPr>
        <w:t>89629066</w:t>
      </w:r>
    </w:p>
    <w:p w14:paraId="6EB363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www.yingmi.com</w:t>
      </w:r>
    </w:p>
    <w:p w14:paraId="730583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23</w:t>
      </w:r>
      <w:r>
        <w:rPr>
          <w:rFonts w:ascii="宋体" w:hAnsi="宋体"/>
          <w:sz w:val="24"/>
        </w:rPr>
        <w:t>）名称：北京创金启富基金销售有限公司</w:t>
      </w:r>
    </w:p>
    <w:p w14:paraId="35882BC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w:t>
      </w:r>
      <w:r>
        <w:rPr>
          <w:rFonts w:ascii="宋体" w:hAnsi="宋体"/>
          <w:sz w:val="24"/>
        </w:rPr>
        <w:t xml:space="preserve"> </w:t>
      </w:r>
      <w:r>
        <w:rPr>
          <w:rFonts w:ascii="宋体" w:hAnsi="宋体"/>
          <w:sz w:val="24"/>
        </w:rPr>
        <w:t>北京市西城区白纸坊东街</w:t>
      </w:r>
      <w:r>
        <w:rPr>
          <w:rFonts w:ascii="宋体" w:hAnsi="宋体"/>
          <w:sz w:val="24"/>
        </w:rPr>
        <w:t>2</w:t>
      </w:r>
      <w:r>
        <w:rPr>
          <w:rFonts w:ascii="宋体" w:hAnsi="宋体"/>
          <w:sz w:val="24"/>
        </w:rPr>
        <w:t>号院</w:t>
      </w:r>
      <w:r>
        <w:rPr>
          <w:rFonts w:ascii="宋体" w:hAnsi="宋体"/>
          <w:sz w:val="24"/>
        </w:rPr>
        <w:t>6</w:t>
      </w:r>
      <w:r>
        <w:rPr>
          <w:rFonts w:ascii="宋体" w:hAnsi="宋体"/>
          <w:sz w:val="24"/>
        </w:rPr>
        <w:t>号楼</w:t>
      </w:r>
      <w:r>
        <w:rPr>
          <w:rFonts w:ascii="宋体" w:hAnsi="宋体"/>
          <w:sz w:val="24"/>
        </w:rPr>
        <w:t>712</w:t>
      </w:r>
      <w:r>
        <w:rPr>
          <w:rFonts w:ascii="宋体" w:hAnsi="宋体"/>
          <w:sz w:val="24"/>
        </w:rPr>
        <w:t>室</w:t>
      </w:r>
    </w:p>
    <w:p w14:paraId="440528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Pr>
          <w:rFonts w:ascii="宋体" w:hAnsi="宋体"/>
          <w:sz w:val="24"/>
        </w:rPr>
        <w:t xml:space="preserve"> </w:t>
      </w:r>
      <w:r>
        <w:rPr>
          <w:rFonts w:ascii="宋体" w:hAnsi="宋体"/>
          <w:sz w:val="24"/>
        </w:rPr>
        <w:t>北京市西城区白纸坊东街</w:t>
      </w:r>
      <w:r>
        <w:rPr>
          <w:rFonts w:ascii="宋体" w:hAnsi="宋体"/>
          <w:sz w:val="24"/>
        </w:rPr>
        <w:t>2</w:t>
      </w:r>
      <w:r>
        <w:rPr>
          <w:rFonts w:ascii="宋体" w:hAnsi="宋体"/>
          <w:sz w:val="24"/>
        </w:rPr>
        <w:t>号院</w:t>
      </w:r>
      <w:r>
        <w:rPr>
          <w:rFonts w:ascii="宋体" w:hAnsi="宋体"/>
          <w:sz w:val="24"/>
        </w:rPr>
        <w:t>6</w:t>
      </w:r>
      <w:r>
        <w:rPr>
          <w:rFonts w:ascii="宋体" w:hAnsi="宋体"/>
          <w:sz w:val="24"/>
        </w:rPr>
        <w:t>号楼</w:t>
      </w:r>
      <w:r>
        <w:rPr>
          <w:rFonts w:ascii="宋体" w:hAnsi="宋体"/>
          <w:sz w:val="24"/>
        </w:rPr>
        <w:t>712</w:t>
      </w:r>
      <w:r>
        <w:rPr>
          <w:rFonts w:ascii="宋体" w:hAnsi="宋体"/>
          <w:sz w:val="24"/>
        </w:rPr>
        <w:t>室</w:t>
      </w:r>
    </w:p>
    <w:p w14:paraId="14E8AB4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Pr>
          <w:rFonts w:ascii="宋体" w:hAnsi="宋体"/>
          <w:sz w:val="24"/>
        </w:rPr>
        <w:t xml:space="preserve"> </w:t>
      </w:r>
      <w:r>
        <w:rPr>
          <w:rFonts w:ascii="宋体" w:hAnsi="宋体"/>
          <w:sz w:val="24"/>
        </w:rPr>
        <w:t>梁蓉</w:t>
      </w:r>
    </w:p>
    <w:p w14:paraId="3CFEB1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010-66154828-8047</w:t>
      </w:r>
    </w:p>
    <w:p w14:paraId="11F819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010-63583991</w:t>
      </w:r>
    </w:p>
    <w:p w14:paraId="7603CC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Pr>
          <w:rFonts w:ascii="宋体" w:hAnsi="宋体"/>
          <w:sz w:val="24"/>
        </w:rPr>
        <w:t xml:space="preserve"> </w:t>
      </w:r>
      <w:r>
        <w:rPr>
          <w:rFonts w:ascii="宋体" w:hAnsi="宋体"/>
          <w:sz w:val="24"/>
        </w:rPr>
        <w:t>魏素清</w:t>
      </w:r>
    </w:p>
    <w:p w14:paraId="0AD1FF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010-66154828</w:t>
      </w:r>
    </w:p>
    <w:p w14:paraId="353BC6A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 xml:space="preserve"> https://www.5irich.com</w:t>
      </w:r>
    </w:p>
    <w:p w14:paraId="514199F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24</w:t>
      </w:r>
      <w:r>
        <w:rPr>
          <w:rFonts w:ascii="宋体" w:hAnsi="宋体"/>
          <w:sz w:val="24"/>
        </w:rPr>
        <w:t>）名称：浙江同花顺基金销售有限公司</w:t>
      </w:r>
    </w:p>
    <w:p w14:paraId="5CBB63C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w:t>
      </w:r>
      <w:r>
        <w:rPr>
          <w:rFonts w:ascii="宋体" w:hAnsi="宋体"/>
          <w:sz w:val="24"/>
        </w:rPr>
        <w:t>1</w:t>
      </w:r>
      <w:r>
        <w:rPr>
          <w:rFonts w:ascii="宋体" w:hAnsi="宋体"/>
          <w:sz w:val="24"/>
        </w:rPr>
        <w:t>号元茂大厦</w:t>
      </w:r>
      <w:r>
        <w:rPr>
          <w:rFonts w:ascii="宋体" w:hAnsi="宋体"/>
          <w:sz w:val="24"/>
        </w:rPr>
        <w:t>903</w:t>
      </w:r>
    </w:p>
    <w:p w14:paraId="1BEFB0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办公地址：浙江杭州余杭区五常街道同顺街</w:t>
      </w:r>
      <w:r>
        <w:rPr>
          <w:rFonts w:ascii="宋体" w:hAnsi="宋体"/>
          <w:sz w:val="24"/>
        </w:rPr>
        <w:t>18</w:t>
      </w:r>
      <w:r>
        <w:rPr>
          <w:rFonts w:ascii="宋体" w:hAnsi="宋体"/>
          <w:sz w:val="24"/>
        </w:rPr>
        <w:t>号</w:t>
      </w:r>
    </w:p>
    <w:p w14:paraId="55436A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法定代表人：吴强</w:t>
      </w:r>
    </w:p>
    <w:p w14:paraId="165F4B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0571</w:t>
      </w:r>
      <w:r>
        <w:rPr>
          <w:rFonts w:ascii="宋体" w:hAnsi="宋体"/>
          <w:sz w:val="24"/>
        </w:rPr>
        <w:t>）</w:t>
      </w:r>
      <w:r>
        <w:rPr>
          <w:rFonts w:ascii="宋体" w:hAnsi="宋体"/>
          <w:sz w:val="24"/>
        </w:rPr>
        <w:t>88911818</w:t>
      </w:r>
    </w:p>
    <w:p w14:paraId="60E62E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0571</w:t>
      </w:r>
      <w:r>
        <w:rPr>
          <w:rFonts w:ascii="宋体" w:hAnsi="宋体"/>
          <w:sz w:val="24"/>
        </w:rPr>
        <w:t>）</w:t>
      </w:r>
      <w:r>
        <w:rPr>
          <w:rFonts w:ascii="宋体" w:hAnsi="宋体"/>
          <w:sz w:val="24"/>
        </w:rPr>
        <w:t>86800423</w:t>
      </w:r>
    </w:p>
    <w:p w14:paraId="798CB6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14:paraId="263A2A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952555</w:t>
      </w:r>
    </w:p>
    <w:p w14:paraId="2075715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https://fund.10jqka.com.cn/</w:t>
      </w:r>
    </w:p>
    <w:p w14:paraId="548AC8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25</w:t>
      </w:r>
      <w:r>
        <w:rPr>
          <w:rFonts w:ascii="宋体" w:hAnsi="宋体"/>
          <w:sz w:val="24"/>
        </w:rPr>
        <w:t>）名称：北京汇成基金销售有限公司</w:t>
      </w:r>
    </w:p>
    <w:p w14:paraId="6B44C1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w:t>
      </w:r>
      <w:r>
        <w:rPr>
          <w:rFonts w:ascii="宋体" w:hAnsi="宋体"/>
          <w:sz w:val="24"/>
        </w:rPr>
        <w:t>1</w:t>
      </w:r>
      <w:r>
        <w:rPr>
          <w:rFonts w:ascii="宋体" w:hAnsi="宋体"/>
          <w:sz w:val="24"/>
        </w:rPr>
        <w:t>号</w:t>
      </w:r>
      <w:r>
        <w:rPr>
          <w:rFonts w:ascii="宋体" w:hAnsi="宋体"/>
          <w:sz w:val="24"/>
        </w:rPr>
        <w:t>4</w:t>
      </w:r>
      <w:r>
        <w:rPr>
          <w:rFonts w:ascii="宋体" w:hAnsi="宋体"/>
          <w:sz w:val="24"/>
        </w:rPr>
        <w:t>层</w:t>
      </w:r>
      <w:r>
        <w:rPr>
          <w:rFonts w:ascii="宋体" w:hAnsi="宋体"/>
          <w:sz w:val="24"/>
        </w:rPr>
        <w:t>401-2</w:t>
      </w:r>
    </w:p>
    <w:p w14:paraId="47C8AA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w:t>
      </w:r>
      <w:r>
        <w:rPr>
          <w:rFonts w:ascii="宋体" w:hAnsi="宋体"/>
          <w:sz w:val="24"/>
        </w:rPr>
        <w:t>1</w:t>
      </w:r>
      <w:r>
        <w:rPr>
          <w:rFonts w:ascii="宋体" w:hAnsi="宋体"/>
          <w:sz w:val="24"/>
        </w:rPr>
        <w:t>号环球财讯中心</w:t>
      </w:r>
      <w:r>
        <w:rPr>
          <w:rFonts w:ascii="宋体" w:hAnsi="宋体"/>
          <w:sz w:val="24"/>
        </w:rPr>
        <w:t>D</w:t>
      </w:r>
      <w:r>
        <w:rPr>
          <w:rFonts w:ascii="宋体" w:hAnsi="宋体"/>
          <w:sz w:val="24"/>
        </w:rPr>
        <w:t>座</w:t>
      </w:r>
      <w:r>
        <w:rPr>
          <w:rFonts w:ascii="宋体" w:hAnsi="宋体"/>
          <w:sz w:val="24"/>
        </w:rPr>
        <w:t>4</w:t>
      </w:r>
      <w:r>
        <w:rPr>
          <w:rFonts w:ascii="宋体" w:hAnsi="宋体"/>
          <w:sz w:val="24"/>
        </w:rPr>
        <w:t>层</w:t>
      </w:r>
      <w:r>
        <w:rPr>
          <w:rFonts w:ascii="宋体" w:hAnsi="宋体"/>
          <w:sz w:val="24"/>
        </w:rPr>
        <w:t>401-2</w:t>
      </w:r>
    </w:p>
    <w:p w14:paraId="784A773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14:paraId="5BCC440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56282140</w:t>
      </w:r>
    </w:p>
    <w:p w14:paraId="465BCD9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62680827</w:t>
      </w:r>
    </w:p>
    <w:p w14:paraId="4AEAE1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联系人：张林</w:t>
      </w:r>
    </w:p>
    <w:p w14:paraId="2FC805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400-619-9059</w:t>
      </w:r>
    </w:p>
    <w:p w14:paraId="27894ED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www.hcfunds.co</w:t>
      </w:r>
    </w:p>
    <w:p w14:paraId="59A30B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26</w:t>
      </w:r>
      <w:r>
        <w:rPr>
          <w:rFonts w:ascii="宋体" w:hAnsi="宋体"/>
          <w:sz w:val="24"/>
        </w:rPr>
        <w:t>）名称：济安财富（北京）基金销售有限公司</w:t>
      </w:r>
    </w:p>
    <w:p w14:paraId="5F00662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w:t>
      </w:r>
      <w:r>
        <w:rPr>
          <w:rFonts w:ascii="宋体" w:hAnsi="宋体"/>
          <w:sz w:val="24"/>
        </w:rPr>
        <w:t>16</w:t>
      </w:r>
      <w:r>
        <w:rPr>
          <w:rFonts w:ascii="宋体" w:hAnsi="宋体"/>
          <w:sz w:val="24"/>
        </w:rPr>
        <w:t>号院</w:t>
      </w:r>
      <w:r>
        <w:rPr>
          <w:rFonts w:ascii="宋体" w:hAnsi="宋体"/>
          <w:sz w:val="24"/>
        </w:rPr>
        <w:t>1</w:t>
      </w:r>
      <w:r>
        <w:rPr>
          <w:rFonts w:ascii="宋体" w:hAnsi="宋体"/>
          <w:sz w:val="24"/>
        </w:rPr>
        <w:t>号楼</w:t>
      </w:r>
      <w:r>
        <w:rPr>
          <w:rFonts w:ascii="宋体" w:hAnsi="宋体"/>
          <w:sz w:val="24"/>
        </w:rPr>
        <w:t>10</w:t>
      </w:r>
      <w:r>
        <w:rPr>
          <w:rFonts w:ascii="宋体" w:hAnsi="宋体"/>
          <w:sz w:val="24"/>
        </w:rPr>
        <w:t>层</w:t>
      </w:r>
      <w:r>
        <w:rPr>
          <w:rFonts w:ascii="宋体" w:hAnsi="宋体"/>
          <w:sz w:val="24"/>
        </w:rPr>
        <w:t>1005</w:t>
      </w:r>
    </w:p>
    <w:p w14:paraId="2D5B351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w:t>
      </w:r>
      <w:r>
        <w:rPr>
          <w:rFonts w:ascii="宋体" w:hAnsi="宋体"/>
          <w:sz w:val="24"/>
        </w:rPr>
        <w:t>16</w:t>
      </w:r>
      <w:r>
        <w:rPr>
          <w:rFonts w:ascii="宋体" w:hAnsi="宋体"/>
          <w:sz w:val="24"/>
        </w:rPr>
        <w:t>号院</w:t>
      </w:r>
      <w:r>
        <w:rPr>
          <w:rFonts w:ascii="宋体" w:hAnsi="宋体"/>
          <w:sz w:val="24"/>
        </w:rPr>
        <w:t>1</w:t>
      </w:r>
      <w:r>
        <w:rPr>
          <w:rFonts w:ascii="宋体" w:hAnsi="宋体"/>
          <w:sz w:val="24"/>
        </w:rPr>
        <w:t>号楼</w:t>
      </w:r>
      <w:r>
        <w:rPr>
          <w:rFonts w:ascii="宋体" w:hAnsi="宋体"/>
          <w:sz w:val="24"/>
        </w:rPr>
        <w:t>11</w:t>
      </w:r>
      <w:r>
        <w:rPr>
          <w:rFonts w:ascii="宋体" w:hAnsi="宋体"/>
          <w:sz w:val="24"/>
        </w:rPr>
        <w:t>层</w:t>
      </w:r>
      <w:r>
        <w:rPr>
          <w:rFonts w:ascii="宋体" w:hAnsi="宋体"/>
          <w:sz w:val="24"/>
        </w:rPr>
        <w:t>1105</w:t>
      </w:r>
    </w:p>
    <w:p w14:paraId="1F108E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14:paraId="592AE72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010-65309516</w:t>
      </w:r>
    </w:p>
    <w:p w14:paraId="5DF2B3B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010-65330699</w:t>
      </w:r>
    </w:p>
    <w:p w14:paraId="42E5203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14:paraId="6B11A25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400-673-7010</w:t>
      </w:r>
    </w:p>
    <w:p w14:paraId="1E8CCA1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www.jianfortune.com</w:t>
      </w:r>
    </w:p>
    <w:p w14:paraId="1A3134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27</w:t>
      </w:r>
      <w:r>
        <w:rPr>
          <w:rFonts w:ascii="宋体" w:hAnsi="宋体"/>
          <w:sz w:val="24"/>
        </w:rPr>
        <w:t>）名称：嘉实财富管理有限公司</w:t>
      </w:r>
    </w:p>
    <w:p w14:paraId="6CACD8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住所：海南省三亚市天涯区三亚湾路国际客运港区国际养生度假中心酒店</w:t>
      </w:r>
      <w:r>
        <w:rPr>
          <w:rFonts w:ascii="宋体" w:hAnsi="宋体"/>
          <w:sz w:val="24"/>
        </w:rPr>
        <w:t>B</w:t>
      </w:r>
      <w:r>
        <w:rPr>
          <w:rFonts w:ascii="宋体" w:hAnsi="宋体"/>
          <w:sz w:val="24"/>
        </w:rPr>
        <w:t>座</w:t>
      </w:r>
      <w:r>
        <w:rPr>
          <w:rFonts w:ascii="宋体" w:hAnsi="宋体"/>
          <w:sz w:val="24"/>
        </w:rPr>
        <w:t>(2</w:t>
      </w:r>
      <w:r>
        <w:rPr>
          <w:rFonts w:ascii="宋体" w:hAnsi="宋体"/>
          <w:sz w:val="24"/>
        </w:rPr>
        <w:t>＃楼</w:t>
      </w:r>
      <w:r>
        <w:rPr>
          <w:rFonts w:ascii="宋体" w:hAnsi="宋体"/>
          <w:sz w:val="24"/>
        </w:rPr>
        <w:t>)27</w:t>
      </w:r>
      <w:r>
        <w:rPr>
          <w:rFonts w:ascii="宋体" w:hAnsi="宋体"/>
          <w:sz w:val="24"/>
        </w:rPr>
        <w:t>楼</w:t>
      </w:r>
      <w:r>
        <w:rPr>
          <w:rFonts w:ascii="宋体" w:hAnsi="宋体"/>
          <w:sz w:val="24"/>
        </w:rPr>
        <w:t>2714</w:t>
      </w:r>
      <w:r>
        <w:rPr>
          <w:rFonts w:ascii="宋体" w:hAnsi="宋体"/>
          <w:sz w:val="24"/>
        </w:rPr>
        <w:t>室</w:t>
      </w:r>
    </w:p>
    <w:p w14:paraId="3DF5D62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办公地址及其联系方式：北京市朝阳区建国门外大街</w:t>
      </w:r>
      <w:r>
        <w:rPr>
          <w:rFonts w:ascii="宋体" w:hAnsi="宋体"/>
          <w:sz w:val="24"/>
        </w:rPr>
        <w:t>21</w:t>
      </w:r>
      <w:r>
        <w:rPr>
          <w:rFonts w:ascii="宋体" w:hAnsi="宋体"/>
          <w:sz w:val="24"/>
        </w:rPr>
        <w:t>号北京国际俱乐部</w:t>
      </w:r>
      <w:r>
        <w:rPr>
          <w:rFonts w:ascii="宋体" w:hAnsi="宋体"/>
          <w:sz w:val="24"/>
        </w:rPr>
        <w:t>C</w:t>
      </w:r>
      <w:r>
        <w:rPr>
          <w:rFonts w:ascii="宋体" w:hAnsi="宋体"/>
          <w:sz w:val="24"/>
        </w:rPr>
        <w:t>座</w:t>
      </w:r>
    </w:p>
    <w:p w14:paraId="1B24A88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Pr>
          <w:rFonts w:ascii="宋体" w:hAnsi="宋体"/>
          <w:sz w:val="24"/>
        </w:rPr>
        <w:t xml:space="preserve">: </w:t>
      </w:r>
      <w:r>
        <w:rPr>
          <w:rFonts w:ascii="宋体" w:hAnsi="宋体"/>
          <w:sz w:val="24"/>
        </w:rPr>
        <w:t>张峰</w:t>
      </w:r>
    </w:p>
    <w:p w14:paraId="6862E6A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 xml:space="preserve"> 010-85097302</w:t>
      </w:r>
    </w:p>
    <w:p w14:paraId="3537DF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联系人：闫欢</w:t>
      </w:r>
    </w:p>
    <w:p w14:paraId="3B85FF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400-021-8850</w:t>
      </w:r>
    </w:p>
    <w:p w14:paraId="1EB60E1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t>
      </w:r>
      <w:r>
        <w:rPr>
          <w:rFonts w:ascii="宋体" w:hAnsi="宋体"/>
          <w:sz w:val="24"/>
        </w:rPr>
        <w:t>http://www.harvestwm.cn</w:t>
      </w:r>
    </w:p>
    <w:p w14:paraId="494665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28</w:t>
      </w:r>
      <w:r>
        <w:rPr>
          <w:rFonts w:ascii="宋体" w:hAnsi="宋体"/>
          <w:sz w:val="24"/>
        </w:rPr>
        <w:t>）名称：大连网金基金销售有限公司</w:t>
      </w:r>
    </w:p>
    <w:p w14:paraId="2CC07D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w:t>
      </w:r>
      <w:r>
        <w:rPr>
          <w:rFonts w:ascii="宋体" w:hAnsi="宋体"/>
          <w:sz w:val="24"/>
        </w:rPr>
        <w:t xml:space="preserve"> </w:t>
      </w:r>
      <w:r>
        <w:rPr>
          <w:rFonts w:ascii="宋体" w:hAnsi="宋体"/>
          <w:sz w:val="24"/>
        </w:rPr>
        <w:t>辽宁省大连市沙河口区体坛路</w:t>
      </w:r>
      <w:r>
        <w:rPr>
          <w:rFonts w:ascii="宋体" w:hAnsi="宋体"/>
          <w:sz w:val="24"/>
        </w:rPr>
        <w:t>22</w:t>
      </w:r>
      <w:r>
        <w:rPr>
          <w:rFonts w:ascii="宋体" w:hAnsi="宋体"/>
          <w:sz w:val="24"/>
        </w:rPr>
        <w:t>号诺德大厦</w:t>
      </w:r>
      <w:r>
        <w:rPr>
          <w:rFonts w:ascii="宋体" w:hAnsi="宋体"/>
          <w:sz w:val="24"/>
        </w:rPr>
        <w:t>2</w:t>
      </w:r>
      <w:r>
        <w:rPr>
          <w:rFonts w:ascii="宋体" w:hAnsi="宋体"/>
          <w:sz w:val="24"/>
        </w:rPr>
        <w:t>层</w:t>
      </w:r>
      <w:r>
        <w:rPr>
          <w:rFonts w:ascii="宋体" w:hAnsi="宋体"/>
          <w:sz w:val="24"/>
        </w:rPr>
        <w:t>202</w:t>
      </w:r>
      <w:r>
        <w:rPr>
          <w:rFonts w:ascii="宋体" w:hAnsi="宋体"/>
          <w:sz w:val="24"/>
        </w:rPr>
        <w:t>室</w:t>
      </w:r>
    </w:p>
    <w:p w14:paraId="6F92DA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Pr>
          <w:rFonts w:ascii="宋体" w:hAnsi="宋体"/>
          <w:sz w:val="24"/>
        </w:rPr>
        <w:t xml:space="preserve"> </w:t>
      </w:r>
      <w:r>
        <w:rPr>
          <w:rFonts w:ascii="宋体" w:hAnsi="宋体"/>
          <w:sz w:val="24"/>
        </w:rPr>
        <w:t>辽宁省大连市沙河口区体坛路</w:t>
      </w:r>
      <w:r>
        <w:rPr>
          <w:rFonts w:ascii="宋体" w:hAnsi="宋体"/>
          <w:sz w:val="24"/>
        </w:rPr>
        <w:t>2</w:t>
      </w:r>
      <w:r>
        <w:rPr>
          <w:rFonts w:ascii="宋体" w:hAnsi="宋体"/>
          <w:sz w:val="24"/>
        </w:rPr>
        <w:t>2</w:t>
      </w:r>
      <w:r>
        <w:rPr>
          <w:rFonts w:ascii="宋体" w:hAnsi="宋体"/>
          <w:sz w:val="24"/>
        </w:rPr>
        <w:t>号诺德大厦</w:t>
      </w:r>
      <w:r>
        <w:rPr>
          <w:rFonts w:ascii="宋体" w:hAnsi="宋体"/>
          <w:sz w:val="24"/>
        </w:rPr>
        <w:t>2</w:t>
      </w:r>
      <w:r>
        <w:rPr>
          <w:rFonts w:ascii="宋体" w:hAnsi="宋体"/>
          <w:sz w:val="24"/>
        </w:rPr>
        <w:t>层</w:t>
      </w:r>
      <w:r>
        <w:rPr>
          <w:rFonts w:ascii="宋体" w:hAnsi="宋体"/>
          <w:sz w:val="24"/>
        </w:rPr>
        <w:t>202</w:t>
      </w:r>
      <w:r>
        <w:rPr>
          <w:rFonts w:ascii="宋体" w:hAnsi="宋体"/>
          <w:sz w:val="24"/>
        </w:rPr>
        <w:t>室</w:t>
      </w:r>
    </w:p>
    <w:p w14:paraId="6FCC5BD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Pr>
          <w:rFonts w:ascii="宋体" w:hAnsi="宋体"/>
          <w:sz w:val="24"/>
        </w:rPr>
        <w:t xml:space="preserve"> </w:t>
      </w:r>
      <w:r>
        <w:rPr>
          <w:rFonts w:ascii="宋体" w:hAnsi="宋体"/>
          <w:sz w:val="24"/>
        </w:rPr>
        <w:t>樊怀东</w:t>
      </w:r>
    </w:p>
    <w:p w14:paraId="0DECFC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0411-39027810</w:t>
      </w:r>
      <w:r>
        <w:rPr>
          <w:rFonts w:ascii="宋体" w:hAnsi="宋体"/>
          <w:sz w:val="24"/>
        </w:rPr>
        <w:t>）</w:t>
      </w:r>
    </w:p>
    <w:p w14:paraId="57937B4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0411-39027835</w:t>
      </w:r>
      <w:r>
        <w:rPr>
          <w:rFonts w:ascii="宋体" w:hAnsi="宋体"/>
          <w:sz w:val="24"/>
        </w:rPr>
        <w:t>）</w:t>
      </w:r>
    </w:p>
    <w:p w14:paraId="4FEC40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Pr>
          <w:rFonts w:ascii="宋体" w:hAnsi="宋体"/>
          <w:sz w:val="24"/>
        </w:rPr>
        <w:t xml:space="preserve"> </w:t>
      </w:r>
      <w:r>
        <w:rPr>
          <w:rFonts w:ascii="宋体" w:hAnsi="宋体"/>
          <w:sz w:val="24"/>
        </w:rPr>
        <w:t>于秀</w:t>
      </w:r>
    </w:p>
    <w:p w14:paraId="35800B8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 xml:space="preserve"> 4000-899-100</w:t>
      </w:r>
    </w:p>
    <w:p w14:paraId="0C467C2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http://www.yibaijin.com/</w:t>
      </w:r>
    </w:p>
    <w:p w14:paraId="0715BCA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29</w:t>
      </w:r>
      <w:r>
        <w:rPr>
          <w:rFonts w:ascii="宋体" w:hAnsi="宋体"/>
          <w:sz w:val="24"/>
        </w:rPr>
        <w:t>）名称：博时财富基金销售有限公司</w:t>
      </w:r>
    </w:p>
    <w:p w14:paraId="67F366B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w:t>
      </w:r>
      <w:r>
        <w:rPr>
          <w:rFonts w:ascii="宋体" w:hAnsi="宋体"/>
          <w:sz w:val="24"/>
        </w:rPr>
        <w:t>5999</w:t>
      </w:r>
      <w:r>
        <w:rPr>
          <w:rFonts w:ascii="宋体" w:hAnsi="宋体"/>
          <w:sz w:val="24"/>
        </w:rPr>
        <w:t>号基金大厦</w:t>
      </w:r>
      <w:r>
        <w:rPr>
          <w:rFonts w:ascii="宋体" w:hAnsi="宋体"/>
          <w:sz w:val="24"/>
        </w:rPr>
        <w:t>19</w:t>
      </w:r>
      <w:r>
        <w:rPr>
          <w:rFonts w:ascii="宋体" w:hAnsi="宋体"/>
          <w:sz w:val="24"/>
        </w:rPr>
        <w:t>层</w:t>
      </w:r>
    </w:p>
    <w:p w14:paraId="7FB8C4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w:t>
      </w:r>
      <w:r>
        <w:rPr>
          <w:rFonts w:ascii="宋体" w:hAnsi="宋体"/>
          <w:sz w:val="24"/>
        </w:rPr>
        <w:t>5999</w:t>
      </w:r>
      <w:r>
        <w:rPr>
          <w:rFonts w:ascii="宋体" w:hAnsi="宋体"/>
          <w:sz w:val="24"/>
        </w:rPr>
        <w:t>号基金大厦</w:t>
      </w:r>
      <w:r>
        <w:rPr>
          <w:rFonts w:ascii="宋体" w:hAnsi="宋体"/>
          <w:sz w:val="24"/>
        </w:rPr>
        <w:t>19</w:t>
      </w:r>
      <w:r>
        <w:rPr>
          <w:rFonts w:ascii="宋体" w:hAnsi="宋体"/>
          <w:sz w:val="24"/>
        </w:rPr>
        <w:t>层</w:t>
      </w:r>
    </w:p>
    <w:p w14:paraId="6E53DD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14:paraId="227817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0755-83169999</w:t>
      </w:r>
    </w:p>
    <w:p w14:paraId="7437605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0755-83195220</w:t>
      </w:r>
    </w:p>
    <w:p w14:paraId="0B7867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w:t>
      </w:r>
      <w:r>
        <w:rPr>
          <w:rFonts w:ascii="宋体" w:hAnsi="宋体"/>
          <w:sz w:val="24"/>
        </w:rPr>
        <w:t>丹</w:t>
      </w:r>
    </w:p>
    <w:p w14:paraId="2520436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400-610-5568</w:t>
      </w:r>
    </w:p>
    <w:p w14:paraId="61C68A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www.boserawealth.com</w:t>
      </w:r>
    </w:p>
    <w:p w14:paraId="18A91C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30</w:t>
      </w:r>
      <w:r>
        <w:rPr>
          <w:rFonts w:ascii="宋体" w:hAnsi="宋体"/>
          <w:sz w:val="24"/>
        </w:rPr>
        <w:t>）名称：腾安基金销售（深圳）有限公司</w:t>
      </w:r>
    </w:p>
    <w:p w14:paraId="2AA6412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w:t>
      </w:r>
      <w:r>
        <w:rPr>
          <w:rFonts w:ascii="宋体" w:hAnsi="宋体"/>
          <w:sz w:val="24"/>
        </w:rPr>
        <w:t>1</w:t>
      </w:r>
      <w:r>
        <w:rPr>
          <w:rFonts w:ascii="宋体" w:hAnsi="宋体"/>
          <w:sz w:val="24"/>
        </w:rPr>
        <w:t>号</w:t>
      </w:r>
      <w:r>
        <w:rPr>
          <w:rFonts w:ascii="宋体" w:hAnsi="宋体"/>
          <w:sz w:val="24"/>
        </w:rPr>
        <w:t>A</w:t>
      </w:r>
      <w:r>
        <w:rPr>
          <w:rFonts w:ascii="宋体" w:hAnsi="宋体"/>
          <w:sz w:val="24"/>
        </w:rPr>
        <w:t>栋</w:t>
      </w:r>
      <w:r>
        <w:rPr>
          <w:rFonts w:ascii="宋体" w:hAnsi="宋体"/>
          <w:sz w:val="24"/>
        </w:rPr>
        <w:t>201</w:t>
      </w:r>
      <w:r>
        <w:rPr>
          <w:rFonts w:ascii="宋体" w:hAnsi="宋体"/>
          <w:sz w:val="24"/>
        </w:rPr>
        <w:t>室（入驻深圳市前海商务秘书有限公司）</w:t>
      </w:r>
    </w:p>
    <w:p w14:paraId="471EE0A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w:t>
      </w:r>
      <w:r>
        <w:rPr>
          <w:rFonts w:ascii="宋体" w:hAnsi="宋体"/>
          <w:sz w:val="24"/>
        </w:rPr>
        <w:t>33</w:t>
      </w:r>
      <w:r>
        <w:rPr>
          <w:rFonts w:ascii="宋体" w:hAnsi="宋体"/>
          <w:sz w:val="24"/>
        </w:rPr>
        <w:t>号腾讯滨海大厦</w:t>
      </w:r>
    </w:p>
    <w:p w14:paraId="069DD5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14:paraId="70272A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95017</w:t>
      </w:r>
      <w:r>
        <w:rPr>
          <w:rFonts w:ascii="宋体" w:hAnsi="宋体"/>
          <w:sz w:val="24"/>
        </w:rPr>
        <w:t>（拨通后转</w:t>
      </w:r>
      <w:r>
        <w:rPr>
          <w:rFonts w:ascii="宋体" w:hAnsi="宋体"/>
          <w:sz w:val="24"/>
        </w:rPr>
        <w:t>1</w:t>
      </w:r>
      <w:r>
        <w:rPr>
          <w:rFonts w:ascii="宋体" w:hAnsi="宋体"/>
          <w:sz w:val="24"/>
        </w:rPr>
        <w:t>转</w:t>
      </w:r>
      <w:r>
        <w:rPr>
          <w:rFonts w:ascii="宋体" w:hAnsi="宋体"/>
          <w:sz w:val="24"/>
        </w:rPr>
        <w:t>8</w:t>
      </w:r>
      <w:r>
        <w:rPr>
          <w:rFonts w:ascii="宋体" w:hAnsi="宋体"/>
          <w:sz w:val="24"/>
        </w:rPr>
        <w:t>）</w:t>
      </w:r>
    </w:p>
    <w:p w14:paraId="29A560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14:paraId="488012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95017</w:t>
      </w:r>
      <w:r>
        <w:rPr>
          <w:rFonts w:ascii="宋体" w:hAnsi="宋体"/>
          <w:sz w:val="24"/>
        </w:rPr>
        <w:t>（拨通后转</w:t>
      </w:r>
      <w:r>
        <w:rPr>
          <w:rFonts w:ascii="宋体" w:hAnsi="宋体"/>
          <w:sz w:val="24"/>
        </w:rPr>
        <w:t>1</w:t>
      </w:r>
      <w:r>
        <w:rPr>
          <w:rFonts w:ascii="宋体" w:hAnsi="宋体"/>
          <w:sz w:val="24"/>
        </w:rPr>
        <w:t>转</w:t>
      </w:r>
      <w:r>
        <w:rPr>
          <w:rFonts w:ascii="宋体" w:hAnsi="宋体"/>
          <w:sz w:val="24"/>
        </w:rPr>
        <w:t>8</w:t>
      </w:r>
      <w:r>
        <w:rPr>
          <w:rFonts w:ascii="宋体" w:hAnsi="宋体"/>
          <w:sz w:val="24"/>
        </w:rPr>
        <w:t>）</w:t>
      </w:r>
    </w:p>
    <w:p w14:paraId="7458A3F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http://www.tenganxinxi.com/</w:t>
      </w:r>
    </w:p>
    <w:p w14:paraId="07978B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31</w:t>
      </w:r>
      <w:r>
        <w:rPr>
          <w:rFonts w:ascii="宋体" w:hAnsi="宋体"/>
          <w:sz w:val="24"/>
        </w:rPr>
        <w:t>）名称：诺亚正行基金销售有限公司</w:t>
      </w:r>
    </w:p>
    <w:p w14:paraId="5BD7692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w:t>
      </w:r>
      <w:r>
        <w:rPr>
          <w:rFonts w:ascii="宋体" w:hAnsi="宋体"/>
          <w:sz w:val="24"/>
        </w:rPr>
        <w:t>:</w:t>
      </w:r>
      <w:r>
        <w:rPr>
          <w:rFonts w:ascii="宋体" w:hAnsi="宋体"/>
          <w:sz w:val="24"/>
        </w:rPr>
        <w:t>上海市虹口区飞虹路</w:t>
      </w:r>
      <w:r>
        <w:rPr>
          <w:rFonts w:ascii="宋体" w:hAnsi="宋体"/>
          <w:sz w:val="24"/>
        </w:rPr>
        <w:t>360</w:t>
      </w:r>
      <w:r>
        <w:rPr>
          <w:rFonts w:ascii="宋体" w:hAnsi="宋体"/>
          <w:sz w:val="24"/>
        </w:rPr>
        <w:t>弄</w:t>
      </w:r>
      <w:r>
        <w:rPr>
          <w:rFonts w:ascii="宋体" w:hAnsi="宋体"/>
          <w:sz w:val="24"/>
        </w:rPr>
        <w:t>9</w:t>
      </w:r>
      <w:r>
        <w:rPr>
          <w:rFonts w:ascii="宋体" w:hAnsi="宋体"/>
          <w:sz w:val="24"/>
        </w:rPr>
        <w:t>号</w:t>
      </w:r>
      <w:r>
        <w:rPr>
          <w:rFonts w:ascii="宋体" w:hAnsi="宋体"/>
          <w:sz w:val="24"/>
        </w:rPr>
        <w:t>3724</w:t>
      </w:r>
      <w:r>
        <w:rPr>
          <w:rFonts w:ascii="宋体" w:hAnsi="宋体"/>
          <w:sz w:val="24"/>
        </w:rPr>
        <w:t>室</w:t>
      </w:r>
    </w:p>
    <w:p w14:paraId="71EA0B8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w:t>
      </w:r>
      <w:r>
        <w:rPr>
          <w:rFonts w:ascii="宋体" w:hAnsi="宋体"/>
          <w:sz w:val="24"/>
        </w:rPr>
        <w:t>:</w:t>
      </w:r>
      <w:r>
        <w:rPr>
          <w:rFonts w:ascii="宋体" w:hAnsi="宋体"/>
          <w:sz w:val="24"/>
        </w:rPr>
        <w:t>上海市杨浦区长阳路</w:t>
      </w:r>
      <w:r>
        <w:rPr>
          <w:rFonts w:ascii="宋体" w:hAnsi="宋体"/>
          <w:sz w:val="24"/>
        </w:rPr>
        <w:t>1687</w:t>
      </w:r>
      <w:r>
        <w:rPr>
          <w:rFonts w:ascii="宋体" w:hAnsi="宋体"/>
          <w:sz w:val="24"/>
        </w:rPr>
        <w:t>号长阳谷</w:t>
      </w:r>
      <w:r>
        <w:rPr>
          <w:rFonts w:ascii="宋体" w:hAnsi="宋体"/>
          <w:sz w:val="24"/>
        </w:rPr>
        <w:t>2</w:t>
      </w:r>
      <w:r>
        <w:rPr>
          <w:rFonts w:ascii="宋体" w:hAnsi="宋体"/>
          <w:sz w:val="24"/>
        </w:rPr>
        <w:t>号楼</w:t>
      </w:r>
    </w:p>
    <w:p w14:paraId="3AC93E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法定代表：汪静波</w:t>
      </w:r>
    </w:p>
    <w:p w14:paraId="5578CC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80358523</w:t>
      </w:r>
    </w:p>
    <w:p w14:paraId="16587C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80358749</w:t>
      </w:r>
    </w:p>
    <w:p w14:paraId="5BB2CC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联系人：李娟</w:t>
      </w:r>
    </w:p>
    <w:p w14:paraId="756AFF7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4008215399</w:t>
      </w:r>
    </w:p>
    <w:p w14:paraId="24D7AB1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www.noah-fund.com</w:t>
      </w:r>
    </w:p>
    <w:p w14:paraId="00CB34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32</w:t>
      </w:r>
      <w:r>
        <w:rPr>
          <w:rFonts w:ascii="宋体" w:hAnsi="宋体"/>
          <w:sz w:val="24"/>
        </w:rPr>
        <w:t>）名称：泛华普益基金销售有限公司</w:t>
      </w:r>
    </w:p>
    <w:p w14:paraId="0EAF8C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w:t>
      </w:r>
      <w:r>
        <w:rPr>
          <w:rFonts w:ascii="宋体" w:hAnsi="宋体"/>
          <w:sz w:val="24"/>
        </w:rPr>
        <w:t>9</w:t>
      </w:r>
      <w:r>
        <w:rPr>
          <w:rFonts w:ascii="宋体" w:hAnsi="宋体"/>
          <w:sz w:val="24"/>
        </w:rPr>
        <w:t>号高地中心</w:t>
      </w:r>
      <w:r>
        <w:rPr>
          <w:rFonts w:ascii="宋体" w:hAnsi="宋体"/>
          <w:sz w:val="24"/>
        </w:rPr>
        <w:t>1101</w:t>
      </w:r>
      <w:r>
        <w:rPr>
          <w:rFonts w:ascii="宋体" w:hAnsi="宋体"/>
          <w:sz w:val="24"/>
        </w:rPr>
        <w:t>室</w:t>
      </w:r>
    </w:p>
    <w:p w14:paraId="7FC080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办公地址：成都市金牛区花照壁西顺街</w:t>
      </w:r>
      <w:r>
        <w:rPr>
          <w:rFonts w:ascii="宋体" w:hAnsi="宋体"/>
          <w:sz w:val="24"/>
        </w:rPr>
        <w:t>399</w:t>
      </w:r>
      <w:r>
        <w:rPr>
          <w:rFonts w:ascii="宋体" w:hAnsi="宋体"/>
          <w:sz w:val="24"/>
        </w:rPr>
        <w:t>号</w:t>
      </w:r>
      <w:r>
        <w:rPr>
          <w:rFonts w:ascii="宋体" w:hAnsi="宋体"/>
          <w:sz w:val="24"/>
        </w:rPr>
        <w:t>1</w:t>
      </w:r>
      <w:r>
        <w:rPr>
          <w:rFonts w:ascii="宋体" w:hAnsi="宋体"/>
          <w:sz w:val="24"/>
        </w:rPr>
        <w:t>栋</w:t>
      </w:r>
      <w:r>
        <w:rPr>
          <w:rFonts w:ascii="宋体" w:hAnsi="宋体"/>
          <w:sz w:val="24"/>
        </w:rPr>
        <w:t>1</w:t>
      </w:r>
      <w:r>
        <w:rPr>
          <w:rFonts w:ascii="宋体" w:hAnsi="宋体"/>
          <w:sz w:val="24"/>
        </w:rPr>
        <w:t>单元龙湖西宸天街</w:t>
      </w:r>
      <w:r>
        <w:rPr>
          <w:rFonts w:ascii="宋体" w:hAnsi="宋体"/>
          <w:sz w:val="24"/>
        </w:rPr>
        <w:t>B</w:t>
      </w:r>
      <w:r>
        <w:rPr>
          <w:rFonts w:ascii="宋体" w:hAnsi="宋体"/>
          <w:sz w:val="24"/>
        </w:rPr>
        <w:t>座</w:t>
      </w:r>
      <w:r>
        <w:rPr>
          <w:rFonts w:ascii="宋体" w:hAnsi="宋体"/>
          <w:sz w:val="24"/>
        </w:rPr>
        <w:t>1201</w:t>
      </w:r>
      <w:r>
        <w:rPr>
          <w:rFonts w:ascii="宋体" w:hAnsi="宋体"/>
          <w:sz w:val="24"/>
        </w:rPr>
        <w:t>号</w:t>
      </w:r>
    </w:p>
    <w:p w14:paraId="17175B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法定代表人：于海锋</w:t>
      </w:r>
    </w:p>
    <w:p w14:paraId="761CB8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028-8661-6229</w:t>
      </w:r>
    </w:p>
    <w:p w14:paraId="46CE948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14:paraId="7E25FB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联系人：隋亚方</w:t>
      </w:r>
    </w:p>
    <w:p w14:paraId="123DB1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400-080-3388</w:t>
      </w:r>
    </w:p>
    <w:p w14:paraId="63CE3FC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https://www.puyifund.com/</w:t>
      </w:r>
    </w:p>
    <w:p w14:paraId="7A729B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33</w:t>
      </w:r>
      <w:r>
        <w:rPr>
          <w:rFonts w:ascii="宋体" w:hAnsi="宋体"/>
          <w:sz w:val="24"/>
        </w:rPr>
        <w:t>）名称：上海中欧财富基金销售有限公司</w:t>
      </w:r>
    </w:p>
    <w:p w14:paraId="19BCAE2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住所：中国（上海）自由贸易试验区陆家嘴环路</w:t>
      </w:r>
      <w:r>
        <w:rPr>
          <w:rFonts w:ascii="宋体" w:hAnsi="宋体"/>
          <w:sz w:val="24"/>
        </w:rPr>
        <w:t>479</w:t>
      </w:r>
      <w:r>
        <w:rPr>
          <w:rFonts w:ascii="宋体" w:hAnsi="宋体"/>
          <w:sz w:val="24"/>
        </w:rPr>
        <w:t>号</w:t>
      </w:r>
      <w:r>
        <w:rPr>
          <w:rFonts w:ascii="宋体" w:hAnsi="宋体"/>
          <w:sz w:val="24"/>
        </w:rPr>
        <w:t>1008-1</w:t>
      </w:r>
      <w:r>
        <w:rPr>
          <w:rFonts w:ascii="宋体" w:hAnsi="宋体"/>
          <w:sz w:val="24"/>
        </w:rPr>
        <w:t>室</w:t>
      </w:r>
    </w:p>
    <w:p w14:paraId="76726F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办公地址：上海市虹口区公平路</w:t>
      </w:r>
      <w:r>
        <w:rPr>
          <w:rFonts w:ascii="宋体" w:hAnsi="宋体"/>
          <w:sz w:val="24"/>
        </w:rPr>
        <w:t>18</w:t>
      </w:r>
      <w:r>
        <w:rPr>
          <w:rFonts w:ascii="宋体" w:hAnsi="宋体"/>
          <w:sz w:val="24"/>
        </w:rPr>
        <w:t>号嘉昱大厦</w:t>
      </w:r>
      <w:r>
        <w:rPr>
          <w:rFonts w:ascii="宋体" w:hAnsi="宋体"/>
          <w:sz w:val="24"/>
        </w:rPr>
        <w:t>6</w:t>
      </w:r>
      <w:r>
        <w:rPr>
          <w:rFonts w:ascii="宋体" w:hAnsi="宋体"/>
          <w:sz w:val="24"/>
        </w:rPr>
        <w:t>楼</w:t>
      </w:r>
    </w:p>
    <w:p w14:paraId="1F25BC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法定代表人：许欣</w:t>
      </w:r>
    </w:p>
    <w:p w14:paraId="05CA36F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021-68609600</w:t>
      </w:r>
    </w:p>
    <w:p w14:paraId="39AC21D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021-33830351</w:t>
      </w:r>
    </w:p>
    <w:p w14:paraId="1B9AE2B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w:t>
      </w:r>
      <w:r>
        <w:rPr>
          <w:rFonts w:ascii="宋体" w:hAnsi="宋体"/>
          <w:sz w:val="24"/>
        </w:rPr>
        <w:t xml:space="preserve"> </w:t>
      </w:r>
      <w:r>
        <w:rPr>
          <w:rFonts w:ascii="宋体" w:hAnsi="宋体"/>
          <w:sz w:val="24"/>
        </w:rPr>
        <w:t>刘弘义</w:t>
      </w:r>
    </w:p>
    <w:p w14:paraId="1FF937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400-700-9700</w:t>
      </w:r>
    </w:p>
    <w:p w14:paraId="36E1E76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公司网址：</w:t>
      </w:r>
      <w:r>
        <w:rPr>
          <w:rFonts w:ascii="宋体" w:hAnsi="宋体"/>
          <w:sz w:val="24"/>
        </w:rPr>
        <w:t>https://www.zocaifu.com</w:t>
      </w:r>
    </w:p>
    <w:p w14:paraId="1376BEB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34</w:t>
      </w:r>
      <w:r>
        <w:rPr>
          <w:rFonts w:ascii="宋体" w:hAnsi="宋体"/>
          <w:sz w:val="24"/>
        </w:rPr>
        <w:t>）名称：上海攀赢基金销售有限公司</w:t>
      </w:r>
    </w:p>
    <w:p w14:paraId="4D7E848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021-68889082</w:t>
      </w:r>
    </w:p>
    <w:p w14:paraId="09B050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www.weonefunds.com</w:t>
      </w:r>
    </w:p>
    <w:p w14:paraId="4C0342C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基金管理人可根据有关法律法规的要求，选择其它符合要求的机构销售本基金，并在管理人网站公示。</w:t>
      </w:r>
    </w:p>
    <w:p w14:paraId="34248CA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7933BD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5109105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w:t>
      </w:r>
      <w:r>
        <w:rPr>
          <w:rFonts w:ascii="宋体" w:hAnsi="宋体"/>
          <w:sz w:val="24"/>
        </w:rPr>
        <w:t>17</w:t>
      </w:r>
      <w:r>
        <w:rPr>
          <w:rFonts w:ascii="宋体" w:hAnsi="宋体"/>
          <w:sz w:val="24"/>
        </w:rPr>
        <w:t>号</w:t>
      </w:r>
    </w:p>
    <w:p w14:paraId="63C500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w:t>
      </w:r>
      <w:r>
        <w:rPr>
          <w:rFonts w:ascii="宋体" w:hAnsi="宋体"/>
          <w:sz w:val="24"/>
        </w:rPr>
        <w:t>17</w:t>
      </w:r>
      <w:r>
        <w:rPr>
          <w:rFonts w:ascii="宋体" w:hAnsi="宋体"/>
          <w:sz w:val="24"/>
        </w:rPr>
        <w:t>号</w:t>
      </w:r>
    </w:p>
    <w:p w14:paraId="17AFE9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528FD2F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010</w:t>
      </w:r>
      <w:r>
        <w:rPr>
          <w:rFonts w:ascii="宋体" w:hAnsi="宋体"/>
          <w:sz w:val="24"/>
        </w:rPr>
        <w:t>）</w:t>
      </w:r>
      <w:r>
        <w:rPr>
          <w:rFonts w:ascii="宋体" w:hAnsi="宋体"/>
          <w:sz w:val="24"/>
        </w:rPr>
        <w:t>50938782</w:t>
      </w:r>
    </w:p>
    <w:p w14:paraId="729DDD4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010</w:t>
      </w:r>
      <w:r>
        <w:rPr>
          <w:rFonts w:ascii="宋体" w:hAnsi="宋体"/>
          <w:sz w:val="24"/>
        </w:rPr>
        <w:t>）</w:t>
      </w:r>
      <w:r>
        <w:rPr>
          <w:rFonts w:ascii="宋体" w:hAnsi="宋体"/>
          <w:sz w:val="24"/>
        </w:rPr>
        <w:t>50938907</w:t>
      </w:r>
    </w:p>
    <w:p w14:paraId="2D3E84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14:paraId="525E797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0D65AD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10ABE2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住所：上海市银城中路</w:t>
      </w:r>
      <w:r>
        <w:rPr>
          <w:rFonts w:ascii="宋体" w:hAnsi="宋体"/>
          <w:sz w:val="24"/>
        </w:rPr>
        <w:t>68</w:t>
      </w:r>
      <w:r>
        <w:rPr>
          <w:rFonts w:ascii="宋体" w:hAnsi="宋体"/>
          <w:sz w:val="24"/>
        </w:rPr>
        <w:t>号时代金融中心</w:t>
      </w:r>
      <w:r>
        <w:rPr>
          <w:rFonts w:ascii="宋体" w:hAnsi="宋体"/>
          <w:sz w:val="24"/>
        </w:rPr>
        <w:t>19</w:t>
      </w:r>
      <w:r>
        <w:rPr>
          <w:rFonts w:ascii="宋体" w:hAnsi="宋体"/>
          <w:sz w:val="24"/>
        </w:rPr>
        <w:t>楼</w:t>
      </w:r>
    </w:p>
    <w:p w14:paraId="2D20E7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w:t>
      </w:r>
      <w:r>
        <w:rPr>
          <w:rFonts w:ascii="宋体" w:hAnsi="宋体"/>
          <w:sz w:val="24"/>
        </w:rPr>
        <w:t>68</w:t>
      </w:r>
      <w:r>
        <w:rPr>
          <w:rFonts w:ascii="宋体" w:hAnsi="宋体"/>
          <w:sz w:val="24"/>
        </w:rPr>
        <w:t>号时代金融中心</w:t>
      </w:r>
      <w:r>
        <w:rPr>
          <w:rFonts w:ascii="宋体" w:hAnsi="宋体"/>
          <w:sz w:val="24"/>
        </w:rPr>
        <w:t>19</w:t>
      </w:r>
      <w:r>
        <w:rPr>
          <w:rFonts w:ascii="宋体" w:hAnsi="宋体"/>
          <w:sz w:val="24"/>
        </w:rPr>
        <w:t>楼</w:t>
      </w:r>
    </w:p>
    <w:p w14:paraId="625D936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3AEDC7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31358666</w:t>
      </w:r>
    </w:p>
    <w:p w14:paraId="4F17632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31358600</w:t>
      </w:r>
    </w:p>
    <w:p w14:paraId="4F42F0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14:paraId="561B21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69DD98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7528B6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名称：毕马威华振会计师事务所</w:t>
      </w:r>
      <w:r>
        <w:rPr>
          <w:rFonts w:ascii="宋体" w:hAnsi="宋体"/>
          <w:sz w:val="24"/>
        </w:rPr>
        <w:t>(</w:t>
      </w:r>
      <w:r>
        <w:rPr>
          <w:rFonts w:ascii="宋体" w:hAnsi="宋体"/>
          <w:sz w:val="24"/>
        </w:rPr>
        <w:t>特殊普通合伙</w:t>
      </w:r>
      <w:r>
        <w:rPr>
          <w:rFonts w:ascii="宋体" w:hAnsi="宋体"/>
          <w:sz w:val="24"/>
        </w:rPr>
        <w:t>)</w:t>
      </w:r>
    </w:p>
    <w:p w14:paraId="35DC5EF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住所：北京市东城区东长安街</w:t>
      </w:r>
      <w:r>
        <w:rPr>
          <w:rFonts w:ascii="宋体" w:hAnsi="宋体"/>
          <w:sz w:val="24"/>
        </w:rPr>
        <w:t>1</w:t>
      </w:r>
      <w:r>
        <w:rPr>
          <w:rFonts w:ascii="宋体" w:hAnsi="宋体"/>
          <w:sz w:val="24"/>
        </w:rPr>
        <w:t>号东方广场</w:t>
      </w:r>
      <w:r>
        <w:rPr>
          <w:rFonts w:ascii="宋体" w:hAnsi="宋体"/>
          <w:sz w:val="24"/>
        </w:rPr>
        <w:t>2</w:t>
      </w:r>
      <w:r>
        <w:rPr>
          <w:rFonts w:ascii="宋体" w:hAnsi="宋体"/>
          <w:sz w:val="24"/>
        </w:rPr>
        <w:t>座办公楼</w:t>
      </w:r>
      <w:r>
        <w:rPr>
          <w:rFonts w:ascii="宋体" w:hAnsi="宋体"/>
          <w:sz w:val="24"/>
        </w:rPr>
        <w:t>8</w:t>
      </w:r>
      <w:r>
        <w:rPr>
          <w:rFonts w:ascii="宋体" w:hAnsi="宋体"/>
          <w:sz w:val="24"/>
        </w:rPr>
        <w:t>层</w:t>
      </w:r>
    </w:p>
    <w:p w14:paraId="623438E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办公地址：中国上海南京西路</w:t>
      </w:r>
      <w:r>
        <w:rPr>
          <w:rFonts w:ascii="宋体" w:hAnsi="宋体"/>
          <w:sz w:val="24"/>
        </w:rPr>
        <w:t>1266</w:t>
      </w:r>
      <w:r>
        <w:rPr>
          <w:rFonts w:ascii="宋体" w:hAnsi="宋体"/>
          <w:sz w:val="24"/>
        </w:rPr>
        <w:t>号恒隆广场</w:t>
      </w:r>
      <w:r>
        <w:rPr>
          <w:rFonts w:ascii="宋体" w:hAnsi="宋体"/>
          <w:sz w:val="24"/>
        </w:rPr>
        <w:t>2</w:t>
      </w:r>
      <w:r>
        <w:rPr>
          <w:rFonts w:ascii="宋体" w:hAnsi="宋体"/>
          <w:sz w:val="24"/>
        </w:rPr>
        <w:t>期</w:t>
      </w:r>
      <w:r>
        <w:rPr>
          <w:rFonts w:ascii="宋体" w:hAnsi="宋体"/>
          <w:sz w:val="24"/>
        </w:rPr>
        <w:t>25</w:t>
      </w:r>
      <w:r>
        <w:rPr>
          <w:rFonts w:ascii="宋体" w:hAnsi="宋体"/>
          <w:sz w:val="24"/>
        </w:rPr>
        <w:t>楼</w:t>
      </w:r>
    </w:p>
    <w:p w14:paraId="08786D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执行事务合伙人：邹俊</w:t>
      </w:r>
    </w:p>
    <w:p w14:paraId="0F12A6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+86 (21) 2212 2888</w:t>
      </w:r>
    </w:p>
    <w:p w14:paraId="59906D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+86 (21) 6288 1889</w:t>
      </w:r>
    </w:p>
    <w:p w14:paraId="14D1F59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联系人：侯雯</w:t>
      </w:r>
    </w:p>
    <w:p w14:paraId="55C890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经办注册会计师：王国蓓、侯雯</w:t>
      </w:r>
    </w:p>
    <w:p w14:paraId="0A5E6F7B"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3E777A1" w14:textId="77777777" w:rsidR="002411B3" w:rsidRDefault="00BA6CE7">
      <w:pPr>
        <w:pStyle w:val="1"/>
        <w:snapToGrid w:val="0"/>
        <w:spacing w:beforeLines="0" w:before="240" w:after="240"/>
        <w:rPr>
          <w:rFonts w:ascii="宋体" w:hAnsi="宋体"/>
          <w:szCs w:val="30"/>
        </w:rPr>
      </w:pPr>
      <w:bookmarkStart w:id="9" w:name="_Toc202521654"/>
      <w:r>
        <w:rPr>
          <w:rFonts w:ascii="Times New Roman" w:hAnsi="Times New Roman"/>
          <w:sz w:val="30"/>
        </w:rPr>
        <w:lastRenderedPageBreak/>
        <w:t>六、基金的历史沿革</w:t>
      </w:r>
      <w:bookmarkEnd w:id="9"/>
    </w:p>
    <w:p w14:paraId="41E553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交银施罗德中高等级信用债债券型证券投资基金由交银施罗德理财</w:t>
      </w:r>
      <w:r>
        <w:rPr>
          <w:rFonts w:ascii="宋体" w:hAnsi="宋体"/>
          <w:sz w:val="24"/>
        </w:rPr>
        <w:t>21</w:t>
      </w:r>
      <w:r>
        <w:rPr>
          <w:rFonts w:ascii="宋体" w:hAnsi="宋体"/>
          <w:sz w:val="24"/>
        </w:rPr>
        <w:t>天债券型证券投资基金转型而来。</w:t>
      </w:r>
    </w:p>
    <w:p w14:paraId="15B975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交银施罗德理财</w:t>
      </w:r>
      <w:r>
        <w:rPr>
          <w:rFonts w:ascii="宋体" w:hAnsi="宋体"/>
          <w:sz w:val="24"/>
        </w:rPr>
        <w:t>21</w:t>
      </w:r>
      <w:r>
        <w:rPr>
          <w:rFonts w:ascii="宋体" w:hAnsi="宋体"/>
          <w:sz w:val="24"/>
        </w:rPr>
        <w:t>天债券型证券投资基金经中国证监会证监许可【</w:t>
      </w:r>
      <w:r>
        <w:rPr>
          <w:rFonts w:ascii="宋体" w:hAnsi="宋体"/>
          <w:sz w:val="24"/>
        </w:rPr>
        <w:t>2012</w:t>
      </w:r>
      <w:r>
        <w:rPr>
          <w:rFonts w:ascii="宋体" w:hAnsi="宋体"/>
          <w:sz w:val="24"/>
        </w:rPr>
        <w:t>】</w:t>
      </w:r>
      <w:r>
        <w:rPr>
          <w:rFonts w:ascii="宋体" w:hAnsi="宋体"/>
          <w:sz w:val="24"/>
        </w:rPr>
        <w:t>1282</w:t>
      </w:r>
      <w:r>
        <w:rPr>
          <w:rFonts w:ascii="宋体" w:hAnsi="宋体"/>
          <w:sz w:val="24"/>
        </w:rPr>
        <w:t>号文核准，自</w:t>
      </w:r>
      <w:r>
        <w:rPr>
          <w:rFonts w:ascii="宋体" w:hAnsi="宋体"/>
          <w:sz w:val="24"/>
        </w:rPr>
        <w:t>2012</w:t>
      </w:r>
      <w:r>
        <w:rPr>
          <w:rFonts w:ascii="宋体" w:hAnsi="宋体"/>
          <w:sz w:val="24"/>
        </w:rPr>
        <w:t>年</w:t>
      </w:r>
      <w:r>
        <w:rPr>
          <w:rFonts w:ascii="宋体" w:hAnsi="宋体"/>
          <w:sz w:val="24"/>
        </w:rPr>
        <w:t>10</w:t>
      </w:r>
      <w:r>
        <w:rPr>
          <w:rFonts w:ascii="宋体" w:hAnsi="宋体"/>
          <w:sz w:val="24"/>
        </w:rPr>
        <w:t>月</w:t>
      </w:r>
      <w:r>
        <w:rPr>
          <w:rFonts w:ascii="宋体" w:hAnsi="宋体"/>
          <w:sz w:val="24"/>
        </w:rPr>
        <w:t>25</w:t>
      </w:r>
      <w:r>
        <w:rPr>
          <w:rFonts w:ascii="宋体" w:hAnsi="宋体"/>
          <w:sz w:val="24"/>
        </w:rPr>
        <w:t>日起向社会公开募集，于</w:t>
      </w:r>
      <w:r>
        <w:rPr>
          <w:rFonts w:ascii="宋体" w:hAnsi="宋体"/>
          <w:sz w:val="24"/>
        </w:rPr>
        <w:t>2012</w:t>
      </w:r>
      <w:r>
        <w:rPr>
          <w:rFonts w:ascii="宋体" w:hAnsi="宋体"/>
          <w:sz w:val="24"/>
        </w:rPr>
        <w:t>年</w:t>
      </w:r>
      <w:r>
        <w:rPr>
          <w:rFonts w:ascii="宋体" w:hAnsi="宋体"/>
          <w:sz w:val="24"/>
        </w:rPr>
        <w:t>10</w:t>
      </w:r>
      <w:r>
        <w:rPr>
          <w:rFonts w:ascii="宋体" w:hAnsi="宋体"/>
          <w:sz w:val="24"/>
        </w:rPr>
        <w:t>月</w:t>
      </w:r>
      <w:r>
        <w:rPr>
          <w:rFonts w:ascii="宋体" w:hAnsi="宋体"/>
          <w:sz w:val="24"/>
        </w:rPr>
        <w:t>31</w:t>
      </w:r>
      <w:r>
        <w:rPr>
          <w:rFonts w:ascii="宋体" w:hAnsi="宋体"/>
          <w:sz w:val="24"/>
        </w:rPr>
        <w:t>日结束募集工作，并于</w:t>
      </w:r>
      <w:r>
        <w:rPr>
          <w:rFonts w:ascii="宋体" w:hAnsi="宋体"/>
          <w:sz w:val="24"/>
        </w:rPr>
        <w:t>2012</w:t>
      </w:r>
      <w:r>
        <w:rPr>
          <w:rFonts w:ascii="宋体" w:hAnsi="宋体"/>
          <w:sz w:val="24"/>
        </w:rPr>
        <w:t>年</w:t>
      </w:r>
      <w:r>
        <w:rPr>
          <w:rFonts w:ascii="宋体" w:hAnsi="宋体"/>
          <w:sz w:val="24"/>
        </w:rPr>
        <w:t>11</w:t>
      </w:r>
      <w:r>
        <w:rPr>
          <w:rFonts w:ascii="宋体" w:hAnsi="宋体"/>
          <w:sz w:val="24"/>
        </w:rPr>
        <w:t>月</w:t>
      </w:r>
      <w:r>
        <w:rPr>
          <w:rFonts w:ascii="宋体" w:hAnsi="宋体"/>
          <w:sz w:val="24"/>
        </w:rPr>
        <w:t>5</w:t>
      </w:r>
      <w:r>
        <w:rPr>
          <w:rFonts w:ascii="宋体" w:hAnsi="宋体"/>
          <w:sz w:val="24"/>
        </w:rPr>
        <w:t>日获得中国证监会的书面确认，《交银施罗德理财</w:t>
      </w:r>
      <w:r>
        <w:rPr>
          <w:rFonts w:ascii="宋体" w:hAnsi="宋体"/>
          <w:sz w:val="24"/>
        </w:rPr>
        <w:t>21</w:t>
      </w:r>
      <w:r>
        <w:rPr>
          <w:rFonts w:ascii="宋体" w:hAnsi="宋体"/>
          <w:sz w:val="24"/>
        </w:rPr>
        <w:t>天债券型证券投资基金基金合同》自该日起生效。</w:t>
      </w:r>
    </w:p>
    <w:p w14:paraId="06DBE4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根据《基金法》、《运作办法》、《关于实施</w:t>
      </w:r>
      <w:r>
        <w:rPr>
          <w:rFonts w:ascii="宋体" w:hAnsi="宋体"/>
          <w:sz w:val="24"/>
        </w:rPr>
        <w:t>&lt;</w:t>
      </w:r>
      <w:r>
        <w:rPr>
          <w:rFonts w:ascii="宋体" w:hAnsi="宋体"/>
          <w:sz w:val="24"/>
        </w:rPr>
        <w:t>公开募集证券投资基金运作管理办法</w:t>
      </w:r>
      <w:r>
        <w:rPr>
          <w:rFonts w:ascii="宋体" w:hAnsi="宋体"/>
          <w:sz w:val="24"/>
        </w:rPr>
        <w:t>&gt;</w:t>
      </w:r>
      <w:r>
        <w:rPr>
          <w:rFonts w:ascii="宋体" w:hAnsi="宋体"/>
          <w:sz w:val="24"/>
        </w:rPr>
        <w:t>有关</w:t>
      </w:r>
      <w:r>
        <w:rPr>
          <w:rFonts w:ascii="宋体" w:hAnsi="宋体"/>
          <w:sz w:val="24"/>
        </w:rPr>
        <w:t>问题的规定》、《交银施罗德理财</w:t>
      </w:r>
      <w:r>
        <w:rPr>
          <w:rFonts w:ascii="宋体" w:hAnsi="宋体"/>
          <w:sz w:val="24"/>
        </w:rPr>
        <w:t>21</w:t>
      </w:r>
      <w:r>
        <w:rPr>
          <w:rFonts w:ascii="宋体" w:hAnsi="宋体"/>
          <w:sz w:val="24"/>
        </w:rPr>
        <w:t>天债券型证券投资基金基金合同》，交银施罗德理财</w:t>
      </w:r>
      <w:r>
        <w:rPr>
          <w:rFonts w:ascii="宋体" w:hAnsi="宋体"/>
          <w:sz w:val="24"/>
        </w:rPr>
        <w:t>21</w:t>
      </w:r>
      <w:r>
        <w:rPr>
          <w:rFonts w:ascii="宋体" w:hAnsi="宋体"/>
          <w:sz w:val="24"/>
        </w:rPr>
        <w:t>天债券型证券投资基金以通讯方式召开基金份额持有人大会，大会于</w:t>
      </w:r>
      <w:r>
        <w:rPr>
          <w:rFonts w:ascii="宋体" w:hAnsi="宋体"/>
          <w:sz w:val="24"/>
        </w:rPr>
        <w:t>2020</w:t>
      </w:r>
      <w:r>
        <w:rPr>
          <w:rFonts w:ascii="宋体" w:hAnsi="宋体"/>
          <w:sz w:val="24"/>
        </w:rPr>
        <w:t>年</w:t>
      </w:r>
      <w:r>
        <w:rPr>
          <w:rFonts w:ascii="宋体" w:hAnsi="宋体"/>
          <w:sz w:val="24"/>
        </w:rPr>
        <w:t>6</w:t>
      </w:r>
      <w:r>
        <w:rPr>
          <w:rFonts w:ascii="宋体" w:hAnsi="宋体"/>
          <w:sz w:val="24"/>
        </w:rPr>
        <w:t>月</w:t>
      </w:r>
      <w:r>
        <w:rPr>
          <w:rFonts w:ascii="宋体" w:hAnsi="宋体"/>
          <w:sz w:val="24"/>
        </w:rPr>
        <w:t>23</w:t>
      </w:r>
      <w:r>
        <w:rPr>
          <w:rFonts w:ascii="宋体" w:hAnsi="宋体"/>
          <w:sz w:val="24"/>
        </w:rPr>
        <w:t>日表决通过了《关于交银施罗德理财</w:t>
      </w:r>
      <w:r>
        <w:rPr>
          <w:rFonts w:ascii="宋体" w:hAnsi="宋体"/>
          <w:sz w:val="24"/>
        </w:rPr>
        <w:t>21</w:t>
      </w:r>
      <w:r>
        <w:rPr>
          <w:rFonts w:ascii="宋体" w:hAnsi="宋体"/>
          <w:sz w:val="24"/>
        </w:rPr>
        <w:t>天债券型证券投资基金转型及修改基金合同有关事项的议案》，同意交银施罗德理财</w:t>
      </w:r>
      <w:r>
        <w:rPr>
          <w:rFonts w:ascii="宋体" w:hAnsi="宋体"/>
          <w:sz w:val="24"/>
        </w:rPr>
        <w:t>21</w:t>
      </w:r>
      <w:r>
        <w:rPr>
          <w:rFonts w:ascii="宋体" w:hAnsi="宋体"/>
          <w:sz w:val="24"/>
        </w:rPr>
        <w:t>天债券型证券投资基金变更基金名称、投资目标、投资范围、投资策略、业绩比较基准、投资限制、基金的估值、基金的费用以及其他部分条款，授权基金管理人办理本次基金转型及修改基金合同有关具体事宜。基金份额持有人大会决议自表决通过之日起生效，基金管</w:t>
      </w:r>
      <w:r>
        <w:rPr>
          <w:rFonts w:ascii="宋体" w:hAnsi="宋体"/>
          <w:sz w:val="24"/>
        </w:rPr>
        <w:t>理人根据基金份额持有人大会的授权，定于</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日正式实施基金转型，自基金转型实施日起，《交银施罗德理财</w:t>
      </w:r>
      <w:r>
        <w:rPr>
          <w:rFonts w:ascii="宋体" w:hAnsi="宋体"/>
          <w:sz w:val="24"/>
        </w:rPr>
        <w:t>21</w:t>
      </w:r>
      <w:r>
        <w:rPr>
          <w:rFonts w:ascii="宋体" w:hAnsi="宋体"/>
          <w:sz w:val="24"/>
        </w:rPr>
        <w:t>天债券型证券投资基金基金合同》失效且《交银施罗德中高等级信用债债券型证券投资基金基金合同》同时生效。</w:t>
      </w:r>
    </w:p>
    <w:p w14:paraId="3CCA3759"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4BA27E0" w14:textId="77777777" w:rsidR="002411B3" w:rsidRDefault="00BA6CE7">
      <w:pPr>
        <w:pStyle w:val="1"/>
        <w:snapToGrid w:val="0"/>
        <w:spacing w:beforeLines="0" w:before="240" w:after="240"/>
        <w:rPr>
          <w:rFonts w:ascii="宋体" w:hAnsi="宋体"/>
          <w:szCs w:val="30"/>
        </w:rPr>
      </w:pPr>
      <w:bookmarkStart w:id="10" w:name="_Toc202521655"/>
      <w:r>
        <w:rPr>
          <w:rFonts w:ascii="Times New Roman" w:hAnsi="Times New Roman"/>
          <w:sz w:val="30"/>
        </w:rPr>
        <w:lastRenderedPageBreak/>
        <w:t>七、基金的存续</w:t>
      </w:r>
      <w:bookmarkEnd w:id="10"/>
    </w:p>
    <w:p w14:paraId="64988E5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w:t>
      </w:r>
      <w:r>
        <w:rPr>
          <w:rFonts w:ascii="宋体" w:hAnsi="宋体"/>
          <w:sz w:val="24"/>
        </w:rPr>
        <w:t>20</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万元情形的，基金管理人应当在定期报告中予以披露；连续</w:t>
      </w:r>
      <w:r>
        <w:rPr>
          <w:rFonts w:ascii="宋体" w:hAnsi="宋体"/>
          <w:sz w:val="24"/>
        </w:rPr>
        <w:t>50</w:t>
      </w:r>
      <w:r>
        <w:rPr>
          <w:rFonts w:ascii="宋体" w:hAnsi="宋体"/>
          <w:sz w:val="24"/>
        </w:rPr>
        <w:t>个工作日出现前述情形的，基金管理人提前终止《基金合同》，不需召开基金份额持有人大会。</w:t>
      </w:r>
    </w:p>
    <w:p w14:paraId="4B99BB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w:t>
      </w:r>
      <w:r>
        <w:rPr>
          <w:rFonts w:ascii="宋体" w:hAnsi="宋体"/>
          <w:sz w:val="24"/>
        </w:rPr>
        <w:t>其规定。</w:t>
      </w:r>
    </w:p>
    <w:p w14:paraId="63B0AA89"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B8B3D63" w14:textId="77777777" w:rsidR="002411B3" w:rsidRDefault="00BA6CE7">
      <w:pPr>
        <w:pStyle w:val="1"/>
        <w:snapToGrid w:val="0"/>
        <w:spacing w:beforeLines="0" w:before="240" w:after="240"/>
        <w:rPr>
          <w:rFonts w:ascii="宋体" w:hAnsi="宋体"/>
          <w:szCs w:val="30"/>
        </w:rPr>
      </w:pPr>
      <w:bookmarkStart w:id="11" w:name="_Toc202521656"/>
      <w:r>
        <w:rPr>
          <w:rFonts w:ascii="Times New Roman" w:hAnsi="Times New Roman"/>
          <w:sz w:val="30"/>
        </w:rPr>
        <w:lastRenderedPageBreak/>
        <w:t>八、基金份额的申购与赎回</w:t>
      </w:r>
      <w:bookmarkEnd w:id="11"/>
    </w:p>
    <w:p w14:paraId="77BEBCD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（一）申购和赎回的场所</w:t>
      </w:r>
    </w:p>
    <w:p w14:paraId="6B5FF8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5BD6937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、本基金管理人的直销机构</w:t>
      </w:r>
    </w:p>
    <w:p w14:paraId="51E46BF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430DAE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7ED931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w:t>
      </w:r>
      <w:r>
        <w:rPr>
          <w:rFonts w:ascii="宋体" w:hAnsi="宋体"/>
          <w:sz w:val="24"/>
        </w:rPr>
        <w:t>188</w:t>
      </w:r>
      <w:r>
        <w:rPr>
          <w:rFonts w:ascii="宋体" w:hAnsi="宋体"/>
          <w:sz w:val="24"/>
        </w:rPr>
        <w:t>号交通银行大楼二层（裙）</w:t>
      </w:r>
    </w:p>
    <w:p w14:paraId="6D54C2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w:t>
      </w:r>
      <w:r>
        <w:rPr>
          <w:rFonts w:ascii="宋体" w:hAnsi="宋体"/>
          <w:sz w:val="24"/>
        </w:rPr>
        <w:t>8</w:t>
      </w:r>
      <w:r>
        <w:rPr>
          <w:rFonts w:ascii="宋体" w:hAnsi="宋体"/>
          <w:sz w:val="24"/>
        </w:rPr>
        <w:t>号国金中心二期</w:t>
      </w:r>
      <w:r>
        <w:rPr>
          <w:rFonts w:ascii="宋体" w:hAnsi="宋体"/>
          <w:sz w:val="24"/>
        </w:rPr>
        <w:t>21-22</w:t>
      </w:r>
      <w:r>
        <w:rPr>
          <w:rFonts w:ascii="宋体" w:hAnsi="宋体"/>
          <w:sz w:val="24"/>
        </w:rPr>
        <w:t>楼</w:t>
      </w:r>
    </w:p>
    <w:p w14:paraId="67AFAE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w:t>
      </w:r>
      <w:r>
        <w:rPr>
          <w:rFonts w:ascii="宋体" w:hAnsi="宋体"/>
          <w:sz w:val="24"/>
        </w:rPr>
        <w:t>021</w:t>
      </w:r>
      <w:r>
        <w:rPr>
          <w:rFonts w:ascii="宋体" w:hAnsi="宋体"/>
          <w:sz w:val="24"/>
        </w:rPr>
        <w:t>）</w:t>
      </w:r>
      <w:r>
        <w:rPr>
          <w:rFonts w:ascii="宋体" w:hAnsi="宋体"/>
          <w:sz w:val="24"/>
        </w:rPr>
        <w:t>61055724</w:t>
      </w:r>
    </w:p>
    <w:p w14:paraId="59C2DE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r>
        <w:rPr>
          <w:rFonts w:ascii="宋体" w:hAnsi="宋体"/>
          <w:sz w:val="24"/>
        </w:rPr>
        <w:t>021</w:t>
      </w:r>
      <w:r>
        <w:rPr>
          <w:rFonts w:ascii="宋体" w:hAnsi="宋体"/>
          <w:sz w:val="24"/>
        </w:rPr>
        <w:t>）</w:t>
      </w:r>
      <w:r>
        <w:rPr>
          <w:rFonts w:ascii="宋体" w:hAnsi="宋体"/>
          <w:sz w:val="24"/>
        </w:rPr>
        <w:t>61055054</w:t>
      </w:r>
    </w:p>
    <w:p w14:paraId="23D5B4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5880AF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w:t>
      </w:r>
      <w:r>
        <w:rPr>
          <w:rFonts w:ascii="宋体" w:hAnsi="宋体"/>
          <w:sz w:val="24"/>
        </w:rPr>
        <w:t>400-700-5000</w:t>
      </w:r>
      <w:r>
        <w:rPr>
          <w:rFonts w:ascii="宋体" w:hAnsi="宋体"/>
          <w:sz w:val="24"/>
        </w:rPr>
        <w:t>（免长途话费），（</w:t>
      </w:r>
      <w:r>
        <w:rPr>
          <w:rFonts w:ascii="宋体" w:hAnsi="宋体"/>
          <w:sz w:val="24"/>
        </w:rPr>
        <w:t>021</w:t>
      </w:r>
      <w:r>
        <w:rPr>
          <w:rFonts w:ascii="宋体" w:hAnsi="宋体"/>
          <w:sz w:val="24"/>
        </w:rPr>
        <w:t>）</w:t>
      </w:r>
      <w:r>
        <w:rPr>
          <w:rFonts w:ascii="宋体" w:hAnsi="宋体"/>
          <w:sz w:val="24"/>
        </w:rPr>
        <w:t>61055000</w:t>
      </w:r>
    </w:p>
    <w:p w14:paraId="5BC888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www.fund001.com</w:t>
      </w:r>
    </w:p>
    <w:p w14:paraId="373C81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个人投资者可以通过基金管理人网上直销交易平台办理开户、本基金的申购、赎回、转换及定期定额投资等业务，具体交易细则请参阅基金管理人网站。网上直销交易平台网址：</w:t>
      </w:r>
      <w:r>
        <w:rPr>
          <w:rFonts w:ascii="宋体" w:hAnsi="宋体"/>
          <w:sz w:val="24"/>
        </w:rPr>
        <w:t>www.fund001.com</w:t>
      </w:r>
    </w:p>
    <w:p w14:paraId="273FA2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、除基金管理人之外的其他销售机构</w:t>
      </w:r>
    </w:p>
    <w:p w14:paraId="4F48D9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w:t>
      </w:r>
      <w:r>
        <w:rPr>
          <w:rFonts w:ascii="宋体" w:hAnsi="宋体"/>
          <w:sz w:val="24"/>
        </w:rPr>
        <w:t>“</w:t>
      </w:r>
      <w:r>
        <w:rPr>
          <w:rFonts w:ascii="宋体" w:hAnsi="宋体"/>
          <w:sz w:val="24"/>
        </w:rPr>
        <w:t>五、相关服务机构</w:t>
      </w:r>
      <w:r>
        <w:rPr>
          <w:rFonts w:ascii="宋体" w:hAnsi="宋体"/>
          <w:sz w:val="24"/>
        </w:rPr>
        <w:t>”</w:t>
      </w:r>
      <w:r>
        <w:rPr>
          <w:rFonts w:ascii="宋体" w:hAnsi="宋体"/>
          <w:sz w:val="24"/>
        </w:rPr>
        <w:t>章节或拨打本公司客户服务电话进行咨询。</w:t>
      </w:r>
    </w:p>
    <w:p w14:paraId="38CE7E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w:t>
      </w:r>
      <w:r>
        <w:rPr>
          <w:rFonts w:ascii="宋体" w:hAnsi="宋体"/>
          <w:sz w:val="24"/>
        </w:rPr>
        <w:t>所或按上述销售机构提供的其他方式进行申购或赎回。本基金管理人可根据情况变更或增减基金销售机构，并在管理人网站公示。</w:t>
      </w:r>
    </w:p>
    <w:p w14:paraId="64D0B49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14:paraId="35AC72B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（二）申购和赎回的开放日及时间</w:t>
      </w:r>
    </w:p>
    <w:p w14:paraId="33B9FE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、开放日及开放时间</w:t>
      </w:r>
    </w:p>
    <w:p w14:paraId="016CC43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44AF30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基金合同生效后，若出现新的证券交易市场、证券交</w:t>
      </w:r>
      <w:r>
        <w:rPr>
          <w:rFonts w:ascii="宋体" w:hAnsi="宋体"/>
          <w:sz w:val="24"/>
        </w:rPr>
        <w:t>易所交易时间变更或其他特殊情况，基金管理人将视情况对前述开放日及开放时间进行相应的调整，但应在实施日前依照《信息披露办法》的有关规定在指定媒介上公告。</w:t>
      </w:r>
    </w:p>
    <w:p w14:paraId="0FF371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、申购、赎回开始日及业务办理时间</w:t>
      </w:r>
    </w:p>
    <w:p w14:paraId="094E471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日起开放申购、赎回业务。</w:t>
      </w:r>
    </w:p>
    <w:p w14:paraId="1B09954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59B04B1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（三）申购与赎回的原则</w:t>
      </w:r>
    </w:p>
    <w:p w14:paraId="5B3D6E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w:t>
      </w:r>
      <w:r>
        <w:rPr>
          <w:rFonts w:ascii="宋体" w:hAnsi="宋体"/>
          <w:sz w:val="24"/>
        </w:rPr>
        <w:t>“</w:t>
      </w:r>
      <w:r>
        <w:rPr>
          <w:rFonts w:ascii="宋体" w:hAnsi="宋体"/>
          <w:sz w:val="24"/>
        </w:rPr>
        <w:t>未</w:t>
      </w:r>
      <w:r>
        <w:rPr>
          <w:rFonts w:ascii="宋体" w:hAnsi="宋体"/>
          <w:sz w:val="24"/>
        </w:rPr>
        <w:t>知价</w:t>
      </w:r>
      <w:r>
        <w:rPr>
          <w:rFonts w:ascii="宋体" w:hAnsi="宋体"/>
          <w:sz w:val="24"/>
        </w:rPr>
        <w:t>”</w:t>
      </w:r>
      <w:r>
        <w:rPr>
          <w:rFonts w:ascii="宋体" w:hAnsi="宋体"/>
          <w:sz w:val="24"/>
        </w:rPr>
        <w:t>原则，即申购、赎回价格以申请当日收市后计算的基金份额净值为基准进行计算；</w:t>
      </w:r>
    </w:p>
    <w:p w14:paraId="5ECD7F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w:t>
      </w:r>
      <w:r>
        <w:rPr>
          <w:rFonts w:ascii="宋体" w:hAnsi="宋体"/>
          <w:sz w:val="24"/>
        </w:rPr>
        <w:t>“</w:t>
      </w:r>
      <w:r>
        <w:rPr>
          <w:rFonts w:ascii="宋体" w:hAnsi="宋体"/>
          <w:sz w:val="24"/>
        </w:rPr>
        <w:t>金额申购、份额赎回</w:t>
      </w:r>
      <w:r>
        <w:rPr>
          <w:rFonts w:ascii="宋体" w:hAnsi="宋体"/>
          <w:sz w:val="24"/>
        </w:rPr>
        <w:t>”</w:t>
      </w:r>
      <w:r>
        <w:rPr>
          <w:rFonts w:ascii="宋体" w:hAnsi="宋体"/>
          <w:sz w:val="24"/>
        </w:rPr>
        <w:t>原则，即申购以金额申请，赎回以份额申请；</w:t>
      </w:r>
    </w:p>
    <w:p w14:paraId="0CB392A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、当日的申购与赎回申请可以在基金管理人规定的时间以内撤销，但申请经登记机构受理的不得撤销；</w:t>
      </w:r>
    </w:p>
    <w:p w14:paraId="600EF6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、基金份额持有人赎回时，除指定赎回外，基金管理人按</w:t>
      </w:r>
      <w:r>
        <w:rPr>
          <w:rFonts w:ascii="宋体" w:hAnsi="宋体"/>
          <w:sz w:val="24"/>
        </w:rPr>
        <w:t>“</w:t>
      </w:r>
      <w:r>
        <w:rPr>
          <w:rFonts w:ascii="宋体" w:hAnsi="宋体"/>
          <w:sz w:val="24"/>
        </w:rPr>
        <w:t>先进先出</w:t>
      </w:r>
      <w:r>
        <w:rPr>
          <w:rFonts w:ascii="宋体" w:hAnsi="宋体"/>
          <w:sz w:val="24"/>
        </w:rPr>
        <w:t>”</w:t>
      </w:r>
      <w:r>
        <w:rPr>
          <w:rFonts w:ascii="宋体" w:hAnsi="宋体"/>
          <w:sz w:val="24"/>
        </w:rPr>
        <w:t>的原则，对该持有人账户在该销售机构托管的基金份额进行处理，即登记确认日期在先的基金份额先赎回，登记确认日期在后的基金份额后赎回，以确定被赎回基金份额的持有期限和所适用的赎回费率；</w:t>
      </w:r>
    </w:p>
    <w:p w14:paraId="391460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、办理申购、赎回业务时，应当遵循基金份额持有人利益优先原则，确保投资者的合法权益不受损害并得到公平对待。</w:t>
      </w:r>
    </w:p>
    <w:p w14:paraId="5DBF39D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14:paraId="0C1B057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（四）申购和赎回的数额限定</w:t>
      </w:r>
    </w:p>
    <w:p w14:paraId="03AC57B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、申购金额的限制</w:t>
      </w:r>
    </w:p>
    <w:p w14:paraId="05AE63B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w:t>
      </w:r>
      <w:r>
        <w:rPr>
          <w:rFonts w:ascii="宋体" w:hAnsi="宋体"/>
          <w:sz w:val="24"/>
        </w:rPr>
        <w:t>100</w:t>
      </w:r>
      <w:r>
        <w:rPr>
          <w:rFonts w:ascii="宋体" w:hAnsi="宋体"/>
          <w:sz w:val="24"/>
        </w:rPr>
        <w:t>万元，追加申购的最低金额为单笔</w:t>
      </w:r>
      <w:r>
        <w:rPr>
          <w:rFonts w:ascii="宋体" w:hAnsi="宋体"/>
          <w:sz w:val="24"/>
        </w:rPr>
        <w:t>10</w:t>
      </w:r>
      <w:r>
        <w:rPr>
          <w:rFonts w:ascii="宋体" w:hAnsi="宋体"/>
          <w:sz w:val="24"/>
        </w:rPr>
        <w:t>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rFonts w:ascii="宋体" w:hAnsi="宋体"/>
          <w:sz w:val="24"/>
        </w:rPr>
        <w:t>1</w:t>
      </w:r>
      <w:r>
        <w:rPr>
          <w:rFonts w:ascii="宋体" w:hAnsi="宋体"/>
          <w:sz w:val="24"/>
        </w:rPr>
        <w:t>元。本基金直销机构单笔申购最低金额可由基金管理人酌情调整。其他销售机构接</w:t>
      </w:r>
      <w:r>
        <w:rPr>
          <w:rFonts w:ascii="宋体" w:hAnsi="宋体"/>
          <w:sz w:val="24"/>
        </w:rPr>
        <w:lastRenderedPageBreak/>
        <w:t>受申购申请的最低金额为单笔</w:t>
      </w:r>
      <w:r>
        <w:rPr>
          <w:rFonts w:ascii="宋体" w:hAnsi="宋体"/>
          <w:sz w:val="24"/>
        </w:rPr>
        <w:t>1</w:t>
      </w:r>
      <w:r>
        <w:rPr>
          <w:rFonts w:ascii="宋体" w:hAnsi="宋体"/>
          <w:sz w:val="24"/>
        </w:rPr>
        <w:t>元，如果销售机构业务规则规定的最低单笔申购金额高于</w:t>
      </w:r>
      <w:r>
        <w:rPr>
          <w:rFonts w:ascii="宋体" w:hAnsi="宋体"/>
          <w:sz w:val="24"/>
        </w:rPr>
        <w:t>1</w:t>
      </w:r>
      <w:r>
        <w:rPr>
          <w:rFonts w:ascii="宋体" w:hAnsi="宋体"/>
          <w:sz w:val="24"/>
        </w:rPr>
        <w:t>元，以该销售机构的规定为准。</w:t>
      </w:r>
    </w:p>
    <w:p w14:paraId="0E33777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、赎回份额的限制</w:t>
      </w:r>
    </w:p>
    <w:p w14:paraId="6779BA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w:t>
      </w:r>
      <w:r>
        <w:rPr>
          <w:rFonts w:ascii="宋体" w:hAnsi="宋体"/>
          <w:sz w:val="24"/>
        </w:rPr>
        <w:t>1</w:t>
      </w:r>
      <w:r>
        <w:rPr>
          <w:rFonts w:ascii="宋体" w:hAnsi="宋体"/>
          <w:sz w:val="24"/>
        </w:rPr>
        <w:t>份基</w:t>
      </w:r>
      <w:r>
        <w:rPr>
          <w:rFonts w:ascii="宋体" w:hAnsi="宋体"/>
          <w:sz w:val="24"/>
        </w:rPr>
        <w:t>金份额，如果销售机构业务规则规定的最低单笔赎回份额高于</w:t>
      </w:r>
      <w:r>
        <w:rPr>
          <w:rFonts w:ascii="宋体" w:hAnsi="宋体"/>
          <w:sz w:val="24"/>
        </w:rPr>
        <w:t>1</w:t>
      </w:r>
      <w:r>
        <w:rPr>
          <w:rFonts w:ascii="宋体" w:hAnsi="宋体"/>
          <w:sz w:val="24"/>
        </w:rPr>
        <w:t>份，以该销售机构的规定为准。</w:t>
      </w:r>
    </w:p>
    <w:p w14:paraId="43E1D3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、最低基金份额余额的限制</w:t>
      </w:r>
    </w:p>
    <w:p w14:paraId="496916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w:t>
      </w:r>
      <w:r>
        <w:rPr>
          <w:rFonts w:ascii="宋体" w:hAnsi="宋体"/>
          <w:sz w:val="24"/>
        </w:rPr>
        <w:t>1</w:t>
      </w:r>
      <w:r>
        <w:rPr>
          <w:rFonts w:ascii="宋体" w:hAnsi="宋体"/>
          <w:sz w:val="24"/>
        </w:rPr>
        <w:t>份时，若当日该账户同时有基金份额减少类业务（如赎回、转换出等）被确认，则基金管理人有权将投资人在该账户保留的本基金份额一次性全部赎回。</w:t>
      </w:r>
    </w:p>
    <w:p w14:paraId="5F9887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 w:val="24"/>
        </w:rPr>
        <w:t>。基金管理人基于投资运作与风险控制的需要，可采取上述措施对基金规模予以控制。具体请参见相关公告。</w:t>
      </w:r>
    </w:p>
    <w:p w14:paraId="7984B6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、基金管理人可在法律法规允许的情况下，调整上述规定申购金额和赎回份额的数量限制。基金管理人必须在调整实施前依照《信息披露办法》的有关规定在指定媒介上公告。</w:t>
      </w:r>
    </w:p>
    <w:p w14:paraId="73474D5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（五）申购和赎回的程序</w:t>
      </w:r>
    </w:p>
    <w:p w14:paraId="116E91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、申购和赎回的申请方式</w:t>
      </w:r>
    </w:p>
    <w:p w14:paraId="59C5D5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w:t>
      </w:r>
      <w:r>
        <w:rPr>
          <w:rFonts w:ascii="宋体" w:hAnsi="宋体"/>
          <w:sz w:val="24"/>
        </w:rPr>
        <w:t>、赎回申请不成立。</w:t>
      </w:r>
    </w:p>
    <w:p w14:paraId="158962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、申购和赎回的款项支付</w:t>
      </w:r>
    </w:p>
    <w:p w14:paraId="528278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投资人申购基金份额时，必须全额交付申购款项，若申购资金在规定时间内未全额到账则申购不成立。投资人全额交付申购款项，申购成立；基金登记机构确认基金份额时，申购生效。</w:t>
      </w:r>
    </w:p>
    <w:p w14:paraId="7247CF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基金份额持有人递交赎回申请，赎回成立；基金登记机构确认赎回时，赎回生效。投资者赎回申请生效后，基金管理人将在</w:t>
      </w:r>
      <w:r>
        <w:rPr>
          <w:rFonts w:ascii="宋体" w:hAnsi="宋体"/>
          <w:sz w:val="24"/>
        </w:rPr>
        <w:t>T</w:t>
      </w:r>
      <w:r>
        <w:rPr>
          <w:rFonts w:ascii="宋体" w:hAnsi="宋体"/>
          <w:sz w:val="24"/>
        </w:rPr>
        <w:t>＋</w:t>
      </w:r>
      <w:r>
        <w:rPr>
          <w:rFonts w:ascii="宋体" w:hAnsi="宋体"/>
          <w:sz w:val="24"/>
        </w:rPr>
        <w:t>7</w:t>
      </w:r>
      <w:r>
        <w:rPr>
          <w:rFonts w:ascii="宋体" w:hAnsi="宋体"/>
          <w:sz w:val="24"/>
        </w:rPr>
        <w:t>日（包括该日）内支付赎回款项。在发生巨额赎回或基金合同载明的其他暂停赎回或延缓支付赎回款项的情形</w:t>
      </w:r>
      <w:r>
        <w:rPr>
          <w:rFonts w:ascii="宋体" w:hAnsi="宋体"/>
          <w:sz w:val="24"/>
        </w:rPr>
        <w:lastRenderedPageBreak/>
        <w:t>时，款项的支付办法参照基金合同有关条款处理。</w:t>
      </w:r>
    </w:p>
    <w:p w14:paraId="47F033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、申购和赎回申请的确认</w:t>
      </w:r>
    </w:p>
    <w:p w14:paraId="6501D7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w:t>
      </w:r>
      <w:r>
        <w:rPr>
          <w:rFonts w:ascii="宋体" w:hAnsi="宋体"/>
          <w:sz w:val="24"/>
        </w:rPr>
        <w:t>人委托的登记机构应以交易时间结束前受理有效申购和赎回申请的当天作为申购或赎回申请日（</w:t>
      </w:r>
      <w:r>
        <w:rPr>
          <w:rFonts w:ascii="宋体" w:hAnsi="宋体"/>
          <w:sz w:val="24"/>
        </w:rPr>
        <w:t>T</w:t>
      </w:r>
      <w:r>
        <w:rPr>
          <w:rFonts w:ascii="宋体" w:hAnsi="宋体"/>
          <w:sz w:val="24"/>
        </w:rPr>
        <w:t>日），在正常情况下，本基金登记机构在</w:t>
      </w:r>
      <w:r>
        <w:rPr>
          <w:rFonts w:ascii="宋体" w:hAnsi="宋体"/>
          <w:sz w:val="24"/>
        </w:rPr>
        <w:t>T+1</w:t>
      </w:r>
      <w:r>
        <w:rPr>
          <w:rFonts w:ascii="宋体" w:hAnsi="宋体"/>
          <w:sz w:val="24"/>
        </w:rPr>
        <w:t>日（包括该日）内对该交易的有效性进行确认。</w:t>
      </w:r>
      <w:r>
        <w:rPr>
          <w:rFonts w:ascii="宋体" w:hAnsi="宋体"/>
          <w:sz w:val="24"/>
        </w:rPr>
        <w:t>T</w:t>
      </w:r>
      <w:r>
        <w:rPr>
          <w:rFonts w:ascii="宋体" w:hAnsi="宋体"/>
          <w:sz w:val="24"/>
        </w:rPr>
        <w:t>日提交的有效申请，投资人应在</w:t>
      </w:r>
      <w:r>
        <w:rPr>
          <w:rFonts w:ascii="宋体" w:hAnsi="宋体"/>
          <w:sz w:val="24"/>
        </w:rPr>
        <w:t>T+2</w:t>
      </w:r>
      <w:r>
        <w:rPr>
          <w:rFonts w:ascii="宋体" w:hAnsi="宋体"/>
          <w:sz w:val="24"/>
        </w:rPr>
        <w:t>日后（包括该日）及时到销售网点柜台或以销售机构规定的其他方式查询申请的确认情况。若申购不成功，则申购款项本金退还给投资人。</w:t>
      </w:r>
    </w:p>
    <w:p w14:paraId="12ACE1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w:t>
      </w:r>
    </w:p>
    <w:p w14:paraId="0D6671E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w:t>
      </w:r>
      <w:r>
        <w:rPr>
          <w:rFonts w:ascii="宋体" w:hAnsi="宋体"/>
          <w:sz w:val="24"/>
        </w:rPr>
        <w:t>不代表该申请一定成功，而仅代表销售机构确实接收到申购、赎回申请。申购、赎回申请的确认以登记机构的确认结果为准。对于申请的确认情况，投资者应及时查询。</w:t>
      </w:r>
    </w:p>
    <w:p w14:paraId="2E2CF1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、申购和赎回的登记</w:t>
      </w:r>
    </w:p>
    <w:p w14:paraId="0D277D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）投资人</w:t>
      </w:r>
      <w:r>
        <w:rPr>
          <w:rFonts w:ascii="宋体" w:hAnsi="宋体"/>
          <w:sz w:val="24"/>
        </w:rPr>
        <w:t>T</w:t>
      </w:r>
      <w:r>
        <w:rPr>
          <w:rFonts w:ascii="宋体" w:hAnsi="宋体"/>
          <w:sz w:val="24"/>
        </w:rPr>
        <w:t>日申购基金成功后，正常情况下，登记机构在</w:t>
      </w:r>
      <w:r>
        <w:rPr>
          <w:rFonts w:ascii="宋体" w:hAnsi="宋体"/>
          <w:sz w:val="24"/>
        </w:rPr>
        <w:t>T</w:t>
      </w:r>
      <w:r>
        <w:rPr>
          <w:rFonts w:ascii="宋体" w:hAnsi="宋体"/>
          <w:sz w:val="24"/>
        </w:rPr>
        <w:t>＋</w:t>
      </w:r>
      <w:r>
        <w:rPr>
          <w:rFonts w:ascii="宋体" w:hAnsi="宋体"/>
          <w:sz w:val="24"/>
        </w:rPr>
        <w:t>1</w:t>
      </w:r>
      <w:r>
        <w:rPr>
          <w:rFonts w:ascii="宋体" w:hAnsi="宋体"/>
          <w:sz w:val="24"/>
        </w:rPr>
        <w:t>日为投资人增加权益并办理登记手续，投资人自</w:t>
      </w:r>
      <w:r>
        <w:rPr>
          <w:rFonts w:ascii="宋体" w:hAnsi="宋体"/>
          <w:sz w:val="24"/>
        </w:rPr>
        <w:t>T</w:t>
      </w:r>
      <w:r>
        <w:rPr>
          <w:rFonts w:ascii="宋体" w:hAnsi="宋体"/>
          <w:sz w:val="24"/>
        </w:rPr>
        <w:t>＋</w:t>
      </w:r>
      <w:r>
        <w:rPr>
          <w:rFonts w:ascii="宋体" w:hAnsi="宋体"/>
          <w:sz w:val="24"/>
        </w:rPr>
        <w:t>2</w:t>
      </w:r>
      <w:r>
        <w:rPr>
          <w:rFonts w:ascii="宋体" w:hAnsi="宋体"/>
          <w:sz w:val="24"/>
        </w:rPr>
        <w:t>日起（包括该日）有权赎回该部分基金份额。投资人应及时查询有关申请的确认情况。</w:t>
      </w:r>
    </w:p>
    <w:p w14:paraId="3EFDB73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）投资人</w:t>
      </w:r>
      <w:r>
        <w:rPr>
          <w:rFonts w:ascii="宋体" w:hAnsi="宋体"/>
          <w:sz w:val="24"/>
        </w:rPr>
        <w:t>T</w:t>
      </w:r>
      <w:r>
        <w:rPr>
          <w:rFonts w:ascii="宋体" w:hAnsi="宋体"/>
          <w:sz w:val="24"/>
        </w:rPr>
        <w:t>日赎回基金成功后，正常情况下，登记机构在</w:t>
      </w:r>
      <w:r>
        <w:rPr>
          <w:rFonts w:ascii="宋体" w:hAnsi="宋体"/>
          <w:sz w:val="24"/>
        </w:rPr>
        <w:t>T</w:t>
      </w:r>
      <w:r>
        <w:rPr>
          <w:rFonts w:ascii="宋体" w:hAnsi="宋体"/>
          <w:sz w:val="24"/>
        </w:rPr>
        <w:t>＋</w:t>
      </w:r>
      <w:r>
        <w:rPr>
          <w:rFonts w:ascii="宋体" w:hAnsi="宋体"/>
          <w:sz w:val="24"/>
        </w:rPr>
        <w:t>1</w:t>
      </w:r>
      <w:r>
        <w:rPr>
          <w:rFonts w:ascii="宋体" w:hAnsi="宋体"/>
          <w:sz w:val="24"/>
        </w:rPr>
        <w:t>日为投资人扣除权益并办理相应的登记手续。</w:t>
      </w:r>
    </w:p>
    <w:p w14:paraId="266A18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）基金管理人可在法律法规允许的范围内，对上述登记</w:t>
      </w:r>
      <w:r>
        <w:rPr>
          <w:rFonts w:ascii="宋体" w:hAnsi="宋体"/>
          <w:sz w:val="24"/>
        </w:rPr>
        <w:t>办理时间进行调整，并于开始实施前按照《信息披露办法》的有关规定在指定媒介上公告。</w:t>
      </w:r>
    </w:p>
    <w:p w14:paraId="4F36674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（六）基金的申购费和赎回费</w:t>
      </w:r>
    </w:p>
    <w:p w14:paraId="7524FC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、申购费用</w:t>
      </w:r>
    </w:p>
    <w:p w14:paraId="26F43E6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本基金的申购费用由基金申购人承担，不列入基金财产，主要用于本基金的市场推广、销售、登记结算等各项费用。</w:t>
      </w:r>
    </w:p>
    <w:p w14:paraId="030A01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14:paraId="31E2CC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本基金（非养老金客户）的申购费率如下：</w:t>
      </w:r>
    </w:p>
    <w:tbl>
      <w:tblPr>
        <w:tblW w:w="5000" w:type="pct"/>
        <w:tblCellMar>
          <w:left w:w="0" w:type="dxa"/>
          <w:right w:w="0" w:type="dxa"/>
        </w:tblCellMar>
        <w:tblLook w:val="04A0" w:firstRow="1" w:lastRow="0" w:firstColumn="1" w:lastColumn="0" w:noHBand="0" w:noVBand="1"/>
      </w:tblPr>
      <w:tblGrid>
        <w:gridCol w:w="2162"/>
        <w:gridCol w:w="6488"/>
      </w:tblGrid>
      <w:tr w:rsidR="002411B3" w14:paraId="0BB5AF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BA562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14:paraId="5B8801B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申购费率</w:t>
            </w:r>
          </w:p>
        </w:tc>
      </w:tr>
      <w:tr w:rsidR="002411B3" w14:paraId="5966996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2916A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47566B7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2411B3" w14:paraId="549AE56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184CC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4F463CE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0.1%</w:t>
            </w:r>
          </w:p>
        </w:tc>
      </w:tr>
      <w:tr w:rsidR="002411B3" w14:paraId="02BCAF1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5603DF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683635D9"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1B9680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投资人因红利自动再投资而产生的基金份额，不收取相应的申购费用。</w:t>
      </w:r>
    </w:p>
    <w:p w14:paraId="77CD1C6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本基金对通过基金管理人直销柜台申购基金份额的养老金客户实施特定申购费率。</w:t>
      </w:r>
    </w:p>
    <w:p w14:paraId="12C75A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14:paraId="04F0A4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）全国社会保障基金；</w:t>
      </w:r>
    </w:p>
    <w:p w14:paraId="1EE3CA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）可以投资基金的地方社会保障基金；</w:t>
      </w:r>
    </w:p>
    <w:p w14:paraId="23D398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）企业年金单一计划以及集合计划；</w:t>
      </w:r>
    </w:p>
    <w:p w14:paraId="077B172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）企业年金理事会委托的特定客户资产管理计划；</w:t>
      </w:r>
    </w:p>
    <w:p w14:paraId="18344D9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）企业年金养老金产品。</w:t>
      </w:r>
    </w:p>
    <w:p w14:paraId="2991A7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14:paraId="53E3CB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通过基金管理人直销柜台申购本基金的养老金客户特定申购费率如下表：</w:t>
      </w:r>
    </w:p>
    <w:tbl>
      <w:tblPr>
        <w:tblW w:w="5000" w:type="pct"/>
        <w:tblCellMar>
          <w:left w:w="0" w:type="dxa"/>
          <w:right w:w="0" w:type="dxa"/>
        </w:tblCellMar>
        <w:tblLook w:val="04A0" w:firstRow="1" w:lastRow="0" w:firstColumn="1" w:lastColumn="0" w:noHBand="0" w:noVBand="1"/>
      </w:tblPr>
      <w:tblGrid>
        <w:gridCol w:w="2162"/>
        <w:gridCol w:w="6488"/>
      </w:tblGrid>
      <w:tr w:rsidR="002411B3" w14:paraId="20CAC13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F71B6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14:paraId="76E3EB6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特定申购费率</w:t>
            </w:r>
          </w:p>
        </w:tc>
      </w:tr>
      <w:tr w:rsidR="002411B3" w14:paraId="5E40686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D62F29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14:paraId="7801204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0.12%</w:t>
            </w:r>
          </w:p>
        </w:tc>
      </w:tr>
      <w:tr w:rsidR="002411B3" w14:paraId="12E1740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F2608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586E19D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w:t>
            </w:r>
          </w:p>
        </w:tc>
      </w:tr>
      <w:tr w:rsidR="002411B3" w14:paraId="109EEA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2C986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14:paraId="3FE007F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3B8B5A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14:paraId="6C2E085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、赎回费用</w:t>
      </w:r>
    </w:p>
    <w:p w14:paraId="3D0355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投资者赎回基金份额收取赎回费用，该费用随基金份额的持有时间递减。本基金的赎回费用由基金份额赎回人承担，对于持续持有期少于</w:t>
      </w:r>
      <w:r>
        <w:rPr>
          <w:rFonts w:ascii="宋体" w:hAnsi="宋体"/>
          <w:sz w:val="24"/>
        </w:rPr>
        <w:t>7</w:t>
      </w:r>
      <w:r>
        <w:rPr>
          <w:rFonts w:ascii="宋体" w:hAnsi="宋体"/>
          <w:sz w:val="24"/>
        </w:rPr>
        <w:t>天的投资人收取的赎回费全额计入基金财产。</w:t>
      </w:r>
    </w:p>
    <w:p w14:paraId="43E9D8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本基金的赎回费率如下：</w:t>
      </w:r>
    </w:p>
    <w:tbl>
      <w:tblPr>
        <w:tblW w:w="5000" w:type="pct"/>
        <w:tblCellMar>
          <w:left w:w="0" w:type="dxa"/>
          <w:right w:w="0" w:type="dxa"/>
        </w:tblCellMar>
        <w:tblLook w:val="04A0" w:firstRow="1" w:lastRow="0" w:firstColumn="1" w:lastColumn="0" w:noHBand="0" w:noVBand="1"/>
      </w:tblPr>
      <w:tblGrid>
        <w:gridCol w:w="1236"/>
        <w:gridCol w:w="3707"/>
        <w:gridCol w:w="3707"/>
      </w:tblGrid>
      <w:tr w:rsidR="002411B3" w14:paraId="43B53519" w14:textId="77777777">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7D1FE00D"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c>
          <w:tcPr>
            <w:tcW w:w="750" w:type="pct"/>
            <w:tcBorders>
              <w:top w:val="single" w:sz="4" w:space="0" w:color="auto"/>
              <w:left w:val="single" w:sz="4" w:space="0" w:color="auto"/>
              <w:bottom w:val="single" w:sz="4" w:space="0" w:color="auto"/>
              <w:right w:val="single" w:sz="4" w:space="0" w:color="auto"/>
            </w:tcBorders>
            <w:vAlign w:val="center"/>
          </w:tcPr>
          <w:p w14:paraId="4AE33D7F"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14:paraId="0ABB04D6"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2411B3" w14:paraId="67BF481F"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19C2D222" w14:textId="77777777" w:rsidR="002411B3" w:rsidRDefault="002411B3">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20411D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14:paraId="512DDE8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2411B3" w14:paraId="5BCDA1D6" w14:textId="77777777">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14:paraId="303EADFF" w14:textId="77777777" w:rsidR="002411B3" w:rsidRDefault="002411B3">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14:paraId="6FA5D63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日（含）以上</w:t>
            </w:r>
          </w:p>
        </w:tc>
        <w:tc>
          <w:tcPr>
            <w:tcW w:w="750" w:type="pct"/>
            <w:tcBorders>
              <w:top w:val="single" w:sz="4" w:space="0" w:color="auto"/>
              <w:left w:val="single" w:sz="4" w:space="0" w:color="auto"/>
              <w:bottom w:val="single" w:sz="4" w:space="0" w:color="auto"/>
              <w:right w:val="single" w:sz="4" w:space="0" w:color="auto"/>
            </w:tcBorders>
            <w:vAlign w:val="center"/>
          </w:tcPr>
          <w:p w14:paraId="4818003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7AC676B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、基金管理人可以在基金合同约定的范围内调整费率或收费方式，并最迟应于新的费率或收费方式实施日前依照《信息披露办法》的有关规定在指定媒介上公告。</w:t>
      </w:r>
    </w:p>
    <w:p w14:paraId="2AC635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、当发生大额申购或赎回情形时，基金管理人可以采用摆动定价机制以确保基金估值的公平性。具体处理原则与操作规范遵循相关法律法规以及监管部门、自律规则的规定。</w:t>
      </w:r>
    </w:p>
    <w:p w14:paraId="10F9D8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w:t>
      </w:r>
      <w:r>
        <w:rPr>
          <w:rFonts w:ascii="宋体" w:hAnsi="宋体"/>
          <w:sz w:val="24"/>
        </w:rPr>
        <w:t>调低基金销售费用。</w:t>
      </w:r>
    </w:p>
    <w:p w14:paraId="5BEAC4B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（七）申购和赎回的数额和价格</w:t>
      </w:r>
    </w:p>
    <w:p w14:paraId="58890DF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、申购和赎回数额、余额的处理方式</w:t>
      </w:r>
    </w:p>
    <w:p w14:paraId="1CE9E8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）申购基金份额的有效份额为净申购金额除以当日基金份额净值，有效份额单位为份，申购份额计算结果按四舍五入方法，保留到小数点后</w:t>
      </w:r>
      <w:r>
        <w:rPr>
          <w:rFonts w:ascii="宋体" w:hAnsi="宋体"/>
          <w:sz w:val="24"/>
        </w:rPr>
        <w:t>2</w:t>
      </w:r>
      <w:r>
        <w:rPr>
          <w:rFonts w:ascii="宋体" w:hAnsi="宋体"/>
          <w:sz w:val="24"/>
        </w:rPr>
        <w:t>位，由此产生的收益或损失由基金财产承担。</w:t>
      </w:r>
    </w:p>
    <w:p w14:paraId="5488035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）赎回金额为按实际确认的有效赎回份额乘以当日基金份额净值并扣除相应的费用（如有），赎回金额单位为元。赎回金额计算结果按四舍五入方法，保留到小数点后</w:t>
      </w:r>
      <w:r>
        <w:rPr>
          <w:rFonts w:ascii="宋体" w:hAnsi="宋体"/>
          <w:sz w:val="24"/>
        </w:rPr>
        <w:t>2</w:t>
      </w:r>
      <w:r>
        <w:rPr>
          <w:rFonts w:ascii="宋体" w:hAnsi="宋体"/>
          <w:sz w:val="24"/>
        </w:rPr>
        <w:t>位，由此产生的收益或损失由基金财产承担。</w:t>
      </w:r>
    </w:p>
    <w:p w14:paraId="00F5AA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、申购份额的计算</w:t>
      </w:r>
    </w:p>
    <w:p w14:paraId="6B87AA1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r>
        <w:rPr>
          <w:rFonts w:ascii="宋体" w:hAnsi="宋体"/>
          <w:sz w:val="24"/>
        </w:rPr>
        <w:t>=</w:t>
      </w:r>
      <w:r>
        <w:rPr>
          <w:rFonts w:ascii="宋体" w:hAnsi="宋体"/>
          <w:sz w:val="24"/>
        </w:rPr>
        <w:t>申请总金额</w:t>
      </w:r>
    </w:p>
    <w:p w14:paraId="4E94803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w:t>
      </w:r>
      <w:r>
        <w:rPr>
          <w:rFonts w:ascii="宋体" w:hAnsi="宋体"/>
          <w:sz w:val="24"/>
        </w:rPr>
        <w:t>=</w:t>
      </w:r>
      <w:r>
        <w:rPr>
          <w:rFonts w:ascii="宋体" w:hAnsi="宋体"/>
          <w:sz w:val="24"/>
        </w:rPr>
        <w:t>申购总金额</w:t>
      </w:r>
      <w:r>
        <w:rPr>
          <w:rFonts w:ascii="宋体" w:hAnsi="宋体"/>
          <w:sz w:val="24"/>
        </w:rPr>
        <w:t>/</w:t>
      </w:r>
      <w:r>
        <w:rPr>
          <w:rFonts w:ascii="宋体" w:hAnsi="宋体"/>
          <w:sz w:val="24"/>
        </w:rPr>
        <w:t>（</w:t>
      </w:r>
      <w:r>
        <w:rPr>
          <w:rFonts w:ascii="宋体" w:hAnsi="宋体"/>
          <w:sz w:val="24"/>
        </w:rPr>
        <w:t>1+</w:t>
      </w:r>
      <w:r>
        <w:rPr>
          <w:rFonts w:ascii="宋体" w:hAnsi="宋体"/>
          <w:sz w:val="24"/>
        </w:rPr>
        <w:t>申购费率）</w:t>
      </w:r>
    </w:p>
    <w:p w14:paraId="320746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5C2671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w:t>
      </w:r>
      <w:r>
        <w:rPr>
          <w:rFonts w:ascii="宋体" w:hAnsi="宋体"/>
          <w:sz w:val="24"/>
        </w:rPr>
        <w:t>=</w:t>
      </w:r>
      <w:r>
        <w:rPr>
          <w:rFonts w:ascii="宋体" w:hAnsi="宋体"/>
          <w:sz w:val="24"/>
        </w:rPr>
        <w:t>申购总金额</w:t>
      </w:r>
      <w:r>
        <w:rPr>
          <w:rFonts w:ascii="宋体" w:hAnsi="宋体"/>
          <w:sz w:val="24"/>
        </w:rPr>
        <w:t>-</w:t>
      </w:r>
      <w:r>
        <w:rPr>
          <w:rFonts w:ascii="宋体" w:hAnsi="宋体"/>
          <w:sz w:val="24"/>
        </w:rPr>
        <w:t>净申购金额</w:t>
      </w:r>
    </w:p>
    <w:p w14:paraId="49D995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3B4906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Pr>
          <w:rFonts w:ascii="宋体" w:hAnsi="宋体"/>
          <w:sz w:val="24"/>
        </w:rPr>
        <w:t>=</w:t>
      </w:r>
      <w:r>
        <w:rPr>
          <w:rFonts w:ascii="宋体" w:hAnsi="宋体"/>
          <w:sz w:val="24"/>
        </w:rPr>
        <w:t>（申购总金额</w:t>
      </w:r>
      <w:r>
        <w:rPr>
          <w:rFonts w:ascii="宋体" w:hAnsi="宋体"/>
          <w:sz w:val="24"/>
        </w:rPr>
        <w:t>-</w:t>
      </w:r>
      <w:r>
        <w:rPr>
          <w:rFonts w:ascii="宋体" w:hAnsi="宋体"/>
          <w:sz w:val="24"/>
        </w:rPr>
        <w:t>申购费用）</w:t>
      </w:r>
      <w:r>
        <w:rPr>
          <w:rFonts w:ascii="宋体" w:hAnsi="宋体"/>
          <w:sz w:val="24"/>
        </w:rPr>
        <w:t>/T</w:t>
      </w:r>
      <w:r>
        <w:rPr>
          <w:rFonts w:ascii="宋体" w:hAnsi="宋体"/>
          <w:sz w:val="24"/>
        </w:rPr>
        <w:t>日基金份额净值</w:t>
      </w:r>
    </w:p>
    <w:p w14:paraId="7B8B1C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例一：某投资者（非养老金客户）投资</w:t>
      </w:r>
      <w:r>
        <w:rPr>
          <w:rFonts w:ascii="宋体" w:hAnsi="宋体"/>
          <w:sz w:val="24"/>
        </w:rPr>
        <w:t>100,000</w:t>
      </w:r>
      <w:r>
        <w:rPr>
          <w:rFonts w:ascii="宋体" w:hAnsi="宋体"/>
          <w:sz w:val="24"/>
        </w:rPr>
        <w:t>元申购本基金，假设申购当日基金份额净值为</w:t>
      </w:r>
      <w:r>
        <w:rPr>
          <w:rFonts w:ascii="宋体" w:hAnsi="宋体"/>
          <w:sz w:val="24"/>
        </w:rPr>
        <w:t>1.0400</w:t>
      </w:r>
      <w:r>
        <w:rPr>
          <w:rFonts w:ascii="宋体" w:hAnsi="宋体"/>
          <w:sz w:val="24"/>
        </w:rPr>
        <w:t>元，申购费率为</w:t>
      </w:r>
      <w:r>
        <w:rPr>
          <w:rFonts w:ascii="宋体" w:hAnsi="宋体"/>
          <w:sz w:val="24"/>
        </w:rPr>
        <w:t>0.3%</w:t>
      </w:r>
      <w:r>
        <w:rPr>
          <w:rFonts w:ascii="宋体" w:hAnsi="宋体"/>
          <w:sz w:val="24"/>
        </w:rPr>
        <w:t>，则其可得到的申购份额为：</w:t>
      </w:r>
    </w:p>
    <w:p w14:paraId="22CDE6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申购总金额＝</w:t>
      </w:r>
      <w:r>
        <w:rPr>
          <w:rFonts w:ascii="宋体" w:hAnsi="宋体"/>
          <w:sz w:val="24"/>
        </w:rPr>
        <w:t>100,000</w:t>
      </w:r>
      <w:r>
        <w:rPr>
          <w:rFonts w:ascii="宋体" w:hAnsi="宋体"/>
          <w:sz w:val="24"/>
        </w:rPr>
        <w:t>元</w:t>
      </w:r>
    </w:p>
    <w:p w14:paraId="4FFE540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w:t>
      </w:r>
      <w:r>
        <w:rPr>
          <w:rFonts w:ascii="宋体" w:hAnsi="宋体"/>
          <w:sz w:val="24"/>
        </w:rPr>
        <w:t>=100,000/</w:t>
      </w:r>
      <w:r>
        <w:rPr>
          <w:rFonts w:ascii="宋体" w:hAnsi="宋体"/>
          <w:sz w:val="24"/>
        </w:rPr>
        <w:t>（</w:t>
      </w:r>
      <w:r>
        <w:rPr>
          <w:rFonts w:ascii="宋体" w:hAnsi="宋体"/>
          <w:sz w:val="24"/>
        </w:rPr>
        <w:t>1+0.3%</w:t>
      </w:r>
      <w:r>
        <w:rPr>
          <w:rFonts w:ascii="宋体" w:hAnsi="宋体"/>
          <w:sz w:val="24"/>
        </w:rPr>
        <w:t>）</w:t>
      </w:r>
      <w:r>
        <w:rPr>
          <w:rFonts w:ascii="宋体" w:hAnsi="宋体"/>
          <w:sz w:val="24"/>
        </w:rPr>
        <w:t>=99,</w:t>
      </w:r>
      <w:r>
        <w:rPr>
          <w:rFonts w:ascii="宋体" w:hAnsi="宋体"/>
          <w:sz w:val="24"/>
        </w:rPr>
        <w:t>700.90</w:t>
      </w:r>
      <w:r>
        <w:rPr>
          <w:rFonts w:ascii="宋体" w:hAnsi="宋体"/>
          <w:sz w:val="24"/>
        </w:rPr>
        <w:t>元</w:t>
      </w:r>
    </w:p>
    <w:p w14:paraId="6AE9DD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w:t>
      </w:r>
      <w:r>
        <w:rPr>
          <w:rFonts w:ascii="宋体" w:hAnsi="宋体"/>
          <w:sz w:val="24"/>
        </w:rPr>
        <w:t>=100,000-99,700.90=299.10</w:t>
      </w:r>
      <w:r>
        <w:rPr>
          <w:rFonts w:ascii="宋体" w:hAnsi="宋体"/>
          <w:sz w:val="24"/>
        </w:rPr>
        <w:t>元</w:t>
      </w:r>
    </w:p>
    <w:p w14:paraId="28D597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Pr>
          <w:rFonts w:ascii="宋体" w:hAnsi="宋体"/>
          <w:sz w:val="24"/>
        </w:rPr>
        <w:t>=</w:t>
      </w:r>
      <w:r>
        <w:rPr>
          <w:rFonts w:ascii="宋体" w:hAnsi="宋体"/>
          <w:sz w:val="24"/>
        </w:rPr>
        <w:t>（</w:t>
      </w:r>
      <w:r>
        <w:rPr>
          <w:rFonts w:ascii="宋体" w:hAnsi="宋体"/>
          <w:sz w:val="24"/>
        </w:rPr>
        <w:t>100,000-299.10</w:t>
      </w:r>
      <w:r>
        <w:rPr>
          <w:rFonts w:ascii="宋体" w:hAnsi="宋体"/>
          <w:sz w:val="24"/>
        </w:rPr>
        <w:t>）</w:t>
      </w:r>
      <w:r>
        <w:rPr>
          <w:rFonts w:ascii="宋体" w:hAnsi="宋体"/>
          <w:sz w:val="24"/>
        </w:rPr>
        <w:t>/1.0400=95,866.25</w:t>
      </w:r>
      <w:r>
        <w:rPr>
          <w:rFonts w:ascii="宋体" w:hAnsi="宋体"/>
          <w:sz w:val="24"/>
        </w:rPr>
        <w:t>份</w:t>
      </w:r>
    </w:p>
    <w:p w14:paraId="2510B9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w:t>
      </w:r>
      <w:r>
        <w:rPr>
          <w:rFonts w:ascii="宋体" w:hAnsi="宋体"/>
          <w:sz w:val="24"/>
        </w:rPr>
        <w:t>100,000</w:t>
      </w:r>
      <w:r>
        <w:rPr>
          <w:rFonts w:ascii="宋体" w:hAnsi="宋体"/>
          <w:sz w:val="24"/>
        </w:rPr>
        <w:t>元申购本基金，假设申购当日基金份额净值为</w:t>
      </w:r>
      <w:r>
        <w:rPr>
          <w:rFonts w:ascii="宋体" w:hAnsi="宋体"/>
          <w:sz w:val="24"/>
        </w:rPr>
        <w:t>1.0400</w:t>
      </w:r>
      <w:r>
        <w:rPr>
          <w:rFonts w:ascii="宋体" w:hAnsi="宋体"/>
          <w:sz w:val="24"/>
        </w:rPr>
        <w:t>元，则其可得到</w:t>
      </w:r>
      <w:r>
        <w:rPr>
          <w:rFonts w:ascii="宋体" w:hAnsi="宋体"/>
          <w:sz w:val="24"/>
        </w:rPr>
        <w:t>95,866.25</w:t>
      </w:r>
      <w:r>
        <w:rPr>
          <w:rFonts w:ascii="宋体" w:hAnsi="宋体"/>
          <w:sz w:val="24"/>
        </w:rPr>
        <w:t>份基金份额。</w:t>
      </w:r>
    </w:p>
    <w:p w14:paraId="0DBC31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例二：某养老金客户投资</w:t>
      </w:r>
      <w:r>
        <w:rPr>
          <w:rFonts w:ascii="宋体" w:hAnsi="宋体"/>
          <w:sz w:val="24"/>
        </w:rPr>
        <w:t>100,000</w:t>
      </w:r>
      <w:r>
        <w:rPr>
          <w:rFonts w:ascii="宋体" w:hAnsi="宋体"/>
          <w:sz w:val="24"/>
        </w:rPr>
        <w:t>元通过基金管理人的直销柜台申购本基金，假设申购当日基金份额净值为</w:t>
      </w:r>
      <w:r>
        <w:rPr>
          <w:rFonts w:ascii="宋体" w:hAnsi="宋体"/>
          <w:sz w:val="24"/>
        </w:rPr>
        <w:t>1.0400</w:t>
      </w:r>
      <w:r>
        <w:rPr>
          <w:rFonts w:ascii="宋体" w:hAnsi="宋体"/>
          <w:sz w:val="24"/>
        </w:rPr>
        <w:t>元，申购费率为</w:t>
      </w:r>
      <w:r>
        <w:rPr>
          <w:rFonts w:ascii="宋体" w:hAnsi="宋体"/>
          <w:sz w:val="24"/>
        </w:rPr>
        <w:t>0.12%</w:t>
      </w:r>
      <w:r>
        <w:rPr>
          <w:rFonts w:ascii="宋体" w:hAnsi="宋体"/>
          <w:sz w:val="24"/>
        </w:rPr>
        <w:t>，则其可得到的申购份额为：</w:t>
      </w:r>
    </w:p>
    <w:p w14:paraId="07B72E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w:t>
      </w:r>
      <w:r>
        <w:rPr>
          <w:rFonts w:ascii="宋体" w:hAnsi="宋体"/>
          <w:sz w:val="24"/>
        </w:rPr>
        <w:t>100,000</w:t>
      </w:r>
      <w:r>
        <w:rPr>
          <w:rFonts w:ascii="宋体" w:hAnsi="宋体"/>
          <w:sz w:val="24"/>
        </w:rPr>
        <w:t>元</w:t>
      </w:r>
    </w:p>
    <w:p w14:paraId="196E13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w:t>
      </w:r>
      <w:r>
        <w:rPr>
          <w:rFonts w:ascii="宋体" w:hAnsi="宋体"/>
          <w:sz w:val="24"/>
        </w:rPr>
        <w:t>=10</w:t>
      </w:r>
      <w:r>
        <w:rPr>
          <w:rFonts w:ascii="宋体" w:hAnsi="宋体"/>
          <w:sz w:val="24"/>
        </w:rPr>
        <w:t>0,000/</w:t>
      </w:r>
      <w:r>
        <w:rPr>
          <w:rFonts w:ascii="宋体" w:hAnsi="宋体"/>
          <w:sz w:val="24"/>
        </w:rPr>
        <w:t>（</w:t>
      </w:r>
      <w:r>
        <w:rPr>
          <w:rFonts w:ascii="宋体" w:hAnsi="宋体"/>
          <w:sz w:val="24"/>
        </w:rPr>
        <w:t>1+0.12%</w:t>
      </w:r>
      <w:r>
        <w:rPr>
          <w:rFonts w:ascii="宋体" w:hAnsi="宋体"/>
          <w:sz w:val="24"/>
        </w:rPr>
        <w:t>）</w:t>
      </w:r>
      <w:r>
        <w:rPr>
          <w:rFonts w:ascii="宋体" w:hAnsi="宋体"/>
          <w:sz w:val="24"/>
        </w:rPr>
        <w:t>=99,880.14</w:t>
      </w:r>
      <w:r>
        <w:rPr>
          <w:rFonts w:ascii="宋体" w:hAnsi="宋体"/>
          <w:sz w:val="24"/>
        </w:rPr>
        <w:t>元</w:t>
      </w:r>
    </w:p>
    <w:p w14:paraId="2EE700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w:t>
      </w:r>
      <w:r>
        <w:rPr>
          <w:rFonts w:ascii="宋体" w:hAnsi="宋体"/>
          <w:sz w:val="24"/>
        </w:rPr>
        <w:t>=100,000-99,880.14=119.86</w:t>
      </w:r>
      <w:r>
        <w:rPr>
          <w:rFonts w:ascii="宋体" w:hAnsi="宋体"/>
          <w:sz w:val="24"/>
        </w:rPr>
        <w:t>元</w:t>
      </w:r>
    </w:p>
    <w:p w14:paraId="6EF920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w:t>
      </w:r>
      <w:r>
        <w:rPr>
          <w:rFonts w:ascii="宋体" w:hAnsi="宋体"/>
          <w:sz w:val="24"/>
        </w:rPr>
        <w:t>=</w:t>
      </w:r>
      <w:r>
        <w:rPr>
          <w:rFonts w:ascii="宋体" w:hAnsi="宋体"/>
          <w:sz w:val="24"/>
        </w:rPr>
        <w:t>（</w:t>
      </w:r>
      <w:r>
        <w:rPr>
          <w:rFonts w:ascii="宋体" w:hAnsi="宋体"/>
          <w:sz w:val="24"/>
        </w:rPr>
        <w:t>100,000-119.86</w:t>
      </w:r>
      <w:r>
        <w:rPr>
          <w:rFonts w:ascii="宋体" w:hAnsi="宋体"/>
          <w:sz w:val="24"/>
        </w:rPr>
        <w:t>）</w:t>
      </w:r>
      <w:r>
        <w:rPr>
          <w:rFonts w:ascii="宋体" w:hAnsi="宋体"/>
          <w:sz w:val="24"/>
        </w:rPr>
        <w:t>/1.0400=96,038.60</w:t>
      </w:r>
      <w:r>
        <w:rPr>
          <w:rFonts w:ascii="宋体" w:hAnsi="宋体"/>
          <w:sz w:val="24"/>
        </w:rPr>
        <w:t>份</w:t>
      </w:r>
    </w:p>
    <w:p w14:paraId="66590B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w:t>
      </w:r>
      <w:r>
        <w:rPr>
          <w:rFonts w:ascii="宋体" w:hAnsi="宋体"/>
          <w:sz w:val="24"/>
        </w:rPr>
        <w:t>100,000</w:t>
      </w:r>
      <w:r>
        <w:rPr>
          <w:rFonts w:ascii="宋体" w:hAnsi="宋体"/>
          <w:sz w:val="24"/>
        </w:rPr>
        <w:t>元通过基金管理人的直销柜台申购本基金，假设申购当日基金份额净值为</w:t>
      </w:r>
      <w:r>
        <w:rPr>
          <w:rFonts w:ascii="宋体" w:hAnsi="宋体"/>
          <w:sz w:val="24"/>
        </w:rPr>
        <w:t>1.0400</w:t>
      </w:r>
      <w:r>
        <w:rPr>
          <w:rFonts w:ascii="宋体" w:hAnsi="宋体"/>
          <w:sz w:val="24"/>
        </w:rPr>
        <w:t>元，则其可得到</w:t>
      </w:r>
      <w:r>
        <w:rPr>
          <w:rFonts w:ascii="宋体" w:hAnsi="宋体"/>
          <w:sz w:val="24"/>
        </w:rPr>
        <w:t>96,038.60</w:t>
      </w:r>
      <w:r>
        <w:rPr>
          <w:rFonts w:ascii="宋体" w:hAnsi="宋体"/>
          <w:sz w:val="24"/>
        </w:rPr>
        <w:t>份基金份额。</w:t>
      </w:r>
    </w:p>
    <w:p w14:paraId="0113876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、赎回金额的计算</w:t>
      </w:r>
    </w:p>
    <w:p w14:paraId="653D581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赎回金额的计算方法如下：</w:t>
      </w:r>
    </w:p>
    <w:p w14:paraId="7D6A8CD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w:t>
      </w:r>
      <w:r>
        <w:rPr>
          <w:rFonts w:ascii="宋体" w:hAnsi="宋体"/>
          <w:sz w:val="24"/>
        </w:rPr>
        <w:t>=</w:t>
      </w:r>
      <w:r>
        <w:rPr>
          <w:rFonts w:ascii="宋体" w:hAnsi="宋体"/>
          <w:sz w:val="24"/>
        </w:rPr>
        <w:t>赎回份额</w:t>
      </w:r>
      <w:r>
        <w:rPr>
          <w:rFonts w:ascii="宋体" w:hAnsi="宋体"/>
          <w:sz w:val="24"/>
        </w:rPr>
        <w:t>×T</w:t>
      </w:r>
      <w:r>
        <w:rPr>
          <w:rFonts w:ascii="宋体" w:hAnsi="宋体"/>
          <w:sz w:val="24"/>
        </w:rPr>
        <w:t>日基金份额净值</w:t>
      </w:r>
      <w:r>
        <w:rPr>
          <w:rFonts w:ascii="宋体" w:hAnsi="宋体"/>
          <w:sz w:val="24"/>
        </w:rPr>
        <w:t>×</w:t>
      </w:r>
      <w:r>
        <w:rPr>
          <w:rFonts w:ascii="宋体" w:hAnsi="宋体"/>
          <w:sz w:val="24"/>
        </w:rPr>
        <w:t>赎回费率</w:t>
      </w:r>
    </w:p>
    <w:p w14:paraId="7BA9981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w:t>
      </w:r>
      <w:r>
        <w:rPr>
          <w:rFonts w:ascii="宋体" w:hAnsi="宋体"/>
          <w:sz w:val="24"/>
        </w:rPr>
        <w:t>=</w:t>
      </w:r>
      <w:r>
        <w:rPr>
          <w:rFonts w:ascii="宋体" w:hAnsi="宋体"/>
          <w:sz w:val="24"/>
        </w:rPr>
        <w:t>赎回份额</w:t>
      </w:r>
      <w:r>
        <w:rPr>
          <w:rFonts w:ascii="宋体" w:hAnsi="宋体"/>
          <w:sz w:val="24"/>
        </w:rPr>
        <w:t>×T</w:t>
      </w:r>
      <w:r>
        <w:rPr>
          <w:rFonts w:ascii="宋体" w:hAnsi="宋体"/>
          <w:sz w:val="24"/>
        </w:rPr>
        <w:t>日基金份额净值</w:t>
      </w:r>
      <w:r>
        <w:rPr>
          <w:rFonts w:ascii="宋体" w:hAnsi="宋体"/>
          <w:sz w:val="24"/>
        </w:rPr>
        <w:t>—</w:t>
      </w:r>
      <w:r>
        <w:rPr>
          <w:rFonts w:ascii="宋体" w:hAnsi="宋体"/>
          <w:sz w:val="24"/>
        </w:rPr>
        <w:t>赎回费用</w:t>
      </w:r>
    </w:p>
    <w:p w14:paraId="343C02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例三：某投资者赎回</w:t>
      </w:r>
      <w:r>
        <w:rPr>
          <w:rFonts w:ascii="宋体" w:hAnsi="宋体"/>
          <w:sz w:val="24"/>
        </w:rPr>
        <w:t>100,000</w:t>
      </w:r>
      <w:r>
        <w:rPr>
          <w:rFonts w:ascii="宋体" w:hAnsi="宋体"/>
          <w:sz w:val="24"/>
        </w:rPr>
        <w:t>份基金份额，持有</w:t>
      </w:r>
      <w:r>
        <w:rPr>
          <w:rFonts w:ascii="宋体" w:hAnsi="宋体"/>
          <w:sz w:val="24"/>
        </w:rPr>
        <w:t>5</w:t>
      </w:r>
      <w:r>
        <w:rPr>
          <w:rFonts w:ascii="宋体" w:hAnsi="宋体"/>
          <w:sz w:val="24"/>
        </w:rPr>
        <w:t>日，对应的赎回费率为</w:t>
      </w:r>
      <w:r>
        <w:rPr>
          <w:rFonts w:ascii="宋体" w:hAnsi="宋体"/>
          <w:sz w:val="24"/>
        </w:rPr>
        <w:t>1.5%</w:t>
      </w:r>
      <w:r>
        <w:rPr>
          <w:rFonts w:ascii="宋体" w:hAnsi="宋体"/>
          <w:sz w:val="24"/>
        </w:rPr>
        <w:t>，假设赎回当日基金份额净值是</w:t>
      </w:r>
      <w:r>
        <w:rPr>
          <w:rFonts w:ascii="宋体" w:hAnsi="宋体"/>
          <w:sz w:val="24"/>
        </w:rPr>
        <w:t>1.0160</w:t>
      </w:r>
      <w:r>
        <w:rPr>
          <w:rFonts w:ascii="宋体" w:hAnsi="宋体"/>
          <w:sz w:val="24"/>
        </w:rPr>
        <w:t>元，则其可得到的赎回金额为：</w:t>
      </w:r>
    </w:p>
    <w:p w14:paraId="7D46E3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w:t>
      </w:r>
      <w:r>
        <w:rPr>
          <w:rFonts w:ascii="宋体" w:hAnsi="宋体"/>
          <w:sz w:val="24"/>
        </w:rPr>
        <w:t>=100,000×1.0160×1.5%</w:t>
      </w:r>
      <w:r>
        <w:rPr>
          <w:rFonts w:ascii="宋体" w:hAnsi="宋体"/>
          <w:sz w:val="24"/>
        </w:rPr>
        <w:t>＝</w:t>
      </w:r>
      <w:r>
        <w:rPr>
          <w:rFonts w:ascii="宋体" w:hAnsi="宋体"/>
          <w:sz w:val="24"/>
        </w:rPr>
        <w:t>1524.00</w:t>
      </w:r>
      <w:r>
        <w:rPr>
          <w:rFonts w:ascii="宋体" w:hAnsi="宋体"/>
          <w:sz w:val="24"/>
        </w:rPr>
        <w:t>元</w:t>
      </w:r>
    </w:p>
    <w:p w14:paraId="238432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w:t>
      </w:r>
      <w:r>
        <w:rPr>
          <w:rFonts w:ascii="宋体" w:hAnsi="宋体"/>
          <w:sz w:val="24"/>
        </w:rPr>
        <w:t>=100,000×1.0160-1524.00</w:t>
      </w:r>
      <w:r>
        <w:rPr>
          <w:rFonts w:ascii="宋体" w:hAnsi="宋体"/>
          <w:sz w:val="24"/>
        </w:rPr>
        <w:t>＝</w:t>
      </w:r>
      <w:r>
        <w:rPr>
          <w:rFonts w:ascii="宋体" w:hAnsi="宋体"/>
          <w:sz w:val="24"/>
        </w:rPr>
        <w:t>100,076.00</w:t>
      </w:r>
      <w:r>
        <w:rPr>
          <w:rFonts w:ascii="宋体" w:hAnsi="宋体"/>
          <w:sz w:val="24"/>
        </w:rPr>
        <w:t>元</w:t>
      </w:r>
    </w:p>
    <w:p w14:paraId="219A8C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w:t>
      </w:r>
      <w:r>
        <w:rPr>
          <w:rFonts w:ascii="宋体" w:hAnsi="宋体"/>
          <w:sz w:val="24"/>
        </w:rPr>
        <w:t>100,000</w:t>
      </w:r>
      <w:r>
        <w:rPr>
          <w:rFonts w:ascii="宋体" w:hAnsi="宋体"/>
          <w:sz w:val="24"/>
        </w:rPr>
        <w:t>份基金份额，持有</w:t>
      </w:r>
      <w:r>
        <w:rPr>
          <w:rFonts w:ascii="宋体" w:hAnsi="宋体"/>
          <w:sz w:val="24"/>
        </w:rPr>
        <w:t>5</w:t>
      </w:r>
      <w:r>
        <w:rPr>
          <w:rFonts w:ascii="宋体" w:hAnsi="宋体"/>
          <w:sz w:val="24"/>
        </w:rPr>
        <w:t>日，对应的赎回费率为</w:t>
      </w:r>
      <w:r>
        <w:rPr>
          <w:rFonts w:ascii="宋体" w:hAnsi="宋体"/>
          <w:sz w:val="24"/>
        </w:rPr>
        <w:t>1.5%</w:t>
      </w:r>
      <w:r>
        <w:rPr>
          <w:rFonts w:ascii="宋体" w:hAnsi="宋体"/>
          <w:sz w:val="24"/>
        </w:rPr>
        <w:t>，假设赎回当日基金份额净值是</w:t>
      </w:r>
      <w:r>
        <w:rPr>
          <w:rFonts w:ascii="宋体" w:hAnsi="宋体"/>
          <w:sz w:val="24"/>
        </w:rPr>
        <w:t>1.0160</w:t>
      </w:r>
      <w:r>
        <w:rPr>
          <w:rFonts w:ascii="宋体" w:hAnsi="宋体"/>
          <w:sz w:val="24"/>
        </w:rPr>
        <w:t>元，则其可得到的赎回金额为</w:t>
      </w:r>
      <w:r>
        <w:rPr>
          <w:rFonts w:ascii="宋体" w:hAnsi="宋体"/>
          <w:sz w:val="24"/>
        </w:rPr>
        <w:t>100,076.00</w:t>
      </w:r>
      <w:r>
        <w:rPr>
          <w:rFonts w:ascii="宋体" w:hAnsi="宋体"/>
          <w:sz w:val="24"/>
        </w:rPr>
        <w:t>元。</w:t>
      </w:r>
    </w:p>
    <w:p w14:paraId="410C9AD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、基金份额净值的计算公式</w:t>
      </w:r>
    </w:p>
    <w:p w14:paraId="1B9CCE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基金份额净值＝基金份额</w:t>
      </w:r>
      <w:r>
        <w:rPr>
          <w:rFonts w:ascii="宋体" w:hAnsi="宋体"/>
          <w:sz w:val="24"/>
        </w:rPr>
        <w:t>的基金资产净值总额</w:t>
      </w:r>
      <w:r>
        <w:rPr>
          <w:rFonts w:ascii="宋体" w:hAnsi="宋体"/>
          <w:sz w:val="24"/>
        </w:rPr>
        <w:t>/</w:t>
      </w:r>
      <w:r>
        <w:rPr>
          <w:rFonts w:ascii="宋体" w:hAnsi="宋体"/>
          <w:sz w:val="24"/>
        </w:rPr>
        <w:t>发行在外的基金份额总数</w:t>
      </w:r>
    </w:p>
    <w:p w14:paraId="699D497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sz w:val="24"/>
        </w:rPr>
        <w:t>T</w:t>
      </w:r>
      <w:r>
        <w:rPr>
          <w:rFonts w:ascii="宋体" w:hAnsi="宋体"/>
          <w:sz w:val="24"/>
        </w:rPr>
        <w:t>日的基金份额净值在当天收市后计算，并按基金合同的约定公告。遇特殊情况，经履行适当程序，可以适当延迟计算或公告。本基金基金份额净值的计算，保留到小数点后</w:t>
      </w:r>
      <w:r>
        <w:rPr>
          <w:rFonts w:ascii="宋体" w:hAnsi="宋体"/>
          <w:sz w:val="24"/>
        </w:rPr>
        <w:t>4</w:t>
      </w:r>
      <w:r>
        <w:rPr>
          <w:rFonts w:ascii="宋体" w:hAnsi="宋体"/>
          <w:sz w:val="24"/>
        </w:rPr>
        <w:t>位，小数点后第</w:t>
      </w:r>
      <w:r>
        <w:rPr>
          <w:rFonts w:ascii="宋体" w:hAnsi="宋体"/>
          <w:sz w:val="24"/>
        </w:rPr>
        <w:t>5</w:t>
      </w:r>
      <w:r>
        <w:rPr>
          <w:rFonts w:ascii="宋体" w:hAnsi="宋体"/>
          <w:sz w:val="24"/>
        </w:rPr>
        <w:t>位四舍五入，由此产生的收益或损失由基金</w:t>
      </w:r>
      <w:r>
        <w:rPr>
          <w:rFonts w:ascii="宋体" w:hAnsi="宋体"/>
          <w:sz w:val="24"/>
        </w:rPr>
        <w:lastRenderedPageBreak/>
        <w:t>财产承担。</w:t>
      </w:r>
    </w:p>
    <w:p w14:paraId="5217526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（八）拒绝或暂停申购的情形</w:t>
      </w:r>
    </w:p>
    <w:p w14:paraId="63C06DB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683EDA5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、因不可抗力导致基金无法正常运作。</w:t>
      </w:r>
    </w:p>
    <w:p w14:paraId="4E4AAD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、发生基金合同规定的暂停基金资产估值情况时，基金管理人可暂停接受投资人的申购申请。</w:t>
      </w:r>
    </w:p>
    <w:p w14:paraId="21E41B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、证券交易所交易时间非正常</w:t>
      </w:r>
      <w:r>
        <w:rPr>
          <w:rFonts w:ascii="宋体" w:hAnsi="宋体"/>
          <w:sz w:val="24"/>
        </w:rPr>
        <w:t>停市，导致基金管理人无法计算当日基金资产净值。</w:t>
      </w:r>
    </w:p>
    <w:p w14:paraId="47122F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、接受某笔或某些申购申请可能会影响或损害现有基金份额持有人利益时。</w:t>
      </w:r>
    </w:p>
    <w:p w14:paraId="1FB3ECC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、基金资产规模过大，使基金管理人无法找到合适的投资品种，或其他可能对基金业绩产生负面影响，或发生其他损害现有基金份额持有人利益的情形。</w:t>
      </w:r>
    </w:p>
    <w:p w14:paraId="548F74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、当前一估值日基金资产净值</w:t>
      </w:r>
      <w:r>
        <w:rPr>
          <w:rFonts w:ascii="宋体" w:hAnsi="宋体"/>
          <w:sz w:val="24"/>
        </w:rPr>
        <w:t>50%</w:t>
      </w:r>
      <w:r>
        <w:rPr>
          <w:rFonts w:ascii="宋体" w:hAnsi="宋体"/>
          <w:sz w:val="24"/>
        </w:rPr>
        <w:t>以上的资产出现无可参考的活跃市场价格且采用估值技术仍导致公允价值存在重大不确定性时，经与基金托管人协商确认后，基金管理人应当暂停接受基金申购申请。</w:t>
      </w:r>
    </w:p>
    <w:p w14:paraId="1E74FC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、基金管理人接受某笔或者某些申购申请有可能导致单一投资者持有基金份额的比</w:t>
      </w:r>
      <w:r>
        <w:rPr>
          <w:rFonts w:ascii="宋体" w:hAnsi="宋体"/>
          <w:sz w:val="24"/>
        </w:rPr>
        <w:t>例超过</w:t>
      </w:r>
      <w:r>
        <w:rPr>
          <w:rFonts w:ascii="宋体" w:hAnsi="宋体"/>
          <w:sz w:val="24"/>
        </w:rPr>
        <w:t>50%</w:t>
      </w:r>
      <w:r>
        <w:rPr>
          <w:rFonts w:ascii="宋体" w:hAnsi="宋体"/>
          <w:sz w:val="24"/>
        </w:rPr>
        <w:t>，或者变相规避</w:t>
      </w:r>
      <w:r>
        <w:rPr>
          <w:rFonts w:ascii="宋体" w:hAnsi="宋体"/>
          <w:sz w:val="24"/>
        </w:rPr>
        <w:t>50%</w:t>
      </w:r>
      <w:r>
        <w:rPr>
          <w:rFonts w:ascii="宋体" w:hAnsi="宋体"/>
          <w:sz w:val="24"/>
        </w:rPr>
        <w:t>集中度的。出现上述情形时，基金管理人有权将上述申购申请全部或部分确认失败。</w:t>
      </w:r>
    </w:p>
    <w:p w14:paraId="090EA98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、法律法规规定、中国证监会认定或基金合同约定的其他情形。</w:t>
      </w:r>
    </w:p>
    <w:p w14:paraId="128A85B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w:t>
      </w:r>
      <w:r>
        <w:rPr>
          <w:rFonts w:ascii="宋体" w:hAnsi="宋体"/>
          <w:sz w:val="24"/>
        </w:rPr>
        <w:t>1</w:t>
      </w:r>
      <w:r>
        <w:rPr>
          <w:rFonts w:ascii="宋体" w:hAnsi="宋体"/>
          <w:sz w:val="24"/>
        </w:rPr>
        <w:t>、</w:t>
      </w:r>
      <w:r>
        <w:rPr>
          <w:rFonts w:ascii="宋体" w:hAnsi="宋体"/>
          <w:sz w:val="24"/>
        </w:rPr>
        <w:t>2</w:t>
      </w:r>
      <w:r>
        <w:rPr>
          <w:rFonts w:ascii="宋体" w:hAnsi="宋体"/>
          <w:sz w:val="24"/>
        </w:rPr>
        <w:t>、</w:t>
      </w:r>
      <w:r>
        <w:rPr>
          <w:rFonts w:ascii="宋体" w:hAnsi="宋体"/>
          <w:sz w:val="24"/>
        </w:rPr>
        <w:t>3</w:t>
      </w:r>
      <w:r>
        <w:rPr>
          <w:rFonts w:ascii="宋体" w:hAnsi="宋体"/>
          <w:sz w:val="24"/>
        </w:rPr>
        <w:t>、</w:t>
      </w:r>
      <w:r>
        <w:rPr>
          <w:rFonts w:ascii="宋体" w:hAnsi="宋体"/>
          <w:sz w:val="24"/>
        </w:rPr>
        <w:t>5</w:t>
      </w:r>
      <w:r>
        <w:rPr>
          <w:rFonts w:ascii="宋体" w:hAnsi="宋体"/>
          <w:sz w:val="24"/>
        </w:rPr>
        <w:t>、</w:t>
      </w:r>
      <w:r>
        <w:rPr>
          <w:rFonts w:ascii="宋体" w:hAnsi="宋体"/>
          <w:sz w:val="24"/>
        </w:rPr>
        <w:t>6</w:t>
      </w:r>
      <w:r>
        <w:rPr>
          <w:rFonts w:ascii="宋体" w:hAnsi="宋体"/>
          <w:sz w:val="24"/>
        </w:rPr>
        <w:t>、</w:t>
      </w:r>
      <w:r>
        <w:rPr>
          <w:rFonts w:ascii="宋体" w:hAnsi="宋体"/>
          <w:sz w:val="24"/>
        </w:rPr>
        <w:t>8</w:t>
      </w:r>
      <w:r>
        <w:rPr>
          <w:rFonts w:ascii="宋体" w:hAnsi="宋体"/>
          <w:sz w:val="24"/>
        </w:rPr>
        <w:t>项暂停申购情形之一且基金管理人决定暂停接受投资人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6738D05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（九）暂停赎回或延缓支付赎回款项的情形</w:t>
      </w:r>
    </w:p>
    <w:p w14:paraId="099D74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7879AD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、因不可抗力导致基金管理人不能支付赎回款项。</w:t>
      </w:r>
    </w:p>
    <w:p w14:paraId="6EF0AA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、发生基金合同规定的暂停基金资产估值情况时，基金管理人可暂停接受投资人的赎回申请或延缓支付赎回款项。</w:t>
      </w:r>
    </w:p>
    <w:p w14:paraId="21CA0E8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、证券交易所交易时间非正常停市，导致基金管理人无法计算当日基金资产净值。</w:t>
      </w:r>
    </w:p>
    <w:p w14:paraId="5F9C07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w:t>
      </w:r>
      <w:r>
        <w:rPr>
          <w:rFonts w:ascii="宋体" w:hAnsi="宋体"/>
          <w:sz w:val="24"/>
        </w:rPr>
        <w:t>、连续两个或两个以上开放日发生巨额赎回。</w:t>
      </w:r>
    </w:p>
    <w:p w14:paraId="7FDEEE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、发生继续接受赎回申请将损害现有基金份额持有人利益的情形时，基金管理人可暂停接受基金份额持有人的赎回申请。</w:t>
      </w:r>
    </w:p>
    <w:p w14:paraId="2672A9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、当前一估值日基金资产净值</w:t>
      </w:r>
      <w:r>
        <w:rPr>
          <w:rFonts w:ascii="宋体" w:hAnsi="宋体"/>
          <w:sz w:val="24"/>
        </w:rPr>
        <w:t>50%</w:t>
      </w:r>
      <w:r>
        <w:rPr>
          <w:rFonts w:ascii="宋体" w:hAnsi="宋体"/>
          <w:sz w:val="24"/>
        </w:rPr>
        <w:t>以上的资产出现无可参考的活跃市场价格且采用估值技术仍导致公允价值存在重大不确定性时，经与基金托管人协商确认后，基金管理人应当延缓支付赎回款项或暂停接受基金赎回申请。</w:t>
      </w:r>
    </w:p>
    <w:p w14:paraId="17E562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、法律法规规定、中国证监会认定或基金合同约定的其他情形。</w:t>
      </w:r>
    </w:p>
    <w:p w14:paraId="560BB7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基金份额持有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w:t>
      </w:r>
      <w:r>
        <w:rPr>
          <w:rFonts w:ascii="宋体" w:hAnsi="宋体"/>
          <w:sz w:val="24"/>
        </w:rPr>
        <w:t>部分可延期支付。若出现上述第</w:t>
      </w:r>
      <w:r>
        <w:rPr>
          <w:rFonts w:ascii="宋体" w:hAnsi="宋体"/>
          <w:sz w:val="24"/>
        </w:rPr>
        <w:t>4</w:t>
      </w:r>
      <w:r>
        <w:rPr>
          <w:rFonts w:ascii="宋体" w:hAnsi="宋体"/>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A91341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（十）巨额赎回的情形及处理方式</w:t>
      </w:r>
    </w:p>
    <w:p w14:paraId="4F885F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、巨额赎回的认定</w:t>
      </w:r>
    </w:p>
    <w:p w14:paraId="3DD4CD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sz w:val="24"/>
        </w:rPr>
        <w:t>10%</w:t>
      </w:r>
      <w:r>
        <w:rPr>
          <w:rFonts w:ascii="宋体" w:hAnsi="宋体"/>
          <w:sz w:val="24"/>
        </w:rPr>
        <w:t>，即认为是发生了巨额赎回。</w:t>
      </w:r>
    </w:p>
    <w:p w14:paraId="27DACA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、巨额赎回的处理方式</w:t>
      </w:r>
    </w:p>
    <w:p w14:paraId="0F96CD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w:t>
      </w:r>
      <w:r>
        <w:rPr>
          <w:rFonts w:ascii="宋体" w:hAnsi="宋体"/>
          <w:sz w:val="24"/>
        </w:rPr>
        <w:t>基金管理人可以根据基金当时的资产组合状况决定全额赎回或部分延期赎回。</w:t>
      </w:r>
    </w:p>
    <w:p w14:paraId="275FAB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）全额赎回：当基金管理人认为有能力支付投资人的全部赎回申请时，按正常赎回程序执行。</w:t>
      </w:r>
    </w:p>
    <w:p w14:paraId="1C45C6B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rPr>
        <w:t>10%</w:t>
      </w:r>
      <w:r>
        <w:rPr>
          <w:rFonts w:ascii="宋体" w:hAnsi="宋体"/>
          <w:sz w:val="24"/>
        </w:rPr>
        <w:t>的前提下，可对其余赎回申请延期办理。对于当日的赎回申请，应当按单个账户赎回申请量占赎回申请总量的比例，确定当日受理的赎回份额；对于未能赎回部分，投资人</w:t>
      </w:r>
      <w:r>
        <w:rPr>
          <w:rFonts w:ascii="宋体" w:hAnsi="宋体"/>
          <w:sz w:val="24"/>
        </w:rPr>
        <w:t>在提交赎回申请时可以选择延期赎回或取消赎回。选择延期赎回的，将自动转入下</w:t>
      </w:r>
      <w:r>
        <w:rPr>
          <w:rFonts w:ascii="宋体" w:hAnsi="宋体"/>
          <w:sz w:val="24"/>
        </w:rPr>
        <w:lastRenderedPageBreak/>
        <w:t>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BE47F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）本基金如发生巨额赎回且单个开放日内单个基金份额持有人申请赎回的基金份额超过前一开放日的基金总份额的</w:t>
      </w:r>
      <w:r>
        <w:rPr>
          <w:rFonts w:ascii="宋体" w:hAnsi="宋体"/>
          <w:sz w:val="24"/>
        </w:rPr>
        <w:t>20%</w:t>
      </w:r>
      <w:r>
        <w:rPr>
          <w:rFonts w:ascii="宋体" w:hAnsi="宋体"/>
          <w:sz w:val="24"/>
        </w:rPr>
        <w:t>时，本基金管理人有权采取如下措施：</w:t>
      </w:r>
    </w:p>
    <w:p w14:paraId="47FCD7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w:t>
      </w:r>
      <w:r>
        <w:rPr>
          <w:rFonts w:ascii="宋体" w:hAnsi="宋体"/>
          <w:sz w:val="24"/>
        </w:rPr>
        <w:t>20%</w:t>
      </w:r>
      <w:r>
        <w:rPr>
          <w:rFonts w:ascii="宋体" w:hAnsi="宋体"/>
          <w:sz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49E5111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w:t>
      </w:r>
      <w:r>
        <w:rPr>
          <w:rFonts w:ascii="宋体" w:hAnsi="宋体"/>
          <w:sz w:val="24"/>
        </w:rPr>
        <w:t>“</w:t>
      </w:r>
      <w:r>
        <w:rPr>
          <w:rFonts w:ascii="宋体" w:hAnsi="宋体"/>
          <w:sz w:val="24"/>
        </w:rPr>
        <w:t>（</w:t>
      </w:r>
      <w:r>
        <w:rPr>
          <w:rFonts w:ascii="宋体" w:hAnsi="宋体"/>
          <w:sz w:val="24"/>
        </w:rPr>
        <w:t>1</w:t>
      </w:r>
      <w:r>
        <w:rPr>
          <w:rFonts w:ascii="宋体" w:hAnsi="宋体"/>
          <w:sz w:val="24"/>
        </w:rPr>
        <w:t>）全额赎回</w:t>
      </w:r>
      <w:r>
        <w:rPr>
          <w:rFonts w:ascii="宋体" w:hAnsi="宋体"/>
          <w:sz w:val="24"/>
        </w:rPr>
        <w:t>”</w:t>
      </w:r>
      <w:r>
        <w:rPr>
          <w:rFonts w:ascii="宋体" w:hAnsi="宋体"/>
          <w:sz w:val="24"/>
        </w:rPr>
        <w:t>或</w:t>
      </w:r>
      <w:r>
        <w:rPr>
          <w:rFonts w:ascii="宋体" w:hAnsi="宋体"/>
          <w:sz w:val="24"/>
        </w:rPr>
        <w:t>“</w:t>
      </w:r>
      <w:r>
        <w:rPr>
          <w:rFonts w:ascii="宋体" w:hAnsi="宋体"/>
          <w:sz w:val="24"/>
        </w:rPr>
        <w:t>（</w:t>
      </w:r>
      <w:r>
        <w:rPr>
          <w:rFonts w:ascii="宋体" w:hAnsi="宋体"/>
          <w:sz w:val="24"/>
        </w:rPr>
        <w:t>2</w:t>
      </w:r>
      <w:r>
        <w:rPr>
          <w:rFonts w:ascii="宋体" w:hAnsi="宋体"/>
          <w:sz w:val="24"/>
        </w:rPr>
        <w:t>）部分延期赎回</w:t>
      </w:r>
      <w:r>
        <w:rPr>
          <w:rFonts w:ascii="宋体" w:hAnsi="宋体"/>
          <w:sz w:val="24"/>
        </w:rPr>
        <w:t>”</w:t>
      </w:r>
      <w:r>
        <w:rPr>
          <w:rFonts w:ascii="宋体" w:hAnsi="宋体"/>
          <w:sz w:val="24"/>
        </w:rPr>
        <w:t>的约定方式与其他基金</w:t>
      </w:r>
      <w:r>
        <w:rPr>
          <w:rFonts w:ascii="宋体" w:hAnsi="宋体"/>
          <w:sz w:val="24"/>
        </w:rPr>
        <w:t>份额持有人的赎回申请一并办理。但是，如基金份额持有人在当日选择取消赎回，则其当日未获受理的部分赎回申请将被撤销。</w:t>
      </w:r>
    </w:p>
    <w:p w14:paraId="73CD57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）暂停赎回：连续</w:t>
      </w:r>
      <w:r>
        <w:rPr>
          <w:rFonts w:ascii="宋体" w:hAnsi="宋体"/>
          <w:sz w:val="24"/>
        </w:rPr>
        <w:t>2</w:t>
      </w:r>
      <w:r>
        <w:rPr>
          <w:rFonts w:ascii="宋体" w:hAnsi="宋体"/>
          <w:sz w:val="24"/>
        </w:rPr>
        <w:t>个开放日以上（含本数）发生巨额赎回，如基金管理人认为有必要，可暂停接受基金的赎回申请；已经接受的赎回申请可以延缓支付赎回款项，但不得超过</w:t>
      </w:r>
      <w:r>
        <w:rPr>
          <w:rFonts w:ascii="宋体" w:hAnsi="宋体"/>
          <w:sz w:val="24"/>
        </w:rPr>
        <w:t>20</w:t>
      </w:r>
      <w:r>
        <w:rPr>
          <w:rFonts w:ascii="宋体" w:hAnsi="宋体"/>
          <w:sz w:val="24"/>
        </w:rPr>
        <w:t>个工作日，并应当在指定媒介上进行公告。</w:t>
      </w:r>
    </w:p>
    <w:p w14:paraId="27B2FE4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、巨额赎回的公告</w:t>
      </w:r>
    </w:p>
    <w:p w14:paraId="18D0F7D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当发生上述巨额赎回并延期办理时，基金管理人应当通过邮寄、传真、刊登公告或者通知销售机构代为告知等方式在</w:t>
      </w:r>
      <w:r>
        <w:rPr>
          <w:rFonts w:ascii="宋体" w:hAnsi="宋体"/>
          <w:sz w:val="24"/>
        </w:rPr>
        <w:t>3</w:t>
      </w:r>
      <w:r>
        <w:rPr>
          <w:rFonts w:ascii="宋体" w:hAnsi="宋体"/>
          <w:sz w:val="24"/>
        </w:rPr>
        <w:t>个交易日内通知基金份额持有人，说明有关处理方法，并在两日内在指定媒介上刊</w:t>
      </w:r>
      <w:r>
        <w:rPr>
          <w:rFonts w:ascii="宋体" w:hAnsi="宋体"/>
          <w:sz w:val="24"/>
        </w:rPr>
        <w:t>登公告。</w:t>
      </w:r>
    </w:p>
    <w:p w14:paraId="23C04F4B"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（十一）暂停申购或赎回的公告和重新开放申购或赎回的公告</w:t>
      </w:r>
    </w:p>
    <w:p w14:paraId="23AEAA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、发生上述暂停申购或赎回情况的，基金管理人应在规定期限内在指定媒介上刊登暂停公告。</w:t>
      </w:r>
    </w:p>
    <w:p w14:paraId="7ECE76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、如发生暂停的时间为</w:t>
      </w:r>
      <w:r>
        <w:rPr>
          <w:rFonts w:ascii="宋体" w:hAnsi="宋体"/>
          <w:sz w:val="24"/>
        </w:rPr>
        <w:t>1</w:t>
      </w:r>
      <w:r>
        <w:rPr>
          <w:rFonts w:ascii="宋体" w:hAnsi="宋体"/>
          <w:sz w:val="24"/>
        </w:rPr>
        <w:t>日，基金管理人应于重新开放日，在指定媒介上刊登基金重新开放申购或赎回公告，并公布最近</w:t>
      </w:r>
      <w:r>
        <w:rPr>
          <w:rFonts w:ascii="宋体" w:hAnsi="宋体"/>
          <w:sz w:val="24"/>
        </w:rPr>
        <w:t>1</w:t>
      </w:r>
      <w:r>
        <w:rPr>
          <w:rFonts w:ascii="宋体" w:hAnsi="宋体"/>
          <w:sz w:val="24"/>
        </w:rPr>
        <w:t>个开放日的基金份额净值。</w:t>
      </w:r>
    </w:p>
    <w:p w14:paraId="519AE8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w:t>
      </w:r>
      <w:r>
        <w:rPr>
          <w:rFonts w:ascii="宋体" w:hAnsi="宋体"/>
          <w:sz w:val="24"/>
        </w:rPr>
        <w:t>、如发生暂停的时间超过</w:t>
      </w:r>
      <w:r>
        <w:rPr>
          <w:rFonts w:ascii="宋体" w:hAnsi="宋体"/>
          <w:sz w:val="24"/>
        </w:rPr>
        <w:t>1</w:t>
      </w:r>
      <w:r>
        <w:rPr>
          <w:rFonts w:ascii="宋体" w:hAnsi="宋体"/>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w:t>
      </w:r>
      <w:r>
        <w:rPr>
          <w:rFonts w:ascii="宋体" w:hAnsi="宋体"/>
          <w:sz w:val="24"/>
        </w:rPr>
        <w:t>不再另行发布重新开放的公告。</w:t>
      </w:r>
    </w:p>
    <w:p w14:paraId="3ECE288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（十二）基金的非交易过户</w:t>
      </w:r>
    </w:p>
    <w:p w14:paraId="05F5FE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93D52B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w:t>
      </w:r>
      <w:r>
        <w:rPr>
          <w:rFonts w:ascii="宋体" w:hAnsi="宋体"/>
          <w:sz w:val="24"/>
        </w:rPr>
        <w:t>组织。办理非交易过户必须提供基金登记机构要求提供的相关资料，对于符合条件的非交易过户申请按基金登记机构的规定办理，并按基金登记机构规定的标准收费。</w:t>
      </w:r>
    </w:p>
    <w:p w14:paraId="509C336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（十三）基金的转托管</w:t>
      </w:r>
    </w:p>
    <w:p w14:paraId="136D55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6463E07B"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（十四）定期定额投资计划</w:t>
      </w:r>
    </w:p>
    <w:p w14:paraId="66A7C0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CA2043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日刊登公告自</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日起开通定期定额投资计划业务，具体开通销售机构名单和业务规则参见相关公告。</w:t>
      </w:r>
    </w:p>
    <w:p w14:paraId="7E87A47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（十五）定期定额赎回业务</w:t>
      </w:r>
    </w:p>
    <w:p w14:paraId="34BC58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投资人可通过中国农业银行股份有限公司申请办理本基金的定期定额赎回业务。定期定额赎回业务是指投资人可以委托中国农业银行股份有限公</w:t>
      </w:r>
      <w:r>
        <w:rPr>
          <w:rFonts w:ascii="宋体" w:hAnsi="宋体"/>
          <w:sz w:val="24"/>
        </w:rPr>
        <w:t>司每月固定时间从指定的基金账户代投资人赎回固定份额的基金。本基金</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日刊登公告自</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日起在中国农业银行股份有限公司下属各代销网点开通定期定额赎回业务。</w:t>
      </w:r>
    </w:p>
    <w:p w14:paraId="389510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电话（</w:t>
      </w:r>
      <w:r>
        <w:rPr>
          <w:rFonts w:ascii="宋体" w:hAnsi="宋体"/>
          <w:sz w:val="24"/>
        </w:rPr>
        <w:t>95599</w:t>
      </w:r>
      <w:r>
        <w:rPr>
          <w:rFonts w:ascii="宋体" w:hAnsi="宋体"/>
          <w:sz w:val="24"/>
        </w:rPr>
        <w:t>）。</w:t>
      </w:r>
    </w:p>
    <w:p w14:paraId="49A8544D"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（十六）基金份额的冻结和解冻</w:t>
      </w:r>
    </w:p>
    <w:p w14:paraId="59B6E37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w:t>
      </w:r>
      <w:r>
        <w:rPr>
          <w:rFonts w:ascii="宋体" w:hAnsi="宋体"/>
          <w:sz w:val="24"/>
        </w:rPr>
        <w:t>可、符合法律法规的其他情况下的冻结与解冻。</w:t>
      </w:r>
    </w:p>
    <w:p w14:paraId="58412FBC"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（十七）基金份额的转让</w:t>
      </w:r>
    </w:p>
    <w:p w14:paraId="57D1218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D0016E8"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（十八）实施侧袋机制期间本基金的申购与赎回</w:t>
      </w:r>
    </w:p>
    <w:p w14:paraId="577B74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本基金实施侧袋机制的，本基金的申购和赎回安排详见本招募说明书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部分的规定或相关公告。</w:t>
      </w:r>
    </w:p>
    <w:p w14:paraId="362227F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（十九）其他业务</w:t>
      </w:r>
    </w:p>
    <w:p w14:paraId="5765229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5DED33ED"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FEDFDF6" w14:textId="77777777" w:rsidR="002411B3" w:rsidRDefault="00BA6CE7">
      <w:pPr>
        <w:pStyle w:val="1"/>
        <w:snapToGrid w:val="0"/>
        <w:spacing w:beforeLines="0" w:before="240" w:after="240"/>
        <w:rPr>
          <w:rFonts w:ascii="宋体" w:hAnsi="宋体"/>
          <w:szCs w:val="30"/>
        </w:rPr>
      </w:pPr>
      <w:bookmarkStart w:id="12" w:name="_Toc202521657"/>
      <w:r>
        <w:rPr>
          <w:rFonts w:ascii="Times New Roman" w:hAnsi="Times New Roman"/>
          <w:sz w:val="30"/>
        </w:rPr>
        <w:lastRenderedPageBreak/>
        <w:t>九、基金的转换</w:t>
      </w:r>
      <w:bookmarkEnd w:id="12"/>
    </w:p>
    <w:p w14:paraId="1834B1AB"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（一）基金转换</w:t>
      </w:r>
    </w:p>
    <w:p w14:paraId="3890A4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r>
        <w:rPr>
          <w:rFonts w:ascii="宋体" w:hAnsi="宋体"/>
          <w:sz w:val="24"/>
        </w:rPr>
        <w:t>。</w:t>
      </w:r>
    </w:p>
    <w:p w14:paraId="200ED80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（二）转换业务办理时间</w:t>
      </w:r>
    </w:p>
    <w:p w14:paraId="7481C3E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Pr>
          <w:rFonts w:ascii="宋体" w:hAnsi="宋体"/>
          <w:sz w:val="24"/>
        </w:rPr>
        <w:t>2020</w:t>
      </w:r>
      <w:r>
        <w:rPr>
          <w:rFonts w:ascii="宋体" w:hAnsi="宋体"/>
          <w:sz w:val="24"/>
        </w:rPr>
        <w:t>年</w:t>
      </w:r>
      <w:r>
        <w:rPr>
          <w:rFonts w:ascii="宋体" w:hAnsi="宋体"/>
          <w:sz w:val="24"/>
        </w:rPr>
        <w:t>8</w:t>
      </w:r>
      <w:r>
        <w:rPr>
          <w:rFonts w:ascii="宋体" w:hAnsi="宋体"/>
          <w:sz w:val="24"/>
        </w:rPr>
        <w:t>月</w:t>
      </w:r>
      <w:r>
        <w:rPr>
          <w:rFonts w:ascii="宋体" w:hAnsi="宋体"/>
          <w:sz w:val="24"/>
        </w:rPr>
        <w:t>17</w:t>
      </w:r>
      <w:r>
        <w:rPr>
          <w:rFonts w:ascii="宋体" w:hAnsi="宋体"/>
          <w:sz w:val="24"/>
        </w:rPr>
        <w:t>日刊登公告自</w:t>
      </w:r>
      <w:r>
        <w:rPr>
          <w:rFonts w:ascii="宋体" w:hAnsi="宋体"/>
          <w:sz w:val="24"/>
        </w:rPr>
        <w:t>2020</w:t>
      </w:r>
      <w:r>
        <w:rPr>
          <w:rFonts w:ascii="宋体" w:hAnsi="宋体"/>
          <w:sz w:val="24"/>
        </w:rPr>
        <w:t>年</w:t>
      </w:r>
      <w:r>
        <w:rPr>
          <w:rFonts w:ascii="宋体" w:hAnsi="宋体"/>
          <w:sz w:val="24"/>
        </w:rPr>
        <w:t>8</w:t>
      </w:r>
      <w:r>
        <w:rPr>
          <w:rFonts w:ascii="宋体" w:hAnsi="宋体"/>
          <w:sz w:val="24"/>
        </w:rPr>
        <w:t>月</w:t>
      </w:r>
      <w:r>
        <w:rPr>
          <w:rFonts w:ascii="宋体" w:hAnsi="宋体"/>
          <w:sz w:val="24"/>
        </w:rPr>
        <w:t>19</w:t>
      </w:r>
      <w:r>
        <w:rPr>
          <w:rFonts w:ascii="宋体" w:hAnsi="宋体"/>
          <w:sz w:val="24"/>
        </w:rPr>
        <w:t>日起开放日常转换业务。办理基金间转换的时间为上海证券交易所、深圳证券交易所交易日。若出现新的证券交易市场或交易所交易时间更改或其它原因，基金管理人将视情况进行相应的调整并公告。</w:t>
      </w:r>
    </w:p>
    <w:p w14:paraId="314471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29D417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14:paraId="488DA16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w:t>
      </w:r>
      <w:r>
        <w:rPr>
          <w:rFonts w:ascii="宋体" w:hAnsi="宋体" w:hint="eastAsia"/>
          <w:b/>
          <w:kern w:val="0"/>
          <w:sz w:val="24"/>
        </w:rPr>
        <w:t>三）基金转换的程序</w:t>
      </w:r>
    </w:p>
    <w:p w14:paraId="7C760F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、申请方式：书面申请或销售机构公布的其他方式。</w:t>
      </w:r>
    </w:p>
    <w:p w14:paraId="584A64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、基金转换申请的确认</w:t>
      </w:r>
    </w:p>
    <w:p w14:paraId="390421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w:t>
      </w:r>
      <w:r>
        <w:rPr>
          <w:rFonts w:ascii="宋体" w:hAnsi="宋体"/>
          <w:sz w:val="24"/>
        </w:rPr>
        <w:t>T</w:t>
      </w:r>
      <w:r>
        <w:rPr>
          <w:rFonts w:ascii="宋体" w:hAnsi="宋体"/>
          <w:sz w:val="24"/>
        </w:rPr>
        <w:t>日规定时间受理的申请，注册登记机构在</w:t>
      </w:r>
      <w:r>
        <w:rPr>
          <w:rFonts w:ascii="宋体" w:hAnsi="宋体"/>
          <w:sz w:val="24"/>
        </w:rPr>
        <w:t>T</w:t>
      </w:r>
      <w:r>
        <w:rPr>
          <w:rFonts w:ascii="宋体" w:hAnsi="宋体"/>
          <w:sz w:val="24"/>
        </w:rPr>
        <w:t>＋</w:t>
      </w:r>
      <w:r>
        <w:rPr>
          <w:rFonts w:ascii="宋体" w:hAnsi="宋体"/>
          <w:sz w:val="24"/>
        </w:rPr>
        <w:t>1</w:t>
      </w:r>
      <w:r>
        <w:rPr>
          <w:rFonts w:ascii="宋体" w:hAnsi="宋体"/>
          <w:sz w:val="24"/>
        </w:rPr>
        <w:t>日内为投资人对该交易的有效性进行确认，在</w:t>
      </w:r>
      <w:r>
        <w:rPr>
          <w:rFonts w:ascii="宋体" w:hAnsi="宋体"/>
          <w:sz w:val="24"/>
        </w:rPr>
        <w:t>T</w:t>
      </w:r>
      <w:r>
        <w:rPr>
          <w:rFonts w:ascii="宋体" w:hAnsi="宋体"/>
          <w:sz w:val="24"/>
        </w:rPr>
        <w:t>＋</w:t>
      </w:r>
      <w:r>
        <w:rPr>
          <w:rFonts w:ascii="宋体" w:hAnsi="宋体"/>
          <w:sz w:val="24"/>
        </w:rPr>
        <w:t>2</w:t>
      </w:r>
      <w:r>
        <w:rPr>
          <w:rFonts w:ascii="宋体" w:hAnsi="宋体"/>
          <w:sz w:val="24"/>
        </w:rPr>
        <w:t>日后</w:t>
      </w:r>
      <w:r>
        <w:rPr>
          <w:rFonts w:ascii="宋体" w:hAnsi="宋体"/>
          <w:sz w:val="24"/>
        </w:rPr>
        <w:t>(</w:t>
      </w:r>
      <w:r>
        <w:rPr>
          <w:rFonts w:ascii="宋体" w:hAnsi="宋体"/>
          <w:sz w:val="24"/>
        </w:rPr>
        <w:t>包括该日</w:t>
      </w:r>
      <w:r>
        <w:rPr>
          <w:rFonts w:ascii="宋体" w:hAnsi="宋体"/>
          <w:sz w:val="24"/>
        </w:rPr>
        <w:t>)</w:t>
      </w:r>
      <w:r>
        <w:rPr>
          <w:rFonts w:ascii="宋体" w:hAnsi="宋体"/>
          <w:sz w:val="24"/>
        </w:rPr>
        <w:t>投资人可向销售机构查询转换的确认情况。</w:t>
      </w:r>
    </w:p>
    <w:p w14:paraId="6E7F52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、基金转换的注册登记</w:t>
      </w:r>
    </w:p>
    <w:p w14:paraId="2579DCF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w:t>
      </w:r>
      <w:r>
        <w:rPr>
          <w:rFonts w:ascii="宋体" w:hAnsi="宋体"/>
          <w:sz w:val="24"/>
        </w:rPr>
        <w:t>T</w:t>
      </w:r>
      <w:r>
        <w:rPr>
          <w:rFonts w:ascii="宋体" w:hAnsi="宋体"/>
          <w:sz w:val="24"/>
        </w:rPr>
        <w:t>日）。投资人转换基金成功的，注册登记机构将在</w:t>
      </w:r>
      <w:r>
        <w:rPr>
          <w:rFonts w:ascii="宋体" w:hAnsi="宋体"/>
          <w:sz w:val="24"/>
        </w:rPr>
        <w:t>T</w:t>
      </w:r>
      <w:r>
        <w:rPr>
          <w:rFonts w:ascii="宋体" w:hAnsi="宋体"/>
          <w:sz w:val="24"/>
        </w:rPr>
        <w:t>＋</w:t>
      </w:r>
      <w:r>
        <w:rPr>
          <w:rFonts w:ascii="宋体" w:hAnsi="宋体"/>
          <w:sz w:val="24"/>
        </w:rPr>
        <w:t>1</w:t>
      </w:r>
      <w:r>
        <w:rPr>
          <w:rFonts w:ascii="宋体" w:hAnsi="宋体"/>
          <w:sz w:val="24"/>
        </w:rPr>
        <w:t>日对投资人</w:t>
      </w:r>
      <w:r>
        <w:rPr>
          <w:rFonts w:ascii="宋体" w:hAnsi="宋体"/>
          <w:sz w:val="24"/>
        </w:rPr>
        <w:t>T</w:t>
      </w:r>
      <w:r>
        <w:rPr>
          <w:rFonts w:ascii="宋体" w:hAnsi="宋体"/>
          <w:sz w:val="24"/>
        </w:rPr>
        <w:t>日的基金转换业务申请进行有效性确认，办理转出基金的权益扣除以及转入基金的权益登记，在</w:t>
      </w:r>
      <w:r>
        <w:rPr>
          <w:rFonts w:ascii="宋体" w:hAnsi="宋体"/>
          <w:sz w:val="24"/>
        </w:rPr>
        <w:t>T</w:t>
      </w:r>
      <w:r>
        <w:rPr>
          <w:rFonts w:ascii="宋体" w:hAnsi="宋体"/>
          <w:sz w:val="24"/>
        </w:rPr>
        <w:t>＋</w:t>
      </w:r>
      <w:r>
        <w:rPr>
          <w:rFonts w:ascii="宋体" w:hAnsi="宋体"/>
          <w:sz w:val="24"/>
        </w:rPr>
        <w:t>2</w:t>
      </w:r>
      <w:r>
        <w:rPr>
          <w:rFonts w:ascii="宋体" w:hAnsi="宋体"/>
          <w:sz w:val="24"/>
        </w:rPr>
        <w:t>日后（包括该日）投资人可向销售机构查询基金转换的成交情况，并有权转换或赎回该部分基金份额。</w:t>
      </w:r>
    </w:p>
    <w:p w14:paraId="4F1D9E4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（四）基金转换的数额限制</w:t>
      </w:r>
    </w:p>
    <w:p w14:paraId="3E4EFC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w:t>
      </w:r>
      <w:r>
        <w:rPr>
          <w:rFonts w:ascii="宋体" w:hAnsi="宋体"/>
          <w:sz w:val="24"/>
        </w:rPr>
        <w:lastRenderedPageBreak/>
        <w:t>后两位以后的部分四舍五入，误差部分归基金财产。</w:t>
      </w:r>
    </w:p>
    <w:p w14:paraId="772F8B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w:t>
      </w:r>
      <w:r>
        <w:rPr>
          <w:rFonts w:ascii="宋体" w:hAnsi="宋体"/>
          <w:sz w:val="24"/>
        </w:rPr>
        <w:t>“</w:t>
      </w:r>
      <w:r>
        <w:rPr>
          <w:rFonts w:ascii="宋体" w:hAnsi="宋体"/>
          <w:sz w:val="24"/>
        </w:rPr>
        <w:t>份额转换</w:t>
      </w:r>
      <w:r>
        <w:rPr>
          <w:rFonts w:ascii="宋体" w:hAnsi="宋体"/>
          <w:sz w:val="24"/>
        </w:rPr>
        <w:t>”</w:t>
      </w:r>
      <w:r>
        <w:rPr>
          <w:rFonts w:ascii="宋体" w:hAnsi="宋体"/>
          <w:sz w:val="24"/>
        </w:rPr>
        <w:t>的原则，单笔转换份额不得低于</w:t>
      </w:r>
      <w:r>
        <w:rPr>
          <w:rFonts w:ascii="宋体" w:hAnsi="宋体"/>
          <w:sz w:val="24"/>
        </w:rPr>
        <w:t>1</w:t>
      </w:r>
      <w:r>
        <w:rPr>
          <w:rFonts w:ascii="宋体" w:hAnsi="宋体"/>
          <w:sz w:val="24"/>
        </w:rPr>
        <w:t>份。基金持有人可将其</w:t>
      </w:r>
      <w:r>
        <w:rPr>
          <w:rFonts w:ascii="宋体" w:hAnsi="宋体"/>
          <w:sz w:val="24"/>
        </w:rPr>
        <w:t>全部或部分基金份额转换成其它基金，单笔转换申请不受转入基金最低申购限额限制。</w:t>
      </w:r>
    </w:p>
    <w:p w14:paraId="75FBF1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w:t>
      </w:r>
      <w:r>
        <w:rPr>
          <w:rFonts w:ascii="宋体" w:hAnsi="宋体"/>
          <w:sz w:val="24"/>
        </w:rPr>
        <w:t>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14:paraId="5D70854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（五）基金转换费用</w:t>
      </w:r>
    </w:p>
    <w:p w14:paraId="40B5B0A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、每笔基金转换视为一笔赎回和一笔申购，基金转换费用相应由转出基金的赎回费用及转出、转入基金的申购补差费用构成。</w:t>
      </w:r>
    </w:p>
    <w:p w14:paraId="1547224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、转出基金的赎回费用</w:t>
      </w:r>
    </w:p>
    <w:p w14:paraId="64F9EFC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w:t>
      </w:r>
      <w:r>
        <w:rPr>
          <w:rFonts w:ascii="宋体" w:hAnsi="宋体"/>
          <w:sz w:val="24"/>
        </w:rPr>
        <w:t>规定），其余部分用于支付注册登记费等相关手续费。</w:t>
      </w:r>
    </w:p>
    <w:p w14:paraId="637183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、前端收费模式下转出与转入基金的申购补差费用</w:t>
      </w:r>
    </w:p>
    <w:p w14:paraId="14D4AB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14:paraId="3DBEAE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、后端收费模式下转出与转入基金的申购补差费用</w:t>
      </w:r>
    </w:p>
    <w:p w14:paraId="573598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w:t>
      </w:r>
      <w:r>
        <w:rPr>
          <w:rFonts w:ascii="宋体" w:hAnsi="宋体"/>
          <w:sz w:val="24"/>
        </w:rPr>
        <w:t>费用低的基金向后端申购费用高的基金转换，不收取后端申购补差费用，但转入的基金份额赎回的时候需全额收取转入基金的后端申购费；从后端申购费用高的基金向后端申购费用低的基金或不收取申购费</w:t>
      </w:r>
      <w:r>
        <w:rPr>
          <w:rFonts w:ascii="宋体" w:hAnsi="宋体"/>
          <w:sz w:val="24"/>
        </w:rPr>
        <w:lastRenderedPageBreak/>
        <w:t>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3E1FED7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、网上直销的申购补差费率优惠</w:t>
      </w:r>
    </w:p>
    <w:p w14:paraId="69E559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w:t>
      </w:r>
      <w:r>
        <w:rPr>
          <w:rFonts w:ascii="宋体" w:hAnsi="宋体"/>
          <w:sz w:val="24"/>
        </w:rPr>
        <w:t>“</w:t>
      </w:r>
      <w:r>
        <w:rPr>
          <w:rFonts w:ascii="宋体" w:hAnsi="宋体"/>
          <w:sz w:val="24"/>
        </w:rPr>
        <w:t>网上直销交易平台</w:t>
      </w:r>
      <w:r>
        <w:rPr>
          <w:rFonts w:ascii="宋体" w:hAnsi="宋体"/>
          <w:sz w:val="24"/>
        </w:rPr>
        <w:t>”</w:t>
      </w:r>
      <w:r>
        <w:rPr>
          <w:rFonts w:ascii="宋体" w:hAnsi="宋体"/>
          <w:sz w:val="24"/>
        </w:rPr>
        <w:t>办理基金</w:t>
      </w:r>
      <w:r>
        <w:rPr>
          <w:rFonts w:ascii="宋体" w:hAnsi="宋体"/>
          <w:sz w:val="24"/>
        </w:rPr>
        <w:t>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1E9AEB9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、本基金管理人可以根据法律法规及基金合同的规定对上述转换费用收费方式和费率进行调整，并应于调整后的收费方式和费率实施前依照《信息披露办法》的有关规定在中国证监会规定媒介上公告。</w:t>
      </w:r>
    </w:p>
    <w:p w14:paraId="384DBED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（六）基金转换份额的计算公式</w:t>
      </w:r>
    </w:p>
    <w:p w14:paraId="199E87D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、前端收费模式下基金转换份额的计算公式及举例</w:t>
      </w:r>
    </w:p>
    <w:p w14:paraId="71CEC9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w:t>
      </w:r>
      <w:r>
        <w:rPr>
          <w:rFonts w:ascii="宋体" w:hAnsi="宋体"/>
          <w:sz w:val="24"/>
        </w:rPr>
        <w:t>转出的基金份额</w:t>
      </w:r>
      <w:r>
        <w:rPr>
          <w:rFonts w:ascii="宋体" w:hAnsi="宋体"/>
          <w:sz w:val="24"/>
        </w:rPr>
        <w:t>×</w:t>
      </w:r>
      <w:r>
        <w:rPr>
          <w:rFonts w:ascii="宋体" w:hAnsi="宋体"/>
          <w:sz w:val="24"/>
        </w:rPr>
        <w:t>转换申请当日转出基</w:t>
      </w:r>
      <w:r>
        <w:rPr>
          <w:rFonts w:ascii="宋体" w:hAnsi="宋体"/>
          <w:sz w:val="24"/>
        </w:rPr>
        <w:t>金的基金份额净值</w:t>
      </w:r>
    </w:p>
    <w:p w14:paraId="250C982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对应的转出基金的赎回费率</w:t>
      </w:r>
    </w:p>
    <w:p w14:paraId="6F354D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转出基金的赎回费</w:t>
      </w:r>
    </w:p>
    <w:p w14:paraId="6AED2E6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对应的转出与转入基金的申购补差费率</w:t>
      </w:r>
      <w:r>
        <w:rPr>
          <w:rFonts w:ascii="宋体" w:hAnsi="宋体"/>
          <w:sz w:val="24"/>
        </w:rPr>
        <w:t>/</w:t>
      </w:r>
      <w:r>
        <w:rPr>
          <w:rFonts w:ascii="宋体" w:hAnsi="宋体"/>
          <w:sz w:val="24"/>
        </w:rPr>
        <w:t>（</w:t>
      </w:r>
      <w:r>
        <w:rPr>
          <w:rFonts w:ascii="宋体" w:hAnsi="宋体"/>
          <w:sz w:val="24"/>
        </w:rPr>
        <w:t>1+</w:t>
      </w:r>
      <w:r>
        <w:rPr>
          <w:rFonts w:ascii="宋体" w:hAnsi="宋体"/>
          <w:sz w:val="24"/>
        </w:rPr>
        <w:t>对应的转出与转入基金的申购补差费率）</w:t>
      </w:r>
    </w:p>
    <w:p w14:paraId="281B16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14:paraId="3249F61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w:t>
      </w:r>
      <w:r>
        <w:rPr>
          <w:rFonts w:ascii="宋体" w:hAnsi="宋体"/>
          <w:sz w:val="24"/>
        </w:rPr>
        <w:t>MAX</w:t>
      </w:r>
      <w:r>
        <w:rPr>
          <w:rFonts w:ascii="宋体" w:hAnsi="宋体"/>
          <w:sz w:val="24"/>
        </w:rPr>
        <w:t>（</w:t>
      </w:r>
      <w:r>
        <w:rPr>
          <w:rFonts w:ascii="宋体" w:hAnsi="宋体"/>
          <w:sz w:val="24"/>
        </w:rPr>
        <w:t>0</w:t>
      </w:r>
      <w:r>
        <w:rPr>
          <w:rFonts w:ascii="宋体" w:hAnsi="宋体"/>
          <w:sz w:val="24"/>
        </w:rPr>
        <w:t>，转出基金和转入基金申购费用之差）</w:t>
      </w:r>
    </w:p>
    <w:p w14:paraId="5A7241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转出与转入基金的申购补差费</w:t>
      </w:r>
      <w:r>
        <w:rPr>
          <w:rFonts w:ascii="宋体" w:hAnsi="宋体"/>
          <w:sz w:val="24"/>
        </w:rPr>
        <w:t>+A</w:t>
      </w:r>
      <w:r>
        <w:rPr>
          <w:rFonts w:ascii="宋体" w:hAnsi="宋体"/>
          <w:sz w:val="24"/>
        </w:rPr>
        <w:t>）</w:t>
      </w:r>
      <w:r>
        <w:rPr>
          <w:rFonts w:ascii="宋体" w:hAnsi="宋体"/>
          <w:sz w:val="24"/>
        </w:rPr>
        <w:t>/</w:t>
      </w:r>
      <w:r>
        <w:rPr>
          <w:rFonts w:ascii="宋体" w:hAnsi="宋体"/>
          <w:sz w:val="24"/>
        </w:rPr>
        <w:t>转换申请当日转入基金的基</w:t>
      </w:r>
      <w:r>
        <w:rPr>
          <w:rFonts w:ascii="宋体" w:hAnsi="宋体"/>
          <w:sz w:val="24"/>
        </w:rPr>
        <w:t>金份额净值</w:t>
      </w:r>
    </w:p>
    <w:p w14:paraId="6C4866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30913E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w:t>
      </w:r>
      <w:r>
        <w:rPr>
          <w:rFonts w:ascii="宋体" w:hAnsi="宋体"/>
          <w:sz w:val="24"/>
        </w:rPr>
        <w:t>为货币市场基金转出的基金份额按比例结转的账户当前累计待支付收益（仅限转出基金为货币市场基金的情形，否则</w:t>
      </w:r>
      <w:r>
        <w:rPr>
          <w:rFonts w:ascii="宋体" w:hAnsi="宋体"/>
          <w:sz w:val="24"/>
        </w:rPr>
        <w:t>A</w:t>
      </w:r>
      <w:r>
        <w:rPr>
          <w:rFonts w:ascii="宋体" w:hAnsi="宋体"/>
          <w:sz w:val="24"/>
        </w:rPr>
        <w:t>为</w:t>
      </w:r>
      <w:r>
        <w:rPr>
          <w:rFonts w:ascii="宋体" w:hAnsi="宋体"/>
          <w:sz w:val="24"/>
        </w:rPr>
        <w:t>0</w:t>
      </w:r>
      <w:r>
        <w:rPr>
          <w:rFonts w:ascii="宋体" w:hAnsi="宋体"/>
          <w:sz w:val="24"/>
        </w:rPr>
        <w:t>）。</w:t>
      </w:r>
    </w:p>
    <w:p w14:paraId="4F25F35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7DF419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例一：某投资者持有交银趋势前端收费模式的</w:t>
      </w:r>
      <w:r>
        <w:rPr>
          <w:rFonts w:ascii="宋体" w:hAnsi="宋体"/>
          <w:sz w:val="24"/>
        </w:rPr>
        <w:t>A</w:t>
      </w:r>
      <w:r>
        <w:rPr>
          <w:rFonts w:ascii="宋体" w:hAnsi="宋体"/>
          <w:sz w:val="24"/>
        </w:rPr>
        <w:t>类基金份额</w:t>
      </w:r>
      <w:r>
        <w:rPr>
          <w:rFonts w:ascii="宋体" w:hAnsi="宋体"/>
          <w:sz w:val="24"/>
        </w:rPr>
        <w:t>100,000</w:t>
      </w:r>
      <w:r>
        <w:rPr>
          <w:rFonts w:ascii="宋体" w:hAnsi="宋体"/>
          <w:sz w:val="24"/>
        </w:rPr>
        <w:t>份，持有期半年，转换申请当日交银趋势的</w:t>
      </w:r>
      <w:r>
        <w:rPr>
          <w:rFonts w:ascii="宋体" w:hAnsi="宋体"/>
          <w:sz w:val="24"/>
        </w:rPr>
        <w:t>A</w:t>
      </w:r>
      <w:r>
        <w:rPr>
          <w:rFonts w:ascii="宋体" w:hAnsi="宋体"/>
          <w:sz w:val="24"/>
        </w:rPr>
        <w:t>类基金份额净值为</w:t>
      </w:r>
      <w:r>
        <w:rPr>
          <w:rFonts w:ascii="宋体" w:hAnsi="宋体"/>
          <w:sz w:val="24"/>
        </w:rPr>
        <w:t>1.0100</w:t>
      </w:r>
      <w:r>
        <w:rPr>
          <w:rFonts w:ascii="宋体" w:hAnsi="宋体"/>
          <w:sz w:val="24"/>
        </w:rPr>
        <w:t>元，交银成长的基金份额净值为</w:t>
      </w:r>
      <w:r>
        <w:rPr>
          <w:rFonts w:ascii="宋体" w:hAnsi="宋体"/>
          <w:sz w:val="24"/>
        </w:rPr>
        <w:t>2.2700</w:t>
      </w:r>
      <w:r>
        <w:rPr>
          <w:rFonts w:ascii="宋体" w:hAnsi="宋体"/>
          <w:sz w:val="24"/>
        </w:rPr>
        <w:t>元。若该投资者将</w:t>
      </w:r>
      <w:r>
        <w:rPr>
          <w:rFonts w:ascii="宋体" w:hAnsi="宋体"/>
          <w:sz w:val="24"/>
        </w:rPr>
        <w:t>100,000</w:t>
      </w:r>
      <w:r>
        <w:rPr>
          <w:rFonts w:ascii="宋体" w:hAnsi="宋体"/>
          <w:sz w:val="24"/>
        </w:rPr>
        <w:t>份交银趋势前端</w:t>
      </w:r>
      <w:r>
        <w:rPr>
          <w:rFonts w:ascii="宋体" w:hAnsi="宋体"/>
          <w:sz w:val="24"/>
        </w:rPr>
        <w:t>A</w:t>
      </w:r>
      <w:r>
        <w:rPr>
          <w:rFonts w:ascii="宋体" w:hAnsi="宋体"/>
          <w:sz w:val="24"/>
        </w:rPr>
        <w:t>类基金份额转换为交银成长前端基金份额，则转入交银成长确认的基金份额为：</w:t>
      </w:r>
    </w:p>
    <w:p w14:paraId="187121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=100,000×1.0100=101,000</w:t>
      </w:r>
      <w:r>
        <w:rPr>
          <w:rFonts w:ascii="宋体" w:hAnsi="宋体"/>
          <w:sz w:val="24"/>
        </w:rPr>
        <w:t>元</w:t>
      </w:r>
    </w:p>
    <w:p w14:paraId="470BAF6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=101,000×0.5%=505</w:t>
      </w:r>
      <w:r>
        <w:rPr>
          <w:rFonts w:ascii="宋体" w:hAnsi="宋体"/>
          <w:sz w:val="24"/>
        </w:rPr>
        <w:t>元</w:t>
      </w:r>
    </w:p>
    <w:p w14:paraId="2655CBC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=101,000-505=100,495</w:t>
      </w:r>
      <w:r>
        <w:rPr>
          <w:rFonts w:ascii="宋体" w:hAnsi="宋体"/>
          <w:sz w:val="24"/>
        </w:rPr>
        <w:t>元</w:t>
      </w:r>
    </w:p>
    <w:p w14:paraId="447864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=100,495×0/</w:t>
      </w:r>
      <w:r>
        <w:rPr>
          <w:rFonts w:ascii="宋体" w:hAnsi="宋体"/>
          <w:sz w:val="24"/>
        </w:rPr>
        <w:t>（</w:t>
      </w:r>
      <w:r>
        <w:rPr>
          <w:rFonts w:ascii="宋体" w:hAnsi="宋体"/>
          <w:sz w:val="24"/>
        </w:rPr>
        <w:t>1+0</w:t>
      </w:r>
      <w:r>
        <w:rPr>
          <w:rFonts w:ascii="宋体" w:hAnsi="宋体"/>
          <w:sz w:val="24"/>
        </w:rPr>
        <w:t>）</w:t>
      </w:r>
      <w:r>
        <w:rPr>
          <w:rFonts w:ascii="宋体" w:hAnsi="宋体"/>
          <w:sz w:val="24"/>
        </w:rPr>
        <w:t>=0</w:t>
      </w:r>
      <w:r>
        <w:rPr>
          <w:rFonts w:ascii="宋体" w:hAnsi="宋体"/>
          <w:sz w:val="24"/>
        </w:rPr>
        <w:t>元</w:t>
      </w:r>
    </w:p>
    <w:p w14:paraId="59A89B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100,495-0</w:t>
      </w:r>
      <w:r>
        <w:rPr>
          <w:rFonts w:ascii="宋体" w:hAnsi="宋体"/>
          <w:sz w:val="24"/>
        </w:rPr>
        <w:t>）</w:t>
      </w:r>
      <w:r>
        <w:rPr>
          <w:rFonts w:ascii="宋体" w:hAnsi="宋体"/>
          <w:sz w:val="24"/>
        </w:rPr>
        <w:t>/2.2700=44,270.93</w:t>
      </w:r>
      <w:r>
        <w:rPr>
          <w:rFonts w:ascii="宋体" w:hAnsi="宋体"/>
          <w:sz w:val="24"/>
        </w:rPr>
        <w:t>份</w:t>
      </w:r>
    </w:p>
    <w:p w14:paraId="3454B12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w:t>
      </w:r>
      <w:r>
        <w:rPr>
          <w:rFonts w:ascii="宋体" w:hAnsi="宋体"/>
          <w:sz w:val="24"/>
        </w:rPr>
        <w:t>A</w:t>
      </w:r>
      <w:r>
        <w:rPr>
          <w:rFonts w:ascii="宋体" w:hAnsi="宋体"/>
          <w:sz w:val="24"/>
        </w:rPr>
        <w:t>类基金份额</w:t>
      </w:r>
      <w:r>
        <w:rPr>
          <w:rFonts w:ascii="宋体" w:hAnsi="宋体"/>
          <w:sz w:val="24"/>
        </w:rPr>
        <w:t>1,000,000</w:t>
      </w:r>
      <w:r>
        <w:rPr>
          <w:rFonts w:ascii="宋体" w:hAnsi="宋体"/>
          <w:sz w:val="24"/>
        </w:rPr>
        <w:t>份，持有期一年半，转换申请当日交银增利</w:t>
      </w:r>
      <w:r>
        <w:rPr>
          <w:rFonts w:ascii="宋体" w:hAnsi="宋体"/>
          <w:sz w:val="24"/>
        </w:rPr>
        <w:t>A</w:t>
      </w:r>
      <w:r>
        <w:rPr>
          <w:rFonts w:ascii="宋体" w:hAnsi="宋体"/>
          <w:sz w:val="24"/>
        </w:rPr>
        <w:t>类基金份额的基金份额净值为</w:t>
      </w:r>
      <w:r>
        <w:rPr>
          <w:rFonts w:ascii="宋体" w:hAnsi="宋体"/>
          <w:sz w:val="24"/>
        </w:rPr>
        <w:t>1.0200</w:t>
      </w:r>
      <w:r>
        <w:rPr>
          <w:rFonts w:ascii="宋体" w:hAnsi="宋体"/>
          <w:sz w:val="24"/>
        </w:rPr>
        <w:t>元，交银趋势的</w:t>
      </w:r>
      <w:r>
        <w:rPr>
          <w:rFonts w:ascii="宋体" w:hAnsi="宋体"/>
          <w:sz w:val="24"/>
        </w:rPr>
        <w:t>A</w:t>
      </w:r>
      <w:r>
        <w:rPr>
          <w:rFonts w:ascii="宋体" w:hAnsi="宋体"/>
          <w:sz w:val="24"/>
        </w:rPr>
        <w:t>类基金份额净值为</w:t>
      </w:r>
      <w:r>
        <w:rPr>
          <w:rFonts w:ascii="宋体" w:hAnsi="宋体"/>
          <w:sz w:val="24"/>
        </w:rPr>
        <w:t>1.0100</w:t>
      </w:r>
      <w:r>
        <w:rPr>
          <w:rFonts w:ascii="宋体" w:hAnsi="宋体"/>
          <w:sz w:val="24"/>
        </w:rPr>
        <w:t>元。若该投资者将</w:t>
      </w:r>
      <w:r>
        <w:rPr>
          <w:rFonts w:ascii="宋体" w:hAnsi="宋体"/>
          <w:sz w:val="24"/>
        </w:rPr>
        <w:t>1,000,000</w:t>
      </w:r>
      <w:r>
        <w:rPr>
          <w:rFonts w:ascii="宋体" w:hAnsi="宋体"/>
          <w:sz w:val="24"/>
        </w:rPr>
        <w:t>份交银增利</w:t>
      </w:r>
      <w:r>
        <w:rPr>
          <w:rFonts w:ascii="宋体" w:hAnsi="宋体"/>
          <w:sz w:val="24"/>
        </w:rPr>
        <w:t>A</w:t>
      </w:r>
      <w:r>
        <w:rPr>
          <w:rFonts w:ascii="宋体" w:hAnsi="宋体"/>
          <w:sz w:val="24"/>
        </w:rPr>
        <w:t>类基金份额转换为交银趋势前端</w:t>
      </w:r>
      <w:r>
        <w:rPr>
          <w:rFonts w:ascii="宋体" w:hAnsi="宋体"/>
          <w:sz w:val="24"/>
        </w:rPr>
        <w:t>A</w:t>
      </w:r>
      <w:r>
        <w:rPr>
          <w:rFonts w:ascii="宋体" w:hAnsi="宋体"/>
          <w:sz w:val="24"/>
        </w:rPr>
        <w:t>类基金份额，则转入交银趋势确认的</w:t>
      </w:r>
      <w:r>
        <w:rPr>
          <w:rFonts w:ascii="宋体" w:hAnsi="宋体"/>
          <w:sz w:val="24"/>
        </w:rPr>
        <w:t>A</w:t>
      </w:r>
      <w:r>
        <w:rPr>
          <w:rFonts w:ascii="宋体" w:hAnsi="宋体"/>
          <w:sz w:val="24"/>
        </w:rPr>
        <w:t>类基金份额为：</w:t>
      </w:r>
    </w:p>
    <w:p w14:paraId="301C454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=1,000,000×1.0200=1,020,000</w:t>
      </w:r>
      <w:r>
        <w:rPr>
          <w:rFonts w:ascii="宋体" w:hAnsi="宋体"/>
          <w:sz w:val="24"/>
        </w:rPr>
        <w:t>元</w:t>
      </w:r>
    </w:p>
    <w:p w14:paraId="4799E1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=1,020,000×0.</w:t>
      </w:r>
      <w:r>
        <w:rPr>
          <w:rFonts w:ascii="宋体" w:hAnsi="宋体"/>
          <w:sz w:val="24"/>
        </w:rPr>
        <w:t>05%=510</w:t>
      </w:r>
      <w:r>
        <w:rPr>
          <w:rFonts w:ascii="宋体" w:hAnsi="宋体"/>
          <w:sz w:val="24"/>
        </w:rPr>
        <w:t>元</w:t>
      </w:r>
    </w:p>
    <w:p w14:paraId="757FD8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=1,020,000-510=1,019,490</w:t>
      </w:r>
      <w:r>
        <w:rPr>
          <w:rFonts w:ascii="宋体" w:hAnsi="宋体"/>
          <w:sz w:val="24"/>
        </w:rPr>
        <w:t>元</w:t>
      </w:r>
    </w:p>
    <w:p w14:paraId="44A11F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=1,019,490×0.5%/</w:t>
      </w:r>
      <w:r>
        <w:rPr>
          <w:rFonts w:ascii="宋体" w:hAnsi="宋体"/>
          <w:sz w:val="24"/>
        </w:rPr>
        <w:t>（</w:t>
      </w:r>
      <w:r>
        <w:rPr>
          <w:rFonts w:ascii="宋体" w:hAnsi="宋体"/>
          <w:sz w:val="24"/>
        </w:rPr>
        <w:t>1+0.5%</w:t>
      </w:r>
      <w:r>
        <w:rPr>
          <w:rFonts w:ascii="宋体" w:hAnsi="宋体"/>
          <w:sz w:val="24"/>
        </w:rPr>
        <w:t>）</w:t>
      </w:r>
      <w:r>
        <w:rPr>
          <w:rFonts w:ascii="宋体" w:hAnsi="宋体"/>
          <w:sz w:val="24"/>
        </w:rPr>
        <w:t>=5,072.09</w:t>
      </w:r>
      <w:r>
        <w:rPr>
          <w:rFonts w:ascii="宋体" w:hAnsi="宋体"/>
          <w:sz w:val="24"/>
        </w:rPr>
        <w:t>元</w:t>
      </w:r>
    </w:p>
    <w:p w14:paraId="7454C1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1,019,490-5,072.09</w:t>
      </w:r>
      <w:r>
        <w:rPr>
          <w:rFonts w:ascii="宋体" w:hAnsi="宋体"/>
          <w:sz w:val="24"/>
        </w:rPr>
        <w:t>）</w:t>
      </w:r>
      <w:r>
        <w:rPr>
          <w:rFonts w:ascii="宋体" w:hAnsi="宋体"/>
          <w:sz w:val="24"/>
        </w:rPr>
        <w:t>/1.0100=1,004,374.17</w:t>
      </w:r>
      <w:r>
        <w:rPr>
          <w:rFonts w:ascii="宋体" w:hAnsi="宋体"/>
          <w:sz w:val="24"/>
        </w:rPr>
        <w:t>份</w:t>
      </w:r>
    </w:p>
    <w:p w14:paraId="72967C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w:t>
      </w:r>
      <w:r>
        <w:rPr>
          <w:rFonts w:ascii="宋体" w:hAnsi="宋体"/>
          <w:sz w:val="24"/>
        </w:rPr>
        <w:t>C</w:t>
      </w:r>
      <w:r>
        <w:rPr>
          <w:rFonts w:ascii="宋体" w:hAnsi="宋体"/>
          <w:sz w:val="24"/>
        </w:rPr>
        <w:t>类基金份额</w:t>
      </w:r>
      <w:r>
        <w:rPr>
          <w:rFonts w:ascii="宋体" w:hAnsi="宋体"/>
          <w:sz w:val="24"/>
        </w:rPr>
        <w:t>100,000</w:t>
      </w:r>
      <w:r>
        <w:rPr>
          <w:rFonts w:ascii="宋体" w:hAnsi="宋体"/>
          <w:sz w:val="24"/>
        </w:rPr>
        <w:t>份，持有期一年半，转换申请当日交银增利</w:t>
      </w:r>
      <w:r>
        <w:rPr>
          <w:rFonts w:ascii="宋体" w:hAnsi="宋体"/>
          <w:sz w:val="24"/>
        </w:rPr>
        <w:t>C</w:t>
      </w:r>
      <w:r>
        <w:rPr>
          <w:rFonts w:ascii="宋体" w:hAnsi="宋体"/>
          <w:sz w:val="24"/>
        </w:rPr>
        <w:t>类基金份额净值为</w:t>
      </w:r>
      <w:r>
        <w:rPr>
          <w:rFonts w:ascii="宋体" w:hAnsi="宋体"/>
          <w:sz w:val="24"/>
        </w:rPr>
        <w:t>1.2500</w:t>
      </w:r>
      <w:r>
        <w:rPr>
          <w:rFonts w:ascii="宋体" w:hAnsi="宋体"/>
          <w:sz w:val="24"/>
        </w:rPr>
        <w:t>元，交银精选的基金份额净值为</w:t>
      </w:r>
      <w:r>
        <w:rPr>
          <w:rFonts w:ascii="宋体" w:hAnsi="宋体"/>
          <w:sz w:val="24"/>
        </w:rPr>
        <w:t>2.2700</w:t>
      </w:r>
      <w:r>
        <w:rPr>
          <w:rFonts w:ascii="宋体" w:hAnsi="宋体"/>
          <w:sz w:val="24"/>
        </w:rPr>
        <w:t>元。若该投资者将</w:t>
      </w:r>
      <w:r>
        <w:rPr>
          <w:rFonts w:ascii="宋体" w:hAnsi="宋体"/>
          <w:sz w:val="24"/>
        </w:rPr>
        <w:t>100,000</w:t>
      </w:r>
      <w:r>
        <w:rPr>
          <w:rFonts w:ascii="宋体" w:hAnsi="宋体"/>
          <w:sz w:val="24"/>
        </w:rPr>
        <w:t>份交银增利</w:t>
      </w:r>
      <w:r>
        <w:rPr>
          <w:rFonts w:ascii="宋体" w:hAnsi="宋体"/>
          <w:sz w:val="24"/>
        </w:rPr>
        <w:t>C</w:t>
      </w:r>
      <w:r>
        <w:rPr>
          <w:rFonts w:ascii="宋体" w:hAnsi="宋体"/>
          <w:sz w:val="24"/>
        </w:rPr>
        <w:t>类基金份额转换为交银精选前端基</w:t>
      </w:r>
      <w:r>
        <w:rPr>
          <w:rFonts w:ascii="宋体" w:hAnsi="宋体"/>
          <w:sz w:val="24"/>
        </w:rPr>
        <w:t>金份额，则转入交银精选确认的基金份额为：</w:t>
      </w:r>
    </w:p>
    <w:p w14:paraId="12393A6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=100,000×1.2500=125,000</w:t>
      </w:r>
      <w:r>
        <w:rPr>
          <w:rFonts w:ascii="宋体" w:hAnsi="宋体"/>
          <w:sz w:val="24"/>
        </w:rPr>
        <w:t>元</w:t>
      </w:r>
    </w:p>
    <w:p w14:paraId="388382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=0</w:t>
      </w:r>
      <w:r>
        <w:rPr>
          <w:rFonts w:ascii="宋体" w:hAnsi="宋体"/>
          <w:sz w:val="24"/>
        </w:rPr>
        <w:t>元</w:t>
      </w:r>
    </w:p>
    <w:p w14:paraId="2831471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=125,000-0=125,000</w:t>
      </w:r>
      <w:r>
        <w:rPr>
          <w:rFonts w:ascii="宋体" w:hAnsi="宋体"/>
          <w:sz w:val="24"/>
        </w:rPr>
        <w:t>元</w:t>
      </w:r>
    </w:p>
    <w:p w14:paraId="0581A6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=125,000×1.5%/</w:t>
      </w:r>
      <w:r>
        <w:rPr>
          <w:rFonts w:ascii="宋体" w:hAnsi="宋体"/>
          <w:sz w:val="24"/>
        </w:rPr>
        <w:t>（</w:t>
      </w:r>
      <w:r>
        <w:rPr>
          <w:rFonts w:ascii="宋体" w:hAnsi="宋体"/>
          <w:sz w:val="24"/>
        </w:rPr>
        <w:t>1+1.5%</w:t>
      </w:r>
      <w:r>
        <w:rPr>
          <w:rFonts w:ascii="宋体" w:hAnsi="宋体"/>
          <w:sz w:val="24"/>
        </w:rPr>
        <w:t>）</w:t>
      </w:r>
      <w:r>
        <w:rPr>
          <w:rFonts w:ascii="宋体" w:hAnsi="宋体"/>
          <w:sz w:val="24"/>
        </w:rPr>
        <w:t>=1,847.29</w:t>
      </w:r>
      <w:r>
        <w:rPr>
          <w:rFonts w:ascii="宋体" w:hAnsi="宋体"/>
          <w:sz w:val="24"/>
        </w:rPr>
        <w:t>元</w:t>
      </w:r>
    </w:p>
    <w:p w14:paraId="59ECF2C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125,000-1,847.29</w:t>
      </w:r>
      <w:r>
        <w:rPr>
          <w:rFonts w:ascii="宋体" w:hAnsi="宋体"/>
          <w:sz w:val="24"/>
        </w:rPr>
        <w:t>）</w:t>
      </w:r>
      <w:r>
        <w:rPr>
          <w:rFonts w:ascii="宋体" w:hAnsi="宋体"/>
          <w:sz w:val="24"/>
        </w:rPr>
        <w:t>/2.2700=54,252.30</w:t>
      </w:r>
      <w:r>
        <w:rPr>
          <w:rFonts w:ascii="宋体" w:hAnsi="宋体"/>
          <w:sz w:val="24"/>
        </w:rPr>
        <w:t>份</w:t>
      </w:r>
    </w:p>
    <w:p w14:paraId="722B076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w:t>
      </w:r>
      <w:r>
        <w:rPr>
          <w:rFonts w:ascii="宋体" w:hAnsi="宋体"/>
          <w:sz w:val="24"/>
        </w:rPr>
        <w:t>A</w:t>
      </w:r>
      <w:r>
        <w:rPr>
          <w:rFonts w:ascii="宋体" w:hAnsi="宋体"/>
          <w:sz w:val="24"/>
        </w:rPr>
        <w:t>级基金份额</w:t>
      </w:r>
      <w:r>
        <w:rPr>
          <w:rFonts w:ascii="宋体" w:hAnsi="宋体"/>
          <w:sz w:val="24"/>
        </w:rPr>
        <w:t>100,000</w:t>
      </w:r>
      <w:r>
        <w:rPr>
          <w:rFonts w:ascii="宋体" w:hAnsi="宋体"/>
          <w:sz w:val="24"/>
        </w:rPr>
        <w:t>份，该</w:t>
      </w:r>
      <w:r>
        <w:rPr>
          <w:rFonts w:ascii="宋体" w:hAnsi="宋体"/>
          <w:sz w:val="24"/>
        </w:rPr>
        <w:t>100,000</w:t>
      </w:r>
      <w:r>
        <w:rPr>
          <w:rFonts w:ascii="宋体" w:hAnsi="宋体"/>
          <w:sz w:val="24"/>
        </w:rPr>
        <w:t>份基金份额未结转的待支付收益为</w:t>
      </w:r>
      <w:r>
        <w:rPr>
          <w:rFonts w:ascii="宋体" w:hAnsi="宋体"/>
          <w:sz w:val="24"/>
        </w:rPr>
        <w:t>61.52</w:t>
      </w:r>
      <w:r>
        <w:rPr>
          <w:rFonts w:ascii="宋体" w:hAnsi="宋体"/>
          <w:sz w:val="24"/>
        </w:rPr>
        <w:t>元，转换申请当日交银增利</w:t>
      </w:r>
      <w:r>
        <w:rPr>
          <w:rFonts w:ascii="宋体" w:hAnsi="宋体"/>
          <w:sz w:val="24"/>
        </w:rPr>
        <w:t>A</w:t>
      </w:r>
      <w:r>
        <w:rPr>
          <w:rFonts w:ascii="宋体" w:hAnsi="宋体"/>
          <w:sz w:val="24"/>
        </w:rPr>
        <w:t>类基金份额</w:t>
      </w:r>
      <w:r>
        <w:rPr>
          <w:rFonts w:ascii="宋体" w:hAnsi="宋体"/>
          <w:sz w:val="24"/>
        </w:rPr>
        <w:t>净值为</w:t>
      </w:r>
      <w:r>
        <w:rPr>
          <w:rFonts w:ascii="宋体" w:hAnsi="宋体"/>
          <w:sz w:val="24"/>
        </w:rPr>
        <w:t>1.2700</w:t>
      </w:r>
      <w:r>
        <w:rPr>
          <w:rFonts w:ascii="宋体" w:hAnsi="宋体"/>
          <w:sz w:val="24"/>
        </w:rPr>
        <w:t>元，交银货币的基金份额净值为</w:t>
      </w:r>
      <w:r>
        <w:rPr>
          <w:rFonts w:ascii="宋体" w:hAnsi="宋体"/>
          <w:sz w:val="24"/>
        </w:rPr>
        <w:t>1.00</w:t>
      </w:r>
      <w:r>
        <w:rPr>
          <w:rFonts w:ascii="宋体" w:hAnsi="宋体"/>
          <w:sz w:val="24"/>
        </w:rPr>
        <w:t>元。若该投资者将</w:t>
      </w:r>
      <w:r>
        <w:rPr>
          <w:rFonts w:ascii="宋体" w:hAnsi="宋体"/>
          <w:sz w:val="24"/>
        </w:rPr>
        <w:t>100,000</w:t>
      </w:r>
      <w:r>
        <w:rPr>
          <w:rFonts w:ascii="宋体" w:hAnsi="宋体"/>
          <w:sz w:val="24"/>
        </w:rPr>
        <w:t>份交银货币</w:t>
      </w:r>
      <w:r>
        <w:rPr>
          <w:rFonts w:ascii="宋体" w:hAnsi="宋体"/>
          <w:sz w:val="24"/>
        </w:rPr>
        <w:t>A</w:t>
      </w:r>
      <w:r>
        <w:rPr>
          <w:rFonts w:ascii="宋体" w:hAnsi="宋体"/>
          <w:sz w:val="24"/>
        </w:rPr>
        <w:t>级基金</w:t>
      </w:r>
      <w:r>
        <w:rPr>
          <w:rFonts w:ascii="宋体" w:hAnsi="宋体"/>
          <w:sz w:val="24"/>
        </w:rPr>
        <w:lastRenderedPageBreak/>
        <w:t>份额转换为交银增利</w:t>
      </w:r>
      <w:r>
        <w:rPr>
          <w:rFonts w:ascii="宋体" w:hAnsi="宋体"/>
          <w:sz w:val="24"/>
        </w:rPr>
        <w:t>A</w:t>
      </w:r>
      <w:r>
        <w:rPr>
          <w:rFonts w:ascii="宋体" w:hAnsi="宋体"/>
          <w:sz w:val="24"/>
        </w:rPr>
        <w:t>类基金份额，则转入确认的交银增利</w:t>
      </w:r>
      <w:r>
        <w:rPr>
          <w:rFonts w:ascii="宋体" w:hAnsi="宋体"/>
          <w:sz w:val="24"/>
        </w:rPr>
        <w:t>A</w:t>
      </w:r>
      <w:r>
        <w:rPr>
          <w:rFonts w:ascii="宋体" w:hAnsi="宋体"/>
          <w:sz w:val="24"/>
        </w:rPr>
        <w:t>类基金份额为：</w:t>
      </w:r>
    </w:p>
    <w:p w14:paraId="77C8A4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=100,000×1.00=100,000</w:t>
      </w:r>
      <w:r>
        <w:rPr>
          <w:rFonts w:ascii="宋体" w:hAnsi="宋体"/>
          <w:sz w:val="24"/>
        </w:rPr>
        <w:t>元</w:t>
      </w:r>
    </w:p>
    <w:p w14:paraId="675AF26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=0</w:t>
      </w:r>
      <w:r>
        <w:rPr>
          <w:rFonts w:ascii="宋体" w:hAnsi="宋体"/>
          <w:sz w:val="24"/>
        </w:rPr>
        <w:t>元</w:t>
      </w:r>
    </w:p>
    <w:p w14:paraId="27122C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=100,000-0=100,000</w:t>
      </w:r>
      <w:r>
        <w:rPr>
          <w:rFonts w:ascii="宋体" w:hAnsi="宋体"/>
          <w:sz w:val="24"/>
        </w:rPr>
        <w:t>元</w:t>
      </w:r>
    </w:p>
    <w:p w14:paraId="7F4848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=100,000×0.8%/</w:t>
      </w:r>
      <w:r>
        <w:rPr>
          <w:rFonts w:ascii="宋体" w:hAnsi="宋体"/>
          <w:sz w:val="24"/>
        </w:rPr>
        <w:t>（</w:t>
      </w:r>
      <w:r>
        <w:rPr>
          <w:rFonts w:ascii="宋体" w:hAnsi="宋体"/>
          <w:sz w:val="24"/>
        </w:rPr>
        <w:t>1+0.8%</w:t>
      </w:r>
      <w:r>
        <w:rPr>
          <w:rFonts w:ascii="宋体" w:hAnsi="宋体"/>
          <w:sz w:val="24"/>
        </w:rPr>
        <w:t>）</w:t>
      </w:r>
      <w:r>
        <w:rPr>
          <w:rFonts w:ascii="宋体" w:hAnsi="宋体"/>
          <w:sz w:val="24"/>
        </w:rPr>
        <w:t>=793.65</w:t>
      </w:r>
      <w:r>
        <w:rPr>
          <w:rFonts w:ascii="宋体" w:hAnsi="宋体"/>
          <w:sz w:val="24"/>
        </w:rPr>
        <w:t>元</w:t>
      </w:r>
    </w:p>
    <w:p w14:paraId="13001F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100,000-793.65+61.52</w:t>
      </w:r>
      <w:r>
        <w:rPr>
          <w:rFonts w:ascii="宋体" w:hAnsi="宋体"/>
          <w:sz w:val="24"/>
        </w:rPr>
        <w:t>）</w:t>
      </w:r>
      <w:r>
        <w:rPr>
          <w:rFonts w:ascii="宋体" w:hAnsi="宋体"/>
          <w:sz w:val="24"/>
        </w:rPr>
        <w:t>/1.2700=78,163.68</w:t>
      </w:r>
      <w:r>
        <w:rPr>
          <w:rFonts w:ascii="宋体" w:hAnsi="宋体"/>
          <w:sz w:val="24"/>
        </w:rPr>
        <w:t>份</w:t>
      </w:r>
    </w:p>
    <w:p w14:paraId="06BE3A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、后端收费模式下基金转换份额的计算公式及举例</w:t>
      </w:r>
    </w:p>
    <w:p w14:paraId="4AC88C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w:t>
      </w:r>
      <w:r>
        <w:rPr>
          <w:rFonts w:ascii="宋体" w:hAnsi="宋体"/>
          <w:sz w:val="24"/>
        </w:rPr>
        <w:t>转出的基金份额</w:t>
      </w:r>
      <w:r>
        <w:rPr>
          <w:rFonts w:ascii="宋体" w:hAnsi="宋体"/>
          <w:sz w:val="24"/>
        </w:rPr>
        <w:t>×</w:t>
      </w:r>
      <w:r>
        <w:rPr>
          <w:rFonts w:ascii="宋体" w:hAnsi="宋体"/>
          <w:sz w:val="24"/>
        </w:rPr>
        <w:t>转换申请当日转出基金的基金份额净值</w:t>
      </w:r>
    </w:p>
    <w:p w14:paraId="0AD54B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对应的转出基金的赎回费率</w:t>
      </w:r>
    </w:p>
    <w:p w14:paraId="33B3EC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w:t>
      </w:r>
      <w:r>
        <w:rPr>
          <w:rFonts w:ascii="宋体" w:hAnsi="宋体"/>
          <w:sz w:val="24"/>
        </w:rPr>
        <w:t>转出确认金额</w:t>
      </w:r>
      <w:r>
        <w:rPr>
          <w:rFonts w:ascii="宋体" w:hAnsi="宋体"/>
          <w:sz w:val="24"/>
        </w:rPr>
        <w:t>-</w:t>
      </w:r>
      <w:r>
        <w:rPr>
          <w:rFonts w:ascii="宋体" w:hAnsi="宋体"/>
          <w:sz w:val="24"/>
        </w:rPr>
        <w:t>转出基金的赎回费</w:t>
      </w:r>
    </w:p>
    <w:p w14:paraId="187D25F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对应的转出与转入基金的申购补差费率</w:t>
      </w:r>
    </w:p>
    <w:p w14:paraId="1425F5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（转入确认金额</w:t>
      </w:r>
      <w:r>
        <w:rPr>
          <w:rFonts w:ascii="宋体" w:hAnsi="宋体"/>
          <w:sz w:val="24"/>
        </w:rPr>
        <w:t>-</w:t>
      </w:r>
      <w:r>
        <w:rPr>
          <w:rFonts w:ascii="宋体" w:hAnsi="宋体"/>
          <w:sz w:val="24"/>
        </w:rPr>
        <w:t>转出与转入基金的申购补差费</w:t>
      </w:r>
      <w:r>
        <w:rPr>
          <w:rFonts w:ascii="宋体" w:hAnsi="宋体"/>
          <w:sz w:val="24"/>
        </w:rPr>
        <w:t>+A</w:t>
      </w:r>
      <w:r>
        <w:rPr>
          <w:rFonts w:ascii="宋体" w:hAnsi="宋体"/>
          <w:sz w:val="24"/>
        </w:rPr>
        <w:t>）</w:t>
      </w:r>
      <w:r>
        <w:rPr>
          <w:rFonts w:ascii="宋体" w:hAnsi="宋体"/>
          <w:sz w:val="24"/>
        </w:rPr>
        <w:t>/</w:t>
      </w:r>
      <w:r>
        <w:rPr>
          <w:rFonts w:ascii="宋体" w:hAnsi="宋体"/>
          <w:sz w:val="24"/>
        </w:rPr>
        <w:t>转换申请当日转入基金的基金份额净值</w:t>
      </w:r>
    </w:p>
    <w:p w14:paraId="0F4D02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14:paraId="185B0B4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w:t>
      </w:r>
      <w:r>
        <w:rPr>
          <w:rFonts w:ascii="宋体" w:hAnsi="宋体"/>
          <w:sz w:val="24"/>
        </w:rPr>
        <w:t>为货币市场基金转出的基金份额按比例结转的账户当前累计待支付收益（仅限转出基金为货币市场基金的情形，否则</w:t>
      </w:r>
      <w:r>
        <w:rPr>
          <w:rFonts w:ascii="宋体" w:hAnsi="宋体"/>
          <w:sz w:val="24"/>
        </w:rPr>
        <w:t>A</w:t>
      </w:r>
      <w:r>
        <w:rPr>
          <w:rFonts w:ascii="宋体" w:hAnsi="宋体"/>
          <w:sz w:val="24"/>
        </w:rPr>
        <w:t>为</w:t>
      </w:r>
      <w:r>
        <w:rPr>
          <w:rFonts w:ascii="宋体" w:hAnsi="宋体"/>
          <w:sz w:val="24"/>
        </w:rPr>
        <w:t>0</w:t>
      </w:r>
      <w:r>
        <w:rPr>
          <w:rFonts w:ascii="宋体" w:hAnsi="宋体"/>
          <w:sz w:val="24"/>
        </w:rPr>
        <w:t>）。</w:t>
      </w:r>
    </w:p>
    <w:p w14:paraId="77CCF3C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14:paraId="0CB096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w:t>
      </w:r>
      <w:r>
        <w:rPr>
          <w:rFonts w:ascii="宋体" w:hAnsi="宋体"/>
          <w:sz w:val="24"/>
        </w:rPr>
        <w:t>A</w:t>
      </w:r>
      <w:r>
        <w:rPr>
          <w:rFonts w:ascii="宋体" w:hAnsi="宋体"/>
          <w:sz w:val="24"/>
        </w:rPr>
        <w:t>类基金份额</w:t>
      </w:r>
      <w:r>
        <w:rPr>
          <w:rFonts w:ascii="宋体" w:hAnsi="宋体"/>
          <w:sz w:val="24"/>
        </w:rPr>
        <w:t>100,000</w:t>
      </w:r>
      <w:r>
        <w:rPr>
          <w:rFonts w:ascii="宋体" w:hAnsi="宋体"/>
          <w:sz w:val="24"/>
        </w:rPr>
        <w:t>份，持有期一年半，转换申请当日交银主题的</w:t>
      </w:r>
      <w:r>
        <w:rPr>
          <w:rFonts w:ascii="宋体" w:hAnsi="宋体"/>
          <w:sz w:val="24"/>
        </w:rPr>
        <w:t>A</w:t>
      </w:r>
      <w:r>
        <w:rPr>
          <w:rFonts w:ascii="宋体" w:hAnsi="宋体"/>
          <w:sz w:val="24"/>
        </w:rPr>
        <w:t>类基金份额净值为</w:t>
      </w:r>
      <w:r>
        <w:rPr>
          <w:rFonts w:ascii="宋体" w:hAnsi="宋体"/>
          <w:sz w:val="24"/>
        </w:rPr>
        <w:t>1.2500</w:t>
      </w:r>
      <w:r>
        <w:rPr>
          <w:rFonts w:ascii="宋体" w:hAnsi="宋体"/>
          <w:sz w:val="24"/>
        </w:rPr>
        <w:t>元，交银稳健的基金份额净值为</w:t>
      </w:r>
      <w:r>
        <w:rPr>
          <w:rFonts w:ascii="宋体" w:hAnsi="宋体"/>
          <w:sz w:val="24"/>
        </w:rPr>
        <w:t>2.2700</w:t>
      </w:r>
      <w:r>
        <w:rPr>
          <w:rFonts w:ascii="宋体" w:hAnsi="宋体"/>
          <w:sz w:val="24"/>
        </w:rPr>
        <w:t>元。若该投资者将</w:t>
      </w:r>
      <w:r>
        <w:rPr>
          <w:rFonts w:ascii="宋体" w:hAnsi="宋体"/>
          <w:sz w:val="24"/>
        </w:rPr>
        <w:t>100,000</w:t>
      </w:r>
      <w:r>
        <w:rPr>
          <w:rFonts w:ascii="宋体" w:hAnsi="宋体"/>
          <w:sz w:val="24"/>
        </w:rPr>
        <w:t>份交银主题后端</w:t>
      </w:r>
      <w:r>
        <w:rPr>
          <w:rFonts w:ascii="宋体" w:hAnsi="宋体"/>
          <w:sz w:val="24"/>
        </w:rPr>
        <w:t>A</w:t>
      </w:r>
      <w:r>
        <w:rPr>
          <w:rFonts w:ascii="宋体" w:hAnsi="宋体"/>
          <w:sz w:val="24"/>
        </w:rPr>
        <w:t>类基金份额转换为交银稳健后端基金份额，则转入交银稳健确认的基金份额为：</w:t>
      </w:r>
    </w:p>
    <w:p w14:paraId="6D99B0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=100,000×1.2500=125,000</w:t>
      </w:r>
      <w:r>
        <w:rPr>
          <w:rFonts w:ascii="宋体" w:hAnsi="宋体"/>
          <w:sz w:val="24"/>
        </w:rPr>
        <w:t>元</w:t>
      </w:r>
    </w:p>
    <w:p w14:paraId="3C0A5D2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=125,000×0.2%=25</w:t>
      </w:r>
      <w:r>
        <w:rPr>
          <w:rFonts w:ascii="宋体" w:hAnsi="宋体"/>
          <w:sz w:val="24"/>
        </w:rPr>
        <w:t>0</w:t>
      </w:r>
      <w:r>
        <w:rPr>
          <w:rFonts w:ascii="宋体" w:hAnsi="宋体"/>
          <w:sz w:val="24"/>
        </w:rPr>
        <w:t>元</w:t>
      </w:r>
    </w:p>
    <w:p w14:paraId="74A4E1C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=125,000-250=124,750</w:t>
      </w:r>
      <w:r>
        <w:rPr>
          <w:rFonts w:ascii="宋体" w:hAnsi="宋体"/>
          <w:sz w:val="24"/>
        </w:rPr>
        <w:t>元</w:t>
      </w:r>
    </w:p>
    <w:p w14:paraId="74779B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=124,750×0=0</w:t>
      </w:r>
      <w:r>
        <w:rPr>
          <w:rFonts w:ascii="宋体" w:hAnsi="宋体"/>
          <w:sz w:val="24"/>
        </w:rPr>
        <w:t>元</w:t>
      </w:r>
    </w:p>
    <w:p w14:paraId="2BA71D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124,750-0</w:t>
      </w:r>
      <w:r>
        <w:rPr>
          <w:rFonts w:ascii="宋体" w:hAnsi="宋体"/>
          <w:sz w:val="24"/>
        </w:rPr>
        <w:t>）</w:t>
      </w:r>
      <w:r>
        <w:rPr>
          <w:rFonts w:ascii="宋体" w:hAnsi="宋体"/>
          <w:sz w:val="24"/>
        </w:rPr>
        <w:t>/2.2700=54,955.95</w:t>
      </w:r>
      <w:r>
        <w:rPr>
          <w:rFonts w:ascii="宋体" w:hAnsi="宋体"/>
          <w:sz w:val="24"/>
        </w:rPr>
        <w:t>份</w:t>
      </w:r>
    </w:p>
    <w:p w14:paraId="4526C8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w:t>
      </w:r>
      <w:r>
        <w:rPr>
          <w:rFonts w:ascii="宋体" w:hAnsi="宋体"/>
          <w:sz w:val="24"/>
        </w:rPr>
        <w:t>A</w:t>
      </w:r>
      <w:r>
        <w:rPr>
          <w:rFonts w:ascii="宋体" w:hAnsi="宋体"/>
          <w:sz w:val="24"/>
        </w:rPr>
        <w:t>类基金份额</w:t>
      </w:r>
      <w:r>
        <w:rPr>
          <w:rFonts w:ascii="宋体" w:hAnsi="宋体"/>
          <w:sz w:val="24"/>
        </w:rPr>
        <w:t>100,000</w:t>
      </w:r>
      <w:r>
        <w:rPr>
          <w:rFonts w:ascii="宋体" w:hAnsi="宋体"/>
          <w:sz w:val="24"/>
        </w:rPr>
        <w:t>份，持有期一年半，转换申请当日交银先锋的</w:t>
      </w:r>
      <w:r>
        <w:rPr>
          <w:rFonts w:ascii="宋体" w:hAnsi="宋体"/>
          <w:sz w:val="24"/>
        </w:rPr>
        <w:t>A</w:t>
      </w:r>
      <w:r>
        <w:rPr>
          <w:rFonts w:ascii="宋体" w:hAnsi="宋体"/>
          <w:sz w:val="24"/>
        </w:rPr>
        <w:t>类基金份额净值为</w:t>
      </w:r>
      <w:r>
        <w:rPr>
          <w:rFonts w:ascii="宋体" w:hAnsi="宋体"/>
          <w:sz w:val="24"/>
        </w:rPr>
        <w:t>1.2500</w:t>
      </w:r>
      <w:r>
        <w:rPr>
          <w:rFonts w:ascii="宋体" w:hAnsi="宋体"/>
          <w:sz w:val="24"/>
        </w:rPr>
        <w:t>元，交银货币的基金</w:t>
      </w:r>
      <w:r>
        <w:rPr>
          <w:rFonts w:ascii="宋体" w:hAnsi="宋体"/>
          <w:sz w:val="24"/>
        </w:rPr>
        <w:lastRenderedPageBreak/>
        <w:t>份额净值为</w:t>
      </w:r>
      <w:r>
        <w:rPr>
          <w:rFonts w:ascii="宋体" w:hAnsi="宋体"/>
          <w:sz w:val="24"/>
        </w:rPr>
        <w:t>1.00</w:t>
      </w:r>
      <w:r>
        <w:rPr>
          <w:rFonts w:ascii="宋体" w:hAnsi="宋体"/>
          <w:sz w:val="24"/>
        </w:rPr>
        <w:t>元。若该投资者将</w:t>
      </w:r>
      <w:r>
        <w:rPr>
          <w:rFonts w:ascii="宋体" w:hAnsi="宋体"/>
          <w:sz w:val="24"/>
        </w:rPr>
        <w:t>100,000</w:t>
      </w:r>
      <w:r>
        <w:rPr>
          <w:rFonts w:ascii="宋体" w:hAnsi="宋体"/>
          <w:sz w:val="24"/>
        </w:rPr>
        <w:t>份交银先锋后端</w:t>
      </w:r>
      <w:r>
        <w:rPr>
          <w:rFonts w:ascii="宋体" w:hAnsi="宋体"/>
          <w:sz w:val="24"/>
        </w:rPr>
        <w:t>A</w:t>
      </w:r>
      <w:r>
        <w:rPr>
          <w:rFonts w:ascii="宋体" w:hAnsi="宋体"/>
          <w:sz w:val="24"/>
        </w:rPr>
        <w:t>类基金份额转换为交银货币，则转入交银货币的基金份额为：</w:t>
      </w:r>
    </w:p>
    <w:p w14:paraId="7BEC7B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=100,000×1.2500=</w:t>
      </w:r>
      <w:r>
        <w:rPr>
          <w:rFonts w:ascii="宋体" w:hAnsi="宋体"/>
          <w:sz w:val="24"/>
        </w:rPr>
        <w:t>125,000</w:t>
      </w:r>
      <w:r>
        <w:rPr>
          <w:rFonts w:ascii="宋体" w:hAnsi="宋体"/>
          <w:sz w:val="24"/>
        </w:rPr>
        <w:t>元</w:t>
      </w:r>
    </w:p>
    <w:p w14:paraId="3A40EBC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=125,000×0.2%=250</w:t>
      </w:r>
      <w:r>
        <w:rPr>
          <w:rFonts w:ascii="宋体" w:hAnsi="宋体"/>
          <w:sz w:val="24"/>
        </w:rPr>
        <w:t>元</w:t>
      </w:r>
    </w:p>
    <w:p w14:paraId="67A27E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=125,000-250=124,750</w:t>
      </w:r>
      <w:r>
        <w:rPr>
          <w:rFonts w:ascii="宋体" w:hAnsi="宋体"/>
          <w:sz w:val="24"/>
        </w:rPr>
        <w:t>元</w:t>
      </w:r>
    </w:p>
    <w:p w14:paraId="5FD6E2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=124,750×1.2%=1497</w:t>
      </w:r>
      <w:r>
        <w:rPr>
          <w:rFonts w:ascii="宋体" w:hAnsi="宋体"/>
          <w:sz w:val="24"/>
        </w:rPr>
        <w:t>元</w:t>
      </w:r>
    </w:p>
    <w:p w14:paraId="51AD90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124,750-1497</w:t>
      </w:r>
      <w:r>
        <w:rPr>
          <w:rFonts w:ascii="宋体" w:hAnsi="宋体"/>
          <w:sz w:val="24"/>
        </w:rPr>
        <w:t>）</w:t>
      </w:r>
      <w:r>
        <w:rPr>
          <w:rFonts w:ascii="宋体" w:hAnsi="宋体"/>
          <w:sz w:val="24"/>
        </w:rPr>
        <w:t>/1.00=123,253.00</w:t>
      </w:r>
      <w:r>
        <w:rPr>
          <w:rFonts w:ascii="宋体" w:hAnsi="宋体"/>
          <w:sz w:val="24"/>
        </w:rPr>
        <w:t>份</w:t>
      </w:r>
    </w:p>
    <w:p w14:paraId="0A89DB1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w:t>
      </w:r>
      <w:r>
        <w:rPr>
          <w:rFonts w:ascii="宋体" w:hAnsi="宋体"/>
          <w:sz w:val="24"/>
        </w:rPr>
        <w:t>100,000</w:t>
      </w:r>
      <w:r>
        <w:rPr>
          <w:rFonts w:ascii="宋体" w:hAnsi="宋体"/>
          <w:sz w:val="24"/>
        </w:rPr>
        <w:t>份，持有期三年半，转换申请当日交银蓝筹的基金份额净值为</w:t>
      </w:r>
      <w:r>
        <w:rPr>
          <w:rFonts w:ascii="宋体" w:hAnsi="宋体"/>
          <w:sz w:val="24"/>
        </w:rPr>
        <w:t>0.8500</w:t>
      </w:r>
      <w:r>
        <w:rPr>
          <w:rFonts w:ascii="宋体" w:hAnsi="宋体"/>
          <w:sz w:val="24"/>
        </w:rPr>
        <w:t>元，交银增利</w:t>
      </w:r>
      <w:r>
        <w:rPr>
          <w:rFonts w:ascii="宋体" w:hAnsi="宋体"/>
          <w:sz w:val="24"/>
        </w:rPr>
        <w:t>B</w:t>
      </w:r>
      <w:r>
        <w:rPr>
          <w:rFonts w:ascii="宋体" w:hAnsi="宋体"/>
          <w:sz w:val="24"/>
        </w:rPr>
        <w:t>类基金份额的基金份额净值为</w:t>
      </w:r>
      <w:r>
        <w:rPr>
          <w:rFonts w:ascii="宋体" w:hAnsi="宋体"/>
          <w:sz w:val="24"/>
        </w:rPr>
        <w:t>1.0500</w:t>
      </w:r>
      <w:r>
        <w:rPr>
          <w:rFonts w:ascii="宋体" w:hAnsi="宋体"/>
          <w:sz w:val="24"/>
        </w:rPr>
        <w:t>。若该投资者将</w:t>
      </w:r>
      <w:r>
        <w:rPr>
          <w:rFonts w:ascii="宋体" w:hAnsi="宋体"/>
          <w:sz w:val="24"/>
        </w:rPr>
        <w:t>100,000</w:t>
      </w:r>
      <w:r>
        <w:rPr>
          <w:rFonts w:ascii="宋体" w:hAnsi="宋体"/>
          <w:sz w:val="24"/>
        </w:rPr>
        <w:t>份交银蓝筹后端基金份额转换为</w:t>
      </w:r>
      <w:r>
        <w:rPr>
          <w:rFonts w:ascii="宋体" w:hAnsi="宋体"/>
          <w:sz w:val="24"/>
        </w:rPr>
        <w:t>交银增利</w:t>
      </w:r>
      <w:r>
        <w:rPr>
          <w:rFonts w:ascii="宋体" w:hAnsi="宋体"/>
          <w:sz w:val="24"/>
        </w:rPr>
        <w:t>B</w:t>
      </w:r>
      <w:r>
        <w:rPr>
          <w:rFonts w:ascii="宋体" w:hAnsi="宋体"/>
          <w:sz w:val="24"/>
        </w:rPr>
        <w:t>类基金份额，则转入交银增利</w:t>
      </w:r>
      <w:r>
        <w:rPr>
          <w:rFonts w:ascii="宋体" w:hAnsi="宋体"/>
          <w:sz w:val="24"/>
        </w:rPr>
        <w:t>B</w:t>
      </w:r>
      <w:r>
        <w:rPr>
          <w:rFonts w:ascii="宋体" w:hAnsi="宋体"/>
          <w:sz w:val="24"/>
        </w:rPr>
        <w:t>类基金份额的基金份额为：</w:t>
      </w:r>
    </w:p>
    <w:p w14:paraId="65A7F8F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=100,000×0.8500=85,000</w:t>
      </w:r>
      <w:r>
        <w:rPr>
          <w:rFonts w:ascii="宋体" w:hAnsi="宋体"/>
          <w:sz w:val="24"/>
        </w:rPr>
        <w:t>元</w:t>
      </w:r>
    </w:p>
    <w:p w14:paraId="7807319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=85,000×0=0</w:t>
      </w:r>
      <w:r>
        <w:rPr>
          <w:rFonts w:ascii="宋体" w:hAnsi="宋体"/>
          <w:sz w:val="24"/>
        </w:rPr>
        <w:t>元</w:t>
      </w:r>
    </w:p>
    <w:p w14:paraId="47062C1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=85,000-0=85,000</w:t>
      </w:r>
      <w:r>
        <w:rPr>
          <w:rFonts w:ascii="宋体" w:hAnsi="宋体"/>
          <w:sz w:val="24"/>
        </w:rPr>
        <w:t>元</w:t>
      </w:r>
    </w:p>
    <w:p w14:paraId="52D779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=85,000×0.2%=170</w:t>
      </w:r>
      <w:r>
        <w:rPr>
          <w:rFonts w:ascii="宋体" w:hAnsi="宋体"/>
          <w:sz w:val="24"/>
        </w:rPr>
        <w:t>元</w:t>
      </w:r>
    </w:p>
    <w:p w14:paraId="2F49E9B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w:t>
      </w:r>
      <w:r>
        <w:rPr>
          <w:rFonts w:ascii="宋体" w:hAnsi="宋体"/>
          <w:sz w:val="24"/>
        </w:rPr>
        <w:t>=</w:t>
      </w:r>
      <w:r>
        <w:rPr>
          <w:rFonts w:ascii="宋体" w:hAnsi="宋体"/>
          <w:sz w:val="24"/>
        </w:rPr>
        <w:t>（</w:t>
      </w:r>
      <w:r>
        <w:rPr>
          <w:rFonts w:ascii="宋体" w:hAnsi="宋体"/>
          <w:sz w:val="24"/>
        </w:rPr>
        <w:t>85,000-170</w:t>
      </w:r>
      <w:r>
        <w:rPr>
          <w:rFonts w:ascii="宋体" w:hAnsi="宋体"/>
          <w:sz w:val="24"/>
        </w:rPr>
        <w:t>）</w:t>
      </w:r>
      <w:r>
        <w:rPr>
          <w:rFonts w:ascii="宋体" w:hAnsi="宋体"/>
          <w:sz w:val="24"/>
        </w:rPr>
        <w:t>/1.0500=80,790.48</w:t>
      </w:r>
      <w:r>
        <w:rPr>
          <w:rFonts w:ascii="宋体" w:hAnsi="宋体"/>
          <w:sz w:val="24"/>
        </w:rPr>
        <w:t>份</w:t>
      </w:r>
    </w:p>
    <w:p w14:paraId="4198D15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w:t>
      </w:r>
      <w:r>
        <w:rPr>
          <w:rFonts w:ascii="宋体" w:hAnsi="宋体"/>
          <w:sz w:val="24"/>
        </w:rPr>
        <w:t>A</w:t>
      </w:r>
      <w:r>
        <w:rPr>
          <w:rFonts w:ascii="宋体" w:hAnsi="宋体"/>
          <w:sz w:val="24"/>
        </w:rPr>
        <w:t>级基金份额</w:t>
      </w:r>
      <w:r>
        <w:rPr>
          <w:rFonts w:ascii="宋体" w:hAnsi="宋体"/>
          <w:sz w:val="24"/>
        </w:rPr>
        <w:t>100,000</w:t>
      </w:r>
      <w:r>
        <w:rPr>
          <w:rFonts w:ascii="宋体" w:hAnsi="宋体"/>
          <w:sz w:val="24"/>
        </w:rPr>
        <w:t>份，该</w:t>
      </w:r>
      <w:r>
        <w:rPr>
          <w:rFonts w:ascii="宋体" w:hAnsi="宋体"/>
          <w:sz w:val="24"/>
        </w:rPr>
        <w:t>100,000</w:t>
      </w:r>
      <w:r>
        <w:rPr>
          <w:rFonts w:ascii="宋体" w:hAnsi="宋体"/>
          <w:sz w:val="24"/>
        </w:rPr>
        <w:t>份基金份额未结转的待支付收益为</w:t>
      </w:r>
      <w:r>
        <w:rPr>
          <w:rFonts w:ascii="宋体" w:hAnsi="宋体"/>
          <w:sz w:val="24"/>
        </w:rPr>
        <w:t>61.52</w:t>
      </w:r>
      <w:r>
        <w:rPr>
          <w:rFonts w:ascii="宋体" w:hAnsi="宋体"/>
          <w:sz w:val="24"/>
        </w:rPr>
        <w:t>元，转换申请当日交银增利</w:t>
      </w:r>
      <w:r>
        <w:rPr>
          <w:rFonts w:ascii="宋体" w:hAnsi="宋体"/>
          <w:sz w:val="24"/>
        </w:rPr>
        <w:t>B</w:t>
      </w:r>
      <w:r>
        <w:rPr>
          <w:rFonts w:ascii="宋体" w:hAnsi="宋体"/>
          <w:sz w:val="24"/>
        </w:rPr>
        <w:t>类基金份额净值为</w:t>
      </w:r>
      <w:r>
        <w:rPr>
          <w:rFonts w:ascii="宋体" w:hAnsi="宋体"/>
          <w:sz w:val="24"/>
        </w:rPr>
        <w:t>1.2700</w:t>
      </w:r>
      <w:r>
        <w:rPr>
          <w:rFonts w:ascii="宋体" w:hAnsi="宋体"/>
          <w:sz w:val="24"/>
        </w:rPr>
        <w:t>元，交银货币的基金份额净值为</w:t>
      </w:r>
      <w:r>
        <w:rPr>
          <w:rFonts w:ascii="宋体" w:hAnsi="宋体"/>
          <w:sz w:val="24"/>
        </w:rPr>
        <w:t>1.00</w:t>
      </w:r>
      <w:r>
        <w:rPr>
          <w:rFonts w:ascii="宋体" w:hAnsi="宋体"/>
          <w:sz w:val="24"/>
        </w:rPr>
        <w:t>元。若该投资者将</w:t>
      </w:r>
      <w:r>
        <w:rPr>
          <w:rFonts w:ascii="宋体" w:hAnsi="宋体"/>
          <w:sz w:val="24"/>
        </w:rPr>
        <w:t>100,000</w:t>
      </w:r>
      <w:r>
        <w:rPr>
          <w:rFonts w:ascii="宋体" w:hAnsi="宋体"/>
          <w:sz w:val="24"/>
        </w:rPr>
        <w:t>份交银货币</w:t>
      </w:r>
      <w:r>
        <w:rPr>
          <w:rFonts w:ascii="宋体" w:hAnsi="宋体"/>
          <w:sz w:val="24"/>
        </w:rPr>
        <w:t>A</w:t>
      </w:r>
      <w:r>
        <w:rPr>
          <w:rFonts w:ascii="宋体" w:hAnsi="宋体"/>
          <w:sz w:val="24"/>
        </w:rPr>
        <w:t>级基金份额转换为交银增利</w:t>
      </w:r>
      <w:r>
        <w:rPr>
          <w:rFonts w:ascii="宋体" w:hAnsi="宋体"/>
          <w:sz w:val="24"/>
        </w:rPr>
        <w:t>B</w:t>
      </w:r>
      <w:r>
        <w:rPr>
          <w:rFonts w:ascii="宋体" w:hAnsi="宋体"/>
          <w:sz w:val="24"/>
        </w:rPr>
        <w:t>类基金份额，则转入确认的交银增利</w:t>
      </w:r>
      <w:r>
        <w:rPr>
          <w:rFonts w:ascii="宋体" w:hAnsi="宋体"/>
          <w:sz w:val="24"/>
        </w:rPr>
        <w:t>B</w:t>
      </w:r>
      <w:r>
        <w:rPr>
          <w:rFonts w:ascii="宋体" w:hAnsi="宋体"/>
          <w:sz w:val="24"/>
        </w:rPr>
        <w:t>类基金份额为：</w:t>
      </w:r>
    </w:p>
    <w:p w14:paraId="1EA42D6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w:t>
      </w:r>
      <w:r>
        <w:rPr>
          <w:rFonts w:ascii="宋体" w:hAnsi="宋体"/>
          <w:sz w:val="24"/>
        </w:rPr>
        <w:t>=100,000×1.00=100,000</w:t>
      </w:r>
      <w:r>
        <w:rPr>
          <w:rFonts w:ascii="宋体" w:hAnsi="宋体"/>
          <w:sz w:val="24"/>
        </w:rPr>
        <w:t>元</w:t>
      </w:r>
    </w:p>
    <w:p w14:paraId="1B6FB69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w:t>
      </w:r>
      <w:r>
        <w:rPr>
          <w:rFonts w:ascii="宋体" w:hAnsi="宋体"/>
          <w:sz w:val="24"/>
        </w:rPr>
        <w:t>=0</w:t>
      </w:r>
      <w:r>
        <w:rPr>
          <w:rFonts w:ascii="宋体" w:hAnsi="宋体"/>
          <w:sz w:val="24"/>
        </w:rPr>
        <w:t>元</w:t>
      </w:r>
    </w:p>
    <w:p w14:paraId="27BCB2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w:t>
      </w:r>
      <w:r>
        <w:rPr>
          <w:rFonts w:ascii="宋体" w:hAnsi="宋体"/>
          <w:sz w:val="24"/>
        </w:rPr>
        <w:t>=100,000-0=100,000</w:t>
      </w:r>
      <w:r>
        <w:rPr>
          <w:rFonts w:ascii="宋体" w:hAnsi="宋体"/>
          <w:sz w:val="24"/>
        </w:rPr>
        <w:t>元</w:t>
      </w:r>
    </w:p>
    <w:p w14:paraId="0D20297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w:t>
      </w:r>
      <w:r>
        <w:rPr>
          <w:rFonts w:ascii="宋体" w:hAnsi="宋体"/>
          <w:sz w:val="24"/>
        </w:rPr>
        <w:t>=100,000×0=0</w:t>
      </w:r>
      <w:r>
        <w:rPr>
          <w:rFonts w:ascii="宋体" w:hAnsi="宋体"/>
          <w:sz w:val="24"/>
        </w:rPr>
        <w:t>元</w:t>
      </w:r>
    </w:p>
    <w:p w14:paraId="25E362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w:t>
      </w:r>
      <w:r>
        <w:rPr>
          <w:rFonts w:ascii="宋体" w:hAnsi="宋体"/>
          <w:sz w:val="24"/>
        </w:rPr>
        <w:t>基金确认份额</w:t>
      </w:r>
      <w:r>
        <w:rPr>
          <w:rFonts w:ascii="宋体" w:hAnsi="宋体"/>
          <w:sz w:val="24"/>
        </w:rPr>
        <w:t>=</w:t>
      </w:r>
      <w:r>
        <w:rPr>
          <w:rFonts w:ascii="宋体" w:hAnsi="宋体"/>
          <w:sz w:val="24"/>
        </w:rPr>
        <w:t>（</w:t>
      </w:r>
      <w:r>
        <w:rPr>
          <w:rFonts w:ascii="宋体" w:hAnsi="宋体"/>
          <w:sz w:val="24"/>
        </w:rPr>
        <w:t>100,000-0+61.52</w:t>
      </w:r>
      <w:r>
        <w:rPr>
          <w:rFonts w:ascii="宋体" w:hAnsi="宋体"/>
          <w:sz w:val="24"/>
        </w:rPr>
        <w:t>）</w:t>
      </w:r>
      <w:r>
        <w:rPr>
          <w:rFonts w:ascii="宋体" w:hAnsi="宋体"/>
          <w:sz w:val="24"/>
        </w:rPr>
        <w:t>/1.2700=78,788.60</w:t>
      </w:r>
      <w:r>
        <w:rPr>
          <w:rFonts w:ascii="宋体" w:hAnsi="宋体"/>
          <w:sz w:val="24"/>
        </w:rPr>
        <w:t>份</w:t>
      </w:r>
    </w:p>
    <w:p w14:paraId="1F4DFD7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（七）业务规则</w:t>
      </w:r>
    </w:p>
    <w:p w14:paraId="0E0083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14:paraId="44B0BA5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w:t>
      </w:r>
      <w:r>
        <w:rPr>
          <w:rFonts w:ascii="宋体" w:hAnsi="宋体"/>
          <w:sz w:val="24"/>
        </w:rPr>
        <w:t>、投资人只能在相同收费模式下进行基金转换。前端收费模式的开放式基金只能转换到前端收费模式的其他基金，后端收费模式的基金只能转换到后端收费模式的其他基金。交银货币、债券基金</w:t>
      </w:r>
      <w:r>
        <w:rPr>
          <w:rFonts w:ascii="宋体" w:hAnsi="宋体"/>
          <w:sz w:val="24"/>
        </w:rPr>
        <w:t>C</w:t>
      </w:r>
      <w:r>
        <w:rPr>
          <w:rFonts w:ascii="宋体" w:hAnsi="宋体"/>
          <w:sz w:val="24"/>
        </w:rPr>
        <w:t>类基金份额与</w:t>
      </w:r>
      <w:r>
        <w:rPr>
          <w:rFonts w:ascii="宋体" w:hAnsi="宋体"/>
          <w:sz w:val="24"/>
        </w:rPr>
        <w:t>其他基金之间的转换不受上述收费模式的限制。</w:t>
      </w:r>
    </w:p>
    <w:p w14:paraId="4AE907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、基金转换采取未知价法，即基金的转换价格以申请受理当日各转出、转入基金的基金份额净值为基础进行计算。（货币市场基金的基金份额净值为固定价</w:t>
      </w:r>
      <w:r>
        <w:rPr>
          <w:rFonts w:ascii="宋体" w:hAnsi="宋体"/>
          <w:sz w:val="24"/>
        </w:rPr>
        <w:t>1.00</w:t>
      </w:r>
      <w:r>
        <w:rPr>
          <w:rFonts w:ascii="宋体" w:hAnsi="宋体"/>
          <w:sz w:val="24"/>
        </w:rPr>
        <w:t>元）。</w:t>
      </w:r>
    </w:p>
    <w:p w14:paraId="68C706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364A78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、转换后，转入基金份额的持有时间将重新计算，即转入基金份额的持有期将自转入基金份额被确认日起重新开始计算。</w:t>
      </w:r>
    </w:p>
    <w:p w14:paraId="61F2BC8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（八）暂停基金转换</w:t>
      </w:r>
    </w:p>
    <w:p w14:paraId="383886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w:t>
      </w:r>
      <w:r>
        <w:rPr>
          <w:rFonts w:ascii="宋体" w:hAnsi="宋体"/>
          <w:sz w:val="24"/>
        </w:rPr>
        <w:t>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14:paraId="6B9EF42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w:t>
      </w:r>
      <w:r>
        <w:rPr>
          <w:rFonts w:ascii="宋体" w:hAnsi="宋体"/>
          <w:sz w:val="24"/>
        </w:rPr>
        <w:t>10%</w:t>
      </w:r>
      <w:r>
        <w:rPr>
          <w:rFonts w:ascii="宋体" w:hAnsi="宋体"/>
          <w:sz w:val="24"/>
        </w:rPr>
        <w:t>时，为巨额赎回。发生巨额赎回时，基金转出与基金赎回具有相同的优先级，本基金管理人可根据基金资产组合情况，决定全额转出或部分转出，并且对于基金转出</w:t>
      </w:r>
      <w:r>
        <w:rPr>
          <w:rFonts w:ascii="宋体" w:hAnsi="宋体"/>
          <w:sz w:val="24"/>
        </w:rPr>
        <w:t>和基金赎回，将采取相同的比例确认。在转出申请得到部分确认的情况下，未确认的转出申请将自动予以撤销，不再视为下一开放日的基金转换申请。</w:t>
      </w:r>
    </w:p>
    <w:p w14:paraId="4C09FD2C"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6425C06" w14:textId="77777777" w:rsidR="002411B3" w:rsidRDefault="00BA6CE7">
      <w:pPr>
        <w:pStyle w:val="1"/>
        <w:snapToGrid w:val="0"/>
        <w:spacing w:beforeLines="0" w:before="240" w:after="240"/>
        <w:rPr>
          <w:rFonts w:ascii="宋体" w:hAnsi="宋体"/>
          <w:szCs w:val="30"/>
        </w:rPr>
      </w:pPr>
      <w:bookmarkStart w:id="13" w:name="_Toc202521658"/>
      <w:r>
        <w:rPr>
          <w:rFonts w:ascii="Times New Roman" w:hAnsi="Times New Roman"/>
          <w:sz w:val="30"/>
        </w:rPr>
        <w:lastRenderedPageBreak/>
        <w:t>十、基金的投资</w:t>
      </w:r>
      <w:bookmarkEnd w:id="13"/>
    </w:p>
    <w:p w14:paraId="2AD1204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（一）投资目标</w:t>
      </w:r>
    </w:p>
    <w:p w14:paraId="33CF41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本基金主要投资于中高等级信用债，力争持续稳定地实现超越业绩比较基准的投资回报。</w:t>
      </w:r>
    </w:p>
    <w:p w14:paraId="311BDCF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（二）投资范围</w:t>
      </w:r>
    </w:p>
    <w:p w14:paraId="14F8CFD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公司债、可分离交易可转债的纯债部分、公开发行的次级债、短期融资券、超短期融资券、中期票据）、资产支持证券、债券回购、银</w:t>
      </w:r>
      <w:r>
        <w:rPr>
          <w:rFonts w:ascii="宋体" w:hAnsi="宋体"/>
          <w:sz w:val="24"/>
        </w:rPr>
        <w:t>行存款（包括定期存款、协议存款、通知存款等）、同业存单、货币市场工具，以及法律法规或中国证监会允许投资的其他金融工具（但须符合中国证监会相关规定）。本基金不投资于股票，也不投资于可转换债券（可分离交易可转债的纯债部分除外）、可交换债券。</w:t>
      </w:r>
    </w:p>
    <w:p w14:paraId="284B2C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670459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w:t>
      </w:r>
      <w:r>
        <w:rPr>
          <w:rFonts w:ascii="宋体" w:hAnsi="宋体"/>
          <w:sz w:val="24"/>
        </w:rPr>
        <w:t>80%</w:t>
      </w:r>
      <w:r>
        <w:rPr>
          <w:rFonts w:ascii="宋体" w:hAnsi="宋体"/>
          <w:sz w:val="24"/>
        </w:rPr>
        <w:t>，其中投资于中高等级信用债的比例不低于非现金基金资产的</w:t>
      </w:r>
      <w:r>
        <w:rPr>
          <w:rFonts w:ascii="宋体" w:hAnsi="宋体"/>
          <w:sz w:val="24"/>
        </w:rPr>
        <w:t>80%</w:t>
      </w:r>
      <w:r>
        <w:rPr>
          <w:rFonts w:ascii="宋体" w:hAnsi="宋体"/>
          <w:sz w:val="24"/>
        </w:rPr>
        <w:t>。本基金持有的现金或到期日在一年以内的政府债券</w:t>
      </w:r>
      <w:r>
        <w:rPr>
          <w:rFonts w:ascii="宋体" w:hAnsi="宋体"/>
          <w:sz w:val="24"/>
        </w:rPr>
        <w:t>的比例合计不低于基金资产净值的</w:t>
      </w:r>
      <w:r>
        <w:rPr>
          <w:rFonts w:ascii="宋体" w:hAnsi="宋体"/>
          <w:sz w:val="24"/>
        </w:rPr>
        <w:t>5%</w:t>
      </w:r>
      <w:r>
        <w:rPr>
          <w:rFonts w:ascii="宋体" w:hAnsi="宋体"/>
          <w:sz w:val="24"/>
        </w:rPr>
        <w:t>，其中现金不包括结算备付金、存出保证金、应收申购款等。</w:t>
      </w:r>
    </w:p>
    <w:p w14:paraId="2CE38C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本基金所指的中高等级信用债为信用评级在</w:t>
      </w:r>
      <w:r>
        <w:rPr>
          <w:rFonts w:ascii="宋体" w:hAnsi="宋体"/>
          <w:sz w:val="24"/>
        </w:rPr>
        <w:t>AA+</w:t>
      </w:r>
      <w:r>
        <w:rPr>
          <w:rFonts w:ascii="宋体" w:hAnsi="宋体"/>
          <w:sz w:val="24"/>
        </w:rPr>
        <w:t>级（含）以上的信用债，包括金融债（不包含政策性金融债）、地方政府债、政府支持债、政府支持机构债、企业债、公司债、可分离交易可转债的纯债部分、公开发行的次级债、短期融资券、超短期融资券、中期票据等非国家信用的债券资产。本基金对中高等级信用债的认定参照基金管理人选定的评级机构出具的信用评级，其中，本基金投资的金融债（不包含政策性金融债）、地方政府债、政府支持债、政府支持机构债、企</w:t>
      </w:r>
      <w:r>
        <w:rPr>
          <w:rFonts w:ascii="宋体" w:hAnsi="宋体"/>
          <w:sz w:val="24"/>
        </w:rPr>
        <w:t>业债、公司债、可分离交易可转债的纯债部分、公开发行的次级债、中期票据等信用债的信用评级依照评级机构出具的债券信用评级；本基金投资的短期融资券、超短期融资券等短期信用债的信用评级依照评级机构出具的主体信用评级。</w:t>
      </w:r>
      <w:r>
        <w:rPr>
          <w:rFonts w:ascii="宋体" w:hAnsi="宋体" w:hint="eastAsia"/>
          <w:sz w:val="24"/>
        </w:rPr>
        <w:t>本基金投资的信用债若无债项评级的，参照主体信用评级。对于债项评级和主体评级均没有的信用债，基金管理人需结合自身的内部信用评级进行独立判断与认定，以基金管理人的</w:t>
      </w:r>
      <w:r>
        <w:rPr>
          <w:rFonts w:ascii="宋体" w:hAnsi="宋体" w:hint="eastAsia"/>
          <w:sz w:val="24"/>
        </w:rPr>
        <w:lastRenderedPageBreak/>
        <w:t>判断结果为准。</w:t>
      </w:r>
    </w:p>
    <w:p w14:paraId="309147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507FBD4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（三）投资策略</w:t>
      </w:r>
    </w:p>
    <w:p w14:paraId="4F8E64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本基金采用的主要策略包括：</w:t>
      </w:r>
    </w:p>
    <w:p w14:paraId="24B181E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）久期调整策略</w:t>
      </w:r>
    </w:p>
    <w:p w14:paraId="48D2204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本基金根据中长期宏观经济走势和经济周期波动趋势，判断债券市场未来的走势，并形成对未来市场利率变动方向的预期，动态调整组合久期。当预期</w:t>
      </w:r>
      <w:r>
        <w:rPr>
          <w:rFonts w:ascii="宋体" w:hAnsi="宋体"/>
          <w:sz w:val="24"/>
        </w:rPr>
        <w:t>收益率曲线下移时，适当提高组合久期，以分享债券市场上涨的收益；当预期收益率曲线上移时，适当降低组合久期，以规避债券市场下跌风险。</w:t>
      </w:r>
    </w:p>
    <w:p w14:paraId="402C88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）债券的类属配置策略</w:t>
      </w:r>
    </w:p>
    <w:p w14:paraId="078CC2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3E045A1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）期限结构配置策略</w:t>
      </w:r>
    </w:p>
    <w:p w14:paraId="48017D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w:t>
      </w:r>
      <w:r>
        <w:rPr>
          <w:rFonts w:ascii="宋体" w:hAnsi="宋体"/>
          <w:sz w:val="24"/>
        </w:rPr>
        <w:t>水平与变动趋势，分析预测收益率曲线的变化，测算子弹、哑铃或梯形等不同期限结构配置策略的风险收益，形成具体的期限结构配置策略。</w:t>
      </w:r>
    </w:p>
    <w:p w14:paraId="7C2FBA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）回购策略</w:t>
      </w:r>
    </w:p>
    <w:p w14:paraId="4E1292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14:paraId="39929A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）信用债券投资策略</w:t>
      </w:r>
    </w:p>
    <w:p w14:paraId="483FA53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本基金通过宏观经济运行、发行主体的发展前景和偿债能力、国家信用支撑等多重因素的综合考量对信用债券进行信用评级，并在信用评级的基础上，建立信用</w:t>
      </w:r>
      <w:r>
        <w:rPr>
          <w:rFonts w:ascii="宋体" w:hAnsi="宋体"/>
          <w:sz w:val="24"/>
        </w:rPr>
        <w:lastRenderedPageBreak/>
        <w:t>债券池；然后基于既定的目标久期、信用利差精选个券进行投资。具体而言，本基金信用债券的投资遵循以下流程：</w:t>
      </w:r>
    </w:p>
    <w:p w14:paraId="4CB1AC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w:t>
      </w:r>
      <w:r>
        <w:rPr>
          <w:rFonts w:ascii="宋体" w:hAnsi="宋体"/>
          <w:sz w:val="24"/>
        </w:rPr>
        <w:t>信用债券研究</w:t>
      </w:r>
    </w:p>
    <w:p w14:paraId="5733D1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信用分析师通过系统的案头研究、走访发行主体、咨询发行中介等各种形式，</w:t>
      </w:r>
      <w:r>
        <w:rPr>
          <w:rFonts w:ascii="宋体" w:hAnsi="宋体"/>
          <w:sz w:val="24"/>
        </w:rPr>
        <w:t>“</w:t>
      </w:r>
      <w:r>
        <w:rPr>
          <w:rFonts w:ascii="宋体" w:hAnsi="宋体"/>
          <w:sz w:val="24"/>
        </w:rPr>
        <w:t>自上而下</w:t>
      </w:r>
      <w:r>
        <w:rPr>
          <w:rFonts w:ascii="宋体" w:hAnsi="宋体"/>
          <w:sz w:val="24"/>
        </w:rPr>
        <w:t>”</w:t>
      </w:r>
      <w:r>
        <w:rPr>
          <w:rFonts w:ascii="宋体" w:hAnsi="宋体"/>
          <w:sz w:val="24"/>
        </w:rPr>
        <w:t>地分析宏观经济运行趋势、行业（或产业）经济前景，</w:t>
      </w:r>
      <w:r>
        <w:rPr>
          <w:rFonts w:ascii="宋体" w:hAnsi="宋体"/>
          <w:sz w:val="24"/>
        </w:rPr>
        <w:t>“</w:t>
      </w:r>
      <w:r>
        <w:rPr>
          <w:rFonts w:ascii="宋体" w:hAnsi="宋体"/>
          <w:sz w:val="24"/>
        </w:rPr>
        <w:t>自下而上</w:t>
      </w:r>
      <w:r>
        <w:rPr>
          <w:rFonts w:ascii="宋体" w:hAnsi="宋体"/>
          <w:sz w:val="24"/>
        </w:rPr>
        <w:t>”</w:t>
      </w:r>
      <w:r>
        <w:rPr>
          <w:rFonts w:ascii="宋体" w:hAnsi="宋体"/>
          <w:sz w:val="24"/>
        </w:rPr>
        <w:t>地分析发行主体的发展前景、偿债能力、国家信用支撑等。通过交银施罗德的信用债券信用评级指标体系，对信用债券进行信用</w:t>
      </w:r>
      <w:r>
        <w:rPr>
          <w:rFonts w:ascii="宋体" w:hAnsi="宋体"/>
          <w:sz w:val="24"/>
        </w:rPr>
        <w:t>评级，并在信用评级的基础上，建立本基金的信用债券池。</w:t>
      </w:r>
    </w:p>
    <w:p w14:paraId="79F0EA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w:t>
      </w:r>
      <w:r>
        <w:rPr>
          <w:rFonts w:ascii="宋体" w:hAnsi="宋体"/>
          <w:sz w:val="24"/>
        </w:rPr>
        <w:t>信用债券筛选</w:t>
      </w:r>
    </w:p>
    <w:p w14:paraId="2A5F7DE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本基金从信用债券池中精选债券构建信用债券投资组合，债券筛选主要考虑以下因素：</w:t>
      </w:r>
    </w:p>
    <w:p w14:paraId="2C6D89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w:t>
      </w:r>
      <w:r>
        <w:rPr>
          <w:rFonts w:ascii="宋体" w:hAnsi="宋体"/>
          <w:sz w:val="24"/>
        </w:rPr>
        <w:t>、信用债券信用评级的变化。</w:t>
      </w:r>
    </w:p>
    <w:p w14:paraId="01425A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w:t>
      </w:r>
      <w:r>
        <w:rPr>
          <w:rFonts w:ascii="宋体" w:hAnsi="宋体"/>
          <w:sz w:val="24"/>
        </w:rPr>
        <w:t>、不同信用等级的信用债券，以及同一信用等级不同标的债券之间的信用利差变化。本基金密切关注供求关系、税收、利率、投资人结构与行为以及市场的深度、广度和制度建设等因素对信用利差的影响，对个券进行有效的信用利差交易。</w:t>
      </w:r>
    </w:p>
    <w:p w14:paraId="699DC6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）资产支持证券投资策略</w:t>
      </w:r>
    </w:p>
    <w:p w14:paraId="64D3835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本基金将通过宏观经济、提前偿还率、资产池结构及资产池资产所在行业景气变化等因素的研究，预测资</w:t>
      </w:r>
      <w:r>
        <w:rPr>
          <w:rFonts w:ascii="宋体" w:hAnsi="宋体"/>
          <w:sz w:val="24"/>
        </w:rPr>
        <w:t>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163A5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未来，随着投资工具的发展和丰富，基金管理人可以在不改变投资目标的前提下，相应调整和更新相关投资策略，并在招募说明书中更新，而无需召开基金份额持有人大会。</w:t>
      </w:r>
    </w:p>
    <w:p w14:paraId="06BF15B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（四）投资限制</w:t>
      </w:r>
    </w:p>
    <w:p w14:paraId="6BB130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、组合限制</w:t>
      </w:r>
    </w:p>
    <w:p w14:paraId="07A527D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w:t>
      </w:r>
      <w:r>
        <w:rPr>
          <w:rFonts w:ascii="宋体" w:hAnsi="宋体"/>
          <w:sz w:val="24"/>
        </w:rPr>
        <w:t>应遵循以下限制：</w:t>
      </w:r>
    </w:p>
    <w:p w14:paraId="65F6A9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）本基金投资于债券资产的比例不低于基金资产的</w:t>
      </w:r>
      <w:r>
        <w:rPr>
          <w:rFonts w:ascii="宋体" w:hAnsi="宋体"/>
          <w:sz w:val="24"/>
        </w:rPr>
        <w:t>80%</w:t>
      </w:r>
      <w:r>
        <w:rPr>
          <w:rFonts w:ascii="宋体" w:hAnsi="宋体"/>
          <w:sz w:val="24"/>
        </w:rPr>
        <w:t>，其中投资于中高等级信用债的比例不低于非现金基金资产的</w:t>
      </w:r>
      <w:r>
        <w:rPr>
          <w:rFonts w:ascii="宋体" w:hAnsi="宋体"/>
          <w:sz w:val="24"/>
        </w:rPr>
        <w:t>80%</w:t>
      </w:r>
      <w:r>
        <w:rPr>
          <w:rFonts w:ascii="宋体" w:hAnsi="宋体"/>
          <w:sz w:val="24"/>
        </w:rPr>
        <w:t>；</w:t>
      </w:r>
    </w:p>
    <w:p w14:paraId="42C9669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2</w:t>
      </w:r>
      <w:r>
        <w:rPr>
          <w:rFonts w:ascii="宋体" w:hAnsi="宋体"/>
          <w:sz w:val="24"/>
        </w:rPr>
        <w:t>）本基金持有的现金或者到期日在一年以内的政府债券的投资比例合计不低于基金资产净值的</w:t>
      </w:r>
      <w:r>
        <w:rPr>
          <w:rFonts w:ascii="宋体" w:hAnsi="宋体"/>
          <w:sz w:val="24"/>
        </w:rPr>
        <w:t>5%</w:t>
      </w:r>
      <w:r>
        <w:rPr>
          <w:rFonts w:ascii="宋体" w:hAnsi="宋体"/>
          <w:sz w:val="24"/>
        </w:rPr>
        <w:t>，其中现金不包括结算备付金、存出保证金、应收申购款等；</w:t>
      </w:r>
    </w:p>
    <w:p w14:paraId="43712EC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）本基金持有一家公司发行的证券，其市值不得超过基金资产净值的</w:t>
      </w:r>
      <w:r>
        <w:rPr>
          <w:rFonts w:ascii="宋体" w:hAnsi="宋体"/>
          <w:sz w:val="24"/>
        </w:rPr>
        <w:t>10%</w:t>
      </w:r>
      <w:r>
        <w:rPr>
          <w:rFonts w:ascii="宋体" w:hAnsi="宋体"/>
          <w:sz w:val="24"/>
        </w:rPr>
        <w:t>；</w:t>
      </w:r>
    </w:p>
    <w:p w14:paraId="681C81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）本基金管理人管理的全部基金持有一家公司发行的证券，不超过该证券的</w:t>
      </w:r>
      <w:r>
        <w:rPr>
          <w:rFonts w:ascii="宋体" w:hAnsi="宋体"/>
          <w:sz w:val="24"/>
        </w:rPr>
        <w:t>10</w:t>
      </w:r>
      <w:r>
        <w:rPr>
          <w:rFonts w:ascii="宋体" w:hAnsi="宋体"/>
          <w:sz w:val="24"/>
        </w:rPr>
        <w:t>％，完全按照有关指数的构成比例进行证券投资的基金品种可以不受此条款规定的比例限制；</w:t>
      </w:r>
    </w:p>
    <w:p w14:paraId="28A1EDD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）本基金投资于同一原始权益人的各类资产支持证券的比例，不得超过基金资产净值的</w:t>
      </w:r>
      <w:r>
        <w:rPr>
          <w:rFonts w:ascii="宋体" w:hAnsi="宋体"/>
          <w:sz w:val="24"/>
        </w:rPr>
        <w:t>10</w:t>
      </w:r>
      <w:r>
        <w:rPr>
          <w:rFonts w:ascii="宋体" w:hAnsi="宋体"/>
          <w:sz w:val="24"/>
        </w:rPr>
        <w:t>％；</w:t>
      </w:r>
    </w:p>
    <w:p w14:paraId="672E03C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）本基金持有的全部资产支持证券，其市值不得超过基金资产净值的</w:t>
      </w:r>
      <w:r>
        <w:rPr>
          <w:rFonts w:ascii="宋体" w:hAnsi="宋体"/>
          <w:sz w:val="24"/>
        </w:rPr>
        <w:t>20</w:t>
      </w:r>
      <w:r>
        <w:rPr>
          <w:rFonts w:ascii="宋体" w:hAnsi="宋体"/>
          <w:sz w:val="24"/>
        </w:rPr>
        <w:t>％；</w:t>
      </w:r>
    </w:p>
    <w:p w14:paraId="6B52FB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）本基金持有的同一（指同一信用级别）资产支持证券的比例，不得超过该资产支持证券规模的</w:t>
      </w:r>
      <w:r>
        <w:rPr>
          <w:rFonts w:ascii="宋体" w:hAnsi="宋体"/>
          <w:sz w:val="24"/>
        </w:rPr>
        <w:t>10</w:t>
      </w:r>
      <w:r>
        <w:rPr>
          <w:rFonts w:ascii="宋体" w:hAnsi="宋体"/>
          <w:sz w:val="24"/>
        </w:rPr>
        <w:t>％；</w:t>
      </w:r>
    </w:p>
    <w:p w14:paraId="697C9A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sz w:val="24"/>
        </w:rPr>
        <w:t>％；</w:t>
      </w:r>
    </w:p>
    <w:p w14:paraId="6C2F486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）本基金应投资于信用级别评级为</w:t>
      </w:r>
      <w:r>
        <w:rPr>
          <w:rFonts w:ascii="宋体" w:hAnsi="宋体"/>
          <w:sz w:val="24"/>
        </w:rPr>
        <w:t>BBB</w:t>
      </w:r>
      <w:r>
        <w:rPr>
          <w:rFonts w:ascii="宋体" w:hAnsi="宋体"/>
          <w:sz w:val="24"/>
        </w:rPr>
        <w:t>以上（含</w:t>
      </w:r>
      <w:r>
        <w:rPr>
          <w:rFonts w:ascii="宋体" w:hAnsi="宋体"/>
          <w:sz w:val="24"/>
        </w:rPr>
        <w:t>BBB</w:t>
      </w:r>
      <w:r>
        <w:rPr>
          <w:rFonts w:ascii="宋体" w:hAnsi="宋体"/>
          <w:sz w:val="24"/>
        </w:rPr>
        <w:t>）的资产支持证券。基金持有资产支持证券期间，如果其信用等级下降、不再符合投资</w:t>
      </w:r>
      <w:r>
        <w:rPr>
          <w:rFonts w:ascii="宋体" w:hAnsi="宋体"/>
          <w:sz w:val="24"/>
        </w:rPr>
        <w:t>标准，应在评级报告发布之日起</w:t>
      </w:r>
      <w:r>
        <w:rPr>
          <w:rFonts w:ascii="宋体" w:hAnsi="宋体"/>
          <w:sz w:val="24"/>
        </w:rPr>
        <w:t>3</w:t>
      </w:r>
      <w:r>
        <w:rPr>
          <w:rFonts w:ascii="宋体" w:hAnsi="宋体"/>
          <w:sz w:val="24"/>
        </w:rPr>
        <w:t>个月内予以全部卖出；</w:t>
      </w:r>
    </w:p>
    <w:p w14:paraId="6CFA7E0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）本基金进入全国银行间同业市场进行债券回购的资金余额不得超过基金资产净值的</w:t>
      </w:r>
      <w:r>
        <w:rPr>
          <w:rFonts w:ascii="宋体" w:hAnsi="宋体"/>
          <w:sz w:val="24"/>
        </w:rPr>
        <w:t>40%</w:t>
      </w:r>
      <w:r>
        <w:rPr>
          <w:rFonts w:ascii="宋体" w:hAnsi="宋体"/>
          <w:sz w:val="24"/>
        </w:rPr>
        <w:t>，进入全国银行间同业市场进行债券回购的最长期限为</w:t>
      </w:r>
      <w:r>
        <w:rPr>
          <w:rFonts w:ascii="宋体" w:hAnsi="宋体"/>
          <w:sz w:val="24"/>
        </w:rPr>
        <w:t>1</w:t>
      </w:r>
      <w:r>
        <w:rPr>
          <w:rFonts w:ascii="宋体" w:hAnsi="宋体"/>
          <w:sz w:val="24"/>
        </w:rPr>
        <w:t>年，债券回购到期后不得展期；</w:t>
      </w:r>
    </w:p>
    <w:p w14:paraId="60C192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）本基金主动投资于流动性受限资产的市值合计不得超过该基金资产净值的</w:t>
      </w:r>
      <w:r>
        <w:rPr>
          <w:rFonts w:ascii="宋体" w:hAnsi="宋体"/>
          <w:sz w:val="24"/>
        </w:rPr>
        <w:t>15%</w:t>
      </w:r>
      <w:r>
        <w:rPr>
          <w:rFonts w:ascii="宋体" w:hAnsi="宋体"/>
          <w:sz w:val="24"/>
        </w:rPr>
        <w:t>；因证券市场波动、基金规模变动等基金管理人之外的因素致使基金不符合该比例限制的，基金管理人不得主动新增流动性受限资产的投资；</w:t>
      </w:r>
    </w:p>
    <w:p w14:paraId="7D2DA9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）本基金与私募类证券资管产品及中国证监会认定的其他主体为交易对手开展逆回购交易的，可</w:t>
      </w:r>
      <w:r>
        <w:rPr>
          <w:rFonts w:ascii="宋体" w:hAnsi="宋体"/>
          <w:sz w:val="24"/>
        </w:rPr>
        <w:t>接受质押品的资质要求应当与基金合同约定的投资范围保持一致；</w:t>
      </w:r>
    </w:p>
    <w:p w14:paraId="5BC57C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）本基金资产总值不超过基金资产净值的</w:t>
      </w:r>
      <w:r>
        <w:rPr>
          <w:rFonts w:ascii="宋体" w:hAnsi="宋体"/>
          <w:sz w:val="24"/>
        </w:rPr>
        <w:t>140%</w:t>
      </w:r>
      <w:r>
        <w:rPr>
          <w:rFonts w:ascii="宋体" w:hAnsi="宋体"/>
          <w:sz w:val="24"/>
        </w:rPr>
        <w:t>；</w:t>
      </w:r>
    </w:p>
    <w:p w14:paraId="42540E9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）法律法规及中国证监会规定的和《基金合同》约定的其他投资限制。</w:t>
      </w:r>
    </w:p>
    <w:p w14:paraId="2DC17F3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w:t>
      </w:r>
      <w:r>
        <w:rPr>
          <w:rFonts w:ascii="宋体" w:hAnsi="宋体"/>
          <w:sz w:val="24"/>
        </w:rPr>
        <w:t>2</w:t>
      </w:r>
      <w:r>
        <w:rPr>
          <w:rFonts w:ascii="宋体" w:hAnsi="宋体"/>
          <w:sz w:val="24"/>
        </w:rPr>
        <w:t>）、（</w:t>
      </w:r>
      <w:r>
        <w:rPr>
          <w:rFonts w:ascii="宋体" w:hAnsi="宋体"/>
          <w:sz w:val="24"/>
        </w:rPr>
        <w:t>9</w:t>
      </w:r>
      <w:r>
        <w:rPr>
          <w:rFonts w:ascii="宋体" w:hAnsi="宋体"/>
          <w:sz w:val="24"/>
        </w:rPr>
        <w:t>）、（</w:t>
      </w:r>
      <w:r>
        <w:rPr>
          <w:rFonts w:ascii="宋体" w:hAnsi="宋体"/>
          <w:sz w:val="24"/>
        </w:rPr>
        <w:t>11</w:t>
      </w:r>
      <w:r>
        <w:rPr>
          <w:rFonts w:ascii="宋体" w:hAnsi="宋体"/>
          <w:sz w:val="24"/>
        </w:rPr>
        <w:t>）、（</w:t>
      </w:r>
      <w:r>
        <w:rPr>
          <w:rFonts w:ascii="宋体" w:hAnsi="宋体"/>
          <w:sz w:val="24"/>
        </w:rPr>
        <w:t>12</w:t>
      </w:r>
      <w:r>
        <w:rPr>
          <w:rFonts w:ascii="宋体" w:hAnsi="宋体"/>
          <w:sz w:val="24"/>
        </w:rPr>
        <w:t>）情形之外，因证券市场波动、证券发行人合</w:t>
      </w:r>
      <w:r>
        <w:rPr>
          <w:rFonts w:ascii="宋体" w:hAnsi="宋体"/>
          <w:sz w:val="24"/>
        </w:rPr>
        <w:lastRenderedPageBreak/>
        <w:t>并、基金规模变动等基金管理人之外的因素致使基金投资比例不符合上述规定投资比例的，基金管理人应当在</w:t>
      </w:r>
      <w:r>
        <w:rPr>
          <w:rFonts w:ascii="宋体" w:hAnsi="宋体"/>
          <w:sz w:val="24"/>
        </w:rPr>
        <w:t>10</w:t>
      </w:r>
      <w:r>
        <w:rPr>
          <w:rFonts w:ascii="宋体" w:hAnsi="宋体"/>
          <w:sz w:val="24"/>
        </w:rPr>
        <w:t>个交易日内进行调整，但中国证监会规定的特殊情形除外。法律法规另有规定的，从其规定。</w:t>
      </w:r>
    </w:p>
    <w:p w14:paraId="733952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w:t>
      </w:r>
      <w:r>
        <w:rPr>
          <w:rFonts w:ascii="宋体" w:hAnsi="宋体"/>
          <w:sz w:val="24"/>
        </w:rPr>
        <w:t>6</w:t>
      </w:r>
      <w:r>
        <w:rPr>
          <w:rFonts w:ascii="宋体" w:hAnsi="宋体"/>
          <w:sz w:val="24"/>
        </w:rPr>
        <w:t>个月内使基金的投资组合比例符合</w:t>
      </w:r>
      <w:r>
        <w:rPr>
          <w:rFonts w:ascii="宋体" w:hAnsi="宋体"/>
          <w:sz w:val="24"/>
        </w:rPr>
        <w:t>基金合同的有关约定。在上述期间内，本基金的投资范围、投资策略应当符合基金合同的约定。基金托管人对基金的投资的监督与检查自基金合同生效之日起开始。</w:t>
      </w:r>
    </w:p>
    <w:p w14:paraId="79262C9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488A54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、禁止行为</w:t>
      </w:r>
    </w:p>
    <w:p w14:paraId="7DD7DD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5D5D64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）承销证券；</w:t>
      </w:r>
    </w:p>
    <w:p w14:paraId="62F35F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）违反规定向他人贷款或者提供担保；</w:t>
      </w:r>
    </w:p>
    <w:p w14:paraId="2D9C183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）从事承担无限责任的投资；</w:t>
      </w:r>
    </w:p>
    <w:p w14:paraId="5858D6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）买卖其他基金份额，但</w:t>
      </w:r>
      <w:r>
        <w:rPr>
          <w:rFonts w:ascii="宋体" w:hAnsi="宋体"/>
          <w:sz w:val="24"/>
        </w:rPr>
        <w:t>是中国证监会另有规定的除外；</w:t>
      </w:r>
    </w:p>
    <w:p w14:paraId="6316EC2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）向其基金管理人、基金托管人出资；</w:t>
      </w:r>
    </w:p>
    <w:p w14:paraId="016DB3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）从事内幕交易、操纵证券交易价格及其他不正当的证券交易活动；</w:t>
      </w:r>
    </w:p>
    <w:p w14:paraId="6883D6A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）法律、行政法规和中国证监会规定禁止的其他活动。</w:t>
      </w:r>
    </w:p>
    <w:p w14:paraId="24CF9E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w:t>
      </w:r>
      <w:r>
        <w:rPr>
          <w:rFonts w:ascii="宋体" w:hAnsi="宋体"/>
          <w:sz w:val="24"/>
        </w:rPr>
        <w:t>金托管人的同意，并按法律法规予以披露。重大关联交易应提交基金管理人董事会审议，并经过三分之二以上的独立董事通过。基金管理人董事会应至少每半年对关联交易事项进行审查。</w:t>
      </w:r>
    </w:p>
    <w:p w14:paraId="4C1043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27063D0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（五）业绩比较基准</w:t>
      </w:r>
    </w:p>
    <w:p w14:paraId="355F43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中债高信用等级债券财富指数收益率</w:t>
      </w:r>
      <w:r>
        <w:rPr>
          <w:rFonts w:ascii="宋体" w:hAnsi="宋体"/>
          <w:sz w:val="24"/>
        </w:rPr>
        <w:t>×95%</w:t>
      </w:r>
      <w:r>
        <w:rPr>
          <w:rFonts w:ascii="宋体" w:hAnsi="宋体"/>
          <w:sz w:val="24"/>
        </w:rPr>
        <w:t>＋人民币银行活期存款利率（税后）</w:t>
      </w:r>
      <w:r>
        <w:rPr>
          <w:rFonts w:ascii="宋体" w:hAnsi="宋体"/>
          <w:sz w:val="24"/>
        </w:rPr>
        <w:t>×5%</w:t>
      </w:r>
    </w:p>
    <w:p w14:paraId="22A4D48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中债高信用等级债券财富指数由中央国债登记结算公司编制，该指数旨在综合反映较高信用等级债券全市场整体价格和投资回报情况。该指数涵盖银行间市场和交易所市场，指数成份券种主要包括中期票据、短期融资券、企业债、公司债等固定收益品种。该指数具有广泛的市场代表性，能够反映较高信用等级债券市场总体走势，适合作为本基金的业绩比较基准。</w:t>
      </w:r>
    </w:p>
    <w:p w14:paraId="287B3C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在按照监管部门要求履</w:t>
      </w:r>
      <w:r>
        <w:rPr>
          <w:rFonts w:ascii="宋体" w:hAnsi="宋体"/>
          <w:sz w:val="24"/>
        </w:rPr>
        <w:t>行适当程序后调整或变更本基金的业绩比较基准并及时公告，而无需召开基金份额持有人大会。</w:t>
      </w:r>
    </w:p>
    <w:p w14:paraId="1AD2B02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（六）风险收益特征</w:t>
      </w:r>
    </w:p>
    <w:p w14:paraId="1FBDA2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本基金是一只债券型基金，其预期风险与预期收益高于货币市场基金，低于混合型基金和股票型基金。</w:t>
      </w:r>
    </w:p>
    <w:p w14:paraId="49123D9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（七）基金管理人代表基金行使债权人权利的处理原则及方法</w:t>
      </w:r>
    </w:p>
    <w:p w14:paraId="5BD1841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、基金管理人按照国家有关规定代表基金独立行使债权人权利，保护基金份额持有人的利益；</w:t>
      </w:r>
    </w:p>
    <w:p w14:paraId="0FC4AB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、有利于基金财产的安全与增值；</w:t>
      </w:r>
    </w:p>
    <w:p w14:paraId="0703EFC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、不通过关联交易为自身、雇员、授权代理人或任何存在利害关系的第三人牟取任何不当利益。</w:t>
      </w:r>
    </w:p>
    <w:p w14:paraId="3D12488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（八）侧袋机制的实施和投资运作安排</w:t>
      </w:r>
    </w:p>
    <w:p w14:paraId="01748B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w:t>
      </w:r>
      <w:r>
        <w:rPr>
          <w:rFonts w:ascii="宋体" w:hAnsi="宋体"/>
          <w:sz w:val="24"/>
        </w:rPr>
        <w:t>资产且存在或潜在大额赎回申请时，根据最大限度保护基金份额持有人利益的原则，基金管理人经与基金托管人协商一致，并咨询会计师事务所意见后，可以依照法律法规及基金合同的约定启用侧袋机制。</w:t>
      </w:r>
    </w:p>
    <w:p w14:paraId="6F10EE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14:paraId="7791E3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w:t>
      </w:r>
    </w:p>
    <w:p w14:paraId="32CF871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（九）基金投资组合报告</w:t>
      </w:r>
    </w:p>
    <w:p w14:paraId="5E7DA4B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w:t>
      </w:r>
      <w:r>
        <w:rPr>
          <w:rFonts w:ascii="宋体" w:hAnsi="宋体"/>
          <w:sz w:val="24"/>
        </w:rPr>
        <w:t>不存在虚假记载、误导性陈述或重大遗漏</w:t>
      </w:r>
      <w:r>
        <w:rPr>
          <w:rFonts w:ascii="宋体" w:hAnsi="宋体"/>
          <w:sz w:val="24"/>
        </w:rPr>
        <w:t>,</w:t>
      </w:r>
      <w:r>
        <w:rPr>
          <w:rFonts w:ascii="宋体" w:hAnsi="宋体"/>
          <w:sz w:val="24"/>
        </w:rPr>
        <w:t>并对其内容的真实性、准确性和完整性承担个别及连带责任。</w:t>
      </w:r>
    </w:p>
    <w:p w14:paraId="1524DEE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本基金托管人中国农业银行股份有限公司根据本基金合同规定</w:t>
      </w:r>
      <w:r>
        <w:rPr>
          <w:rFonts w:ascii="宋体" w:hAnsi="宋体"/>
          <w:sz w:val="24"/>
        </w:rPr>
        <w:t>,2025</w:t>
      </w:r>
      <w:r>
        <w:rPr>
          <w:rFonts w:ascii="宋体" w:hAnsi="宋体"/>
          <w:sz w:val="24"/>
        </w:rPr>
        <w:t>年</w:t>
      </w:r>
      <w:r>
        <w:rPr>
          <w:rFonts w:ascii="宋体" w:hAnsi="宋体"/>
          <w:sz w:val="24"/>
        </w:rPr>
        <w:t>04</w:t>
      </w:r>
      <w:r>
        <w:rPr>
          <w:rFonts w:ascii="宋体" w:hAnsi="宋体"/>
          <w:sz w:val="24"/>
        </w:rPr>
        <w:t>月</w:t>
      </w:r>
      <w:r>
        <w:rPr>
          <w:rFonts w:ascii="宋体" w:hAnsi="宋体"/>
          <w:sz w:val="24"/>
        </w:rPr>
        <w:t>18</w:t>
      </w:r>
      <w:r>
        <w:rPr>
          <w:rFonts w:ascii="宋体" w:hAnsi="宋体"/>
          <w:sz w:val="24"/>
        </w:rPr>
        <w:t>日于复核了本报告中的财务指标、净值表现和投资组合报告等内容，保证复核内容不存在虚假记载、误导性陈述或者重大遗漏。</w:t>
      </w:r>
    </w:p>
    <w:p w14:paraId="4287A5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本报告期自</w:t>
      </w:r>
      <w:r>
        <w:rPr>
          <w:rFonts w:ascii="宋体" w:hAnsi="宋体"/>
          <w:sz w:val="24"/>
        </w:rPr>
        <w:t>2025</w:t>
      </w:r>
      <w:r>
        <w:rPr>
          <w:rFonts w:ascii="宋体" w:hAnsi="宋体"/>
          <w:sz w:val="24"/>
        </w:rPr>
        <w:t>年</w:t>
      </w:r>
      <w:r>
        <w:rPr>
          <w:rFonts w:ascii="宋体" w:hAnsi="宋体"/>
          <w:sz w:val="24"/>
        </w:rPr>
        <w:t>01</w:t>
      </w:r>
      <w:r>
        <w:rPr>
          <w:rFonts w:ascii="宋体" w:hAnsi="宋体"/>
          <w:sz w:val="24"/>
        </w:rPr>
        <w:t>月</w:t>
      </w:r>
      <w:r>
        <w:rPr>
          <w:rFonts w:ascii="宋体" w:hAnsi="宋体"/>
          <w:sz w:val="24"/>
        </w:rPr>
        <w:t>01</w:t>
      </w:r>
      <w:r>
        <w:rPr>
          <w:rFonts w:ascii="宋体" w:hAnsi="宋体"/>
          <w:sz w:val="24"/>
        </w:rPr>
        <w:t>日起至</w:t>
      </w:r>
      <w:r>
        <w:rPr>
          <w:rFonts w:ascii="宋体" w:hAnsi="宋体"/>
          <w:sz w:val="24"/>
        </w:rPr>
        <w:t>03</w:t>
      </w:r>
      <w:r>
        <w:rPr>
          <w:rFonts w:ascii="宋体" w:hAnsi="宋体"/>
          <w:sz w:val="24"/>
        </w:rPr>
        <w:t>月</w:t>
      </w:r>
      <w:r>
        <w:rPr>
          <w:rFonts w:ascii="宋体" w:hAnsi="宋体"/>
          <w:sz w:val="24"/>
        </w:rPr>
        <w:t>31</w:t>
      </w:r>
      <w:r>
        <w:rPr>
          <w:rFonts w:ascii="宋体" w:hAnsi="宋体"/>
          <w:sz w:val="24"/>
        </w:rPr>
        <w:t>日止。本报告财务资料未经审计师审计。</w:t>
      </w:r>
    </w:p>
    <w:p w14:paraId="68E7BC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、报告期末基金资产组合情况</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2411B3" w14:paraId="2314786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D3AAB9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ED4DB26"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6E83C3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465AC3C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411B3" w14:paraId="199CE88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5B4D6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40B611C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23D6096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53411D4"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34119BE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39250B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0F2EB6F3"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0E2D4C8A"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ADE0FD0"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76EEC96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2975BD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23AC10C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1B0CF79E"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B8420E5"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242E0B7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1B0866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2C21C49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267E8E4C"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3,035,001,974.82</w:t>
            </w:r>
          </w:p>
        </w:tc>
        <w:tc>
          <w:tcPr>
            <w:tcW w:w="400" w:type="pct"/>
            <w:tcBorders>
              <w:top w:val="single" w:sz="4" w:space="0" w:color="auto"/>
              <w:left w:val="single" w:sz="4" w:space="0" w:color="auto"/>
              <w:bottom w:val="single" w:sz="4" w:space="0" w:color="auto"/>
              <w:right w:val="single" w:sz="4" w:space="0" w:color="auto"/>
            </w:tcBorders>
            <w:vAlign w:val="center"/>
          </w:tcPr>
          <w:p w14:paraId="6025C61C"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99.17</w:t>
            </w:r>
          </w:p>
        </w:tc>
      </w:tr>
      <w:tr w:rsidR="002411B3" w14:paraId="35A382F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57AD8A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24D570C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2B5374E8"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3,035,001,974.82</w:t>
            </w:r>
          </w:p>
        </w:tc>
        <w:tc>
          <w:tcPr>
            <w:tcW w:w="400" w:type="pct"/>
            <w:tcBorders>
              <w:top w:val="single" w:sz="4" w:space="0" w:color="auto"/>
              <w:left w:val="single" w:sz="4" w:space="0" w:color="auto"/>
              <w:bottom w:val="single" w:sz="4" w:space="0" w:color="auto"/>
              <w:right w:val="single" w:sz="4" w:space="0" w:color="auto"/>
            </w:tcBorders>
            <w:vAlign w:val="center"/>
          </w:tcPr>
          <w:p w14:paraId="3BB8A520"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99.17</w:t>
            </w:r>
          </w:p>
        </w:tc>
      </w:tr>
      <w:tr w:rsidR="002411B3" w14:paraId="1C53B19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E4C68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FA0FFB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6E7FAF34"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3714AEA"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0476D3F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D0219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38A5080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2E32BA08"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B17A08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168E4B3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AE215D"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7C42D1E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14:paraId="2A7CC645"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FCF1611"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0FADCE7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BE849E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49691E3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60B89CB6"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23,009,096.06</w:t>
            </w:r>
          </w:p>
        </w:tc>
        <w:tc>
          <w:tcPr>
            <w:tcW w:w="400" w:type="pct"/>
            <w:tcBorders>
              <w:top w:val="single" w:sz="4" w:space="0" w:color="auto"/>
              <w:left w:val="single" w:sz="4" w:space="0" w:color="auto"/>
              <w:bottom w:val="single" w:sz="4" w:space="0" w:color="auto"/>
              <w:right w:val="single" w:sz="4" w:space="0" w:color="auto"/>
            </w:tcBorders>
            <w:vAlign w:val="center"/>
          </w:tcPr>
          <w:p w14:paraId="2560DA92"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0.75</w:t>
            </w:r>
          </w:p>
        </w:tc>
      </w:tr>
      <w:tr w:rsidR="002411B3" w14:paraId="6B15614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D639E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A78B6E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140E71AD"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92BA995"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37482DD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E423B8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3DF1CC2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003203E2"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2,439,995.01</w:t>
            </w:r>
          </w:p>
        </w:tc>
        <w:tc>
          <w:tcPr>
            <w:tcW w:w="400" w:type="pct"/>
            <w:tcBorders>
              <w:top w:val="single" w:sz="4" w:space="0" w:color="auto"/>
              <w:left w:val="single" w:sz="4" w:space="0" w:color="auto"/>
              <w:bottom w:val="single" w:sz="4" w:space="0" w:color="auto"/>
              <w:right w:val="single" w:sz="4" w:space="0" w:color="auto"/>
            </w:tcBorders>
            <w:vAlign w:val="center"/>
          </w:tcPr>
          <w:p w14:paraId="19CBB76A"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0.08</w:t>
            </w:r>
          </w:p>
        </w:tc>
      </w:tr>
      <w:tr w:rsidR="002411B3" w14:paraId="386BC25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71321C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64045DD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16919718"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1,106.67</w:t>
            </w:r>
          </w:p>
        </w:tc>
        <w:tc>
          <w:tcPr>
            <w:tcW w:w="400" w:type="pct"/>
            <w:tcBorders>
              <w:top w:val="single" w:sz="4" w:space="0" w:color="auto"/>
              <w:left w:val="single" w:sz="4" w:space="0" w:color="auto"/>
              <w:bottom w:val="single" w:sz="4" w:space="0" w:color="auto"/>
              <w:right w:val="single" w:sz="4" w:space="0" w:color="auto"/>
            </w:tcBorders>
            <w:vAlign w:val="center"/>
          </w:tcPr>
          <w:p w14:paraId="6A5E22D9"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2411B3" w14:paraId="6123F32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0B3F7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5F8EE3D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07C6A11F"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3,060,452,172.56</w:t>
            </w:r>
          </w:p>
        </w:tc>
        <w:tc>
          <w:tcPr>
            <w:tcW w:w="400" w:type="pct"/>
            <w:tcBorders>
              <w:top w:val="single" w:sz="4" w:space="0" w:color="auto"/>
              <w:left w:val="single" w:sz="4" w:space="0" w:color="auto"/>
              <w:bottom w:val="single" w:sz="4" w:space="0" w:color="auto"/>
              <w:right w:val="single" w:sz="4" w:space="0" w:color="auto"/>
            </w:tcBorders>
            <w:vAlign w:val="center"/>
          </w:tcPr>
          <w:p w14:paraId="6A1FCDB8"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3B34A4F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、报告期末按行业分类的股票投资组合</w:t>
      </w:r>
    </w:p>
    <w:p w14:paraId="6DA98A9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2.1 </w:t>
      </w:r>
      <w:r>
        <w:rPr>
          <w:rFonts w:ascii="宋体" w:hAnsi="宋体"/>
          <w:sz w:val="24"/>
        </w:rPr>
        <w:t>报告期末按行业分类的境内股票投资组合</w:t>
      </w:r>
    </w:p>
    <w:p w14:paraId="1C36D4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E83A9F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2.2 </w:t>
      </w:r>
      <w:r>
        <w:rPr>
          <w:rFonts w:ascii="宋体" w:hAnsi="宋体"/>
          <w:sz w:val="24"/>
        </w:rPr>
        <w:t>报告期末按行业分类的港股通投资股票投资组合</w:t>
      </w:r>
    </w:p>
    <w:p w14:paraId="1C1D272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574C2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、期末按公允价值占基金资产净值比例大小排序的股票投资明细</w:t>
      </w:r>
    </w:p>
    <w:p w14:paraId="0B4E5B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3.1 </w:t>
      </w:r>
      <w:r>
        <w:rPr>
          <w:rFonts w:ascii="宋体" w:hAnsi="宋体"/>
          <w:sz w:val="24"/>
        </w:rPr>
        <w:t>报告期末按公允价值占基金资产净值比例大小排序的前十名股票投资明细</w:t>
      </w:r>
    </w:p>
    <w:p w14:paraId="581F46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2EEC91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、报告期末按债券品种分类的债券投资组合</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2411B3" w14:paraId="087F400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5DA5E07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FA0C591"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5C8161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3803E54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411B3" w14:paraId="6651D71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4C88D69"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CE5BD73"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14:paraId="44A1C97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DBB5252"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05EB641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CB4D216"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2</w:t>
            </w:r>
          </w:p>
        </w:tc>
        <w:tc>
          <w:tcPr>
            <w:tcW w:w="750" w:type="pct"/>
            <w:tcBorders>
              <w:top w:val="single" w:sz="4" w:space="0" w:color="auto"/>
              <w:left w:val="single" w:sz="4" w:space="0" w:color="auto"/>
              <w:bottom w:val="single" w:sz="4" w:space="0" w:color="auto"/>
              <w:right w:val="single" w:sz="4" w:space="0" w:color="auto"/>
            </w:tcBorders>
            <w:vAlign w:val="center"/>
          </w:tcPr>
          <w:p w14:paraId="6FEC7C3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14:paraId="5E655AB6"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155DC25"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385C5CE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26B888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626118B3"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14:paraId="41FD88AF"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2,935,822,172.08</w:t>
            </w:r>
          </w:p>
        </w:tc>
        <w:tc>
          <w:tcPr>
            <w:tcW w:w="400" w:type="pct"/>
            <w:tcBorders>
              <w:top w:val="single" w:sz="4" w:space="0" w:color="auto"/>
              <w:left w:val="single" w:sz="4" w:space="0" w:color="auto"/>
              <w:bottom w:val="single" w:sz="4" w:space="0" w:color="auto"/>
              <w:right w:val="single" w:sz="4" w:space="0" w:color="auto"/>
            </w:tcBorders>
            <w:vAlign w:val="center"/>
          </w:tcPr>
          <w:p w14:paraId="36716C81"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95.96</w:t>
            </w:r>
          </w:p>
        </w:tc>
      </w:tr>
      <w:tr w:rsidR="002411B3" w14:paraId="1A1ED6D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A6564D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2EDB1C5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14:paraId="26DA4BCF"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164,991,912.33</w:t>
            </w:r>
          </w:p>
        </w:tc>
        <w:tc>
          <w:tcPr>
            <w:tcW w:w="400" w:type="pct"/>
            <w:tcBorders>
              <w:top w:val="single" w:sz="4" w:space="0" w:color="auto"/>
              <w:left w:val="single" w:sz="4" w:space="0" w:color="auto"/>
              <w:bottom w:val="single" w:sz="4" w:space="0" w:color="auto"/>
              <w:right w:val="single" w:sz="4" w:space="0" w:color="auto"/>
            </w:tcBorders>
            <w:vAlign w:val="center"/>
          </w:tcPr>
          <w:p w14:paraId="1F9B0BC2"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5.39</w:t>
            </w:r>
          </w:p>
        </w:tc>
      </w:tr>
      <w:tr w:rsidR="002411B3" w14:paraId="0DCBF18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25976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392E305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14:paraId="3C0094D4"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D5A5716"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44A69EC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FDE91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1EE2F1E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14:paraId="03677574"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31195A5"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5AF91B6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25145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748A8A0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14:paraId="01DEE7E6"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F7307A5"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7570D7A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19D6D2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2F713B2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14:paraId="25F5F8D1"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68573A9F"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03A4A3D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0DFF1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050075C5"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14:paraId="7DB2BA90"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99,179,802.74</w:t>
            </w:r>
          </w:p>
        </w:tc>
        <w:tc>
          <w:tcPr>
            <w:tcW w:w="400" w:type="pct"/>
            <w:tcBorders>
              <w:top w:val="single" w:sz="4" w:space="0" w:color="auto"/>
              <w:left w:val="single" w:sz="4" w:space="0" w:color="auto"/>
              <w:bottom w:val="single" w:sz="4" w:space="0" w:color="auto"/>
              <w:right w:val="single" w:sz="4" w:space="0" w:color="auto"/>
            </w:tcBorders>
            <w:vAlign w:val="center"/>
          </w:tcPr>
          <w:p w14:paraId="4CAC28C3"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3.24</w:t>
            </w:r>
          </w:p>
        </w:tc>
      </w:tr>
      <w:tr w:rsidR="002411B3" w14:paraId="6F56D2A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E2D871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13A4EC2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14:paraId="390469BD"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9593BC4"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7357EAE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0DD161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6CA4F85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0FD93F23"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3,035,001,974.82</w:t>
            </w:r>
          </w:p>
        </w:tc>
        <w:tc>
          <w:tcPr>
            <w:tcW w:w="400" w:type="pct"/>
            <w:tcBorders>
              <w:top w:val="single" w:sz="4" w:space="0" w:color="auto"/>
              <w:left w:val="single" w:sz="4" w:space="0" w:color="auto"/>
              <w:bottom w:val="single" w:sz="4" w:space="0" w:color="auto"/>
              <w:right w:val="single" w:sz="4" w:space="0" w:color="auto"/>
            </w:tcBorders>
            <w:vAlign w:val="center"/>
          </w:tcPr>
          <w:p w14:paraId="1C57E77A"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99.20</w:t>
            </w:r>
          </w:p>
        </w:tc>
      </w:tr>
    </w:tbl>
    <w:p w14:paraId="0EDC0A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、报告期末按公允价值占基金资产净值比例大小排序的前五名债券投资明细</w:t>
      </w:r>
    </w:p>
    <w:tbl>
      <w:tblPr>
        <w:tblW w:w="5000" w:type="pct"/>
        <w:tblCellMar>
          <w:left w:w="0" w:type="dxa"/>
          <w:right w:w="0" w:type="dxa"/>
        </w:tblCellMar>
        <w:tblLook w:val="04A0" w:firstRow="1" w:lastRow="0" w:firstColumn="1" w:lastColumn="0" w:noHBand="0" w:noVBand="1"/>
      </w:tblPr>
      <w:tblGrid>
        <w:gridCol w:w="540"/>
        <w:gridCol w:w="1622"/>
        <w:gridCol w:w="1622"/>
        <w:gridCol w:w="1622"/>
        <w:gridCol w:w="1622"/>
        <w:gridCol w:w="1622"/>
      </w:tblGrid>
      <w:tr w:rsidR="002411B3" w14:paraId="4B0809A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A921F1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2C0389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3487E6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F271FE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B00720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B2379E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2411B3" w14:paraId="4366CC4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E662B4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0095EDD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2420016</w:t>
            </w:r>
          </w:p>
        </w:tc>
        <w:tc>
          <w:tcPr>
            <w:tcW w:w="750" w:type="pct"/>
            <w:tcBorders>
              <w:top w:val="single" w:sz="4" w:space="0" w:color="auto"/>
              <w:left w:val="single" w:sz="4" w:space="0" w:color="auto"/>
              <w:bottom w:val="single" w:sz="4" w:space="0" w:color="auto"/>
              <w:right w:val="single" w:sz="4" w:space="0" w:color="auto"/>
            </w:tcBorders>
            <w:vAlign w:val="center"/>
          </w:tcPr>
          <w:p w14:paraId="12D26F2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24</w:t>
            </w:r>
            <w:r>
              <w:rPr>
                <w:rFonts w:ascii="Times New Roman" w:hAnsi="Times New Roman"/>
                <w:color w:val="000000"/>
                <w:kern w:val="0"/>
                <w:sz w:val="25"/>
                <w:szCs w:val="24"/>
              </w:rPr>
              <w:t>北京银行</w:t>
            </w:r>
            <w:r>
              <w:rPr>
                <w:rFonts w:ascii="Times New Roman" w:hAnsi="Times New Roman"/>
                <w:color w:val="000000"/>
                <w:kern w:val="0"/>
                <w:sz w:val="25"/>
                <w:szCs w:val="24"/>
              </w:rPr>
              <w:t>02</w:t>
            </w:r>
          </w:p>
        </w:tc>
        <w:tc>
          <w:tcPr>
            <w:tcW w:w="750" w:type="pct"/>
            <w:tcBorders>
              <w:top w:val="single" w:sz="4" w:space="0" w:color="auto"/>
              <w:left w:val="single" w:sz="4" w:space="0" w:color="auto"/>
              <w:bottom w:val="single" w:sz="4" w:space="0" w:color="auto"/>
              <w:right w:val="single" w:sz="4" w:space="0" w:color="auto"/>
            </w:tcBorders>
            <w:vAlign w:val="center"/>
          </w:tcPr>
          <w:p w14:paraId="2DFE21E7"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2,800,000</w:t>
            </w:r>
          </w:p>
        </w:tc>
        <w:tc>
          <w:tcPr>
            <w:tcW w:w="750" w:type="pct"/>
            <w:tcBorders>
              <w:top w:val="single" w:sz="4" w:space="0" w:color="auto"/>
              <w:left w:val="single" w:sz="4" w:space="0" w:color="auto"/>
              <w:bottom w:val="single" w:sz="4" w:space="0" w:color="auto"/>
              <w:right w:val="single" w:sz="4" w:space="0" w:color="auto"/>
            </w:tcBorders>
            <w:vAlign w:val="center"/>
          </w:tcPr>
          <w:p w14:paraId="096762E4"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287,250,465.75</w:t>
            </w:r>
          </w:p>
        </w:tc>
        <w:tc>
          <w:tcPr>
            <w:tcW w:w="750" w:type="pct"/>
            <w:tcBorders>
              <w:top w:val="single" w:sz="4" w:space="0" w:color="auto"/>
              <w:left w:val="single" w:sz="4" w:space="0" w:color="auto"/>
              <w:bottom w:val="single" w:sz="4" w:space="0" w:color="auto"/>
              <w:right w:val="single" w:sz="4" w:space="0" w:color="auto"/>
            </w:tcBorders>
            <w:vAlign w:val="center"/>
          </w:tcPr>
          <w:p w14:paraId="5E4976FE"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9.39</w:t>
            </w:r>
          </w:p>
        </w:tc>
      </w:tr>
      <w:tr w:rsidR="002411B3" w14:paraId="7E5931D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B75B11"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6A2D798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2328010</w:t>
            </w:r>
          </w:p>
        </w:tc>
        <w:tc>
          <w:tcPr>
            <w:tcW w:w="750" w:type="pct"/>
            <w:tcBorders>
              <w:top w:val="single" w:sz="4" w:space="0" w:color="auto"/>
              <w:left w:val="single" w:sz="4" w:space="0" w:color="auto"/>
              <w:bottom w:val="single" w:sz="4" w:space="0" w:color="auto"/>
              <w:right w:val="single" w:sz="4" w:space="0" w:color="auto"/>
            </w:tcBorders>
            <w:vAlign w:val="center"/>
          </w:tcPr>
          <w:p w14:paraId="6D9B645D"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平安银行小微债</w:t>
            </w:r>
          </w:p>
        </w:tc>
        <w:tc>
          <w:tcPr>
            <w:tcW w:w="750" w:type="pct"/>
            <w:tcBorders>
              <w:top w:val="single" w:sz="4" w:space="0" w:color="auto"/>
              <w:left w:val="single" w:sz="4" w:space="0" w:color="auto"/>
              <w:bottom w:val="single" w:sz="4" w:space="0" w:color="auto"/>
              <w:right w:val="single" w:sz="4" w:space="0" w:color="auto"/>
            </w:tcBorders>
            <w:vAlign w:val="center"/>
          </w:tcPr>
          <w:p w14:paraId="7D663273"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2,500,000</w:t>
            </w:r>
          </w:p>
        </w:tc>
        <w:tc>
          <w:tcPr>
            <w:tcW w:w="750" w:type="pct"/>
            <w:tcBorders>
              <w:top w:val="single" w:sz="4" w:space="0" w:color="auto"/>
              <w:left w:val="single" w:sz="4" w:space="0" w:color="auto"/>
              <w:bottom w:val="single" w:sz="4" w:space="0" w:color="auto"/>
              <w:right w:val="single" w:sz="4" w:space="0" w:color="auto"/>
            </w:tcBorders>
            <w:vAlign w:val="center"/>
          </w:tcPr>
          <w:p w14:paraId="54AA70E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259,098,041.10</w:t>
            </w:r>
          </w:p>
        </w:tc>
        <w:tc>
          <w:tcPr>
            <w:tcW w:w="750" w:type="pct"/>
            <w:tcBorders>
              <w:top w:val="single" w:sz="4" w:space="0" w:color="auto"/>
              <w:left w:val="single" w:sz="4" w:space="0" w:color="auto"/>
              <w:bottom w:val="single" w:sz="4" w:space="0" w:color="auto"/>
              <w:right w:val="single" w:sz="4" w:space="0" w:color="auto"/>
            </w:tcBorders>
            <w:vAlign w:val="center"/>
          </w:tcPr>
          <w:p w14:paraId="29BACD0D"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8.47</w:t>
            </w:r>
          </w:p>
        </w:tc>
      </w:tr>
      <w:tr w:rsidR="002411B3" w14:paraId="4705EE5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EDA78FF"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5E60B1C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2320017</w:t>
            </w:r>
          </w:p>
        </w:tc>
        <w:tc>
          <w:tcPr>
            <w:tcW w:w="750" w:type="pct"/>
            <w:tcBorders>
              <w:top w:val="single" w:sz="4" w:space="0" w:color="auto"/>
              <w:left w:val="single" w:sz="4" w:space="0" w:color="auto"/>
              <w:bottom w:val="single" w:sz="4" w:space="0" w:color="auto"/>
              <w:right w:val="single" w:sz="4" w:space="0" w:color="auto"/>
            </w:tcBorders>
            <w:vAlign w:val="center"/>
          </w:tcPr>
          <w:p w14:paraId="3E9091F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宁波银行</w:t>
            </w:r>
            <w:r>
              <w:rPr>
                <w:rFonts w:ascii="Times New Roman" w:hAnsi="Times New Roman"/>
                <w:color w:val="000000"/>
                <w:kern w:val="0"/>
                <w:sz w:val="25"/>
                <w:szCs w:val="24"/>
              </w:rPr>
              <w:t>02</w:t>
            </w:r>
          </w:p>
        </w:tc>
        <w:tc>
          <w:tcPr>
            <w:tcW w:w="750" w:type="pct"/>
            <w:tcBorders>
              <w:top w:val="single" w:sz="4" w:space="0" w:color="auto"/>
              <w:left w:val="single" w:sz="4" w:space="0" w:color="auto"/>
              <w:bottom w:val="single" w:sz="4" w:space="0" w:color="auto"/>
              <w:right w:val="single" w:sz="4" w:space="0" w:color="auto"/>
            </w:tcBorders>
            <w:vAlign w:val="center"/>
          </w:tcPr>
          <w:p w14:paraId="4B3C311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2,500,000</w:t>
            </w:r>
          </w:p>
        </w:tc>
        <w:tc>
          <w:tcPr>
            <w:tcW w:w="750" w:type="pct"/>
            <w:tcBorders>
              <w:top w:val="single" w:sz="4" w:space="0" w:color="auto"/>
              <w:left w:val="single" w:sz="4" w:space="0" w:color="auto"/>
              <w:bottom w:val="single" w:sz="4" w:space="0" w:color="auto"/>
              <w:right w:val="single" w:sz="4" w:space="0" w:color="auto"/>
            </w:tcBorders>
            <w:vAlign w:val="center"/>
          </w:tcPr>
          <w:p w14:paraId="5F34AF20"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258,578,821.92</w:t>
            </w:r>
          </w:p>
        </w:tc>
        <w:tc>
          <w:tcPr>
            <w:tcW w:w="750" w:type="pct"/>
            <w:tcBorders>
              <w:top w:val="single" w:sz="4" w:space="0" w:color="auto"/>
              <w:left w:val="single" w:sz="4" w:space="0" w:color="auto"/>
              <w:bottom w:val="single" w:sz="4" w:space="0" w:color="auto"/>
              <w:right w:val="single" w:sz="4" w:space="0" w:color="auto"/>
            </w:tcBorders>
            <w:vAlign w:val="center"/>
          </w:tcPr>
          <w:p w14:paraId="032F420F"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8.45</w:t>
            </w:r>
          </w:p>
        </w:tc>
      </w:tr>
      <w:tr w:rsidR="002411B3" w14:paraId="401C3B8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95AF5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0E737EE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2328020</w:t>
            </w:r>
          </w:p>
        </w:tc>
        <w:tc>
          <w:tcPr>
            <w:tcW w:w="750" w:type="pct"/>
            <w:tcBorders>
              <w:top w:val="single" w:sz="4" w:space="0" w:color="auto"/>
              <w:left w:val="single" w:sz="4" w:space="0" w:color="auto"/>
              <w:bottom w:val="single" w:sz="4" w:space="0" w:color="auto"/>
              <w:right w:val="single" w:sz="4" w:space="0" w:color="auto"/>
            </w:tcBorders>
            <w:vAlign w:val="center"/>
          </w:tcPr>
          <w:p w14:paraId="7FD7706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渤海银行</w:t>
            </w:r>
            <w:r>
              <w:rPr>
                <w:rFonts w:ascii="Times New Roman" w:hAnsi="Times New Roman"/>
                <w:color w:val="000000"/>
                <w:kern w:val="0"/>
                <w:sz w:val="25"/>
                <w:szCs w:val="24"/>
              </w:rPr>
              <w:t>02</w:t>
            </w:r>
          </w:p>
        </w:tc>
        <w:tc>
          <w:tcPr>
            <w:tcW w:w="750" w:type="pct"/>
            <w:tcBorders>
              <w:top w:val="single" w:sz="4" w:space="0" w:color="auto"/>
              <w:left w:val="single" w:sz="4" w:space="0" w:color="auto"/>
              <w:bottom w:val="single" w:sz="4" w:space="0" w:color="auto"/>
              <w:right w:val="single" w:sz="4" w:space="0" w:color="auto"/>
            </w:tcBorders>
            <w:vAlign w:val="center"/>
          </w:tcPr>
          <w:p w14:paraId="06FF0FA2"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2,500,000</w:t>
            </w:r>
          </w:p>
        </w:tc>
        <w:tc>
          <w:tcPr>
            <w:tcW w:w="750" w:type="pct"/>
            <w:tcBorders>
              <w:top w:val="single" w:sz="4" w:space="0" w:color="auto"/>
              <w:left w:val="single" w:sz="4" w:space="0" w:color="auto"/>
              <w:bottom w:val="single" w:sz="4" w:space="0" w:color="auto"/>
              <w:right w:val="single" w:sz="4" w:space="0" w:color="auto"/>
            </w:tcBorders>
            <w:vAlign w:val="center"/>
          </w:tcPr>
          <w:p w14:paraId="02077DF7"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257,171,219.18</w:t>
            </w:r>
          </w:p>
        </w:tc>
        <w:tc>
          <w:tcPr>
            <w:tcW w:w="750" w:type="pct"/>
            <w:tcBorders>
              <w:top w:val="single" w:sz="4" w:space="0" w:color="auto"/>
              <w:left w:val="single" w:sz="4" w:space="0" w:color="auto"/>
              <w:bottom w:val="single" w:sz="4" w:space="0" w:color="auto"/>
              <w:right w:val="single" w:sz="4" w:space="0" w:color="auto"/>
            </w:tcBorders>
            <w:vAlign w:val="center"/>
          </w:tcPr>
          <w:p w14:paraId="74782479"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8.41</w:t>
            </w:r>
          </w:p>
        </w:tc>
      </w:tr>
      <w:tr w:rsidR="002411B3" w14:paraId="2CC257A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25A24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3CCE987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2328021</w:t>
            </w:r>
          </w:p>
        </w:tc>
        <w:tc>
          <w:tcPr>
            <w:tcW w:w="750" w:type="pct"/>
            <w:tcBorders>
              <w:top w:val="single" w:sz="4" w:space="0" w:color="auto"/>
              <w:left w:val="single" w:sz="4" w:space="0" w:color="auto"/>
              <w:bottom w:val="single" w:sz="4" w:space="0" w:color="auto"/>
              <w:right w:val="single" w:sz="4" w:space="0" w:color="auto"/>
            </w:tcBorders>
            <w:vAlign w:val="center"/>
          </w:tcPr>
          <w:p w14:paraId="5CBCDD6F"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兴业银行小微债</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14:paraId="5487C5FD"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2,500,000</w:t>
            </w:r>
          </w:p>
        </w:tc>
        <w:tc>
          <w:tcPr>
            <w:tcW w:w="750" w:type="pct"/>
            <w:tcBorders>
              <w:top w:val="single" w:sz="4" w:space="0" w:color="auto"/>
              <w:left w:val="single" w:sz="4" w:space="0" w:color="auto"/>
              <w:bottom w:val="single" w:sz="4" w:space="0" w:color="auto"/>
              <w:right w:val="single" w:sz="4" w:space="0" w:color="auto"/>
            </w:tcBorders>
            <w:vAlign w:val="center"/>
          </w:tcPr>
          <w:p w14:paraId="77C34C81"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256,186,917.81</w:t>
            </w:r>
          </w:p>
        </w:tc>
        <w:tc>
          <w:tcPr>
            <w:tcW w:w="750" w:type="pct"/>
            <w:tcBorders>
              <w:top w:val="single" w:sz="4" w:space="0" w:color="auto"/>
              <w:left w:val="single" w:sz="4" w:space="0" w:color="auto"/>
              <w:bottom w:val="single" w:sz="4" w:space="0" w:color="auto"/>
              <w:right w:val="single" w:sz="4" w:space="0" w:color="auto"/>
            </w:tcBorders>
            <w:vAlign w:val="center"/>
          </w:tcPr>
          <w:p w14:paraId="1A5AE9A6"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8.37</w:t>
            </w:r>
          </w:p>
        </w:tc>
      </w:tr>
    </w:tbl>
    <w:p w14:paraId="36A96D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、报告期末按公允价值占基金资产净值比例大小排序的前十名资产支持证券投资明细</w:t>
      </w:r>
    </w:p>
    <w:p w14:paraId="1CC934D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6DFDAB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、报告期末按公允价值占基金资产净值比例大小排序的前五名贵金属投资明细</w:t>
      </w:r>
    </w:p>
    <w:p w14:paraId="3797BE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36113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、报告期末按公允价值占基金资产净值比例大小排序的前五名权证投资明细</w:t>
      </w:r>
    </w:p>
    <w:p w14:paraId="4E3D33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1CE5440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、报告期末本基金投资的国债期货交易情况说明</w:t>
      </w:r>
    </w:p>
    <w:p w14:paraId="226F5F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9.1 </w:t>
      </w:r>
      <w:r>
        <w:rPr>
          <w:rFonts w:ascii="宋体" w:hAnsi="宋体"/>
          <w:sz w:val="24"/>
        </w:rPr>
        <w:t>本期国债期货投资政策</w:t>
      </w:r>
    </w:p>
    <w:p w14:paraId="25A0B9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1FBEE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9.2 </w:t>
      </w:r>
      <w:r>
        <w:rPr>
          <w:rFonts w:ascii="宋体" w:hAnsi="宋体"/>
          <w:sz w:val="24"/>
        </w:rPr>
        <w:t>报告期末本基金投资的国债期货持仓和损益明细</w:t>
      </w:r>
    </w:p>
    <w:p w14:paraId="58F1FF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6D551D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 xml:space="preserve">9.3 </w:t>
      </w:r>
      <w:r>
        <w:rPr>
          <w:rFonts w:ascii="宋体" w:hAnsi="宋体"/>
          <w:sz w:val="24"/>
        </w:rPr>
        <w:t>本期国债期货投资评价</w:t>
      </w:r>
    </w:p>
    <w:p w14:paraId="50B11E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5F501A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、投资组合报告附注</w:t>
      </w:r>
    </w:p>
    <w:p w14:paraId="134CC7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10.1 </w:t>
      </w:r>
      <w:r>
        <w:rPr>
          <w:rFonts w:ascii="宋体" w:hAnsi="宋体"/>
          <w:sz w:val="24"/>
        </w:rPr>
        <w:t>本基金投资的前十名证券的发行主体本期是否出现被监管部门立案调查，或在报告编制日前一年内受到公开谴责、处罚的情形</w:t>
      </w:r>
    </w:p>
    <w:p w14:paraId="038581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报告期内本基金投资的前十名证券的发行主体出现被监管部门立案调查，或在报告编制日前一年内受到公开谴责、处罚的情形披露如下：</w:t>
      </w:r>
    </w:p>
    <w:p w14:paraId="33D81A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08</w:t>
      </w:r>
      <w:r>
        <w:rPr>
          <w:rFonts w:ascii="宋体" w:hAnsi="宋体"/>
          <w:sz w:val="24"/>
        </w:rPr>
        <w:t>月</w:t>
      </w:r>
      <w:r>
        <w:rPr>
          <w:rFonts w:ascii="宋体" w:hAnsi="宋体"/>
          <w:sz w:val="24"/>
        </w:rPr>
        <w:t>15</w:t>
      </w:r>
      <w:r>
        <w:rPr>
          <w:rFonts w:ascii="宋体" w:hAnsi="宋体"/>
          <w:sz w:val="24"/>
        </w:rPr>
        <w:t>日</w:t>
      </w:r>
      <w:r>
        <w:rPr>
          <w:rFonts w:ascii="宋体" w:hAnsi="宋体"/>
          <w:sz w:val="24"/>
        </w:rPr>
        <w:t>,</w:t>
      </w:r>
      <w:r>
        <w:rPr>
          <w:rFonts w:ascii="宋体" w:hAnsi="宋体"/>
          <w:sz w:val="24"/>
        </w:rPr>
        <w:t>国家金融监督管理总局浙江监管局公示浙金罚决字</w:t>
      </w:r>
      <w:r>
        <w:rPr>
          <w:rFonts w:ascii="宋体" w:hAnsi="宋体"/>
          <w:sz w:val="24"/>
        </w:rPr>
        <w:t>[2024]24</w:t>
      </w:r>
      <w:r>
        <w:rPr>
          <w:rFonts w:ascii="宋体" w:hAnsi="宋体"/>
          <w:sz w:val="24"/>
        </w:rPr>
        <w:t>号行政处罚决定书</w:t>
      </w:r>
      <w:r>
        <w:rPr>
          <w:rFonts w:ascii="宋体" w:hAnsi="宋体"/>
          <w:sz w:val="24"/>
        </w:rPr>
        <w:t>,</w:t>
      </w:r>
      <w:r>
        <w:rPr>
          <w:rFonts w:ascii="宋体" w:hAnsi="宋体"/>
          <w:sz w:val="24"/>
        </w:rPr>
        <w:t>给予杭州银行股份有限公司</w:t>
      </w:r>
      <w:r>
        <w:rPr>
          <w:rFonts w:ascii="宋体" w:hAnsi="宋体"/>
          <w:sz w:val="24"/>
        </w:rPr>
        <w:t>110</w:t>
      </w:r>
      <w:r>
        <w:rPr>
          <w:rFonts w:ascii="宋体" w:hAnsi="宋体"/>
          <w:sz w:val="24"/>
        </w:rPr>
        <w:t>万元人民币的行政处罚。</w:t>
      </w:r>
    </w:p>
    <w:p w14:paraId="047C9F2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11</w:t>
      </w:r>
      <w:r>
        <w:rPr>
          <w:rFonts w:ascii="宋体" w:hAnsi="宋体"/>
          <w:sz w:val="24"/>
        </w:rPr>
        <w:t>月</w:t>
      </w:r>
      <w:r>
        <w:rPr>
          <w:rFonts w:ascii="宋体" w:hAnsi="宋体"/>
          <w:sz w:val="24"/>
        </w:rPr>
        <w:t>25</w:t>
      </w:r>
      <w:r>
        <w:rPr>
          <w:rFonts w:ascii="宋体" w:hAnsi="宋体"/>
          <w:sz w:val="24"/>
        </w:rPr>
        <w:t>日</w:t>
      </w:r>
      <w:r>
        <w:rPr>
          <w:rFonts w:ascii="宋体" w:hAnsi="宋体"/>
          <w:sz w:val="24"/>
        </w:rPr>
        <w:t>,</w:t>
      </w:r>
      <w:r>
        <w:rPr>
          <w:rFonts w:ascii="宋体" w:hAnsi="宋体"/>
          <w:sz w:val="24"/>
        </w:rPr>
        <w:t>国家外汇管理局浙江省分局公示浙外管罚</w:t>
      </w:r>
      <w:r>
        <w:rPr>
          <w:rFonts w:ascii="宋体" w:hAnsi="宋体"/>
          <w:sz w:val="24"/>
        </w:rPr>
        <w:t>[2024]6</w:t>
      </w:r>
      <w:r>
        <w:rPr>
          <w:rFonts w:ascii="宋体" w:hAnsi="宋体"/>
          <w:sz w:val="24"/>
        </w:rPr>
        <w:t>号行政处罚决定书</w:t>
      </w:r>
      <w:r>
        <w:rPr>
          <w:rFonts w:ascii="宋体" w:hAnsi="宋体"/>
          <w:sz w:val="24"/>
        </w:rPr>
        <w:t>,</w:t>
      </w:r>
      <w:r>
        <w:rPr>
          <w:rFonts w:ascii="宋体" w:hAnsi="宋体"/>
          <w:sz w:val="24"/>
        </w:rPr>
        <w:t>给予杭州银行股份有限公司罚没共计</w:t>
      </w:r>
      <w:r>
        <w:rPr>
          <w:rFonts w:ascii="宋体" w:hAnsi="宋体"/>
          <w:sz w:val="24"/>
        </w:rPr>
        <w:t>645.5</w:t>
      </w:r>
      <w:r>
        <w:rPr>
          <w:rFonts w:ascii="宋体" w:hAnsi="宋体"/>
          <w:sz w:val="24"/>
        </w:rPr>
        <w:t xml:space="preserve">万元人民币的行政处罚。　</w:t>
      </w:r>
    </w:p>
    <w:p w14:paraId="3BF347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2025</w:t>
      </w:r>
      <w:r>
        <w:rPr>
          <w:rFonts w:ascii="宋体" w:hAnsi="宋体"/>
          <w:sz w:val="24"/>
        </w:rPr>
        <w:t>年</w:t>
      </w:r>
      <w:r>
        <w:rPr>
          <w:rFonts w:ascii="宋体" w:hAnsi="宋体"/>
          <w:sz w:val="24"/>
        </w:rPr>
        <w:t>01</w:t>
      </w:r>
      <w:r>
        <w:rPr>
          <w:rFonts w:ascii="宋体" w:hAnsi="宋体"/>
          <w:sz w:val="24"/>
        </w:rPr>
        <w:t>月</w:t>
      </w:r>
      <w:r>
        <w:rPr>
          <w:rFonts w:ascii="宋体" w:hAnsi="宋体"/>
          <w:sz w:val="24"/>
        </w:rPr>
        <w:t>27</w:t>
      </w:r>
      <w:r>
        <w:rPr>
          <w:rFonts w:ascii="宋体" w:hAnsi="宋体"/>
          <w:sz w:val="24"/>
        </w:rPr>
        <w:t>日</w:t>
      </w:r>
      <w:r>
        <w:rPr>
          <w:rFonts w:ascii="宋体" w:hAnsi="宋体"/>
          <w:sz w:val="24"/>
        </w:rPr>
        <w:t>,</w:t>
      </w:r>
      <w:r>
        <w:rPr>
          <w:rFonts w:ascii="宋体" w:hAnsi="宋体"/>
          <w:sz w:val="24"/>
        </w:rPr>
        <w:t xml:space="preserve">江苏证监局给予江苏银行股份有限公司责令改正的行政监管措施。　</w:t>
      </w:r>
    </w:p>
    <w:p w14:paraId="7F0CF3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06</w:t>
      </w:r>
      <w:r>
        <w:rPr>
          <w:rFonts w:ascii="宋体" w:hAnsi="宋体"/>
          <w:sz w:val="24"/>
        </w:rPr>
        <w:t>月</w:t>
      </w:r>
      <w:r>
        <w:rPr>
          <w:rFonts w:ascii="宋体" w:hAnsi="宋体"/>
          <w:sz w:val="24"/>
        </w:rPr>
        <w:t>21</w:t>
      </w:r>
      <w:r>
        <w:rPr>
          <w:rFonts w:ascii="宋体" w:hAnsi="宋体"/>
          <w:sz w:val="24"/>
        </w:rPr>
        <w:t>日</w:t>
      </w:r>
      <w:r>
        <w:rPr>
          <w:rFonts w:ascii="宋体" w:hAnsi="宋体"/>
          <w:sz w:val="24"/>
        </w:rPr>
        <w:t>,</w:t>
      </w:r>
      <w:r>
        <w:rPr>
          <w:rFonts w:ascii="宋体" w:hAnsi="宋体"/>
          <w:sz w:val="24"/>
        </w:rPr>
        <w:t>国家金融监督管理总局宁波监管局公示甬金罚决字</w:t>
      </w:r>
      <w:r>
        <w:rPr>
          <w:rFonts w:ascii="宋体" w:hAnsi="宋体"/>
          <w:sz w:val="24"/>
        </w:rPr>
        <w:t>[2024]56</w:t>
      </w:r>
      <w:r>
        <w:rPr>
          <w:rFonts w:ascii="宋体" w:hAnsi="宋体"/>
          <w:sz w:val="24"/>
        </w:rPr>
        <w:t>号行政处罚决定书</w:t>
      </w:r>
      <w:r>
        <w:rPr>
          <w:rFonts w:ascii="宋体" w:hAnsi="宋体"/>
          <w:sz w:val="24"/>
        </w:rPr>
        <w:t>,</w:t>
      </w:r>
      <w:r>
        <w:rPr>
          <w:rFonts w:ascii="宋体" w:hAnsi="宋体"/>
          <w:sz w:val="24"/>
        </w:rPr>
        <w:t>给予宁波银行股份有限公司</w:t>
      </w:r>
      <w:r>
        <w:rPr>
          <w:rFonts w:ascii="宋体" w:hAnsi="宋体"/>
          <w:sz w:val="24"/>
        </w:rPr>
        <w:t>65</w:t>
      </w:r>
      <w:r>
        <w:rPr>
          <w:rFonts w:ascii="宋体" w:hAnsi="宋体"/>
          <w:sz w:val="24"/>
        </w:rPr>
        <w:t>万元人民币的行政处罚。</w:t>
      </w:r>
    </w:p>
    <w:p w14:paraId="2EF9363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11</w:t>
      </w:r>
      <w:r>
        <w:rPr>
          <w:rFonts w:ascii="宋体" w:hAnsi="宋体"/>
          <w:sz w:val="24"/>
        </w:rPr>
        <w:t>月</w:t>
      </w:r>
      <w:r>
        <w:rPr>
          <w:rFonts w:ascii="宋体" w:hAnsi="宋体"/>
          <w:sz w:val="24"/>
        </w:rPr>
        <w:t>22</w:t>
      </w:r>
      <w:r>
        <w:rPr>
          <w:rFonts w:ascii="宋体" w:hAnsi="宋体"/>
          <w:sz w:val="24"/>
        </w:rPr>
        <w:t>日</w:t>
      </w:r>
      <w:r>
        <w:rPr>
          <w:rFonts w:ascii="宋体" w:hAnsi="宋体"/>
          <w:sz w:val="24"/>
        </w:rPr>
        <w:t>,</w:t>
      </w:r>
      <w:r>
        <w:rPr>
          <w:rFonts w:ascii="宋体" w:hAnsi="宋体"/>
          <w:sz w:val="24"/>
        </w:rPr>
        <w:t>国家金融监督管理总局宁波监管局公示甬金罚决字</w:t>
      </w:r>
      <w:r>
        <w:rPr>
          <w:rFonts w:ascii="宋体" w:hAnsi="宋体"/>
          <w:sz w:val="24"/>
        </w:rPr>
        <w:t>[2024]108</w:t>
      </w:r>
      <w:r>
        <w:rPr>
          <w:rFonts w:ascii="宋体" w:hAnsi="宋体"/>
          <w:sz w:val="24"/>
        </w:rPr>
        <w:t>号行政处罚</w:t>
      </w:r>
      <w:r>
        <w:rPr>
          <w:rFonts w:ascii="宋体" w:hAnsi="宋体"/>
          <w:sz w:val="24"/>
        </w:rPr>
        <w:t>决定书</w:t>
      </w:r>
      <w:r>
        <w:rPr>
          <w:rFonts w:ascii="宋体" w:hAnsi="宋体"/>
          <w:sz w:val="24"/>
        </w:rPr>
        <w:t>,</w:t>
      </w:r>
      <w:r>
        <w:rPr>
          <w:rFonts w:ascii="宋体" w:hAnsi="宋体"/>
          <w:sz w:val="24"/>
        </w:rPr>
        <w:t>给予宁波银行股份有限公司</w:t>
      </w:r>
      <w:r>
        <w:rPr>
          <w:rFonts w:ascii="宋体" w:hAnsi="宋体"/>
          <w:sz w:val="24"/>
        </w:rPr>
        <w:t>120</w:t>
      </w:r>
      <w:r>
        <w:rPr>
          <w:rFonts w:ascii="宋体" w:hAnsi="宋体"/>
          <w:sz w:val="24"/>
        </w:rPr>
        <w:t xml:space="preserve">万元人民币的行政处罚。　</w:t>
      </w:r>
    </w:p>
    <w:p w14:paraId="29A16E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05</w:t>
      </w:r>
      <w:r>
        <w:rPr>
          <w:rFonts w:ascii="宋体" w:hAnsi="宋体"/>
          <w:sz w:val="24"/>
        </w:rPr>
        <w:t>月</w:t>
      </w:r>
      <w:r>
        <w:rPr>
          <w:rFonts w:ascii="宋体" w:hAnsi="宋体"/>
          <w:sz w:val="24"/>
        </w:rPr>
        <w:t>17</w:t>
      </w:r>
      <w:r>
        <w:rPr>
          <w:rFonts w:ascii="宋体" w:hAnsi="宋体"/>
          <w:sz w:val="24"/>
        </w:rPr>
        <w:t>日</w:t>
      </w:r>
      <w:r>
        <w:rPr>
          <w:rFonts w:ascii="宋体" w:hAnsi="宋体"/>
          <w:sz w:val="24"/>
        </w:rPr>
        <w:t>,</w:t>
      </w:r>
      <w:r>
        <w:rPr>
          <w:rFonts w:ascii="宋体" w:hAnsi="宋体"/>
          <w:sz w:val="24"/>
        </w:rPr>
        <w:t>国家金融监督管理总局公示金罚决字</w:t>
      </w:r>
      <w:r>
        <w:rPr>
          <w:rFonts w:ascii="宋体" w:hAnsi="宋体"/>
          <w:sz w:val="24"/>
        </w:rPr>
        <w:t>[2024]6</w:t>
      </w:r>
      <w:r>
        <w:rPr>
          <w:rFonts w:ascii="宋体" w:hAnsi="宋体"/>
          <w:sz w:val="24"/>
        </w:rPr>
        <w:t>号行政处罚决定书</w:t>
      </w:r>
      <w:r>
        <w:rPr>
          <w:rFonts w:ascii="宋体" w:hAnsi="宋体"/>
          <w:sz w:val="24"/>
        </w:rPr>
        <w:t>,</w:t>
      </w:r>
      <w:r>
        <w:rPr>
          <w:rFonts w:ascii="宋体" w:hAnsi="宋体"/>
          <w:sz w:val="24"/>
        </w:rPr>
        <w:t>给予平安银行股份有限公司罚没共计</w:t>
      </w:r>
      <w:r>
        <w:rPr>
          <w:rFonts w:ascii="宋体" w:hAnsi="宋体"/>
          <w:sz w:val="24"/>
        </w:rPr>
        <w:t>6073.98</w:t>
      </w:r>
      <w:r>
        <w:rPr>
          <w:rFonts w:ascii="宋体" w:hAnsi="宋体"/>
          <w:sz w:val="24"/>
        </w:rPr>
        <w:t>万元人民币的行政处罚。</w:t>
      </w:r>
    </w:p>
    <w:p w14:paraId="3118861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2025</w:t>
      </w:r>
      <w:r>
        <w:rPr>
          <w:rFonts w:ascii="宋体" w:hAnsi="宋体"/>
          <w:sz w:val="24"/>
        </w:rPr>
        <w:t>年</w:t>
      </w:r>
      <w:r>
        <w:rPr>
          <w:rFonts w:ascii="宋体" w:hAnsi="宋体"/>
          <w:sz w:val="24"/>
        </w:rPr>
        <w:t>03</w:t>
      </w:r>
      <w:r>
        <w:rPr>
          <w:rFonts w:ascii="宋体" w:hAnsi="宋体"/>
          <w:sz w:val="24"/>
        </w:rPr>
        <w:t>月</w:t>
      </w:r>
      <w:r>
        <w:rPr>
          <w:rFonts w:ascii="宋体" w:hAnsi="宋体"/>
          <w:sz w:val="24"/>
        </w:rPr>
        <w:t>12</w:t>
      </w:r>
      <w:r>
        <w:rPr>
          <w:rFonts w:ascii="宋体" w:hAnsi="宋体"/>
          <w:sz w:val="24"/>
        </w:rPr>
        <w:t>日</w:t>
      </w:r>
      <w:r>
        <w:rPr>
          <w:rFonts w:ascii="宋体" w:hAnsi="宋体"/>
          <w:sz w:val="24"/>
        </w:rPr>
        <w:t>,</w:t>
      </w:r>
      <w:r>
        <w:rPr>
          <w:rFonts w:ascii="宋体" w:hAnsi="宋体"/>
          <w:sz w:val="24"/>
        </w:rPr>
        <w:t>国家金融监督管理总局上海监管局公示沪金罚决字</w:t>
      </w:r>
      <w:r>
        <w:rPr>
          <w:rFonts w:ascii="宋体" w:hAnsi="宋体"/>
          <w:sz w:val="24"/>
        </w:rPr>
        <w:t>[2025]88</w:t>
      </w:r>
      <w:r>
        <w:rPr>
          <w:rFonts w:ascii="宋体" w:hAnsi="宋体"/>
          <w:sz w:val="24"/>
        </w:rPr>
        <w:t>号行政处罚决定书</w:t>
      </w:r>
      <w:r>
        <w:rPr>
          <w:rFonts w:ascii="宋体" w:hAnsi="宋体"/>
          <w:sz w:val="24"/>
        </w:rPr>
        <w:t>,</w:t>
      </w:r>
      <w:r>
        <w:rPr>
          <w:rFonts w:ascii="宋体" w:hAnsi="宋体"/>
          <w:sz w:val="24"/>
        </w:rPr>
        <w:t>给予平安银行股份有限公司</w:t>
      </w:r>
      <w:r>
        <w:rPr>
          <w:rFonts w:ascii="宋体" w:hAnsi="宋体"/>
          <w:sz w:val="24"/>
        </w:rPr>
        <w:t>300</w:t>
      </w:r>
      <w:r>
        <w:rPr>
          <w:rFonts w:ascii="宋体" w:hAnsi="宋体"/>
          <w:sz w:val="24"/>
        </w:rPr>
        <w:t xml:space="preserve">万元人民币的行政处罚。　</w:t>
      </w:r>
    </w:p>
    <w:p w14:paraId="14DC90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07</w:t>
      </w:r>
      <w:r>
        <w:rPr>
          <w:rFonts w:ascii="宋体" w:hAnsi="宋体"/>
          <w:sz w:val="24"/>
        </w:rPr>
        <w:t>月</w:t>
      </w:r>
      <w:r>
        <w:rPr>
          <w:rFonts w:ascii="宋体" w:hAnsi="宋体"/>
          <w:sz w:val="24"/>
        </w:rPr>
        <w:t>25</w:t>
      </w:r>
      <w:r>
        <w:rPr>
          <w:rFonts w:ascii="宋体" w:hAnsi="宋体"/>
          <w:sz w:val="24"/>
        </w:rPr>
        <w:t>日</w:t>
      </w:r>
      <w:r>
        <w:rPr>
          <w:rFonts w:ascii="宋体" w:hAnsi="宋体"/>
          <w:sz w:val="24"/>
        </w:rPr>
        <w:t>,</w:t>
      </w:r>
      <w:r>
        <w:rPr>
          <w:rFonts w:ascii="宋体" w:hAnsi="宋体"/>
          <w:sz w:val="24"/>
        </w:rPr>
        <w:t>国家金融监督管理总局福建监管局公示闽金罚决字</w:t>
      </w:r>
      <w:r>
        <w:rPr>
          <w:rFonts w:ascii="宋体" w:hAnsi="宋体"/>
          <w:sz w:val="24"/>
        </w:rPr>
        <w:t>[2024]12</w:t>
      </w:r>
      <w:r>
        <w:rPr>
          <w:rFonts w:ascii="宋体" w:hAnsi="宋体"/>
          <w:sz w:val="24"/>
        </w:rPr>
        <w:t>号行政处罚决定书</w:t>
      </w:r>
      <w:r>
        <w:rPr>
          <w:rFonts w:ascii="宋体" w:hAnsi="宋体"/>
          <w:sz w:val="24"/>
        </w:rPr>
        <w:t>,</w:t>
      </w:r>
      <w:r>
        <w:rPr>
          <w:rFonts w:ascii="宋体" w:hAnsi="宋体"/>
          <w:sz w:val="24"/>
        </w:rPr>
        <w:t>给予兴业银行股份有</w:t>
      </w:r>
      <w:r>
        <w:rPr>
          <w:rFonts w:ascii="宋体" w:hAnsi="宋体"/>
          <w:sz w:val="24"/>
        </w:rPr>
        <w:t>限公司</w:t>
      </w:r>
      <w:r>
        <w:rPr>
          <w:rFonts w:ascii="宋体" w:hAnsi="宋体"/>
          <w:sz w:val="24"/>
        </w:rPr>
        <w:t>190</w:t>
      </w:r>
      <w:r>
        <w:rPr>
          <w:rFonts w:ascii="宋体" w:hAnsi="宋体"/>
          <w:sz w:val="24"/>
        </w:rPr>
        <w:t xml:space="preserve">万元人民币的行政处罚。　</w:t>
      </w:r>
    </w:p>
    <w:p w14:paraId="6CAD97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w:t>
      </w:r>
      <w:r>
        <w:rPr>
          <w:rFonts w:ascii="宋体" w:hAnsi="宋体"/>
          <w:sz w:val="24"/>
        </w:rPr>
        <w:t>2024</w:t>
      </w:r>
      <w:r>
        <w:rPr>
          <w:rFonts w:ascii="宋体" w:hAnsi="宋体"/>
          <w:sz w:val="24"/>
        </w:rPr>
        <w:t>年</w:t>
      </w:r>
      <w:r>
        <w:rPr>
          <w:rFonts w:ascii="宋体" w:hAnsi="宋体"/>
          <w:sz w:val="24"/>
        </w:rPr>
        <w:t>06</w:t>
      </w:r>
      <w:r>
        <w:rPr>
          <w:rFonts w:ascii="宋体" w:hAnsi="宋体"/>
          <w:sz w:val="24"/>
        </w:rPr>
        <w:t>月</w:t>
      </w:r>
      <w:r>
        <w:rPr>
          <w:rFonts w:ascii="宋体" w:hAnsi="宋体"/>
          <w:sz w:val="24"/>
        </w:rPr>
        <w:t>28</w:t>
      </w:r>
      <w:r>
        <w:rPr>
          <w:rFonts w:ascii="宋体" w:hAnsi="宋体"/>
          <w:sz w:val="24"/>
        </w:rPr>
        <w:t>日</w:t>
      </w:r>
      <w:r>
        <w:rPr>
          <w:rFonts w:ascii="宋体" w:hAnsi="宋体"/>
          <w:sz w:val="24"/>
        </w:rPr>
        <w:t>,</w:t>
      </w:r>
      <w:r>
        <w:rPr>
          <w:rFonts w:ascii="宋体" w:hAnsi="宋体"/>
          <w:sz w:val="24"/>
        </w:rPr>
        <w:t>国家金融监督管理总局公示金罚决字</w:t>
      </w:r>
      <w:r>
        <w:rPr>
          <w:rFonts w:ascii="宋体" w:hAnsi="宋体"/>
          <w:sz w:val="24"/>
        </w:rPr>
        <w:t>[2024]30</w:t>
      </w:r>
      <w:r>
        <w:rPr>
          <w:rFonts w:ascii="宋体" w:hAnsi="宋体"/>
          <w:sz w:val="24"/>
        </w:rPr>
        <w:t>号行政处罚决定书</w:t>
      </w:r>
      <w:r>
        <w:rPr>
          <w:rFonts w:ascii="宋体" w:hAnsi="宋体"/>
          <w:sz w:val="24"/>
        </w:rPr>
        <w:t>,</w:t>
      </w:r>
      <w:r>
        <w:rPr>
          <w:rFonts w:ascii="宋体" w:hAnsi="宋体"/>
          <w:sz w:val="24"/>
        </w:rPr>
        <w:t>给予招商银行股份有限公司</w:t>
      </w:r>
      <w:r>
        <w:rPr>
          <w:rFonts w:ascii="宋体" w:hAnsi="宋体"/>
          <w:sz w:val="24"/>
        </w:rPr>
        <w:t>350</w:t>
      </w:r>
      <w:r>
        <w:rPr>
          <w:rFonts w:ascii="宋体" w:hAnsi="宋体"/>
          <w:sz w:val="24"/>
        </w:rPr>
        <w:t xml:space="preserve">万元人民币的行政处罚。　</w:t>
      </w:r>
    </w:p>
    <w:p w14:paraId="5AA055D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 xml:space="preserve">　　</w:t>
      </w:r>
      <w:r>
        <w:rPr>
          <w:rFonts w:ascii="宋体" w:hAnsi="宋体"/>
          <w:sz w:val="24"/>
        </w:rPr>
        <w:t>2024</w:t>
      </w:r>
      <w:r>
        <w:rPr>
          <w:rFonts w:ascii="宋体" w:hAnsi="宋体"/>
          <w:sz w:val="24"/>
        </w:rPr>
        <w:t>年</w:t>
      </w:r>
      <w:r>
        <w:rPr>
          <w:rFonts w:ascii="宋体" w:hAnsi="宋体"/>
          <w:sz w:val="24"/>
        </w:rPr>
        <w:t>10</w:t>
      </w:r>
      <w:r>
        <w:rPr>
          <w:rFonts w:ascii="宋体" w:hAnsi="宋体"/>
          <w:sz w:val="24"/>
        </w:rPr>
        <w:t>月</w:t>
      </w:r>
      <w:r>
        <w:rPr>
          <w:rFonts w:ascii="宋体" w:hAnsi="宋体"/>
          <w:sz w:val="24"/>
        </w:rPr>
        <w:t>24</w:t>
      </w:r>
      <w:r>
        <w:rPr>
          <w:rFonts w:ascii="宋体" w:hAnsi="宋体"/>
          <w:sz w:val="24"/>
        </w:rPr>
        <w:t>日</w:t>
      </w:r>
      <w:r>
        <w:rPr>
          <w:rFonts w:ascii="宋体" w:hAnsi="宋体"/>
          <w:sz w:val="24"/>
        </w:rPr>
        <w:t>,</w:t>
      </w:r>
      <w:r>
        <w:rPr>
          <w:rFonts w:ascii="宋体" w:hAnsi="宋体"/>
          <w:sz w:val="24"/>
        </w:rPr>
        <w:t>中国银行间市场交易商协会给予浙商银行股份有限公司责令改正的行政监管措施。</w:t>
      </w:r>
    </w:p>
    <w:p w14:paraId="540AB1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本基金管理人对证券投资决策程序的说明如下：本基金管理人对证券投资特别是重仓证券的投资有严格的投资决策流程控制，对上述主体发行证券的投资决策程序符合公司投资制度的规定。</w:t>
      </w:r>
    </w:p>
    <w:p w14:paraId="394AB69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　　除上述主体外，本基金投资的前十名证券的其他发行</w:t>
      </w:r>
      <w:r>
        <w:rPr>
          <w:rFonts w:ascii="宋体" w:hAnsi="宋体"/>
          <w:sz w:val="24"/>
        </w:rPr>
        <w:t>主体本期没有出现被监管部门立案调查，或在报告编制日前一年内受到公开谴责、处罚的情形。</w:t>
      </w:r>
    </w:p>
    <w:p w14:paraId="024B40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10.2 </w:t>
      </w:r>
      <w:r>
        <w:rPr>
          <w:rFonts w:ascii="宋体" w:hAnsi="宋体"/>
          <w:sz w:val="24"/>
        </w:rPr>
        <w:t>基金投资的前十名股票是否超出基金合同规定的备选股票库</w:t>
      </w:r>
    </w:p>
    <w:p w14:paraId="1BFF0E2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14:paraId="22CF3E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10.3 </w:t>
      </w:r>
      <w:r>
        <w:rPr>
          <w:rFonts w:ascii="宋体" w:hAnsi="宋体"/>
          <w:sz w:val="24"/>
        </w:rPr>
        <w:t>其他资产构成</w:t>
      </w:r>
    </w:p>
    <w:tbl>
      <w:tblPr>
        <w:tblW w:w="5000" w:type="pct"/>
        <w:tblCellMar>
          <w:left w:w="0" w:type="dxa"/>
          <w:right w:w="0" w:type="dxa"/>
        </w:tblCellMar>
        <w:tblLook w:val="04A0" w:firstRow="1" w:lastRow="0" w:firstColumn="1" w:lastColumn="0" w:noHBand="0" w:noVBand="1"/>
      </w:tblPr>
      <w:tblGrid>
        <w:gridCol w:w="1544"/>
        <w:gridCol w:w="4634"/>
        <w:gridCol w:w="2472"/>
      </w:tblGrid>
      <w:tr w:rsidR="002411B3" w14:paraId="011A8A8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03B09009"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792631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35F13211"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2411B3" w14:paraId="3752C01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41E49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4EA61F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0EBE586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31B32F0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CA0D7B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417FCC9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5ED87952"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7CEFBC7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220237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65FE6D9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6CBF2B5F"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44CD898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41E233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633A6DF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53998D46"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4FC722D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C21C461"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567789E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42F1C2B3"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1,106.67</w:t>
            </w:r>
          </w:p>
        </w:tc>
      </w:tr>
      <w:tr w:rsidR="002411B3" w14:paraId="1760EE0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58FAB4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13ABA11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3A4F82FD"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64ADECD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C97DB9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68CFAB95"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01F665D9"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2411B3" w14:paraId="7A89F7D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F63674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237E96C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4A6AB40B" w14:textId="77777777" w:rsidR="002411B3" w:rsidRDefault="00BA6CE7">
            <w:pPr>
              <w:widowControl/>
              <w:snapToGrid w:val="0"/>
              <w:jc w:val="right"/>
              <w:rPr>
                <w:rFonts w:ascii="宋体" w:hAnsi="宋体"/>
                <w:color w:val="000000"/>
                <w:kern w:val="0"/>
                <w:sz w:val="25"/>
                <w:szCs w:val="24"/>
              </w:rPr>
            </w:pPr>
            <w:r>
              <w:rPr>
                <w:rFonts w:ascii="Times New Roman" w:hAnsi="Times New Roman"/>
                <w:color w:val="000000"/>
                <w:kern w:val="0"/>
                <w:sz w:val="25"/>
                <w:szCs w:val="24"/>
              </w:rPr>
              <w:t>1,106.67</w:t>
            </w:r>
          </w:p>
        </w:tc>
      </w:tr>
    </w:tbl>
    <w:p w14:paraId="19F5D7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10.4 </w:t>
      </w:r>
      <w:r>
        <w:rPr>
          <w:rFonts w:ascii="宋体" w:hAnsi="宋体"/>
          <w:sz w:val="24"/>
        </w:rPr>
        <w:t>报告期末持有的处于转股期的可转换债券明细</w:t>
      </w:r>
    </w:p>
    <w:p w14:paraId="0767DEC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36DA64C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10.5 </w:t>
      </w:r>
      <w:r>
        <w:rPr>
          <w:rFonts w:ascii="宋体" w:hAnsi="宋体"/>
          <w:sz w:val="24"/>
        </w:rPr>
        <w:t>报告期末前十名股票中存在流通受限情况的说明</w:t>
      </w:r>
    </w:p>
    <w:p w14:paraId="735973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9BD225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 xml:space="preserve">10.6 </w:t>
      </w:r>
      <w:r>
        <w:rPr>
          <w:rFonts w:ascii="宋体" w:hAnsi="宋体"/>
          <w:sz w:val="24"/>
        </w:rPr>
        <w:t>投资组合报告附注的其他文字描述部分</w:t>
      </w:r>
    </w:p>
    <w:p w14:paraId="77DB68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37544514"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6EADE1E" w14:textId="77777777" w:rsidR="002411B3" w:rsidRDefault="00BA6CE7">
      <w:pPr>
        <w:pStyle w:val="1"/>
        <w:snapToGrid w:val="0"/>
        <w:spacing w:beforeLines="0" w:before="240" w:after="240"/>
        <w:rPr>
          <w:rFonts w:ascii="宋体" w:hAnsi="宋体"/>
          <w:szCs w:val="30"/>
        </w:rPr>
      </w:pPr>
      <w:bookmarkStart w:id="14" w:name="_Toc202521659"/>
      <w:r>
        <w:rPr>
          <w:rFonts w:ascii="Times New Roman" w:hAnsi="Times New Roman"/>
          <w:sz w:val="30"/>
        </w:rPr>
        <w:lastRenderedPageBreak/>
        <w:t>十一、基金的业绩</w:t>
      </w:r>
      <w:bookmarkEnd w:id="14"/>
    </w:p>
    <w:p w14:paraId="6B57F4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w:t>
      </w:r>
      <w:r>
        <w:rPr>
          <w:rFonts w:ascii="宋体" w:hAnsi="宋体"/>
          <w:sz w:val="24"/>
        </w:rPr>
        <w:t>2025</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日，所载财务数据未经审计师审计。</w:t>
      </w:r>
    </w:p>
    <w:p w14:paraId="283F1C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1837C5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、基金份额净值增长率及其与同期业绩比较基准收益率的比较</w:t>
      </w:r>
    </w:p>
    <w:tbl>
      <w:tblPr>
        <w:tblW w:w="5000" w:type="pct"/>
        <w:tblCellMar>
          <w:left w:w="0" w:type="dxa"/>
          <w:right w:w="0" w:type="dxa"/>
        </w:tblCellMar>
        <w:tblLook w:val="04A0" w:firstRow="1" w:lastRow="0" w:firstColumn="1" w:lastColumn="0" w:noHBand="0" w:noVBand="1"/>
      </w:tblPr>
      <w:tblGrid>
        <w:gridCol w:w="1297"/>
        <w:gridCol w:w="1297"/>
        <w:gridCol w:w="1297"/>
        <w:gridCol w:w="1298"/>
        <w:gridCol w:w="1298"/>
        <w:gridCol w:w="1298"/>
        <w:gridCol w:w="865"/>
      </w:tblGrid>
      <w:tr w:rsidR="002411B3" w14:paraId="46D50D4A"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2EAA909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60791CD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21550C60"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56C87A4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64086AA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31F09FF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14:paraId="7734FCD9"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2411B3" w14:paraId="530E7E99"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766B9E7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19ABC34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-0.16%</w:t>
            </w:r>
          </w:p>
        </w:tc>
        <w:tc>
          <w:tcPr>
            <w:tcW w:w="750" w:type="pct"/>
            <w:tcBorders>
              <w:top w:val="single" w:sz="4" w:space="0" w:color="auto"/>
              <w:left w:val="single" w:sz="4" w:space="0" w:color="auto"/>
              <w:bottom w:val="single" w:sz="4" w:space="0" w:color="auto"/>
              <w:right w:val="single" w:sz="4" w:space="0" w:color="auto"/>
            </w:tcBorders>
            <w:vAlign w:val="center"/>
          </w:tcPr>
          <w:p w14:paraId="6D6F588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0.05%</w:t>
            </w:r>
          </w:p>
        </w:tc>
        <w:tc>
          <w:tcPr>
            <w:tcW w:w="750" w:type="pct"/>
            <w:tcBorders>
              <w:top w:val="single" w:sz="4" w:space="0" w:color="auto"/>
              <w:left w:val="single" w:sz="4" w:space="0" w:color="auto"/>
              <w:bottom w:val="single" w:sz="4" w:space="0" w:color="auto"/>
              <w:right w:val="single" w:sz="4" w:space="0" w:color="auto"/>
            </w:tcBorders>
            <w:vAlign w:val="center"/>
          </w:tcPr>
          <w:p w14:paraId="63A415C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0.19%</w:t>
            </w:r>
          </w:p>
        </w:tc>
        <w:tc>
          <w:tcPr>
            <w:tcW w:w="750" w:type="pct"/>
            <w:tcBorders>
              <w:top w:val="single" w:sz="4" w:space="0" w:color="auto"/>
              <w:left w:val="single" w:sz="4" w:space="0" w:color="auto"/>
              <w:bottom w:val="single" w:sz="4" w:space="0" w:color="auto"/>
              <w:right w:val="single" w:sz="4" w:space="0" w:color="auto"/>
            </w:tcBorders>
            <w:vAlign w:val="center"/>
          </w:tcPr>
          <w:p w14:paraId="28E51C8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78847D0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-0.35%</w:t>
            </w:r>
          </w:p>
        </w:tc>
        <w:tc>
          <w:tcPr>
            <w:tcW w:w="750" w:type="pct"/>
            <w:tcBorders>
              <w:top w:val="single" w:sz="4" w:space="0" w:color="auto"/>
              <w:left w:val="single" w:sz="4" w:space="0" w:color="auto"/>
              <w:bottom w:val="single" w:sz="4" w:space="0" w:color="auto"/>
              <w:right w:val="single" w:sz="4" w:space="0" w:color="auto"/>
            </w:tcBorders>
            <w:vAlign w:val="center"/>
          </w:tcPr>
          <w:p w14:paraId="0DBE27E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2411B3" w14:paraId="3F7BC62B"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E1B82B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2024</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30722C6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4.42%</w:t>
            </w:r>
          </w:p>
        </w:tc>
        <w:tc>
          <w:tcPr>
            <w:tcW w:w="750" w:type="pct"/>
            <w:tcBorders>
              <w:top w:val="single" w:sz="4" w:space="0" w:color="auto"/>
              <w:left w:val="single" w:sz="4" w:space="0" w:color="auto"/>
              <w:bottom w:val="single" w:sz="4" w:space="0" w:color="auto"/>
              <w:right w:val="single" w:sz="4" w:space="0" w:color="auto"/>
            </w:tcBorders>
            <w:vAlign w:val="center"/>
          </w:tcPr>
          <w:p w14:paraId="271E2C6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0.06%</w:t>
            </w:r>
          </w:p>
        </w:tc>
        <w:tc>
          <w:tcPr>
            <w:tcW w:w="750" w:type="pct"/>
            <w:tcBorders>
              <w:top w:val="single" w:sz="4" w:space="0" w:color="auto"/>
              <w:left w:val="single" w:sz="4" w:space="0" w:color="auto"/>
              <w:bottom w:val="single" w:sz="4" w:space="0" w:color="auto"/>
              <w:right w:val="single" w:sz="4" w:space="0" w:color="auto"/>
            </w:tcBorders>
            <w:vAlign w:val="center"/>
          </w:tcPr>
          <w:p w14:paraId="4B99719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4.55%</w:t>
            </w:r>
          </w:p>
        </w:tc>
        <w:tc>
          <w:tcPr>
            <w:tcW w:w="750" w:type="pct"/>
            <w:tcBorders>
              <w:top w:val="single" w:sz="4" w:space="0" w:color="auto"/>
              <w:left w:val="single" w:sz="4" w:space="0" w:color="auto"/>
              <w:bottom w:val="single" w:sz="4" w:space="0" w:color="auto"/>
              <w:right w:val="single" w:sz="4" w:space="0" w:color="auto"/>
            </w:tcBorders>
            <w:vAlign w:val="center"/>
          </w:tcPr>
          <w:p w14:paraId="58A753F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264E2293"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c>
          <w:tcPr>
            <w:tcW w:w="750" w:type="pct"/>
            <w:tcBorders>
              <w:top w:val="single" w:sz="4" w:space="0" w:color="auto"/>
              <w:left w:val="single" w:sz="4" w:space="0" w:color="auto"/>
              <w:bottom w:val="single" w:sz="4" w:space="0" w:color="auto"/>
              <w:right w:val="single" w:sz="4" w:space="0" w:color="auto"/>
            </w:tcBorders>
            <w:vAlign w:val="center"/>
          </w:tcPr>
          <w:p w14:paraId="1E91191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rsidR="002411B3" w14:paraId="3EDAD92A"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A6E386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4176F75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2.75%</w:t>
            </w:r>
          </w:p>
        </w:tc>
        <w:tc>
          <w:tcPr>
            <w:tcW w:w="750" w:type="pct"/>
            <w:tcBorders>
              <w:top w:val="single" w:sz="4" w:space="0" w:color="auto"/>
              <w:left w:val="single" w:sz="4" w:space="0" w:color="auto"/>
              <w:bottom w:val="single" w:sz="4" w:space="0" w:color="auto"/>
              <w:right w:val="single" w:sz="4" w:space="0" w:color="auto"/>
            </w:tcBorders>
            <w:vAlign w:val="center"/>
          </w:tcPr>
          <w:p w14:paraId="0BFBFE0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5D4E281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4.82%</w:t>
            </w:r>
          </w:p>
        </w:tc>
        <w:tc>
          <w:tcPr>
            <w:tcW w:w="750" w:type="pct"/>
            <w:tcBorders>
              <w:top w:val="single" w:sz="4" w:space="0" w:color="auto"/>
              <w:left w:val="single" w:sz="4" w:space="0" w:color="auto"/>
              <w:bottom w:val="single" w:sz="4" w:space="0" w:color="auto"/>
              <w:right w:val="single" w:sz="4" w:space="0" w:color="auto"/>
            </w:tcBorders>
            <w:vAlign w:val="center"/>
          </w:tcPr>
          <w:p w14:paraId="1A63EAD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0636268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-2.07%</w:t>
            </w:r>
          </w:p>
        </w:tc>
        <w:tc>
          <w:tcPr>
            <w:tcW w:w="750" w:type="pct"/>
            <w:tcBorders>
              <w:top w:val="single" w:sz="4" w:space="0" w:color="auto"/>
              <w:left w:val="single" w:sz="4" w:space="0" w:color="auto"/>
              <w:bottom w:val="single" w:sz="4" w:space="0" w:color="auto"/>
              <w:right w:val="single" w:sz="4" w:space="0" w:color="auto"/>
            </w:tcBorders>
            <w:vAlign w:val="center"/>
          </w:tcPr>
          <w:p w14:paraId="6672029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2411B3" w14:paraId="56246E9A"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CC9E67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189B44A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2.58%</w:t>
            </w:r>
          </w:p>
        </w:tc>
        <w:tc>
          <w:tcPr>
            <w:tcW w:w="750" w:type="pct"/>
            <w:tcBorders>
              <w:top w:val="single" w:sz="4" w:space="0" w:color="auto"/>
              <w:left w:val="single" w:sz="4" w:space="0" w:color="auto"/>
              <w:bottom w:val="single" w:sz="4" w:space="0" w:color="auto"/>
              <w:right w:val="single" w:sz="4" w:space="0" w:color="auto"/>
            </w:tcBorders>
            <w:vAlign w:val="center"/>
          </w:tcPr>
          <w:p w14:paraId="17A5002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300390F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2.33%</w:t>
            </w:r>
          </w:p>
        </w:tc>
        <w:tc>
          <w:tcPr>
            <w:tcW w:w="750" w:type="pct"/>
            <w:tcBorders>
              <w:top w:val="single" w:sz="4" w:space="0" w:color="auto"/>
              <w:left w:val="single" w:sz="4" w:space="0" w:color="auto"/>
              <w:bottom w:val="single" w:sz="4" w:space="0" w:color="auto"/>
              <w:right w:val="single" w:sz="4" w:space="0" w:color="auto"/>
            </w:tcBorders>
            <w:vAlign w:val="center"/>
          </w:tcPr>
          <w:p w14:paraId="13DD216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0.04%</w:t>
            </w:r>
          </w:p>
        </w:tc>
        <w:tc>
          <w:tcPr>
            <w:tcW w:w="750" w:type="pct"/>
            <w:tcBorders>
              <w:top w:val="single" w:sz="4" w:space="0" w:color="auto"/>
              <w:left w:val="single" w:sz="4" w:space="0" w:color="auto"/>
              <w:bottom w:val="single" w:sz="4" w:space="0" w:color="auto"/>
              <w:right w:val="single" w:sz="4" w:space="0" w:color="auto"/>
            </w:tcBorders>
            <w:vAlign w:val="center"/>
          </w:tcPr>
          <w:p w14:paraId="255860A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0.25%</w:t>
            </w:r>
          </w:p>
        </w:tc>
        <w:tc>
          <w:tcPr>
            <w:tcW w:w="750" w:type="pct"/>
            <w:tcBorders>
              <w:top w:val="single" w:sz="4" w:space="0" w:color="auto"/>
              <w:left w:val="single" w:sz="4" w:space="0" w:color="auto"/>
              <w:bottom w:val="single" w:sz="4" w:space="0" w:color="auto"/>
              <w:right w:val="single" w:sz="4" w:space="0" w:color="auto"/>
            </w:tcBorders>
            <w:vAlign w:val="center"/>
          </w:tcPr>
          <w:p w14:paraId="4A811C3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0.00%</w:t>
            </w:r>
          </w:p>
        </w:tc>
      </w:tr>
      <w:tr w:rsidR="002411B3" w14:paraId="13E1CA77"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EB3F71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14:paraId="691C0653"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3.75%</w:t>
            </w:r>
          </w:p>
        </w:tc>
        <w:tc>
          <w:tcPr>
            <w:tcW w:w="750" w:type="pct"/>
            <w:tcBorders>
              <w:top w:val="single" w:sz="4" w:space="0" w:color="auto"/>
              <w:left w:val="single" w:sz="4" w:space="0" w:color="auto"/>
              <w:bottom w:val="single" w:sz="4" w:space="0" w:color="auto"/>
              <w:right w:val="single" w:sz="4" w:space="0" w:color="auto"/>
            </w:tcBorders>
            <w:vAlign w:val="center"/>
          </w:tcPr>
          <w:p w14:paraId="732B827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67398AD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4.40%</w:t>
            </w:r>
          </w:p>
        </w:tc>
        <w:tc>
          <w:tcPr>
            <w:tcW w:w="750" w:type="pct"/>
            <w:tcBorders>
              <w:top w:val="single" w:sz="4" w:space="0" w:color="auto"/>
              <w:left w:val="single" w:sz="4" w:space="0" w:color="auto"/>
              <w:bottom w:val="single" w:sz="4" w:space="0" w:color="auto"/>
              <w:right w:val="single" w:sz="4" w:space="0" w:color="auto"/>
            </w:tcBorders>
            <w:vAlign w:val="center"/>
          </w:tcPr>
          <w:p w14:paraId="2590322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14:paraId="27E09FB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-0.65%</w:t>
            </w:r>
          </w:p>
        </w:tc>
        <w:tc>
          <w:tcPr>
            <w:tcW w:w="750" w:type="pct"/>
            <w:tcBorders>
              <w:top w:val="single" w:sz="4" w:space="0" w:color="auto"/>
              <w:left w:val="single" w:sz="4" w:space="0" w:color="auto"/>
              <w:bottom w:val="single" w:sz="4" w:space="0" w:color="auto"/>
              <w:right w:val="single" w:sz="4" w:space="0" w:color="auto"/>
            </w:tcBorders>
            <w:vAlign w:val="center"/>
          </w:tcPr>
          <w:p w14:paraId="6F5B128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r w:rsidR="002411B3" w14:paraId="6C087ABC"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820E46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年度（自基金合同转型日起至</w:t>
            </w:r>
            <w:r>
              <w:rPr>
                <w:rFonts w:ascii="Times New Roman" w:hAnsi="Times New Roman"/>
                <w:color w:val="000000"/>
                <w:kern w:val="0"/>
                <w:sz w:val="25"/>
                <w:szCs w:val="24"/>
              </w:rPr>
              <w:t>2020</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14:paraId="00E77E4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1.33%</w:t>
            </w:r>
          </w:p>
        </w:tc>
        <w:tc>
          <w:tcPr>
            <w:tcW w:w="750" w:type="pct"/>
            <w:tcBorders>
              <w:top w:val="single" w:sz="4" w:space="0" w:color="auto"/>
              <w:left w:val="single" w:sz="4" w:space="0" w:color="auto"/>
              <w:bottom w:val="single" w:sz="4" w:space="0" w:color="auto"/>
              <w:right w:val="single" w:sz="4" w:space="0" w:color="auto"/>
            </w:tcBorders>
            <w:vAlign w:val="center"/>
          </w:tcPr>
          <w:p w14:paraId="4BE4B72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c>
          <w:tcPr>
            <w:tcW w:w="750" w:type="pct"/>
            <w:tcBorders>
              <w:top w:val="single" w:sz="4" w:space="0" w:color="auto"/>
              <w:left w:val="single" w:sz="4" w:space="0" w:color="auto"/>
              <w:bottom w:val="single" w:sz="4" w:space="0" w:color="auto"/>
              <w:right w:val="single" w:sz="4" w:space="0" w:color="auto"/>
            </w:tcBorders>
            <w:vAlign w:val="center"/>
          </w:tcPr>
          <w:p w14:paraId="2053E81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1.10%</w:t>
            </w:r>
          </w:p>
        </w:tc>
        <w:tc>
          <w:tcPr>
            <w:tcW w:w="750" w:type="pct"/>
            <w:tcBorders>
              <w:top w:val="single" w:sz="4" w:space="0" w:color="auto"/>
              <w:left w:val="single" w:sz="4" w:space="0" w:color="auto"/>
              <w:bottom w:val="single" w:sz="4" w:space="0" w:color="auto"/>
              <w:right w:val="single" w:sz="4" w:space="0" w:color="auto"/>
            </w:tcBorders>
            <w:vAlign w:val="center"/>
          </w:tcPr>
          <w:p w14:paraId="4DFC1FE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5C6202A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c>
          <w:tcPr>
            <w:tcW w:w="750" w:type="pct"/>
            <w:tcBorders>
              <w:top w:val="single" w:sz="4" w:space="0" w:color="auto"/>
              <w:left w:val="single" w:sz="4" w:space="0" w:color="auto"/>
              <w:bottom w:val="single" w:sz="4" w:space="0" w:color="auto"/>
              <w:right w:val="single" w:sz="4" w:space="0" w:color="auto"/>
            </w:tcBorders>
            <w:vAlign w:val="center"/>
          </w:tcPr>
          <w:p w14:paraId="370C403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-0.01%</w:t>
            </w:r>
          </w:p>
        </w:tc>
      </w:tr>
    </w:tbl>
    <w:p w14:paraId="1C5968B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、自基金合同生效以来基金份额累计净值增长率变动及其与同期业绩比较基准收益率变动的比较</w:t>
      </w:r>
    </w:p>
    <w:p w14:paraId="2D124BCF" w14:textId="77777777" w:rsidR="002411B3" w:rsidRDefault="00BA6CE7">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交银施罗德中高等级信用债债券型证券投资基金</w:t>
      </w:r>
    </w:p>
    <w:p w14:paraId="31F30131" w14:textId="77777777" w:rsidR="002411B3" w:rsidRDefault="00BA6CE7">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份额累计净值增长率与业绩比较基准收益率历史走势对比图</w:t>
      </w:r>
    </w:p>
    <w:p w14:paraId="52818918" w14:textId="77777777" w:rsidR="002411B3" w:rsidRDefault="00BA6CE7">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日至</w:t>
      </w:r>
      <w:r>
        <w:rPr>
          <w:rFonts w:ascii="宋体" w:hAnsi="宋体"/>
          <w:sz w:val="24"/>
        </w:rPr>
        <w:t>2025</w:t>
      </w:r>
      <w:r>
        <w:rPr>
          <w:rFonts w:ascii="宋体" w:hAnsi="宋体"/>
          <w:sz w:val="24"/>
        </w:rPr>
        <w:t>年</w:t>
      </w:r>
      <w:r>
        <w:rPr>
          <w:rFonts w:ascii="宋体" w:hAnsi="宋体"/>
          <w:sz w:val="24"/>
        </w:rPr>
        <w:t>03</w:t>
      </w:r>
      <w:r>
        <w:rPr>
          <w:rFonts w:ascii="宋体" w:hAnsi="宋体"/>
          <w:sz w:val="24"/>
        </w:rPr>
        <w:t>月</w:t>
      </w:r>
      <w:r>
        <w:rPr>
          <w:rFonts w:ascii="宋体" w:hAnsi="宋体"/>
          <w:sz w:val="24"/>
        </w:rPr>
        <w:t>31</w:t>
      </w:r>
      <w:r>
        <w:rPr>
          <w:rFonts w:ascii="宋体" w:hAnsi="宋体"/>
          <w:sz w:val="24"/>
        </w:rPr>
        <w:t>日）</w:t>
      </w:r>
    </w:p>
    <w:p w14:paraId="4E7544D2" w14:textId="5E443B3B" w:rsidR="002411B3" w:rsidRDefault="004626CF">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14:anchorId="35968AB4" wp14:editId="007687CC">
            <wp:extent cx="5577840" cy="341376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3413760"/>
                    </a:xfrm>
                    <a:prstGeom prst="rect">
                      <a:avLst/>
                    </a:prstGeom>
                    <a:noFill/>
                    <a:ln>
                      <a:noFill/>
                    </a:ln>
                  </pic:spPr>
                </pic:pic>
              </a:graphicData>
            </a:graphic>
          </wp:inline>
        </w:drawing>
      </w:r>
    </w:p>
    <w:p w14:paraId="0D55BCB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注：本基金由交银施罗德理财</w:t>
      </w:r>
      <w:r>
        <w:rPr>
          <w:rFonts w:ascii="宋体" w:hAnsi="宋体"/>
          <w:sz w:val="24"/>
        </w:rPr>
        <w:t>21</w:t>
      </w:r>
      <w:r>
        <w:rPr>
          <w:rFonts w:ascii="宋体" w:hAnsi="宋体"/>
          <w:sz w:val="24"/>
        </w:rPr>
        <w:t>天债券型证券投资基金转型而来。基金转型日为</w:t>
      </w:r>
      <w:r>
        <w:rPr>
          <w:rFonts w:ascii="宋体" w:hAnsi="宋体"/>
          <w:sz w:val="24"/>
        </w:rPr>
        <w:t>2020</w:t>
      </w:r>
      <w:r>
        <w:rPr>
          <w:rFonts w:ascii="宋体" w:hAnsi="宋体"/>
          <w:sz w:val="24"/>
        </w:rPr>
        <w:t>年</w:t>
      </w:r>
      <w:r>
        <w:rPr>
          <w:rFonts w:ascii="宋体" w:hAnsi="宋体"/>
          <w:sz w:val="24"/>
        </w:rPr>
        <w:t>7</w:t>
      </w:r>
      <w:r>
        <w:rPr>
          <w:rFonts w:ascii="宋体" w:hAnsi="宋体"/>
          <w:sz w:val="24"/>
        </w:rPr>
        <w:t>月</w:t>
      </w:r>
      <w:r>
        <w:rPr>
          <w:rFonts w:ascii="宋体" w:hAnsi="宋体"/>
          <w:sz w:val="24"/>
        </w:rPr>
        <w:t>28</w:t>
      </w:r>
      <w:r>
        <w:rPr>
          <w:rFonts w:ascii="宋体" w:hAnsi="宋体"/>
          <w:sz w:val="24"/>
        </w:rPr>
        <w:t>日。本基金建仓期为自基金合同生效日起的</w:t>
      </w:r>
      <w:r>
        <w:rPr>
          <w:rFonts w:ascii="宋体" w:hAnsi="宋体"/>
          <w:sz w:val="24"/>
        </w:rPr>
        <w:t>6</w:t>
      </w:r>
      <w:r>
        <w:rPr>
          <w:rFonts w:ascii="宋体" w:hAnsi="宋体"/>
          <w:sz w:val="24"/>
        </w:rPr>
        <w:t>个月。截至建仓期结束，本基金各项资产配置比例符合基金合同及招募说明书有关投资比例的约定。</w:t>
      </w:r>
    </w:p>
    <w:p w14:paraId="2D361718"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F20C04C" w14:textId="77777777" w:rsidR="002411B3" w:rsidRDefault="00BA6CE7">
      <w:pPr>
        <w:pStyle w:val="1"/>
        <w:snapToGrid w:val="0"/>
        <w:spacing w:beforeLines="0" w:before="240" w:after="240"/>
        <w:rPr>
          <w:rFonts w:ascii="宋体" w:hAnsi="宋体"/>
          <w:szCs w:val="30"/>
        </w:rPr>
      </w:pPr>
      <w:bookmarkStart w:id="15" w:name="_Toc202521660"/>
      <w:r>
        <w:rPr>
          <w:rFonts w:ascii="Times New Roman" w:hAnsi="Times New Roman"/>
          <w:sz w:val="30"/>
        </w:rPr>
        <w:lastRenderedPageBreak/>
        <w:t>十二、基金的财产</w:t>
      </w:r>
      <w:bookmarkEnd w:id="15"/>
    </w:p>
    <w:p w14:paraId="767DEF8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（一）基金资产总值</w:t>
      </w:r>
    </w:p>
    <w:p w14:paraId="585A4E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基金资产总值是指基金拥有的各类有价证券、银行存款本息、基金应收申购款及其他资产的价值总和。</w:t>
      </w:r>
    </w:p>
    <w:p w14:paraId="1B82838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（二）基金资产净值</w:t>
      </w:r>
    </w:p>
    <w:p w14:paraId="78FBC12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6D2D03F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（三）基金财产的账户</w:t>
      </w:r>
    </w:p>
    <w:p w14:paraId="72FD6F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7FBC7BB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（四）基金财产的保管和处分</w:t>
      </w:r>
    </w:p>
    <w:p w14:paraId="7CE21A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w:t>
      </w:r>
      <w:r>
        <w:rPr>
          <w:rFonts w:ascii="宋体" w:hAnsi="宋体"/>
          <w:sz w:val="24"/>
        </w:rPr>
        <w:t>处分。</w:t>
      </w:r>
    </w:p>
    <w:p w14:paraId="0931D56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57D43ECF"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47A711B" w14:textId="77777777" w:rsidR="002411B3" w:rsidRDefault="00BA6CE7">
      <w:pPr>
        <w:pStyle w:val="1"/>
        <w:snapToGrid w:val="0"/>
        <w:spacing w:beforeLines="0" w:before="240" w:after="240"/>
        <w:rPr>
          <w:rFonts w:ascii="宋体" w:hAnsi="宋体"/>
          <w:szCs w:val="30"/>
        </w:rPr>
      </w:pPr>
      <w:bookmarkStart w:id="16" w:name="_Toc202521661"/>
      <w:r>
        <w:rPr>
          <w:rFonts w:ascii="Times New Roman" w:hAnsi="Times New Roman"/>
          <w:sz w:val="30"/>
        </w:rPr>
        <w:lastRenderedPageBreak/>
        <w:t>十三、基金资产的估值</w:t>
      </w:r>
      <w:bookmarkEnd w:id="16"/>
    </w:p>
    <w:p w14:paraId="6851CD7B"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（一）估值日</w:t>
      </w:r>
    </w:p>
    <w:p w14:paraId="2544DC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14:paraId="5DBD757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（二）估值对象</w:t>
      </w:r>
    </w:p>
    <w:p w14:paraId="484F444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基金所拥有的债券和其他投资等持续以公允价值计</w:t>
      </w:r>
      <w:r>
        <w:rPr>
          <w:rFonts w:ascii="宋体" w:hAnsi="宋体"/>
          <w:sz w:val="24"/>
        </w:rPr>
        <w:t>量的金融资产及负债。</w:t>
      </w:r>
    </w:p>
    <w:p w14:paraId="23FAEB3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（三）估值原则</w:t>
      </w:r>
    </w:p>
    <w:p w14:paraId="6C1DDF1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14:paraId="51044DD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D2B45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w:t>
      </w:r>
      <w:r>
        <w:rPr>
          <w:rFonts w:ascii="宋体" w:hAnsi="宋体"/>
          <w:sz w:val="24"/>
        </w:rPr>
        <w:t>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00C12F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w:t>
      </w:r>
      <w:r>
        <w:rPr>
          <w:rFonts w:ascii="宋体" w:hAnsi="宋体"/>
          <w:sz w:val="24"/>
        </w:rPr>
        <w:t>输入值。</w:t>
      </w:r>
    </w:p>
    <w:p w14:paraId="1A409D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、如经济环境发生重大变化或证券发行人发生影响证券价格的重大事件，使潜在估值调整对前一估值日的基金资产净值的影响在</w:t>
      </w:r>
      <w:r>
        <w:rPr>
          <w:rFonts w:ascii="宋体" w:hAnsi="宋体"/>
          <w:sz w:val="24"/>
        </w:rPr>
        <w:t>0.25%</w:t>
      </w:r>
      <w:r>
        <w:rPr>
          <w:rFonts w:ascii="宋体" w:hAnsi="宋体"/>
          <w:sz w:val="24"/>
        </w:rPr>
        <w:t>以上的，应对估值进行调整并确定公允价值。</w:t>
      </w:r>
    </w:p>
    <w:p w14:paraId="3BF34028"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（四）估值方法</w:t>
      </w:r>
    </w:p>
    <w:p w14:paraId="7DF101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、证券交易所上市的有价证券的估值</w:t>
      </w:r>
    </w:p>
    <w:p w14:paraId="21C88E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）交易所市场上市实行净价交易或挂牌转让的固定收益品种（另有规定的</w:t>
      </w:r>
      <w:r>
        <w:rPr>
          <w:rFonts w:ascii="宋体" w:hAnsi="宋体"/>
          <w:sz w:val="24"/>
        </w:rPr>
        <w:lastRenderedPageBreak/>
        <w:t>除外），选取第三方估值机构提供的相应品种当日的估值净价进行估值；</w:t>
      </w:r>
    </w:p>
    <w:p w14:paraId="260202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）交易所上市实行全价交易的债券（可转债除外），选取第三方估值机构提供的估值全价减去估值全价中所含的债券（税后）应收利息得到的净价进行估值；</w:t>
      </w:r>
    </w:p>
    <w:p w14:paraId="361FFE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）交易所上市交易的可转换债券以每日收盘价作为估值全价；</w:t>
      </w:r>
    </w:p>
    <w:p w14:paraId="0479E22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）交易所上市不存在活跃市场的有价证券，采用估值技术确定公允价值。交易所市场挂牌转让的资产支持证券，采用估值技术确定公允价值，在估值技术难以可靠计量公允价值的情况下，按成本估值；</w:t>
      </w:r>
    </w:p>
    <w:p w14:paraId="52E4D71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w:t>
      </w:r>
      <w:r>
        <w:rPr>
          <w:rFonts w:ascii="宋体" w:hAnsi="宋体"/>
          <w:sz w:val="24"/>
        </w:rPr>
        <w:t>术确定其公允价值。</w:t>
      </w:r>
    </w:p>
    <w:p w14:paraId="301B812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、首次公开发行未上市的债券，采用估值技术确定公允价值，在估值技术难以可靠计量公允价值的情况下，按成本估值。</w:t>
      </w:r>
    </w:p>
    <w:p w14:paraId="2A3707D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w:t>
      </w:r>
      <w:r>
        <w:rPr>
          <w:rFonts w:ascii="宋体" w:hAnsi="宋体"/>
          <w:sz w:val="24"/>
        </w:rPr>
        <w:t>级市场利率不存在明显差异，未上市期间市场利率没有发生大的变动的情况下，按成本估值。</w:t>
      </w:r>
    </w:p>
    <w:p w14:paraId="1C35A0C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、如有确凿证据表明按上述方法进行估值不能客观反映其公允价值的，基金管理人可根据具体情况与基金托管人商定后，按最能反映公允价值的价格估值。</w:t>
      </w:r>
    </w:p>
    <w:p w14:paraId="5066811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、当发生大额申购或赎回情形时，基金管理人可以采用摆动定价机制，以确保基金估值的公平性。</w:t>
      </w:r>
    </w:p>
    <w:p w14:paraId="0772EDB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、相关法律法规以及监管部门有强制规定的，从其规定。如有新增事项，按国家最新规定估值。</w:t>
      </w:r>
    </w:p>
    <w:p w14:paraId="5F15DB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w:t>
      </w:r>
      <w:r>
        <w:rPr>
          <w:rFonts w:ascii="宋体" w:hAnsi="宋体"/>
          <w:sz w:val="24"/>
        </w:rPr>
        <w:t>额持有人利益时，应立即通知对方，共同查明原因，双方协商解决。</w:t>
      </w:r>
    </w:p>
    <w:p w14:paraId="649361F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521589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（五）估值程序</w:t>
      </w:r>
    </w:p>
    <w:p w14:paraId="6B50138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、基金份额净值是按照每个工作日闭市后，基金资产净值除以当日基金份额的余额数量计算，精确到</w:t>
      </w:r>
      <w:r>
        <w:rPr>
          <w:rFonts w:ascii="宋体" w:hAnsi="宋体"/>
          <w:sz w:val="24"/>
        </w:rPr>
        <w:t>0.0001</w:t>
      </w:r>
      <w:r>
        <w:rPr>
          <w:rFonts w:ascii="宋体" w:hAnsi="宋体"/>
          <w:sz w:val="24"/>
        </w:rPr>
        <w:t>元，小数点后第</w:t>
      </w:r>
      <w:r>
        <w:rPr>
          <w:rFonts w:ascii="宋体" w:hAnsi="宋体"/>
          <w:sz w:val="24"/>
        </w:rPr>
        <w:t>5</w:t>
      </w:r>
      <w:r>
        <w:rPr>
          <w:rFonts w:ascii="宋体" w:hAnsi="宋体"/>
          <w:sz w:val="24"/>
        </w:rPr>
        <w:t>位四舍五入。基金管理人可以设立大额赎回情形下的净值精度应急调整机制，具体可参见相关公告。国家另有规定的，从其规定。</w:t>
      </w:r>
    </w:p>
    <w:p w14:paraId="7A0A4C9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基金管理人于每个工作日计算基金资产净值及基金份额净值，并按规定公告。如遇特殊情况，经履行适当程序，可以适当延迟计算或公告。</w:t>
      </w:r>
    </w:p>
    <w:p w14:paraId="7828B3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、基金管理人应每个工作日对基金资产估值，但基金管理人根据法律法规或基金合同的规定暂停估值时除外。基金管理人每个工作日对基金资产估值后，将基金份额净值结果</w:t>
      </w:r>
      <w:r>
        <w:rPr>
          <w:rFonts w:ascii="宋体" w:hAnsi="宋体"/>
          <w:sz w:val="24"/>
        </w:rPr>
        <w:t>发送基金托管人，经基金托管人复核无误后，由基金管理人依据基金合同和相关法律法规的规定对外公布。</w:t>
      </w:r>
    </w:p>
    <w:p w14:paraId="4C7AA7A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（六）估值错误的处理</w:t>
      </w:r>
    </w:p>
    <w:p w14:paraId="187E015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w:t>
      </w:r>
      <w:r>
        <w:rPr>
          <w:rFonts w:ascii="宋体" w:hAnsi="宋体"/>
          <w:sz w:val="24"/>
        </w:rPr>
        <w:t>4</w:t>
      </w:r>
      <w:r>
        <w:rPr>
          <w:rFonts w:ascii="宋体" w:hAnsi="宋体"/>
          <w:sz w:val="24"/>
        </w:rPr>
        <w:t>位以内（含第</w:t>
      </w:r>
      <w:r>
        <w:rPr>
          <w:rFonts w:ascii="宋体" w:hAnsi="宋体"/>
          <w:sz w:val="24"/>
        </w:rPr>
        <w:t>4</w:t>
      </w:r>
      <w:r>
        <w:rPr>
          <w:rFonts w:ascii="宋体" w:hAnsi="宋体"/>
          <w:sz w:val="24"/>
        </w:rPr>
        <w:t>位）发生估值错误时，视为基金份额净值错误。</w:t>
      </w:r>
    </w:p>
    <w:p w14:paraId="35063A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4AFA51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、估值错误类型</w:t>
      </w:r>
    </w:p>
    <w:p w14:paraId="0017CF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w:t>
      </w:r>
      <w:r>
        <w:rPr>
          <w:rFonts w:ascii="宋体" w:hAnsi="宋体"/>
          <w:sz w:val="24"/>
        </w:rPr>
        <w:t>当事人（</w:t>
      </w:r>
      <w:r>
        <w:rPr>
          <w:rFonts w:ascii="宋体" w:hAnsi="宋体"/>
          <w:sz w:val="24"/>
        </w:rPr>
        <w:t>“</w:t>
      </w:r>
      <w:r>
        <w:rPr>
          <w:rFonts w:ascii="宋体" w:hAnsi="宋体"/>
          <w:sz w:val="24"/>
        </w:rPr>
        <w:t>受损方</w:t>
      </w:r>
      <w:r>
        <w:rPr>
          <w:rFonts w:ascii="宋体" w:hAnsi="宋体"/>
          <w:sz w:val="24"/>
        </w:rPr>
        <w:t>”</w:t>
      </w:r>
      <w:r>
        <w:rPr>
          <w:rFonts w:ascii="宋体" w:hAnsi="宋体"/>
          <w:sz w:val="24"/>
        </w:rPr>
        <w:t>）的直接损失按下述</w:t>
      </w:r>
      <w:r>
        <w:rPr>
          <w:rFonts w:ascii="宋体" w:hAnsi="宋体"/>
          <w:sz w:val="24"/>
        </w:rPr>
        <w:t>“</w:t>
      </w:r>
      <w:r>
        <w:rPr>
          <w:rFonts w:ascii="宋体" w:hAnsi="宋体"/>
          <w:sz w:val="24"/>
        </w:rPr>
        <w:t>估值错误处理原则</w:t>
      </w:r>
      <w:r>
        <w:rPr>
          <w:rFonts w:ascii="宋体" w:hAnsi="宋体"/>
          <w:sz w:val="24"/>
        </w:rPr>
        <w:t>”</w:t>
      </w:r>
      <w:r>
        <w:rPr>
          <w:rFonts w:ascii="宋体" w:hAnsi="宋体"/>
          <w:sz w:val="24"/>
        </w:rPr>
        <w:t>给予赔偿，承担赔偿责任。</w:t>
      </w:r>
    </w:p>
    <w:p w14:paraId="2C762D6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4CB8A4E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14:paraId="629A38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w:t>
      </w:r>
      <w:r>
        <w:rPr>
          <w:rFonts w:ascii="宋体" w:hAnsi="宋体"/>
          <w:sz w:val="24"/>
        </w:rPr>
        <w:lastRenderedPageBreak/>
        <w:t>等，因不可抗力原因出现估值错误的当事人不对其他当事人承担赔偿责任，但因该估值错误取得不当得利的当事人仍应负有返还不当得利的义务。</w:t>
      </w:r>
    </w:p>
    <w:p w14:paraId="51804F5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、估值错误</w:t>
      </w:r>
      <w:r>
        <w:rPr>
          <w:rFonts w:ascii="宋体" w:hAnsi="宋体"/>
          <w:sz w:val="24"/>
        </w:rPr>
        <w:t>处理原则</w:t>
      </w:r>
    </w:p>
    <w:p w14:paraId="4270361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5D7CB6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）估值错误的责任方对有关当事人的直接损失负责，不对间接损失负责，并且仅</w:t>
      </w:r>
      <w:r>
        <w:rPr>
          <w:rFonts w:ascii="宋体" w:hAnsi="宋体"/>
          <w:sz w:val="24"/>
        </w:rPr>
        <w:t>对估值错误的有关直接当事人负责，不对第三方负责。</w:t>
      </w:r>
    </w:p>
    <w:p w14:paraId="22A2E6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sz w:val="24"/>
        </w:rPr>
        <w:t>“</w:t>
      </w:r>
      <w:r>
        <w:rPr>
          <w:rFonts w:ascii="宋体" w:hAnsi="宋体"/>
          <w:sz w:val="24"/>
        </w:rPr>
        <w:t>受损方</w:t>
      </w:r>
      <w:r>
        <w:rPr>
          <w:rFonts w:ascii="宋体" w:hAnsi="宋体"/>
          <w:sz w:val="24"/>
        </w:rPr>
        <w:t>”</w:t>
      </w:r>
      <w:r>
        <w:rPr>
          <w:rFonts w:ascii="宋体" w:hAnsi="宋体"/>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E84571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）估值错误调整采用尽量恢复至</w:t>
      </w:r>
      <w:r>
        <w:rPr>
          <w:rFonts w:ascii="宋体" w:hAnsi="宋体"/>
          <w:sz w:val="24"/>
        </w:rPr>
        <w:t>假设未发生估值错误的正确情形的方式。</w:t>
      </w:r>
    </w:p>
    <w:p w14:paraId="160D1B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）按法律法规规定的其他原则处理估值错误。</w:t>
      </w:r>
    </w:p>
    <w:p w14:paraId="0FDADA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、估值错误处理程序</w:t>
      </w:r>
    </w:p>
    <w:p w14:paraId="5A0B12B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75DB07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）查明估值错误发生的原因，列明所有的当事人，并根据估值错误发生的原因确定估值错误的责任方；</w:t>
      </w:r>
    </w:p>
    <w:p w14:paraId="6EC132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）根据估值错误处理原则或当事人协商的方法对因估值错误造成的损失进行评估；</w:t>
      </w:r>
    </w:p>
    <w:p w14:paraId="04AC4F0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）根据估值错误处理原则或当事人协商的方法由估值错误的责任方进行更正和赔偿损失；</w:t>
      </w:r>
    </w:p>
    <w:p w14:paraId="6160F7A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）根据估值错误处理的方法，需要修改基金登记机构交易数据的，由基金登记机构进行更</w:t>
      </w:r>
      <w:r>
        <w:rPr>
          <w:rFonts w:ascii="宋体" w:hAnsi="宋体"/>
          <w:sz w:val="24"/>
        </w:rPr>
        <w:t>正，并就估值错误的更正向有关当事人进行确认。</w:t>
      </w:r>
    </w:p>
    <w:p w14:paraId="6009339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w:t>
      </w:r>
      <w:r>
        <w:rPr>
          <w:rFonts w:ascii="宋体" w:hAnsi="宋体"/>
          <w:sz w:val="24"/>
        </w:rPr>
        <w:t>、基金份额净值估值错误处理的方法如下：</w:t>
      </w:r>
    </w:p>
    <w:p w14:paraId="5C0CAF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）基金份额净值计算出现错误时，基金管理人应当立即予以纠正，通报基金托管人，并采取合理的措施防止损失进一步扩大。</w:t>
      </w:r>
    </w:p>
    <w:p w14:paraId="6DACE99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）错误偏差达到基金份额净值的</w:t>
      </w:r>
      <w:r>
        <w:rPr>
          <w:rFonts w:ascii="宋体" w:hAnsi="宋体"/>
          <w:sz w:val="24"/>
        </w:rPr>
        <w:t>0.25%</w:t>
      </w:r>
      <w:r>
        <w:rPr>
          <w:rFonts w:ascii="宋体" w:hAnsi="宋体"/>
          <w:sz w:val="24"/>
        </w:rPr>
        <w:t>时，基金管理人应当通报基金托管人并报中国证监会备案；错误偏差达到基金份额净值的</w:t>
      </w:r>
      <w:r>
        <w:rPr>
          <w:rFonts w:ascii="宋体" w:hAnsi="宋体"/>
          <w:sz w:val="24"/>
        </w:rPr>
        <w:t>0.5%</w:t>
      </w:r>
      <w:r>
        <w:rPr>
          <w:rFonts w:ascii="宋体" w:hAnsi="宋体"/>
          <w:sz w:val="24"/>
        </w:rPr>
        <w:t>时，基金管理人应当公告，并报中国证监会备案。</w:t>
      </w:r>
    </w:p>
    <w:p w14:paraId="1D8A4B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）前述内容如法律法规或监管机关另有规定的，从其规定处理。</w:t>
      </w:r>
    </w:p>
    <w:p w14:paraId="5D8EB51B"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（七）暂停估值的情形</w:t>
      </w:r>
    </w:p>
    <w:p w14:paraId="46C6C4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、基金投资所涉及的证券交易市场遇法定节假日或因其</w:t>
      </w:r>
      <w:r>
        <w:rPr>
          <w:rFonts w:ascii="宋体" w:hAnsi="宋体"/>
          <w:sz w:val="24"/>
        </w:rPr>
        <w:t>他原因暂停营业时；</w:t>
      </w:r>
    </w:p>
    <w:p w14:paraId="52802B9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、因不可抗力致使基金管理人、基金托管人无法准确评估基金资产价值时；</w:t>
      </w:r>
    </w:p>
    <w:p w14:paraId="1A1578E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、当特定资产占前一估值日基金资产净值</w:t>
      </w:r>
      <w:r>
        <w:rPr>
          <w:rFonts w:ascii="宋体" w:hAnsi="宋体"/>
          <w:sz w:val="24"/>
        </w:rPr>
        <w:t>50%</w:t>
      </w:r>
      <w:r>
        <w:rPr>
          <w:rFonts w:ascii="宋体" w:hAnsi="宋体"/>
          <w:sz w:val="24"/>
        </w:rPr>
        <w:t>以上的，经与基金托管人协商确认后，基金管理人应当暂停估值；</w:t>
      </w:r>
    </w:p>
    <w:p w14:paraId="44CD0E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、法律法规、中国证监会和基金合同认定的其它情形。</w:t>
      </w:r>
    </w:p>
    <w:p w14:paraId="09C3DEAB"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（八）基金净值的确认</w:t>
      </w:r>
    </w:p>
    <w:p w14:paraId="3A41FD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w:t>
      </w:r>
      <w:r>
        <w:rPr>
          <w:rFonts w:ascii="宋体" w:hAnsi="宋体"/>
          <w:sz w:val="24"/>
        </w:rPr>
        <w:t>法律法规的规定对基金净值予以公布。</w:t>
      </w:r>
    </w:p>
    <w:p w14:paraId="10B22D0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（九）特殊情形的处理</w:t>
      </w:r>
    </w:p>
    <w:p w14:paraId="1E75A4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、基金管理人或基金托管人按估值方法的第</w:t>
      </w:r>
      <w:r>
        <w:rPr>
          <w:rFonts w:ascii="宋体" w:hAnsi="宋体"/>
          <w:sz w:val="24"/>
        </w:rPr>
        <w:t>4</w:t>
      </w:r>
      <w:r>
        <w:rPr>
          <w:rFonts w:ascii="宋体" w:hAnsi="宋体"/>
          <w:sz w:val="24"/>
        </w:rPr>
        <w:t>项进行估值时，所造成的误差不作为基金资产估值错误处理。</w:t>
      </w:r>
    </w:p>
    <w:p w14:paraId="22432E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由于不可抗力原因，或由于证券交易所、证券经纪机构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066CC04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（十）实施侧袋机制期</w:t>
      </w:r>
      <w:r>
        <w:rPr>
          <w:rFonts w:ascii="宋体" w:hAnsi="宋体" w:hint="eastAsia"/>
          <w:b/>
          <w:kern w:val="0"/>
          <w:sz w:val="24"/>
        </w:rPr>
        <w:t>间的基金资产估值</w:t>
      </w:r>
    </w:p>
    <w:p w14:paraId="151906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14:paraId="7C17C0D5"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64DB1A7" w14:textId="77777777" w:rsidR="002411B3" w:rsidRDefault="00BA6CE7">
      <w:pPr>
        <w:pStyle w:val="1"/>
        <w:snapToGrid w:val="0"/>
        <w:spacing w:beforeLines="0" w:before="240" w:after="240"/>
        <w:rPr>
          <w:rFonts w:ascii="宋体" w:hAnsi="宋体"/>
          <w:szCs w:val="30"/>
        </w:rPr>
      </w:pPr>
      <w:bookmarkStart w:id="17" w:name="_Toc202521662"/>
      <w:r>
        <w:rPr>
          <w:rFonts w:ascii="Times New Roman" w:hAnsi="Times New Roman"/>
          <w:sz w:val="30"/>
        </w:rPr>
        <w:lastRenderedPageBreak/>
        <w:t>十四、基金收益与分配</w:t>
      </w:r>
      <w:bookmarkEnd w:id="17"/>
    </w:p>
    <w:p w14:paraId="5DA51A5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（一）基金利润的构成</w:t>
      </w:r>
    </w:p>
    <w:p w14:paraId="21EFC7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06B25DF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（二）基金可供分配利润</w:t>
      </w:r>
    </w:p>
    <w:p w14:paraId="03CA7B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09E6655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（三）基金收益分配原则</w:t>
      </w:r>
    </w:p>
    <w:p w14:paraId="66CBA6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、在符合有关基金分红条件的前提下，本基金管理人可以根据实际情况进行收益分配，具体分配方案以公告为准，若基金合同生效不满</w:t>
      </w:r>
      <w:r>
        <w:rPr>
          <w:rFonts w:ascii="宋体" w:hAnsi="宋体"/>
          <w:sz w:val="24"/>
        </w:rPr>
        <w:t>3</w:t>
      </w:r>
      <w:r>
        <w:rPr>
          <w:rFonts w:ascii="宋体" w:hAnsi="宋体"/>
          <w:sz w:val="24"/>
        </w:rPr>
        <w:t>个月可不进行收益分配；</w:t>
      </w:r>
    </w:p>
    <w:p w14:paraId="2DB7F26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、本基金收益分配方式分两种：现金分红与红利再投资，投资者可选择现金红利或将现金红利自动转为基金份额进行再投资；若投资者不选择，本基金默认的收益分配方式是现金分红；</w:t>
      </w:r>
    </w:p>
    <w:p w14:paraId="04DB1A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、基金收益分配后基金份额净值不能低于面值，即基金收益分配基准日的基金份额净值减去每单位基金份额收益分配金额后不能低于面值；</w:t>
      </w:r>
    </w:p>
    <w:p w14:paraId="649E46F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、每一基金份额享有同等分配权；</w:t>
      </w:r>
    </w:p>
    <w:p w14:paraId="271443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、法律法规或监管机关另有规定的，从其规</w:t>
      </w:r>
      <w:r>
        <w:rPr>
          <w:rFonts w:ascii="宋体" w:hAnsi="宋体"/>
          <w:sz w:val="24"/>
        </w:rPr>
        <w:t>定。</w:t>
      </w:r>
    </w:p>
    <w:p w14:paraId="4F6C5995"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（四）收益分配方案</w:t>
      </w:r>
    </w:p>
    <w:p w14:paraId="0AB59B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742B6AB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（五）收益分配方案的确定、公告与实施</w:t>
      </w:r>
    </w:p>
    <w:p w14:paraId="40A937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本基金收益分配方案由基金管理人拟定，并由基金托管人复核，依照《信息披露办法》的规定在指定媒介公告。</w:t>
      </w:r>
    </w:p>
    <w:p w14:paraId="36B6DE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2073E8C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（六）基金收益分配中发生的费用</w:t>
      </w:r>
    </w:p>
    <w:p w14:paraId="19B630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基金收益分配时所发生的银行转账或其他手续费用由投资者自行承担。当投资者的现金红利小于一定金额，不足以支付银行转账或其他手续费用时，基金登记机构可将基金份额</w:t>
      </w:r>
      <w:r>
        <w:rPr>
          <w:rFonts w:ascii="宋体" w:hAnsi="宋体"/>
          <w:sz w:val="24"/>
        </w:rPr>
        <w:t>持有人的现金红利自动转为基金份额。红利再投资的计算方法，依</w:t>
      </w:r>
      <w:r>
        <w:rPr>
          <w:rFonts w:ascii="宋体" w:hAnsi="宋体"/>
          <w:sz w:val="24"/>
        </w:rPr>
        <w:lastRenderedPageBreak/>
        <w:t>照《业务规则》执行。</w:t>
      </w:r>
    </w:p>
    <w:p w14:paraId="7D64E64D"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（七）收益分配方式的修改</w:t>
      </w:r>
    </w:p>
    <w:p w14:paraId="22E411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228ED2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5C3FE24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（八）实施侧袋机制期间的收益分配</w:t>
      </w:r>
    </w:p>
    <w:p w14:paraId="19D7F5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本基金实施侧袋机制的，侧袋账户不进行收益分配。</w:t>
      </w:r>
    </w:p>
    <w:p w14:paraId="0CEBCBA6"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CF045E4" w14:textId="77777777" w:rsidR="002411B3" w:rsidRDefault="00BA6CE7">
      <w:pPr>
        <w:pStyle w:val="1"/>
        <w:snapToGrid w:val="0"/>
        <w:spacing w:beforeLines="0" w:before="240" w:after="240"/>
        <w:rPr>
          <w:rFonts w:ascii="宋体" w:hAnsi="宋体"/>
          <w:szCs w:val="30"/>
        </w:rPr>
      </w:pPr>
      <w:bookmarkStart w:id="18" w:name="_Toc202521663"/>
      <w:r>
        <w:rPr>
          <w:rFonts w:ascii="Times New Roman" w:hAnsi="Times New Roman"/>
          <w:sz w:val="30"/>
        </w:rPr>
        <w:lastRenderedPageBreak/>
        <w:t>十五、基金的费用与税收</w:t>
      </w:r>
      <w:bookmarkEnd w:id="18"/>
    </w:p>
    <w:p w14:paraId="38B62A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14:paraId="3F8C0E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、基金管理人的管理费；</w:t>
      </w:r>
    </w:p>
    <w:p w14:paraId="7B1D36A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、基金托管人的托管费；</w:t>
      </w:r>
    </w:p>
    <w:p w14:paraId="2AC5A88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、《基金合同》生效后与基金相关的信息披露费用；</w:t>
      </w:r>
    </w:p>
    <w:p w14:paraId="7BDE84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、《基金合同》生效后与基金相关的会计师费、律师费、仲裁费和诉讼费；</w:t>
      </w:r>
    </w:p>
    <w:p w14:paraId="2287631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、基金份额持有人大会费用；</w:t>
      </w:r>
    </w:p>
    <w:p w14:paraId="3EF0EB1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、基金的证券交易费用；</w:t>
      </w:r>
    </w:p>
    <w:p w14:paraId="3B773E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、基金的银行汇划费用；</w:t>
      </w:r>
    </w:p>
    <w:p w14:paraId="68B5C9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、基金的开户费用、账户维护费用；</w:t>
      </w:r>
    </w:p>
    <w:p w14:paraId="21082D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、按照国家有关规定和《基金合同》约定，可以在基金财产中列支的其他费用。</w:t>
      </w:r>
    </w:p>
    <w:p w14:paraId="51B7EE9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（二）基金费用计提方法、计提标准和支付方式</w:t>
      </w:r>
    </w:p>
    <w:p w14:paraId="184888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、与基金运作有关的费用</w:t>
      </w:r>
    </w:p>
    <w:p w14:paraId="31A282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）基金管理人的管理费</w:t>
      </w:r>
    </w:p>
    <w:p w14:paraId="4274C0F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w:t>
      </w:r>
      <w:r>
        <w:rPr>
          <w:rFonts w:ascii="宋体" w:hAnsi="宋体"/>
          <w:sz w:val="24"/>
        </w:rPr>
        <w:t>0.2%</w:t>
      </w:r>
      <w:r>
        <w:rPr>
          <w:rFonts w:ascii="宋体" w:hAnsi="宋体"/>
          <w:sz w:val="24"/>
        </w:rPr>
        <w:t>年费率计提。管理费的计算方法如下：</w:t>
      </w:r>
    </w:p>
    <w:p w14:paraId="141A94A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Pr>
          <w:rFonts w:ascii="宋体" w:hAnsi="宋体"/>
          <w:sz w:val="24"/>
        </w:rPr>
        <w:t>＝</w:t>
      </w:r>
      <w:r>
        <w:rPr>
          <w:rFonts w:ascii="宋体" w:hAnsi="宋体"/>
          <w:sz w:val="24"/>
        </w:rPr>
        <w:t>E×0.2%÷</w:t>
      </w:r>
      <w:r>
        <w:rPr>
          <w:rFonts w:ascii="宋体" w:hAnsi="宋体"/>
          <w:sz w:val="24"/>
        </w:rPr>
        <w:t>当年天</w:t>
      </w:r>
      <w:r>
        <w:rPr>
          <w:rFonts w:ascii="宋体" w:hAnsi="宋体"/>
          <w:sz w:val="24"/>
        </w:rPr>
        <w:t>数</w:t>
      </w:r>
    </w:p>
    <w:p w14:paraId="5AC485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Pr>
          <w:rFonts w:ascii="宋体" w:hAnsi="宋体"/>
          <w:sz w:val="24"/>
        </w:rPr>
        <w:t>为每日应计提的基金管理费</w:t>
      </w:r>
    </w:p>
    <w:p w14:paraId="402F711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w:t>
      </w:r>
      <w:r>
        <w:rPr>
          <w:rFonts w:ascii="宋体" w:hAnsi="宋体"/>
          <w:sz w:val="24"/>
        </w:rPr>
        <w:t>为前一日的基金资产净值</w:t>
      </w:r>
    </w:p>
    <w:p w14:paraId="7713927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基金管理费每日计提，按月支付。由基金管理人向基金托管人发送基金管理费划付指令，经基金托管人复核无误后于次月首日起</w:t>
      </w:r>
      <w:r>
        <w:rPr>
          <w:rFonts w:ascii="宋体" w:hAnsi="宋体"/>
          <w:sz w:val="24"/>
        </w:rPr>
        <w:t>3</w:t>
      </w:r>
      <w:r>
        <w:rPr>
          <w:rFonts w:ascii="宋体" w:hAnsi="宋体"/>
          <w:sz w:val="24"/>
        </w:rPr>
        <w:t>个工作日内从基金资产中一次性支付给基金管理人。</w:t>
      </w:r>
    </w:p>
    <w:p w14:paraId="44E6E8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6963E81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）基金托管人的托管费</w:t>
      </w:r>
    </w:p>
    <w:p w14:paraId="38CAC9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w:t>
      </w:r>
      <w:r>
        <w:rPr>
          <w:rFonts w:ascii="宋体" w:hAnsi="宋体"/>
          <w:sz w:val="24"/>
        </w:rPr>
        <w:t>0.1%</w:t>
      </w:r>
      <w:r>
        <w:rPr>
          <w:rFonts w:ascii="宋体" w:hAnsi="宋体"/>
          <w:sz w:val="24"/>
        </w:rPr>
        <w:t>的年费率计提。托管费的计算方法如下：</w:t>
      </w:r>
    </w:p>
    <w:p w14:paraId="5696122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w:t>
      </w:r>
      <w:r>
        <w:rPr>
          <w:rFonts w:ascii="宋体" w:hAnsi="宋体"/>
          <w:sz w:val="24"/>
        </w:rPr>
        <w:t>＝</w:t>
      </w:r>
      <w:r>
        <w:rPr>
          <w:rFonts w:ascii="宋体" w:hAnsi="宋体"/>
          <w:sz w:val="24"/>
        </w:rPr>
        <w:t>E×0.1%÷</w:t>
      </w:r>
      <w:r>
        <w:rPr>
          <w:rFonts w:ascii="宋体" w:hAnsi="宋体"/>
          <w:sz w:val="24"/>
        </w:rPr>
        <w:t>当年天数</w:t>
      </w:r>
    </w:p>
    <w:p w14:paraId="564448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H</w:t>
      </w:r>
      <w:r>
        <w:rPr>
          <w:rFonts w:ascii="宋体" w:hAnsi="宋体"/>
          <w:sz w:val="24"/>
        </w:rPr>
        <w:t>为每日应计提的基金托管费</w:t>
      </w:r>
    </w:p>
    <w:p w14:paraId="14977B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w:t>
      </w:r>
      <w:r>
        <w:rPr>
          <w:rFonts w:ascii="宋体" w:hAnsi="宋体"/>
          <w:sz w:val="24"/>
        </w:rPr>
        <w:t>为前一日的基金资产净值</w:t>
      </w:r>
    </w:p>
    <w:p w14:paraId="12615E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基金托管费每日计提，按月支付。由基金管理人向基金托管人发送基金托管费划付指令，经基金托管人复核无误后于次月首日起</w:t>
      </w:r>
      <w:r>
        <w:rPr>
          <w:rFonts w:ascii="宋体" w:hAnsi="宋体"/>
          <w:sz w:val="24"/>
        </w:rPr>
        <w:t>3</w:t>
      </w:r>
      <w:r>
        <w:rPr>
          <w:rFonts w:ascii="宋体" w:hAnsi="宋体"/>
          <w:sz w:val="24"/>
        </w:rPr>
        <w:t>个工作日内从基金资产中一次性支付给基金托管人。</w:t>
      </w:r>
    </w:p>
    <w:p w14:paraId="3C82DDB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0381BEB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）上述</w:t>
      </w:r>
      <w:r>
        <w:rPr>
          <w:rFonts w:ascii="宋体" w:hAnsi="宋体"/>
          <w:sz w:val="24"/>
        </w:rPr>
        <w:t>“</w:t>
      </w:r>
      <w:r>
        <w:rPr>
          <w:rFonts w:ascii="宋体" w:hAnsi="宋体"/>
          <w:sz w:val="24"/>
        </w:rPr>
        <w:t>（一）基金费用的种类</w:t>
      </w:r>
      <w:r>
        <w:rPr>
          <w:rFonts w:ascii="宋体" w:hAnsi="宋体"/>
          <w:sz w:val="24"/>
        </w:rPr>
        <w:t>”</w:t>
      </w:r>
      <w:r>
        <w:rPr>
          <w:rFonts w:ascii="宋体" w:hAnsi="宋体"/>
          <w:sz w:val="24"/>
        </w:rPr>
        <w:t>中第</w:t>
      </w:r>
      <w:r>
        <w:rPr>
          <w:rFonts w:ascii="宋体" w:hAnsi="宋体"/>
          <w:sz w:val="24"/>
        </w:rPr>
        <w:t>3</w:t>
      </w:r>
      <w:r>
        <w:rPr>
          <w:rFonts w:ascii="宋体" w:hAnsi="宋体"/>
          <w:sz w:val="24"/>
        </w:rPr>
        <w:t>－</w:t>
      </w:r>
      <w:r>
        <w:rPr>
          <w:rFonts w:ascii="宋体" w:hAnsi="宋体"/>
          <w:sz w:val="24"/>
        </w:rPr>
        <w:t>9</w:t>
      </w:r>
      <w:r>
        <w:rPr>
          <w:rFonts w:ascii="宋体" w:hAnsi="宋体"/>
          <w:sz w:val="24"/>
        </w:rPr>
        <w:t>项费用，根据有关法规及相应协议规定，按费用实际支出金额列入当期费用，由基金托管人从基金财产中支付。</w:t>
      </w:r>
    </w:p>
    <w:p w14:paraId="237DE2D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、与基金销售有关的费用</w:t>
      </w:r>
    </w:p>
    <w:p w14:paraId="2F736D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）申购费</w:t>
      </w:r>
    </w:p>
    <w:p w14:paraId="7A3E9D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w:t>
      </w:r>
      <w:r>
        <w:rPr>
          <w:rFonts w:ascii="宋体" w:hAnsi="宋体"/>
          <w:sz w:val="24"/>
        </w:rPr>
        <w:t>“</w:t>
      </w:r>
      <w:r>
        <w:rPr>
          <w:rFonts w:ascii="宋体" w:hAnsi="宋体"/>
          <w:sz w:val="24"/>
        </w:rPr>
        <w:t>基金份额的申购与赎回</w:t>
      </w:r>
      <w:r>
        <w:rPr>
          <w:rFonts w:ascii="宋体" w:hAnsi="宋体"/>
          <w:sz w:val="24"/>
        </w:rPr>
        <w:t>”</w:t>
      </w:r>
      <w:r>
        <w:rPr>
          <w:rFonts w:ascii="宋体" w:hAnsi="宋体"/>
          <w:sz w:val="24"/>
        </w:rPr>
        <w:t>一章。</w:t>
      </w:r>
    </w:p>
    <w:p w14:paraId="4F21ABB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）赎回</w:t>
      </w:r>
      <w:r>
        <w:rPr>
          <w:rFonts w:ascii="宋体" w:hAnsi="宋体"/>
          <w:sz w:val="24"/>
        </w:rPr>
        <w:t>费</w:t>
      </w:r>
    </w:p>
    <w:p w14:paraId="59C514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w:t>
      </w:r>
      <w:r>
        <w:rPr>
          <w:rFonts w:ascii="宋体" w:hAnsi="宋体"/>
          <w:sz w:val="24"/>
        </w:rPr>
        <w:t>“</w:t>
      </w:r>
      <w:r>
        <w:rPr>
          <w:rFonts w:ascii="宋体" w:hAnsi="宋体"/>
          <w:sz w:val="24"/>
        </w:rPr>
        <w:t>基金份额的申购与赎回</w:t>
      </w:r>
      <w:r>
        <w:rPr>
          <w:rFonts w:ascii="宋体" w:hAnsi="宋体"/>
          <w:sz w:val="24"/>
        </w:rPr>
        <w:t>”</w:t>
      </w:r>
      <w:r>
        <w:rPr>
          <w:rFonts w:ascii="宋体" w:hAnsi="宋体"/>
          <w:sz w:val="24"/>
        </w:rPr>
        <w:t>一章。</w:t>
      </w:r>
    </w:p>
    <w:p w14:paraId="78A0D8A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（三）不列入基金费用的项目</w:t>
      </w:r>
    </w:p>
    <w:p w14:paraId="4DA442C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31A2AA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、基金管理人和基金托管人因未履行或未完全履行义务导致的费用支出或基金财产的损失；</w:t>
      </w:r>
    </w:p>
    <w:p w14:paraId="4872F0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、基金管理人和基金托管人处理与基金运作无关的事项发生的费用；</w:t>
      </w:r>
    </w:p>
    <w:p w14:paraId="7C8215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、《交银施罗德理财</w:t>
      </w:r>
      <w:r>
        <w:rPr>
          <w:rFonts w:ascii="宋体" w:hAnsi="宋体"/>
          <w:sz w:val="24"/>
        </w:rPr>
        <w:t>21</w:t>
      </w:r>
      <w:r>
        <w:rPr>
          <w:rFonts w:ascii="宋体" w:hAnsi="宋体"/>
          <w:sz w:val="24"/>
        </w:rPr>
        <w:t>天债券型证券投资基金基金合同》生效前的相关费用；</w:t>
      </w:r>
    </w:p>
    <w:p w14:paraId="257536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、其他根据相关法律法规及中国证监会的有关规定不得列入基金费用的项目。</w:t>
      </w:r>
    </w:p>
    <w:p w14:paraId="1CA66A0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（四）实施侧袋机制期间的基金费用</w:t>
      </w:r>
    </w:p>
    <w:p w14:paraId="373DA2C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本基金实施侧袋机制的，与侧袋账户有关的费用可以从</w:t>
      </w:r>
      <w:r>
        <w:rPr>
          <w:rFonts w:ascii="宋体" w:hAnsi="宋体"/>
          <w:sz w:val="24"/>
        </w:rPr>
        <w:t>侧袋账户中列支，但应待侧袋账户资产变现后方可列支，有关费用可酌情收取或减免，但不得收取管理费，详见本招募说明书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w:t>
      </w:r>
    </w:p>
    <w:p w14:paraId="529B3E4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（五）基金税收</w:t>
      </w:r>
    </w:p>
    <w:p w14:paraId="28B21A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w:t>
      </w:r>
      <w:r>
        <w:rPr>
          <w:rFonts w:ascii="宋体" w:hAnsi="宋体"/>
          <w:sz w:val="24"/>
        </w:rPr>
        <w:lastRenderedPageBreak/>
        <w:t>行。基金财产投资的相关税收，由基金份额持有人承担，基金管理人或者其他扣缴义务人按照国家有关税收征收的规定代扣代缴。</w:t>
      </w:r>
    </w:p>
    <w:p w14:paraId="53A1AED1"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CBC7CA9" w14:textId="77777777" w:rsidR="002411B3" w:rsidRDefault="00BA6CE7">
      <w:pPr>
        <w:pStyle w:val="1"/>
        <w:snapToGrid w:val="0"/>
        <w:spacing w:beforeLines="0" w:before="240" w:after="240"/>
        <w:rPr>
          <w:rFonts w:ascii="宋体" w:hAnsi="宋体"/>
          <w:szCs w:val="30"/>
        </w:rPr>
      </w:pPr>
      <w:bookmarkStart w:id="19" w:name="_Toc202521664"/>
      <w:r>
        <w:rPr>
          <w:rFonts w:ascii="Times New Roman" w:hAnsi="Times New Roman"/>
          <w:sz w:val="30"/>
        </w:rPr>
        <w:lastRenderedPageBreak/>
        <w:t>十六、基金的会计与审计</w:t>
      </w:r>
      <w:bookmarkEnd w:id="19"/>
    </w:p>
    <w:p w14:paraId="66075F7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（一）基金会计政策</w:t>
      </w:r>
    </w:p>
    <w:p w14:paraId="43E582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、基金管理人为本基金的基金会计责任方；</w:t>
      </w:r>
    </w:p>
    <w:p w14:paraId="56CF9D1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、基金的会计年度为公历年度的</w:t>
      </w:r>
      <w:r>
        <w:rPr>
          <w:rFonts w:ascii="宋体" w:hAnsi="宋体"/>
          <w:sz w:val="24"/>
        </w:rPr>
        <w:t>1</w:t>
      </w:r>
      <w:r>
        <w:rPr>
          <w:rFonts w:ascii="宋体" w:hAnsi="宋体"/>
          <w:sz w:val="24"/>
        </w:rPr>
        <w:t>月</w:t>
      </w:r>
      <w:r>
        <w:rPr>
          <w:rFonts w:ascii="宋体" w:hAnsi="宋体"/>
          <w:sz w:val="24"/>
        </w:rPr>
        <w:t>1</w:t>
      </w:r>
      <w:r>
        <w:rPr>
          <w:rFonts w:ascii="宋体" w:hAnsi="宋体"/>
          <w:sz w:val="24"/>
        </w:rPr>
        <w:t>日至</w:t>
      </w:r>
      <w:r>
        <w:rPr>
          <w:rFonts w:ascii="宋体" w:hAnsi="宋体"/>
          <w:sz w:val="24"/>
        </w:rPr>
        <w:t>12</w:t>
      </w:r>
      <w:r>
        <w:rPr>
          <w:rFonts w:ascii="宋体" w:hAnsi="宋体"/>
          <w:sz w:val="24"/>
        </w:rPr>
        <w:t>月</w:t>
      </w:r>
      <w:r>
        <w:rPr>
          <w:rFonts w:ascii="宋体" w:hAnsi="宋体"/>
          <w:sz w:val="24"/>
        </w:rPr>
        <w:t>31</w:t>
      </w:r>
      <w:r>
        <w:rPr>
          <w:rFonts w:ascii="宋体" w:hAnsi="宋体"/>
          <w:sz w:val="24"/>
        </w:rPr>
        <w:t>日；</w:t>
      </w:r>
    </w:p>
    <w:p w14:paraId="75CA6B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、基金核算以人民币为记账本位币，以人民币元为记账单位；</w:t>
      </w:r>
    </w:p>
    <w:p w14:paraId="717A8B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、会计制度执行国家有关会计制度；</w:t>
      </w:r>
    </w:p>
    <w:p w14:paraId="053623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、本基金独立建账、独立核算；</w:t>
      </w:r>
    </w:p>
    <w:p w14:paraId="08F7309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、基金管理人及基金托管人各自保留完整的会计账目、凭证并进行日常的会计核算，按照有关规定编制基金会计报表；</w:t>
      </w:r>
    </w:p>
    <w:p w14:paraId="0E1055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、基金托管人每月与基金管理人就基金的会计核算、报表编制等进行核对并以书面方式确认。</w:t>
      </w:r>
    </w:p>
    <w:p w14:paraId="23BCE74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（二）基金的年度审计</w:t>
      </w:r>
    </w:p>
    <w:p w14:paraId="210126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、基金管理人聘请与基金管理人、基金托管人相互独立的具有证券、期货相关业务资格的会计师事务所及其注册会计师对本基金的年度财务报表进行审计。</w:t>
      </w:r>
    </w:p>
    <w:p w14:paraId="442233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、会计师事务所更换经办注册会</w:t>
      </w:r>
      <w:r>
        <w:rPr>
          <w:rFonts w:ascii="宋体" w:hAnsi="宋体"/>
          <w:sz w:val="24"/>
        </w:rPr>
        <w:t>计师，应事先征得基金管理人同意。</w:t>
      </w:r>
    </w:p>
    <w:p w14:paraId="6F1469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、基金管理人认为有充足理由更换会计师事务所，须通报基金托管人。更换会计师事务所需依照《信息披露办法》的规定在指定媒介公告。</w:t>
      </w:r>
    </w:p>
    <w:p w14:paraId="7D0EF2E8"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189B0BB" w14:textId="77777777" w:rsidR="002411B3" w:rsidRDefault="00BA6CE7">
      <w:pPr>
        <w:pStyle w:val="1"/>
        <w:snapToGrid w:val="0"/>
        <w:spacing w:beforeLines="0" w:before="240" w:after="240"/>
        <w:rPr>
          <w:rFonts w:ascii="宋体" w:hAnsi="宋体"/>
          <w:szCs w:val="30"/>
        </w:rPr>
      </w:pPr>
      <w:bookmarkStart w:id="20" w:name="_Toc202521665"/>
      <w:r>
        <w:rPr>
          <w:rFonts w:ascii="Times New Roman" w:hAnsi="Times New Roman"/>
          <w:sz w:val="30"/>
        </w:rPr>
        <w:lastRenderedPageBreak/>
        <w:t>十七、基金的信息披露</w:t>
      </w:r>
      <w:bookmarkEnd w:id="20"/>
    </w:p>
    <w:p w14:paraId="5A4DD8E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w:t>
      </w:r>
      <w:r>
        <w:rPr>
          <w:rFonts w:ascii="宋体" w:hAnsi="宋体" w:hint="eastAsia"/>
          <w:kern w:val="0"/>
          <w:sz w:val="24"/>
        </w:rPr>
        <w:t>本基金的信息披露应符合《基金法》、《运作办法》、《信息披露办法》、《流动性风险管理规定》、《基金合同》及其他有关规定。</w:t>
      </w:r>
    </w:p>
    <w:p w14:paraId="778760D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（二）信息披露义务人</w:t>
      </w:r>
    </w:p>
    <w:p w14:paraId="1F9A53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14:paraId="7E9533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3CDD1C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w:t>
      </w:r>
      <w:r>
        <w:rPr>
          <w:rFonts w:ascii="宋体" w:hAnsi="宋体"/>
          <w:sz w:val="24"/>
        </w:rPr>
        <w:t>“</w:t>
      </w:r>
      <w:r>
        <w:rPr>
          <w:rFonts w:ascii="宋体" w:hAnsi="宋体"/>
          <w:sz w:val="24"/>
        </w:rPr>
        <w:t>指定报刊</w:t>
      </w:r>
      <w:r>
        <w:rPr>
          <w:rFonts w:ascii="宋体" w:hAnsi="宋体"/>
          <w:sz w:val="24"/>
        </w:rPr>
        <w:t>”</w:t>
      </w:r>
      <w:r>
        <w:rPr>
          <w:rFonts w:ascii="宋体" w:hAnsi="宋体"/>
          <w:sz w:val="24"/>
        </w:rPr>
        <w:t>）及指定互联网网站（以下简称</w:t>
      </w:r>
      <w:r>
        <w:rPr>
          <w:rFonts w:ascii="宋体" w:hAnsi="宋体"/>
          <w:sz w:val="24"/>
        </w:rPr>
        <w:t>“</w:t>
      </w:r>
      <w:r>
        <w:rPr>
          <w:rFonts w:ascii="宋体" w:hAnsi="宋体"/>
          <w:sz w:val="24"/>
        </w:rPr>
        <w:t>指定网站</w:t>
      </w:r>
      <w:r>
        <w:rPr>
          <w:rFonts w:ascii="宋体" w:hAnsi="宋体"/>
          <w:sz w:val="24"/>
        </w:rPr>
        <w:t>”</w:t>
      </w:r>
      <w:r>
        <w:rPr>
          <w:rFonts w:ascii="宋体" w:hAnsi="宋体"/>
          <w:sz w:val="24"/>
        </w:rPr>
        <w:t>）等媒介披露，并保证基金投资者能够按照《基金合同》约定的时间和方式查阅或者复制公开披露的信息资料。</w:t>
      </w:r>
    </w:p>
    <w:p w14:paraId="099103F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（三）本基金信息披露义务人承诺公开披露的基金信息，不得有下列行为：</w:t>
      </w:r>
    </w:p>
    <w:p w14:paraId="1B50D5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、虚假记载、</w:t>
      </w:r>
      <w:r>
        <w:rPr>
          <w:rFonts w:ascii="宋体" w:hAnsi="宋体"/>
          <w:sz w:val="24"/>
        </w:rPr>
        <w:t>误导性陈述或者重大遗漏；</w:t>
      </w:r>
    </w:p>
    <w:p w14:paraId="0716666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、对证券投资业绩进行预测；</w:t>
      </w:r>
    </w:p>
    <w:p w14:paraId="0163E69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、违规承诺收益或者承担损失；</w:t>
      </w:r>
    </w:p>
    <w:p w14:paraId="709239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、诋毁其他基金管理人、基金托管人或者基金销售机构；</w:t>
      </w:r>
    </w:p>
    <w:p w14:paraId="34AB128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、登载任何自然人、法人和非法人组织的祝贺性、恭维性或推荐性的文字；</w:t>
      </w:r>
    </w:p>
    <w:p w14:paraId="21F2DF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、中国证监会禁止的其他行为。</w:t>
      </w:r>
    </w:p>
    <w:p w14:paraId="7D6E268D"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w:t>
      </w:r>
      <w:r>
        <w:rPr>
          <w:rFonts w:ascii="宋体" w:hAnsi="宋体" w:hint="eastAsia"/>
          <w:kern w:val="0"/>
          <w:sz w:val="24"/>
        </w:rPr>
        <w:t>本基金公开披露的信息应采用中文文本。如同时采用外文文本的，基金信息披露义务人应保证不同文本的内容一致。不同文本之间发生歧义的，以中文文本为准。</w:t>
      </w:r>
    </w:p>
    <w:p w14:paraId="05C9E04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2CAE5478"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（五）公开披露的基金信息</w:t>
      </w:r>
    </w:p>
    <w:p w14:paraId="36EB54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14:paraId="7D1231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、基金招募说明书、《基金合同》、基金托管协议、基金产品资料概要</w:t>
      </w:r>
    </w:p>
    <w:p w14:paraId="3E08015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1</w:t>
      </w:r>
      <w:r>
        <w:rPr>
          <w:rFonts w:ascii="宋体" w:hAnsi="宋体"/>
          <w:sz w:val="24"/>
        </w:rPr>
        <w:t>）《基金合同》是界定《基金合同》当事人的各项权利、义务关系，明确基金份额持有人大会召开的规则及具体程序，说明基金产品的特性等涉及基金投资者重大利益的事项的法律文件。</w:t>
      </w:r>
    </w:p>
    <w:p w14:paraId="5428B55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招募说明书应当最大限度地披露影响基金投资者决策的全部事项，说明基金申购和赎回安排、基金投资、基金产品特性、风险揭示、信息披露及基金份额持有人服务等内容。《基金合同》生效后，基金招募说明书的信息发生重大变更的，基金管理人应当在三个工作日内，更</w:t>
      </w:r>
      <w:r>
        <w:rPr>
          <w:rFonts w:ascii="宋体" w:hAnsi="宋体"/>
          <w:sz w:val="24"/>
        </w:rPr>
        <w:t>新基金招募说明书并登载在指定网站上；基金招募说明书其他信息发生变更的，基金管理人至少每年更新一次。《基金合同》终止的，基金管理人不再更新基金招募说明书。</w:t>
      </w:r>
    </w:p>
    <w:p w14:paraId="38C15D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）基金托管协议是界定基金托管人和基金管理人在基金财产保管及基金运作监督等活动中的权利、义务关系的法律文件。</w:t>
      </w:r>
    </w:p>
    <w:p w14:paraId="6D2695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w:t>
      </w:r>
      <w:r>
        <w:rPr>
          <w:rFonts w:ascii="宋体" w:hAnsi="宋体"/>
          <w:sz w:val="24"/>
        </w:rPr>
        <w:t>产品资料概要其他信息发生变更的，基金管理人至少每年更新一次。基金合同终止的，基金管理人不再更新基金产品资料概要。</w:t>
      </w:r>
    </w:p>
    <w:p w14:paraId="7C4E4A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国证监会变更注册后，并在本基金正式实施转型前，基金管理人按照《信息披露办法》的规定，将基金招募说明书提示性公告和《基金合同》提示性公告登载在指定报刊上，将基金招募说明书、基金产品资料概要、《基金合同》和基金托管协议登载在指定网站上，并将基金产品资料概要登载在基金销售机构网站或营业网点；基金托管人应当同时将《基金合同》、基金托管协议登载在网站上。</w:t>
      </w:r>
    </w:p>
    <w:p w14:paraId="627F316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、基金净值信息</w:t>
      </w:r>
    </w:p>
    <w:p w14:paraId="44970CA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w:t>
      </w:r>
      <w:r>
        <w:rPr>
          <w:rFonts w:ascii="宋体" w:hAnsi="宋体"/>
          <w:sz w:val="24"/>
        </w:rPr>
        <w:t>基金份额申购或者赎回前，基金管理人应当至少每周在指定网站披露一次基金份额净值和基金份额累计净值</w:t>
      </w:r>
    </w:p>
    <w:p w14:paraId="71CDC4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在开始办理基金份额申购或者赎回后，基金管理人应当在不晚于每个开放日的次日，通过指定网站、基金销售机构网站或者营业网点，披露开放日的基金份额净值和基金份额累计净值。</w:t>
      </w:r>
    </w:p>
    <w:p w14:paraId="7DECCE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基金管理人应当在不晚于半年度和年度最后一日的次日，在指定网站披露半年度和年度最后一日基金份额净值和基金份额累计净值。</w:t>
      </w:r>
    </w:p>
    <w:p w14:paraId="00C221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w:t>
      </w:r>
      <w:r>
        <w:rPr>
          <w:rFonts w:ascii="宋体" w:hAnsi="宋体"/>
          <w:sz w:val="24"/>
        </w:rPr>
        <w:t>、基金份额申购、赎回价格</w:t>
      </w:r>
    </w:p>
    <w:p w14:paraId="327939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w:t>
      </w:r>
      <w:r>
        <w:rPr>
          <w:rFonts w:ascii="宋体" w:hAnsi="宋体"/>
          <w:sz w:val="24"/>
        </w:rPr>
        <w:t>回费率，并保证投资者能够在基金销售机构网站或营业网点查阅或者复制前述信息资料。</w:t>
      </w:r>
    </w:p>
    <w:p w14:paraId="6F97DD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、基金定期报告，包括基金年度报告、基金中期报告和基金季度报告</w:t>
      </w:r>
    </w:p>
    <w:p w14:paraId="3026868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51034C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14:paraId="069A761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w:t>
      </w:r>
      <w:r>
        <w:rPr>
          <w:rFonts w:ascii="宋体" w:hAnsi="宋体"/>
          <w:sz w:val="24"/>
        </w:rPr>
        <w:t>结束之日起</w:t>
      </w:r>
      <w:r>
        <w:rPr>
          <w:rFonts w:ascii="宋体" w:hAnsi="宋体"/>
          <w:sz w:val="24"/>
        </w:rPr>
        <w:t>15</w:t>
      </w:r>
      <w:r>
        <w:rPr>
          <w:rFonts w:ascii="宋体" w:hAnsi="宋体"/>
          <w:sz w:val="24"/>
        </w:rPr>
        <w:t>个工作日内，编制完成基金季度报告，将季度报告登载在指定网站上，并将季度报告提示性公告登载在指定报刊上。</w:t>
      </w:r>
    </w:p>
    <w:p w14:paraId="6EB1DF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w:t>
      </w:r>
      <w:r>
        <w:rPr>
          <w:rFonts w:ascii="宋体" w:hAnsi="宋体"/>
          <w:sz w:val="24"/>
        </w:rPr>
        <w:t>20%</w:t>
      </w:r>
      <w:r>
        <w:rPr>
          <w:rFonts w:ascii="宋体" w:hAnsi="宋体"/>
          <w:sz w:val="24"/>
        </w:rPr>
        <w:t>的情形，为保障其他投资者的权益，基金管理人至少应当在定期报告</w:t>
      </w:r>
      <w:r>
        <w:rPr>
          <w:rFonts w:ascii="宋体" w:hAnsi="宋体"/>
          <w:sz w:val="24"/>
        </w:rPr>
        <w:t>“</w:t>
      </w:r>
      <w:r>
        <w:rPr>
          <w:rFonts w:ascii="宋体" w:hAnsi="宋体"/>
          <w:sz w:val="24"/>
        </w:rPr>
        <w:t>影响投资者决策的其他重要信息</w:t>
      </w:r>
      <w:r>
        <w:rPr>
          <w:rFonts w:ascii="宋体" w:hAnsi="宋体"/>
          <w:sz w:val="24"/>
        </w:rPr>
        <w:t>”</w:t>
      </w:r>
      <w:r>
        <w:rPr>
          <w:rFonts w:ascii="宋体" w:hAnsi="宋体"/>
          <w:sz w:val="24"/>
        </w:rPr>
        <w:t>项下披露该投资者的类别、报告期末持有份额及占比、报告期内持有份额变化情况及本基金的特有风险，中国证监会认定的特殊情形除外。</w:t>
      </w:r>
    </w:p>
    <w:p w14:paraId="38C799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5C5E1C3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、临时报告</w:t>
      </w:r>
    </w:p>
    <w:p w14:paraId="216C680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w:t>
      </w:r>
      <w:r>
        <w:rPr>
          <w:rFonts w:ascii="宋体" w:hAnsi="宋体"/>
          <w:sz w:val="24"/>
        </w:rPr>
        <w:t>，有关信息披露义务人应当依照《信息披露办法》的规定编制临时报告书，并登载在指定报刊和指定网站上。</w:t>
      </w:r>
    </w:p>
    <w:p w14:paraId="56E0BC4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06A3A5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）基金份额持有人大会的召开及决定的事项；</w:t>
      </w:r>
    </w:p>
    <w:p w14:paraId="4F0EBB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）《基金合同》终止、基金清算；</w:t>
      </w:r>
    </w:p>
    <w:p w14:paraId="034EAD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）转换基金运作方式、基金合并；</w:t>
      </w:r>
    </w:p>
    <w:p w14:paraId="7C7169D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）更换基金管理人、基金托管人、基金份额登记机构，基金改聘会计师事务所；</w:t>
      </w:r>
    </w:p>
    <w:p w14:paraId="25F5C2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）基金管理人委托基金服务机构代为办理基金的份额登记、核算、估值等事项，基金托管人委托基金服务机构代为办理基金的核算、估值、复核等事项；</w:t>
      </w:r>
    </w:p>
    <w:p w14:paraId="603C73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6</w:t>
      </w:r>
      <w:r>
        <w:rPr>
          <w:rFonts w:ascii="宋体" w:hAnsi="宋体"/>
          <w:sz w:val="24"/>
        </w:rPr>
        <w:t>）基金管理人、基金托管人的法定名称、住所发生变更；</w:t>
      </w:r>
    </w:p>
    <w:p w14:paraId="0A1E26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）基金管理人变更持有百分之五以上股权的股东、基金管理人的实际控制人变更；</w:t>
      </w:r>
    </w:p>
    <w:p w14:paraId="41BCDA2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8</w:t>
      </w:r>
      <w:r>
        <w:rPr>
          <w:rFonts w:ascii="宋体" w:hAnsi="宋体"/>
          <w:sz w:val="24"/>
        </w:rPr>
        <w:t>）基金管理人的高级管理人员、基金经理和基金托管人专门基金托管部门负责人发生变动；</w:t>
      </w:r>
    </w:p>
    <w:p w14:paraId="050A31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）基金管理人的董事在最近</w:t>
      </w:r>
      <w:r>
        <w:rPr>
          <w:rFonts w:ascii="宋体" w:hAnsi="宋体"/>
          <w:sz w:val="24"/>
        </w:rPr>
        <w:t>12</w:t>
      </w:r>
      <w:r>
        <w:rPr>
          <w:rFonts w:ascii="宋体" w:hAnsi="宋体"/>
          <w:sz w:val="24"/>
        </w:rPr>
        <w:t>个月内变更超过百分之五十，基金管理人、基金托管人专门基金托管部门的主要业务人员在最近</w:t>
      </w:r>
      <w:r>
        <w:rPr>
          <w:rFonts w:ascii="宋体" w:hAnsi="宋体"/>
          <w:sz w:val="24"/>
        </w:rPr>
        <w:t>12</w:t>
      </w:r>
      <w:r>
        <w:rPr>
          <w:rFonts w:ascii="宋体" w:hAnsi="宋体"/>
          <w:sz w:val="24"/>
        </w:rPr>
        <w:t>个月内变动超过百分之三十；</w:t>
      </w:r>
    </w:p>
    <w:p w14:paraId="73164CC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）涉及基金财产、基金管理业务、基金托管业务的诉讼或仲裁；</w:t>
      </w:r>
    </w:p>
    <w:p w14:paraId="398D55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E15E1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86F0E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）基金收益分配事项；</w:t>
      </w:r>
    </w:p>
    <w:p w14:paraId="478251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）管理费、托管费、申购费、赎回</w:t>
      </w:r>
      <w:r>
        <w:rPr>
          <w:rFonts w:ascii="宋体" w:hAnsi="宋体"/>
          <w:sz w:val="24"/>
        </w:rPr>
        <w:t>费等费用计提标准、计提方式和费率发生变更；</w:t>
      </w:r>
    </w:p>
    <w:p w14:paraId="6D6FAC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15</w:t>
      </w:r>
      <w:r>
        <w:rPr>
          <w:rFonts w:ascii="宋体" w:hAnsi="宋体"/>
          <w:sz w:val="24"/>
        </w:rPr>
        <w:t>）基金份额净值计价错误达基金份额净值百分之零点五；</w:t>
      </w:r>
    </w:p>
    <w:p w14:paraId="702BC7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16</w:t>
      </w:r>
      <w:r>
        <w:rPr>
          <w:rFonts w:ascii="宋体" w:hAnsi="宋体"/>
          <w:sz w:val="24"/>
        </w:rPr>
        <w:t>）本基金开始办理申购、赎回；</w:t>
      </w:r>
    </w:p>
    <w:p w14:paraId="5A97452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17</w:t>
      </w:r>
      <w:r>
        <w:rPr>
          <w:rFonts w:ascii="宋体" w:hAnsi="宋体"/>
          <w:sz w:val="24"/>
        </w:rPr>
        <w:t>）本基金发生巨额赎回并延期办理；</w:t>
      </w:r>
    </w:p>
    <w:p w14:paraId="7843FFB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18</w:t>
      </w:r>
      <w:r>
        <w:rPr>
          <w:rFonts w:ascii="宋体" w:hAnsi="宋体"/>
          <w:sz w:val="24"/>
        </w:rPr>
        <w:t>）本基金连续发生巨额赎回并暂停接受赎回申请或延缓支付赎回款项；</w:t>
      </w:r>
    </w:p>
    <w:p w14:paraId="63B7066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19</w:t>
      </w:r>
      <w:r>
        <w:rPr>
          <w:rFonts w:ascii="宋体" w:hAnsi="宋体"/>
          <w:sz w:val="24"/>
        </w:rPr>
        <w:t>）本基金暂停接受申购、赎回申请或重新接受申购、赎回申请；</w:t>
      </w:r>
    </w:p>
    <w:p w14:paraId="7F7E34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20</w:t>
      </w:r>
      <w:r>
        <w:rPr>
          <w:rFonts w:ascii="宋体" w:hAnsi="宋体"/>
          <w:sz w:val="24"/>
        </w:rPr>
        <w:t>）发生涉及基金申购、赎回事项调整或潜在影响投资者赎回等重大事项时；</w:t>
      </w:r>
    </w:p>
    <w:p w14:paraId="27AC2A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21</w:t>
      </w:r>
      <w:r>
        <w:rPr>
          <w:rFonts w:ascii="宋体" w:hAnsi="宋体"/>
          <w:sz w:val="24"/>
        </w:rPr>
        <w:t>）基金管理人采用摆动定价机制进行估值；</w:t>
      </w:r>
    </w:p>
    <w:p w14:paraId="12DCED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22</w:t>
      </w:r>
      <w:r>
        <w:rPr>
          <w:rFonts w:ascii="宋体" w:hAnsi="宋体"/>
          <w:sz w:val="24"/>
        </w:rPr>
        <w:t>）本基金增加或调整基金份额类别；</w:t>
      </w:r>
    </w:p>
    <w:p w14:paraId="409E9F6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23</w:t>
      </w:r>
      <w:r>
        <w:rPr>
          <w:rFonts w:ascii="宋体" w:hAnsi="宋体"/>
          <w:sz w:val="24"/>
        </w:rPr>
        <w:t>）本基金推出新业务或服务；</w:t>
      </w:r>
    </w:p>
    <w:p w14:paraId="205674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24</w:t>
      </w:r>
      <w:r>
        <w:rPr>
          <w:rFonts w:ascii="宋体" w:hAnsi="宋体"/>
          <w:sz w:val="24"/>
        </w:rPr>
        <w:t>）《基金合同》生效后，连续</w:t>
      </w:r>
      <w:r>
        <w:rPr>
          <w:rFonts w:ascii="宋体" w:hAnsi="宋体"/>
          <w:sz w:val="24"/>
        </w:rPr>
        <w:t>30</w:t>
      </w:r>
      <w:r>
        <w:rPr>
          <w:rFonts w:ascii="宋体" w:hAnsi="宋体"/>
          <w:sz w:val="24"/>
        </w:rPr>
        <w:t>、</w:t>
      </w:r>
      <w:r>
        <w:rPr>
          <w:rFonts w:ascii="宋体" w:hAnsi="宋体"/>
          <w:sz w:val="24"/>
        </w:rPr>
        <w:t>40</w:t>
      </w:r>
      <w:r>
        <w:rPr>
          <w:rFonts w:ascii="宋体" w:hAnsi="宋体"/>
          <w:sz w:val="24"/>
        </w:rPr>
        <w:t>、</w:t>
      </w:r>
      <w:r>
        <w:rPr>
          <w:rFonts w:ascii="宋体" w:hAnsi="宋体"/>
          <w:sz w:val="24"/>
        </w:rPr>
        <w:t>45</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万元情形，基金管理人应当发布提示性公</w:t>
      </w:r>
      <w:r>
        <w:rPr>
          <w:rFonts w:ascii="宋体" w:hAnsi="宋体"/>
          <w:sz w:val="24"/>
        </w:rPr>
        <w:lastRenderedPageBreak/>
        <w:t>告；</w:t>
      </w:r>
    </w:p>
    <w:p w14:paraId="2FC81D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25</w:t>
      </w:r>
      <w:r>
        <w:rPr>
          <w:rFonts w:ascii="宋体" w:hAnsi="宋体"/>
          <w:sz w:val="24"/>
        </w:rPr>
        <w:t>）基金信息披露义务人认为可能对基金份额持有人权益或者基金份额的价格产生重大影响的其他事项或中国证监会规定和基金合同约定的其他事项。</w:t>
      </w:r>
    </w:p>
    <w:p w14:paraId="2B1B82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、澄清公告</w:t>
      </w:r>
    </w:p>
    <w:p w14:paraId="5961C3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r>
        <w:rPr>
          <w:rFonts w:ascii="宋体" w:hAnsi="宋体"/>
          <w:sz w:val="24"/>
        </w:rPr>
        <w:t>并将有关情况立即报告中国证监会。</w:t>
      </w:r>
    </w:p>
    <w:p w14:paraId="16979EF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、基金份额持有人大会决议</w:t>
      </w:r>
    </w:p>
    <w:p w14:paraId="51BA19A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6B7832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7D232B9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、基金投资资产支持证券情况</w:t>
      </w:r>
    </w:p>
    <w:p w14:paraId="494D7C4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sz w:val="24"/>
        </w:rPr>
        <w:t>名资产支持证券明细。</w:t>
      </w:r>
    </w:p>
    <w:p w14:paraId="3CA4AF7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、实施侧袋机制期间的信息披露</w:t>
      </w:r>
    </w:p>
    <w:p w14:paraId="14EB56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w:t>
      </w:r>
      <w:r>
        <w:rPr>
          <w:rFonts w:ascii="宋体" w:hAnsi="宋体"/>
          <w:sz w:val="24"/>
        </w:rPr>
        <w:t>“</w:t>
      </w:r>
      <w:r>
        <w:rPr>
          <w:rFonts w:ascii="宋体" w:hAnsi="宋体"/>
          <w:sz w:val="24"/>
        </w:rPr>
        <w:t>侧袋机制</w:t>
      </w:r>
      <w:r>
        <w:rPr>
          <w:rFonts w:ascii="宋体" w:hAnsi="宋体"/>
          <w:sz w:val="24"/>
        </w:rPr>
        <w:t>”</w:t>
      </w:r>
      <w:r>
        <w:rPr>
          <w:rFonts w:ascii="宋体" w:hAnsi="宋体"/>
          <w:sz w:val="24"/>
        </w:rPr>
        <w:t>部分的规定。</w:t>
      </w:r>
    </w:p>
    <w:p w14:paraId="2353B5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、中国证监会</w:t>
      </w:r>
      <w:r>
        <w:rPr>
          <w:rFonts w:ascii="宋体" w:hAnsi="宋体"/>
          <w:sz w:val="24"/>
        </w:rPr>
        <w:t>规定的其他信息。</w:t>
      </w:r>
    </w:p>
    <w:p w14:paraId="5D652D4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（六）信息披露事务管理</w:t>
      </w:r>
    </w:p>
    <w:p w14:paraId="0D8807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3692486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14:paraId="24F157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w:t>
      </w:r>
      <w:r>
        <w:rPr>
          <w:rFonts w:ascii="宋体" w:hAnsi="宋体"/>
          <w:sz w:val="24"/>
        </w:rPr>
        <w:lastRenderedPageBreak/>
        <w:t>基金定期报告、更新的招募说明书、基金产品资料概要、基金清算报告等公开披露的相关基金信息进行复核、审查，并向基金管理人进行书面或电子</w:t>
      </w:r>
      <w:r>
        <w:rPr>
          <w:rFonts w:ascii="宋体" w:hAnsi="宋体"/>
          <w:sz w:val="24"/>
        </w:rPr>
        <w:t>确认。</w:t>
      </w:r>
    </w:p>
    <w:p w14:paraId="59AE759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14E310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5EAD06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w:t>
      </w:r>
      <w:r>
        <w:rPr>
          <w:rFonts w:ascii="宋体" w:hAnsi="宋体"/>
          <w:sz w:val="24"/>
        </w:rPr>
        <w:t>10</w:t>
      </w:r>
      <w:r>
        <w:rPr>
          <w:rFonts w:ascii="宋体" w:hAnsi="宋体"/>
          <w:sz w:val="24"/>
        </w:rPr>
        <w:t>年</w:t>
      </w:r>
      <w:r>
        <w:rPr>
          <w:rFonts w:ascii="宋体" w:hAnsi="宋体"/>
          <w:sz w:val="24"/>
        </w:rPr>
        <w:t>。</w:t>
      </w:r>
    </w:p>
    <w:p w14:paraId="7C49126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A53A1E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（七）信息披露文件的存放与查阅</w:t>
      </w:r>
    </w:p>
    <w:p w14:paraId="157611E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14:paraId="6D988FBF"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0CF7645" w14:textId="77777777" w:rsidR="002411B3" w:rsidRDefault="00BA6CE7">
      <w:pPr>
        <w:pStyle w:val="1"/>
        <w:snapToGrid w:val="0"/>
        <w:spacing w:beforeLines="0" w:before="240" w:after="240"/>
        <w:rPr>
          <w:rFonts w:ascii="宋体" w:hAnsi="宋体"/>
          <w:szCs w:val="30"/>
        </w:rPr>
      </w:pPr>
      <w:bookmarkStart w:id="21" w:name="_Toc202521666"/>
      <w:r>
        <w:rPr>
          <w:rFonts w:ascii="Times New Roman" w:hAnsi="Times New Roman"/>
          <w:sz w:val="30"/>
        </w:rPr>
        <w:lastRenderedPageBreak/>
        <w:t>十八、侧袋机制</w:t>
      </w:r>
      <w:bookmarkEnd w:id="21"/>
    </w:p>
    <w:p w14:paraId="01F8ED7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（一）侧袋机制的实施条件</w:t>
      </w:r>
    </w:p>
    <w:p w14:paraId="45BBA5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ACE0DC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14:paraId="5DF422B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（二）实施侧袋机制期间基金份额的申购与赎回</w:t>
      </w:r>
    </w:p>
    <w:p w14:paraId="79E413D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、启用侧袋机制当日，基金登记机构以基金份额持有人的原有账户份额为基础，确认相应侧袋账户基金份额持有人名</w:t>
      </w:r>
      <w:r>
        <w:rPr>
          <w:rFonts w:ascii="宋体" w:hAnsi="宋体"/>
          <w:sz w:val="24"/>
        </w:rPr>
        <w:t>册和份额；当日收到的申购申请，按照启用侧袋机制后的主袋账户份额办理；当日收到的赎回申请，仅办理主袋账户的赎回申请并支付赎回款项。</w:t>
      </w:r>
    </w:p>
    <w:p w14:paraId="3DD98D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5E27665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、除基金管理人应按照主袋账户的份额净值办理主袋账户份额的申购和赎回外，本招募说明书</w:t>
      </w:r>
      <w:r>
        <w:rPr>
          <w:rFonts w:ascii="宋体" w:hAnsi="宋体"/>
          <w:sz w:val="24"/>
        </w:rPr>
        <w:t>“</w:t>
      </w:r>
      <w:r>
        <w:rPr>
          <w:rFonts w:ascii="宋体" w:hAnsi="宋体"/>
          <w:sz w:val="24"/>
        </w:rPr>
        <w:t>基金份额的申购与赎回</w:t>
      </w:r>
      <w:r>
        <w:rPr>
          <w:rFonts w:ascii="宋体" w:hAnsi="宋体"/>
          <w:sz w:val="24"/>
        </w:rPr>
        <w:t>”</w:t>
      </w:r>
      <w:r>
        <w:rPr>
          <w:rFonts w:ascii="宋体" w:hAnsi="宋体"/>
          <w:sz w:val="24"/>
        </w:rPr>
        <w:t>部分的申购、赎回规定适用于主袋账户份额。巨额赎回按照单个开放日内主袋账户份额净赎回申请超过前一开放日主袋账户总份额的</w:t>
      </w:r>
      <w:r>
        <w:rPr>
          <w:rFonts w:ascii="宋体" w:hAnsi="宋体"/>
          <w:sz w:val="24"/>
        </w:rPr>
        <w:t>10%</w:t>
      </w:r>
      <w:r>
        <w:rPr>
          <w:rFonts w:ascii="宋体" w:hAnsi="宋体"/>
          <w:sz w:val="24"/>
        </w:rPr>
        <w:t>认定。</w:t>
      </w:r>
    </w:p>
    <w:p w14:paraId="288DE0E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（三）实施侧袋机制期间的基金投资</w:t>
      </w:r>
    </w:p>
    <w:p w14:paraId="65F930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侧袋机制实施期间，招募说明书</w:t>
      </w:r>
      <w:r>
        <w:rPr>
          <w:rFonts w:ascii="宋体" w:hAnsi="宋体"/>
          <w:sz w:val="24"/>
        </w:rPr>
        <w:t>“</w:t>
      </w:r>
      <w:r>
        <w:rPr>
          <w:rFonts w:ascii="宋体" w:hAnsi="宋体"/>
          <w:sz w:val="24"/>
        </w:rPr>
        <w:t>基金的投资</w:t>
      </w:r>
      <w:r>
        <w:rPr>
          <w:rFonts w:ascii="宋体" w:hAnsi="宋体"/>
          <w:sz w:val="24"/>
        </w:rPr>
        <w:t>”</w:t>
      </w:r>
      <w:r>
        <w:rPr>
          <w:rFonts w:ascii="宋体" w:hAnsi="宋体"/>
          <w:sz w:val="24"/>
        </w:rPr>
        <w:t>部分约定的投资组合比例、投资策略、组合限制、业绩比较基准、风险收益特征等约定仅适用于主袋账户。基金管理人计算各项投资运作指标和基金业绩指标时仅需考虑主袋账户资产。</w:t>
      </w:r>
    </w:p>
    <w:p w14:paraId="23CCDF8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基金管理人原则上应当在侧袋机制启用</w:t>
      </w:r>
      <w:r>
        <w:rPr>
          <w:rFonts w:ascii="宋体" w:hAnsi="宋体"/>
          <w:sz w:val="24"/>
        </w:rPr>
        <w:t>后</w:t>
      </w:r>
      <w:r>
        <w:rPr>
          <w:rFonts w:ascii="宋体" w:hAnsi="宋体"/>
          <w:sz w:val="24"/>
        </w:rPr>
        <w:t>20</w:t>
      </w:r>
      <w:r>
        <w:rPr>
          <w:rFonts w:ascii="宋体" w:hAnsi="宋体"/>
          <w:sz w:val="24"/>
        </w:rPr>
        <w:t>个交易日内完成对主袋账户投资组合的调整，因资产流动性受限等中国证监会规定的情形除外。</w:t>
      </w:r>
    </w:p>
    <w:p w14:paraId="05A8C60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基金管理人不得在侧袋账户中进行除特定资产处置变现以外的其他投资操作。</w:t>
      </w:r>
    </w:p>
    <w:p w14:paraId="36C15E3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（四）实施侧袋机制期间的基金估值</w:t>
      </w:r>
    </w:p>
    <w:p w14:paraId="334871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本基金实施侧袋机制的，基金管理人和基金托管人应对主袋账户资产进行估值</w:t>
      </w:r>
      <w:r>
        <w:rPr>
          <w:rFonts w:ascii="宋体" w:hAnsi="宋体"/>
          <w:sz w:val="24"/>
        </w:rPr>
        <w:lastRenderedPageBreak/>
        <w:t>并披露主袋账户的基金净值信息，暂停披露侧袋账户份额净值。侧袋账户的会计核算应符合《企业会计准则》的相关要求。</w:t>
      </w:r>
    </w:p>
    <w:p w14:paraId="7D2C5A3D"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（五）实施侧袋账户期间的基金费用</w:t>
      </w:r>
    </w:p>
    <w:p w14:paraId="298EE1C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、本基金实施侧袋机制的，管理费和托管费按主袋账户基金资产净值作为基数计提。</w:t>
      </w:r>
    </w:p>
    <w:p w14:paraId="69776B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、与侧袋账户有关的费用可</w:t>
      </w:r>
      <w:r>
        <w:rPr>
          <w:rFonts w:ascii="宋体" w:hAnsi="宋体"/>
          <w:sz w:val="24"/>
        </w:rPr>
        <w:t>从侧袋账户中列支，但应待侧袋账户资产变现后方可列支，有关费用可酌情收取或减免，但不得收取管理费。</w:t>
      </w:r>
    </w:p>
    <w:p w14:paraId="2572442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（六）侧袋账户中特定资产的处置变现和支付</w:t>
      </w:r>
    </w:p>
    <w:p w14:paraId="2BAD1C2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2B1CEB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w:t>
      </w:r>
      <w:r>
        <w:rPr>
          <w:rFonts w:ascii="宋体" w:hAnsi="宋体"/>
          <w:sz w:val="24"/>
        </w:rPr>
        <w:t>照相关法律法规要求及时发布临时公告。</w:t>
      </w:r>
    </w:p>
    <w:p w14:paraId="0F93464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14:paraId="1FFAE1B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（七）侧袋机制的信息披露</w:t>
      </w:r>
    </w:p>
    <w:p w14:paraId="76B1E27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、临时公告</w:t>
      </w:r>
    </w:p>
    <w:p w14:paraId="214B2B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14:paraId="5BC186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、基金净值信息</w:t>
      </w:r>
    </w:p>
    <w:p w14:paraId="2A44236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w:t>
      </w:r>
      <w:r>
        <w:rPr>
          <w:rFonts w:ascii="宋体" w:hAnsi="宋体"/>
          <w:sz w:val="24"/>
        </w:rPr>
        <w:t>“</w:t>
      </w:r>
      <w:r>
        <w:rPr>
          <w:rFonts w:ascii="宋体" w:hAnsi="宋体"/>
          <w:sz w:val="24"/>
        </w:rPr>
        <w:t>基金的信息披露</w:t>
      </w:r>
      <w:r>
        <w:rPr>
          <w:rFonts w:ascii="宋体" w:hAnsi="宋体"/>
          <w:sz w:val="24"/>
        </w:rPr>
        <w:t>”</w:t>
      </w:r>
      <w:r>
        <w:rPr>
          <w:rFonts w:ascii="宋体" w:hAnsi="宋体"/>
          <w:sz w:val="24"/>
        </w:rPr>
        <w:t>部分规定的基金净值信息披露方式和频率披露主袋账户份额的基金净值信息。实施侧袋机制期间本基金暂停披露侧袋账户份额净</w:t>
      </w:r>
      <w:r>
        <w:rPr>
          <w:rFonts w:ascii="宋体" w:hAnsi="宋体"/>
          <w:sz w:val="24"/>
        </w:rPr>
        <w:t>值和累计净值。</w:t>
      </w:r>
    </w:p>
    <w:p w14:paraId="130E87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、定期报告</w:t>
      </w:r>
    </w:p>
    <w:p w14:paraId="2F5EC6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14:paraId="62013799"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63BEE4D0" w14:textId="77777777" w:rsidR="002411B3" w:rsidRDefault="00BA6CE7">
      <w:pPr>
        <w:pStyle w:val="1"/>
        <w:snapToGrid w:val="0"/>
        <w:spacing w:beforeLines="0" w:before="240" w:after="240"/>
        <w:rPr>
          <w:rFonts w:ascii="宋体" w:hAnsi="宋体"/>
          <w:szCs w:val="30"/>
        </w:rPr>
      </w:pPr>
      <w:bookmarkStart w:id="22" w:name="_Toc202521667"/>
      <w:r>
        <w:rPr>
          <w:rFonts w:ascii="Times New Roman" w:hAnsi="Times New Roman"/>
          <w:sz w:val="30"/>
        </w:rPr>
        <w:lastRenderedPageBreak/>
        <w:t>十九、风险揭示</w:t>
      </w:r>
      <w:bookmarkEnd w:id="22"/>
    </w:p>
    <w:p w14:paraId="2D5CDF8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w:t>
      </w:r>
      <w:r>
        <w:rPr>
          <w:rFonts w:ascii="宋体" w:hAnsi="宋体"/>
          <w:sz w:val="24"/>
        </w:rPr>
        <w:t>“</w:t>
      </w:r>
      <w:r>
        <w:rPr>
          <w:rFonts w:ascii="宋体" w:hAnsi="宋体"/>
          <w:sz w:val="24"/>
        </w:rPr>
        <w:t>基金</w:t>
      </w:r>
      <w:r>
        <w:rPr>
          <w:rFonts w:ascii="宋体" w:hAnsi="宋体"/>
          <w:sz w:val="24"/>
        </w:rPr>
        <w:t>”</w:t>
      </w:r>
      <w:r>
        <w:rPr>
          <w:rFonts w:ascii="宋体" w:hAnsi="宋体"/>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w:t>
      </w:r>
      <w:r>
        <w:rPr>
          <w:rFonts w:ascii="宋体" w:hAnsi="宋体"/>
          <w:sz w:val="24"/>
        </w:rPr>
        <w:t>的收益，也可能承担基金投资所带来的损失。</w:t>
      </w:r>
    </w:p>
    <w:p w14:paraId="5EF8CB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上一开放日基金总份额的百分之十时，投资人将可能无法及时赎回持有的全部基金份额。</w:t>
      </w:r>
    </w:p>
    <w:p w14:paraId="09A334C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552CA3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投资人应当认真阅读《基金合同》、《招募说明书》等基金法律文件，了解基金的风险收益特征，并根据自身的投资目的、投资期限、投资经验、资产状况等判断基金是否和投资人的风险承受能力相适应。</w:t>
      </w:r>
    </w:p>
    <w:p w14:paraId="2C7F39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w:t>
      </w:r>
      <w:r>
        <w:rPr>
          <w:rFonts w:ascii="宋体" w:hAnsi="宋体"/>
          <w:sz w:val="24"/>
        </w:rPr>
        <w:t>。但是定期定额投资并不能规避基金投资所固有的风险，不能保证投资人获得收益，也不是替代储蓄的等效理财方式。</w:t>
      </w:r>
    </w:p>
    <w:p w14:paraId="27BC4BB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w:t>
      </w:r>
      <w:r>
        <w:rPr>
          <w:rFonts w:ascii="宋体" w:hAnsi="宋体"/>
          <w:sz w:val="24"/>
        </w:rPr>
        <w:t>1</w:t>
      </w:r>
      <w:r>
        <w:rPr>
          <w:rFonts w:ascii="宋体" w:hAnsi="宋体"/>
          <w:sz w:val="24"/>
        </w:rPr>
        <w:t>元初始面值开展基金募集或因拆分、分红等行为导致基金份额净值调整至</w:t>
      </w:r>
      <w:r>
        <w:rPr>
          <w:rFonts w:ascii="宋体" w:hAnsi="宋体"/>
          <w:sz w:val="24"/>
        </w:rPr>
        <w:t>1</w:t>
      </w:r>
      <w:r>
        <w:rPr>
          <w:rFonts w:ascii="宋体" w:hAnsi="宋体"/>
          <w:sz w:val="24"/>
        </w:rPr>
        <w:t>元初始面值或</w:t>
      </w:r>
      <w:r>
        <w:rPr>
          <w:rFonts w:ascii="宋体" w:hAnsi="宋体"/>
          <w:sz w:val="24"/>
        </w:rPr>
        <w:t>1</w:t>
      </w:r>
      <w:r>
        <w:rPr>
          <w:rFonts w:ascii="宋体" w:hAnsi="宋体"/>
          <w:sz w:val="24"/>
        </w:rPr>
        <w:t>元附近，在市场波动等因素的影响下，基金投资仍有可能出现亏损或基金净值仍有可能低于初始面值。</w:t>
      </w:r>
    </w:p>
    <w:p w14:paraId="7DB07FF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w:t>
      </w:r>
      <w:r>
        <w:rPr>
          <w:rFonts w:ascii="宋体" w:hAnsi="宋体"/>
          <w:sz w:val="24"/>
        </w:rPr>
        <w:t>基金的业绩不构成对本基金业绩表现的保证。基金管理人提醒投资人基金投资的</w:t>
      </w:r>
      <w:r>
        <w:rPr>
          <w:rFonts w:ascii="宋体" w:hAnsi="宋体"/>
          <w:sz w:val="24"/>
        </w:rPr>
        <w:t>“</w:t>
      </w:r>
      <w:r>
        <w:rPr>
          <w:rFonts w:ascii="宋体" w:hAnsi="宋体"/>
          <w:sz w:val="24"/>
        </w:rPr>
        <w:t>买者自负</w:t>
      </w:r>
      <w:r>
        <w:rPr>
          <w:rFonts w:ascii="宋体" w:hAnsi="宋体"/>
          <w:sz w:val="24"/>
        </w:rPr>
        <w:t>”</w:t>
      </w:r>
      <w:r>
        <w:rPr>
          <w:rFonts w:ascii="宋体" w:hAnsi="宋体"/>
          <w:sz w:val="24"/>
        </w:rPr>
        <w:t>原则，在做出投资决策后，基金运营状况与基金净值变化引致的投资风险，由投资人自行负</w:t>
      </w:r>
      <w:r>
        <w:rPr>
          <w:rFonts w:ascii="宋体" w:hAnsi="宋体"/>
          <w:sz w:val="24"/>
        </w:rPr>
        <w:lastRenderedPageBreak/>
        <w:t>担。</w:t>
      </w:r>
    </w:p>
    <w:p w14:paraId="772A2F8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14:paraId="286F01C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（一）市场风险</w:t>
      </w:r>
    </w:p>
    <w:p w14:paraId="45A3E2C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3B3F71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、政策风险。因国家宏观政策（如货币政策、财政政策、行业政策、地区发展政策等）和证券市场监管政策发生变化，导致市场价格波动而产生风险。</w:t>
      </w:r>
    </w:p>
    <w:p w14:paraId="0BE80A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、经济周期风险。证券市场</w:t>
      </w:r>
      <w:r>
        <w:rPr>
          <w:rFonts w:ascii="宋体" w:hAnsi="宋体"/>
          <w:sz w:val="24"/>
        </w:rPr>
        <w:t>受宏观经济运行的影响，而经济运行具有周期性的特点，宏观经济运行状况将对证券市场的收益水平产生影响，从而对基金收益造成影响。</w:t>
      </w:r>
    </w:p>
    <w:p w14:paraId="5FE991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1E7DB48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、信用风险。基金所投资债券的发行人如果不能或拒绝支付到期本息，或者不能履行合约规定的其它义务，或者其信用等级降低，将会导致债券价格下降，进而造成基金资产损失，从而产生风险。</w:t>
      </w:r>
    </w:p>
    <w:p w14:paraId="5783916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、购买力风险。基金投资的目的是基金资产的保值增值，如果发生通货膨胀，基金投资于证券所获得的收益可能会被通货膨胀抵消，从而使基金的实际收益下降，影响基金资产的保值增值。</w:t>
      </w:r>
    </w:p>
    <w:p w14:paraId="6D6D3D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、债券收益率曲线变动风险。是指收益率曲线没有按预期变化导致基金投资决策出现偏差。</w:t>
      </w:r>
    </w:p>
    <w:p w14:paraId="12DC92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w:t>
      </w:r>
      <w:r>
        <w:rPr>
          <w:rFonts w:ascii="宋体" w:hAnsi="宋体"/>
          <w:sz w:val="24"/>
        </w:rPr>
        <w:t>再投资收益会上升。</w:t>
      </w:r>
    </w:p>
    <w:p w14:paraId="32EF9A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、经营风险。它与基金所投资债券的发行人的经营活动所引起的收入现金流的不确定性有关。债券发行人期间运营收入变化越大，经营风险就越大；反之，运营收入越稳定，经营风险就越小。</w:t>
      </w:r>
    </w:p>
    <w:p w14:paraId="2D0006D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、上市公司经营风险。上市公司的经营状况受多种因素影响，如管理能力、财务状况、市场前景、行业竞争、人员素质等，这些都会导致企业的盈利发生变</w:t>
      </w:r>
      <w:r>
        <w:rPr>
          <w:rFonts w:ascii="宋体" w:hAnsi="宋体"/>
          <w:sz w:val="24"/>
        </w:rPr>
        <w:lastRenderedPageBreak/>
        <w:t>化。虽然基金可以通过投资多样化来分散这种非系统风险，但不能完全规避。</w:t>
      </w:r>
    </w:p>
    <w:p w14:paraId="75144C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、债券回购风险。债券回购为提升整体基金组合收益提供了可能，但也存在一定的风险。债券回购的主要风险包括信用风险</w:t>
      </w:r>
      <w:r>
        <w:rPr>
          <w:rFonts w:ascii="宋体" w:hAnsi="宋体"/>
          <w:sz w:val="24"/>
        </w:rPr>
        <w:t>、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26CCE8D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（二）管理风险</w:t>
      </w:r>
    </w:p>
    <w:p w14:paraId="1E0CB7C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w:t>
      </w:r>
      <w:r>
        <w:rPr>
          <w:rFonts w:ascii="宋体" w:hAnsi="宋体"/>
          <w:sz w:val="24"/>
        </w:rPr>
        <w:t>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68F4027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（三）流动性风险</w:t>
      </w:r>
    </w:p>
    <w:p w14:paraId="740EBA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w:t>
      </w:r>
      <w:r>
        <w:rPr>
          <w:rFonts w:ascii="宋体" w:hAnsi="宋体"/>
          <w:sz w:val="24"/>
        </w:rPr>
        <w:t>调整的困难，导致流动性风险，可能影响基金份额净值。</w:t>
      </w:r>
    </w:p>
    <w:p w14:paraId="741516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、本基金的申购、赎回安排</w:t>
      </w:r>
    </w:p>
    <w:p w14:paraId="680E90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1D460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、投资市场、行业及资产的流动性风险评估</w:t>
      </w:r>
    </w:p>
    <w:p w14:paraId="1B8A02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本基金的投资市场主要为证券交易所、全国银行间债券市场等流动性较好的规范型交易场所，主要投资对象为具有良好流动性的金融工具（包括国内依法发行上市的债券和货币市场工具等），</w:t>
      </w:r>
      <w:r>
        <w:rPr>
          <w:rFonts w:ascii="宋体" w:hAnsi="宋体"/>
          <w:sz w:val="24"/>
        </w:rPr>
        <w:t>同时本基金基于分散投资的原则在个券方面未有高</w:t>
      </w:r>
      <w:r>
        <w:rPr>
          <w:rFonts w:ascii="宋体" w:hAnsi="宋体"/>
          <w:sz w:val="24"/>
        </w:rPr>
        <w:lastRenderedPageBreak/>
        <w:t>集中度的特征，综合评估在正常市场环境下本基金的流动性风险适中。</w:t>
      </w:r>
    </w:p>
    <w:p w14:paraId="188EE8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、巨额赎回情形下的流动性风险管理措施</w:t>
      </w:r>
    </w:p>
    <w:p w14:paraId="3D7C53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sz w:val="24"/>
        </w:rPr>
        <w:t>10%</w:t>
      </w:r>
      <w:r>
        <w:rPr>
          <w:rFonts w:ascii="宋体" w:hAnsi="宋体"/>
          <w:sz w:val="24"/>
        </w:rPr>
        <w:t>，即认为是发生了巨额赎回。</w:t>
      </w:r>
    </w:p>
    <w:p w14:paraId="6595526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2C87C6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）全额赎回：当基金管理人认为有能力支付投资人的全部赎回申请时，按正常赎回程序执行。</w:t>
      </w:r>
    </w:p>
    <w:p w14:paraId="6FDF06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rPr>
        <w:t>10%</w:t>
      </w:r>
      <w:r>
        <w:rPr>
          <w:rFonts w:ascii="宋体" w:hAnsi="宋体"/>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w:t>
      </w:r>
      <w:r>
        <w:rPr>
          <w:rFonts w:ascii="宋体" w:hAnsi="宋体"/>
          <w:sz w:val="24"/>
        </w:rPr>
        <w:t>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A190D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）本基金如发生巨额赎回且单个开放日内单个基金份额持有人申请赎回的基金份额超过前一开放日的基金总份额的</w:t>
      </w:r>
      <w:r>
        <w:rPr>
          <w:rFonts w:ascii="宋体" w:hAnsi="宋体"/>
          <w:sz w:val="24"/>
        </w:rPr>
        <w:t>20%</w:t>
      </w:r>
      <w:r>
        <w:rPr>
          <w:rFonts w:ascii="宋体" w:hAnsi="宋体"/>
          <w:sz w:val="24"/>
        </w:rPr>
        <w:t>时，本基金管理人有权采取如下措施：</w:t>
      </w:r>
    </w:p>
    <w:p w14:paraId="0E3481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w:t>
      </w:r>
      <w:r>
        <w:rPr>
          <w:rFonts w:ascii="宋体" w:hAnsi="宋体"/>
          <w:sz w:val="24"/>
        </w:rPr>
        <w:t>20%</w:t>
      </w:r>
      <w:r>
        <w:rPr>
          <w:rFonts w:ascii="宋体" w:hAnsi="宋体"/>
          <w:sz w:val="24"/>
        </w:rPr>
        <w:t>的赎回申请，可以对其赎回申请延期办理</w:t>
      </w:r>
      <w:r>
        <w:rPr>
          <w:rFonts w:ascii="宋体" w:hAnsi="宋体"/>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0F59765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w:t>
      </w:r>
      <w:r>
        <w:rPr>
          <w:rFonts w:ascii="宋体" w:hAnsi="宋体"/>
          <w:sz w:val="24"/>
        </w:rPr>
        <w:lastRenderedPageBreak/>
        <w:t>“</w:t>
      </w:r>
      <w:r>
        <w:rPr>
          <w:rFonts w:ascii="宋体" w:hAnsi="宋体"/>
          <w:sz w:val="24"/>
        </w:rPr>
        <w:t>（</w:t>
      </w:r>
      <w:r>
        <w:rPr>
          <w:rFonts w:ascii="宋体" w:hAnsi="宋体"/>
          <w:sz w:val="24"/>
        </w:rPr>
        <w:t>1</w:t>
      </w:r>
      <w:r>
        <w:rPr>
          <w:rFonts w:ascii="宋体" w:hAnsi="宋体"/>
          <w:sz w:val="24"/>
        </w:rPr>
        <w:t>）全额赎回</w:t>
      </w:r>
      <w:r>
        <w:rPr>
          <w:rFonts w:ascii="宋体" w:hAnsi="宋体"/>
          <w:sz w:val="24"/>
        </w:rPr>
        <w:t>”</w:t>
      </w:r>
      <w:r>
        <w:rPr>
          <w:rFonts w:ascii="宋体" w:hAnsi="宋体"/>
          <w:sz w:val="24"/>
        </w:rPr>
        <w:t>或</w:t>
      </w:r>
      <w:r>
        <w:rPr>
          <w:rFonts w:ascii="宋体" w:hAnsi="宋体"/>
          <w:sz w:val="24"/>
        </w:rPr>
        <w:t>“</w:t>
      </w:r>
      <w:r>
        <w:rPr>
          <w:rFonts w:ascii="宋体" w:hAnsi="宋体"/>
          <w:sz w:val="24"/>
        </w:rPr>
        <w:t>（</w:t>
      </w:r>
      <w:r>
        <w:rPr>
          <w:rFonts w:ascii="宋体" w:hAnsi="宋体"/>
          <w:sz w:val="24"/>
        </w:rPr>
        <w:t>2</w:t>
      </w:r>
      <w:r>
        <w:rPr>
          <w:rFonts w:ascii="宋体" w:hAnsi="宋体"/>
          <w:sz w:val="24"/>
        </w:rPr>
        <w:t>）部分延期赎回</w:t>
      </w:r>
      <w:r>
        <w:rPr>
          <w:rFonts w:ascii="宋体" w:hAnsi="宋体"/>
          <w:sz w:val="24"/>
        </w:rPr>
        <w:t>”</w:t>
      </w:r>
      <w:r>
        <w:rPr>
          <w:rFonts w:ascii="宋体" w:hAnsi="宋体"/>
          <w:sz w:val="24"/>
        </w:rPr>
        <w:t>的约定方式与其他基金份额持有人的赎回申请一并办理。但是，如基金份额持有人在当日选择取消赎回</w:t>
      </w:r>
      <w:r>
        <w:rPr>
          <w:rFonts w:ascii="宋体" w:hAnsi="宋体"/>
          <w:sz w:val="24"/>
        </w:rPr>
        <w:t>，则其当日未获受理的部分赎回申请将被撤销。</w:t>
      </w:r>
    </w:p>
    <w:p w14:paraId="761D32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）暂停赎回：连续</w:t>
      </w:r>
      <w:r>
        <w:rPr>
          <w:rFonts w:ascii="宋体" w:hAnsi="宋体"/>
          <w:sz w:val="24"/>
        </w:rPr>
        <w:t>2</w:t>
      </w:r>
      <w:r>
        <w:rPr>
          <w:rFonts w:ascii="宋体" w:hAnsi="宋体"/>
          <w:sz w:val="24"/>
        </w:rPr>
        <w:t>个开放日以上（含本数）发生巨额赎回，如基金管理人认为有必要，可暂停接受基金的赎回申请；已经接受的赎回申请可以延缓支付赎回款项，但不得超过</w:t>
      </w:r>
      <w:r>
        <w:rPr>
          <w:rFonts w:ascii="宋体" w:hAnsi="宋体"/>
          <w:sz w:val="24"/>
        </w:rPr>
        <w:t>20</w:t>
      </w:r>
      <w:r>
        <w:rPr>
          <w:rFonts w:ascii="宋体" w:hAnsi="宋体"/>
          <w:sz w:val="24"/>
        </w:rPr>
        <w:t>个工作日，并应当在指定媒介上进行公告。</w:t>
      </w:r>
    </w:p>
    <w:p w14:paraId="59153B9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、实施备用的流动性风险管理工具的情形、程序及对投资者的潜在影响</w:t>
      </w:r>
    </w:p>
    <w:p w14:paraId="1E9CE6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04496E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如果出现流动性风险，基金管理人经与基金托管人协商，在确保投资者得到公平对待的前提下，可实施备用的流动性风险管理工具，包括但不限于暂停接</w:t>
      </w:r>
      <w:r>
        <w:rPr>
          <w:rFonts w:ascii="宋体" w:hAnsi="宋体"/>
          <w:sz w:val="24"/>
        </w:rPr>
        <w:t>受赎回申请、部分延期赎回、收取短期赎回费、摆动定价、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1029E28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w:t>
      </w:r>
      <w:r>
        <w:rPr>
          <w:rFonts w:ascii="宋体" w:hAnsi="宋体"/>
          <w:sz w:val="24"/>
        </w:rPr>
        <w:t>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31E3889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w:t>
      </w:r>
      <w:r>
        <w:rPr>
          <w:rFonts w:ascii="宋体" w:hAnsi="宋体"/>
          <w:sz w:val="24"/>
        </w:rPr>
        <w:t>保证和承诺的责任。</w:t>
      </w:r>
    </w:p>
    <w:p w14:paraId="00FCE4C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14:paraId="00E05AF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w:t>
      </w:r>
      <w:r>
        <w:rPr>
          <w:rFonts w:ascii="宋体" w:hAnsi="宋体"/>
          <w:sz w:val="24"/>
        </w:rPr>
        <w:lastRenderedPageBreak/>
        <w:t>绩指标不能反映特定资产的真实价值及变化情况。</w:t>
      </w:r>
    </w:p>
    <w:p w14:paraId="3A0D841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（四）交易对手违约风险</w:t>
      </w:r>
    </w:p>
    <w:p w14:paraId="3390BE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交易对手违约风险是指当债券、票据或债券回购等交易对手违约时，将直接导致基金资产的损失，或导致基金不能及时抓住市场机会，对投资收益产生影响。</w:t>
      </w:r>
    </w:p>
    <w:p w14:paraId="52F88805"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（五）本基金的特有风险</w:t>
      </w:r>
    </w:p>
    <w:p w14:paraId="23871B6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、本基金为债券</w:t>
      </w:r>
      <w:r>
        <w:rPr>
          <w:rFonts w:ascii="宋体" w:hAnsi="宋体"/>
          <w:sz w:val="24"/>
        </w:rPr>
        <w:t>型基金，投资于债券资产的比例不低于基金资产的</w:t>
      </w:r>
      <w:r>
        <w:rPr>
          <w:rFonts w:ascii="宋体" w:hAnsi="宋体"/>
          <w:sz w:val="24"/>
        </w:rPr>
        <w:t>80%</w:t>
      </w:r>
      <w:r>
        <w:rPr>
          <w:rFonts w:ascii="宋体" w:hAnsi="宋体"/>
          <w:sz w:val="24"/>
        </w:rPr>
        <w:t>，其中投资于中高等级信用债的比例不低于非现金基金资产的</w:t>
      </w:r>
      <w:r>
        <w:rPr>
          <w:rFonts w:ascii="宋体" w:hAnsi="宋体"/>
          <w:sz w:val="24"/>
        </w:rPr>
        <w:t>80%</w:t>
      </w:r>
      <w:r>
        <w:rPr>
          <w:rFonts w:ascii="宋体" w:hAnsi="宋体"/>
          <w:sz w:val="24"/>
        </w:rPr>
        <w:t>，因投资固定收益类资产而面临固定收益类资产市场的系统性风险和个券风险；</w:t>
      </w:r>
    </w:p>
    <w:p w14:paraId="11342F3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1A042C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、本基金可投资资产支持证券，资产支持证券具有一定的价格波动风险、流动性风险、信用风险等风险，基金管理人将本着谨慎和控制风险</w:t>
      </w:r>
      <w:r>
        <w:rPr>
          <w:rFonts w:ascii="宋体" w:hAnsi="宋体"/>
          <w:sz w:val="24"/>
        </w:rPr>
        <w:t>的原则进行资产支持证券投资，请基金份额持有人关注包括投资资产支持证券可能导致的基金净值波动在内的各项风险；</w:t>
      </w:r>
    </w:p>
    <w:p w14:paraId="2D1F49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、基金合同提前终止风险。连续五十个工作日出现基金份额持有人数量不满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万元情形的，基金管理人提前终止基金合同，不需召开基金份额持有人大会。</w:t>
      </w:r>
    </w:p>
    <w:p w14:paraId="2458A7C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（六）本基金法律文件风险收益特征表述与销售机构基金风险评价可能不一致的风险</w:t>
      </w:r>
    </w:p>
    <w:p w14:paraId="7829C55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本基金法律文件投资章节有关风险收益特征的表述是基于投资范围、投资比例、证券市场普遍规律等做出的概述性描述，代表了一般市场情况下本基金的长期风险收益特征。销</w:t>
      </w:r>
      <w:r>
        <w:rPr>
          <w:rFonts w:ascii="宋体" w:hAnsi="宋体"/>
          <w:sz w:val="24"/>
        </w:rPr>
        <w:t>售机构</w:t>
      </w:r>
      <w:r>
        <w:rPr>
          <w:rFonts w:ascii="宋体" w:hAnsi="宋体"/>
          <w:sz w:val="24"/>
        </w:rPr>
        <w:t>(</w:t>
      </w:r>
      <w:r>
        <w:rPr>
          <w:rFonts w:ascii="宋体" w:hAnsi="宋体"/>
          <w:sz w:val="24"/>
        </w:rPr>
        <w:t>包括基金管理人直销机构和其他销售机构</w:t>
      </w:r>
      <w:r>
        <w:rPr>
          <w:rFonts w:ascii="宋体" w:hAnsi="宋体"/>
          <w:sz w:val="24"/>
        </w:rPr>
        <w:t>)</w:t>
      </w:r>
      <w:r>
        <w:rPr>
          <w:rFonts w:ascii="宋体" w:hAnsi="宋体"/>
          <w:sz w:val="24"/>
        </w:rPr>
        <w:t>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7584E6C8"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（七）其他风险</w:t>
      </w:r>
    </w:p>
    <w:p w14:paraId="069685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、因技术因素而产生的风险，如电脑系统不可靠产生的风险；</w:t>
      </w:r>
    </w:p>
    <w:p w14:paraId="579839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、因基金业务快速发展，在制度建设、人员配备、内控制度建立等方面的不完善产生的风险；</w:t>
      </w:r>
    </w:p>
    <w:p w14:paraId="05E1F10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w:t>
      </w:r>
      <w:r>
        <w:rPr>
          <w:rFonts w:ascii="宋体" w:hAnsi="宋体"/>
          <w:sz w:val="24"/>
        </w:rPr>
        <w:t>、因人为因素而产生的风险、如内幕交易、欺诈行为等产生的风险；</w:t>
      </w:r>
    </w:p>
    <w:p w14:paraId="47E7C4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、对主要业务人员如基金经理的依赖而可能产生的风险；</w:t>
      </w:r>
    </w:p>
    <w:p w14:paraId="217B755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、因业务竞争压力可能产生的风险；</w:t>
      </w:r>
    </w:p>
    <w:p w14:paraId="18518D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、战争、自然灾害等不可抗力可能导致基金财产的损失，影响基金收益水平，从而带来风险；</w:t>
      </w:r>
    </w:p>
    <w:p w14:paraId="0BA8B4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、其他意外导致的风险。</w:t>
      </w:r>
    </w:p>
    <w:p w14:paraId="62206CAF"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0F6508A" w14:textId="77777777" w:rsidR="002411B3" w:rsidRDefault="00BA6CE7">
      <w:pPr>
        <w:pStyle w:val="1"/>
        <w:snapToGrid w:val="0"/>
        <w:spacing w:beforeLines="0" w:before="240" w:after="240"/>
        <w:rPr>
          <w:rFonts w:ascii="宋体" w:hAnsi="宋体"/>
          <w:szCs w:val="30"/>
        </w:rPr>
      </w:pPr>
      <w:bookmarkStart w:id="23" w:name="_Toc202521668"/>
      <w:r>
        <w:rPr>
          <w:rFonts w:ascii="Times New Roman" w:hAnsi="Times New Roman"/>
          <w:sz w:val="30"/>
        </w:rPr>
        <w:lastRenderedPageBreak/>
        <w:t>二十、基金合同的变更、终止与基金财产的清算</w:t>
      </w:r>
      <w:bookmarkEnd w:id="23"/>
    </w:p>
    <w:p w14:paraId="547C853D"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（一）《基金合同》的变更</w:t>
      </w:r>
    </w:p>
    <w:p w14:paraId="48105D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6DE4BB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、关于《基金合同》变更的基金份额持有人大会决议自生效后方可执行，自决议生效后依照《信息披露办法》的规定在指定媒介公告。</w:t>
      </w:r>
    </w:p>
    <w:p w14:paraId="090B68C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（二）《基金合同》的终止事由</w:t>
      </w:r>
    </w:p>
    <w:p w14:paraId="15BF3DB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64B02B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、基金份额持有人大会决定终止的；</w:t>
      </w:r>
    </w:p>
    <w:p w14:paraId="559188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w:t>
      </w:r>
      <w:r>
        <w:rPr>
          <w:rFonts w:ascii="宋体" w:hAnsi="宋体"/>
          <w:sz w:val="24"/>
        </w:rPr>
        <w:t>理人、基金托管人职责终止，在</w:t>
      </w:r>
      <w:r>
        <w:rPr>
          <w:rFonts w:ascii="宋体" w:hAnsi="宋体"/>
          <w:sz w:val="24"/>
        </w:rPr>
        <w:t>6</w:t>
      </w:r>
      <w:r>
        <w:rPr>
          <w:rFonts w:ascii="宋体" w:hAnsi="宋体"/>
          <w:sz w:val="24"/>
        </w:rPr>
        <w:t>个月内没有新基金管理人、新基金托管人承接的；</w:t>
      </w:r>
    </w:p>
    <w:p w14:paraId="4B3F9D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、连续</w:t>
      </w:r>
      <w:r>
        <w:rPr>
          <w:rFonts w:ascii="宋体" w:hAnsi="宋体"/>
          <w:sz w:val="24"/>
        </w:rPr>
        <w:t>50</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万元情形的，基金管理人提前终止基金合同，不需召开基金份额持有人大会；</w:t>
      </w:r>
    </w:p>
    <w:p w14:paraId="627906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、《基金合同》约定的其他情形；</w:t>
      </w:r>
    </w:p>
    <w:p w14:paraId="57FDB26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、相关法律法规和中国证监会规定的其他情况。</w:t>
      </w:r>
    </w:p>
    <w:p w14:paraId="3AB20F6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（三）基金财产的清算</w:t>
      </w:r>
    </w:p>
    <w:p w14:paraId="5C06CC0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、基金财产清算小组：自出现《基金合同》终止事由之日起</w:t>
      </w:r>
      <w:r>
        <w:rPr>
          <w:rFonts w:ascii="宋体" w:hAnsi="宋体"/>
          <w:sz w:val="24"/>
        </w:rPr>
        <w:t>30</w:t>
      </w:r>
      <w:r>
        <w:rPr>
          <w:rFonts w:ascii="宋体" w:hAnsi="宋体"/>
          <w:sz w:val="24"/>
        </w:rPr>
        <w:t>个工作日内成立清算小组，基金管理人组织基金财产清算小组并在中国证监会的监督下进行基金清算。</w:t>
      </w:r>
    </w:p>
    <w:p w14:paraId="0BCDCC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、基金财产清算小组组成：基金财</w:t>
      </w:r>
      <w:r>
        <w:rPr>
          <w:rFonts w:ascii="宋体" w:hAnsi="宋体"/>
          <w:sz w:val="24"/>
        </w:rPr>
        <w:t>产清算小组成员由基金管理人、基金托管人、具有从事证券、期货相关业务资格的注册会计师、律师以及中国证监会指定的人员组成。基金财产清算小组可以聘用必要的工作人员。</w:t>
      </w:r>
    </w:p>
    <w:p w14:paraId="712E58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、基金财产清算小组职责：基金财产清算小组负责基金财产的保管、清理、估价、变现和分配。基金财产清算小组可以依法进行必要的民事活动。</w:t>
      </w:r>
    </w:p>
    <w:p w14:paraId="19F7C85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、基金财产清算程序：</w:t>
      </w:r>
    </w:p>
    <w:p w14:paraId="51CCE6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）《基金合同》终止情形出现时，由基金财产清算小组统一接管基金；</w:t>
      </w:r>
    </w:p>
    <w:p w14:paraId="3CA083A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）对基金财产和债权债务进行清理和确认；</w:t>
      </w:r>
    </w:p>
    <w:p w14:paraId="74E6E4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3</w:t>
      </w:r>
      <w:r>
        <w:rPr>
          <w:rFonts w:ascii="宋体" w:hAnsi="宋体"/>
          <w:sz w:val="24"/>
        </w:rPr>
        <w:t>）对基金财产进行估值和变现；</w:t>
      </w:r>
    </w:p>
    <w:p w14:paraId="58E445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）制作清算报告；</w:t>
      </w:r>
    </w:p>
    <w:p w14:paraId="483C76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）聘请会计师事务所对清算报告进行外部审计，聘请律师事务所对清算报告出具法律意见书；</w:t>
      </w:r>
    </w:p>
    <w:p w14:paraId="5288B41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）将清算报告报中国证监会备案并公告；</w:t>
      </w:r>
    </w:p>
    <w:p w14:paraId="6172F15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）对基金剩余财产进行分配。</w:t>
      </w:r>
    </w:p>
    <w:p w14:paraId="11A1558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、基金财产清算的期限为</w:t>
      </w:r>
      <w:r>
        <w:rPr>
          <w:rFonts w:ascii="宋体" w:hAnsi="宋体"/>
          <w:sz w:val="24"/>
        </w:rPr>
        <w:t>6</w:t>
      </w:r>
      <w:r>
        <w:rPr>
          <w:rFonts w:ascii="宋体" w:hAnsi="宋体"/>
          <w:sz w:val="24"/>
        </w:rPr>
        <w:t>个月，但因本基金所持证券的流动性受到限制而不能及时变现的，清算期限相应顺延。</w:t>
      </w:r>
    </w:p>
    <w:p w14:paraId="755BA58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（四）清算费用</w:t>
      </w:r>
    </w:p>
    <w:p w14:paraId="57E981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41F052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（五）基金财产清算剩余资产的分配</w:t>
      </w:r>
    </w:p>
    <w:p w14:paraId="2516B4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w:t>
      </w:r>
      <w:r>
        <w:rPr>
          <w:rFonts w:ascii="宋体" w:hAnsi="宋体"/>
          <w:sz w:val="24"/>
        </w:rPr>
        <w:t>、交纳所欠税款并清偿基金债务后，按基金份额持有人持有的基金份额比例进行分配。</w:t>
      </w:r>
    </w:p>
    <w:p w14:paraId="7305C6E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（六）基金财产清算的公告</w:t>
      </w:r>
    </w:p>
    <w:p w14:paraId="3FACCC5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宋体" w:hAnsi="宋体"/>
          <w:sz w:val="24"/>
        </w:rPr>
        <w:t>5</w:t>
      </w:r>
      <w:r>
        <w:rPr>
          <w:rFonts w:ascii="宋体" w:hAnsi="宋体"/>
          <w:sz w:val="24"/>
        </w:rPr>
        <w:t>个工作日内由基金财产清算小组进行公告，基金财产清算小组应当将清算报告登载在指定网站上，并将清算报告提示性公告登载在指定报刊上。</w:t>
      </w:r>
    </w:p>
    <w:p w14:paraId="6327C419"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（七）基金财产清算账册及文件的保存</w:t>
      </w:r>
    </w:p>
    <w:p w14:paraId="079AF08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w:t>
      </w:r>
      <w:r>
        <w:rPr>
          <w:rFonts w:ascii="宋体" w:hAnsi="宋体"/>
          <w:sz w:val="24"/>
        </w:rPr>
        <w:t>保存</w:t>
      </w:r>
      <w:r>
        <w:rPr>
          <w:rFonts w:ascii="宋体" w:hAnsi="宋体"/>
          <w:sz w:val="24"/>
        </w:rPr>
        <w:t>15</w:t>
      </w:r>
      <w:r>
        <w:rPr>
          <w:rFonts w:ascii="宋体" w:hAnsi="宋体"/>
          <w:sz w:val="24"/>
        </w:rPr>
        <w:t>年以上。</w:t>
      </w:r>
    </w:p>
    <w:p w14:paraId="5E09ADFA"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464283D" w14:textId="77777777" w:rsidR="002411B3" w:rsidRDefault="00BA6CE7">
      <w:pPr>
        <w:pStyle w:val="1"/>
        <w:snapToGrid w:val="0"/>
        <w:spacing w:beforeLines="0" w:before="240" w:after="240"/>
        <w:rPr>
          <w:rFonts w:ascii="宋体" w:hAnsi="宋体"/>
          <w:szCs w:val="30"/>
        </w:rPr>
      </w:pPr>
      <w:bookmarkStart w:id="24" w:name="_Toc202521669"/>
      <w:r>
        <w:rPr>
          <w:rFonts w:ascii="Times New Roman" w:hAnsi="Times New Roman"/>
          <w:sz w:val="30"/>
        </w:rPr>
        <w:lastRenderedPageBreak/>
        <w:t>二十一、基金合同内容摘要</w:t>
      </w:r>
      <w:bookmarkEnd w:id="24"/>
    </w:p>
    <w:p w14:paraId="01686C8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（一）基金份额持有人、基金管理人和基金托管人的权利与义务</w:t>
      </w:r>
    </w:p>
    <w:p w14:paraId="1E182B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、基金管理人的权利与义务</w:t>
      </w:r>
    </w:p>
    <w:p w14:paraId="204F200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）根据《基金法》、《运作办法》及其他有关规定，基金管理人的权利包括但不限于：</w:t>
      </w:r>
    </w:p>
    <w:p w14:paraId="168D602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）依法募集资金；</w:t>
      </w:r>
    </w:p>
    <w:p w14:paraId="48AEE7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）自《基金合同》生效之日起，根据法律法规和《基金合同》独立运用并管理基金财产；</w:t>
      </w:r>
    </w:p>
    <w:p w14:paraId="78EFA5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）依照《基金合同》收取基金管理费以及法律法规规定或中国证监会批准的其他费用；</w:t>
      </w:r>
    </w:p>
    <w:p w14:paraId="1C9B00D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）销售基金份额；</w:t>
      </w:r>
    </w:p>
    <w:p w14:paraId="017B34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）按照规定召集基金份额持有人大会；</w:t>
      </w:r>
    </w:p>
    <w:p w14:paraId="6EA3C05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）依据《基金合同》及有关法律规定监督基金托管人，如认为基金托管人违反了《基金合同》及国家有关法律规定，应呈报中国证监会和其他监管部门，并采取必要措施保护基金投资者的利益；</w:t>
      </w:r>
    </w:p>
    <w:p w14:paraId="1B1740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）在基金托管人更换时，提名新的基金托管人；</w:t>
      </w:r>
    </w:p>
    <w:p w14:paraId="6617DA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）选择、更换基金销售机构，对基金销售机构的相关行为进行监督和处理；</w:t>
      </w:r>
    </w:p>
    <w:p w14:paraId="3C2165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）担任或委托其他符合条件的机构担任基金登记机构办理基金登记业务并获得《基金合同》规定的费用；</w:t>
      </w:r>
    </w:p>
    <w:p w14:paraId="6850E3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）依据《基金合同》及有关法律规定决定基金收益的分配方案；</w:t>
      </w:r>
    </w:p>
    <w:p w14:paraId="022C305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）在《基金合同》约定的范围内，拒绝或暂停受理申购与赎回申请；</w:t>
      </w:r>
    </w:p>
    <w:p w14:paraId="7447B5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）依照法律法规为基金的利益行使因基金财产投资于证券所产生的权利；</w:t>
      </w:r>
    </w:p>
    <w:p w14:paraId="7E08E4E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）在法律法规允许的前提下，为基金的利益依法为基金进行融资；</w:t>
      </w:r>
    </w:p>
    <w:p w14:paraId="36435B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）以基金管理人的名义，代表基金份额持有人的利益行使诉讼权利或者实施其他法律行为；</w:t>
      </w:r>
    </w:p>
    <w:p w14:paraId="51180E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）选择、更换律师事务所、会计师事务所、证券经纪商或其他为基金提供服务的外部机构；</w:t>
      </w:r>
    </w:p>
    <w:p w14:paraId="22E8F99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）在符合有关法律、法规的前提下，制定和调整有关基金认购、申购、赎回、转换等的业务规则；</w:t>
      </w:r>
    </w:p>
    <w:p w14:paraId="5EBCAF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17</w:t>
      </w:r>
      <w:r>
        <w:rPr>
          <w:rFonts w:ascii="宋体" w:hAnsi="宋体"/>
          <w:sz w:val="24"/>
        </w:rPr>
        <w:t>）法律法规及中国证监会规定的和《基金合同》约定的其他权利。</w:t>
      </w:r>
    </w:p>
    <w:p w14:paraId="07A606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）根据《基金法》、《运作办法》及其他有关规定</w:t>
      </w:r>
      <w:r>
        <w:rPr>
          <w:rFonts w:ascii="宋体" w:hAnsi="宋体"/>
          <w:sz w:val="24"/>
        </w:rPr>
        <w:t>，基金管理人的义务包括但不限于：</w:t>
      </w:r>
    </w:p>
    <w:p w14:paraId="074B11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）依法募集资金，办理或者委托经中国证监会认定的其他机构办理基金份额的发售、申购、赎回和登记事宜；</w:t>
      </w:r>
    </w:p>
    <w:p w14:paraId="65F4012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）办理基金备案手续；</w:t>
      </w:r>
    </w:p>
    <w:p w14:paraId="5CDD4D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）自《基金合同》生效之日起，以诚实信用、谨慎勤勉的原则管理和运用基金财产；</w:t>
      </w:r>
    </w:p>
    <w:p w14:paraId="30F8A5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）配备足够的具有专业资格的人员进行基金投资分析、决策，以专业化的经营方式管理和运作基金财产；</w:t>
      </w:r>
    </w:p>
    <w:p w14:paraId="4DE99C0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）建立健全内部风险控制、监察与稽核、财务管理及人事管理等制度，保证所管理的基金财产和基金管理人的财产相互独立，对所管理的不同基金分别管理，分别记账，进行证券投资；</w:t>
      </w:r>
    </w:p>
    <w:p w14:paraId="1614002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）除依据《基</w:t>
      </w:r>
      <w:r>
        <w:rPr>
          <w:rFonts w:ascii="宋体" w:hAnsi="宋体"/>
          <w:sz w:val="24"/>
        </w:rPr>
        <w:t>金法》、《基金合同》及其他有关规定外，不得利用基金财产为自己及任何第三人谋取利益，不得委托第三人运作基金财产；</w:t>
      </w:r>
    </w:p>
    <w:p w14:paraId="1856AD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）依法接受基金托管人的监督；</w:t>
      </w:r>
    </w:p>
    <w:p w14:paraId="5056CFA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）采取适当合理的措施使计算基金份额认购、申购、赎回和注销价格的方法符合《基金合同》等法律文件的规定，按有关规定计算并公告基金净值信息，确定基金份额申购、赎回的价格；</w:t>
      </w:r>
    </w:p>
    <w:p w14:paraId="2D68A0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）进行基金会计核算并编制基金财务会计报告；</w:t>
      </w:r>
    </w:p>
    <w:p w14:paraId="21E4BA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）编制季度报告、中期报告和年度报告；</w:t>
      </w:r>
    </w:p>
    <w:p w14:paraId="5ECB53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）严格按照《基金法》、《基金合同》及其他有关规定，履行信息披露及报告义务；</w:t>
      </w:r>
    </w:p>
    <w:p w14:paraId="395596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）保守基金商业秘密，不泄露基</w:t>
      </w:r>
      <w:r>
        <w:rPr>
          <w:rFonts w:ascii="宋体" w:hAnsi="宋体"/>
          <w:sz w:val="24"/>
        </w:rPr>
        <w:t>金投资计划、投资意向等。除《基金法》、《基金合同》及其他有关规定另有规定外，在基金信息公开披露前应予保密，不向他人泄露；</w:t>
      </w:r>
    </w:p>
    <w:p w14:paraId="236C01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）按《基金合同》的约定确定基金收益分配方案，及时向基金份额持有人分配基金收益；</w:t>
      </w:r>
    </w:p>
    <w:p w14:paraId="018D91E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）按规定受理申购与赎回申请，及时、足额支付赎回款项；</w:t>
      </w:r>
    </w:p>
    <w:p w14:paraId="2F2223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）依据《基金法》、《基金合同》及其他有关规定召集基金份额持有人大会或</w:t>
      </w:r>
      <w:r>
        <w:rPr>
          <w:rFonts w:ascii="宋体" w:hAnsi="宋体"/>
          <w:sz w:val="24"/>
        </w:rPr>
        <w:lastRenderedPageBreak/>
        <w:t>配合基金托管人、基金份额持有人依法召集基金份额持有人大会；</w:t>
      </w:r>
    </w:p>
    <w:p w14:paraId="4BA5B5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）按规定保存基金财产管理业务活动的会计账册、报表、记录和其他相关资料</w:t>
      </w:r>
      <w:r>
        <w:rPr>
          <w:rFonts w:ascii="宋体" w:hAnsi="宋体"/>
          <w:sz w:val="24"/>
        </w:rPr>
        <w:t>15</w:t>
      </w:r>
      <w:r>
        <w:rPr>
          <w:rFonts w:ascii="宋体" w:hAnsi="宋体"/>
          <w:sz w:val="24"/>
        </w:rPr>
        <w:t>年以上；</w:t>
      </w:r>
    </w:p>
    <w:p w14:paraId="2F1EC6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w:t>
      </w:r>
      <w:r>
        <w:rPr>
          <w:rFonts w:ascii="宋体" w:hAnsi="宋体"/>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ABE060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w:t>
      </w:r>
      <w:r>
        <w:rPr>
          <w:rFonts w:ascii="宋体" w:hAnsi="宋体"/>
          <w:sz w:val="24"/>
        </w:rPr>
        <w:t>）组织并参加基金财产清算小组，参与基金财产的保管、清理、估价、变现和分配；</w:t>
      </w:r>
    </w:p>
    <w:p w14:paraId="76FB47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w:t>
      </w:r>
      <w:r>
        <w:rPr>
          <w:rFonts w:ascii="宋体" w:hAnsi="宋体"/>
          <w:sz w:val="24"/>
        </w:rPr>
        <w:t>）面临解散、依法被撤销或者被依法宣告破产时，及时报告中国证监会并通知基金托管人；</w:t>
      </w:r>
    </w:p>
    <w:p w14:paraId="2101B28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w:t>
      </w:r>
      <w:r>
        <w:rPr>
          <w:rFonts w:ascii="宋体" w:hAnsi="宋体"/>
          <w:sz w:val="24"/>
        </w:rPr>
        <w:t>）因违反《基金合同》导致基金财产的损失或损害基金份额持有人合法权益时，应当承担赔偿责任，其赔偿责任不因其退任而免除；</w:t>
      </w:r>
    </w:p>
    <w:p w14:paraId="592A774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Pr>
          <w:rFonts w:ascii="宋体" w:hAnsi="宋体"/>
          <w:sz w:val="24"/>
        </w:rPr>
        <w:t>）监督基金托管人按法律法规</w:t>
      </w:r>
      <w:r>
        <w:rPr>
          <w:rFonts w:ascii="宋体" w:hAnsi="宋体"/>
          <w:sz w:val="24"/>
        </w:rPr>
        <w:t>和《基金合同》规定履行自己的义务，基金托管人违反《基金合同》造成基金财产损失时，基金管理人应为基金份额持有人利益向基金托管人追偿；</w:t>
      </w:r>
    </w:p>
    <w:p w14:paraId="4D2DB1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Pr>
          <w:rFonts w:ascii="宋体" w:hAnsi="宋体"/>
          <w:sz w:val="24"/>
        </w:rPr>
        <w:t>）当基金管理人将其义务委托第三方处理时，应当对第三方处理有关基金事务的行为承担责任；</w:t>
      </w:r>
    </w:p>
    <w:p w14:paraId="6CFBD6D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w:t>
      </w:r>
      <w:r>
        <w:rPr>
          <w:rFonts w:ascii="宋体" w:hAnsi="宋体"/>
          <w:sz w:val="24"/>
        </w:rPr>
        <w:t>）以基金管理人名义，代表基金份额持有人利益行使诉讼权利或实施其他法律行为；</w:t>
      </w:r>
    </w:p>
    <w:p w14:paraId="146E04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w:t>
      </w:r>
      <w:r>
        <w:rPr>
          <w:rFonts w:ascii="宋体" w:hAnsi="宋体"/>
          <w:sz w:val="24"/>
        </w:rPr>
        <w:t>）执行生效的基金份额持有人大会的决议；</w:t>
      </w:r>
    </w:p>
    <w:p w14:paraId="5BA2CE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w:t>
      </w:r>
      <w:r>
        <w:rPr>
          <w:rFonts w:ascii="宋体" w:hAnsi="宋体"/>
          <w:sz w:val="24"/>
        </w:rPr>
        <w:t>）建立并保存基金份额持有人名册；</w:t>
      </w:r>
    </w:p>
    <w:p w14:paraId="0FD6C9A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w:t>
      </w:r>
      <w:r>
        <w:rPr>
          <w:rFonts w:ascii="宋体" w:hAnsi="宋体"/>
          <w:sz w:val="24"/>
        </w:rPr>
        <w:t>）法律法规及中国证监会规定的和《基金合同》约定的其他义务。</w:t>
      </w:r>
    </w:p>
    <w:p w14:paraId="3E03B8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、基金托管人的权利与义务</w:t>
      </w:r>
    </w:p>
    <w:p w14:paraId="2FCFD1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）根据《基金法》、《运作办法》及</w:t>
      </w:r>
      <w:r>
        <w:rPr>
          <w:rFonts w:ascii="宋体" w:hAnsi="宋体"/>
          <w:sz w:val="24"/>
        </w:rPr>
        <w:t>其他有关规定，基金托管人的权利包括但不限于：</w:t>
      </w:r>
    </w:p>
    <w:p w14:paraId="52A359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）自《基金合同》生效之日起，依法律法规和《基金合同》的规定安全保管基金财产；</w:t>
      </w:r>
    </w:p>
    <w:p w14:paraId="5FBA228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）依《基金合同》约定获得基金托管费以及法律法规规定或监管部门批准的其他费用；</w:t>
      </w:r>
    </w:p>
    <w:p w14:paraId="02CBB9A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）监督基金管理人对本基金的投资运作，如发现基金管理人有违反《基金合</w:t>
      </w:r>
      <w:r>
        <w:rPr>
          <w:rFonts w:ascii="宋体" w:hAnsi="宋体"/>
          <w:sz w:val="24"/>
        </w:rPr>
        <w:lastRenderedPageBreak/>
        <w:t>同》及国家法律法规行为，对基金财产、其他当事人的利益造成重大损失的情形，应呈报中国证监会，并采取必要措施保护基金投资者的利益；</w:t>
      </w:r>
    </w:p>
    <w:p w14:paraId="5C9E64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）根据相关市场规则，为基金开设资金账户、证券账户等投资所需账户，为基金办理证券交易资金清算；</w:t>
      </w:r>
    </w:p>
    <w:p w14:paraId="438A453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）提议召开或召集基金份额持有人大会；</w:t>
      </w:r>
    </w:p>
    <w:p w14:paraId="2A8DB76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）在基金管理人更换时，提名新的基金管理人；</w:t>
      </w:r>
    </w:p>
    <w:p w14:paraId="19C0D5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）法律法规及中国证监会规定的和《基金合同》约定的其他权利。</w:t>
      </w:r>
    </w:p>
    <w:p w14:paraId="15D565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）根据《基金法》、《运作办法》及其他有关规定，基金托管人的义务包括但不限于：</w:t>
      </w:r>
    </w:p>
    <w:p w14:paraId="369BC4B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）以诚实信用、勤勉尽责的原则持有并安全保管基金财产；</w:t>
      </w:r>
    </w:p>
    <w:p w14:paraId="10D66B7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）设立专门的基金托管部门，具有符合要求的营业场所，配备足够的、合格的熟悉基金托管业务的专职人员，负责基金财产托管事宜；</w:t>
      </w:r>
    </w:p>
    <w:p w14:paraId="0CE647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）建立健全内部风险控制、监察与稽核、财务管理及人事管理等制度，确保基金财产的安全，保证其托管的基金财产</w:t>
      </w:r>
      <w:r>
        <w:rPr>
          <w:rFonts w:ascii="宋体" w:hAnsi="宋体"/>
          <w:sz w:val="24"/>
        </w:rPr>
        <w:t>与基金托管人自有财产以及不同的基金财产相互独立；对所托管的不同的基金分别设置账户，独立核算，分账管理，保证不同基金之间在账户设置、资金划拨、账册记录等方面相互独立；</w:t>
      </w:r>
    </w:p>
    <w:p w14:paraId="79413AE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）除依据《基金法》、《基金合同》及其他有关规定外，不得利用基金财产为自己及任何第三人谋取利益，不得委托第三人托管基金财产；</w:t>
      </w:r>
    </w:p>
    <w:p w14:paraId="567DA7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）保管由基金管理人代表基金签订的与基金有关的重大合同及有关凭证；</w:t>
      </w:r>
    </w:p>
    <w:p w14:paraId="2D7E96B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）按规定开设基金财产的资金账户和证券账户等投资所需账户，按照《基金合同》的约定，根据基金管理人的投资指令，及时办理清算、交割事宜；</w:t>
      </w:r>
    </w:p>
    <w:p w14:paraId="6C696B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）保守基金商业秘密，除《基金法》、《基金合同》及其他有关规定另有规定外，在基金信息公开披露前予以保密，不得向他人泄露；</w:t>
      </w:r>
    </w:p>
    <w:p w14:paraId="2341CF7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）复核、审查基金管理人计算的基金资产净值、基金份额净值、基金份额申购、赎回价格；</w:t>
      </w:r>
    </w:p>
    <w:p w14:paraId="2EC065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）办理与基金托管业务活动有关的信息披露事项；</w:t>
      </w:r>
    </w:p>
    <w:p w14:paraId="260FB4A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391884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w:t>
      </w:r>
      <w:r>
        <w:rPr>
          <w:rFonts w:ascii="宋体" w:hAnsi="宋体"/>
          <w:sz w:val="24"/>
        </w:rPr>
        <w:t>）保存基金托管业务活动的记录、账</w:t>
      </w:r>
      <w:r>
        <w:rPr>
          <w:rFonts w:ascii="宋体" w:hAnsi="宋体"/>
          <w:sz w:val="24"/>
        </w:rPr>
        <w:t>册、报表和其他相关资料</w:t>
      </w:r>
      <w:r>
        <w:rPr>
          <w:rFonts w:ascii="宋体" w:hAnsi="宋体"/>
          <w:sz w:val="24"/>
        </w:rPr>
        <w:t>15</w:t>
      </w:r>
      <w:r>
        <w:rPr>
          <w:rFonts w:ascii="宋体" w:hAnsi="宋体"/>
          <w:sz w:val="24"/>
        </w:rPr>
        <w:t>年以上；</w:t>
      </w:r>
    </w:p>
    <w:p w14:paraId="412645C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）建立并保存基金份额持有人名册；</w:t>
      </w:r>
    </w:p>
    <w:p w14:paraId="744F439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）按规定制作相关账册并与基金管理人核对；</w:t>
      </w:r>
    </w:p>
    <w:p w14:paraId="1FE124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w:t>
      </w:r>
      <w:r>
        <w:rPr>
          <w:rFonts w:ascii="宋体" w:hAnsi="宋体"/>
          <w:sz w:val="24"/>
        </w:rPr>
        <w:t>）依据基金管理人的指令或有关规定向基金份额持有人支付基金收益和赎回款项；</w:t>
      </w:r>
    </w:p>
    <w:p w14:paraId="1B4D3BE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w:t>
      </w:r>
      <w:r>
        <w:rPr>
          <w:rFonts w:ascii="宋体" w:hAnsi="宋体"/>
          <w:sz w:val="24"/>
        </w:rPr>
        <w:t>）依据《基金法》、《基金合同》及其他有关规定，召集基金份额持有人大会或配合基金管理人、基金份额持有人依法召集基金份额持有人大会；</w:t>
      </w:r>
    </w:p>
    <w:p w14:paraId="7D00546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w:t>
      </w:r>
      <w:r>
        <w:rPr>
          <w:rFonts w:ascii="宋体" w:hAnsi="宋体"/>
          <w:sz w:val="24"/>
        </w:rPr>
        <w:t>）按照法律法规和《基金合同》的规定监督基金管理人的投资运作；</w:t>
      </w:r>
    </w:p>
    <w:p w14:paraId="10B1D4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w:t>
      </w:r>
      <w:r>
        <w:rPr>
          <w:rFonts w:ascii="宋体" w:hAnsi="宋体"/>
          <w:sz w:val="24"/>
        </w:rPr>
        <w:t>）参加基金财产清算小组，参与基金财产的保管、清理、估价、变现和分配；</w:t>
      </w:r>
    </w:p>
    <w:p w14:paraId="11431B5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w:t>
      </w:r>
      <w:r>
        <w:rPr>
          <w:rFonts w:ascii="宋体" w:hAnsi="宋体"/>
          <w:sz w:val="24"/>
        </w:rPr>
        <w:t>）面临解散、依法被撤销或者被依法宣告</w:t>
      </w:r>
      <w:r>
        <w:rPr>
          <w:rFonts w:ascii="宋体" w:hAnsi="宋体"/>
          <w:sz w:val="24"/>
        </w:rPr>
        <w:t>破产时，及时报告中国证监会和银行业监督管理机构，并通知基金管理人；</w:t>
      </w:r>
    </w:p>
    <w:p w14:paraId="567B85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w:t>
      </w:r>
      <w:r>
        <w:rPr>
          <w:rFonts w:ascii="宋体" w:hAnsi="宋体"/>
          <w:sz w:val="24"/>
        </w:rPr>
        <w:t>）因违反《基金合同》导致基金财产损失时，应承担赔偿责任，其赔偿责任不因其退任而免除；</w:t>
      </w:r>
    </w:p>
    <w:p w14:paraId="5BCCF7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w:t>
      </w:r>
      <w:r>
        <w:rPr>
          <w:rFonts w:ascii="宋体" w:hAnsi="宋体"/>
          <w:sz w:val="24"/>
        </w:rPr>
        <w:t>）按规定监督基金管理人按法律法规和《基金合同》规定履行自己的义务，基金管理人因违反《基金合同》造成基金财产损失时，应为基金份额持有人利益向基金管理人追偿；</w:t>
      </w:r>
    </w:p>
    <w:p w14:paraId="614BBAE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w:t>
      </w:r>
      <w:r>
        <w:rPr>
          <w:rFonts w:ascii="宋体" w:hAnsi="宋体"/>
          <w:sz w:val="24"/>
        </w:rPr>
        <w:t>）执行生效的基金份额持有人大会的决议；</w:t>
      </w:r>
    </w:p>
    <w:p w14:paraId="314F2A8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w:t>
      </w:r>
      <w:r>
        <w:rPr>
          <w:rFonts w:ascii="宋体" w:hAnsi="宋体"/>
          <w:sz w:val="24"/>
        </w:rPr>
        <w:t>）法律法规及中国证监会规定的和《基金合同》约定的其他义务。</w:t>
      </w:r>
    </w:p>
    <w:p w14:paraId="451F76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、基金份额持有人的权利与义务</w:t>
      </w:r>
    </w:p>
    <w:p w14:paraId="631A96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w:t>
      </w:r>
      <w:r>
        <w:rPr>
          <w:rFonts w:ascii="宋体" w:hAnsi="宋体"/>
          <w:sz w:val="24"/>
        </w:rPr>
        <w:t>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0E1869D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每份基金份额具有同等的合法权益。</w:t>
      </w:r>
    </w:p>
    <w:p w14:paraId="59A1A4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）根据《基金法》、《运作办法》及其他有关规定，基金份额持有人的权利包括但不限于：</w:t>
      </w:r>
    </w:p>
    <w:p w14:paraId="2924B7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）分享基金财产收益；</w:t>
      </w:r>
    </w:p>
    <w:p w14:paraId="008E6F7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）参与分配清算后的剩余基金财产；</w:t>
      </w:r>
    </w:p>
    <w:p w14:paraId="735725F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）依法转让或者申请赎回其持有的基金份额；</w:t>
      </w:r>
    </w:p>
    <w:p w14:paraId="7158204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w:t>
      </w:r>
      <w:r>
        <w:rPr>
          <w:rFonts w:ascii="宋体" w:hAnsi="宋体"/>
          <w:sz w:val="24"/>
        </w:rPr>
        <w:t>）按照规定要求召开基金份额持有人大会或者召集基金份额持有人大</w:t>
      </w:r>
      <w:r>
        <w:rPr>
          <w:rFonts w:ascii="宋体" w:hAnsi="宋体"/>
          <w:sz w:val="24"/>
        </w:rPr>
        <w:t>会；</w:t>
      </w:r>
    </w:p>
    <w:p w14:paraId="5CDAA43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）出席或者委派代表出席基金份额持有人大会，对基金份额持有人大会审议事项行使表决权；</w:t>
      </w:r>
    </w:p>
    <w:p w14:paraId="4ADBF31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）查阅或者复制公开披露的基金信息资料；</w:t>
      </w:r>
    </w:p>
    <w:p w14:paraId="730A341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）监督基金管理人的投资运作；</w:t>
      </w:r>
    </w:p>
    <w:p w14:paraId="697C41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）对基金管理人、基金托管人、基金服务机构损害其合法权益的行为依法提起诉讼或仲裁；</w:t>
      </w:r>
    </w:p>
    <w:p w14:paraId="5EDD1C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）法律法规及中国证监会规定的和《基金合同》约定的其他权利。</w:t>
      </w:r>
    </w:p>
    <w:p w14:paraId="6399AE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）根据《基金法》、《运作办法》及其他有关规定，基金份额持有人的义务包括但不限于：</w:t>
      </w:r>
    </w:p>
    <w:p w14:paraId="19D33F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）认真阅读并遵守《基金合同》、招募说明书等信息披露文件；</w:t>
      </w:r>
    </w:p>
    <w:p w14:paraId="583D62A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）了解所投资基金产品，了解自身风险承受能力，自主判断基金的投资价值，自主做出投资决策，自行承担投资风险；</w:t>
      </w:r>
    </w:p>
    <w:p w14:paraId="45FD6B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）关注基金信息披露，及时行使权利和履行义务；</w:t>
      </w:r>
    </w:p>
    <w:p w14:paraId="2603335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）交纳基金认购、申购款项及法律法规和《基金合同》所规定的费用；</w:t>
      </w:r>
    </w:p>
    <w:p w14:paraId="63D486F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）在其持有的基金份额范围内，承担基金亏损或者《基金合同》终止的有限责任；</w:t>
      </w:r>
    </w:p>
    <w:p w14:paraId="6B4A71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）不从事任何有损基金及其他《基金合同》当事人合法权益的活动；</w:t>
      </w:r>
    </w:p>
    <w:p w14:paraId="21F97E5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）执行生效的基金份额持有人大会的决议；</w:t>
      </w:r>
    </w:p>
    <w:p w14:paraId="7B70384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）返还在基金交易过程中因任何原因获得的不当得利；</w:t>
      </w:r>
    </w:p>
    <w:p w14:paraId="1B2CCF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）遵守基金管理人、基金托管人、销售机构和登记机构的相关交易及业务规则；</w:t>
      </w:r>
    </w:p>
    <w:p w14:paraId="211C2A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）提供基金管理人和监管机构依法要求提供的信息，以及不时的更新和补充，并保证其真实性；</w:t>
      </w:r>
    </w:p>
    <w:p w14:paraId="509688A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）法律法规及中国证监会规定的和《基金合同》约定的其他义务。</w:t>
      </w:r>
    </w:p>
    <w:p w14:paraId="3A052B96"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（二）基金份额持有人大会召集、议事及表决的程序和规则</w:t>
      </w:r>
    </w:p>
    <w:p w14:paraId="7365E6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2754CB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7B0247F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w:t>
      </w:r>
      <w:r>
        <w:rPr>
          <w:rFonts w:ascii="宋体" w:hAnsi="宋体"/>
          <w:sz w:val="24"/>
        </w:rPr>
        <w:t>、召开事由</w:t>
      </w:r>
    </w:p>
    <w:p w14:paraId="218EF24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）当出现或需要决定</w:t>
      </w:r>
      <w:r>
        <w:rPr>
          <w:rFonts w:ascii="宋体" w:hAnsi="宋体"/>
          <w:sz w:val="24"/>
        </w:rPr>
        <w:t>下列事由之一的，应当召开基金份额持有人大会，法律法规、中国证监会另有规定的除外：</w:t>
      </w:r>
    </w:p>
    <w:p w14:paraId="03F1158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）终止《基金合同》，基金合同另有规定的除外；</w:t>
      </w:r>
    </w:p>
    <w:p w14:paraId="52D311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）更换基金管理人；</w:t>
      </w:r>
    </w:p>
    <w:p w14:paraId="064A2C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）更换基金托管人；</w:t>
      </w:r>
    </w:p>
    <w:p w14:paraId="66A9738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）转换基金运作方式；</w:t>
      </w:r>
    </w:p>
    <w:p w14:paraId="0DC20B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）调整基金管理人、基金托管人的报酬标准；</w:t>
      </w:r>
    </w:p>
    <w:p w14:paraId="68416C8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）变更基金类别；</w:t>
      </w:r>
    </w:p>
    <w:p w14:paraId="30ED1DC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）本基金与其他基金的合并；</w:t>
      </w:r>
    </w:p>
    <w:p w14:paraId="139C57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）变更基金投资目标、范围或策略，基金合同另有规定的除外；</w:t>
      </w:r>
    </w:p>
    <w:p w14:paraId="6FE7CEE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）变更基金份额持有人大会程序，基金合同另有规定的除外；</w:t>
      </w:r>
    </w:p>
    <w:p w14:paraId="2AF8B5B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）基金管理人或基金托管人要求召开基金份额持有人大会；</w:t>
      </w:r>
    </w:p>
    <w:p w14:paraId="226083B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w:t>
      </w:r>
      <w:r>
        <w:rPr>
          <w:rFonts w:ascii="宋体" w:hAnsi="宋体"/>
          <w:sz w:val="24"/>
        </w:rPr>
        <w:t>）单独或合计持有本基金总份额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）基金份额的基金份额持有人（以基金管理人收到提议当日的基金份额计算，下同）就同一事项书面要求召开基金份额持有人大会；</w:t>
      </w:r>
    </w:p>
    <w:p w14:paraId="6BA94FC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w:t>
      </w:r>
      <w:r>
        <w:rPr>
          <w:rFonts w:ascii="宋体" w:hAnsi="宋体"/>
          <w:sz w:val="24"/>
        </w:rPr>
        <w:t>）对基金合同当事人权利和义务产生重大影响的其他事项；</w:t>
      </w:r>
    </w:p>
    <w:p w14:paraId="596678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w:t>
      </w:r>
      <w:r>
        <w:rPr>
          <w:rFonts w:ascii="宋体" w:hAnsi="宋体"/>
          <w:sz w:val="24"/>
        </w:rPr>
        <w:t>）法律法规、《基金合同》或中国证监会规定的其他应当召开基金份额持有人大会的事项。</w:t>
      </w:r>
    </w:p>
    <w:p w14:paraId="4B3380D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）在法律法规规定和《基金合同》约定的范围内且对基金份额持有人利益无实质性不利影响的前提下，以下情况可由基金管理人和基金托管人协商后修改，不需召开基金份额持有人大会：</w:t>
      </w:r>
    </w:p>
    <w:p w14:paraId="11E3AF0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）法律法规要求增加的基金费</w:t>
      </w:r>
      <w:r>
        <w:rPr>
          <w:rFonts w:ascii="宋体" w:hAnsi="宋体"/>
          <w:sz w:val="24"/>
        </w:rPr>
        <w:t>用的收取；</w:t>
      </w:r>
    </w:p>
    <w:p w14:paraId="66BF368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）在法律法规和《基金合同》规定的范围内调整本基金的申购费率、调低赎回费率、在对现有基金份额持有人利益无实质性不利影响的前提下变更收费方式；</w:t>
      </w:r>
    </w:p>
    <w:p w14:paraId="509AAFD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）因相应的法律法规、登记机构的相关业务规则发生变动而应当对《基金合同》进行修改；</w:t>
      </w:r>
    </w:p>
    <w:p w14:paraId="595938D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）对《基金合同》的修改对基金份额持有人利益无实质性不利影响或修改不涉及《基金合同》当事人权利义务关系发生重大变化；</w:t>
      </w:r>
    </w:p>
    <w:p w14:paraId="4EE6EA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）在法律法规允许的情况下，且在对现有基金份额持有人利益无实质性不利</w:t>
      </w:r>
      <w:r>
        <w:rPr>
          <w:rFonts w:ascii="宋体" w:hAnsi="宋体"/>
          <w:sz w:val="24"/>
        </w:rPr>
        <w:lastRenderedPageBreak/>
        <w:t>影响的前提下，基金推出新业务或服务；</w:t>
      </w:r>
    </w:p>
    <w:p w14:paraId="0BB73D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）在符合法律法规及本基金合同规定、并且对基金份额</w:t>
      </w:r>
      <w:r>
        <w:rPr>
          <w:rFonts w:ascii="宋体" w:hAnsi="宋体"/>
          <w:sz w:val="24"/>
        </w:rPr>
        <w:t>持有人利益无实质不利影响的前提下，调整本基金份额类别的设置；</w:t>
      </w:r>
    </w:p>
    <w:p w14:paraId="0FADF49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）在不违反法律法规及对基金份额持有人利益无实质性不利影响的前提下，基金管理人、登记机构、销售机构调整有关基金申购、赎回、转换、收益分配、非交易过户、转托管等业务的规则；</w:t>
      </w:r>
    </w:p>
    <w:p w14:paraId="1F8D08A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）按照法律法规和《基金合同》规定不需召开基金份额持有人大会的其他情形。</w:t>
      </w:r>
    </w:p>
    <w:p w14:paraId="00924A5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、会议召集人及召集方式</w:t>
      </w:r>
    </w:p>
    <w:p w14:paraId="073B74C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）除法律法规规定或《基金合同》另有约定外，基金份额持有人大会由基金管理人召集；</w:t>
      </w:r>
    </w:p>
    <w:p w14:paraId="0EFBC9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）基金管理人未按规定召集或不能召集时，由基金托管人召集；</w:t>
      </w:r>
    </w:p>
    <w:p w14:paraId="6C6CB1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）基金托管人认为有必要召开基</w:t>
      </w:r>
      <w:r>
        <w:rPr>
          <w:rFonts w:ascii="宋体" w:hAnsi="宋体"/>
          <w:sz w:val="24"/>
        </w:rPr>
        <w:t>金份额持有人大会的，应当向基金管理人提出书面提议。基金管理人应当自收到书面提议之日起</w:t>
      </w:r>
      <w:r>
        <w:rPr>
          <w:rFonts w:ascii="宋体" w:hAnsi="宋体"/>
          <w:sz w:val="24"/>
        </w:rPr>
        <w:t>10</w:t>
      </w:r>
      <w:r>
        <w:rPr>
          <w:rFonts w:ascii="宋体" w:hAnsi="宋体"/>
          <w:sz w:val="24"/>
        </w:rPr>
        <w:t>日内决定是否召集，并书面告知基金托管人。基金管理人决定召集的，应当自出具书面决定之日起</w:t>
      </w:r>
      <w:r>
        <w:rPr>
          <w:rFonts w:ascii="宋体" w:hAnsi="宋体"/>
          <w:sz w:val="24"/>
        </w:rPr>
        <w:t>60</w:t>
      </w:r>
      <w:r>
        <w:rPr>
          <w:rFonts w:ascii="宋体" w:hAnsi="宋体"/>
          <w:sz w:val="24"/>
        </w:rPr>
        <w:t>日内召开；基金管理人决定不召集，基金托管人仍认为有必要召开的，应当由基金托管人自行召集，并自出具书面决定之日起</w:t>
      </w:r>
      <w:r>
        <w:rPr>
          <w:rFonts w:ascii="宋体" w:hAnsi="宋体"/>
          <w:sz w:val="24"/>
        </w:rPr>
        <w:t>60</w:t>
      </w:r>
      <w:r>
        <w:rPr>
          <w:rFonts w:ascii="宋体" w:hAnsi="宋体"/>
          <w:sz w:val="24"/>
        </w:rPr>
        <w:t>日内召开并告知基金管理人，基金管理人应当配合；</w:t>
      </w:r>
    </w:p>
    <w:p w14:paraId="20D07D7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）的基金份额持有人就同一事项书面要求召开基金份额持有人大会，应当向基金管理人提出书面提议。基金管理人应当自收到书面提议之日起</w:t>
      </w:r>
      <w:r>
        <w:rPr>
          <w:rFonts w:ascii="宋体" w:hAnsi="宋体"/>
          <w:sz w:val="24"/>
        </w:rPr>
        <w:t>10</w:t>
      </w:r>
      <w:r>
        <w:rPr>
          <w:rFonts w:ascii="宋体" w:hAnsi="宋体"/>
          <w:sz w:val="24"/>
        </w:rPr>
        <w:t>日内决</w:t>
      </w:r>
      <w:r>
        <w:rPr>
          <w:rFonts w:ascii="宋体" w:hAnsi="宋体"/>
          <w:sz w:val="24"/>
        </w:rPr>
        <w:t>定是否召集，并书面告知提出提议的基金份额持有人代表和基金托管人。基金管理人决定召集的，应当自出具书面决定之日起</w:t>
      </w:r>
      <w:r>
        <w:rPr>
          <w:rFonts w:ascii="宋体" w:hAnsi="宋体"/>
          <w:sz w:val="24"/>
        </w:rPr>
        <w:t>60</w:t>
      </w:r>
      <w:r>
        <w:rPr>
          <w:rFonts w:ascii="宋体" w:hAnsi="宋体"/>
          <w:sz w:val="24"/>
        </w:rPr>
        <w:t>日内召开；基金管理人决定不召集，代表基金份额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）的基金份额持有人仍认为有必要召开的，应当向基金托管人提出书面提议。基金托管人应当自收到书面提议之日起</w:t>
      </w:r>
      <w:r>
        <w:rPr>
          <w:rFonts w:ascii="宋体" w:hAnsi="宋体"/>
          <w:sz w:val="24"/>
        </w:rPr>
        <w:t>10</w:t>
      </w:r>
      <w:r>
        <w:rPr>
          <w:rFonts w:ascii="宋体" w:hAnsi="宋体"/>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sz w:val="24"/>
        </w:rPr>
        <w:t>日内召开并告知基金管理人，基金管理人应当配合；</w:t>
      </w:r>
    </w:p>
    <w:p w14:paraId="796978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）的基金份额持有人就同</w:t>
      </w:r>
      <w:r>
        <w:rPr>
          <w:rFonts w:ascii="宋体" w:hAnsi="宋体"/>
          <w:sz w:val="24"/>
        </w:rPr>
        <w:t>一事项要求召开基金份额持有人大会，而基金管理人、基金托管人都不召集的，单独或合计代表基金份额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）的基金份额持有人有权自行召集，并至少提前</w:t>
      </w:r>
      <w:r>
        <w:rPr>
          <w:rFonts w:ascii="宋体" w:hAnsi="宋体"/>
          <w:sz w:val="24"/>
        </w:rPr>
        <w:t>30</w:t>
      </w:r>
      <w:r>
        <w:rPr>
          <w:rFonts w:ascii="宋体" w:hAnsi="宋体"/>
          <w:sz w:val="24"/>
        </w:rPr>
        <w:t>日报中国</w:t>
      </w:r>
      <w:r>
        <w:rPr>
          <w:rFonts w:ascii="宋体" w:hAnsi="宋体"/>
          <w:sz w:val="24"/>
        </w:rPr>
        <w:lastRenderedPageBreak/>
        <w:t>证监会备案。基金份额持有人依法自行召集基金份额持有人大会的，基金管理人、基金托管人应当配合，不得阻碍、干扰；</w:t>
      </w:r>
    </w:p>
    <w:p w14:paraId="5E3F8F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）基金份额持有人会议的召集人负责选择确定开会时间、地点、方式和权益登记日。</w:t>
      </w:r>
    </w:p>
    <w:p w14:paraId="4777B1E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、召开基金份额持有人大会的通知时间、通知内容、通知方式</w:t>
      </w:r>
    </w:p>
    <w:p w14:paraId="55F0740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）召开基金份额持有人大会，召集人应于会议召开前</w:t>
      </w:r>
      <w:r>
        <w:rPr>
          <w:rFonts w:ascii="宋体" w:hAnsi="宋体"/>
          <w:sz w:val="24"/>
        </w:rPr>
        <w:t>30</w:t>
      </w:r>
      <w:r>
        <w:rPr>
          <w:rFonts w:ascii="宋体" w:hAnsi="宋体"/>
          <w:sz w:val="24"/>
        </w:rPr>
        <w:t>日，在指定媒介公告。基金份额持有人大会通知应</w:t>
      </w:r>
      <w:r>
        <w:rPr>
          <w:rFonts w:ascii="宋体" w:hAnsi="宋体"/>
          <w:sz w:val="24"/>
        </w:rPr>
        <w:t>至少载明以下内容：</w:t>
      </w:r>
    </w:p>
    <w:p w14:paraId="04A1437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）会议召开的时间、地点和会议形式；</w:t>
      </w:r>
    </w:p>
    <w:p w14:paraId="39A4C6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）会议拟审议的事项、议事程序和表决方式；</w:t>
      </w:r>
    </w:p>
    <w:p w14:paraId="017139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）有权出席基金份额持有人大会的基金份额持有人的权益登记日；</w:t>
      </w:r>
    </w:p>
    <w:p w14:paraId="6FA4EEA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）授权委托证明的内容要求（包括但不限于代理人身份，代理权限和代理有效期限等）、送达时间和地点；</w:t>
      </w:r>
    </w:p>
    <w:p w14:paraId="25651A5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）会务常设联系人姓名及联系电话；</w:t>
      </w:r>
    </w:p>
    <w:p w14:paraId="32B184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）出席会议者必须准备的文件和必须履行的手续；</w:t>
      </w:r>
    </w:p>
    <w:p w14:paraId="5F333D1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）召集人需要通知的其他事项。</w:t>
      </w:r>
    </w:p>
    <w:p w14:paraId="4BBB8B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4D8EA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w:t>
      </w:r>
      <w:r>
        <w:rPr>
          <w:rFonts w:ascii="宋体" w:hAnsi="宋体"/>
          <w:sz w:val="24"/>
        </w:rPr>
        <w:t>进行监督的，不影响表决意见的计票效力。</w:t>
      </w:r>
    </w:p>
    <w:p w14:paraId="40B516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、基金份额持有人出席会议的方式</w:t>
      </w:r>
    </w:p>
    <w:p w14:paraId="7E3FB14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14:paraId="6C8050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w:t>
      </w:r>
      <w:r>
        <w:rPr>
          <w:rFonts w:ascii="宋体" w:hAnsi="宋体"/>
          <w:sz w:val="24"/>
        </w:rPr>
        <w:lastRenderedPageBreak/>
        <w:t>时符合以下条件时，可以进行基金份额持有人大会议程：</w:t>
      </w:r>
    </w:p>
    <w:p w14:paraId="11AB6C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）亲自出席会议者持有基金份额的凭证、受托出席会议</w:t>
      </w:r>
      <w:r>
        <w:rPr>
          <w:rFonts w:ascii="宋体" w:hAnsi="宋体"/>
          <w:sz w:val="24"/>
        </w:rPr>
        <w:t>者出具的委托人持有基金份额的凭证及委托人的代理投票授权委托证明符合法律法规、《基金合同》和会议通知的规定，并且持有基金份额的凭证与基金管理人持有的登记资料相符；</w:t>
      </w:r>
    </w:p>
    <w:p w14:paraId="787AD7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sz w:val="24"/>
        </w:rPr>
        <w:t>3</w:t>
      </w:r>
      <w:r>
        <w:rPr>
          <w:rFonts w:ascii="宋体" w:hAnsi="宋体"/>
          <w:sz w:val="24"/>
        </w:rPr>
        <w:t>个月以后、</w:t>
      </w:r>
      <w:r>
        <w:rPr>
          <w:rFonts w:ascii="宋体" w:hAnsi="宋体"/>
          <w:sz w:val="24"/>
        </w:rPr>
        <w:t>6</w:t>
      </w:r>
      <w:r>
        <w:rPr>
          <w:rFonts w:ascii="宋体" w:hAnsi="宋体"/>
          <w:sz w:val="24"/>
        </w:rPr>
        <w:t>个月以内，就原定审议事项重新召集基金份额持有人大会。重新召集的基金</w:t>
      </w:r>
      <w:r>
        <w:rPr>
          <w:rFonts w:ascii="宋体" w:hAnsi="宋体"/>
          <w:sz w:val="24"/>
        </w:rPr>
        <w:t>份额持有人大会到会者在权益登记日代表的有效的基金份额应不少于本基金在权益登记日基金总份额的三分之一（含三分之一）。</w:t>
      </w:r>
    </w:p>
    <w:p w14:paraId="1BAC5A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）通讯开会。通讯开会系指基金份额持有人将其对表决事项的投票以会议通知载明的形式或基金合同约定的其他方式在表决截止日以前送达至召集人指定的地址或系统。</w:t>
      </w:r>
    </w:p>
    <w:p w14:paraId="3E28DE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40F790B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）会议召集人按《基金合同》约定公布会议通知后，在</w:t>
      </w:r>
      <w:r>
        <w:rPr>
          <w:rFonts w:ascii="宋体" w:hAnsi="宋体"/>
          <w:sz w:val="24"/>
        </w:rPr>
        <w:t>2</w:t>
      </w:r>
      <w:r>
        <w:rPr>
          <w:rFonts w:ascii="宋体" w:hAnsi="宋体"/>
          <w:sz w:val="24"/>
        </w:rPr>
        <w:t>个工作日内连续公布相关提示性公告；</w:t>
      </w:r>
    </w:p>
    <w:p w14:paraId="7476E8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）召集人按基金合同约定通知基金托管人（如果基金托管人为召集人，则为基金管理人）到指定地点对表决意见的计票</w:t>
      </w:r>
      <w:r>
        <w:rPr>
          <w:rFonts w:ascii="宋体" w:hAnsi="宋体"/>
          <w:sz w:val="24"/>
        </w:rPr>
        <w:t>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0B0864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w:t>
      </w:r>
      <w:r>
        <w:rPr>
          <w:rFonts w:ascii="宋体" w:hAnsi="宋体"/>
          <w:sz w:val="24"/>
        </w:rPr>
        <w:t>的</w:t>
      </w:r>
      <w:r>
        <w:rPr>
          <w:rFonts w:ascii="宋体" w:hAnsi="宋体"/>
          <w:sz w:val="24"/>
        </w:rPr>
        <w:t>3</w:t>
      </w:r>
      <w:r>
        <w:rPr>
          <w:rFonts w:ascii="宋体" w:hAnsi="宋体"/>
          <w:sz w:val="24"/>
        </w:rPr>
        <w:t>个月以后、</w:t>
      </w:r>
      <w:r>
        <w:rPr>
          <w:rFonts w:ascii="宋体" w:hAnsi="宋体"/>
          <w:sz w:val="24"/>
        </w:rPr>
        <w:t>6</w:t>
      </w:r>
      <w:r>
        <w:rPr>
          <w:rFonts w:ascii="宋体" w:hAnsi="宋体"/>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5F1BFF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w:t>
      </w:r>
      <w:r>
        <w:rPr>
          <w:rFonts w:ascii="宋体" w:hAnsi="宋体"/>
          <w:sz w:val="24"/>
        </w:rPr>
        <w:t>）上述第</w:t>
      </w:r>
      <w:r>
        <w:rPr>
          <w:rFonts w:ascii="宋体" w:hAnsi="宋体"/>
          <w:sz w:val="24"/>
        </w:rPr>
        <w:t>3</w:t>
      </w:r>
      <w:r>
        <w:rPr>
          <w:rFonts w:ascii="宋体" w:hAnsi="宋体"/>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028839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）在法律法规和监管机关允许的情况</w:t>
      </w:r>
      <w:r>
        <w:rPr>
          <w:rFonts w:ascii="宋体" w:hAnsi="宋体"/>
          <w:sz w:val="24"/>
        </w:rPr>
        <w:t>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3D4C31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、议事内容与程序</w:t>
      </w:r>
    </w:p>
    <w:p w14:paraId="2F0E6E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）议事内容及提案权</w:t>
      </w:r>
    </w:p>
    <w:p w14:paraId="57B36EF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w:t>
      </w:r>
      <w:r>
        <w:rPr>
          <w:rFonts w:ascii="宋体" w:hAnsi="宋体"/>
          <w:sz w:val="24"/>
        </w:rPr>
        <w:t>国证监会另有规定的除外）、法律法规及《基金合同》规定的其他事项以及会议召集人认为需提交基金份额持有人大会讨论的其他事项。</w:t>
      </w:r>
    </w:p>
    <w:p w14:paraId="19B5A4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688790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33B590E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）议事程序</w:t>
      </w:r>
    </w:p>
    <w:p w14:paraId="578514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）现场开会</w:t>
      </w:r>
    </w:p>
    <w:p w14:paraId="27642B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w:t>
      </w:r>
      <w:r>
        <w:rPr>
          <w:rFonts w:ascii="宋体" w:hAnsi="宋体"/>
          <w:sz w:val="24"/>
        </w:rPr>
        <w:t>7</w:t>
      </w:r>
      <w:r>
        <w:rPr>
          <w:rFonts w:ascii="宋体" w:hAnsi="宋体"/>
          <w:sz w:val="24"/>
        </w:rPr>
        <w:t>条规定程序确定和公布监票人，然后由大会主持人宣读提案，经讨论后进行表决，并形成大会决议。大会主持人为基金管理人授权出席会议的代表，在基金管理人授权代表</w:t>
      </w:r>
      <w:r>
        <w:rPr>
          <w:rFonts w:ascii="宋体" w:hAnsi="宋体"/>
          <w:sz w:val="24"/>
        </w:rPr>
        <w:t>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sz w:val="24"/>
        </w:rPr>
        <w:t>50%</w:t>
      </w:r>
      <w:r>
        <w:rPr>
          <w:rFonts w:ascii="宋体" w:hAnsi="宋体"/>
          <w:sz w:val="24"/>
        </w:rPr>
        <w:t>以上（含</w:t>
      </w:r>
      <w:r>
        <w:rPr>
          <w:rFonts w:ascii="宋体" w:hAnsi="宋体"/>
          <w:sz w:val="24"/>
        </w:rPr>
        <w:t>50%</w:t>
      </w:r>
      <w:r>
        <w:rPr>
          <w:rFonts w:ascii="宋体" w:hAnsi="宋体"/>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48DB86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w:t>
      </w:r>
      <w:r>
        <w:rPr>
          <w:rFonts w:ascii="宋体" w:hAnsi="宋体"/>
          <w:sz w:val="24"/>
        </w:rPr>
        <w:lastRenderedPageBreak/>
        <w:t>名（或单位名称）和联系方式等事项。</w:t>
      </w:r>
    </w:p>
    <w:p w14:paraId="28CA413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）通讯开会</w:t>
      </w:r>
    </w:p>
    <w:p w14:paraId="72348E7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w:t>
      </w:r>
      <w:r>
        <w:rPr>
          <w:rFonts w:ascii="宋体" w:hAnsi="宋体"/>
          <w:sz w:val="24"/>
        </w:rPr>
        <w:t>30</w:t>
      </w:r>
      <w:r>
        <w:rPr>
          <w:rFonts w:ascii="宋体" w:hAnsi="宋体"/>
          <w:sz w:val="24"/>
        </w:rPr>
        <w:t>日公布提案，在所通知的表决截止日期后</w:t>
      </w:r>
      <w:r>
        <w:rPr>
          <w:rFonts w:ascii="宋体" w:hAnsi="宋体"/>
          <w:sz w:val="24"/>
        </w:rPr>
        <w:t>2</w:t>
      </w:r>
      <w:r>
        <w:rPr>
          <w:rFonts w:ascii="宋体" w:hAnsi="宋体"/>
          <w:sz w:val="24"/>
        </w:rPr>
        <w:t>个工作日内在公证机关监督下由召集人统计全部有效表决，在公证机关监督下形成决议。</w:t>
      </w:r>
    </w:p>
    <w:p w14:paraId="6549F0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、表决</w:t>
      </w:r>
    </w:p>
    <w:p w14:paraId="608FC7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06F42BA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603A82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）一般决议，一般决议须经参加大会的基金份额持有人或其代理人</w:t>
      </w:r>
      <w:r>
        <w:rPr>
          <w:rFonts w:ascii="宋体" w:hAnsi="宋体"/>
          <w:sz w:val="24"/>
        </w:rPr>
        <w:t>所持表决权的二分之一以上（含二分之一）通过方为有效；除下列第（</w:t>
      </w:r>
      <w:r>
        <w:rPr>
          <w:rFonts w:ascii="宋体" w:hAnsi="宋体"/>
          <w:sz w:val="24"/>
        </w:rPr>
        <w:t>2</w:t>
      </w:r>
      <w:r>
        <w:rPr>
          <w:rFonts w:ascii="宋体" w:hAnsi="宋体"/>
          <w:sz w:val="24"/>
        </w:rPr>
        <w:t>）项所规定的须以特别决议通过事项以外的其他事项均以一般决议的方式通过。</w:t>
      </w:r>
    </w:p>
    <w:p w14:paraId="3FC063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2BEB0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78827D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w:t>
      </w:r>
      <w:r>
        <w:rPr>
          <w:rFonts w:ascii="宋体" w:hAnsi="宋体"/>
          <w:sz w:val="24"/>
        </w:rPr>
        <w:t>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12194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4043B5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、计票</w:t>
      </w:r>
    </w:p>
    <w:p w14:paraId="009F73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）现场开会</w:t>
      </w:r>
    </w:p>
    <w:p w14:paraId="0016CC1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）如大会由基金管理人或基金托管人召集，基金份额持有人大会的主持人应当在会议开始后宣布在出席会议的基金份额持有人和代理人中选举两名基金份额持有人代表与大会召集人授权的一名监督</w:t>
      </w:r>
      <w:r>
        <w:rPr>
          <w:rFonts w:ascii="宋体" w:hAnsi="宋体"/>
          <w:sz w:val="24"/>
        </w:rPr>
        <w:t>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w:t>
      </w:r>
      <w:r>
        <w:rPr>
          <w:rFonts w:ascii="宋体" w:hAnsi="宋体"/>
          <w:sz w:val="24"/>
        </w:rPr>
        <w:lastRenderedPageBreak/>
        <w:t>理人或基金托管人不出席大会的，不影响计票的效力。</w:t>
      </w:r>
    </w:p>
    <w:p w14:paraId="05A0E2B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）监票人应当在基金份额持有人表决后立即进行清点并由大会主持人当场公布计票结果。</w:t>
      </w:r>
    </w:p>
    <w:p w14:paraId="0825EF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）如果会议主持人或基金份额持有人或代理人对于提交的表决结果有怀疑，可以在宣布表决结果后立即对所投票数要求进行重新清点。监票人</w:t>
      </w:r>
      <w:r>
        <w:rPr>
          <w:rFonts w:ascii="宋体" w:hAnsi="宋体"/>
          <w:sz w:val="24"/>
        </w:rPr>
        <w:t>应当进行重新清点，重新清点以一次为限。重新清点后，大会主持人应当当场公布重新清点结果。</w:t>
      </w:r>
    </w:p>
    <w:p w14:paraId="3270B8A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）计票过程应由公证机关予以公证，基金管理人或基金托管人拒不出席大会的，不影响计票的效力。</w:t>
      </w:r>
    </w:p>
    <w:p w14:paraId="2969964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）通讯开会</w:t>
      </w:r>
    </w:p>
    <w:p w14:paraId="52B74A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CA350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、生效与公告</w:t>
      </w:r>
    </w:p>
    <w:p w14:paraId="004301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w:t>
      </w:r>
      <w:r>
        <w:rPr>
          <w:rFonts w:ascii="宋体" w:hAnsi="宋体"/>
          <w:sz w:val="24"/>
        </w:rPr>
        <w:t>5</w:t>
      </w:r>
      <w:r>
        <w:rPr>
          <w:rFonts w:ascii="宋体" w:hAnsi="宋体"/>
          <w:sz w:val="24"/>
        </w:rPr>
        <w:t>日内报中国证监会备案。</w:t>
      </w:r>
    </w:p>
    <w:p w14:paraId="259D72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基金份额持有人大会的决议自表决通过之日起生效。法律法规另有规定的，从其规定。</w:t>
      </w:r>
    </w:p>
    <w:p w14:paraId="2433F60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基金份额持有人大会决议自生效之日起依照《信息披露办法》的规定在指定媒介上公告。如果采用通讯方式进行表决，在公告基金份额持有人大会决议时，必须将公证书全文、公证机构、公证员姓名等一同公告。</w:t>
      </w:r>
    </w:p>
    <w:p w14:paraId="78728C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5D8EF85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、实施</w:t>
      </w:r>
      <w:r>
        <w:rPr>
          <w:rFonts w:ascii="宋体" w:hAnsi="宋体"/>
          <w:sz w:val="24"/>
        </w:rPr>
        <w:t>侧袋机制期间基金份额持有人大会的特殊约定</w:t>
      </w:r>
    </w:p>
    <w:p w14:paraId="50DA2A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C91C56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）基金份额持有人行使提议权、召集权、提名权所需单独或合计代表相关</w:t>
      </w:r>
      <w:r>
        <w:rPr>
          <w:rFonts w:ascii="宋体" w:hAnsi="宋体"/>
          <w:sz w:val="24"/>
        </w:rPr>
        <w:lastRenderedPageBreak/>
        <w:t>基金份额</w:t>
      </w:r>
      <w:r>
        <w:rPr>
          <w:rFonts w:ascii="宋体" w:hAnsi="宋体"/>
          <w:sz w:val="24"/>
        </w:rPr>
        <w:t>10%</w:t>
      </w:r>
      <w:r>
        <w:rPr>
          <w:rFonts w:ascii="宋体" w:hAnsi="宋体"/>
          <w:sz w:val="24"/>
        </w:rPr>
        <w:t>以上（含</w:t>
      </w:r>
      <w:r>
        <w:rPr>
          <w:rFonts w:ascii="宋体" w:hAnsi="宋体"/>
          <w:sz w:val="24"/>
        </w:rPr>
        <w:t>10%</w:t>
      </w:r>
      <w:r>
        <w:rPr>
          <w:rFonts w:ascii="宋体" w:hAnsi="宋体"/>
          <w:sz w:val="24"/>
        </w:rPr>
        <w:t>）；</w:t>
      </w:r>
    </w:p>
    <w:p w14:paraId="5F4E3F2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）现场开会的到会者在权益登记日代表的基金份额不少于本基金在权益登记日相关基金份额的二分之一（含二分之一）；</w:t>
      </w:r>
    </w:p>
    <w:p w14:paraId="57D9B35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）通讯开会的直接出具表决意见或授权他人代表出具表决意见的基金份额持有人所持有的基金份额不小于在权益登记日相关基金份额的二分之一（含二分之一）；</w:t>
      </w:r>
    </w:p>
    <w:p w14:paraId="55C26B0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rPr>
        <w:t>3</w:t>
      </w:r>
      <w:r>
        <w:rPr>
          <w:rFonts w:ascii="宋体" w:hAnsi="宋体"/>
          <w:sz w:val="24"/>
        </w:rPr>
        <w:t>个月以后、</w:t>
      </w:r>
      <w:r>
        <w:rPr>
          <w:rFonts w:ascii="宋体" w:hAnsi="宋体"/>
          <w:sz w:val="24"/>
        </w:rPr>
        <w:t>6</w:t>
      </w:r>
      <w:r>
        <w:rPr>
          <w:rFonts w:ascii="宋体" w:hAnsi="宋体"/>
          <w:sz w:val="24"/>
        </w:rPr>
        <w:t>个月以内就原定审议事项重新召集的基金份额持有人大会应当有代表三分之一以上（含三分之一）相关基金份额的持有人参与或授权他人参与基金份额持有人大会投票；</w:t>
      </w:r>
    </w:p>
    <w:p w14:paraId="1E908B2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）现场开会由出席大会的基金份额持有人和代理人所</w:t>
      </w:r>
      <w:r>
        <w:rPr>
          <w:rFonts w:ascii="宋体" w:hAnsi="宋体"/>
          <w:sz w:val="24"/>
        </w:rPr>
        <w:t>持表决权的</w:t>
      </w:r>
      <w:r>
        <w:rPr>
          <w:rFonts w:ascii="宋体" w:hAnsi="宋体"/>
          <w:sz w:val="24"/>
        </w:rPr>
        <w:t>50%</w:t>
      </w:r>
      <w:r>
        <w:rPr>
          <w:rFonts w:ascii="宋体" w:hAnsi="宋体"/>
          <w:sz w:val="24"/>
        </w:rPr>
        <w:t>以上（含</w:t>
      </w:r>
      <w:r>
        <w:rPr>
          <w:rFonts w:ascii="宋体" w:hAnsi="宋体"/>
          <w:sz w:val="24"/>
        </w:rPr>
        <w:t>50%</w:t>
      </w:r>
      <w:r>
        <w:rPr>
          <w:rFonts w:ascii="宋体" w:hAnsi="宋体"/>
          <w:sz w:val="24"/>
        </w:rPr>
        <w:t>）选举产生一名基金份额持有人或代理人作为该次基金份额持有人大会的主持人；</w:t>
      </w:r>
    </w:p>
    <w:p w14:paraId="2A3796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）一般决议须经参加大会的基金份额持有人或其代理人所持表决权的二分之一以上（含二分之一）通过；</w:t>
      </w:r>
    </w:p>
    <w:p w14:paraId="319F7BC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）特别决议应当经参加大会的基金份额持有人或其代理人所持表决权的三分之二以上（含三分之二）通过。</w:t>
      </w:r>
    </w:p>
    <w:p w14:paraId="4E5C38F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同一主侧袋账户内的每份基金份额具有平等的表决权。</w:t>
      </w:r>
    </w:p>
    <w:p w14:paraId="430233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w:t>
      </w:r>
      <w:r>
        <w:rPr>
          <w:rFonts w:ascii="宋体" w:hAnsi="宋体"/>
          <w:sz w:val="24"/>
        </w:rPr>
        <w:t>、本部分对基金份额持有人大会召开事由、召开条件、议事程序、表决条件等规定，凡是直接引用法律法规的部分，如将来法律法规修改导致相关内容被取消或变更的，基金管理</w:t>
      </w:r>
      <w:r>
        <w:rPr>
          <w:rFonts w:ascii="宋体" w:hAnsi="宋体"/>
          <w:sz w:val="24"/>
        </w:rPr>
        <w:t>人经与基金托管人协商一致并提前公告后，可直接对本部分内容进行修改和调整，无需召开基金份额持有人大会审议。</w:t>
      </w:r>
    </w:p>
    <w:p w14:paraId="4691966D"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（三）基金合同解除和终止的事由、程序</w:t>
      </w:r>
    </w:p>
    <w:p w14:paraId="5A44B6C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、《基金合同》的变更</w:t>
      </w:r>
    </w:p>
    <w:p w14:paraId="1925C3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8BE1E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）关于《基金合同》变更的基金份额持有人大会决议自生效后方可执行，</w:t>
      </w:r>
      <w:r>
        <w:rPr>
          <w:rFonts w:ascii="宋体" w:hAnsi="宋体"/>
          <w:sz w:val="24"/>
        </w:rPr>
        <w:lastRenderedPageBreak/>
        <w:t>自决议生效后依照《</w:t>
      </w:r>
      <w:r>
        <w:rPr>
          <w:rFonts w:ascii="宋体" w:hAnsi="宋体"/>
          <w:sz w:val="24"/>
        </w:rPr>
        <w:t>信息披露办法》的规定在指定媒介公告。</w:t>
      </w:r>
    </w:p>
    <w:p w14:paraId="1097482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、《基金合同》的终止事由</w:t>
      </w:r>
    </w:p>
    <w:p w14:paraId="16B7204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0A5D71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）基金份额持有人大会决定终止的；</w:t>
      </w:r>
    </w:p>
    <w:p w14:paraId="3DC4CB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）基金管理人、基金托管人职责终止，在</w:t>
      </w:r>
      <w:r>
        <w:rPr>
          <w:rFonts w:ascii="宋体" w:hAnsi="宋体"/>
          <w:sz w:val="24"/>
        </w:rPr>
        <w:t>6</w:t>
      </w:r>
      <w:r>
        <w:rPr>
          <w:rFonts w:ascii="宋体" w:hAnsi="宋体"/>
          <w:sz w:val="24"/>
        </w:rPr>
        <w:t>个月内没有新基金管理人、新基金托管人承接的；</w:t>
      </w:r>
    </w:p>
    <w:p w14:paraId="41BF66F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）连续</w:t>
      </w:r>
      <w:r>
        <w:rPr>
          <w:rFonts w:ascii="宋体" w:hAnsi="宋体"/>
          <w:sz w:val="24"/>
        </w:rPr>
        <w:t>50</w:t>
      </w:r>
      <w:r>
        <w:rPr>
          <w:rFonts w:ascii="宋体" w:hAnsi="宋体"/>
          <w:sz w:val="24"/>
        </w:rPr>
        <w:t>个工作日出现基金份额持有人数量不满</w:t>
      </w:r>
      <w:r>
        <w:rPr>
          <w:rFonts w:ascii="宋体" w:hAnsi="宋体"/>
          <w:sz w:val="24"/>
        </w:rPr>
        <w:t>200</w:t>
      </w:r>
      <w:r>
        <w:rPr>
          <w:rFonts w:ascii="宋体" w:hAnsi="宋体"/>
          <w:sz w:val="24"/>
        </w:rPr>
        <w:t>人或者基金资产净值低于</w:t>
      </w:r>
      <w:r>
        <w:rPr>
          <w:rFonts w:ascii="宋体" w:hAnsi="宋体"/>
          <w:sz w:val="24"/>
        </w:rPr>
        <w:t>5000</w:t>
      </w:r>
      <w:r>
        <w:rPr>
          <w:rFonts w:ascii="宋体" w:hAnsi="宋体"/>
          <w:sz w:val="24"/>
        </w:rPr>
        <w:t>万元情形的，基金管理人提前终止基金合同，不需召开基金份额持有人大会；</w:t>
      </w:r>
    </w:p>
    <w:p w14:paraId="66DE8C9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）《基金合同》约定的其他情形；</w:t>
      </w:r>
    </w:p>
    <w:p w14:paraId="02C45B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）相关法律法规和中国证监会规定的其他情况。</w:t>
      </w:r>
    </w:p>
    <w:p w14:paraId="420233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、基金财产的清算</w:t>
      </w:r>
    </w:p>
    <w:p w14:paraId="698029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）基金财产清算小组：自出现《基金合同》终止事由之日起</w:t>
      </w:r>
      <w:r>
        <w:rPr>
          <w:rFonts w:ascii="宋体" w:hAnsi="宋体"/>
          <w:sz w:val="24"/>
        </w:rPr>
        <w:t>30</w:t>
      </w:r>
      <w:r>
        <w:rPr>
          <w:rFonts w:ascii="宋体" w:hAnsi="宋体"/>
          <w:sz w:val="24"/>
        </w:rPr>
        <w:t>个工作日内成立清算小组，基金管理人组织基金财产清算小组并在中国证监会的监督下进行基金清算。</w:t>
      </w:r>
    </w:p>
    <w:p w14:paraId="74B961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06EC616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）基金财产清算小组职责：基金财产清算小组负责基金财产的保管、清理、估价、变现和分配。基金财产清算小组可以依法进行必要的民事活动。</w:t>
      </w:r>
    </w:p>
    <w:p w14:paraId="3561B2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）基金财产清算程序：</w:t>
      </w:r>
    </w:p>
    <w:p w14:paraId="7FF718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w:t>
      </w:r>
      <w:r>
        <w:rPr>
          <w:rFonts w:ascii="宋体" w:hAnsi="宋体"/>
          <w:sz w:val="24"/>
        </w:rPr>
        <w:t>金合同》终止情形出现时，由基金财产清算小组统一接管基金；</w:t>
      </w:r>
    </w:p>
    <w:p w14:paraId="456540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）对基金财产和债权债务进行清理和确认；</w:t>
      </w:r>
    </w:p>
    <w:p w14:paraId="5875616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）对基金财产进行估值和变现；</w:t>
      </w:r>
    </w:p>
    <w:p w14:paraId="2A25A7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）制作清算报告；</w:t>
      </w:r>
    </w:p>
    <w:p w14:paraId="01A8C35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）聘请会计师事务所对清算报告进行外部审计，聘请律师事务所对清算报告出具法律意见书；</w:t>
      </w:r>
    </w:p>
    <w:p w14:paraId="425B6F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）将清算报告报中国证监会备案并公告；</w:t>
      </w:r>
    </w:p>
    <w:p w14:paraId="48C1E1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）对基金剩余财产进行分配。</w:t>
      </w:r>
    </w:p>
    <w:p w14:paraId="50EC6C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）基金财产清算的期限为</w:t>
      </w:r>
      <w:r>
        <w:rPr>
          <w:rFonts w:ascii="宋体" w:hAnsi="宋体"/>
          <w:sz w:val="24"/>
        </w:rPr>
        <w:t>6</w:t>
      </w:r>
      <w:r>
        <w:rPr>
          <w:rFonts w:ascii="宋体" w:hAnsi="宋体"/>
          <w:sz w:val="24"/>
        </w:rPr>
        <w:t>个月，但因本基金所持证券的流动性受到限制而</w:t>
      </w:r>
      <w:r>
        <w:rPr>
          <w:rFonts w:ascii="宋体" w:hAnsi="宋体"/>
          <w:sz w:val="24"/>
        </w:rPr>
        <w:lastRenderedPageBreak/>
        <w:t>不能及时变现的，清算期限相应顺延。</w:t>
      </w:r>
    </w:p>
    <w:p w14:paraId="190114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、清算费用</w:t>
      </w:r>
    </w:p>
    <w:p w14:paraId="598C03B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6B7656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、基金财产清算剩余资产的分配</w:t>
      </w:r>
    </w:p>
    <w:p w14:paraId="35F4493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77AA39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、基金财产清算的公告</w:t>
      </w:r>
    </w:p>
    <w:p w14:paraId="585E28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w:t>
      </w:r>
      <w:r>
        <w:rPr>
          <w:rFonts w:ascii="宋体" w:hAnsi="宋体"/>
          <w:sz w:val="24"/>
        </w:rPr>
        <w:t>报告报中国证监会备案后</w:t>
      </w:r>
      <w:r>
        <w:rPr>
          <w:rFonts w:ascii="宋体" w:hAnsi="宋体"/>
          <w:sz w:val="24"/>
        </w:rPr>
        <w:t>5</w:t>
      </w:r>
      <w:r>
        <w:rPr>
          <w:rFonts w:ascii="宋体" w:hAnsi="宋体"/>
          <w:sz w:val="24"/>
        </w:rPr>
        <w:t>个工作日内由基金财产清算小组进行公告，基金财产清算小组应当将清算报告登载在指定网站上，并将清算报告提示性公告登载在指定报刊上。</w:t>
      </w:r>
    </w:p>
    <w:p w14:paraId="2F388FA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、基金财产清算账册及文件的保存</w:t>
      </w:r>
    </w:p>
    <w:p w14:paraId="27ECE2A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Pr>
          <w:rFonts w:ascii="宋体" w:hAnsi="宋体"/>
          <w:sz w:val="24"/>
        </w:rPr>
        <w:t>15</w:t>
      </w:r>
      <w:r>
        <w:rPr>
          <w:rFonts w:ascii="宋体" w:hAnsi="宋体"/>
          <w:sz w:val="24"/>
        </w:rPr>
        <w:t>年以上。</w:t>
      </w:r>
    </w:p>
    <w:p w14:paraId="45C0BFDE"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（四）争议解决方式</w:t>
      </w:r>
    </w:p>
    <w:p w14:paraId="0E8D8A4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66FDBA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14:paraId="2EF9E63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w:t>
      </w:r>
    </w:p>
    <w:p w14:paraId="440212C4"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（五）基金合同存放地和投资者</w:t>
      </w:r>
      <w:r>
        <w:rPr>
          <w:rFonts w:ascii="宋体" w:hAnsi="宋体" w:hint="eastAsia"/>
          <w:b/>
          <w:kern w:val="0"/>
          <w:sz w:val="24"/>
        </w:rPr>
        <w:t>取得基金合同的方式</w:t>
      </w:r>
    </w:p>
    <w:p w14:paraId="1E96BE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《基金合同》正本一式六份，除上报有关监管机构一式二份外，基金管理人、基金托管人各持有二份，每份具有同等的法律效力。</w:t>
      </w:r>
    </w:p>
    <w:p w14:paraId="182735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14:paraId="33470F86"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14:paraId="482B67AA" w14:textId="77777777" w:rsidR="002411B3" w:rsidRDefault="00BA6CE7">
      <w:pPr>
        <w:pStyle w:val="1"/>
        <w:snapToGrid w:val="0"/>
        <w:spacing w:beforeLines="0" w:before="240" w:after="240"/>
        <w:rPr>
          <w:rFonts w:ascii="宋体" w:hAnsi="宋体"/>
          <w:szCs w:val="30"/>
        </w:rPr>
      </w:pPr>
      <w:bookmarkStart w:id="25" w:name="_Toc202521670"/>
      <w:r>
        <w:rPr>
          <w:rFonts w:ascii="Times New Roman" w:hAnsi="Times New Roman"/>
          <w:sz w:val="30"/>
        </w:rPr>
        <w:lastRenderedPageBreak/>
        <w:t>二十二、托管协议的内容摘要</w:t>
      </w:r>
      <w:bookmarkEnd w:id="25"/>
    </w:p>
    <w:p w14:paraId="4434B262"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（一）托管协议当事人</w:t>
      </w:r>
    </w:p>
    <w:p w14:paraId="34AC3A5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w:t>
      </w:r>
    </w:p>
    <w:p w14:paraId="4E46BBD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0AA06B8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w:t>
      </w:r>
      <w:r>
        <w:rPr>
          <w:rFonts w:ascii="宋体" w:hAnsi="宋体"/>
          <w:sz w:val="24"/>
        </w:rPr>
        <w:t>(</w:t>
      </w:r>
      <w:r>
        <w:rPr>
          <w:rFonts w:ascii="宋体" w:hAnsi="宋体"/>
          <w:sz w:val="24"/>
        </w:rPr>
        <w:t>上海</w:t>
      </w:r>
      <w:r>
        <w:rPr>
          <w:rFonts w:ascii="宋体" w:hAnsi="宋体"/>
          <w:sz w:val="24"/>
        </w:rPr>
        <w:t>)</w:t>
      </w:r>
      <w:r>
        <w:rPr>
          <w:rFonts w:ascii="宋体" w:hAnsi="宋体"/>
          <w:sz w:val="24"/>
        </w:rPr>
        <w:t>自由贸易试验区银城中路</w:t>
      </w:r>
      <w:r>
        <w:rPr>
          <w:rFonts w:ascii="宋体" w:hAnsi="宋体"/>
          <w:sz w:val="24"/>
        </w:rPr>
        <w:t>188</w:t>
      </w:r>
      <w:r>
        <w:rPr>
          <w:rFonts w:ascii="宋体" w:hAnsi="宋体"/>
          <w:sz w:val="24"/>
        </w:rPr>
        <w:t>号交通银行大楼二层（裙）</w:t>
      </w:r>
    </w:p>
    <w:p w14:paraId="474A577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w:t>
      </w:r>
      <w:r>
        <w:rPr>
          <w:rFonts w:ascii="宋体" w:hAnsi="宋体"/>
          <w:sz w:val="24"/>
        </w:rPr>
        <w:t>8</w:t>
      </w:r>
      <w:r>
        <w:rPr>
          <w:rFonts w:ascii="宋体" w:hAnsi="宋体"/>
          <w:sz w:val="24"/>
        </w:rPr>
        <w:t>号国金中心二期</w:t>
      </w:r>
      <w:r>
        <w:rPr>
          <w:rFonts w:ascii="宋体" w:hAnsi="宋体"/>
          <w:sz w:val="24"/>
        </w:rPr>
        <w:t>21-22</w:t>
      </w:r>
      <w:r>
        <w:rPr>
          <w:rFonts w:ascii="宋体" w:hAnsi="宋体"/>
          <w:sz w:val="24"/>
        </w:rPr>
        <w:t>楼</w:t>
      </w:r>
    </w:p>
    <w:p w14:paraId="0A0A2AE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w:t>
      </w:r>
      <w:r>
        <w:rPr>
          <w:rFonts w:ascii="宋体" w:hAnsi="宋体"/>
          <w:sz w:val="24"/>
        </w:rPr>
        <w:t>200120</w:t>
      </w:r>
    </w:p>
    <w:p w14:paraId="431C9C0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14:paraId="3B99EC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w:t>
      </w:r>
      <w:r>
        <w:rPr>
          <w:rFonts w:ascii="宋体" w:hAnsi="宋体"/>
          <w:sz w:val="24"/>
        </w:rPr>
        <w:t>2005</w:t>
      </w:r>
      <w:r>
        <w:rPr>
          <w:rFonts w:ascii="宋体" w:hAnsi="宋体"/>
          <w:sz w:val="24"/>
        </w:rPr>
        <w:t>年</w:t>
      </w:r>
      <w:r>
        <w:rPr>
          <w:rFonts w:ascii="宋体" w:hAnsi="宋体"/>
          <w:sz w:val="24"/>
        </w:rPr>
        <w:t>8</w:t>
      </w:r>
      <w:r>
        <w:rPr>
          <w:rFonts w:ascii="宋体" w:hAnsi="宋体"/>
          <w:sz w:val="24"/>
        </w:rPr>
        <w:t>月</w:t>
      </w:r>
      <w:r>
        <w:rPr>
          <w:rFonts w:ascii="宋体" w:hAnsi="宋体"/>
          <w:sz w:val="24"/>
        </w:rPr>
        <w:t>4</w:t>
      </w:r>
      <w:r>
        <w:rPr>
          <w:rFonts w:ascii="宋体" w:hAnsi="宋体"/>
          <w:sz w:val="24"/>
        </w:rPr>
        <w:t>日</w:t>
      </w:r>
    </w:p>
    <w:p w14:paraId="1B12699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批准设立机关及批准设立文号：中国证监会证监基金字</w:t>
      </w:r>
      <w:r>
        <w:rPr>
          <w:rFonts w:ascii="宋体" w:hAnsi="宋体"/>
          <w:sz w:val="24"/>
        </w:rPr>
        <w:t>[2005]128</w:t>
      </w:r>
      <w:r>
        <w:rPr>
          <w:rFonts w:ascii="宋体" w:hAnsi="宋体"/>
          <w:sz w:val="24"/>
        </w:rPr>
        <w:t>号</w:t>
      </w:r>
    </w:p>
    <w:p w14:paraId="2C6A0B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7B5706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r>
        <w:rPr>
          <w:rFonts w:ascii="宋体" w:hAnsi="宋体"/>
          <w:sz w:val="24"/>
        </w:rPr>
        <w:t>2</w:t>
      </w:r>
      <w:r>
        <w:rPr>
          <w:rFonts w:ascii="宋体" w:hAnsi="宋体"/>
          <w:sz w:val="24"/>
        </w:rPr>
        <w:t>亿元人民币</w:t>
      </w:r>
    </w:p>
    <w:p w14:paraId="54A4A3C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4B2ACEF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14:paraId="4451FDB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w:t>
      </w:r>
    </w:p>
    <w:p w14:paraId="187F539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名称：中国农业银行股份有限公司</w:t>
      </w:r>
    </w:p>
    <w:p w14:paraId="67B66F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注册地址：北京市东城区建国门内大街</w:t>
      </w:r>
      <w:r>
        <w:rPr>
          <w:rFonts w:ascii="宋体" w:hAnsi="宋体"/>
          <w:sz w:val="24"/>
        </w:rPr>
        <w:t>69</w:t>
      </w:r>
      <w:r>
        <w:rPr>
          <w:rFonts w:ascii="宋体" w:hAnsi="宋体"/>
          <w:sz w:val="24"/>
        </w:rPr>
        <w:t>号</w:t>
      </w:r>
    </w:p>
    <w:p w14:paraId="5CEE715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办公地址：北京市西城区复兴门内大街</w:t>
      </w:r>
      <w:r>
        <w:rPr>
          <w:rFonts w:ascii="宋体" w:hAnsi="宋体"/>
          <w:sz w:val="24"/>
        </w:rPr>
        <w:t>28</w:t>
      </w:r>
      <w:r>
        <w:rPr>
          <w:rFonts w:ascii="宋体" w:hAnsi="宋体"/>
          <w:sz w:val="24"/>
        </w:rPr>
        <w:t>号凯晨世贸中心东座九层</w:t>
      </w:r>
    </w:p>
    <w:p w14:paraId="427EDA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w:t>
      </w:r>
      <w:r>
        <w:rPr>
          <w:rFonts w:ascii="宋体" w:hAnsi="宋体"/>
          <w:sz w:val="24"/>
        </w:rPr>
        <w:t>100031</w:t>
      </w:r>
    </w:p>
    <w:p w14:paraId="178B1D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法定代表人：谷澎</w:t>
      </w:r>
    </w:p>
    <w:p w14:paraId="4EED7AA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w:t>
      </w:r>
      <w:r>
        <w:rPr>
          <w:rFonts w:ascii="宋体" w:hAnsi="宋体"/>
          <w:sz w:val="24"/>
        </w:rPr>
        <w:t>2009</w:t>
      </w:r>
      <w:r>
        <w:rPr>
          <w:rFonts w:ascii="宋体" w:hAnsi="宋体"/>
          <w:sz w:val="24"/>
        </w:rPr>
        <w:t>年</w:t>
      </w:r>
      <w:r>
        <w:rPr>
          <w:rFonts w:ascii="宋体" w:hAnsi="宋体"/>
          <w:sz w:val="24"/>
        </w:rPr>
        <w:t>1</w:t>
      </w:r>
      <w:r>
        <w:rPr>
          <w:rFonts w:ascii="宋体" w:hAnsi="宋体"/>
          <w:sz w:val="24"/>
        </w:rPr>
        <w:t>月</w:t>
      </w:r>
      <w:r>
        <w:rPr>
          <w:rFonts w:ascii="宋体" w:hAnsi="宋体"/>
          <w:sz w:val="24"/>
        </w:rPr>
        <w:t>15</w:t>
      </w:r>
      <w:r>
        <w:rPr>
          <w:rFonts w:ascii="宋体" w:hAnsi="宋体"/>
          <w:sz w:val="24"/>
        </w:rPr>
        <w:t>日</w:t>
      </w:r>
    </w:p>
    <w:p w14:paraId="0786920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w:t>
      </w:r>
      <w:r>
        <w:rPr>
          <w:rFonts w:ascii="宋体" w:hAnsi="宋体"/>
          <w:sz w:val="24"/>
        </w:rPr>
        <w:t>资格批准文号：中国证监会证监基字</w:t>
      </w:r>
      <w:r>
        <w:rPr>
          <w:rFonts w:ascii="宋体" w:hAnsi="宋体"/>
          <w:sz w:val="24"/>
        </w:rPr>
        <w:t>[1998]23</w:t>
      </w:r>
      <w:r>
        <w:rPr>
          <w:rFonts w:ascii="宋体" w:hAnsi="宋体"/>
          <w:sz w:val="24"/>
        </w:rPr>
        <w:t>号</w:t>
      </w:r>
    </w:p>
    <w:p w14:paraId="509C4B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批准设立机关和批准设立文号：中国银监会银监复</w:t>
      </w:r>
      <w:r>
        <w:rPr>
          <w:rFonts w:ascii="宋体" w:hAnsi="宋体"/>
          <w:sz w:val="24"/>
        </w:rPr>
        <w:t>[2009]13</w:t>
      </w:r>
      <w:r>
        <w:rPr>
          <w:rFonts w:ascii="宋体" w:hAnsi="宋体"/>
          <w:sz w:val="24"/>
        </w:rPr>
        <w:t>号</w:t>
      </w:r>
    </w:p>
    <w:p w14:paraId="17192D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w:t>
      </w:r>
      <w:r>
        <w:rPr>
          <w:rFonts w:ascii="宋体" w:hAnsi="宋体"/>
          <w:sz w:val="24"/>
        </w:rPr>
        <w:t>34,998,303.4</w:t>
      </w:r>
      <w:r>
        <w:rPr>
          <w:rFonts w:ascii="宋体" w:hAnsi="宋体"/>
          <w:sz w:val="24"/>
        </w:rPr>
        <w:t>万元人民币</w:t>
      </w:r>
    </w:p>
    <w:p w14:paraId="3BE5B5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767CD07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w:t>
      </w:r>
      <w:r>
        <w:rPr>
          <w:rFonts w:ascii="宋体" w:hAnsi="宋体"/>
          <w:sz w:val="24"/>
        </w:rPr>
        <w:lastRenderedPageBreak/>
        <w:t>卡业务；提供信用证服务及担保；代理收付款项及代理保险业务；提供保管箱服务；代理资金清算；各类汇兑业务；代理政策性银行、</w:t>
      </w:r>
      <w:r>
        <w:rPr>
          <w:rFonts w:ascii="宋体" w:hAnsi="宋体"/>
          <w:sz w:val="24"/>
        </w:rPr>
        <w:t>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w:t>
      </w:r>
      <w:r>
        <w:rPr>
          <w:rFonts w:ascii="宋体" w:hAnsi="宋体"/>
          <w:sz w:val="24"/>
        </w:rPr>
        <w:t>门批准的其他业务。</w:t>
      </w:r>
    </w:p>
    <w:p w14:paraId="2D555DC3"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（二）基金托管人对基金管理人的业务监督和核查</w:t>
      </w:r>
    </w:p>
    <w:p w14:paraId="3EFACC1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36748E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本基金的投资范围为具有良好流动性的金融工具，包括债券（含国债、金融债、央行票据、地方政府债、政府支持债、政府支持机构债、企业债</w:t>
      </w:r>
      <w:r>
        <w:rPr>
          <w:rFonts w:ascii="宋体" w:hAnsi="宋体"/>
          <w:sz w:val="24"/>
        </w:rPr>
        <w:t>、公司债、可分离交易可转债的纯债部分、公开发行的次级债、短期融资券、超短期融资券、中期票据）、资产支持证券、债券回购、银行存款（包括定期存款、协议存款、通知存款等）、同业存单、货币市场工具，以及法律法规或中国证监会允许投资的其他金融工具（但须符合中国证监会相关规定）。本基金不投资于股票，也不投资于可转换债券（可分离交易可转债的纯债部分除外）、可交换债券。</w:t>
      </w:r>
    </w:p>
    <w:p w14:paraId="3096753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171C4BD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基金的投资组合比例为：本基金投资于债券资产的比例不低于基金资产的</w:t>
      </w:r>
      <w:r>
        <w:rPr>
          <w:rFonts w:ascii="宋体" w:hAnsi="宋体"/>
          <w:sz w:val="24"/>
        </w:rPr>
        <w:t>80%</w:t>
      </w:r>
      <w:r>
        <w:rPr>
          <w:rFonts w:ascii="宋体" w:hAnsi="宋体"/>
          <w:sz w:val="24"/>
        </w:rPr>
        <w:t>，其中投资于中高等级信用债的比例不低于非现金基金资产的</w:t>
      </w:r>
      <w:r>
        <w:rPr>
          <w:rFonts w:ascii="宋体" w:hAnsi="宋体"/>
          <w:sz w:val="24"/>
        </w:rPr>
        <w:t>80%</w:t>
      </w:r>
      <w:r>
        <w:rPr>
          <w:rFonts w:ascii="宋体" w:hAnsi="宋体"/>
          <w:sz w:val="24"/>
        </w:rPr>
        <w:t>。本基金持有的现金或到期日在一年以内的政府债券的比例合计不低于基金资产净值的</w:t>
      </w:r>
      <w:r>
        <w:rPr>
          <w:rFonts w:ascii="宋体" w:hAnsi="宋体"/>
          <w:sz w:val="24"/>
        </w:rPr>
        <w:t>5%</w:t>
      </w:r>
      <w:r>
        <w:rPr>
          <w:rFonts w:ascii="宋体" w:hAnsi="宋体"/>
          <w:sz w:val="24"/>
        </w:rPr>
        <w:t>，其中现金不包括结算备付金、存出保证金、应收申购款等。</w:t>
      </w:r>
    </w:p>
    <w:p w14:paraId="3395AD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本基金所指的中高等级信用债为信用评级在</w:t>
      </w:r>
      <w:r>
        <w:rPr>
          <w:rFonts w:ascii="宋体" w:hAnsi="宋体"/>
          <w:sz w:val="24"/>
        </w:rPr>
        <w:t>AA+</w:t>
      </w:r>
      <w:r>
        <w:rPr>
          <w:rFonts w:ascii="宋体" w:hAnsi="宋体"/>
          <w:sz w:val="24"/>
        </w:rPr>
        <w:t>级（含）以上的信用债，包括</w:t>
      </w:r>
      <w:r>
        <w:rPr>
          <w:rFonts w:ascii="宋体" w:hAnsi="宋体"/>
          <w:sz w:val="24"/>
        </w:rPr>
        <w:lastRenderedPageBreak/>
        <w:t>金融债（不包含政策性金融债）、地方政府债、政府支持债、政府支持机构债、企业债、公司债、可分离交易可转债的纯债部分、公开发行的次级债、短期融资券、超短期融资券、中期票据等非国家信</w:t>
      </w:r>
      <w:r>
        <w:rPr>
          <w:rFonts w:ascii="宋体" w:hAnsi="宋体"/>
          <w:sz w:val="24"/>
        </w:rPr>
        <w:t>用的债券资产。本基金对中高等级信用债的认定参照基金管理人选定的评级机构出具的信用评级，其中，本基金投资的金融债（不包含政策性金融债）、地方政府债、政府支持债、政府支持机构债、企业债、公司债、可分离交易可转债的纯债部分、公开发行的次级债、中期票据等信用债的信用评级依照评级机构出具的债券信用评级；本基金投资的短期融资券、超短期融资券等短期信用债的信用评级依照评级机构出具的主体信用评级。</w:t>
      </w:r>
      <w:r>
        <w:rPr>
          <w:rFonts w:ascii="宋体" w:hAnsi="宋体" w:hint="eastAsia"/>
          <w:sz w:val="24"/>
        </w:rPr>
        <w:t>本基金投资的信用债若无债项评级的，参照主体信用评级。对于债项评级和主体评级均没有的信用债，基金管理人需结合自身的内部信用评级进行独立判断与认定，以基金管理人的判断结果为准。</w:t>
      </w:r>
    </w:p>
    <w:p w14:paraId="101AC0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6D59BC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、基金托管人根据有关法律法规的规定及基金合同的约定，对基金投资、融资比例进行监督。基金托管人按下述比例和调整期限进行监督：</w:t>
      </w:r>
    </w:p>
    <w:p w14:paraId="269264A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）本基金投资于债券资产的比例不低于基金资产的</w:t>
      </w:r>
      <w:r>
        <w:rPr>
          <w:rFonts w:ascii="宋体" w:hAnsi="宋体"/>
          <w:sz w:val="24"/>
        </w:rPr>
        <w:t>80%</w:t>
      </w:r>
      <w:r>
        <w:rPr>
          <w:rFonts w:ascii="宋体" w:hAnsi="宋体"/>
          <w:sz w:val="24"/>
        </w:rPr>
        <w:t>，其中投资于中高等级信用债的比例不低于非现金</w:t>
      </w:r>
      <w:r>
        <w:rPr>
          <w:rFonts w:ascii="宋体" w:hAnsi="宋体"/>
          <w:sz w:val="24"/>
        </w:rPr>
        <w:t>基金资产的</w:t>
      </w:r>
      <w:r>
        <w:rPr>
          <w:rFonts w:ascii="宋体" w:hAnsi="宋体"/>
          <w:sz w:val="24"/>
        </w:rPr>
        <w:t>80%</w:t>
      </w:r>
      <w:r>
        <w:rPr>
          <w:rFonts w:ascii="宋体" w:hAnsi="宋体"/>
          <w:sz w:val="24"/>
        </w:rPr>
        <w:t>；</w:t>
      </w:r>
    </w:p>
    <w:p w14:paraId="592D06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）本基金持有的现金或者到期日在一年以内的政府债券的投资比例合计不低于基金资产净值的</w:t>
      </w:r>
      <w:r>
        <w:rPr>
          <w:rFonts w:ascii="宋体" w:hAnsi="宋体"/>
          <w:sz w:val="24"/>
        </w:rPr>
        <w:t>5%</w:t>
      </w:r>
      <w:r>
        <w:rPr>
          <w:rFonts w:ascii="宋体" w:hAnsi="宋体"/>
          <w:sz w:val="24"/>
        </w:rPr>
        <w:t>，其中现金不包括结算备付金、存出保证金、应收申购款等；</w:t>
      </w:r>
    </w:p>
    <w:p w14:paraId="2F6EC5C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）本基金持有一家公司发行的证券，其市值不得超过基金资产净值的</w:t>
      </w:r>
      <w:r>
        <w:rPr>
          <w:rFonts w:ascii="宋体" w:hAnsi="宋体"/>
          <w:sz w:val="24"/>
        </w:rPr>
        <w:t>10%</w:t>
      </w:r>
      <w:r>
        <w:rPr>
          <w:rFonts w:ascii="宋体" w:hAnsi="宋体"/>
          <w:sz w:val="24"/>
        </w:rPr>
        <w:t>；</w:t>
      </w:r>
    </w:p>
    <w:p w14:paraId="47A53DE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）本基金管理人管理的、且由本基金托管人托管的全部基金持有一家公司发行的证券，不超过该证券的</w:t>
      </w:r>
      <w:r>
        <w:rPr>
          <w:rFonts w:ascii="宋体" w:hAnsi="宋体"/>
          <w:sz w:val="24"/>
        </w:rPr>
        <w:t>10</w:t>
      </w:r>
      <w:r>
        <w:rPr>
          <w:rFonts w:ascii="宋体" w:hAnsi="宋体"/>
          <w:sz w:val="24"/>
        </w:rPr>
        <w:t>％，完全按照有关指数的构成比例进行证券投资的基金品种可以不受此条款规定的比例限制；</w:t>
      </w:r>
    </w:p>
    <w:p w14:paraId="29458B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）本基金投资于同一原始权益人的各类资产支持证券的比例，不得超过基金资产净值的</w:t>
      </w:r>
      <w:r>
        <w:rPr>
          <w:rFonts w:ascii="宋体" w:hAnsi="宋体"/>
          <w:sz w:val="24"/>
        </w:rPr>
        <w:t>10</w:t>
      </w:r>
      <w:r>
        <w:rPr>
          <w:rFonts w:ascii="宋体" w:hAnsi="宋体"/>
          <w:sz w:val="24"/>
        </w:rPr>
        <w:t>％；</w:t>
      </w:r>
    </w:p>
    <w:p w14:paraId="6C05CEF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）本基金持有的全部资产支持证券，其市值不得超过基金资产净值的</w:t>
      </w:r>
      <w:r>
        <w:rPr>
          <w:rFonts w:ascii="宋体" w:hAnsi="宋体"/>
          <w:sz w:val="24"/>
        </w:rPr>
        <w:t>20</w:t>
      </w:r>
      <w:r>
        <w:rPr>
          <w:rFonts w:ascii="宋体" w:hAnsi="宋体"/>
          <w:sz w:val="24"/>
        </w:rPr>
        <w:t>％；</w:t>
      </w:r>
    </w:p>
    <w:p w14:paraId="35E1EA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）本基金持有的同一（指同一信用级别）资产支持证券的比例，不得超过该资产支持证券规模的</w:t>
      </w:r>
      <w:r>
        <w:rPr>
          <w:rFonts w:ascii="宋体" w:hAnsi="宋体"/>
          <w:sz w:val="24"/>
        </w:rPr>
        <w:t>10</w:t>
      </w:r>
      <w:r>
        <w:rPr>
          <w:rFonts w:ascii="宋体" w:hAnsi="宋体"/>
          <w:sz w:val="24"/>
        </w:rPr>
        <w:t>％；</w:t>
      </w:r>
    </w:p>
    <w:p w14:paraId="36F37A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8</w:t>
      </w:r>
      <w:r>
        <w:rPr>
          <w:rFonts w:ascii="宋体" w:hAnsi="宋体"/>
          <w:sz w:val="24"/>
        </w:rPr>
        <w:t>）本基金管理人管理的、且由本基金托管人托管的全部基金投资于同一原始权益人的各类资产支持证券，不得超过其各类资产支持证券合计规模的</w:t>
      </w:r>
      <w:r>
        <w:rPr>
          <w:rFonts w:ascii="宋体" w:hAnsi="宋体"/>
          <w:sz w:val="24"/>
        </w:rPr>
        <w:t>10</w:t>
      </w:r>
      <w:r>
        <w:rPr>
          <w:rFonts w:ascii="宋体" w:hAnsi="宋体"/>
          <w:sz w:val="24"/>
        </w:rPr>
        <w:t>％；</w:t>
      </w:r>
    </w:p>
    <w:p w14:paraId="35BB19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9</w:t>
      </w:r>
      <w:r>
        <w:rPr>
          <w:rFonts w:ascii="宋体" w:hAnsi="宋体"/>
          <w:sz w:val="24"/>
        </w:rPr>
        <w:t>）本基金应投资于信用级别评级为</w:t>
      </w:r>
      <w:r>
        <w:rPr>
          <w:rFonts w:ascii="宋体" w:hAnsi="宋体"/>
          <w:sz w:val="24"/>
        </w:rPr>
        <w:t>BBB</w:t>
      </w:r>
      <w:r>
        <w:rPr>
          <w:rFonts w:ascii="宋体" w:hAnsi="宋体"/>
          <w:sz w:val="24"/>
        </w:rPr>
        <w:t>以上（含</w:t>
      </w:r>
      <w:r>
        <w:rPr>
          <w:rFonts w:ascii="宋体" w:hAnsi="宋体"/>
          <w:sz w:val="24"/>
        </w:rPr>
        <w:t>BBB</w:t>
      </w:r>
      <w:r>
        <w:rPr>
          <w:rFonts w:ascii="宋体" w:hAnsi="宋体"/>
          <w:sz w:val="24"/>
        </w:rPr>
        <w:t>）的资产支持证券。基金持有资产支持证券期间，如果其信用等级下降、不再符合投资标准，应在评级报告发布之日起</w:t>
      </w:r>
      <w:r>
        <w:rPr>
          <w:rFonts w:ascii="宋体" w:hAnsi="宋体"/>
          <w:sz w:val="24"/>
        </w:rPr>
        <w:t>3</w:t>
      </w:r>
      <w:r>
        <w:rPr>
          <w:rFonts w:ascii="宋体" w:hAnsi="宋体"/>
          <w:sz w:val="24"/>
        </w:rPr>
        <w:t>个月内予以全部卖出；</w:t>
      </w:r>
    </w:p>
    <w:p w14:paraId="65DCE64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10</w:t>
      </w:r>
      <w:r>
        <w:rPr>
          <w:rFonts w:ascii="宋体" w:hAnsi="宋体"/>
          <w:sz w:val="24"/>
        </w:rPr>
        <w:t>）本基金进</w:t>
      </w:r>
      <w:r>
        <w:rPr>
          <w:rFonts w:ascii="宋体" w:hAnsi="宋体"/>
          <w:sz w:val="24"/>
        </w:rPr>
        <w:t>入全国银行间同业市场进行债券回购的资金余额不得超过基金资产净值的</w:t>
      </w:r>
      <w:r>
        <w:rPr>
          <w:rFonts w:ascii="宋体" w:hAnsi="宋体"/>
          <w:sz w:val="24"/>
        </w:rPr>
        <w:t>40%</w:t>
      </w:r>
      <w:r>
        <w:rPr>
          <w:rFonts w:ascii="宋体" w:hAnsi="宋体"/>
          <w:sz w:val="24"/>
        </w:rPr>
        <w:t>，进入全国银行间同业市场进行债券回购的最长期限为</w:t>
      </w:r>
      <w:r>
        <w:rPr>
          <w:rFonts w:ascii="宋体" w:hAnsi="宋体"/>
          <w:sz w:val="24"/>
        </w:rPr>
        <w:t>1</w:t>
      </w:r>
      <w:r>
        <w:rPr>
          <w:rFonts w:ascii="宋体" w:hAnsi="宋体"/>
          <w:sz w:val="24"/>
        </w:rPr>
        <w:t>年，债券回购到期后不得展期；</w:t>
      </w:r>
    </w:p>
    <w:p w14:paraId="667A9F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11</w:t>
      </w:r>
      <w:r>
        <w:rPr>
          <w:rFonts w:ascii="宋体" w:hAnsi="宋体"/>
          <w:sz w:val="24"/>
        </w:rPr>
        <w:t>）本基金主动投资于流动性受限资产的市值合计不得超过该基金资产净值的</w:t>
      </w:r>
      <w:r>
        <w:rPr>
          <w:rFonts w:ascii="宋体" w:hAnsi="宋体"/>
          <w:sz w:val="24"/>
        </w:rPr>
        <w:t>15%</w:t>
      </w:r>
      <w:r>
        <w:rPr>
          <w:rFonts w:ascii="宋体" w:hAnsi="宋体"/>
          <w:sz w:val="24"/>
        </w:rPr>
        <w:t>；因证券市场波动、上市公司股票停牌、基金规模变动等基金管理人之外的因素致使基金不符合该比例限制的，基金管理人不得主动新增流动性受限资产的投资；</w:t>
      </w:r>
    </w:p>
    <w:p w14:paraId="094632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12</w:t>
      </w:r>
      <w:r>
        <w:rPr>
          <w:rFonts w:ascii="宋体" w:hAnsi="宋体"/>
          <w:sz w:val="24"/>
        </w:rPr>
        <w:t>）本基金与私募类证券资管产品及中国证监会认定的其他主体为交易对手开展逆回购交易的，可接受质押品的资质要求应当与基金合同约定的投资范围保</w:t>
      </w:r>
      <w:r>
        <w:rPr>
          <w:rFonts w:ascii="宋体" w:hAnsi="宋体"/>
          <w:sz w:val="24"/>
        </w:rPr>
        <w:t>持一致；</w:t>
      </w:r>
    </w:p>
    <w:p w14:paraId="64FE68D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13</w:t>
      </w:r>
      <w:r>
        <w:rPr>
          <w:rFonts w:ascii="宋体" w:hAnsi="宋体"/>
          <w:sz w:val="24"/>
        </w:rPr>
        <w:t>）本基金资产总值不超过基金资产净值的</w:t>
      </w:r>
      <w:r>
        <w:rPr>
          <w:rFonts w:ascii="宋体" w:hAnsi="宋体"/>
          <w:sz w:val="24"/>
        </w:rPr>
        <w:t>140%</w:t>
      </w:r>
      <w:r>
        <w:rPr>
          <w:rFonts w:ascii="宋体" w:hAnsi="宋体"/>
          <w:sz w:val="24"/>
        </w:rPr>
        <w:t>；</w:t>
      </w:r>
    </w:p>
    <w:p w14:paraId="0F08F12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14</w:t>
      </w:r>
      <w:r>
        <w:rPr>
          <w:rFonts w:ascii="宋体" w:hAnsi="宋体"/>
          <w:sz w:val="24"/>
        </w:rPr>
        <w:t>）法律法规及中国证监会规定的和《基金合同》约定的其他投资限制。</w:t>
      </w:r>
    </w:p>
    <w:p w14:paraId="651902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w:t>
      </w:r>
      <w:r>
        <w:rPr>
          <w:rFonts w:ascii="宋体" w:hAnsi="宋体"/>
          <w:sz w:val="24"/>
        </w:rPr>
        <w:t>2</w:t>
      </w:r>
      <w:r>
        <w:rPr>
          <w:rFonts w:ascii="宋体" w:hAnsi="宋体"/>
          <w:sz w:val="24"/>
        </w:rPr>
        <w:t>）、（</w:t>
      </w:r>
      <w:r>
        <w:rPr>
          <w:rFonts w:ascii="宋体" w:hAnsi="宋体"/>
          <w:sz w:val="24"/>
        </w:rPr>
        <w:t>9</w:t>
      </w:r>
      <w:r>
        <w:rPr>
          <w:rFonts w:ascii="宋体" w:hAnsi="宋体"/>
          <w:sz w:val="24"/>
        </w:rPr>
        <w:t>）、（</w:t>
      </w:r>
      <w:r>
        <w:rPr>
          <w:rFonts w:ascii="宋体" w:hAnsi="宋体"/>
          <w:sz w:val="24"/>
        </w:rPr>
        <w:t>11</w:t>
      </w:r>
      <w:r>
        <w:rPr>
          <w:rFonts w:ascii="宋体" w:hAnsi="宋体"/>
          <w:sz w:val="24"/>
        </w:rPr>
        <w:t>）、（</w:t>
      </w:r>
      <w:r>
        <w:rPr>
          <w:rFonts w:ascii="宋体" w:hAnsi="宋体"/>
          <w:sz w:val="24"/>
        </w:rPr>
        <w:t>12</w:t>
      </w:r>
      <w:r>
        <w:rPr>
          <w:rFonts w:ascii="宋体" w:hAnsi="宋体"/>
          <w:sz w:val="24"/>
        </w:rPr>
        <w:t>）情形之外，因证券市场波动、证券发行人合并、基金规模变动等基金管理人之外的因素致使基金投资比例不符合上述规定投资比例的，基金管理人应当在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sz w:val="24"/>
        </w:rPr>
        <w:t>个交易日内进行调整，但中国证监会规定的特殊情形除外。法律法规另有规定的，从其规定。</w:t>
      </w:r>
    </w:p>
    <w:p w14:paraId="0B818FF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w:t>
      </w:r>
      <w:r>
        <w:rPr>
          <w:rFonts w:ascii="宋体" w:hAnsi="宋体"/>
          <w:sz w:val="24"/>
        </w:rPr>
        <w:t>6</w:t>
      </w:r>
      <w:r>
        <w:rPr>
          <w:rFonts w:ascii="宋体" w:hAnsi="宋体"/>
          <w:sz w:val="24"/>
        </w:rPr>
        <w:t>个月内使基金的投资组合比例符合基金合同的有关约定。在上述期间内，本基金的投资范围</w:t>
      </w:r>
      <w:r>
        <w:rPr>
          <w:rFonts w:ascii="宋体" w:hAnsi="宋体"/>
          <w:sz w:val="24"/>
        </w:rPr>
        <w:t>、投资策略应当符合基金合同的约定。基金托管人对基金的投资的监督与检查自基金合同生效之日起开始。</w:t>
      </w:r>
    </w:p>
    <w:p w14:paraId="047DAC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644367A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、基金托管人根据有关法律法规的规定及基金合同的约定，对本协议第十五条第（十一）项基金投资禁止行为进行监督。</w:t>
      </w:r>
    </w:p>
    <w:p w14:paraId="08EC770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根据法律法规有关基金从事的关联交易的规定，基金管理人和基金托管人应事</w:t>
      </w:r>
      <w:r>
        <w:rPr>
          <w:rFonts w:ascii="宋体" w:hAnsi="宋体"/>
          <w:sz w:val="24"/>
        </w:rPr>
        <w:lastRenderedPageBreak/>
        <w:t>先相互提供与本机构有控股关系的股东或与本机构有其他重大利害关系的公司名</w:t>
      </w:r>
      <w:r>
        <w:rPr>
          <w:rFonts w:ascii="宋体" w:hAnsi="宋体"/>
          <w:sz w:val="24"/>
        </w:rPr>
        <w:t>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并有权向中国证监会报告。</w:t>
      </w:r>
    </w:p>
    <w:p w14:paraId="729FA0C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w:t>
      </w:r>
      <w:r>
        <w:rPr>
          <w:rFonts w:ascii="宋体" w:hAnsi="宋体"/>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E7226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、基金托管人根据有关法律法规的规定及基金合同的约定，对基金管理人参与银行间债券市场进行监督。基金管理人应在基金投资运作之前向基金托管人提供经慎重</w:t>
      </w:r>
      <w:r>
        <w:rPr>
          <w:rFonts w:ascii="宋体" w:hAnsi="宋体"/>
          <w:sz w:val="24"/>
        </w:rPr>
        <w:t>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Pr>
          <w:rFonts w:ascii="宋体" w:hAnsi="宋体"/>
          <w:sz w:val="24"/>
        </w:rPr>
        <w:t>2</w:t>
      </w:r>
      <w:r>
        <w:rPr>
          <w:rFonts w:ascii="宋体" w:hAnsi="宋体"/>
          <w:sz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w:t>
      </w:r>
      <w:r>
        <w:rPr>
          <w:rFonts w:ascii="宋体" w:hAnsi="宋体"/>
          <w:sz w:val="24"/>
        </w:rPr>
        <w:t>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14:paraId="6E204B1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、基金托管人根据有关法律法规的规定及基金合同的约定，对基金管理人投资银行存款进行监督。</w:t>
      </w:r>
    </w:p>
    <w:p w14:paraId="67EDCB0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基金投资银行存款的，基金管理人应根据法律法规的规定及基金合同的约定，</w:t>
      </w:r>
      <w:r>
        <w:rPr>
          <w:rFonts w:ascii="宋体" w:hAnsi="宋体"/>
          <w:sz w:val="24"/>
        </w:rPr>
        <w:lastRenderedPageBreak/>
        <w:t>建立投资制度、审慎选择存款银行，做好风险控制；并按照基金托管人的要求配合基金托管人完成</w:t>
      </w:r>
      <w:r>
        <w:rPr>
          <w:rFonts w:ascii="宋体" w:hAnsi="宋体"/>
          <w:sz w:val="24"/>
        </w:rPr>
        <w:t>相关业务办理。</w:t>
      </w:r>
    </w:p>
    <w:p w14:paraId="2892E0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5C40B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如果基金管理人未经基金托管人的审核擅自将不实的业绩表现数据印制在宣传推介材料上，则基金托管人对此不承担任何责任，并将在发现后立即报告中国证监会。</w:t>
      </w:r>
    </w:p>
    <w:p w14:paraId="6D075A3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、基金托管人根据有关法律法规的规定及基金合同的约定，对基金投资流通受限证券进行监督。</w:t>
      </w:r>
    </w:p>
    <w:p w14:paraId="4E1D271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）基金投资流通受限证券，应遵守《关于基金投资非公开发行股票等流通受限证券有关问题的通知》等有关法律法规规定。</w:t>
      </w:r>
    </w:p>
    <w:p w14:paraId="4F720D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58E06A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）在首次投资流通受限证券之前，基金管理人应当制定相关投资决策流程、风险控制制度、流动性风险控制预案等规章制度。基金管理人应当根据基金流动性的需要合理</w:t>
      </w:r>
      <w:r>
        <w:rPr>
          <w:rFonts w:ascii="宋体" w:hAnsi="宋体"/>
          <w:sz w:val="24"/>
        </w:rPr>
        <w:t>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基金托管人据此监督基金管理人的流通受限证券投资行为。</w:t>
      </w:r>
    </w:p>
    <w:p w14:paraId="14A1492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）在投资流通受限证券之前，基金管理人应至少提前一个交易日向基金托管人提供有关流通受限证券的相关信息，具体应当包括但不限于如下文件（如有）：</w:t>
      </w:r>
    </w:p>
    <w:p w14:paraId="0A7FF78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拟发行数量、定价依据、监管机构的批准证明文件复印件、基金管理人与承销商签订的销售协议</w:t>
      </w:r>
      <w:r>
        <w:rPr>
          <w:rFonts w:ascii="宋体" w:hAnsi="宋体"/>
          <w:sz w:val="24"/>
        </w:rPr>
        <w:t>复印件、缴款通知书、基金拟认购的数量、价格、总成本、划款账号、划款金额、划款时间文件等。基金管理人应保证上述信息的真实、完整。</w:t>
      </w:r>
    </w:p>
    <w:p w14:paraId="6A4866E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5</w:t>
      </w:r>
      <w:r>
        <w:rPr>
          <w:rFonts w:ascii="宋体" w:hAnsi="宋体"/>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14:paraId="76A1DE0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）基金</w:t>
      </w:r>
      <w:r>
        <w:rPr>
          <w:rFonts w:ascii="宋体" w:hAnsi="宋体"/>
          <w:sz w:val="24"/>
        </w:rPr>
        <w:t>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14:paraId="3AD082E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14:paraId="6C3A73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基金托</w:t>
      </w:r>
      <w:r>
        <w:rPr>
          <w:rFonts w:ascii="宋体" w:hAnsi="宋体"/>
          <w:sz w:val="24"/>
        </w:rPr>
        <w:t>管人发现基金管理人依据交易程序已经生效的投资指令违反法律、行政法规和其他有关规定，或者违反基金合同约定的，应当立即通知基金管理人，并报告中国证监会。</w:t>
      </w:r>
    </w:p>
    <w:p w14:paraId="197BDBF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w:t>
      </w:r>
      <w:r>
        <w:rPr>
          <w:rFonts w:ascii="宋体" w:hAnsi="宋体"/>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14:paraId="3FB2AE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w:t>
      </w:r>
      <w:r>
        <w:rPr>
          <w:rFonts w:ascii="宋体" w:hAnsi="宋体"/>
          <w:sz w:val="24"/>
        </w:rPr>
        <w:t>、基金托管人发现基金管理人有重大违规行为，应及时报告中</w:t>
      </w:r>
      <w:r>
        <w:rPr>
          <w:rFonts w:ascii="宋体" w:hAnsi="宋体"/>
          <w:sz w:val="24"/>
        </w:rPr>
        <w:t>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14:paraId="44DD7CE7"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（三）基金管理人对基金托管人的业务核查</w:t>
      </w:r>
    </w:p>
    <w:p w14:paraId="000D954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w:t>
      </w:r>
      <w:r>
        <w:rPr>
          <w:rFonts w:ascii="宋体" w:hAnsi="宋体"/>
          <w:sz w:val="24"/>
        </w:rPr>
        <w:t>披露和监督基金投资运作等行为。</w:t>
      </w:r>
    </w:p>
    <w:p w14:paraId="24251C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w:t>
      </w:r>
      <w:r>
        <w:rPr>
          <w:rFonts w:ascii="宋体" w:hAnsi="宋体"/>
          <w:sz w:val="24"/>
        </w:rPr>
        <w:t>查托管财产的完整性和真实性，在规定时间内答复基金管理人并改正。</w:t>
      </w:r>
    </w:p>
    <w:p w14:paraId="3ED2049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A07BB7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（四）基金财产保管</w:t>
      </w:r>
    </w:p>
    <w:p w14:paraId="35AFF2E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、基金财产保管的原则</w:t>
      </w:r>
    </w:p>
    <w:p w14:paraId="3A05D7D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）基金财产应独立于基金管理人、基金托管人的固有财产。</w:t>
      </w:r>
    </w:p>
    <w:p w14:paraId="0D352F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）基金托管人应安全保管基金财产。未经基金管</w:t>
      </w:r>
      <w:r>
        <w:rPr>
          <w:rFonts w:ascii="宋体" w:hAnsi="宋体"/>
          <w:sz w:val="24"/>
        </w:rPr>
        <w:t>理人依据合法程序作出的合法合规指令，基金托管人不得自行运用、处分、分配基金的任何财产。</w:t>
      </w:r>
    </w:p>
    <w:p w14:paraId="4C6207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）基金托管人按照规定开设基金财产的资金账户、证券账户等投资所需账</w:t>
      </w:r>
      <w:r>
        <w:rPr>
          <w:rFonts w:ascii="宋体" w:hAnsi="宋体"/>
          <w:sz w:val="24"/>
        </w:rPr>
        <w:lastRenderedPageBreak/>
        <w:t>户。</w:t>
      </w:r>
    </w:p>
    <w:p w14:paraId="67C5EF1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）基金托管人对所托管的不同基金财产分别设置账户，与基金托管人的其他业务和其他基金的托管业务实行严格的分账管理，确保基金财产的完整与独立。</w:t>
      </w:r>
    </w:p>
    <w:p w14:paraId="2F725DC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）基金托管人根据基金管理人的指令，按照基金合同和本协议的约定保管基金财产，如有特殊情况双方可另行协商解决。</w:t>
      </w:r>
    </w:p>
    <w:p w14:paraId="5183C6D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）对于因为基金申购、投资产生的应收资产，应由基金管理人负责与有关当事人确定到账日期并通知基金</w:t>
      </w:r>
      <w:r>
        <w:rPr>
          <w:rFonts w:ascii="宋体" w:hAnsi="宋体"/>
          <w:sz w:val="24"/>
        </w:rPr>
        <w:t>托管人，到账日基金财产没有到达基金账户的，基金托管人应及时通知基金管理人采取措施进行催收。由此给基金财产造成损失的，基金托管人对此不承担任何责任。</w:t>
      </w:r>
    </w:p>
    <w:p w14:paraId="477057D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7</w:t>
      </w:r>
      <w:r>
        <w:rPr>
          <w:rFonts w:ascii="宋体" w:hAnsi="宋体"/>
          <w:sz w:val="24"/>
        </w:rPr>
        <w:t>）除依据法律法规和基金合同的规定外，基金托管人不得委托第三人托管基金财产。</w:t>
      </w:r>
    </w:p>
    <w:p w14:paraId="3BE680E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、基金资金账户的开立和管理</w:t>
      </w:r>
    </w:p>
    <w:p w14:paraId="14EB5DA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）基金托管人应负责本基金的资金账户的开设和管理。</w:t>
      </w:r>
    </w:p>
    <w:p w14:paraId="2473C92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应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14:paraId="08F9751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14:paraId="650E314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）基金托管资金账户的开立和管理应符合相关法律法规的有关规</w:t>
      </w:r>
      <w:r>
        <w:rPr>
          <w:rFonts w:ascii="宋体" w:hAnsi="宋体"/>
          <w:sz w:val="24"/>
        </w:rPr>
        <w:t>定。</w:t>
      </w:r>
    </w:p>
    <w:p w14:paraId="6C861C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）在符合法律法规规定的条件下，基金托管人可以通过基金托管人专用账户办理基金资产的支付。</w:t>
      </w:r>
    </w:p>
    <w:p w14:paraId="6FEF31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、基金证券账户和结算备付金账户的开立和管理</w:t>
      </w:r>
    </w:p>
    <w:p w14:paraId="4639DC8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）基金托管人在中国证券登记结算有限责任公司上海分公司、深圳分公司为本基金开立基金托管人与基金联名的证券账户。</w:t>
      </w:r>
    </w:p>
    <w:p w14:paraId="34CEC77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7BC6190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）基金托管人以自身法人名义在中国证券登记结算有限责任公司开立结算</w:t>
      </w:r>
      <w:r>
        <w:rPr>
          <w:rFonts w:ascii="宋体" w:hAnsi="宋体"/>
          <w:sz w:val="24"/>
        </w:rPr>
        <w:lastRenderedPageBreak/>
        <w:t>备付金账户，并代表所托管的基金完成与中国证券登记结算有限责任公司的一级法人清算工作，基金管理人应予以积极协助。结算备付金的收取按照中国证券登记结算有限责任公司的规定执行。</w:t>
      </w:r>
    </w:p>
    <w:p w14:paraId="79BC3A9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）基金证券账户的开立和证券账户卡的保管由基金托管人负责，账户资产的管理和运用由基金管理人负责。</w:t>
      </w:r>
    </w:p>
    <w:p w14:paraId="4520096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14:paraId="79163CF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、债券托管专户的开设和管理</w:t>
      </w:r>
    </w:p>
    <w:p w14:paraId="652E9E0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w:t>
      </w:r>
      <w:r>
        <w:rPr>
          <w:rFonts w:ascii="宋体" w:hAnsi="宋体"/>
          <w:sz w:val="24"/>
        </w:rPr>
        <w:t>后，基金托管人根据中国人民银行、中央国债登记结算有限责任公司、银行间市场清算所股份有限公司的有关规定，以本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14:paraId="487291D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、其他账户的开立和管理</w:t>
      </w:r>
    </w:p>
    <w:p w14:paraId="6E52EB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）因业务发展需要而开立的其他账户，可以根据法律法规和基金合同的规定，在基金管理人和基金托管人商议后开立。新账户按有关规则使用并管理。</w:t>
      </w:r>
    </w:p>
    <w:p w14:paraId="7E20B4D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）法律法规等有关规定对相关账户的开</w:t>
      </w:r>
      <w:r>
        <w:rPr>
          <w:rFonts w:ascii="宋体" w:hAnsi="宋体"/>
          <w:sz w:val="24"/>
        </w:rPr>
        <w:t>立和管理另有规定的，从其规定办理。</w:t>
      </w:r>
    </w:p>
    <w:p w14:paraId="47C73A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、基金财产投资的有关有价凭证等的保管</w:t>
      </w:r>
    </w:p>
    <w:p w14:paraId="4118839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14:paraId="647C3F1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、与基金财产有关的重大合同的保管</w:t>
      </w:r>
    </w:p>
    <w:p w14:paraId="0D8C76E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由基金管理人代表基金签署的、与基金有关的重大合同的原件分别由基</w:t>
      </w:r>
      <w:r>
        <w:rPr>
          <w:rFonts w:ascii="宋体" w:hAnsi="宋体"/>
          <w:sz w:val="24"/>
        </w:rPr>
        <w:t>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Pr>
          <w:rFonts w:ascii="宋体" w:hAnsi="宋体"/>
          <w:sz w:val="24"/>
        </w:rPr>
        <w:t>15</w:t>
      </w:r>
      <w:r>
        <w:rPr>
          <w:rFonts w:ascii="宋体" w:hAnsi="宋体"/>
          <w:sz w:val="24"/>
        </w:rPr>
        <w:t>年。</w:t>
      </w:r>
    </w:p>
    <w:p w14:paraId="60B920F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lastRenderedPageBreak/>
        <w:t>（五）基金资产净值计算、估值和会计核算</w:t>
      </w:r>
    </w:p>
    <w:p w14:paraId="3932FA1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、基金资产净值的计算及复核程序</w:t>
      </w:r>
    </w:p>
    <w:p w14:paraId="73B184C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）基金资产净值</w:t>
      </w:r>
    </w:p>
    <w:p w14:paraId="7C3F64C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270A708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基金份额净值是按照每个工作日闭市后，基金资产净值除以当日基金份额的余额数量计算，精确到</w:t>
      </w:r>
      <w:r>
        <w:rPr>
          <w:rFonts w:ascii="宋体" w:hAnsi="宋体"/>
          <w:sz w:val="24"/>
        </w:rPr>
        <w:t>0.0001</w:t>
      </w:r>
      <w:r>
        <w:rPr>
          <w:rFonts w:ascii="宋体" w:hAnsi="宋体"/>
          <w:sz w:val="24"/>
        </w:rPr>
        <w:t>元，小数点后第</w:t>
      </w:r>
      <w:r>
        <w:rPr>
          <w:rFonts w:ascii="宋体" w:hAnsi="宋体"/>
          <w:sz w:val="24"/>
        </w:rPr>
        <w:t>5</w:t>
      </w:r>
      <w:r>
        <w:rPr>
          <w:rFonts w:ascii="宋体" w:hAnsi="宋体"/>
          <w:sz w:val="24"/>
        </w:rPr>
        <w:t>位四舍五入。基金管理人可以设立大</w:t>
      </w:r>
      <w:r>
        <w:rPr>
          <w:rFonts w:ascii="宋体" w:hAnsi="宋体"/>
          <w:sz w:val="24"/>
        </w:rPr>
        <w:t>额赎回情形下的净值精度应急调整机制，具体可参见相关公告。国家另有规定的，从其规定。</w:t>
      </w:r>
    </w:p>
    <w:p w14:paraId="568BA81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基金管理人于每个工作日计算基金资产净值及基金份额净值，并按规定公告。如遇特殊情况，经履行适当程序，可以适当延迟计算或公告。</w:t>
      </w:r>
    </w:p>
    <w:p w14:paraId="46BD156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）复核程序</w:t>
      </w:r>
    </w:p>
    <w:p w14:paraId="5EEC264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每个工作日对基金资产估值。但基金管理人根据法律法规或基金合同的规定暂停估值时除外。基金管理人每个工作日对基金资产进行估值后，将基金份额净值结果发送基金托管人，经基金托管人复核无误后，由基金管理人依据基金合同和相关法律法规的规定对外公布。月末、年中和年末估值复核与基金会计账目的核对同时进行。</w:t>
      </w:r>
    </w:p>
    <w:p w14:paraId="2486562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、基金资产估值方法和特殊情形的处理</w:t>
      </w:r>
    </w:p>
    <w:p w14:paraId="50A3EB8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）估值对象</w:t>
      </w:r>
    </w:p>
    <w:p w14:paraId="3B8ED62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基金所拥有的债券和其他投资等持续以公允价值计量的金融资产及负债。</w:t>
      </w:r>
    </w:p>
    <w:p w14:paraId="71BAA7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）估值方法</w:t>
      </w:r>
    </w:p>
    <w:p w14:paraId="20A5AF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）证券交易所上市的有价证券的估值</w:t>
      </w:r>
    </w:p>
    <w:p w14:paraId="0F49943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w:t>
      </w:r>
      <w:r>
        <w:rPr>
          <w:rFonts w:ascii="宋体" w:hAnsi="宋体"/>
          <w:sz w:val="24"/>
        </w:rPr>
        <w:t>交易所市场上市实行净价交易或挂牌转让的固定收益品种（另有规定的除外），选取第三方估值机构提供的相应品种当日的估值净价进行估值；</w:t>
      </w:r>
    </w:p>
    <w:p w14:paraId="14C6F07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w:t>
      </w:r>
      <w:r>
        <w:rPr>
          <w:rFonts w:ascii="宋体" w:hAnsi="宋体"/>
          <w:sz w:val="24"/>
        </w:rPr>
        <w:t>交易所上市实行全价交易的债券（可转债除外），选取第三方估值机构提供的估值全价减去估值全价中所含的债券（税后）应收利息得到的净价进行估值；</w:t>
      </w:r>
    </w:p>
    <w:p w14:paraId="2F040F2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w:t>
      </w:r>
      <w:r>
        <w:rPr>
          <w:rFonts w:ascii="宋体" w:hAnsi="宋体"/>
          <w:sz w:val="24"/>
        </w:rPr>
        <w:t>交易所上市交易的可转换债券以每日收盘价作为估值全价；</w:t>
      </w:r>
    </w:p>
    <w:p w14:paraId="49C6F4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w:t>
      </w:r>
      <w:r>
        <w:rPr>
          <w:rFonts w:ascii="宋体" w:hAnsi="宋体"/>
          <w:sz w:val="24"/>
        </w:rPr>
        <w:t>交易所上市不存在活跃市场的有价证券，采用估值技术确定公允价值。交易所市场挂牌转让的资产支持证券，采用估值技术确定公允价值，在估值技术难以可靠计量公允价值的情况下，按成本估值；</w:t>
      </w:r>
    </w:p>
    <w:p w14:paraId="709289C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w:t>
      </w:r>
      <w:r>
        <w:rPr>
          <w:rFonts w:ascii="宋体" w:hAnsi="宋体"/>
          <w:sz w:val="24"/>
        </w:rPr>
        <w:t>对在交</w:t>
      </w:r>
      <w:r>
        <w:rPr>
          <w:rFonts w:ascii="宋体" w:hAnsi="宋体"/>
          <w:sz w:val="24"/>
        </w:rPr>
        <w:t>易所市场发行未上市或未挂牌转让的债券，对存在活跃市场的情况</w:t>
      </w:r>
      <w:r>
        <w:rPr>
          <w:rFonts w:ascii="宋体" w:hAnsi="宋体"/>
          <w:sz w:val="24"/>
        </w:rPr>
        <w:lastRenderedPageBreak/>
        <w:t>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0BDC92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）首次公开发行未上市的债券，采用估值技术确定公允价值，在估值技术难以可靠计量公允价值的情况下，按成本估值。</w:t>
      </w:r>
    </w:p>
    <w:p w14:paraId="4BD9C57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）对全国银行间市场上不含权的固定收益品种，按照第三方估值机构提供的相应品种当日的估值净价估值。对银行间市场上含权的固定收益</w:t>
      </w:r>
      <w:r>
        <w:rPr>
          <w:rFonts w:ascii="宋体" w:hAnsi="宋体"/>
          <w:sz w:val="24"/>
        </w:rPr>
        <w:t>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C783A5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）如有确凿证据表明按上述方法进行估值不能客观反映其公允价值的，基金管理人可根据具体情况与基金托管人商定后，按最能反映公允价值的价格估值。</w:t>
      </w:r>
    </w:p>
    <w:p w14:paraId="2B6327F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）当发生大额申购或赎回情形时</w:t>
      </w:r>
      <w:r>
        <w:rPr>
          <w:rFonts w:ascii="宋体" w:hAnsi="宋体"/>
          <w:sz w:val="24"/>
        </w:rPr>
        <w:t>，基金管理人可以采用摆动定价机制，以确保基金估值的公平性。</w:t>
      </w:r>
    </w:p>
    <w:p w14:paraId="160051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）相关法律法规以及监管部门有强制规定的，从其规定。如有新增事项，按国家最新规定估值。</w:t>
      </w:r>
    </w:p>
    <w:p w14:paraId="253017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104A96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w:t>
      </w:r>
      <w:r>
        <w:rPr>
          <w:rFonts w:ascii="宋体" w:hAnsi="宋体"/>
          <w:sz w:val="24"/>
        </w:rPr>
        <w:t>致的意见，按照基金管理人对基金资产净值的计算结果对外予以公布。</w:t>
      </w:r>
    </w:p>
    <w:p w14:paraId="6AE2E5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）特殊情形的处理</w:t>
      </w:r>
    </w:p>
    <w:p w14:paraId="1D91E5D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）基金管理人或基金托管人按估值方法的第</w:t>
      </w:r>
      <w:r>
        <w:rPr>
          <w:rFonts w:ascii="宋体" w:hAnsi="宋体"/>
          <w:sz w:val="24"/>
        </w:rPr>
        <w:t>4</w:t>
      </w:r>
      <w:r>
        <w:rPr>
          <w:rFonts w:ascii="宋体" w:hAnsi="宋体"/>
          <w:sz w:val="24"/>
        </w:rPr>
        <w:t>）项进行估值时，所造成的误差不作为基金资产估值错误处理。</w:t>
      </w:r>
    </w:p>
    <w:p w14:paraId="012BCB7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）由于不可抗力原因，或由于证券交易所、证券经纪机构及登记结算公司发</w:t>
      </w:r>
      <w:r>
        <w:rPr>
          <w:rFonts w:ascii="宋体" w:hAnsi="宋体"/>
          <w:sz w:val="24"/>
        </w:rPr>
        <w:lastRenderedPageBreak/>
        <w:t>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w:t>
      </w:r>
      <w:r>
        <w:rPr>
          <w:rFonts w:ascii="宋体" w:hAnsi="宋体"/>
          <w:sz w:val="24"/>
        </w:rPr>
        <w:t>的影响。</w:t>
      </w:r>
    </w:p>
    <w:p w14:paraId="082963F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、基金估值错误的处理方式</w:t>
      </w:r>
    </w:p>
    <w:p w14:paraId="36EC6BA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）当基金份额净值小数点后</w:t>
      </w:r>
      <w:r>
        <w:rPr>
          <w:rFonts w:ascii="宋体" w:hAnsi="宋体"/>
          <w:sz w:val="24"/>
        </w:rPr>
        <w:t>4</w:t>
      </w:r>
      <w:r>
        <w:rPr>
          <w:rFonts w:ascii="宋体" w:hAnsi="宋体"/>
          <w:sz w:val="24"/>
        </w:rPr>
        <w:t>位以内</w:t>
      </w:r>
      <w:r>
        <w:rPr>
          <w:rFonts w:ascii="宋体" w:hAnsi="宋体"/>
          <w:sz w:val="24"/>
        </w:rPr>
        <w:t>(</w:t>
      </w:r>
      <w:r>
        <w:rPr>
          <w:rFonts w:ascii="宋体" w:hAnsi="宋体"/>
          <w:sz w:val="24"/>
        </w:rPr>
        <w:t>含第</w:t>
      </w:r>
      <w:r>
        <w:rPr>
          <w:rFonts w:ascii="宋体" w:hAnsi="宋体"/>
          <w:sz w:val="24"/>
        </w:rPr>
        <w:t>4</w:t>
      </w:r>
      <w:r>
        <w:rPr>
          <w:rFonts w:ascii="宋体" w:hAnsi="宋体"/>
          <w:sz w:val="24"/>
        </w:rPr>
        <w:t>位</w:t>
      </w:r>
      <w:r>
        <w:rPr>
          <w:rFonts w:ascii="宋体" w:hAnsi="宋体"/>
          <w:sz w:val="24"/>
        </w:rPr>
        <w:t>)</w:t>
      </w:r>
      <w:r>
        <w:rPr>
          <w:rFonts w:ascii="宋体" w:hAnsi="宋体"/>
          <w:sz w:val="24"/>
        </w:rPr>
        <w:t>发生估值错误时，视为基金份额净值错误；基金份额净值出现错误时，基金管理人应当立即予以纠正，通报基金托管人，并采取合理的措施防止损失进一步扩大；错误偏差达到基金份额净值的</w:t>
      </w:r>
      <w:r>
        <w:rPr>
          <w:rFonts w:ascii="宋体" w:hAnsi="宋体"/>
          <w:sz w:val="24"/>
        </w:rPr>
        <w:t>0.25%</w:t>
      </w:r>
      <w:r>
        <w:rPr>
          <w:rFonts w:ascii="宋体" w:hAnsi="宋体"/>
          <w:sz w:val="24"/>
        </w:rPr>
        <w:t>时，基金管理人应当通报基金托管人并报中国证监会备案；错误偏差达到基金份额净值的</w:t>
      </w:r>
      <w:r>
        <w:rPr>
          <w:rFonts w:ascii="宋体" w:hAnsi="宋体"/>
          <w:sz w:val="24"/>
        </w:rPr>
        <w:t>0.5%</w:t>
      </w:r>
      <w:r>
        <w:rPr>
          <w:rFonts w:ascii="宋体" w:hAnsi="宋体"/>
          <w:sz w:val="24"/>
        </w:rPr>
        <w:t>时，基金管理人应当公告并报中国证监会备案；当发生基金份额净值错误时，由基金管理人负责处理，由此给基金份额持有人和基金造成损失的，应由基金管理人先行赔付，基金管理人</w:t>
      </w:r>
      <w:r>
        <w:rPr>
          <w:rFonts w:ascii="宋体" w:hAnsi="宋体"/>
          <w:sz w:val="24"/>
        </w:rPr>
        <w:t>按差错情形，有权向其他当事人追偿。</w:t>
      </w:r>
    </w:p>
    <w:p w14:paraId="26EB774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）当基金份额净值错误给基金和基金份额持有人造成损失需要进行赔偿时，基金管理人和基金托管人应根据实际情况界定双方承担的责任，经确认后按以下条款进行赔偿：</w:t>
      </w:r>
    </w:p>
    <w:p w14:paraId="324B62B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14:paraId="1115E4D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）若基金管理人计算的基金份额净值已由基金托管人复核确认后公告，而且基金托管人未对计算过程提出疑义或要求基金管理</w:t>
      </w:r>
      <w:r>
        <w:rPr>
          <w:rFonts w:ascii="宋体" w:hAnsi="宋体"/>
          <w:sz w:val="24"/>
        </w:rPr>
        <w:t>人书面说明，基金份额净值错误且造成基金份额持有人损失的，应根据法律法规的规定对基金份额持有人或基金支付赔偿金，就实际向基金份额持有人或基金支付的赔偿金额，其中基金管理人承担</w:t>
      </w:r>
      <w:r>
        <w:rPr>
          <w:rFonts w:ascii="宋体" w:hAnsi="宋体"/>
          <w:sz w:val="24"/>
        </w:rPr>
        <w:t>50%</w:t>
      </w:r>
      <w:r>
        <w:rPr>
          <w:rFonts w:ascii="宋体" w:hAnsi="宋体"/>
          <w:sz w:val="24"/>
        </w:rPr>
        <w:t>，基金托管人承担</w:t>
      </w:r>
      <w:r>
        <w:rPr>
          <w:rFonts w:ascii="宋体" w:hAnsi="宋体"/>
          <w:sz w:val="24"/>
        </w:rPr>
        <w:t>50%</w:t>
      </w:r>
      <w:r>
        <w:rPr>
          <w:rFonts w:ascii="宋体" w:hAnsi="宋体"/>
          <w:sz w:val="24"/>
        </w:rPr>
        <w:t>。</w:t>
      </w:r>
    </w:p>
    <w:p w14:paraId="0FF9AD7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8810E3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由于基金管理人提供的信息错误（包括但不限于基金申购或赎回金额等），基金托管人在履行正常的复核程序后仍不能发现该错误，进而导致基金份额净值错误而引起的基金份额持有人和基金财产的损失，由基金管理人负责赔付。</w:t>
      </w:r>
    </w:p>
    <w:p w14:paraId="0A0A44B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w:t>
      </w:r>
      <w:r>
        <w:rPr>
          <w:rFonts w:ascii="宋体" w:hAnsi="宋体"/>
          <w:sz w:val="24"/>
        </w:rPr>
        <w:t>3</w:t>
      </w:r>
      <w:r>
        <w:rPr>
          <w:rFonts w:ascii="宋体" w:hAnsi="宋体"/>
          <w:sz w:val="24"/>
        </w:rPr>
        <w:t>）基金管理人和基金托管人由于各自技术系统设置而产生的净值计算尾差，以基金管理人计算结果为准。</w:t>
      </w:r>
    </w:p>
    <w:p w14:paraId="46FB154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）前述内容如法律法规或监管机构另有规定的，从其规定处理。如果行业有通行做法，双方当事人应本着平等和保护基金份额持有人利益的原则进行协商。</w:t>
      </w:r>
    </w:p>
    <w:p w14:paraId="296CBEE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、暂停估值与公告基金份额净值的情形</w:t>
      </w:r>
    </w:p>
    <w:p w14:paraId="4BE489E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）基金投资所涉及的证券</w:t>
      </w:r>
      <w:r>
        <w:rPr>
          <w:rFonts w:ascii="宋体" w:hAnsi="宋体"/>
          <w:sz w:val="24"/>
        </w:rPr>
        <w:t>交易市场遇法定节假日或因其他原因暂停营业时；</w:t>
      </w:r>
    </w:p>
    <w:p w14:paraId="198AF8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）因不可抗力致使基金管理人、基金托管人无法准确评估基金资产价值时；</w:t>
      </w:r>
    </w:p>
    <w:p w14:paraId="0360867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）当特定资产占前一估值日基金资产净值</w:t>
      </w:r>
      <w:r>
        <w:rPr>
          <w:rFonts w:ascii="宋体" w:hAnsi="宋体"/>
          <w:sz w:val="24"/>
        </w:rPr>
        <w:t>50%</w:t>
      </w:r>
      <w:r>
        <w:rPr>
          <w:rFonts w:ascii="宋体" w:hAnsi="宋体"/>
          <w:sz w:val="24"/>
        </w:rPr>
        <w:t>以上的，经与基金托管人协商确认后，基金管理人应当暂停估值；</w:t>
      </w:r>
    </w:p>
    <w:p w14:paraId="2914013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）法律法规、中国证监会和基金合同认定的其它情形。</w:t>
      </w:r>
    </w:p>
    <w:p w14:paraId="7F8051D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、基金会计制度</w:t>
      </w:r>
    </w:p>
    <w:p w14:paraId="78D130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按国家有关部门规定的会计制度执行。</w:t>
      </w:r>
    </w:p>
    <w:p w14:paraId="0C3C89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、基金账册的建立</w:t>
      </w:r>
    </w:p>
    <w:p w14:paraId="0968C9F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基金管理人进行基金会计核算并编制基金财务会计报告。基金管理人独立地设置、记录和保管本基金的全套账册。基金托管人按规定制作相关账册并与基金管理人核对。若基金管理人</w:t>
      </w:r>
      <w:r>
        <w:rPr>
          <w:rFonts w:ascii="宋体" w:hAnsi="宋体"/>
          <w:sz w:val="24"/>
        </w:rPr>
        <w:t>和基金托管人对会计处理方法存在分歧，应以基金管理人的处理方法为准。若当日核对不符，暂时无法查找到错账的原因而影响到基金资产净值的计算和公告的，以基金管理人的账册为准。</w:t>
      </w:r>
    </w:p>
    <w:p w14:paraId="1417D68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、基金财务报表与报告的编制和复核</w:t>
      </w:r>
    </w:p>
    <w:p w14:paraId="718EBB4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）财务报表的编制</w:t>
      </w:r>
    </w:p>
    <w:p w14:paraId="0BB4A89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基金管理人应当及时编制并对外提供真实、完整的基金财务会计报告。月度报表的编制，基金管理人应于每月终了后</w:t>
      </w:r>
      <w:r>
        <w:rPr>
          <w:rFonts w:ascii="宋体" w:hAnsi="宋体"/>
          <w:sz w:val="24"/>
        </w:rPr>
        <w:t>5</w:t>
      </w:r>
      <w:r>
        <w:rPr>
          <w:rFonts w:ascii="宋体" w:hAnsi="宋体"/>
          <w:sz w:val="24"/>
        </w:rPr>
        <w:t>个工作日内完成；季度报告应在季度结束之日起</w:t>
      </w:r>
      <w:r>
        <w:rPr>
          <w:rFonts w:ascii="宋体" w:hAnsi="宋体"/>
          <w:sz w:val="24"/>
        </w:rPr>
        <w:t>15</w:t>
      </w:r>
      <w:r>
        <w:rPr>
          <w:rFonts w:ascii="宋体" w:hAnsi="宋体"/>
          <w:sz w:val="24"/>
        </w:rPr>
        <w:t>个工作日内编制完毕并予以公告；中期报告在会计年度半年终了后两个月内编制完毕并予以公告；年度报告在会计年度结束后三个月内编制完毕并予以公告</w:t>
      </w:r>
      <w:r>
        <w:rPr>
          <w:rFonts w:ascii="宋体" w:hAnsi="宋体"/>
          <w:sz w:val="24"/>
        </w:rPr>
        <w:t>。</w:t>
      </w:r>
    </w:p>
    <w:p w14:paraId="2CB5132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）报表复核</w:t>
      </w:r>
    </w:p>
    <w:p w14:paraId="39ACBEF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基金管理人在报表或定期报告完成当日，对报表盖章后，以加密传真方式或双方书面商定的其他方式将有关报表提供基金托管人复核。</w:t>
      </w:r>
    </w:p>
    <w:p w14:paraId="332811D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基金管理人在月度报表完成当日，将报表盖章后提供给基金托管人复核；基金托管人在收到后应在</w:t>
      </w:r>
      <w:r>
        <w:rPr>
          <w:rFonts w:ascii="宋体" w:hAnsi="宋体"/>
          <w:sz w:val="24"/>
        </w:rPr>
        <w:t>3</w:t>
      </w:r>
      <w:r>
        <w:rPr>
          <w:rFonts w:ascii="宋体" w:hAnsi="宋体"/>
          <w:sz w:val="24"/>
        </w:rPr>
        <w:t>日内进行复核，并将复核结果书面通知基金管理人。基金管理人在季度报告完成当日，将有关报告提供给基金托管人复核，基金托管人应在收到后</w:t>
      </w:r>
      <w:r>
        <w:rPr>
          <w:rFonts w:ascii="宋体" w:hAnsi="宋体"/>
          <w:sz w:val="24"/>
        </w:rPr>
        <w:t>7</w:t>
      </w:r>
      <w:r>
        <w:rPr>
          <w:rFonts w:ascii="宋体" w:hAnsi="宋体"/>
          <w:sz w:val="24"/>
        </w:rPr>
        <w:t>个工作日内完成复核，并将复核结果书面通知基金管理人。基金管理人在中期报告完成当日，将有关报告提供给基金托管人复核，基金托管人应在收到后</w:t>
      </w:r>
      <w:r>
        <w:rPr>
          <w:rFonts w:ascii="宋体" w:hAnsi="宋体"/>
          <w:sz w:val="24"/>
        </w:rPr>
        <w:t>30</w:t>
      </w:r>
      <w:r>
        <w:rPr>
          <w:rFonts w:ascii="宋体" w:hAnsi="宋体"/>
          <w:sz w:val="24"/>
        </w:rPr>
        <w:t>日内完成复核，并</w:t>
      </w:r>
      <w:r>
        <w:rPr>
          <w:rFonts w:ascii="宋体" w:hAnsi="宋体"/>
          <w:sz w:val="24"/>
        </w:rPr>
        <w:t>将复核结果书面通知基金管理人。基金管理人在年度报告完成当日，将有关报告提供基金托管人复核，基金托管人应在收到后</w:t>
      </w:r>
      <w:r>
        <w:rPr>
          <w:rFonts w:ascii="宋体" w:hAnsi="宋体"/>
          <w:sz w:val="24"/>
        </w:rPr>
        <w:t>45</w:t>
      </w:r>
      <w:r>
        <w:rPr>
          <w:rFonts w:ascii="宋体" w:hAnsi="宋体"/>
          <w:sz w:val="24"/>
        </w:rPr>
        <w:t>日内完成复核，并将复核结果书面通知基金管理人。基金管理人和基金托管人之间的上述文件往来均以传真的方式或双方商定的其他方式进行。</w:t>
      </w:r>
    </w:p>
    <w:p w14:paraId="2340E00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w:t>
      </w:r>
      <w:r>
        <w:rPr>
          <w:rFonts w:ascii="宋体" w:hAnsi="宋体"/>
          <w:sz w:val="24"/>
        </w:rPr>
        <w:t>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0ADE9F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w:t>
      </w:r>
      <w:r>
        <w:rPr>
          <w:rFonts w:ascii="宋体" w:hAnsi="宋体"/>
          <w:sz w:val="24"/>
        </w:rPr>
        <w:t>、基金管理人应每季向基金托管人提供基金业绩比较基准的基础数据和编制结果。</w:t>
      </w:r>
    </w:p>
    <w:p w14:paraId="19978F6A"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（六）基金份额持有人名册的登记与保管</w:t>
      </w:r>
    </w:p>
    <w:p w14:paraId="6665956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w:t>
      </w:r>
      <w:r>
        <w:rPr>
          <w:rFonts w:ascii="宋体" w:hAnsi="宋体"/>
          <w:sz w:val="24"/>
        </w:rPr>
        <w:t>6</w:t>
      </w:r>
      <w:r>
        <w:rPr>
          <w:rFonts w:ascii="宋体" w:hAnsi="宋体"/>
          <w:sz w:val="24"/>
        </w:rPr>
        <w:t>月</w:t>
      </w:r>
      <w:r>
        <w:rPr>
          <w:rFonts w:ascii="宋体" w:hAnsi="宋体"/>
          <w:sz w:val="24"/>
        </w:rPr>
        <w:t>30</w:t>
      </w:r>
      <w:r>
        <w:rPr>
          <w:rFonts w:ascii="宋体" w:hAnsi="宋体"/>
          <w:sz w:val="24"/>
        </w:rPr>
        <w:t>日、</w:t>
      </w:r>
      <w:r>
        <w:rPr>
          <w:rFonts w:ascii="宋体" w:hAnsi="宋体"/>
          <w:sz w:val="24"/>
        </w:rPr>
        <w:t>12</w:t>
      </w:r>
      <w:r>
        <w:rPr>
          <w:rFonts w:ascii="宋体" w:hAnsi="宋体"/>
          <w:sz w:val="24"/>
        </w:rPr>
        <w:t>月</w:t>
      </w:r>
      <w:r>
        <w:rPr>
          <w:rFonts w:ascii="宋体" w:hAnsi="宋体"/>
          <w:sz w:val="24"/>
        </w:rPr>
        <w:t>31</w:t>
      </w:r>
      <w:r>
        <w:rPr>
          <w:rFonts w:ascii="宋体" w:hAnsi="宋体"/>
          <w:sz w:val="24"/>
        </w:rPr>
        <w:t>日的基金份额持有人名册。基金份额</w:t>
      </w:r>
      <w:r>
        <w:rPr>
          <w:rFonts w:ascii="宋体" w:hAnsi="宋体"/>
          <w:sz w:val="24"/>
        </w:rPr>
        <w:t>持有人名册的内容至少应包括持有人的名称和持有的基金份额。</w:t>
      </w:r>
    </w:p>
    <w:p w14:paraId="622227C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535BD09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基金管理人应及时向基金托管人提交基金份额持有人名册。每年</w:t>
      </w:r>
      <w:r>
        <w:rPr>
          <w:rFonts w:ascii="宋体" w:hAnsi="宋体"/>
          <w:sz w:val="24"/>
        </w:rPr>
        <w:t>6</w:t>
      </w:r>
      <w:r>
        <w:rPr>
          <w:rFonts w:ascii="宋体" w:hAnsi="宋体"/>
          <w:sz w:val="24"/>
        </w:rPr>
        <w:t>月</w:t>
      </w:r>
      <w:r>
        <w:rPr>
          <w:rFonts w:ascii="宋体" w:hAnsi="宋体"/>
          <w:sz w:val="24"/>
        </w:rPr>
        <w:t>30</w:t>
      </w:r>
      <w:r>
        <w:rPr>
          <w:rFonts w:ascii="宋体" w:hAnsi="宋体"/>
          <w:sz w:val="24"/>
        </w:rPr>
        <w:t>日和</w:t>
      </w:r>
      <w:r>
        <w:rPr>
          <w:rFonts w:ascii="宋体" w:hAnsi="宋体"/>
          <w:sz w:val="24"/>
        </w:rPr>
        <w:t>12</w:t>
      </w:r>
      <w:r>
        <w:rPr>
          <w:rFonts w:ascii="宋体" w:hAnsi="宋体"/>
          <w:sz w:val="24"/>
        </w:rPr>
        <w:t>月</w:t>
      </w:r>
      <w:r>
        <w:rPr>
          <w:rFonts w:ascii="宋体" w:hAnsi="宋体"/>
          <w:sz w:val="24"/>
        </w:rPr>
        <w:t>31</w:t>
      </w:r>
      <w:r>
        <w:rPr>
          <w:rFonts w:ascii="宋体" w:hAnsi="宋体"/>
          <w:sz w:val="24"/>
        </w:rPr>
        <w:t>日的基金份额持有人名册应于下月前十个工作日内提交；基金合同生效日、基金合同终止日等涉及到基金重要事项日期的基金份额持有人名册应于发生日后十个工作日内提交。</w:t>
      </w:r>
    </w:p>
    <w:p w14:paraId="045DCA2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基金管理人和基金托管人应妥善保管基金份额持有人名册，保存期限为</w:t>
      </w:r>
      <w:r>
        <w:rPr>
          <w:rFonts w:ascii="宋体" w:hAnsi="宋体"/>
          <w:sz w:val="24"/>
        </w:rPr>
        <w:t>15</w:t>
      </w:r>
      <w:r>
        <w:rPr>
          <w:rFonts w:ascii="宋体" w:hAnsi="宋体"/>
          <w:sz w:val="24"/>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1D222FB0"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（七）争议解决方式</w:t>
      </w:r>
    </w:p>
    <w:p w14:paraId="438C38C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14:paraId="756AC27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14:paraId="1BB44F5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本协议适用中国法律（不含港澳台地区法律）并从其解释。</w:t>
      </w:r>
    </w:p>
    <w:p w14:paraId="6F538D7F" w14:textId="77777777" w:rsidR="002411B3" w:rsidRDefault="00BA6CE7">
      <w:pPr>
        <w:autoSpaceDE w:val="0"/>
        <w:autoSpaceDN w:val="0"/>
        <w:adjustRightInd w:val="0"/>
        <w:snapToGrid w:val="0"/>
        <w:spacing w:line="360" w:lineRule="auto"/>
        <w:ind w:firstLineChars="200" w:firstLine="482"/>
        <w:jc w:val="left"/>
        <w:rPr>
          <w:rFonts w:ascii="宋体" w:hAnsi="宋体"/>
          <w:szCs w:val="24"/>
        </w:rPr>
      </w:pPr>
      <w:r>
        <w:rPr>
          <w:rFonts w:ascii="宋体" w:hAnsi="宋体" w:hint="eastAsia"/>
          <w:b/>
          <w:kern w:val="0"/>
          <w:sz w:val="24"/>
        </w:rPr>
        <w:t>（八）托管协</w:t>
      </w:r>
      <w:r>
        <w:rPr>
          <w:rFonts w:ascii="宋体" w:hAnsi="宋体" w:hint="eastAsia"/>
          <w:b/>
          <w:kern w:val="0"/>
          <w:sz w:val="24"/>
        </w:rPr>
        <w:t>议的变更、终止与基金财产的清算</w:t>
      </w:r>
    </w:p>
    <w:p w14:paraId="73682E6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、托管协议的变更程序</w:t>
      </w:r>
    </w:p>
    <w:p w14:paraId="7EC839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本协议双方当事人经协商一致，可以对协议进行修改。修改后的新协议，其内容不得与基金合同的规定有任何冲突。基金托管协议的变更应报中国证监会备案。</w:t>
      </w:r>
    </w:p>
    <w:p w14:paraId="62452EA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、基金托管协议终止的情形</w:t>
      </w:r>
    </w:p>
    <w:p w14:paraId="131BEAB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）基金合同终止；</w:t>
      </w:r>
    </w:p>
    <w:p w14:paraId="3108B98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）基金托管人解散、依法被撤销、破产或由其他基金托管人接管基金资产；</w:t>
      </w:r>
    </w:p>
    <w:p w14:paraId="36C2A00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）基金管理人解散、依法被撤销、破产或由其他基金管理人接管基金管理权；</w:t>
      </w:r>
    </w:p>
    <w:p w14:paraId="6382E00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）发生法律法规、中国证监会或基金合同规定的其他终止事项。</w:t>
      </w:r>
    </w:p>
    <w:p w14:paraId="2EDA179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、基金财产的清算</w:t>
      </w:r>
    </w:p>
    <w:p w14:paraId="7FC7863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1</w:t>
      </w:r>
      <w:r>
        <w:rPr>
          <w:rFonts w:ascii="宋体" w:hAnsi="宋体"/>
          <w:sz w:val="24"/>
        </w:rPr>
        <w:t>）基金财产清算小组</w:t>
      </w:r>
    </w:p>
    <w:p w14:paraId="2474088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）自出现《</w:t>
      </w:r>
      <w:r>
        <w:rPr>
          <w:rFonts w:ascii="宋体" w:hAnsi="宋体"/>
          <w:sz w:val="24"/>
        </w:rPr>
        <w:t>基金合同》终止事由之日起</w:t>
      </w:r>
      <w:r>
        <w:rPr>
          <w:rFonts w:ascii="宋体" w:hAnsi="宋体"/>
          <w:sz w:val="24"/>
        </w:rPr>
        <w:t>30</w:t>
      </w:r>
      <w:r>
        <w:rPr>
          <w:rFonts w:ascii="宋体" w:hAnsi="宋体"/>
          <w:sz w:val="24"/>
        </w:rPr>
        <w:t>个工作日内成立清算小组，基金管理人组织基金财产清算小组并在中国证监会的监督下进行基金清算。</w:t>
      </w:r>
    </w:p>
    <w:p w14:paraId="1278E1B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）基金财产清算小组成员由基金管理人、基金托管人、具有从事证券、期货</w:t>
      </w:r>
      <w:r>
        <w:rPr>
          <w:rFonts w:ascii="宋体" w:hAnsi="宋体"/>
          <w:sz w:val="24"/>
        </w:rPr>
        <w:lastRenderedPageBreak/>
        <w:t>相关业务资格的注册会计师、律师以及中国证监会指定的人员组成。基金财产清算小组可以聘用必要的工作人员。</w:t>
      </w:r>
    </w:p>
    <w:p w14:paraId="4277F0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）在基金财产清算过程中，基金管理人和基金托管人应各自履行职责，继续忠实、勤勉、尽责地履行基金合同和本托管协议规定的义务，维护基金份额持有人的合法权益。</w:t>
      </w:r>
    </w:p>
    <w:p w14:paraId="0E5E32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）基金财产清算小组负责基金财产的保管、清理、估价、变现和分配。基金</w:t>
      </w:r>
      <w:r>
        <w:rPr>
          <w:rFonts w:ascii="宋体" w:hAnsi="宋体"/>
          <w:sz w:val="24"/>
        </w:rPr>
        <w:t>财产清算小组可以依法进行必要的民事活动。</w:t>
      </w:r>
    </w:p>
    <w:p w14:paraId="4EC0874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2</w:t>
      </w:r>
      <w:r>
        <w:rPr>
          <w:rFonts w:ascii="宋体" w:hAnsi="宋体"/>
          <w:sz w:val="24"/>
        </w:rPr>
        <w:t>）基金财产清算程序</w:t>
      </w:r>
    </w:p>
    <w:p w14:paraId="4B11FA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）基金合同终止情形出现时，由基金财产清算小组统一接管基金；</w:t>
      </w:r>
    </w:p>
    <w:p w14:paraId="0BB5368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）对基金财产和债权债务进行清理和确认；</w:t>
      </w:r>
    </w:p>
    <w:p w14:paraId="41F8B20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）对基金财产进行估值和变现；</w:t>
      </w:r>
    </w:p>
    <w:p w14:paraId="7CD2951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）制作清算报告；</w:t>
      </w:r>
    </w:p>
    <w:p w14:paraId="35AEE92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Pr>
          <w:rFonts w:ascii="宋体" w:hAnsi="宋体"/>
          <w:sz w:val="24"/>
        </w:rPr>
        <w:t>）聘请会计师事务所对清算报告进行外部审计，聘请律师事务所对清算报告出具法律意见书；</w:t>
      </w:r>
    </w:p>
    <w:p w14:paraId="123253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w:t>
      </w:r>
      <w:r>
        <w:rPr>
          <w:rFonts w:ascii="宋体" w:hAnsi="宋体"/>
          <w:sz w:val="24"/>
        </w:rPr>
        <w:t>）将清算报告报中国证监会备案并公告；</w:t>
      </w:r>
    </w:p>
    <w:p w14:paraId="2FA73A2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w:t>
      </w:r>
      <w:r>
        <w:rPr>
          <w:rFonts w:ascii="宋体" w:hAnsi="宋体"/>
          <w:sz w:val="24"/>
        </w:rPr>
        <w:t>）对基金剩余财产进行分配。</w:t>
      </w:r>
    </w:p>
    <w:p w14:paraId="3D6F06D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基金财产清算的期限为</w:t>
      </w:r>
      <w:r>
        <w:rPr>
          <w:rFonts w:ascii="宋体" w:hAnsi="宋体"/>
          <w:sz w:val="24"/>
        </w:rPr>
        <w:t>6</w:t>
      </w:r>
      <w:r>
        <w:rPr>
          <w:rFonts w:ascii="宋体" w:hAnsi="宋体"/>
          <w:sz w:val="24"/>
        </w:rPr>
        <w:t>个月，但因本基金所持证券的流动性受到限制而不能及时变现的，清算期限相应顺延。</w:t>
      </w:r>
    </w:p>
    <w:p w14:paraId="67665F0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3</w:t>
      </w:r>
      <w:r>
        <w:rPr>
          <w:rFonts w:ascii="宋体" w:hAnsi="宋体"/>
          <w:sz w:val="24"/>
        </w:rPr>
        <w:t>）清算费用</w:t>
      </w:r>
    </w:p>
    <w:p w14:paraId="5D58E2E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606148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4</w:t>
      </w:r>
      <w:r>
        <w:rPr>
          <w:rFonts w:ascii="宋体" w:hAnsi="宋体"/>
          <w:sz w:val="24"/>
        </w:rPr>
        <w:t>）基金财产按下列顺序清偿：</w:t>
      </w:r>
    </w:p>
    <w:p w14:paraId="224D8F7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）支付清算费用；</w:t>
      </w:r>
    </w:p>
    <w:p w14:paraId="1486036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）交纳所欠税款；</w:t>
      </w:r>
    </w:p>
    <w:p w14:paraId="743D563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w:t>
      </w:r>
      <w:r>
        <w:rPr>
          <w:rFonts w:ascii="宋体" w:hAnsi="宋体"/>
          <w:sz w:val="24"/>
        </w:rPr>
        <w:t>）清偿基金债务；</w:t>
      </w:r>
    </w:p>
    <w:p w14:paraId="702166F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Pr>
          <w:rFonts w:ascii="宋体" w:hAnsi="宋体"/>
          <w:sz w:val="24"/>
        </w:rPr>
        <w:t>）按基金份额持有人持有的基金份额比例进行分配。</w:t>
      </w:r>
    </w:p>
    <w:p w14:paraId="4C786D5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基金财产未按前款</w:t>
      </w:r>
      <w:r>
        <w:rPr>
          <w:rFonts w:ascii="宋体" w:hAnsi="宋体"/>
          <w:sz w:val="24"/>
        </w:rPr>
        <w:t>1</w:t>
      </w:r>
      <w:r>
        <w:rPr>
          <w:rFonts w:ascii="宋体" w:hAnsi="宋体"/>
          <w:sz w:val="24"/>
        </w:rPr>
        <w:t>）－</w:t>
      </w:r>
      <w:r>
        <w:rPr>
          <w:rFonts w:ascii="宋体" w:hAnsi="宋体"/>
          <w:sz w:val="24"/>
        </w:rPr>
        <w:t>3</w:t>
      </w:r>
      <w:r>
        <w:rPr>
          <w:rFonts w:ascii="宋体" w:hAnsi="宋体"/>
          <w:sz w:val="24"/>
        </w:rPr>
        <w:t>）项规定清偿前，不分配给基金份额持有人。</w:t>
      </w:r>
    </w:p>
    <w:p w14:paraId="4307B1C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5</w:t>
      </w:r>
      <w:r>
        <w:rPr>
          <w:rFonts w:ascii="宋体" w:hAnsi="宋体"/>
          <w:sz w:val="24"/>
        </w:rPr>
        <w:t>）基金财产清算的公告</w:t>
      </w:r>
    </w:p>
    <w:p w14:paraId="193C970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清算过程中的有关重大事项须及时公告；基金财产清算报告经具有证券、期货相关业务资格的会计师事务所审计并由律师事务所出具法律意见书后报中国证监会</w:t>
      </w:r>
      <w:r>
        <w:rPr>
          <w:rFonts w:ascii="宋体" w:hAnsi="宋体"/>
          <w:sz w:val="24"/>
        </w:rPr>
        <w:lastRenderedPageBreak/>
        <w:t>备案并公告。基金财产</w:t>
      </w:r>
      <w:r>
        <w:rPr>
          <w:rFonts w:ascii="宋体" w:hAnsi="宋体"/>
          <w:sz w:val="24"/>
        </w:rPr>
        <w:t>清算公告于基金财产清算报告报中国证监会备案后</w:t>
      </w:r>
      <w:r>
        <w:rPr>
          <w:rFonts w:ascii="宋体" w:hAnsi="宋体"/>
          <w:sz w:val="24"/>
        </w:rPr>
        <w:t>5</w:t>
      </w:r>
      <w:r>
        <w:rPr>
          <w:rFonts w:ascii="宋体" w:hAnsi="宋体"/>
          <w:sz w:val="24"/>
        </w:rPr>
        <w:t>个工作日内由基金财产清算小组进行公告，基金财产清算小组应当将清算报告登载在指定网站上，并将清算报告提示性公告登载在指定报刊上。</w:t>
      </w:r>
    </w:p>
    <w:p w14:paraId="4479EE8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sz w:val="24"/>
        </w:rPr>
        <w:t>6</w:t>
      </w:r>
      <w:r>
        <w:rPr>
          <w:rFonts w:ascii="宋体" w:hAnsi="宋体"/>
          <w:sz w:val="24"/>
        </w:rPr>
        <w:t>）基金财产清算账册及文件的保存</w:t>
      </w:r>
    </w:p>
    <w:p w14:paraId="14C0CA33"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w:t>
      </w:r>
      <w:r>
        <w:rPr>
          <w:rFonts w:ascii="宋体" w:hAnsi="宋体"/>
          <w:sz w:val="24"/>
        </w:rPr>
        <w:t>15</w:t>
      </w:r>
      <w:r>
        <w:rPr>
          <w:rFonts w:ascii="宋体" w:hAnsi="宋体"/>
          <w:sz w:val="24"/>
        </w:rPr>
        <w:t>年以上。</w:t>
      </w:r>
    </w:p>
    <w:p w14:paraId="4319C47E"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E93F7EE" w14:textId="77777777" w:rsidR="002411B3" w:rsidRDefault="00BA6CE7">
      <w:pPr>
        <w:pStyle w:val="1"/>
        <w:snapToGrid w:val="0"/>
        <w:spacing w:beforeLines="0" w:before="240" w:after="240"/>
        <w:rPr>
          <w:rFonts w:ascii="宋体" w:hAnsi="宋体"/>
          <w:szCs w:val="30"/>
        </w:rPr>
      </w:pPr>
      <w:bookmarkStart w:id="26" w:name="_Toc202521671"/>
      <w:r>
        <w:rPr>
          <w:rFonts w:ascii="Times New Roman" w:hAnsi="Times New Roman"/>
          <w:sz w:val="30"/>
        </w:rPr>
        <w:lastRenderedPageBreak/>
        <w:t>二十三、对基金份额持有人的服务</w:t>
      </w:r>
      <w:bookmarkEnd w:id="26"/>
    </w:p>
    <w:p w14:paraId="1D9B3D5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本基金管理人承诺为基金份额持有人提供一系列的服务。本基金管理人根据基金份额持有人的需要和市场的变化，有权增加或变更服务项目。主要服务内容如下：</w:t>
      </w:r>
    </w:p>
    <w:p w14:paraId="678D8201"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（一）持有人交易资料的寄送服务</w:t>
      </w:r>
    </w:p>
    <w:p w14:paraId="3AC1582D"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Pr>
          <w:rFonts w:ascii="宋体" w:hAnsi="宋体"/>
          <w:sz w:val="24"/>
        </w:rPr>
        <w:t>、每次交易结束后，投资人可在</w:t>
      </w:r>
      <w:r>
        <w:rPr>
          <w:rFonts w:ascii="宋体" w:hAnsi="宋体"/>
          <w:sz w:val="24"/>
        </w:rPr>
        <w:t>T+2</w:t>
      </w:r>
      <w:r>
        <w:rPr>
          <w:rFonts w:ascii="宋体" w:hAnsi="宋体"/>
          <w:sz w:val="24"/>
        </w:rPr>
        <w:t>个工作日后通过销售机构的网点查询和打印确认单；</w:t>
      </w:r>
    </w:p>
    <w:p w14:paraId="26607AD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w:t>
      </w:r>
      <w:r>
        <w:rPr>
          <w:rFonts w:ascii="宋体" w:hAnsi="宋体"/>
          <w:sz w:val="24"/>
        </w:rPr>
        <w:t>、本基金管理人将向持有人提供电子或纸质对账单，需要订阅或取消的客户可与本基金管理人客户服务中心（</w:t>
      </w:r>
      <w:r>
        <w:rPr>
          <w:rFonts w:ascii="宋体" w:hAnsi="宋体"/>
          <w:sz w:val="24"/>
        </w:rPr>
        <w:t>400-700-5000</w:t>
      </w:r>
      <w:r>
        <w:rPr>
          <w:rFonts w:ascii="宋体" w:hAnsi="宋体"/>
          <w:sz w:val="24"/>
        </w:rPr>
        <w:t>，</w:t>
      </w:r>
      <w:r>
        <w:rPr>
          <w:rFonts w:ascii="宋体" w:hAnsi="宋体"/>
          <w:sz w:val="24"/>
        </w:rPr>
        <w:t>021-61055000</w:t>
      </w:r>
      <w:r>
        <w:rPr>
          <w:rFonts w:ascii="宋体" w:hAnsi="宋体"/>
          <w:sz w:val="24"/>
        </w:rPr>
        <w:t>）联系。</w:t>
      </w:r>
    </w:p>
    <w:p w14:paraId="5E5517F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（二）网上直销服务</w:t>
      </w:r>
    </w:p>
    <w:p w14:paraId="01854F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前端基金份额的申购、赎回、定期定额投资和转换等业务。本公司暂不开展网上直销后端基金份额的认</w:t>
      </w:r>
      <w:r>
        <w:rPr>
          <w:rFonts w:ascii="宋体" w:hAnsi="宋体"/>
          <w:sz w:val="24"/>
        </w:rPr>
        <w:t>/</w:t>
      </w:r>
      <w:r>
        <w:rPr>
          <w:rFonts w:ascii="宋体" w:hAnsi="宋体"/>
          <w:sz w:val="24"/>
        </w:rPr>
        <w:t>申购业务，通过转托管转入网上直销账户的后端收费模式</w:t>
      </w:r>
      <w:r>
        <w:rPr>
          <w:rFonts w:ascii="宋体" w:hAnsi="宋体"/>
          <w:sz w:val="24"/>
        </w:rPr>
        <w:t>的基金份额只能办理赎回业务。通过网上直销交易平台办理本基金前端基金份额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725042BF"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14:paraId="0C1D91BA"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w:t>
      </w:r>
      <w:r>
        <w:rPr>
          <w:rFonts w:ascii="宋体" w:hAnsi="宋体"/>
          <w:sz w:val="24"/>
        </w:rPr>
        <w:t>务的发展状况，适时调整可用于基金网上直销交易平台的银行卡种类，敬请投资人留意相关公告。</w:t>
      </w:r>
    </w:p>
    <w:p w14:paraId="656C40A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（三）信息咨询、查询服务</w:t>
      </w:r>
    </w:p>
    <w:p w14:paraId="04F8DD0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投资人如果想查询申购、赎回等交易情况、分红方式状态、基金账户余额、基金产品与服务等信息，请拨打本基金管理人客户服务电话（</w:t>
      </w:r>
      <w:r>
        <w:rPr>
          <w:rFonts w:ascii="宋体" w:hAnsi="宋体"/>
          <w:sz w:val="24"/>
        </w:rPr>
        <w:t>400-700-5000</w:t>
      </w:r>
      <w:r>
        <w:rPr>
          <w:rFonts w:ascii="宋体" w:hAnsi="宋体"/>
          <w:sz w:val="24"/>
        </w:rPr>
        <w:t>，</w:t>
      </w:r>
      <w:r>
        <w:rPr>
          <w:rFonts w:ascii="宋体" w:hAnsi="宋体"/>
          <w:sz w:val="24"/>
        </w:rPr>
        <w:t>021-61055000</w:t>
      </w:r>
      <w:r>
        <w:rPr>
          <w:rFonts w:ascii="宋体" w:hAnsi="宋体"/>
          <w:sz w:val="24"/>
        </w:rPr>
        <w:t>）或登录本基金管理人网站（</w:t>
      </w:r>
      <w:r>
        <w:rPr>
          <w:rFonts w:ascii="宋体" w:hAnsi="宋体"/>
          <w:sz w:val="24"/>
        </w:rPr>
        <w:t>www.fund001.com</w:t>
      </w:r>
      <w:r>
        <w:rPr>
          <w:rFonts w:ascii="宋体" w:hAnsi="宋体"/>
          <w:sz w:val="24"/>
        </w:rPr>
        <w:t>）进行咨询、查询。</w:t>
      </w:r>
    </w:p>
    <w:p w14:paraId="5A43016B"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w:t>
      </w:r>
      <w:r>
        <w:rPr>
          <w:rFonts w:ascii="宋体" w:hAnsi="宋体"/>
          <w:sz w:val="24"/>
        </w:rPr>
        <w:t>6</w:t>
      </w:r>
      <w:r>
        <w:rPr>
          <w:rFonts w:ascii="宋体" w:hAnsi="宋体"/>
          <w:sz w:val="24"/>
        </w:rPr>
        <w:t>位数字，不足</w:t>
      </w:r>
      <w:r>
        <w:rPr>
          <w:rFonts w:ascii="宋体" w:hAnsi="宋体"/>
          <w:sz w:val="24"/>
        </w:rPr>
        <w:t>6</w:t>
      </w:r>
      <w:r>
        <w:rPr>
          <w:rFonts w:ascii="宋体" w:hAnsi="宋体"/>
          <w:sz w:val="24"/>
        </w:rPr>
        <w:t>位数字的，前面加</w:t>
      </w:r>
      <w:r>
        <w:rPr>
          <w:rFonts w:ascii="宋体" w:hAnsi="宋体"/>
          <w:sz w:val="24"/>
        </w:rPr>
        <w:t>“0”</w:t>
      </w:r>
      <w:r>
        <w:rPr>
          <w:rFonts w:ascii="宋体" w:hAnsi="宋体"/>
          <w:sz w:val="24"/>
        </w:rPr>
        <w:t>补足。基金查询密码用于投</w:t>
      </w:r>
      <w:r>
        <w:rPr>
          <w:rFonts w:ascii="宋体" w:hAnsi="宋体"/>
          <w:sz w:val="24"/>
        </w:rPr>
        <w:lastRenderedPageBreak/>
        <w:t>资人通过客</w:t>
      </w:r>
      <w:r>
        <w:rPr>
          <w:rFonts w:ascii="宋体" w:hAnsi="宋体"/>
          <w:sz w:val="24"/>
        </w:rPr>
        <w:t>户服务电话查询基金账户下的账户和交易信息。投资人请在其知晓基金账号后，及时拨打本基金管理人客户服务电话修改基金查询密码。</w:t>
      </w:r>
    </w:p>
    <w:p w14:paraId="579A5D7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14:paraId="5800277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（四）基金红利再投资</w:t>
      </w:r>
    </w:p>
    <w:p w14:paraId="18F6275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本基金收益分配时，投资人可以选择将当期分配所得的红利再投资于本基金，再投资红利按红利再投日（即除息日）除息后的基金份额净值自动转为基金份额，并免收申购费用。</w:t>
      </w:r>
    </w:p>
    <w:p w14:paraId="36510AA7"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（五）定期定额投资计划和转换业务</w:t>
      </w:r>
    </w:p>
    <w:p w14:paraId="5E1289C6"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本基金已开通定期定额投资和转换业务，具体实施方法请参见相关公告。</w:t>
      </w:r>
    </w:p>
    <w:p w14:paraId="083C5A5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0E631E5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0B8FBBD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t>
      </w:r>
      <w:r>
        <w:rPr>
          <w:rFonts w:ascii="宋体" w:hAnsi="宋体"/>
          <w:sz w:val="24"/>
        </w:rPr>
        <w:t>www.fund001.com</w:t>
      </w:r>
    </w:p>
    <w:p w14:paraId="2424C3A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w:t>
      </w:r>
      <w:r>
        <w:rPr>
          <w:rFonts w:ascii="宋体" w:hAnsi="宋体"/>
          <w:sz w:val="24"/>
        </w:rPr>
        <w:t>services@jysld.com</w:t>
      </w:r>
    </w:p>
    <w:p w14:paraId="31719948"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投资人也可登录本基金管理人网站，直接提出有关本基金的问题和建议。</w:t>
      </w:r>
    </w:p>
    <w:p w14:paraId="6E1235EC"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（六）如本招募说明书存在任何您</w:t>
      </w:r>
      <w:r>
        <w:rPr>
          <w:rFonts w:ascii="宋体" w:hAnsi="宋体"/>
          <w:sz w:val="24"/>
        </w:rPr>
        <w:t>/</w:t>
      </w:r>
      <w:r>
        <w:rPr>
          <w:rFonts w:ascii="宋体" w:hAnsi="宋体"/>
          <w:sz w:val="24"/>
        </w:rPr>
        <w:t>贵机构无法理解的内容，请通过上述方式联系基金管理人。请确保投资前，您</w:t>
      </w:r>
      <w:r>
        <w:rPr>
          <w:rFonts w:ascii="宋体" w:hAnsi="宋体"/>
          <w:sz w:val="24"/>
        </w:rPr>
        <w:t>/</w:t>
      </w:r>
      <w:r>
        <w:rPr>
          <w:rFonts w:ascii="宋体" w:hAnsi="宋体"/>
          <w:sz w:val="24"/>
        </w:rPr>
        <w:t>贵机构已经全面理解了本招募说明书。</w:t>
      </w:r>
    </w:p>
    <w:p w14:paraId="4BAB859C"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E319AA6" w14:textId="77777777" w:rsidR="002411B3" w:rsidRDefault="00BA6CE7">
      <w:pPr>
        <w:pStyle w:val="1"/>
        <w:snapToGrid w:val="0"/>
        <w:spacing w:beforeLines="0" w:before="240" w:after="240"/>
        <w:rPr>
          <w:rFonts w:ascii="宋体" w:hAnsi="宋体"/>
          <w:szCs w:val="30"/>
        </w:rPr>
      </w:pPr>
      <w:bookmarkStart w:id="27" w:name="_Toc202521672"/>
      <w:r>
        <w:rPr>
          <w:rFonts w:ascii="Times New Roman" w:hAnsi="Times New Roman"/>
          <w:sz w:val="30"/>
        </w:rPr>
        <w:lastRenderedPageBreak/>
        <w:t>二十四、其他应披露事项</w:t>
      </w:r>
      <w:bookmarkEnd w:id="27"/>
    </w:p>
    <w:p w14:paraId="20069824"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tbl>
      <w:tblPr>
        <w:tblW w:w="5000" w:type="pct"/>
        <w:tblCellMar>
          <w:left w:w="0" w:type="dxa"/>
          <w:right w:w="0" w:type="dxa"/>
        </w:tblCellMar>
        <w:tblLook w:val="04A0" w:firstRow="1" w:lastRow="0" w:firstColumn="1" w:lastColumn="0" w:noHBand="0" w:noVBand="1"/>
      </w:tblPr>
      <w:tblGrid>
        <w:gridCol w:w="1006"/>
        <w:gridCol w:w="3018"/>
        <w:gridCol w:w="3017"/>
        <w:gridCol w:w="1609"/>
      </w:tblGrid>
      <w:tr w:rsidR="002411B3" w14:paraId="4D72B73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8075BA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0D53961F"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5AB2DA2F"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1A691C63"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2411B3" w14:paraId="1B31306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4EC7E9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3FC25CF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1E7593A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FAF17CF"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2024-06-27</w:t>
            </w:r>
          </w:p>
        </w:tc>
      </w:tr>
      <w:tr w:rsidR="002411B3" w14:paraId="31D531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1993F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754F24D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交银施罗德中高等级信用债债券型证券投资基金基金产品资料概要更新</w:t>
            </w:r>
          </w:p>
        </w:tc>
        <w:tc>
          <w:tcPr>
            <w:tcW w:w="750" w:type="pct"/>
            <w:tcBorders>
              <w:top w:val="single" w:sz="4" w:space="0" w:color="auto"/>
              <w:left w:val="single" w:sz="4" w:space="0" w:color="auto"/>
              <w:bottom w:val="single" w:sz="4" w:space="0" w:color="auto"/>
              <w:right w:val="single" w:sz="4" w:space="0" w:color="auto"/>
            </w:tcBorders>
            <w:vAlign w:val="center"/>
          </w:tcPr>
          <w:p w14:paraId="7844C3A3"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112305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2024-07-12</w:t>
            </w:r>
          </w:p>
        </w:tc>
      </w:tr>
      <w:tr w:rsidR="002411B3" w14:paraId="4DDC0C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AD0490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038FA8B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交银施罗德中高等级信用债债券型证券投资基金招募说明书更新</w:t>
            </w:r>
          </w:p>
        </w:tc>
        <w:tc>
          <w:tcPr>
            <w:tcW w:w="750" w:type="pct"/>
            <w:tcBorders>
              <w:top w:val="single" w:sz="4" w:space="0" w:color="auto"/>
              <w:left w:val="single" w:sz="4" w:space="0" w:color="auto"/>
              <w:bottom w:val="single" w:sz="4" w:space="0" w:color="auto"/>
              <w:right w:val="single" w:sz="4" w:space="0" w:color="auto"/>
            </w:tcBorders>
            <w:vAlign w:val="center"/>
          </w:tcPr>
          <w:p w14:paraId="39494C8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C0A9AA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2024-07-12</w:t>
            </w:r>
          </w:p>
        </w:tc>
      </w:tr>
      <w:tr w:rsidR="002411B3" w14:paraId="02CFB0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DCFD33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8E5B8A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1FE9747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A261A66"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2411B3" w14:paraId="173F3E6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A357E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3970ABF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年第二季度报告提示性公告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3282DCC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15BBBC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rsidR="002411B3" w14:paraId="7C06675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048992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2C275FE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sz="4" w:space="0" w:color="auto"/>
              <w:left w:val="single" w:sz="4" w:space="0" w:color="auto"/>
              <w:bottom w:val="single" w:sz="4" w:space="0" w:color="auto"/>
              <w:right w:val="single" w:sz="4" w:space="0" w:color="auto"/>
            </w:tcBorders>
            <w:vAlign w:val="center"/>
          </w:tcPr>
          <w:p w14:paraId="7D97F85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A1E008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rsidR="002411B3" w14:paraId="004F975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CB79F4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B66D1B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交银施罗德基金管理有限公司关于交银施罗德中高等级信用债债券型证券投资基金分红公告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42875E2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E33B26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2024-08-26</w:t>
            </w:r>
          </w:p>
        </w:tc>
      </w:tr>
      <w:tr w:rsidR="002411B3" w14:paraId="1BC37CB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6CFB5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57F2BDD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166A317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2F8BEFC"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2411B3" w14:paraId="74263E2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594A15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21FF940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w:t>
            </w:r>
            <w:r>
              <w:rPr>
                <w:rFonts w:ascii="Times New Roman" w:hAnsi="Times New Roman"/>
                <w:color w:val="000000"/>
                <w:kern w:val="0"/>
                <w:sz w:val="25"/>
                <w:szCs w:val="24"/>
              </w:rPr>
              <w:t>2024</w:t>
            </w:r>
            <w:r>
              <w:rPr>
                <w:rFonts w:ascii="Times New Roman" w:hAnsi="Times New Roman"/>
                <w:color w:val="000000"/>
                <w:kern w:val="0"/>
                <w:sz w:val="25"/>
                <w:szCs w:val="24"/>
              </w:rPr>
              <w:t>年中期报告提示性公告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64DE943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9E8698E"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rsidR="002411B3" w14:paraId="5DEEDE1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A2C637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13F1D17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3EFE4D8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CEFFDF8"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rsidR="002411B3" w14:paraId="03E712C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FCB381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14:paraId="2234212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交银施罗德基金管理有限公司关于董事长（法定代表人）任职的公告</w:t>
            </w:r>
          </w:p>
        </w:tc>
        <w:tc>
          <w:tcPr>
            <w:tcW w:w="750" w:type="pct"/>
            <w:tcBorders>
              <w:top w:val="single" w:sz="4" w:space="0" w:color="auto"/>
              <w:left w:val="single" w:sz="4" w:space="0" w:color="auto"/>
              <w:bottom w:val="single" w:sz="4" w:space="0" w:color="auto"/>
              <w:right w:val="single" w:sz="4" w:space="0" w:color="auto"/>
            </w:tcBorders>
            <w:vAlign w:val="center"/>
          </w:tcPr>
          <w:p w14:paraId="44E98C1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EB153C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rsidR="002411B3" w14:paraId="63BD5E8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2C8BD0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14:paraId="7A079F3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sz="4" w:space="0" w:color="auto"/>
              <w:left w:val="single" w:sz="4" w:space="0" w:color="auto"/>
              <w:bottom w:val="single" w:sz="4" w:space="0" w:color="auto"/>
              <w:right w:val="single" w:sz="4" w:space="0" w:color="auto"/>
            </w:tcBorders>
            <w:vAlign w:val="center"/>
          </w:tcPr>
          <w:p w14:paraId="1174B2C4"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4FAC75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rsidR="002411B3" w14:paraId="72123EF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DFE3F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13</w:t>
            </w:r>
          </w:p>
        </w:tc>
        <w:tc>
          <w:tcPr>
            <w:tcW w:w="750" w:type="pct"/>
            <w:tcBorders>
              <w:top w:val="single" w:sz="4" w:space="0" w:color="auto"/>
              <w:left w:val="single" w:sz="4" w:space="0" w:color="auto"/>
              <w:bottom w:val="single" w:sz="4" w:space="0" w:color="auto"/>
              <w:right w:val="single" w:sz="4" w:space="0" w:color="auto"/>
            </w:tcBorders>
            <w:vAlign w:val="center"/>
          </w:tcPr>
          <w:p w14:paraId="123957CB"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交银施罗德基金管理有限公司关于交银施罗德中高等级信用债债券型证券投资基金分红公告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3CE9D14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10F468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2024-10-30</w:t>
            </w:r>
          </w:p>
        </w:tc>
      </w:tr>
      <w:tr w:rsidR="002411B3" w14:paraId="0FDD3F0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105E53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1A3843D5"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交银施罗德基金管理有限公司关于旗下基金改聘会计师事务所的公告</w:t>
            </w:r>
          </w:p>
        </w:tc>
        <w:tc>
          <w:tcPr>
            <w:tcW w:w="750" w:type="pct"/>
            <w:tcBorders>
              <w:top w:val="single" w:sz="4" w:space="0" w:color="auto"/>
              <w:left w:val="single" w:sz="4" w:space="0" w:color="auto"/>
              <w:bottom w:val="single" w:sz="4" w:space="0" w:color="auto"/>
              <w:right w:val="single" w:sz="4" w:space="0" w:color="auto"/>
            </w:tcBorders>
            <w:vAlign w:val="center"/>
          </w:tcPr>
          <w:p w14:paraId="7B8F00B7"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81B717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2024-12-03</w:t>
            </w:r>
          </w:p>
        </w:tc>
      </w:tr>
      <w:tr w:rsidR="002411B3" w14:paraId="675022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5C86E26"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653689E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交银施罗德基金管理有限公司关于增加中国银河证券股份有限公司为旗下基金的销售机构的公告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78549A6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0B3A865"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2024-12-23</w:t>
            </w:r>
          </w:p>
        </w:tc>
      </w:tr>
      <w:tr w:rsidR="002411B3" w14:paraId="606385D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83CF3D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2564505C"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146BA28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047DFDB"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2411B3" w14:paraId="362C13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51336B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2D26108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交银施罗德基金管理有限公司关于交银施罗德中高等级信用债债券型证券投资基金分红公告</w:t>
            </w:r>
          </w:p>
        </w:tc>
        <w:tc>
          <w:tcPr>
            <w:tcW w:w="750" w:type="pct"/>
            <w:tcBorders>
              <w:top w:val="single" w:sz="4" w:space="0" w:color="auto"/>
              <w:left w:val="single" w:sz="4" w:space="0" w:color="auto"/>
              <w:bottom w:val="single" w:sz="4" w:space="0" w:color="auto"/>
              <w:right w:val="single" w:sz="4" w:space="0" w:color="auto"/>
            </w:tcBorders>
            <w:vAlign w:val="center"/>
          </w:tcPr>
          <w:p w14:paraId="2853BD1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F89025A"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2411B3" w14:paraId="68C9E59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07637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14:paraId="3A80B469"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7695FF9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37BA08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rsidR="002411B3" w14:paraId="0301369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7A5CAD"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14:paraId="05422BD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5699C76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482A502"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2025-03-28</w:t>
            </w:r>
          </w:p>
        </w:tc>
      </w:tr>
      <w:tr w:rsidR="002411B3" w14:paraId="1C0C71F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097F1CE"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14:paraId="40245975"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交银施罗德基金管理有限公司旗下公募基金通过证券公司交易及佣金支付情况公告</w:t>
            </w:r>
          </w:p>
        </w:tc>
        <w:tc>
          <w:tcPr>
            <w:tcW w:w="750" w:type="pct"/>
            <w:tcBorders>
              <w:top w:val="single" w:sz="4" w:space="0" w:color="auto"/>
              <w:left w:val="single" w:sz="4" w:space="0" w:color="auto"/>
              <w:bottom w:val="single" w:sz="4" w:space="0" w:color="auto"/>
              <w:right w:val="single" w:sz="4" w:space="0" w:color="auto"/>
            </w:tcBorders>
            <w:vAlign w:val="center"/>
          </w:tcPr>
          <w:p w14:paraId="4D88C461"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2E2A624"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2025-03-31</w:t>
            </w:r>
          </w:p>
        </w:tc>
      </w:tr>
      <w:tr w:rsidR="002411B3" w14:paraId="2F62E83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7C139A"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14:paraId="4708C7B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交银施罗德中高等级信用债债券型证券投资基金</w:t>
            </w:r>
            <w:r>
              <w:rPr>
                <w:rFonts w:ascii="Times New Roman" w:hAnsi="Times New Roman"/>
                <w:color w:val="000000"/>
                <w:kern w:val="0"/>
                <w:sz w:val="25"/>
                <w:szCs w:val="24"/>
              </w:rPr>
              <w:t>2025</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36E3CB32"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BF70AB7"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2025-04-21</w:t>
            </w:r>
          </w:p>
        </w:tc>
      </w:tr>
      <w:tr w:rsidR="002411B3" w14:paraId="51983A1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748398"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14:paraId="10E9155F"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58E58500" w14:textId="77777777" w:rsidR="002411B3" w:rsidRDefault="00BA6CE7">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82C2BC6" w14:textId="77777777" w:rsidR="002411B3" w:rsidRDefault="00BA6CE7">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2025-06-07</w:t>
            </w:r>
          </w:p>
        </w:tc>
      </w:tr>
    </w:tbl>
    <w:p w14:paraId="57FAA661"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5CDBF63" w14:textId="77777777" w:rsidR="002411B3" w:rsidRDefault="00BA6CE7">
      <w:pPr>
        <w:pStyle w:val="1"/>
        <w:snapToGrid w:val="0"/>
        <w:spacing w:beforeLines="0" w:before="240" w:after="240"/>
        <w:rPr>
          <w:rFonts w:ascii="宋体" w:hAnsi="宋体"/>
          <w:szCs w:val="30"/>
        </w:rPr>
      </w:pPr>
      <w:bookmarkStart w:id="28" w:name="_Toc202521673"/>
      <w:r>
        <w:rPr>
          <w:rFonts w:ascii="Times New Roman" w:hAnsi="Times New Roman"/>
          <w:sz w:val="30"/>
        </w:rPr>
        <w:lastRenderedPageBreak/>
        <w:t>二十五、招募说明书的存放及查阅方式</w:t>
      </w:r>
      <w:bookmarkEnd w:id="28"/>
    </w:p>
    <w:p w14:paraId="0134253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和营业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48855AB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t>
      </w:r>
      <w:r>
        <w:rPr>
          <w:rFonts w:ascii="宋体" w:hAnsi="宋体"/>
          <w:sz w:val="24"/>
        </w:rPr>
        <w:t>www.fund001.com</w:t>
      </w:r>
      <w:r>
        <w:rPr>
          <w:rFonts w:ascii="宋体" w:hAnsi="宋体"/>
          <w:sz w:val="24"/>
        </w:rPr>
        <w:t>）查阅和下载招募说明书。</w:t>
      </w:r>
    </w:p>
    <w:p w14:paraId="3EF527B9" w14:textId="77777777" w:rsidR="002411B3" w:rsidRDefault="00BA6CE7">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E01A6F7" w14:textId="77777777" w:rsidR="002411B3" w:rsidRDefault="00BA6CE7">
      <w:pPr>
        <w:pStyle w:val="1"/>
        <w:snapToGrid w:val="0"/>
        <w:spacing w:beforeLines="0" w:before="240" w:after="240"/>
        <w:rPr>
          <w:rFonts w:ascii="宋体" w:hAnsi="宋体"/>
          <w:szCs w:val="30"/>
        </w:rPr>
      </w:pPr>
      <w:bookmarkStart w:id="29" w:name="_Toc202521674"/>
      <w:r>
        <w:rPr>
          <w:rFonts w:ascii="Times New Roman" w:hAnsi="Times New Roman"/>
          <w:sz w:val="30"/>
        </w:rPr>
        <w:lastRenderedPageBreak/>
        <w:t>二十六、备查文件</w:t>
      </w:r>
      <w:bookmarkEnd w:id="29"/>
    </w:p>
    <w:p w14:paraId="006F4BD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48BE39F9"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（一）中国证监会对交银施罗德理财</w:t>
      </w:r>
      <w:r>
        <w:rPr>
          <w:rFonts w:ascii="宋体" w:hAnsi="宋体"/>
          <w:sz w:val="24"/>
        </w:rPr>
        <w:t>21</w:t>
      </w:r>
      <w:r>
        <w:rPr>
          <w:rFonts w:ascii="宋体" w:hAnsi="宋体"/>
          <w:sz w:val="24"/>
        </w:rPr>
        <w:t>天债券型证券投资基金转型为交</w:t>
      </w:r>
      <w:r>
        <w:rPr>
          <w:rFonts w:ascii="宋体" w:hAnsi="宋体"/>
          <w:sz w:val="24"/>
        </w:rPr>
        <w:t>银施罗德中高等级信用债债券型证券投资基金准予变更注册的文件</w:t>
      </w:r>
    </w:p>
    <w:p w14:paraId="44C2D362"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（二）《交银施罗德中高等级信用债债券型证券投资基金基金合同》</w:t>
      </w:r>
    </w:p>
    <w:p w14:paraId="0134385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（三）《交银施罗德中高等级信用债债券型证券投资基金托管协议》</w:t>
      </w:r>
    </w:p>
    <w:p w14:paraId="4B610325"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63C2711E"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357A6690" w14:textId="77777777" w:rsidR="002411B3" w:rsidRDefault="00BA6CE7">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（六）法律意见书</w:t>
      </w:r>
    </w:p>
    <w:sectPr w:rsidR="002411B3">
      <w:footerReference w:type="default" r:id="rId14"/>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C8676" w14:textId="77777777" w:rsidR="00BA6CE7" w:rsidRDefault="00BA6CE7">
      <w:r>
        <w:separator/>
      </w:r>
    </w:p>
  </w:endnote>
  <w:endnote w:type="continuationSeparator" w:id="0">
    <w:p w14:paraId="6B24E443" w14:textId="77777777" w:rsidR="00BA6CE7" w:rsidRDefault="00BA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8448" w14:textId="673BAD90" w:rsidR="002411B3" w:rsidRDefault="004626CF">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5EB20187" wp14:editId="77FE061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E8B3" w14:textId="3110DCE2" w:rsidR="002411B3" w:rsidRDefault="00BA6CE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5DD5">
                            <w:rPr>
                              <w:rFonts w:ascii="Times New Roman" w:hAnsi="Times New Roman"/>
                              <w:noProof/>
                              <w:kern w:val="0"/>
                              <w:sz w:val="18"/>
                              <w:szCs w:val="18"/>
                            </w:rPr>
                            <w:t>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20187"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4B7EE8B3" w14:textId="3110DCE2" w:rsidR="002411B3" w:rsidRDefault="00BA6CE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5DD5">
                      <w:rPr>
                        <w:rFonts w:ascii="Times New Roman" w:hAnsi="Times New Roman"/>
                        <w:noProof/>
                        <w:kern w:val="0"/>
                        <w:sz w:val="18"/>
                        <w:szCs w:val="18"/>
                      </w:rPr>
                      <w:t>3</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48412" w14:textId="1DF3C8D8" w:rsidR="002411B3" w:rsidRDefault="004626CF">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238F2F12" wp14:editId="76D9D60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4711" w14:textId="6098B76A" w:rsidR="002411B3" w:rsidRDefault="00BA6CE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5DD5">
                            <w:rPr>
                              <w:rFonts w:ascii="Times New Roman" w:hAnsi="Times New Roman"/>
                              <w:noProof/>
                              <w:kern w:val="0"/>
                              <w:sz w:val="18"/>
                              <w:szCs w:val="18"/>
                            </w:rPr>
                            <w:t>7</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F2F12"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5F8C4711" w14:textId="6098B76A" w:rsidR="002411B3" w:rsidRDefault="00BA6CE7">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B15DD5">
                      <w:rPr>
                        <w:rFonts w:ascii="Times New Roman" w:hAnsi="Times New Roman"/>
                        <w:noProof/>
                        <w:kern w:val="0"/>
                        <w:sz w:val="18"/>
                        <w:szCs w:val="18"/>
                      </w:rPr>
                      <w:t>7</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1D222" w14:textId="77777777" w:rsidR="00BA6CE7" w:rsidRDefault="00BA6CE7">
      <w:r>
        <w:separator/>
      </w:r>
    </w:p>
  </w:footnote>
  <w:footnote w:type="continuationSeparator" w:id="0">
    <w:p w14:paraId="38436782" w14:textId="77777777" w:rsidR="00BA6CE7" w:rsidRDefault="00BA6C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60DF5" w14:textId="1BB2DFBD" w:rsidR="002411B3" w:rsidRDefault="004626CF">
    <w:pPr>
      <w:pStyle w:val="aa"/>
      <w:jc w:val="right"/>
    </w:pPr>
    <w:r>
      <w:rPr>
        <w:noProof/>
      </w:rPr>
      <w:drawing>
        <wp:anchor distT="0" distB="0" distL="114300" distR="114300" simplePos="0" relativeHeight="251656704" behindDoc="0" locked="0" layoutInCell="1" allowOverlap="1" wp14:anchorId="46C24D24" wp14:editId="174A6289">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732A9" w14:textId="77777777" w:rsidR="002411B3" w:rsidRDefault="00BA6CE7">
    <w:pPr>
      <w:pStyle w:val="aa"/>
      <w:jc w:val="right"/>
      <w:rPr>
        <w:rFonts w:ascii="宋体" w:hAnsi="宋体"/>
      </w:rPr>
    </w:pPr>
    <w:r>
      <w:rPr>
        <w:rFonts w:ascii="宋体" w:hAnsi="宋体" w:hint="eastAsia"/>
      </w:rPr>
      <w:t>交银施罗德中高等级信用债债券型证券投资基金招募说明书更新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4A9D" w14:textId="77777777" w:rsidR="002411B3" w:rsidRDefault="002411B3">
    <w:pPr>
      <w:pStyle w:val="11"/>
      <w:jc w:val="right"/>
    </w:pPr>
  </w:p>
  <w:p w14:paraId="30843DB5" w14:textId="77777777" w:rsidR="002411B3" w:rsidRDefault="002411B3">
    <w:pPr>
      <w:pStyle w:val="11"/>
      <w:jc w:val="right"/>
    </w:pPr>
  </w:p>
  <w:p w14:paraId="5C4005F8" w14:textId="77777777" w:rsidR="002411B3" w:rsidRDefault="002411B3">
    <w:pPr>
      <w:pStyle w:val="aa"/>
      <w:jc w:val="right"/>
    </w:pPr>
  </w:p>
  <w:p w14:paraId="1F31E44C" w14:textId="6EA53F66" w:rsidR="002411B3" w:rsidRDefault="004626CF">
    <w:pPr>
      <w:pStyle w:val="aa"/>
      <w:jc w:val="right"/>
    </w:pPr>
    <w:r>
      <w:rPr>
        <w:noProof/>
      </w:rPr>
      <w:drawing>
        <wp:anchor distT="0" distB="0" distL="114300" distR="114300" simplePos="0" relativeHeight="251655680" behindDoc="0" locked="0" layoutInCell="1" allowOverlap="1" wp14:anchorId="580FEBFC" wp14:editId="6A98453E">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A55D6" w14:textId="77777777" w:rsidR="002411B3" w:rsidRDefault="00BA6CE7">
    <w:pPr>
      <w:pStyle w:val="aa"/>
      <w:jc w:val="right"/>
      <w:rPr>
        <w:rFonts w:ascii="宋体" w:hAnsi="宋体"/>
      </w:rPr>
    </w:pPr>
    <w:r>
      <w:rPr>
        <w:rFonts w:ascii="宋体" w:hAnsi="宋体" w:hint="eastAsia"/>
      </w:rPr>
      <w:t>交银施罗德中高等级信用债债券型证券投资基金招募说明书更新</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EC4A" w14:textId="77777777" w:rsidR="002411B3" w:rsidRDefault="002411B3">
    <w:pPr>
      <w:pStyle w:val="aa"/>
      <w:jc w:val="right"/>
    </w:pPr>
  </w:p>
  <w:p w14:paraId="32959904" w14:textId="77777777" w:rsidR="002411B3" w:rsidRDefault="002411B3">
    <w:pPr>
      <w:pStyle w:val="aa"/>
      <w:jc w:val="right"/>
    </w:pPr>
  </w:p>
  <w:p w14:paraId="301C08E5" w14:textId="77777777" w:rsidR="002411B3" w:rsidRDefault="002411B3">
    <w:pPr>
      <w:pStyle w:val="aa"/>
      <w:jc w:val="right"/>
    </w:pPr>
  </w:p>
  <w:p w14:paraId="3E8DF5E2" w14:textId="42632F3B" w:rsidR="002411B3" w:rsidRDefault="004626CF">
    <w:pPr>
      <w:pStyle w:val="aa"/>
      <w:jc w:val="right"/>
    </w:pPr>
    <w:r>
      <w:rPr>
        <w:noProof/>
      </w:rPr>
      <w:drawing>
        <wp:anchor distT="0" distB="0" distL="114300" distR="114300" simplePos="0" relativeHeight="251657728" behindDoc="0" locked="0" layoutInCell="1" allowOverlap="1" wp14:anchorId="671EBDE2" wp14:editId="16DD49C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3FBE2" w14:textId="77777777" w:rsidR="002411B3" w:rsidRDefault="00BA6CE7">
    <w:pPr>
      <w:pStyle w:val="aa"/>
      <w:jc w:val="right"/>
      <w:rPr>
        <w:rFonts w:ascii="宋体" w:hAnsi="宋体"/>
      </w:rPr>
    </w:pPr>
    <w:r>
      <w:rPr>
        <w:rFonts w:ascii="宋体" w:hAnsi="宋体" w:hint="eastAsia"/>
      </w:rPr>
      <w:t>交银施罗德中高等级信用债债券型证券投资基金招募说明书更新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66D7"/>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11B3"/>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3F7DA4"/>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6CF"/>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D96"/>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D620A"/>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0975"/>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1237"/>
    <w:rsid w:val="0081415C"/>
    <w:rsid w:val="0081590D"/>
    <w:rsid w:val="00815E57"/>
    <w:rsid w:val="008166F5"/>
    <w:rsid w:val="0081677E"/>
    <w:rsid w:val="0081685D"/>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496F"/>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1DA"/>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5DD5"/>
    <w:rsid w:val="00B17DE2"/>
    <w:rsid w:val="00B20969"/>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A6CE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210D"/>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3D3"/>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0DF9"/>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87E2D"/>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1A113708"/>
    <w:rsid w:val="4D8212ED"/>
    <w:rsid w:val="4DBA4B05"/>
    <w:rsid w:val="64B6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AA97A"/>
  <w15:docId w15:val="{48207551-DD83-43D1-BCFA-DC19759D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nhideWhenUsed/>
    <w:qFormat/>
    <w:pPr>
      <w:jc w:val="left"/>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kern w:val="0"/>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style>
  <w:style w:type="paragraph" w:styleId="ac">
    <w:name w:val="Subtitle"/>
    <w:basedOn w:val="a"/>
    <w:next w:val="a"/>
    <w:link w:val="ad"/>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qFormat/>
    <w:pPr>
      <w:ind w:leftChars="200" w:left="480"/>
    </w:pPr>
  </w:style>
  <w:style w:type="paragraph" w:styleId="ae">
    <w:name w:val="annotation subject"/>
    <w:basedOn w:val="a5"/>
    <w:next w:val="a5"/>
    <w:link w:val="af"/>
    <w:uiPriority w:val="99"/>
    <w:unhideWhenUsed/>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af1">
    <w:name w:val="Hyperlink"/>
    <w:uiPriority w:val="99"/>
    <w:unhideWhenUsed/>
    <w:qFormat/>
    <w:rPr>
      <w:color w:val="0000FF"/>
      <w:u w:val="single"/>
    </w:rPr>
  </w:style>
  <w:style w:type="character" w:styleId="af2">
    <w:name w:val="annotation reference"/>
    <w:unhideWhenUsed/>
    <w:qFormat/>
    <w:rPr>
      <w:sz w:val="21"/>
      <w:szCs w:val="21"/>
    </w:rPr>
  </w:style>
  <w:style w:type="paragraph" w:customStyle="1" w:styleId="Style19">
    <w:name w:val="_Style 19"/>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c"/>
    <w:next w:val="4"/>
    <w:qFormat/>
    <w:pPr>
      <w:keepNext/>
      <w:keepLines/>
      <w:numPr>
        <w:ilvl w:val="5"/>
        <w:numId w:val="1"/>
      </w:numPr>
      <w:ind w:left="0" w:firstLine="0"/>
      <w:jc w:val="left"/>
    </w:pPr>
    <w:rPr>
      <w:bCs w:val="0"/>
      <w:sz w:val="24"/>
    </w:rPr>
  </w:style>
  <w:style w:type="paragraph" w:customStyle="1" w:styleId="Style21">
    <w:name w:val="_Style 21"/>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c"/>
    <w:next w:val="4"/>
    <w:qFormat/>
    <w:pPr>
      <w:keepNext/>
      <w:keepLines/>
      <w:numPr>
        <w:ilvl w:val="1"/>
        <w:numId w:val="1"/>
      </w:numPr>
      <w:jc w:val="left"/>
    </w:pPr>
    <w:rPr>
      <w:bCs w:val="0"/>
      <w:sz w:val="24"/>
    </w:rPr>
  </w:style>
  <w:style w:type="paragraph" w:customStyle="1" w:styleId="XBRLTitle3">
    <w:name w:val="XBRLTitle3"/>
    <w:basedOn w:val="ac"/>
    <w:next w:val="4"/>
    <w:qFormat/>
    <w:pPr>
      <w:keepNext/>
      <w:keepLines/>
      <w:numPr>
        <w:ilvl w:val="2"/>
        <w:numId w:val="1"/>
      </w:numPr>
      <w:ind w:left="0" w:firstLine="0"/>
      <w:jc w:val="left"/>
    </w:pPr>
    <w:rPr>
      <w:bCs w:val="0"/>
      <w:sz w:val="24"/>
    </w:rPr>
  </w:style>
  <w:style w:type="paragraph" w:customStyle="1" w:styleId="XBRLTitle5">
    <w:name w:val="XBRLTitle5"/>
    <w:basedOn w:val="ac"/>
    <w:next w:val="4"/>
    <w:qFormat/>
    <w:pPr>
      <w:keepNext/>
      <w:keepLines/>
      <w:numPr>
        <w:ilvl w:val="4"/>
        <w:numId w:val="1"/>
      </w:numPr>
      <w:ind w:left="0" w:firstLine="0"/>
      <w:jc w:val="left"/>
    </w:pPr>
    <w:rPr>
      <w:bCs w:val="0"/>
      <w:sz w:val="24"/>
    </w:rPr>
  </w:style>
  <w:style w:type="paragraph" w:customStyle="1" w:styleId="XBRLTitle4">
    <w:name w:val="XBRLTitle4"/>
    <w:basedOn w:val="ac"/>
    <w:next w:val="4"/>
    <w:qFormat/>
    <w:pPr>
      <w:keepNext/>
      <w:keepLines/>
      <w:numPr>
        <w:ilvl w:val="3"/>
        <w:numId w:val="1"/>
      </w:numPr>
      <w:ind w:left="0" w:firstLine="0"/>
      <w:jc w:val="left"/>
    </w:pPr>
    <w:rPr>
      <w:bCs w:val="0"/>
      <w:sz w:val="24"/>
    </w:rPr>
  </w:style>
  <w:style w:type="character" w:customStyle="1" w:styleId="Char1">
    <w:name w:val="副标题 Char1"/>
    <w:qFormat/>
    <w:rPr>
      <w:rFonts w:ascii="Cambria" w:hAnsi="Cambria"/>
      <w:b/>
      <w:kern w:val="28"/>
      <w:sz w:val="24"/>
      <w:szCs w:val="32"/>
    </w:rPr>
  </w:style>
  <w:style w:type="character" w:customStyle="1" w:styleId="txtcontent11">
    <w:name w:val="txtcontent11"/>
    <w:qFormat/>
    <w:rPr>
      <w:rFonts w:ascii="ˎ̥" w:hAnsi="ˎ̥" w:hint="default"/>
      <w:color w:val="000000"/>
      <w:sz w:val="21"/>
      <w:szCs w:val="21"/>
    </w:rPr>
  </w:style>
  <w:style w:type="character" w:customStyle="1" w:styleId="a6">
    <w:name w:val="批注文字 字符"/>
    <w:link w:val="a5"/>
    <w:qFormat/>
    <w:rPr>
      <w:kern w:val="2"/>
      <w:sz w:val="21"/>
      <w:szCs w:val="22"/>
    </w:rPr>
  </w:style>
  <w:style w:type="character" w:customStyle="1" w:styleId="af">
    <w:name w:val="批注主题 字符"/>
    <w:link w:val="ae"/>
    <w:uiPriority w:val="99"/>
    <w:semiHidden/>
    <w:qFormat/>
    <w:rPr>
      <w:b/>
      <w:bCs/>
      <w:kern w:val="2"/>
      <w:sz w:val="21"/>
      <w:szCs w:val="22"/>
    </w:rPr>
  </w:style>
  <w:style w:type="character" w:customStyle="1" w:styleId="ab">
    <w:name w:val="页眉 字符"/>
    <w:link w:val="aa"/>
    <w:uiPriority w:val="99"/>
    <w:qFormat/>
    <w:rPr>
      <w:sz w:val="18"/>
      <w:szCs w:val="18"/>
    </w:rPr>
  </w:style>
  <w:style w:type="character" w:customStyle="1" w:styleId="ad">
    <w:name w:val="副标题 字符"/>
    <w:link w:val="ac"/>
    <w:qFormat/>
    <w:rPr>
      <w:rFonts w:ascii="Cambria" w:hAnsi="Cambria" w:cs="Times New Roman"/>
      <w:b/>
      <w:bCs/>
      <w:kern w:val="28"/>
      <w:sz w:val="32"/>
      <w:szCs w:val="32"/>
    </w:rPr>
  </w:style>
  <w:style w:type="character" w:customStyle="1" w:styleId="a4">
    <w:name w:val="文档结构图 字符"/>
    <w:link w:val="a3"/>
    <w:uiPriority w:val="99"/>
    <w:semiHidden/>
    <w:qFormat/>
    <w:rPr>
      <w:rFonts w:ascii="宋体"/>
      <w:kern w:val="2"/>
      <w:sz w:val="18"/>
      <w:szCs w:val="18"/>
    </w:rPr>
  </w:style>
  <w:style w:type="character" w:customStyle="1" w:styleId="a9">
    <w:name w:val="页脚 字符"/>
    <w:link w:val="a8"/>
    <w:uiPriority w:val="99"/>
    <w:qFormat/>
    <w:rPr>
      <w:sz w:val="18"/>
      <w:szCs w:val="18"/>
    </w:rPr>
  </w:style>
  <w:style w:type="character" w:customStyle="1" w:styleId="20">
    <w:name w:val="标题 2 字符"/>
    <w:link w:val="2"/>
    <w:uiPriority w:val="9"/>
    <w:semiHidden/>
    <w:qFormat/>
    <w:rPr>
      <w:rFonts w:ascii="Cambria" w:eastAsia="宋体" w:hAnsi="Cambria" w:cs="Times New Roman"/>
      <w:b/>
      <w:bCs/>
      <w:kern w:val="2"/>
      <w:sz w:val="32"/>
      <w:szCs w:val="32"/>
    </w:rPr>
  </w:style>
  <w:style w:type="character" w:customStyle="1" w:styleId="40">
    <w:name w:val="标题 4 字符"/>
    <w:link w:val="4"/>
    <w:uiPriority w:val="9"/>
    <w:semiHidden/>
    <w:qFormat/>
    <w:rPr>
      <w:rFonts w:ascii="Cambria" w:eastAsia="宋体" w:hAnsi="Cambria" w:cs="Times New Roman"/>
      <w:b/>
      <w:bCs/>
      <w:kern w:val="2"/>
      <w:sz w:val="28"/>
      <w:szCs w:val="28"/>
    </w:rPr>
  </w:style>
  <w:style w:type="character" w:customStyle="1" w:styleId="10">
    <w:name w:val="标题 1 字符"/>
    <w:link w:val="1"/>
    <w:uiPriority w:val="9"/>
    <w:qFormat/>
    <w:rPr>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71"/>
    <customShpInfo spid="_x0000_s2070"/>
    <customShpInfo spid="_x0000_s2049"/>
    <customShpInfo spid="_x0000_s206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14467</Words>
  <Characters>82464</Characters>
  <Application>Microsoft Office Word</Application>
  <DocSecurity>0</DocSecurity>
  <Lines>687</Lines>
  <Paragraphs>193</Paragraphs>
  <ScaleCrop>false</ScaleCrop>
  <Company>Microsoft</Company>
  <LinksUpToDate>false</LinksUpToDate>
  <CharactersWithSpaces>96738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张婧</cp:lastModifiedBy>
  <cp:revision>4</cp:revision>
  <cp:lastPrinted>2013-02-18T03:10:00Z</cp:lastPrinted>
  <dcterms:created xsi:type="dcterms:W3CDTF">2025-11-17T03:14:00Z</dcterms:created>
  <dcterms:modified xsi:type="dcterms:W3CDTF">2025-11-17T03:14:00Z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8CD33169D4C54FBE96B0BE70E0A91153</vt:lpwstr>
  </property>
</Properties>
</file>